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C993F">
      <w:pPr>
        <w:jc w:val="center"/>
        <w:rPr>
          <w:rFonts w:hint="eastAsia" w:ascii="楷体_GB2312" w:hAnsi="楷体_GB2312" w:eastAsia="楷体_GB2312" w:cs="楷体_GB2312"/>
          <w:color w:val="auto"/>
          <w:sz w:val="32"/>
          <w:highlight w:val="none"/>
        </w:rPr>
      </w:pPr>
      <w:r>
        <w:rPr>
          <w:rFonts w:hint="eastAsia" w:ascii="楷体_GB2312" w:hAnsi="楷体_GB2312" w:eastAsia="楷体_GB2312" w:cs="楷体_GB2312"/>
          <w:color w:val="auto"/>
          <w:sz w:val="32"/>
          <w:highlight w:val="none"/>
        </w:rPr>
        <w:t>采购公告</w:t>
      </w:r>
    </w:p>
    <w:p w14:paraId="02258E23">
      <w:pPr>
        <w:widowControl/>
        <w:snapToGrid w:val="0"/>
        <w:spacing w:line="360" w:lineRule="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至：投标人</w:t>
      </w:r>
    </w:p>
    <w:p w14:paraId="4A828945">
      <w:pPr>
        <w:widowControl/>
        <w:snapToGrid w:val="0"/>
        <w:spacing w:line="360" w:lineRule="auto"/>
        <w:ind w:firstLine="525" w:firstLineChars="250"/>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lang w:eastAsia="zh-CN"/>
        </w:rPr>
        <w:t>东莞市城市工程建设集团有限公司</w:t>
      </w:r>
      <w:r>
        <w:rPr>
          <w:rFonts w:hint="eastAsia" w:ascii="仿宋_GB2312" w:hAnsi="仿宋_GB2312" w:eastAsia="仿宋_GB2312" w:cs="仿宋_GB2312"/>
          <w:color w:val="auto"/>
          <w:kern w:val="0"/>
          <w:szCs w:val="21"/>
          <w:highlight w:val="none"/>
        </w:rPr>
        <w:t>就</w:t>
      </w:r>
      <w:r>
        <w:rPr>
          <w:rFonts w:hint="eastAsia" w:ascii="仿宋_GB2312" w:hAnsi="仿宋_GB2312" w:eastAsia="仿宋_GB2312" w:cs="仿宋_GB2312"/>
          <w:color w:val="auto"/>
          <w:kern w:val="0"/>
          <w:szCs w:val="21"/>
          <w:highlight w:val="none"/>
          <w:u w:val="single"/>
          <w:lang w:val="en-US" w:eastAsia="zh-CN"/>
        </w:rPr>
        <w:t>东莞市三江六岸滨水岸线示范段项目二期工程项目劳务分包</w:t>
      </w:r>
      <w:r>
        <w:rPr>
          <w:rFonts w:hint="eastAsia" w:ascii="仿宋_GB2312" w:hAnsi="仿宋_GB2312" w:eastAsia="仿宋_GB2312" w:cs="仿宋_GB2312"/>
          <w:color w:val="auto"/>
          <w:kern w:val="0"/>
          <w:szCs w:val="21"/>
          <w:highlight w:val="none"/>
        </w:rPr>
        <w:t>进行</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公开</w:t>
      </w:r>
      <w:r>
        <w:rPr>
          <w:rFonts w:hint="eastAsia" w:ascii="仿宋_GB2312" w:hAnsi="仿宋_GB2312" w:eastAsia="仿宋_GB2312" w:cs="仿宋_GB2312"/>
          <w:color w:val="auto"/>
          <w:kern w:val="0"/>
          <w:szCs w:val="21"/>
          <w:highlight w:val="none"/>
          <w:u w:val="single"/>
        </w:rPr>
        <w:t xml:space="preserve">采购 </w:t>
      </w:r>
      <w:r>
        <w:rPr>
          <w:rFonts w:hint="eastAsia" w:ascii="仿宋_GB2312" w:hAnsi="仿宋_GB2312" w:eastAsia="仿宋_GB2312" w:cs="仿宋_GB2312"/>
          <w:color w:val="auto"/>
          <w:kern w:val="0"/>
          <w:szCs w:val="21"/>
          <w:highlight w:val="none"/>
        </w:rPr>
        <w:t>现将有关事项说明如下：</w:t>
      </w:r>
    </w:p>
    <w:p w14:paraId="2E85207A">
      <w:pPr>
        <w:widowControl/>
        <w:numPr>
          <w:ilvl w:val="0"/>
          <w:numId w:val="1"/>
        </w:numPr>
        <w:snapToGrid w:val="0"/>
        <w:spacing w:line="360" w:lineRule="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项目名称：</w:t>
      </w:r>
      <w:r>
        <w:rPr>
          <w:rFonts w:hint="eastAsia" w:ascii="仿宋_GB2312" w:hAnsi="仿宋_GB2312" w:eastAsia="仿宋_GB2312" w:cs="仿宋_GB2312"/>
          <w:color w:val="auto"/>
          <w:kern w:val="0"/>
          <w:szCs w:val="21"/>
          <w:highlight w:val="none"/>
          <w:u w:val="single"/>
          <w:lang w:val="en-US" w:eastAsia="zh-CN"/>
        </w:rPr>
        <w:t>东莞市三江六岸滨水岸线示范段项目二期工程项目劳务分包</w:t>
      </w:r>
    </w:p>
    <w:p w14:paraId="3166CB8F">
      <w:pPr>
        <w:widowControl/>
        <w:numPr>
          <w:ilvl w:val="0"/>
          <w:numId w:val="1"/>
        </w:numPr>
        <w:snapToGrid w:val="0"/>
        <w:spacing w:line="360" w:lineRule="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项目编号：</w:t>
      </w:r>
      <w:r>
        <w:rPr>
          <w:rFonts w:hint="eastAsia" w:ascii="仿宋_GB2312" w:hAnsi="仿宋_GB2312" w:eastAsia="仿宋_GB2312" w:cs="仿宋_GB2312"/>
          <w:color w:val="auto"/>
          <w:kern w:val="0"/>
          <w:szCs w:val="21"/>
          <w:highlight w:val="none"/>
          <w:u w:val="single"/>
          <w:lang w:val="en-US" w:eastAsia="zh-CN"/>
        </w:rPr>
        <w:t xml:space="preserve">  ZBCG-2026-159 </w:t>
      </w:r>
      <w:r>
        <w:rPr>
          <w:rFonts w:hint="eastAsia" w:ascii="仿宋_GB2312" w:hAnsi="仿宋_GB2312" w:eastAsia="仿宋_GB2312" w:cs="仿宋_GB2312"/>
          <w:color w:val="auto"/>
          <w:kern w:val="0"/>
          <w:szCs w:val="21"/>
          <w:highlight w:val="none"/>
        </w:rPr>
        <w:t xml:space="preserve"> </w:t>
      </w:r>
    </w:p>
    <w:p w14:paraId="0E44DA24">
      <w:pPr>
        <w:widowControl/>
        <w:snapToGrid w:val="0"/>
        <w:spacing w:line="360" w:lineRule="auto"/>
        <w:ind w:left="420"/>
        <w:rPr>
          <w:rFonts w:hint="default" w:ascii="仿宋_GB2312" w:hAnsi="仿宋_GB2312" w:eastAsia="仿宋_GB2312" w:cs="仿宋_GB2312"/>
          <w:color w:val="auto"/>
          <w:kern w:val="0"/>
          <w:szCs w:val="21"/>
          <w:highlight w:val="none"/>
          <w:u w:val="single"/>
          <w:lang w:val="en-US" w:eastAsia="zh-CN"/>
        </w:rPr>
      </w:pPr>
      <w:r>
        <w:rPr>
          <w:rFonts w:hint="eastAsia" w:ascii="仿宋_GB2312" w:hAnsi="仿宋_GB2312" w:eastAsia="仿宋_GB2312" w:cs="仿宋_GB2312"/>
          <w:color w:val="auto"/>
          <w:kern w:val="0"/>
          <w:szCs w:val="21"/>
          <w:highlight w:val="none"/>
        </w:rPr>
        <w:t>三、工程地点：</w:t>
      </w:r>
      <w:r>
        <w:rPr>
          <w:rFonts w:hint="default" w:ascii="仿宋_GB2312" w:hAnsi="仿宋_GB2312" w:eastAsia="仿宋_GB2312" w:cs="仿宋_GB2312"/>
          <w:color w:val="auto"/>
          <w:kern w:val="0"/>
          <w:szCs w:val="21"/>
          <w:highlight w:val="none"/>
          <w:u w:val="single"/>
          <w:lang w:val="en-US" w:eastAsia="zh-CN"/>
        </w:rPr>
        <w:t>东莞</w:t>
      </w:r>
      <w:r>
        <w:rPr>
          <w:rFonts w:hint="eastAsia" w:ascii="仿宋_GB2312" w:hAnsi="仿宋_GB2312" w:eastAsia="仿宋_GB2312" w:cs="仿宋_GB2312"/>
          <w:color w:val="auto"/>
          <w:kern w:val="0"/>
          <w:szCs w:val="21"/>
          <w:highlight w:val="none"/>
          <w:u w:val="single"/>
          <w:lang w:val="en-US" w:eastAsia="zh-CN"/>
        </w:rPr>
        <w:t>万江</w:t>
      </w:r>
    </w:p>
    <w:p w14:paraId="5E280872">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四、采购限价：</w:t>
      </w:r>
    </w:p>
    <w:p w14:paraId="189E6720">
      <w:pPr>
        <w:spacing w:line="360" w:lineRule="auto"/>
        <w:ind w:firstLine="420" w:firstLineChars="200"/>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本</w:t>
      </w:r>
      <w:r>
        <w:rPr>
          <w:rFonts w:hint="eastAsia" w:ascii="仿宋_GB2312" w:hAnsi="仿宋_GB2312" w:eastAsia="仿宋_GB2312" w:cs="仿宋_GB2312"/>
          <w:color w:val="auto"/>
          <w:kern w:val="0"/>
          <w:szCs w:val="21"/>
          <w:highlight w:val="none"/>
          <w:lang w:val="en-US" w:eastAsia="zh-CN"/>
        </w:rPr>
        <w:t>项目采购限价为¥620896.32元（含税3%），(大写) 人民币陆拾贰万零捌佰玖拾陆元叁角贰分；其中不含税工程价款为:(小写)¥602811.96元，(大写)人民币陆拾万零贰仟捌佰壹拾壹元玖角陆分;税金:(小写)¥18084.36元，(大写)人民币壹万捌仟零捌拾肆元叁角陆分。（投标人报价不得高于采购限价）</w:t>
      </w:r>
    </w:p>
    <w:p w14:paraId="31AF9566">
      <w:pPr>
        <w:pageBreakBefore w:val="0"/>
        <w:widowControl/>
        <w:numPr>
          <w:ilvl w:val="0"/>
          <w:numId w:val="2"/>
        </w:numPr>
        <w:kinsoku/>
        <w:wordWrap w:val="0"/>
        <w:overflowPunct/>
        <w:topLinePunct w:val="0"/>
        <w:autoSpaceDE/>
        <w:autoSpaceDN/>
        <w:bidi w:val="0"/>
        <w:adjustRightInd/>
        <w:snapToGrid/>
        <w:spacing w:line="360" w:lineRule="auto"/>
        <w:ind w:firstLine="420" w:firstLineChars="200"/>
        <w:jc w:val="left"/>
        <w:textAlignment w:val="auto"/>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工程概况：东莞市三江六岸滨水岸线示范段项目二期工程位于东莞主城区万江街道金曲路，塔园覆土建筑面积为:633m2,建筑高度:4.00m，包括但不限于:装饰工程、给排水工程、电气工程、弱电工程、消防工程、通风工程等。以上招标范围未尽事宜，详见招标图纸和技术要求，并满足设计文件的要求。</w:t>
      </w:r>
    </w:p>
    <w:p w14:paraId="1B125830">
      <w:pPr>
        <w:keepNext w:val="0"/>
        <w:keepLines w:val="0"/>
        <w:pageBreakBefore w:val="0"/>
        <w:widowControl/>
        <w:kinsoku/>
        <w:wordWrap/>
        <w:overflowPunct/>
        <w:topLinePunct w:val="0"/>
        <w:autoSpaceDE/>
        <w:autoSpaceDN/>
        <w:bidi w:val="0"/>
        <w:adjustRightInd/>
        <w:snapToGrid w:val="0"/>
        <w:spacing w:line="360" w:lineRule="auto"/>
        <w:ind w:firstLine="367" w:firstLineChars="175"/>
        <w:textAlignment w:val="auto"/>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六、工程范围：</w:t>
      </w:r>
    </w:p>
    <w:p w14:paraId="58B6235C">
      <w:pPr>
        <w:pageBreakBefore w:val="0"/>
        <w:widowControl/>
        <w:numPr>
          <w:ilvl w:val="0"/>
          <w:numId w:val="0"/>
        </w:numPr>
        <w:kinsoku/>
        <w:wordWrap w:val="0"/>
        <w:overflowPunct/>
        <w:topLinePunct w:val="0"/>
        <w:autoSpaceDE/>
        <w:autoSpaceDN/>
        <w:bidi w:val="0"/>
        <w:adjustRightInd/>
        <w:snapToGrid/>
        <w:spacing w:line="360" w:lineRule="auto"/>
        <w:ind w:firstLine="420" w:firstLineChars="200"/>
        <w:jc w:val="left"/>
        <w:textAlignment w:val="auto"/>
        <w:rPr>
          <w:rFonts w:hint="default"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1、本工程包括</w:t>
      </w:r>
      <w:r>
        <w:rPr>
          <w:rFonts w:hint="eastAsia" w:ascii="仿宋_GB2312" w:hAnsi="仿宋_GB2312" w:eastAsia="仿宋_GB2312" w:cs="仿宋_GB2312"/>
          <w:b w:val="0"/>
          <w:bCs w:val="0"/>
          <w:color w:val="auto"/>
          <w:kern w:val="0"/>
          <w:sz w:val="21"/>
          <w:szCs w:val="21"/>
          <w:highlight w:val="none"/>
          <w:lang w:val="zh-CN" w:eastAsia="zh-CN"/>
        </w:rPr>
        <w:t>基础垫层、主体混凝土工程、钢筋工程、模板工程、砌筑工程、内外墙抹灰工程、脚手架搭设、零星用工、安全文明施工等。</w:t>
      </w:r>
    </w:p>
    <w:p w14:paraId="2BA7D4AE">
      <w:pPr>
        <w:pageBreakBefore w:val="0"/>
        <w:widowControl/>
        <w:numPr>
          <w:ilvl w:val="0"/>
          <w:numId w:val="0"/>
        </w:numPr>
        <w:kinsoku/>
        <w:wordWrap w:val="0"/>
        <w:overflowPunct/>
        <w:topLinePunct w:val="0"/>
        <w:autoSpaceDE/>
        <w:autoSpaceDN/>
        <w:bidi w:val="0"/>
        <w:adjustRightInd/>
        <w:snapToGrid/>
        <w:spacing w:line="360" w:lineRule="auto"/>
        <w:ind w:firstLine="420" w:firstLineChars="200"/>
        <w:jc w:val="left"/>
        <w:textAlignment w:val="auto"/>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2、安全文明施工项目包括不限于：施工场地的平整清理，红线范围内全部绿色施工安全防护相关维护，完成分包范围相关的安全文明施工，完成工程范围相关的临水、临电、安全警示标志牌、宣传标语、场容场貌维护、材料堆放整理、现场防火、工完场清。</w:t>
      </w:r>
    </w:p>
    <w:p w14:paraId="32EF7D57">
      <w:pPr>
        <w:pageBreakBefore w:val="0"/>
        <w:widowControl/>
        <w:numPr>
          <w:ilvl w:val="0"/>
          <w:numId w:val="0"/>
        </w:numPr>
        <w:kinsoku/>
        <w:wordWrap w:val="0"/>
        <w:overflowPunct/>
        <w:topLinePunct w:val="0"/>
        <w:autoSpaceDE/>
        <w:autoSpaceDN/>
        <w:bidi w:val="0"/>
        <w:adjustRightInd/>
        <w:snapToGrid/>
        <w:spacing w:line="360" w:lineRule="auto"/>
        <w:ind w:firstLine="420" w:firstLineChars="200"/>
        <w:jc w:val="left"/>
        <w:textAlignment w:val="auto"/>
        <w:rPr>
          <w:rFonts w:hint="default"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以上详见工程量清单及图纸。</w:t>
      </w:r>
    </w:p>
    <w:p w14:paraId="63D6337F">
      <w:pPr>
        <w:keepNext w:val="0"/>
        <w:keepLines w:val="0"/>
        <w:pageBreakBefore w:val="0"/>
        <w:widowControl/>
        <w:numPr>
          <w:ilvl w:val="0"/>
          <w:numId w:val="3"/>
        </w:numPr>
        <w:kinsoku/>
        <w:wordWrap/>
        <w:overflowPunct/>
        <w:topLinePunct w:val="0"/>
        <w:autoSpaceDE/>
        <w:autoSpaceDN/>
        <w:bidi w:val="0"/>
        <w:adjustRightInd/>
        <w:snapToGrid w:val="0"/>
        <w:spacing w:line="360" w:lineRule="auto"/>
        <w:ind w:firstLine="367" w:firstLineChars="175"/>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承包方式：</w:t>
      </w:r>
    </w:p>
    <w:p w14:paraId="778E3EE4">
      <w:pPr>
        <w:pageBreakBefore w:val="0"/>
        <w:widowControl/>
        <w:numPr>
          <w:ilvl w:val="0"/>
          <w:numId w:val="0"/>
        </w:numPr>
        <w:kinsoku/>
        <w:wordWrap w:val="0"/>
        <w:overflowPunct/>
        <w:topLinePunct w:val="0"/>
        <w:autoSpaceDE/>
        <w:autoSpaceDN/>
        <w:bidi w:val="0"/>
        <w:adjustRightInd/>
        <w:snapToGrid/>
        <w:spacing w:line="360" w:lineRule="auto"/>
        <w:ind w:firstLine="420" w:firstLineChars="200"/>
        <w:jc w:val="lef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b w:val="0"/>
          <w:bCs w:val="0"/>
          <w:color w:val="auto"/>
          <w:kern w:val="0"/>
          <w:sz w:val="21"/>
          <w:szCs w:val="21"/>
          <w:highlight w:val="none"/>
          <w:lang w:val="en-US" w:eastAsia="zh-CN"/>
        </w:rPr>
        <w:t>包工、包材料（甲供材除外）、包机械设备（甲方提供除外）、包机械设备操作用工、包施工用水电设备及相关费用、包保险费用、包税金、包工期、包质量、包安全生产、包现场文明施工、包治安、包验收、包结算、包风险、包报建、包与其他分包单位的配合等、完成图纸所有工程内容的全部费用。</w:t>
      </w:r>
    </w:p>
    <w:p w14:paraId="2F6EBF30">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default" w:ascii="仿宋_GB2312" w:hAnsi="仿宋_GB2312" w:eastAsia="仿宋_GB2312" w:cs="仿宋_GB2312"/>
          <w:color w:val="auto"/>
          <w:kern w:val="0"/>
          <w:szCs w:val="21"/>
          <w:highlight w:val="none"/>
          <w:u w:val="single"/>
          <w:lang w:val="en-US" w:eastAsia="zh-CN"/>
        </w:rPr>
      </w:pPr>
      <w:r>
        <w:rPr>
          <w:rFonts w:hint="eastAsia" w:ascii="仿宋_GB2312" w:hAnsi="仿宋_GB2312" w:eastAsia="仿宋_GB2312" w:cs="仿宋_GB2312"/>
          <w:color w:val="auto"/>
          <w:kern w:val="0"/>
          <w:szCs w:val="21"/>
          <w:highlight w:val="none"/>
        </w:rPr>
        <w:t>2、甲供材：</w:t>
      </w:r>
      <w:r>
        <w:rPr>
          <w:rFonts w:hint="eastAsia" w:ascii="仿宋_GB2312" w:hAnsi="仿宋_GB2312" w:eastAsia="仿宋_GB2312" w:cs="仿宋_GB2312"/>
          <w:color w:val="auto"/>
          <w:kern w:val="0"/>
          <w:szCs w:val="21"/>
          <w:highlight w:val="none"/>
          <w:lang w:val="en-US" w:eastAsia="zh-CN"/>
        </w:rPr>
        <w:t>详见报价清单甲供材</w:t>
      </w:r>
    </w:p>
    <w:p w14:paraId="3452204A">
      <w:pPr>
        <w:keepNext w:val="0"/>
        <w:keepLines w:val="0"/>
        <w:pageBreakBefore w:val="0"/>
        <w:widowControl/>
        <w:kinsoku/>
        <w:wordWrap/>
        <w:overflowPunct/>
        <w:topLinePunct w:val="0"/>
        <w:autoSpaceDE/>
        <w:autoSpaceDN/>
        <w:bidi w:val="0"/>
        <w:adjustRightInd/>
        <w:snapToGrid w:val="0"/>
        <w:spacing w:line="360" w:lineRule="auto"/>
        <w:ind w:firstLine="367" w:firstLineChars="175"/>
        <w:textAlignment w:val="auto"/>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color w:val="auto"/>
          <w:kern w:val="0"/>
          <w:szCs w:val="21"/>
          <w:highlight w:val="none"/>
        </w:rPr>
        <w:t>八、工期：</w:t>
      </w:r>
      <w:r>
        <w:rPr>
          <w:rFonts w:hint="eastAsia" w:ascii="仿宋_GB2312" w:hAnsi="仿宋_GB2312" w:eastAsia="仿宋_GB2312" w:cs="仿宋_GB2312"/>
          <w:color w:val="auto"/>
          <w:kern w:val="0"/>
          <w:szCs w:val="21"/>
          <w:highlight w:val="none"/>
          <w:lang w:val="en-US" w:eastAsia="zh-CN"/>
        </w:rPr>
        <w:t>计划</w:t>
      </w:r>
      <w:r>
        <w:rPr>
          <w:rFonts w:hint="eastAsia" w:ascii="仿宋_GB2312" w:hAnsi="仿宋_GB2312" w:eastAsia="仿宋_GB2312" w:cs="仿宋_GB2312"/>
          <w:strike w:val="0"/>
          <w:dstrike w:val="0"/>
          <w:color w:val="auto"/>
          <w:kern w:val="0"/>
          <w:szCs w:val="21"/>
          <w:highlight w:val="none"/>
          <w:lang w:val="en-US" w:eastAsia="zh-CN"/>
        </w:rPr>
        <w:t>工期为90个日历天，具体施工时间根据项目部施工进度安排。乙方无条件配合甲方施工进度要求。</w:t>
      </w:r>
    </w:p>
    <w:p w14:paraId="343788BC">
      <w:pPr>
        <w:keepNext w:val="0"/>
        <w:keepLines w:val="0"/>
        <w:pageBreakBefore w:val="0"/>
        <w:widowControl/>
        <w:kinsoku/>
        <w:wordWrap/>
        <w:overflowPunct/>
        <w:topLinePunct w:val="0"/>
        <w:autoSpaceDE/>
        <w:autoSpaceDN/>
        <w:bidi w:val="0"/>
        <w:adjustRightInd/>
        <w:snapToGrid w:val="0"/>
        <w:spacing w:line="360" w:lineRule="auto"/>
        <w:ind w:firstLine="367" w:firstLineChars="175"/>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九、投标文件的递交时间及开标地点：以密封形式于</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2026</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年</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9</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月</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 xml:space="preserve">06 </w:t>
      </w:r>
      <w:r>
        <w:rPr>
          <w:rFonts w:hint="eastAsia" w:ascii="仿宋_GB2312" w:hAnsi="仿宋_GB2312" w:eastAsia="仿宋_GB2312" w:cs="仿宋_GB2312"/>
          <w:color w:val="auto"/>
          <w:kern w:val="0"/>
          <w:szCs w:val="21"/>
          <w:highlight w:val="none"/>
        </w:rPr>
        <w:t>日</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15</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时</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00</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分前递交，截止时间为</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2026</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年</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09</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月</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 xml:space="preserve">06 </w:t>
      </w:r>
      <w:r>
        <w:rPr>
          <w:rFonts w:hint="eastAsia" w:ascii="仿宋_GB2312" w:hAnsi="仿宋_GB2312" w:eastAsia="仿宋_GB2312" w:cs="仿宋_GB2312"/>
          <w:color w:val="auto"/>
          <w:kern w:val="0"/>
          <w:szCs w:val="21"/>
          <w:highlight w:val="none"/>
        </w:rPr>
        <w:t>日</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15</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时</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00</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分，所有应答文件必须在规定的应答截止时间前按规定地址送达采购人，逾期恕不接受。</w:t>
      </w:r>
    </w:p>
    <w:p w14:paraId="4A513D08">
      <w:pPr>
        <w:keepNext w:val="0"/>
        <w:keepLines w:val="0"/>
        <w:pageBreakBefore w:val="0"/>
        <w:widowControl/>
        <w:kinsoku/>
        <w:wordWrap/>
        <w:overflowPunct/>
        <w:topLinePunct w:val="0"/>
        <w:autoSpaceDE/>
        <w:autoSpaceDN/>
        <w:bidi w:val="0"/>
        <w:adjustRightInd/>
        <w:snapToGrid w:val="0"/>
        <w:spacing w:line="360" w:lineRule="auto"/>
        <w:ind w:firstLine="630" w:firstLineChars="300"/>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开标地址：东莞市南城街道城市风景街8栋</w:t>
      </w:r>
      <w:r>
        <w:rPr>
          <w:rFonts w:hint="eastAsia" w:ascii="仿宋_GB2312" w:hAnsi="仿宋_GB2312" w:eastAsia="仿宋_GB2312" w:cs="仿宋_GB2312"/>
          <w:color w:val="auto"/>
          <w:kern w:val="0"/>
          <w:szCs w:val="21"/>
          <w:highlight w:val="none"/>
          <w:lang w:val="en-US" w:eastAsia="zh-CN"/>
        </w:rPr>
        <w:t>4楼</w:t>
      </w:r>
      <w:r>
        <w:rPr>
          <w:rFonts w:hint="eastAsia" w:ascii="仿宋_GB2312" w:hAnsi="仿宋_GB2312" w:eastAsia="仿宋_GB2312" w:cs="仿宋_GB2312"/>
          <w:color w:val="auto"/>
          <w:kern w:val="0"/>
          <w:szCs w:val="21"/>
          <w:highlight w:val="none"/>
        </w:rPr>
        <w:t>城工集团开标室。</w:t>
      </w:r>
    </w:p>
    <w:p w14:paraId="4E076E10">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十、注意事项：</w:t>
      </w:r>
    </w:p>
    <w:p w14:paraId="3BD0A2F2">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1、投标人必须全面响应采购文件要求，投标人任何附加条件采购人一律不接受或视为废标。</w:t>
      </w:r>
    </w:p>
    <w:p w14:paraId="50030D87">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2、中标人严禁有挂靠或者违法转包行为。</w:t>
      </w:r>
    </w:p>
    <w:p w14:paraId="4E3D37B2">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3、投标文件严禁出现不平衡报价。</w:t>
      </w:r>
    </w:p>
    <w:p w14:paraId="66258416">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4、质量要求：现行的施工规范要求及用户需求书列明的质量管控要求。</w:t>
      </w:r>
    </w:p>
    <w:p w14:paraId="41E4BB48">
      <w:pPr>
        <w:widowControl/>
        <w:snapToGrid w:val="0"/>
        <w:spacing w:line="360" w:lineRule="auto"/>
        <w:ind w:firstLine="367" w:firstLineChars="175"/>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b w:val="0"/>
          <w:bCs w:val="0"/>
          <w:color w:val="auto"/>
          <w:kern w:val="0"/>
          <w:szCs w:val="21"/>
          <w:highlight w:val="none"/>
        </w:rPr>
        <w:t>5、</w:t>
      </w:r>
      <w:r>
        <w:rPr>
          <w:rFonts w:hint="eastAsia" w:ascii="仿宋_GB2312" w:hAnsi="仿宋_GB2312" w:eastAsia="仿宋_GB2312" w:cs="仿宋_GB2312"/>
          <w:b w:val="0"/>
          <w:bCs w:val="0"/>
          <w:color w:val="auto"/>
          <w:kern w:val="0"/>
          <w:szCs w:val="21"/>
          <w:highlight w:val="none"/>
          <w:lang w:val="en-US" w:eastAsia="zh-CN"/>
        </w:rPr>
        <w:t>本工程要求开具工人工资支付保函：</w:t>
      </w:r>
      <w:r>
        <w:rPr>
          <w:rFonts w:hint="eastAsia" w:ascii="仿宋_GB2312" w:hAnsi="仿宋_GB2312" w:eastAsia="仿宋_GB2312" w:cs="仿宋_GB2312"/>
          <w:color w:val="auto"/>
          <w:kern w:val="0"/>
          <w:szCs w:val="21"/>
          <w:highlight w:val="none"/>
          <w:lang w:val="en-US" w:eastAsia="zh-CN"/>
        </w:rPr>
        <w:t>劳务施工单位需要提供合同总额10%的工人工资支付保函。</w:t>
      </w:r>
    </w:p>
    <w:p w14:paraId="031BDD61">
      <w:pPr>
        <w:widowControl/>
        <w:snapToGrid w:val="0"/>
        <w:spacing w:line="360" w:lineRule="auto"/>
        <w:ind w:firstLine="367" w:firstLineChars="175"/>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6、本项目履约保证金：</w:t>
      </w:r>
      <w:r>
        <w:rPr>
          <w:rFonts w:hint="eastAsia" w:ascii="仿宋_GB2312" w:hAnsi="仿宋_GB2312" w:eastAsia="仿宋_GB2312" w:cs="仿宋_GB2312"/>
          <w:b/>
          <w:bCs/>
          <w:color w:val="auto"/>
          <w:kern w:val="0"/>
          <w:szCs w:val="21"/>
          <w:highlight w:val="none"/>
          <w:lang w:val="en-US" w:eastAsia="zh-CN"/>
        </w:rPr>
        <w:t>设立</w:t>
      </w:r>
      <w:r>
        <w:rPr>
          <w:rFonts w:hint="eastAsia" w:ascii="仿宋_GB2312" w:hAnsi="仿宋_GB2312" w:eastAsia="仿宋_GB2312" w:cs="仿宋_GB2312"/>
          <w:color w:val="auto"/>
          <w:kern w:val="0"/>
          <w:szCs w:val="21"/>
          <w:highlight w:val="none"/>
          <w:lang w:val="en-US" w:eastAsia="zh-CN"/>
        </w:rPr>
        <w:t>（详见合同条款约定第十二条）</w:t>
      </w:r>
    </w:p>
    <w:p w14:paraId="77ED5F93">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十一、采购文件获取：</w:t>
      </w:r>
    </w:p>
    <w:p w14:paraId="33732528">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城工集团公司官网（http://www.dggcc.cn）。</w:t>
      </w:r>
      <w:r>
        <w:rPr>
          <w:rFonts w:hint="eastAsia" w:ascii="仿宋_GB2312" w:hAnsi="仿宋_GB2312" w:eastAsia="仿宋_GB2312" w:cs="仿宋_GB2312"/>
          <w:color w:val="auto"/>
          <w:kern w:val="0"/>
          <w:szCs w:val="21"/>
          <w:highlight w:val="none"/>
          <w:lang w:val="en-US" w:eastAsia="zh-CN"/>
        </w:rPr>
        <w:t>东实集团官网（http://www.dgsy.com.cn）。</w:t>
      </w:r>
    </w:p>
    <w:p w14:paraId="297CA3EA">
      <w:pPr>
        <w:widowControl/>
        <w:snapToGrid w:val="0"/>
        <w:spacing w:line="360" w:lineRule="auto"/>
        <w:ind w:firstLine="367" w:firstLineChars="175"/>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十二、其他及特别内容说明：</w:t>
      </w:r>
      <w:r>
        <w:rPr>
          <w:rFonts w:hint="eastAsia" w:ascii="仿宋_GB2312" w:hAnsi="仿宋_GB2312" w:eastAsia="仿宋_GB2312" w:cs="仿宋_GB2312"/>
          <w:color w:val="auto"/>
          <w:kern w:val="0"/>
          <w:szCs w:val="21"/>
          <w:highlight w:val="none"/>
          <w:lang w:val="en-US" w:eastAsia="zh-CN"/>
        </w:rPr>
        <w:t>无。</w:t>
      </w:r>
    </w:p>
    <w:p w14:paraId="51627376">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xml:space="preserve">十三、有关此次采购答疑事宜，按下列地址以书面或电话形式向采购人查询：  </w:t>
      </w:r>
    </w:p>
    <w:p w14:paraId="3287F39F">
      <w:pPr>
        <w:widowControl/>
        <w:snapToGrid w:val="0"/>
        <w:spacing w:line="360" w:lineRule="auto"/>
        <w:ind w:firstLine="840" w:firstLineChars="400"/>
        <w:rPr>
          <w:rFonts w:hint="eastAsia" w:ascii="仿宋_GB2312" w:hAnsi="仿宋_GB2312" w:eastAsia="仿宋_GB2312" w:cs="仿宋_GB2312"/>
          <w:color w:val="auto"/>
          <w:kern w:val="0"/>
          <w:szCs w:val="21"/>
          <w:highlight w:val="none"/>
          <w:lang w:eastAsia="zh-CN"/>
        </w:rPr>
      </w:pPr>
      <w:r>
        <w:rPr>
          <w:rFonts w:hint="eastAsia" w:ascii="仿宋_GB2312" w:hAnsi="仿宋_GB2312" w:eastAsia="仿宋_GB2312" w:cs="仿宋_GB2312"/>
          <w:color w:val="auto"/>
          <w:kern w:val="0"/>
          <w:szCs w:val="21"/>
          <w:highlight w:val="none"/>
        </w:rPr>
        <w:t>采购人：</w:t>
      </w:r>
      <w:r>
        <w:rPr>
          <w:rFonts w:hint="eastAsia" w:ascii="仿宋_GB2312" w:hAnsi="仿宋_GB2312" w:eastAsia="仿宋_GB2312" w:cs="仿宋_GB2312"/>
          <w:color w:val="auto"/>
          <w:kern w:val="0"/>
          <w:szCs w:val="21"/>
          <w:highlight w:val="none"/>
          <w:lang w:eastAsia="zh-CN"/>
        </w:rPr>
        <w:t>东莞市城市工程建设集团有限公司</w:t>
      </w:r>
    </w:p>
    <w:p w14:paraId="1F651AC5">
      <w:pPr>
        <w:widowControl/>
        <w:snapToGrid w:val="0"/>
        <w:spacing w:line="360" w:lineRule="auto"/>
        <w:ind w:firstLine="840" w:firstLineChars="400"/>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地址：东莞市南城区城市风景街8栋城工集团</w:t>
      </w:r>
      <w:r>
        <w:rPr>
          <w:rFonts w:hint="eastAsia" w:ascii="仿宋_GB2312" w:hAnsi="仿宋_GB2312" w:eastAsia="仿宋_GB2312" w:cs="仿宋_GB2312"/>
          <w:color w:val="auto"/>
          <w:kern w:val="0"/>
          <w:szCs w:val="21"/>
          <w:highlight w:val="none"/>
          <w:lang w:val="en-US" w:eastAsia="zh-CN"/>
        </w:rPr>
        <w:t>7</w:t>
      </w:r>
      <w:r>
        <w:rPr>
          <w:rFonts w:hint="eastAsia" w:ascii="仿宋_GB2312" w:hAnsi="仿宋_GB2312" w:eastAsia="仿宋_GB2312" w:cs="仿宋_GB2312"/>
          <w:color w:val="auto"/>
          <w:kern w:val="0"/>
          <w:szCs w:val="21"/>
          <w:highlight w:val="none"/>
        </w:rPr>
        <w:t>层。</w:t>
      </w:r>
    </w:p>
    <w:p w14:paraId="047D9E5D">
      <w:pPr>
        <w:widowControl/>
        <w:snapToGrid w:val="0"/>
        <w:spacing w:line="360" w:lineRule="auto"/>
        <w:ind w:firstLine="840" w:firstLineChars="400"/>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联系人：</w:t>
      </w:r>
      <w:r>
        <w:rPr>
          <w:rFonts w:hint="eastAsia" w:ascii="仿宋_GB2312" w:hAnsi="仿宋_GB2312" w:eastAsia="仿宋_GB2312" w:cs="仿宋_GB2312"/>
          <w:color w:val="auto"/>
          <w:kern w:val="0"/>
          <w:szCs w:val="21"/>
          <w:highlight w:val="none"/>
          <w:lang w:val="en-US" w:eastAsia="zh-CN"/>
        </w:rPr>
        <w:t>黄</w:t>
      </w:r>
      <w:r>
        <w:rPr>
          <w:rFonts w:hint="eastAsia" w:ascii="仿宋_GB2312" w:hAnsi="仿宋_GB2312" w:eastAsia="仿宋_GB2312" w:cs="仿宋_GB2312"/>
          <w:color w:val="auto"/>
          <w:kern w:val="0"/>
          <w:szCs w:val="21"/>
          <w:highlight w:val="none"/>
        </w:rPr>
        <w:t>工                   邮政编码：523000</w:t>
      </w:r>
    </w:p>
    <w:p w14:paraId="70C94DD5">
      <w:pPr>
        <w:widowControl/>
        <w:snapToGrid w:val="0"/>
        <w:spacing w:line="360" w:lineRule="auto"/>
        <w:ind w:firstLine="840" w:firstLineChars="400"/>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联系方式：</w:t>
      </w:r>
      <w:r>
        <w:rPr>
          <w:rFonts w:hint="eastAsia" w:ascii="仿宋_GB2312" w:hAnsi="仿宋_GB2312" w:eastAsia="仿宋_GB2312" w:cs="仿宋_GB2312"/>
          <w:color w:val="auto"/>
          <w:kern w:val="0"/>
          <w:szCs w:val="21"/>
          <w:highlight w:val="none"/>
          <w:lang w:val="en-US" w:eastAsia="zh-CN"/>
        </w:rPr>
        <w:t>15017133726</w:t>
      </w:r>
      <w:r>
        <w:rPr>
          <w:rFonts w:hint="eastAsia" w:ascii="仿宋_GB2312" w:hAnsi="仿宋_GB2312" w:eastAsia="仿宋_GB2312" w:cs="仿宋_GB2312"/>
          <w:color w:val="auto"/>
          <w:kern w:val="0"/>
          <w:szCs w:val="21"/>
          <w:highlight w:val="none"/>
        </w:rPr>
        <w:t xml:space="preserve">         传真：0769-39009090</w:t>
      </w:r>
    </w:p>
    <w:p w14:paraId="4583C87F">
      <w:pPr>
        <w:widowControl/>
        <w:snapToGrid w:val="0"/>
        <w:spacing w:line="360" w:lineRule="auto"/>
        <w:ind w:firstLine="840" w:firstLineChars="400"/>
        <w:rPr>
          <w:rFonts w:hint="eastAsia" w:ascii="仿宋_GB2312" w:hAnsi="仿宋_GB2312" w:eastAsia="仿宋_GB2312" w:cs="仿宋_GB2312"/>
          <w:color w:val="auto"/>
          <w:kern w:val="0"/>
          <w:szCs w:val="21"/>
          <w:highlight w:val="none"/>
        </w:rPr>
      </w:pPr>
    </w:p>
    <w:p w14:paraId="3F3C52B7">
      <w:pPr>
        <w:widowControl/>
        <w:snapToGrid w:val="0"/>
        <w:spacing w:line="360" w:lineRule="auto"/>
        <w:ind w:firstLine="840" w:firstLineChars="400"/>
        <w:rPr>
          <w:rFonts w:hint="eastAsia" w:ascii="仿宋_GB2312" w:hAnsi="仿宋_GB2312" w:eastAsia="仿宋_GB2312" w:cs="仿宋_GB2312"/>
          <w:color w:val="auto"/>
          <w:kern w:val="0"/>
          <w:szCs w:val="21"/>
          <w:highlight w:val="none"/>
        </w:rPr>
      </w:pPr>
      <w:bookmarkStart w:id="0" w:name="_GoBack"/>
      <w:bookmarkEnd w:id="0"/>
    </w:p>
    <w:p w14:paraId="03E1FB5E">
      <w:pPr>
        <w:widowControl/>
        <w:snapToGrid w:val="0"/>
        <w:spacing w:line="360" w:lineRule="auto"/>
        <w:ind w:firstLine="840" w:firstLineChars="400"/>
        <w:rPr>
          <w:rFonts w:hint="eastAsia" w:ascii="仿宋_GB2312" w:hAnsi="仿宋_GB2312" w:eastAsia="仿宋_GB2312" w:cs="仿宋_GB2312"/>
          <w:color w:val="auto"/>
          <w:kern w:val="0"/>
          <w:szCs w:val="21"/>
          <w:highlight w:val="none"/>
        </w:rPr>
      </w:pPr>
    </w:p>
    <w:p w14:paraId="2032DBF2">
      <w:pPr>
        <w:widowControl/>
        <w:snapToGrid w:val="0"/>
        <w:spacing w:line="480" w:lineRule="auto"/>
        <w:ind w:firstLine="640"/>
        <w:jc w:val="right"/>
        <w:rPr>
          <w:rFonts w:hint="eastAsia" w:ascii="仿宋_GB2312" w:hAnsi="仿宋_GB2312" w:eastAsia="仿宋_GB2312" w:cs="仿宋_GB2312"/>
          <w:color w:val="auto"/>
          <w:kern w:val="0"/>
          <w:szCs w:val="21"/>
          <w:highlight w:val="none"/>
        </w:rPr>
      </w:pPr>
    </w:p>
    <w:p w14:paraId="0C9220EC">
      <w:pPr>
        <w:widowControl/>
        <w:snapToGrid w:val="0"/>
        <w:spacing w:line="480" w:lineRule="auto"/>
        <w:ind w:firstLine="640"/>
        <w:jc w:val="right"/>
        <w:rPr>
          <w:rFonts w:hint="eastAsia" w:ascii="仿宋_GB2312" w:hAnsi="仿宋_GB2312" w:eastAsia="仿宋_GB2312" w:cs="仿宋_GB2312"/>
          <w:color w:val="auto"/>
          <w:kern w:val="0"/>
          <w:szCs w:val="21"/>
          <w:highlight w:val="none"/>
          <w:lang w:eastAsia="zh-CN"/>
        </w:rPr>
      </w:pPr>
      <w:r>
        <w:rPr>
          <w:rFonts w:hint="eastAsia" w:ascii="仿宋_GB2312" w:hAnsi="仿宋_GB2312" w:eastAsia="仿宋_GB2312" w:cs="仿宋_GB2312"/>
          <w:color w:val="auto"/>
          <w:kern w:val="0"/>
          <w:szCs w:val="21"/>
          <w:highlight w:val="none"/>
          <w:lang w:eastAsia="zh-CN"/>
        </w:rPr>
        <w:t>东莞市城市工程建设集团有限公司</w:t>
      </w:r>
    </w:p>
    <w:p w14:paraId="29292FE7">
      <w:pPr>
        <w:jc w:val="right"/>
      </w:pPr>
      <w:r>
        <w:rPr>
          <w:rFonts w:hint="eastAsia" w:ascii="仿宋_GB2312" w:hAnsi="仿宋_GB2312" w:eastAsia="仿宋_GB2312" w:cs="仿宋_GB2312"/>
          <w:color w:val="auto"/>
          <w:kern w:val="0"/>
          <w:szCs w:val="21"/>
          <w:highlight w:val="none"/>
        </w:rPr>
        <w:t xml:space="preserve"> </w:t>
      </w:r>
      <w:r>
        <w:rPr>
          <w:rFonts w:hint="eastAsia" w:ascii="仿宋_GB2312" w:hAnsi="仿宋_GB2312" w:eastAsia="仿宋_GB2312" w:cs="仿宋_GB2312"/>
          <w:color w:val="auto"/>
          <w:kern w:val="0"/>
          <w:szCs w:val="21"/>
          <w:highlight w:val="none"/>
          <w:lang w:val="en-US" w:eastAsia="zh-CN"/>
        </w:rPr>
        <w:t xml:space="preserve"> 2026</w:t>
      </w:r>
      <w:r>
        <w:rPr>
          <w:rFonts w:hint="eastAsia" w:ascii="仿宋_GB2312" w:hAnsi="仿宋_GB2312" w:eastAsia="仿宋_GB2312" w:cs="仿宋_GB2312"/>
          <w:color w:val="auto"/>
          <w:kern w:val="0"/>
          <w:szCs w:val="21"/>
          <w:highlight w:val="none"/>
        </w:rPr>
        <w:t>年</w:t>
      </w:r>
      <w:r>
        <w:rPr>
          <w:rFonts w:hint="eastAsia" w:ascii="仿宋_GB2312" w:hAnsi="仿宋_GB2312" w:eastAsia="仿宋_GB2312" w:cs="仿宋_GB2312"/>
          <w:color w:val="auto"/>
          <w:kern w:val="0"/>
          <w:szCs w:val="21"/>
          <w:highlight w:val="none"/>
          <w:lang w:val="en-US" w:eastAsia="zh-CN"/>
        </w:rPr>
        <w:t>09</w:t>
      </w:r>
      <w:r>
        <w:rPr>
          <w:rFonts w:hint="eastAsia" w:ascii="仿宋_GB2312" w:hAnsi="仿宋_GB2312" w:eastAsia="仿宋_GB2312" w:cs="仿宋_GB2312"/>
          <w:color w:val="auto"/>
          <w:kern w:val="0"/>
          <w:szCs w:val="21"/>
          <w:highlight w:val="none"/>
        </w:rPr>
        <w:t>月</w:t>
      </w:r>
      <w:r>
        <w:rPr>
          <w:rFonts w:hint="eastAsia" w:ascii="仿宋_GB2312" w:hAnsi="仿宋_GB2312" w:eastAsia="仿宋_GB2312" w:cs="仿宋_GB2312"/>
          <w:color w:val="auto"/>
          <w:kern w:val="0"/>
          <w:szCs w:val="21"/>
          <w:highlight w:val="none"/>
          <w:lang w:val="en-US" w:eastAsia="zh-CN"/>
        </w:rPr>
        <w:t xml:space="preserve"> 01 </w:t>
      </w:r>
      <w:r>
        <w:rPr>
          <w:rFonts w:hint="eastAsia" w:ascii="仿宋_GB2312" w:hAnsi="仿宋_GB2312" w:eastAsia="仿宋_GB2312" w:cs="仿宋_GB2312"/>
          <w:color w:val="auto"/>
          <w:kern w:val="0"/>
          <w:szCs w:val="21"/>
          <w:highlight w:val="none"/>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8EEF5"/>
    <w:multiLevelType w:val="singleLevel"/>
    <w:tmpl w:val="80E8EEF5"/>
    <w:lvl w:ilvl="0" w:tentative="0">
      <w:start w:val="1"/>
      <w:numFmt w:val="chineseCounting"/>
      <w:suff w:val="nothing"/>
      <w:lvlText w:val="%1、"/>
      <w:lvlJc w:val="left"/>
      <w:pPr>
        <w:ind w:left="0" w:firstLine="420"/>
      </w:pPr>
      <w:rPr>
        <w:rFonts w:hint="eastAsia"/>
      </w:rPr>
    </w:lvl>
  </w:abstractNum>
  <w:abstractNum w:abstractNumId="1">
    <w:nsid w:val="22B18FD9"/>
    <w:multiLevelType w:val="singleLevel"/>
    <w:tmpl w:val="22B18FD9"/>
    <w:lvl w:ilvl="0" w:tentative="0">
      <w:start w:val="5"/>
      <w:numFmt w:val="chineseCounting"/>
      <w:suff w:val="nothing"/>
      <w:lvlText w:val="%1、"/>
      <w:lvlJc w:val="left"/>
      <w:rPr>
        <w:rFonts w:hint="eastAsia"/>
      </w:rPr>
    </w:lvl>
  </w:abstractNum>
  <w:abstractNum w:abstractNumId="2">
    <w:nsid w:val="3E9D9673"/>
    <w:multiLevelType w:val="singleLevel"/>
    <w:tmpl w:val="3E9D9673"/>
    <w:lvl w:ilvl="0" w:tentative="0">
      <w:start w:val="7"/>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855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2026-09-01T02:19:08Z</dcterms:created>
  <dc:creator>lenovo</dc:creator>
  <cp:lastModifiedBy>黄惠东</cp:lastModifiedBy>
  <dcterms:modified xsi:type="dcterms:W3CDTF">2026-09-01T02:19:40Z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eyJoZGlkIjoiMDVhNGUzYzIxMzZiNGUwYjk4M2NhYzM1YTAzMjk5NTIiLCJ1c2VySWQiOiIxNTgyODExNDczIn0=</vt:lpwstr>
  </property>
  <property fmtid="{D5CDD505-2E9C-101B-9397-08002B2CF9AE}" pid="4" name="ICV">
    <vt:lpwstr>102DAFEE55074A9FB326FC55F0F87ED1_12</vt:lpwstr>
  </property>
</Properties>
</file>