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1BC0A6">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询价文件</w:t>
      </w:r>
    </w:p>
    <w:p w14:paraId="5DCD4C84">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eastAsia="仿宋_GB2312"/>
          <w:color w:val="auto"/>
          <w:sz w:val="32"/>
          <w:szCs w:val="32"/>
          <w:highlight w:val="none"/>
        </w:rPr>
      </w:pPr>
      <w:r>
        <w:rPr>
          <w:rFonts w:hint="eastAsia" w:ascii="Times New Roman" w:hAnsi="Times New Roman" w:eastAsia="仿宋_GB2312" w:cs="Times New Roman"/>
          <w:color w:val="auto"/>
          <w:kern w:val="2"/>
          <w:sz w:val="32"/>
          <w:szCs w:val="32"/>
          <w:highlight w:val="none"/>
          <w:u w:val="none"/>
          <w:lang w:val="en-US" w:eastAsia="zh-CN" w:bidi="ar-SA"/>
        </w:rPr>
        <w:t xml:space="preserve">    </w:t>
      </w:r>
      <w:r>
        <w:rPr>
          <w:rFonts w:hint="eastAsia" w:eastAsia="仿宋_GB2312"/>
          <w:sz w:val="32"/>
          <w:szCs w:val="32"/>
          <w:highlight w:val="none"/>
          <w:u w:val="single"/>
          <w:lang w:val="en-US" w:eastAsia="zh-CN"/>
        </w:rPr>
        <w:t>东莞市莞岭安居建设有限公司</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val="en-US" w:eastAsia="zh-CN"/>
        </w:rPr>
        <w:t xml:space="preserve">成本定价复核 </w:t>
      </w:r>
      <w:r>
        <w:rPr>
          <w:rFonts w:hint="eastAsia" w:eastAsia="仿宋_GB2312"/>
          <w:color w:val="auto"/>
          <w:sz w:val="32"/>
          <w:szCs w:val="32"/>
          <w:highlight w:val="none"/>
        </w:rPr>
        <w:t>单位，现将相关情况介绍如下：</w:t>
      </w:r>
    </w:p>
    <w:p w14:paraId="36DC180A">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一、项目名称及内容</w:t>
      </w:r>
    </w:p>
    <w:p w14:paraId="2F619C42">
      <w:pPr>
        <w:adjustRightInd w:val="0"/>
        <w:snapToGrid w:val="0"/>
        <w:spacing w:line="600" w:lineRule="exact"/>
        <w:ind w:firstLine="640" w:firstLineChars="200"/>
        <w:rPr>
          <w:rFonts w:hint="eastAsia" w:eastAsia="仿宋_GB2312"/>
          <w:color w:val="auto"/>
          <w:sz w:val="32"/>
          <w:szCs w:val="32"/>
          <w:highlight w:val="none"/>
          <w:u w:val="singl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val="en-US" w:eastAsia="zh-CN"/>
        </w:rPr>
        <w:t>东实·晴翠苑项目成本定价复核服务（重新采购）；</w:t>
      </w:r>
    </w:p>
    <w:p w14:paraId="48293AD3">
      <w:pPr>
        <w:adjustRightInd w:val="0"/>
        <w:snapToGrid w:val="0"/>
        <w:spacing w:line="600" w:lineRule="exact"/>
        <w:ind w:firstLine="640" w:firstLineChars="200"/>
        <w:rPr>
          <w:rFonts w:hint="eastAsia" w:ascii="宋体" w:hAnsi="宋体"/>
          <w:sz w:val="18"/>
          <w:szCs w:val="18"/>
          <w:highlight w:val="none"/>
        </w:rPr>
      </w:pPr>
      <w:r>
        <w:rPr>
          <w:rFonts w:hint="eastAsia" w:eastAsia="仿宋_GB2312"/>
          <w:color w:val="auto"/>
          <w:sz w:val="32"/>
          <w:szCs w:val="32"/>
          <w:highlight w:val="none"/>
          <w:lang w:val="en-US" w:eastAsia="zh-CN"/>
        </w:rPr>
        <w:t>2、项目概况：</w:t>
      </w:r>
      <w:r>
        <w:rPr>
          <w:rFonts w:hint="eastAsia" w:eastAsia="仿宋_GB2312"/>
          <w:color w:val="auto"/>
          <w:sz w:val="32"/>
          <w:szCs w:val="32"/>
          <w:highlight w:val="none"/>
          <w:u w:val="single"/>
          <w:lang w:val="en-US" w:eastAsia="zh-CN"/>
        </w:rPr>
        <w:t>本项目规划总用地面积约12634.55平方米，总建筑面积约69137.31平方米，主要建设3栋住宅楼，1栋地下车库等，拟建保障性住房约516套；</w:t>
      </w:r>
    </w:p>
    <w:p w14:paraId="27DB4AB1">
      <w:pPr>
        <w:adjustRightInd w:val="0"/>
        <w:snapToGrid w:val="0"/>
        <w:spacing w:line="600" w:lineRule="exact"/>
        <w:ind w:firstLine="640" w:firstLineChars="200"/>
        <w:rPr>
          <w:rFonts w:hint="eastAsia" w:ascii="Times New Roman" w:hAnsi="Times New Roman" w:eastAsia="仿宋_GB2312" w:cs="Times New Roman"/>
          <w:b w:val="0"/>
          <w:bCs w:val="0"/>
          <w:color w:val="auto"/>
          <w:kern w:val="2"/>
          <w:sz w:val="32"/>
          <w:szCs w:val="32"/>
          <w:highlight w:val="none"/>
          <w:u w:val="single"/>
          <w:lang w:val="en-US" w:eastAsia="zh-CN" w:bidi="ar-SA"/>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、采购范围：</w:t>
      </w:r>
      <w:r>
        <w:rPr>
          <w:rFonts w:hint="eastAsia" w:ascii="Times New Roman" w:hAnsi="Times New Roman" w:eastAsia="仿宋_GB2312" w:cs="Times New Roman"/>
          <w:color w:val="auto"/>
          <w:sz w:val="32"/>
          <w:szCs w:val="32"/>
          <w:highlight w:val="none"/>
          <w:u w:val="single"/>
          <w:lang w:val="en-US" w:eastAsia="zh-CN"/>
        </w:rPr>
        <w:t>根据</w:t>
      </w:r>
      <w:r>
        <w:rPr>
          <w:rFonts w:hint="eastAsia" w:eastAsia="仿宋_GB2312" w:cs="Times New Roman"/>
          <w:color w:val="auto"/>
          <w:sz w:val="32"/>
          <w:szCs w:val="32"/>
          <w:highlight w:val="none"/>
          <w:u w:val="single"/>
          <w:lang w:val="en-US" w:eastAsia="zh-CN"/>
        </w:rPr>
        <w:t>委托人</w:t>
      </w:r>
      <w:r>
        <w:rPr>
          <w:rFonts w:hint="eastAsia" w:ascii="Times New Roman" w:hAnsi="Times New Roman" w:eastAsia="仿宋_GB2312" w:cs="Times New Roman"/>
          <w:color w:val="auto"/>
          <w:sz w:val="32"/>
          <w:szCs w:val="32"/>
          <w:highlight w:val="none"/>
          <w:u w:val="single"/>
          <w:lang w:val="en-US" w:eastAsia="zh-CN"/>
        </w:rPr>
        <w:t>提供的</w:t>
      </w:r>
      <w:r>
        <w:rPr>
          <w:rFonts w:hint="eastAsia" w:eastAsia="仿宋_GB2312" w:cs="Times New Roman"/>
          <w:color w:val="auto"/>
          <w:sz w:val="32"/>
          <w:szCs w:val="32"/>
          <w:highlight w:val="none"/>
          <w:u w:val="single"/>
          <w:lang w:val="en-US" w:eastAsia="zh-CN"/>
        </w:rPr>
        <w:t>东实·</w:t>
      </w:r>
      <w:r>
        <w:rPr>
          <w:rFonts w:hint="eastAsia" w:eastAsia="仿宋_GB2312"/>
          <w:color w:val="auto"/>
          <w:sz w:val="32"/>
          <w:szCs w:val="32"/>
          <w:highlight w:val="none"/>
          <w:u w:val="single"/>
          <w:lang w:val="en-US" w:eastAsia="zh-CN"/>
        </w:rPr>
        <w:t>晴翠苑</w:t>
      </w:r>
      <w:r>
        <w:rPr>
          <w:rFonts w:hint="eastAsia" w:eastAsia="仿宋_GB2312" w:cs="Times New Roman"/>
          <w:color w:val="auto"/>
          <w:sz w:val="32"/>
          <w:szCs w:val="32"/>
          <w:highlight w:val="none"/>
          <w:u w:val="single"/>
          <w:lang w:val="en-US" w:eastAsia="zh-CN"/>
        </w:rPr>
        <w:t>项目</w:t>
      </w:r>
      <w:r>
        <w:rPr>
          <w:rFonts w:hint="eastAsia" w:ascii="Times New Roman" w:hAnsi="Times New Roman" w:eastAsia="仿宋_GB2312" w:cs="Times New Roman"/>
          <w:color w:val="auto"/>
          <w:sz w:val="32"/>
          <w:szCs w:val="32"/>
          <w:highlight w:val="none"/>
          <w:u w:val="single"/>
          <w:lang w:val="en-US" w:eastAsia="zh-CN"/>
        </w:rPr>
        <w:t>开发成本进行全面复核（包括但不限于土地成本、综合开发成本、管理费用、销售费用、财务费用、税金等），结合国家产业政策、经济环境、行业环境等，对项目总成本及拟定的出售价格进行复核，出具符合保障房政策的总成本及出售价格复核报告；</w:t>
      </w:r>
    </w:p>
    <w:p w14:paraId="1CF11CFB">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大岭山镇</w:t>
      </w:r>
      <w:r>
        <w:rPr>
          <w:rFonts w:hint="eastAsia" w:eastAsia="仿宋_GB2312"/>
          <w:color w:val="auto"/>
          <w:sz w:val="32"/>
          <w:szCs w:val="32"/>
          <w:highlight w:val="none"/>
          <w:u w:val="none"/>
        </w:rPr>
        <w:t>；</w:t>
      </w:r>
    </w:p>
    <w:p w14:paraId="61F7ED87">
      <w:pPr>
        <w:adjustRightInd w:val="0"/>
        <w:snapToGrid w:val="0"/>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eastAsia" w:ascii="Times New Roman" w:hAnsi="Times New Roman" w:eastAsia="仿宋_GB2312" w:cs="Times New Roman"/>
          <w:color w:val="auto"/>
          <w:sz w:val="32"/>
          <w:szCs w:val="32"/>
          <w:highlight w:val="none"/>
          <w:u w:val="single"/>
        </w:rPr>
        <w:t>详见《询价文件》</w:t>
      </w:r>
      <w:r>
        <w:rPr>
          <w:rFonts w:hint="eastAsia" w:eastAsia="仿宋_GB2312" w:cs="Times New Roman"/>
          <w:color w:val="auto"/>
          <w:sz w:val="32"/>
          <w:szCs w:val="32"/>
          <w:highlight w:val="none"/>
          <w:u w:val="single"/>
          <w:lang w:eastAsia="zh-CN"/>
        </w:rPr>
        <w:t>附件</w:t>
      </w:r>
      <w:r>
        <w:rPr>
          <w:rFonts w:hint="eastAsia" w:eastAsia="仿宋_GB2312" w:cs="Times New Roman"/>
          <w:color w:val="auto"/>
          <w:sz w:val="32"/>
          <w:szCs w:val="32"/>
          <w:highlight w:val="none"/>
          <w:u w:val="single"/>
          <w:lang w:val="en-US" w:eastAsia="zh-CN"/>
        </w:rPr>
        <w:t>七</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合同文本</w:t>
      </w:r>
      <w:r>
        <w:rPr>
          <w:rFonts w:hint="eastAsia" w:eastAsia="仿宋_GB2312" w:cs="Times New Roman"/>
          <w:color w:val="auto"/>
          <w:sz w:val="32"/>
          <w:szCs w:val="32"/>
          <w:highlight w:val="none"/>
          <w:u w:val="single"/>
          <w:lang w:eastAsia="zh-CN"/>
        </w:rPr>
        <w:t>》</w:t>
      </w:r>
      <w:r>
        <w:rPr>
          <w:rFonts w:hint="eastAsia" w:eastAsia="仿宋_GB2312"/>
          <w:color w:val="auto"/>
          <w:sz w:val="32"/>
          <w:szCs w:val="32"/>
          <w:highlight w:val="none"/>
          <w:u w:val="single"/>
          <w:lang w:val="en-US" w:eastAsia="zh-CN"/>
        </w:rPr>
        <w:t>。</w:t>
      </w:r>
    </w:p>
    <w:p w14:paraId="433FC396">
      <w:pPr>
        <w:adjustRightInd w:val="0"/>
        <w:snapToGrid w:val="0"/>
        <w:spacing w:line="600" w:lineRule="exact"/>
        <w:ind w:firstLine="640" w:firstLineChars="200"/>
        <w:rPr>
          <w:rFonts w:eastAsia="黑体"/>
          <w:color w:val="auto"/>
          <w:sz w:val="32"/>
          <w:szCs w:val="32"/>
          <w:highlight w:val="none"/>
        </w:rPr>
      </w:pPr>
      <w:r>
        <w:rPr>
          <w:rFonts w:hint="eastAsia" w:eastAsia="黑体"/>
          <w:color w:val="auto"/>
          <w:sz w:val="32"/>
          <w:szCs w:val="32"/>
          <w:highlight w:val="none"/>
        </w:rPr>
        <w:t>二、项目发布</w:t>
      </w:r>
    </w:p>
    <w:p w14:paraId="528A40F5">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）发布发布（参照《东实集团招标采购管理办法》、《工程招标实施细则》、《采购实施细则》要求执行）。</w:t>
      </w:r>
    </w:p>
    <w:p w14:paraId="2D8409EC">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5556CBE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1、响应人须为在中华人民共和国境内登记注册的具有独立承担民事责任能力的法人或其他组织。【提供《营业执照》复印件（加盖公章）或《事业单位法人证书》复印件（加盖公章）或其他主体证书复印件（加盖公章）】</w:t>
      </w:r>
    </w:p>
    <w:p w14:paraId="6BFC054B">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14:textFill>
            <w14:solidFill>
              <w14:schemeClr w14:val="tx1"/>
            </w14:solidFill>
          </w14:textFill>
        </w:rPr>
        <w:t>2、资质要求：响应人</w:t>
      </w:r>
      <w:r>
        <w:rPr>
          <w:rFonts w:hint="eastAsia" w:ascii="仿宋" w:hAnsi="仿宋" w:eastAsia="仿宋" w:cs="Times New Roman"/>
          <w:color w:val="000000" w:themeColor="text1"/>
          <w:sz w:val="32"/>
          <w:szCs w:val="32"/>
          <w:highlight w:val="none"/>
          <w14:textFill>
            <w14:solidFill>
              <w14:schemeClr w14:val="tx1"/>
            </w14:solidFill>
          </w14:textFill>
        </w:rPr>
        <w:t>须具有财政部门颁发的会计师事务所执业证书且</w:t>
      </w:r>
      <w:r>
        <w:rPr>
          <w:rFonts w:hint="eastAsia" w:ascii="仿宋" w:hAnsi="仿宋" w:eastAsia="仿宋"/>
          <w:color w:val="000000" w:themeColor="text1"/>
          <w:sz w:val="32"/>
          <w:szCs w:val="32"/>
          <w:highlight w:val="none"/>
          <w14:textFill>
            <w14:solidFill>
              <w14:schemeClr w14:val="tx1"/>
            </w14:solidFill>
          </w14:textFill>
        </w:rPr>
        <w:t>在有效期内。【提供资质证书复印件（加盖公章）】</w:t>
      </w:r>
    </w:p>
    <w:p w14:paraId="4B972D69">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rPr>
      </w:pPr>
      <w:r>
        <w:rPr>
          <w:rFonts w:hint="eastAsia" w:ascii="仿宋" w:hAnsi="仿宋" w:eastAsia="仿宋"/>
          <w:color w:val="000000" w:themeColor="text1"/>
          <w:sz w:val="32"/>
          <w:szCs w:val="32"/>
          <w:highlight w:val="none"/>
          <w14:textFill>
            <w14:solidFill>
              <w14:schemeClr w14:val="tx1"/>
            </w14:solidFill>
          </w14:textFill>
        </w:rPr>
        <w:t>3、业绩要求：具备</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 xml:space="preserve">成本定价复核或审计 </w:t>
      </w:r>
      <w:r>
        <w:rPr>
          <w:rFonts w:hint="eastAsia" w:ascii="仿宋" w:hAnsi="仿宋" w:eastAsia="仿宋"/>
          <w:color w:val="000000" w:themeColor="text1"/>
          <w:sz w:val="32"/>
          <w:szCs w:val="32"/>
          <w:highlight w:val="none"/>
          <w14:textFill>
            <w14:solidFill>
              <w14:schemeClr w14:val="tx1"/>
            </w14:solidFill>
          </w14:textFill>
        </w:rPr>
        <w:t>项目经验，要求</w:t>
      </w:r>
      <w:r>
        <w:rPr>
          <w:rFonts w:hint="eastAsia" w:ascii="仿宋" w:hAnsi="仿宋" w:eastAsia="仿宋"/>
          <w:color w:val="000000" w:themeColor="text1"/>
          <w:sz w:val="32"/>
          <w:szCs w:val="32"/>
          <w:highlight w:val="none"/>
          <w:u w:val="single"/>
          <w:lang w:val="en-US" w:eastAsia="zh-CN"/>
          <w14:textFill>
            <w14:solidFill>
              <w14:schemeClr w14:val="tx1"/>
            </w14:solidFill>
          </w14:textFill>
        </w:rPr>
        <w:t>2021</w:t>
      </w:r>
      <w:r>
        <w:rPr>
          <w:rFonts w:hint="eastAsia" w:ascii="仿宋" w:hAnsi="仿宋" w:eastAsia="仿宋"/>
          <w:color w:val="000000" w:themeColor="text1"/>
          <w:sz w:val="32"/>
          <w:szCs w:val="32"/>
          <w:highlight w:val="none"/>
          <w14:textFill>
            <w14:solidFill>
              <w14:schemeClr w14:val="tx1"/>
            </w14:solidFill>
          </w14:textFill>
        </w:rPr>
        <w:t>年</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ascii="仿宋" w:hAnsi="仿宋" w:eastAsia="仿宋"/>
          <w:color w:val="000000" w:themeColor="text1"/>
          <w:sz w:val="32"/>
          <w:szCs w:val="32"/>
          <w:highlight w:val="none"/>
          <w:u w:val="single"/>
          <w:lang w:val="en-US" w:eastAsia="zh-CN"/>
          <w14:textFill>
            <w14:solidFill>
              <w14:schemeClr w14:val="tx1"/>
            </w14:solidFill>
          </w14:textFill>
        </w:rPr>
        <w:t>8</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ascii="仿宋" w:hAnsi="仿宋" w:eastAsia="仿宋"/>
          <w:color w:val="000000" w:themeColor="text1"/>
          <w:sz w:val="32"/>
          <w:szCs w:val="32"/>
          <w:highlight w:val="none"/>
          <w14:textFill>
            <w14:solidFill>
              <w14:schemeClr w14:val="tx1"/>
            </w14:solidFill>
          </w14:textFill>
        </w:rPr>
        <w:t>月</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ascii="仿宋" w:hAnsi="仿宋" w:eastAsia="仿宋"/>
          <w:color w:val="000000" w:themeColor="text1"/>
          <w:sz w:val="32"/>
          <w:szCs w:val="32"/>
          <w:highlight w:val="none"/>
          <w:u w:val="single"/>
          <w:lang w:val="en-US" w:eastAsia="zh-CN"/>
          <w14:textFill>
            <w14:solidFill>
              <w14:schemeClr w14:val="tx1"/>
            </w14:solidFill>
          </w14:textFill>
        </w:rPr>
        <w:t>1</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ascii="仿宋" w:hAnsi="仿宋" w:eastAsia="仿宋"/>
          <w:color w:val="000000" w:themeColor="text1"/>
          <w:sz w:val="32"/>
          <w:szCs w:val="32"/>
          <w:highlight w:val="none"/>
          <w14:textFill>
            <w14:solidFill>
              <w14:schemeClr w14:val="tx1"/>
            </w14:solidFill>
          </w14:textFill>
        </w:rPr>
        <w:t>日起至</w:t>
      </w:r>
      <w:r>
        <w:rPr>
          <w:rFonts w:hint="eastAsia" w:ascii="仿宋" w:hAnsi="仿宋" w:eastAsia="仿宋"/>
          <w:color w:val="000000" w:themeColor="text1"/>
          <w:sz w:val="32"/>
          <w:szCs w:val="32"/>
          <w:highlight w:val="none"/>
          <w:u w:val="single"/>
          <w14:textFill>
            <w14:solidFill>
              <w14:schemeClr w14:val="tx1"/>
            </w14:solidFill>
          </w14:textFill>
        </w:rPr>
        <w:t>响应截止时间</w:t>
      </w:r>
      <w:r>
        <w:rPr>
          <w:rFonts w:hint="eastAsia" w:ascii="仿宋" w:hAnsi="仿宋" w:eastAsia="仿宋"/>
          <w:color w:val="000000" w:themeColor="text1"/>
          <w:sz w:val="32"/>
          <w:szCs w:val="32"/>
          <w:highlight w:val="none"/>
          <w14:textFill>
            <w14:solidFill>
              <w14:schemeClr w14:val="tx1"/>
            </w14:solidFill>
          </w14:textFill>
        </w:rPr>
        <w:t>，完成至少</w:t>
      </w:r>
      <w:r>
        <w:rPr>
          <w:rFonts w:ascii="仿宋" w:hAnsi="仿宋" w:eastAsia="仿宋"/>
          <w:color w:val="000000" w:themeColor="text1"/>
          <w:sz w:val="32"/>
          <w:szCs w:val="32"/>
          <w:highlight w:val="none"/>
          <w14:textFill>
            <w14:solidFill>
              <w14:schemeClr w14:val="tx1"/>
            </w14:solidFill>
          </w14:textFill>
        </w:rPr>
        <w:t>1</w:t>
      </w:r>
      <w:r>
        <w:rPr>
          <w:rFonts w:hint="eastAsia" w:ascii="仿宋" w:hAnsi="仿宋" w:eastAsia="仿宋"/>
          <w:color w:val="000000" w:themeColor="text1"/>
          <w:sz w:val="32"/>
          <w:szCs w:val="32"/>
          <w:highlight w:val="none"/>
          <w14:textFill>
            <w14:solidFill>
              <w14:schemeClr w14:val="tx1"/>
            </w14:solidFill>
          </w14:textFill>
        </w:rPr>
        <w:t>个</w:t>
      </w:r>
      <w:r>
        <w:rPr>
          <w:rFonts w:ascii="仿宋" w:hAnsi="仿宋" w:eastAsia="仿宋"/>
          <w:color w:val="000000" w:themeColor="text1"/>
          <w:sz w:val="32"/>
          <w:szCs w:val="32"/>
          <w:highlight w:val="none"/>
          <w:u w:val="single"/>
          <w14:textFill>
            <w14:solidFill>
              <w14:schemeClr w14:val="tx1"/>
            </w14:solidFill>
          </w14:textFill>
        </w:rPr>
        <w:t xml:space="preserve"> </w:t>
      </w:r>
      <w:r>
        <w:rPr>
          <w:rFonts w:hint="eastAsia" w:eastAsia="仿宋_GB2312"/>
          <w:color w:val="000000" w:themeColor="text1"/>
          <w:sz w:val="32"/>
          <w:szCs w:val="32"/>
          <w:highlight w:val="none"/>
          <w:u w:val="single"/>
          <w:lang w:val="en-US" w:eastAsia="zh-CN"/>
          <w14:textFill>
            <w14:solidFill>
              <w14:schemeClr w14:val="tx1"/>
            </w14:solidFill>
          </w14:textFill>
        </w:rPr>
        <w:t>成本定价复核或审计</w:t>
      </w:r>
      <w:r>
        <w:rPr>
          <w:rFonts w:hint="eastAsia" w:ascii="仿宋" w:hAnsi="仿宋" w:eastAsia="仿宋"/>
          <w:color w:val="000000" w:themeColor="text1"/>
          <w:sz w:val="32"/>
          <w:szCs w:val="32"/>
          <w:highlight w:val="none"/>
          <w14:textFill>
            <w14:solidFill>
              <w14:schemeClr w14:val="tx1"/>
            </w14:solidFill>
          </w14:textFill>
        </w:rPr>
        <w:t>业绩。</w:t>
      </w:r>
      <w:r>
        <w:rPr>
          <w:rFonts w:hint="eastAsia" w:ascii="仿宋" w:hAnsi="仿宋" w:eastAsia="仿宋" w:cs="仿宋"/>
          <w:color w:val="auto"/>
          <w:sz w:val="32"/>
          <w:szCs w:val="32"/>
          <w:highlight w:val="none"/>
        </w:rPr>
        <w:t>【</w:t>
      </w:r>
      <w:r>
        <w:rPr>
          <w:rFonts w:hint="eastAsia" w:ascii="仿宋" w:hAnsi="仿宋" w:eastAsia="仿宋"/>
          <w:b/>
          <w:bCs/>
          <w:color w:val="auto"/>
          <w:sz w:val="32"/>
          <w:szCs w:val="32"/>
          <w:highlight w:val="none"/>
        </w:rPr>
        <w:t>按合同签订时间为准，须提供合同关键页复印件（包含但不限于合同首页、合同金额页、合同签字页等）、该合同期内任意一期发票复印件</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rPr>
        <w:t>并加盖投标人公章。</w:t>
      </w:r>
      <w:r>
        <w:rPr>
          <w:rFonts w:hint="eastAsia" w:eastAsia="仿宋_GB2312"/>
          <w:color w:val="auto"/>
          <w:sz w:val="32"/>
          <w:szCs w:val="32"/>
          <w:highlight w:val="none"/>
        </w:rPr>
        <w:t>】</w:t>
      </w:r>
    </w:p>
    <w:p w14:paraId="19E2B8BA">
      <w:pPr>
        <w:adjustRightInd w:val="0"/>
        <w:snapToGrid w:val="0"/>
        <w:spacing w:line="360" w:lineRule="auto"/>
        <w:ind w:firstLine="640" w:firstLineChars="200"/>
        <w:rPr>
          <w:rFonts w:ascii="仿宋" w:hAnsi="仿宋" w:eastAsia="仿宋" w:cs="仿宋"/>
          <w:color w:val="auto"/>
          <w:highlight w:val="none"/>
        </w:rPr>
      </w:pPr>
      <w:r>
        <w:rPr>
          <w:rFonts w:hint="eastAsia" w:eastAsia="仿宋_GB2312"/>
          <w:color w:val="auto"/>
          <w:sz w:val="32"/>
          <w:szCs w:val="32"/>
          <w:highlight w:val="none"/>
        </w:rPr>
        <w:t>4、</w:t>
      </w:r>
      <w:r>
        <w:rPr>
          <w:rFonts w:hint="eastAsia" w:ascii="仿宋" w:hAnsi="仿宋" w:eastAsia="仿宋"/>
          <w:color w:val="auto"/>
          <w:sz w:val="32"/>
          <w:szCs w:val="32"/>
          <w:highlight w:val="none"/>
        </w:rPr>
        <w:t>人员要求：响应人拟派项目负责人须具备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14:paraId="0F7ABFBF">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w:t>
      </w:r>
      <w:r>
        <w:rPr>
          <w:rFonts w:hint="eastAsia" w:eastAsia="仿宋_GB2312"/>
          <w:color w:val="auto"/>
          <w:sz w:val="32"/>
          <w:szCs w:val="32"/>
          <w:highlight w:val="none"/>
          <w:lang w:eastAsia="zh-CN"/>
        </w:rPr>
        <w:t>、</w:t>
      </w:r>
      <w:r>
        <w:rPr>
          <w:rFonts w:hint="eastAsia" w:eastAsia="仿宋_GB2312"/>
          <w:color w:val="auto"/>
          <w:sz w:val="32"/>
          <w:szCs w:val="32"/>
          <w:highlight w:val="none"/>
        </w:rPr>
        <w:t>（东实通〔2025〕157）为准，如有最新发文通知，按最新文件执行。】</w:t>
      </w:r>
    </w:p>
    <w:p w14:paraId="61E18514">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四、采购内容及要求</w:t>
      </w:r>
    </w:p>
    <w:p w14:paraId="25E93D12">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u w:val="single"/>
        </w:rPr>
        <w:t>具体要求详见本</w:t>
      </w:r>
      <w:r>
        <w:rPr>
          <w:rFonts w:hint="eastAsia" w:eastAsia="仿宋_GB2312"/>
          <w:color w:val="auto"/>
          <w:sz w:val="32"/>
          <w:szCs w:val="32"/>
          <w:highlight w:val="none"/>
          <w:u w:val="single"/>
          <w:lang w:val="en-US" w:eastAsia="zh-CN"/>
        </w:rPr>
        <w:t>询价</w:t>
      </w:r>
      <w:r>
        <w:rPr>
          <w:rFonts w:hint="eastAsia" w:eastAsia="仿宋_GB2312"/>
          <w:color w:val="auto"/>
          <w:sz w:val="32"/>
          <w:szCs w:val="32"/>
          <w:highlight w:val="none"/>
          <w:u w:val="single"/>
        </w:rPr>
        <w:t>文件《</w:t>
      </w:r>
      <w:r>
        <w:rPr>
          <w:rFonts w:hint="eastAsia" w:eastAsia="仿宋_GB2312"/>
          <w:color w:val="auto"/>
          <w:sz w:val="32"/>
          <w:szCs w:val="32"/>
          <w:highlight w:val="none"/>
          <w:u w:val="single"/>
          <w:lang w:val="en-US" w:eastAsia="zh-CN"/>
        </w:rPr>
        <w:t>用户需求</w:t>
      </w:r>
      <w:r>
        <w:rPr>
          <w:rFonts w:hint="eastAsia" w:eastAsia="仿宋_GB2312"/>
          <w:color w:val="auto"/>
          <w:sz w:val="32"/>
          <w:szCs w:val="32"/>
          <w:highlight w:val="none"/>
          <w:u w:val="single"/>
        </w:rPr>
        <w:t>书》</w:t>
      </w:r>
      <w:r>
        <w:rPr>
          <w:rFonts w:hint="eastAsia" w:eastAsia="仿宋_GB2312"/>
          <w:color w:val="auto"/>
          <w:sz w:val="32"/>
          <w:szCs w:val="32"/>
          <w:highlight w:val="none"/>
          <w:u w:val="single"/>
          <w:lang w:val="en-US" w:eastAsia="zh-CN"/>
        </w:rPr>
        <w:t>及合同文本</w:t>
      </w:r>
      <w:r>
        <w:rPr>
          <w:rFonts w:hint="eastAsia" w:eastAsia="仿宋_GB2312"/>
          <w:color w:val="auto"/>
          <w:sz w:val="32"/>
          <w:szCs w:val="32"/>
          <w:highlight w:val="none"/>
        </w:rPr>
        <w:t>。响应人须仔细阅读本</w:t>
      </w:r>
      <w:r>
        <w:rPr>
          <w:rFonts w:hint="eastAsia" w:eastAsia="仿宋_GB2312"/>
          <w:color w:val="auto"/>
          <w:sz w:val="32"/>
          <w:szCs w:val="32"/>
          <w:highlight w:val="none"/>
          <w:u w:val="none"/>
          <w:lang w:val="en-US" w:eastAsia="zh-CN"/>
        </w:rPr>
        <w:t>用户需求</w:t>
      </w:r>
      <w:r>
        <w:rPr>
          <w:rFonts w:hint="eastAsia" w:eastAsia="仿宋_GB2312"/>
          <w:color w:val="auto"/>
          <w:sz w:val="32"/>
          <w:szCs w:val="32"/>
          <w:highlight w:val="none"/>
          <w:u w:val="none"/>
        </w:rPr>
        <w:t>书</w:t>
      </w:r>
      <w:r>
        <w:rPr>
          <w:rFonts w:hint="eastAsia" w:eastAsia="仿宋_GB2312"/>
          <w:color w:val="auto"/>
          <w:sz w:val="32"/>
          <w:szCs w:val="32"/>
          <w:highlight w:val="none"/>
          <w:u w:val="none"/>
          <w:lang w:val="en-US" w:eastAsia="zh-CN"/>
        </w:rPr>
        <w:t>及合同文本</w:t>
      </w:r>
      <w:r>
        <w:rPr>
          <w:rFonts w:hint="eastAsia" w:eastAsia="仿宋_GB2312"/>
          <w:color w:val="auto"/>
          <w:sz w:val="32"/>
          <w:szCs w:val="32"/>
          <w:highlight w:val="none"/>
        </w:rPr>
        <w:t>，因未详细了解</w:t>
      </w:r>
      <w:r>
        <w:rPr>
          <w:rFonts w:hint="eastAsia" w:eastAsia="仿宋_GB2312"/>
          <w:color w:val="auto"/>
          <w:sz w:val="32"/>
          <w:szCs w:val="32"/>
          <w:highlight w:val="none"/>
          <w:lang w:val="en-US" w:eastAsia="zh-CN"/>
        </w:rPr>
        <w:t>用户需求书及合同文本</w:t>
      </w:r>
      <w:r>
        <w:rPr>
          <w:rFonts w:hint="eastAsia" w:eastAsia="仿宋_GB2312"/>
          <w:color w:val="auto"/>
          <w:sz w:val="32"/>
          <w:szCs w:val="32"/>
          <w:highlight w:val="none"/>
        </w:rPr>
        <w:t>造成报价项目遗漏，由响应人自行负责。</w:t>
      </w:r>
    </w:p>
    <w:p w14:paraId="35A565E0">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五、完成时间</w:t>
      </w:r>
    </w:p>
    <w:p w14:paraId="7EAA31F2">
      <w:pPr>
        <w:spacing w:line="600" w:lineRule="exact"/>
        <w:ind w:firstLine="640" w:firstLineChars="200"/>
        <w:rPr>
          <w:rFonts w:hint="eastAsia"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u w:val="single"/>
        </w:rPr>
        <w:t>详见《询价文件》</w:t>
      </w:r>
      <w:r>
        <w:rPr>
          <w:rFonts w:hint="eastAsia" w:eastAsia="仿宋_GB2312" w:cs="Times New Roman"/>
          <w:color w:val="auto"/>
          <w:sz w:val="32"/>
          <w:szCs w:val="32"/>
          <w:highlight w:val="none"/>
          <w:u w:val="single"/>
          <w:lang w:eastAsia="zh-CN"/>
        </w:rPr>
        <w:t>附件</w:t>
      </w:r>
      <w:r>
        <w:rPr>
          <w:rFonts w:hint="eastAsia" w:eastAsia="仿宋_GB2312" w:cs="Times New Roman"/>
          <w:color w:val="auto"/>
          <w:sz w:val="32"/>
          <w:szCs w:val="32"/>
          <w:highlight w:val="none"/>
          <w:u w:val="single"/>
          <w:lang w:val="en-US" w:eastAsia="zh-CN"/>
        </w:rPr>
        <w:t>七</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合同文本</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w:t>
      </w:r>
    </w:p>
    <w:p w14:paraId="12D79E3C">
      <w:pPr>
        <w:adjustRightInd w:val="0"/>
        <w:snapToGrid w:val="0"/>
        <w:spacing w:line="600" w:lineRule="exact"/>
        <w:ind w:firstLine="640" w:firstLineChars="200"/>
        <w:rPr>
          <w:rFonts w:eastAsia="黑体"/>
          <w:color w:val="auto"/>
          <w:sz w:val="32"/>
          <w:szCs w:val="32"/>
          <w:highlight w:val="none"/>
        </w:rPr>
      </w:pPr>
      <w:r>
        <w:rPr>
          <w:rFonts w:hint="eastAsia" w:eastAsia="黑体"/>
          <w:color w:val="auto"/>
          <w:sz w:val="32"/>
          <w:szCs w:val="32"/>
          <w:highlight w:val="none"/>
        </w:rPr>
        <w:t>六、支付方式</w:t>
      </w:r>
    </w:p>
    <w:p w14:paraId="07BCB4F2">
      <w:pPr>
        <w:spacing w:line="600" w:lineRule="exact"/>
        <w:ind w:firstLine="640" w:firstLineChars="200"/>
        <w:rPr>
          <w:rFonts w:hint="eastAsia" w:ascii="Times New Roman" w:hAnsi="Times New Roman" w:eastAsia="仿宋_GB2312" w:cs="Times New Roman"/>
          <w:color w:val="auto"/>
          <w:sz w:val="32"/>
          <w:szCs w:val="32"/>
          <w:highlight w:val="none"/>
          <w:u w:val="single"/>
          <w:lang w:val="en-US" w:eastAsia="zh-CN"/>
        </w:rPr>
      </w:pPr>
      <w:bookmarkStart w:id="0" w:name="_Hlk38897977"/>
      <w:r>
        <w:rPr>
          <w:rFonts w:hint="eastAsia" w:ascii="Times New Roman" w:hAnsi="Times New Roman" w:eastAsia="仿宋_GB2312" w:cs="Times New Roman"/>
          <w:color w:val="auto"/>
          <w:sz w:val="32"/>
          <w:szCs w:val="32"/>
          <w:highlight w:val="none"/>
          <w:u w:val="single"/>
          <w:lang w:val="en-US" w:eastAsia="zh-CN"/>
        </w:rPr>
        <w:t>乙方在完成全部工作并向甲方提交《</w:t>
      </w:r>
      <w:r>
        <w:rPr>
          <w:rFonts w:hint="eastAsia" w:eastAsia="仿宋_GB2312" w:cs="Times New Roman"/>
          <w:color w:val="auto"/>
          <w:sz w:val="32"/>
          <w:szCs w:val="32"/>
          <w:highlight w:val="none"/>
          <w:u w:val="single"/>
          <w:lang w:val="en-US" w:eastAsia="zh-CN"/>
        </w:rPr>
        <w:t>东实·</w:t>
      </w:r>
      <w:r>
        <w:rPr>
          <w:rFonts w:hint="eastAsia" w:eastAsia="仿宋_GB2312"/>
          <w:color w:val="auto"/>
          <w:sz w:val="32"/>
          <w:szCs w:val="32"/>
          <w:highlight w:val="none"/>
          <w:u w:val="single"/>
          <w:lang w:val="en-US" w:eastAsia="zh-CN"/>
        </w:rPr>
        <w:t>晴翠苑</w:t>
      </w:r>
      <w:r>
        <w:rPr>
          <w:rFonts w:hint="eastAsia" w:eastAsia="仿宋_GB2312" w:cs="Times New Roman"/>
          <w:color w:val="auto"/>
          <w:sz w:val="32"/>
          <w:szCs w:val="32"/>
          <w:highlight w:val="none"/>
          <w:u w:val="single"/>
          <w:lang w:val="en-US" w:eastAsia="zh-CN"/>
        </w:rPr>
        <w:t>项目</w:t>
      </w:r>
      <w:r>
        <w:rPr>
          <w:rFonts w:hint="eastAsia" w:ascii="Times New Roman" w:hAnsi="Times New Roman" w:eastAsia="仿宋_GB2312" w:cs="Times New Roman"/>
          <w:color w:val="auto"/>
          <w:sz w:val="32"/>
          <w:szCs w:val="32"/>
          <w:highlight w:val="none"/>
          <w:u w:val="single"/>
          <w:lang w:val="en-US" w:eastAsia="zh-CN"/>
        </w:rPr>
        <w:t>总成本及出售价格专项报告》，并且办理完结算工作后向甲方提交等额有效的增值税发票，甲方收到发票后15个工作日内，向乙方支付至结算总金额的100%。</w:t>
      </w:r>
    </w:p>
    <w:bookmarkEnd w:id="0"/>
    <w:p w14:paraId="27725E61">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七、报价</w:t>
      </w:r>
    </w:p>
    <w:p w14:paraId="0DBCC11F">
      <w:pPr>
        <w:spacing w:line="600" w:lineRule="exact"/>
        <w:ind w:firstLine="643" w:firstLineChars="200"/>
        <w:rPr>
          <w:highlight w:val="none"/>
        </w:rPr>
      </w:pPr>
      <w:r>
        <w:rPr>
          <w:rFonts w:hint="eastAsia" w:eastAsia="仿宋_GB2312"/>
          <w:b/>
          <w:bCs/>
          <w:color w:val="auto"/>
          <w:sz w:val="32"/>
          <w:szCs w:val="32"/>
          <w:highlight w:val="none"/>
        </w:rPr>
        <w:t>采购限价：</w:t>
      </w:r>
      <w:r>
        <w:rPr>
          <w:rFonts w:hint="eastAsia" w:eastAsia="仿宋_GB2312"/>
          <w:b/>
          <w:bCs/>
          <w:color w:val="auto"/>
          <w:sz w:val="32"/>
          <w:szCs w:val="32"/>
          <w:highlight w:val="none"/>
          <w:u w:val="single"/>
        </w:rPr>
        <w:t>¥</w:t>
      </w:r>
      <w:r>
        <w:rPr>
          <w:rFonts w:hint="eastAsia" w:eastAsia="仿宋_GB2312"/>
          <w:b/>
          <w:bCs/>
          <w:color w:val="auto"/>
          <w:sz w:val="32"/>
          <w:szCs w:val="32"/>
          <w:highlight w:val="none"/>
          <w:u w:val="single"/>
          <w:lang w:val="en-US" w:eastAsia="zh-CN"/>
        </w:rPr>
        <w:t>43,000.00</w:t>
      </w:r>
      <w:r>
        <w:rPr>
          <w:rFonts w:hint="eastAsia" w:eastAsia="仿宋_GB2312"/>
          <w:b/>
          <w:bCs/>
          <w:color w:val="auto"/>
          <w:sz w:val="32"/>
          <w:szCs w:val="32"/>
          <w:highlight w:val="none"/>
        </w:rPr>
        <w:t>元（含税）。</w:t>
      </w:r>
    </w:p>
    <w:p w14:paraId="20DADD6A">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rPr>
        <w:t>固定总价包干，实行固定价格报价，包括但不限于：完成本项目的成本、利润、税金等在项目过程中可能产生的一切费用。响应人已充分考虑了本项目服务内容及要求描述工作量可能与最终实际工作量存在差距的风险。</w:t>
      </w:r>
    </w:p>
    <w:p w14:paraId="4603BC98">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八、定标</w:t>
      </w:r>
    </w:p>
    <w:p w14:paraId="0A0230B5">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本次项目采用询价方式进行采购，询价小组对各供应商响应文件进行审核，并根据质量和服务均能满足采购文件实质性响应要求且报价最低的原则，推荐成交候选供应商。</w:t>
      </w:r>
    </w:p>
    <w:p w14:paraId="139476F3">
      <w:pPr>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询价结束后，招标采购工作小组将相关询价情况按程序审批并确定成交人。</w:t>
      </w:r>
    </w:p>
    <w:p w14:paraId="11CE641B">
      <w:pPr>
        <w:spacing w:line="60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当有效的投标单位个数或投标文件个数不足三个且个数为二时，招标人将转为现场谈判；当有效的投标单位个数或投标文件个数不足三个且个数为一时，招标人将转为定向谈判。谈判过程及相关表格详见附件A。</w:t>
      </w:r>
    </w:p>
    <w:p w14:paraId="2EAC20CB">
      <w:pPr>
        <w:spacing w:line="600" w:lineRule="exact"/>
        <w:ind w:firstLine="640" w:firstLineChars="200"/>
        <w:rPr>
          <w:rFonts w:eastAsia="仿宋_GB2312"/>
          <w:color w:val="auto"/>
          <w:sz w:val="32"/>
          <w:szCs w:val="32"/>
          <w:highlight w:val="none"/>
          <w:u w:val="single"/>
        </w:rPr>
      </w:pPr>
    </w:p>
    <w:p w14:paraId="22CD5A9E">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九、采取的合同文本</w:t>
      </w:r>
    </w:p>
    <w:p w14:paraId="63FEAFF8">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合同签订的依据为询价函、响应文件及补充说明等。确定成交单位后，成交单位在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0317F57D">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响应人收款前需向采购人提供请款材料和开具合法有效等额的增值税专用发票，否则采购人有权拒绝付款。</w:t>
      </w:r>
    </w:p>
    <w:p w14:paraId="76A8F556">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B834B23">
      <w:pPr>
        <w:numPr>
          <w:ilvl w:val="0"/>
          <w:numId w:val="3"/>
        </w:num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报价函（模板）；</w:t>
      </w:r>
    </w:p>
    <w:p w14:paraId="2F7CBB13">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、法人证明（模板）以及法人身份证复印件；</w:t>
      </w:r>
    </w:p>
    <w:p w14:paraId="74B6B938">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5C2CAA7A">
      <w:pPr>
        <w:spacing w:line="600" w:lineRule="exact"/>
        <w:ind w:firstLine="640" w:firstLineChars="200"/>
        <w:rPr>
          <w:rFonts w:hint="eastAsia"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6B87B2CB">
      <w:pPr>
        <w:spacing w:line="600" w:lineRule="exact"/>
        <w:ind w:firstLine="640" w:firstLineChars="200"/>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3847C31D">
      <w:pPr>
        <w:spacing w:line="600" w:lineRule="exact"/>
        <w:ind w:firstLine="640" w:firstLineChars="200"/>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6EFDD9A4">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w:t>
      </w:r>
      <w:r>
        <w:rPr>
          <w:rFonts w:hint="eastAsia" w:eastAsia="仿宋_GB2312"/>
          <w:b/>
          <w:bCs/>
          <w:color w:val="auto"/>
          <w:sz w:val="32"/>
          <w:szCs w:val="32"/>
          <w:highlight w:val="none"/>
        </w:rPr>
        <w:t>装有响应文件的文件袋须贴有密封条，于骑缝处加盖企业公章。</w:t>
      </w:r>
    </w:p>
    <w:p w14:paraId="5D7074E0">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十一、响应文件份数</w:t>
      </w:r>
    </w:p>
    <w:p w14:paraId="25EAB034">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正本一份，并提供响应文件扫描件电子版（U盘）。</w:t>
      </w:r>
    </w:p>
    <w:p w14:paraId="58E169A2">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eastAsia="黑体"/>
          <w:color w:val="auto"/>
          <w:sz w:val="32"/>
          <w:szCs w:val="32"/>
          <w:highlight w:val="none"/>
        </w:rPr>
        <w:t>十二、</w:t>
      </w:r>
      <w:r>
        <w:rPr>
          <w:rFonts w:hint="eastAsia" w:ascii="黑体" w:hAnsi="黑体" w:eastAsia="黑体" w:cs="黑体"/>
          <w:i w:val="0"/>
          <w:iCs w:val="0"/>
          <w:caps w:val="0"/>
          <w:color w:val="auto"/>
          <w:spacing w:val="0"/>
          <w:sz w:val="32"/>
          <w:szCs w:val="32"/>
          <w:highlight w:val="none"/>
        </w:rPr>
        <w:t>保证金金额及缴纳方式</w:t>
      </w:r>
    </w:p>
    <w:p w14:paraId="7FD30865">
      <w:pPr>
        <w:spacing w:line="60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人应按询价文件规定的金额和期限交纳报价保证金，</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人与交款人名称必须一致，非</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人缴纳的报价保证金无效。</w:t>
      </w:r>
    </w:p>
    <w:p w14:paraId="1304E29B">
      <w:pPr>
        <w:spacing w:line="600" w:lineRule="exact"/>
        <w:ind w:firstLine="640" w:firstLineChars="200"/>
        <w:rPr>
          <w:rFonts w:hint="default"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1、报价保证金：详见附件一《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2D1A6A16">
      <w:pPr>
        <w:spacing w:line="600" w:lineRule="exact"/>
        <w:ind w:firstLine="640" w:firstLineChars="200"/>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2、履约保证金：详见附件一《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193F539B">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lang w:eastAsia="zh-CN"/>
        </w:rPr>
        <w:t>十三</w:t>
      </w:r>
      <w:r>
        <w:rPr>
          <w:rFonts w:hint="eastAsia" w:eastAsia="黑体"/>
          <w:color w:val="auto"/>
          <w:sz w:val="32"/>
          <w:szCs w:val="32"/>
          <w:highlight w:val="none"/>
        </w:rPr>
        <w:t>、开标时间及地址</w:t>
      </w:r>
    </w:p>
    <w:p w14:paraId="3482D3F9">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hint="eastAsia" w:eastAsia="仿宋_GB2312"/>
          <w:b/>
          <w:color w:val="auto"/>
          <w:sz w:val="32"/>
          <w:szCs w:val="32"/>
          <w:highlight w:val="none"/>
          <w:u w:val="single"/>
          <w:lang w:val="en-US" w:eastAsia="zh-CN"/>
        </w:rPr>
        <w:t xml:space="preserve"> 2026</w:t>
      </w:r>
      <w:r>
        <w:rPr>
          <w:rFonts w:eastAsia="仿宋_GB2312"/>
          <w:b/>
          <w:color w:val="auto"/>
          <w:sz w:val="32"/>
          <w:szCs w:val="32"/>
          <w:highlight w:val="none"/>
          <w:u w:val="single"/>
        </w:rPr>
        <w:t xml:space="preserve"> </w:t>
      </w:r>
      <w:r>
        <w:rPr>
          <w:rFonts w:hint="eastAsia" w:eastAsia="仿宋_GB2312"/>
          <w:b/>
          <w:color w:val="auto"/>
          <w:sz w:val="32"/>
          <w:szCs w:val="32"/>
          <w:highlight w:val="none"/>
        </w:rPr>
        <w:t>年</w:t>
      </w:r>
      <w:r>
        <w:rPr>
          <w:rFonts w:eastAsia="仿宋_GB2312"/>
          <w:b/>
          <w:color w:val="auto"/>
          <w:sz w:val="32"/>
          <w:szCs w:val="32"/>
          <w:highlight w:val="none"/>
          <w:u w:val="single"/>
        </w:rPr>
        <w:t xml:space="preserve"> </w:t>
      </w:r>
      <w:r>
        <w:rPr>
          <w:rFonts w:hint="eastAsia" w:eastAsia="仿宋_GB2312"/>
          <w:b/>
          <w:color w:val="auto"/>
          <w:sz w:val="32"/>
          <w:szCs w:val="32"/>
          <w:highlight w:val="none"/>
          <w:u w:val="single"/>
          <w:lang w:val="en-US" w:eastAsia="zh-CN"/>
        </w:rPr>
        <w:t xml:space="preserve">9 </w:t>
      </w:r>
      <w:r>
        <w:rPr>
          <w:rFonts w:hint="eastAsia" w:eastAsia="仿宋_GB2312"/>
          <w:b/>
          <w:color w:val="auto"/>
          <w:sz w:val="32"/>
          <w:szCs w:val="32"/>
          <w:highlight w:val="none"/>
        </w:rPr>
        <w:t>月</w:t>
      </w:r>
      <w:r>
        <w:rPr>
          <w:rFonts w:eastAsia="仿宋_GB2312"/>
          <w:b/>
          <w:color w:val="auto"/>
          <w:sz w:val="32"/>
          <w:szCs w:val="32"/>
          <w:highlight w:val="none"/>
          <w:u w:val="single"/>
        </w:rPr>
        <w:t xml:space="preserve"> </w:t>
      </w:r>
      <w:r>
        <w:rPr>
          <w:rFonts w:hint="eastAsia" w:eastAsia="仿宋_GB2312"/>
          <w:b/>
          <w:color w:val="auto"/>
          <w:sz w:val="32"/>
          <w:szCs w:val="32"/>
          <w:highlight w:val="none"/>
          <w:u w:val="single"/>
          <w:lang w:val="en-US" w:eastAsia="zh-CN"/>
        </w:rPr>
        <w:t xml:space="preserve">3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四 </w:t>
      </w:r>
      <w:r>
        <w:rPr>
          <w:rFonts w:hint="eastAsia" w:eastAsia="仿宋_GB2312"/>
          <w:b/>
          <w:color w:val="auto"/>
          <w:sz w:val="32"/>
          <w:szCs w:val="32"/>
          <w:highlight w:val="none"/>
        </w:rPr>
        <w:t>）</w:t>
      </w:r>
      <w:r>
        <w:rPr>
          <w:rFonts w:hint="eastAsia" w:eastAsia="仿宋_GB2312"/>
          <w:b/>
          <w:color w:val="auto"/>
          <w:sz w:val="32"/>
          <w:szCs w:val="32"/>
          <w:highlight w:val="none"/>
          <w:u w:val="single"/>
          <w:lang w:eastAsia="zh-CN"/>
        </w:rPr>
        <w:t>上</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11:00</w:t>
      </w:r>
      <w:r>
        <w:rPr>
          <w:rFonts w:hint="eastAsia" w:eastAsia="仿宋_GB2312"/>
          <w:b/>
          <w:color w:val="auto"/>
          <w:sz w:val="32"/>
          <w:szCs w:val="32"/>
          <w:highlight w:val="none"/>
        </w:rPr>
        <w:t>。</w:t>
      </w:r>
    </w:p>
    <w:p w14:paraId="642DDC59">
      <w:pPr>
        <w:spacing w:line="600" w:lineRule="exact"/>
        <w:ind w:firstLine="643" w:firstLineChars="200"/>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eastAsia="仿宋_GB2312"/>
          <w:b/>
          <w:color w:val="auto"/>
          <w:sz w:val="32"/>
          <w:szCs w:val="32"/>
          <w:highlight w:val="none"/>
          <w:u w:val="single"/>
        </w:rPr>
        <w:t xml:space="preserve"> </w:t>
      </w:r>
      <w:r>
        <w:rPr>
          <w:rFonts w:hint="eastAsia" w:eastAsia="仿宋_GB2312"/>
          <w:b/>
          <w:color w:val="auto"/>
          <w:sz w:val="32"/>
          <w:szCs w:val="32"/>
          <w:highlight w:val="none"/>
          <w:u w:val="single"/>
        </w:rPr>
        <w:t>东莞市东城区八一路1号机关二号大院9号楼103会议室</w:t>
      </w:r>
    </w:p>
    <w:p w14:paraId="3FC266F2">
      <w:pPr>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联系人：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何工</w:t>
      </w:r>
      <w:r>
        <w:rPr>
          <w:rFonts w:eastAsia="仿宋_GB2312"/>
          <w:color w:val="auto"/>
          <w:sz w:val="32"/>
          <w:szCs w:val="32"/>
          <w:highlight w:val="none"/>
          <w:u w:val="single"/>
        </w:rPr>
        <w:t xml:space="preserve">   </w:t>
      </w:r>
    </w:p>
    <w:p w14:paraId="17580B0C">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rPr>
        <w:t>联系电话：</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13640625600</w:t>
      </w:r>
      <w:r>
        <w:rPr>
          <w:rFonts w:eastAsia="仿宋_GB2312"/>
          <w:color w:val="auto"/>
          <w:sz w:val="32"/>
          <w:szCs w:val="32"/>
          <w:highlight w:val="none"/>
          <w:u w:val="single"/>
        </w:rPr>
        <w:t xml:space="preserve"> </w:t>
      </w:r>
    </w:p>
    <w:p w14:paraId="4BDFBB58">
      <w:pPr>
        <w:adjustRightInd w:val="0"/>
        <w:snapToGrid w:val="0"/>
        <w:spacing w:line="600" w:lineRule="exact"/>
        <w:ind w:firstLine="640" w:firstLineChars="200"/>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eastAsia="zh-CN"/>
        </w:rPr>
        <w:t>四</w:t>
      </w:r>
      <w:r>
        <w:rPr>
          <w:rFonts w:hint="eastAsia" w:eastAsia="黑体"/>
          <w:color w:val="auto"/>
          <w:sz w:val="32"/>
          <w:szCs w:val="32"/>
          <w:highlight w:val="none"/>
        </w:rPr>
        <w:t>、注意事项</w:t>
      </w:r>
    </w:p>
    <w:p w14:paraId="08917594">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353A959B">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5FB9D195">
      <w:pPr>
        <w:spacing w:line="600" w:lineRule="exact"/>
        <w:ind w:firstLine="640" w:firstLineChars="200"/>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p>
    <w:p w14:paraId="12C80A71">
      <w:pPr>
        <w:widowControl/>
        <w:spacing w:line="600" w:lineRule="exact"/>
        <w:ind w:firstLine="640" w:firstLineChars="200"/>
        <w:jc w:val="lef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2CB244D3">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4955810B">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55C1A198">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7D9E800B">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A1445A0">
      <w:pPr>
        <w:pStyle w:val="18"/>
        <w:keepNext w:val="0"/>
        <w:keepLines w:val="0"/>
        <w:widowControl/>
        <w:suppressLineNumbers w:val="0"/>
        <w:pBdr>
          <w:top w:val="none" w:color="auto" w:sz="0" w:space="0"/>
          <w:left w:val="none" w:color="auto" w:sz="0" w:space="0"/>
          <w:bottom w:val="none" w:color="auto" w:sz="0" w:space="0"/>
          <w:right w:val="none" w:color="auto" w:sz="0" w:space="0"/>
        </w:pBdr>
        <w:spacing w:before="45" w:beforeAutospacing="0" w:after="45" w:afterAutospacing="0" w:line="525" w:lineRule="atLeast"/>
        <w:ind w:left="45" w:right="45" w:firstLine="645"/>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（2）成交人将本项目转让给他人，或者在报价文件中未说明，且未经采购人同意，将中标项目分包给他人，采购人可没收其报价保证金。</w:t>
      </w:r>
    </w:p>
    <w:p w14:paraId="554DCF64">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18563021">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p>
    <w:p w14:paraId="00699CD0">
      <w:pPr>
        <w:widowControl/>
        <w:spacing w:line="600" w:lineRule="exact"/>
        <w:ind w:firstLine="640" w:firstLineChars="200"/>
        <w:jc w:val="left"/>
        <w:rPr>
          <w:rFonts w:hint="eastAsia" w:eastAsia="仿宋_GB2312" w:cs="Times New Roman"/>
          <w:color w:val="auto"/>
          <w:kern w:val="2"/>
          <w:sz w:val="32"/>
          <w:szCs w:val="32"/>
          <w:highlight w:val="none"/>
          <w:lang w:val="en-US" w:eastAsia="zh-CN" w:bidi="ar-SA"/>
        </w:rPr>
      </w:pPr>
    </w:p>
    <w:p w14:paraId="458AB695">
      <w:pPr>
        <w:spacing w:line="600" w:lineRule="exact"/>
        <w:ind w:firstLine="640" w:firstLineChars="200"/>
        <w:jc w:val="right"/>
        <w:rPr>
          <w:rFonts w:hint="eastAsia" w:eastAsia="仿宋_GB2312"/>
          <w:sz w:val="32"/>
          <w:szCs w:val="32"/>
          <w:highlight w:val="none"/>
          <w:u w:val="single"/>
          <w:lang w:val="en-US" w:eastAsia="zh-CN"/>
        </w:rPr>
      </w:pPr>
      <w:r>
        <w:rPr>
          <w:rFonts w:hint="eastAsia" w:eastAsia="仿宋_GB2312"/>
          <w:sz w:val="32"/>
          <w:szCs w:val="32"/>
          <w:highlight w:val="none"/>
          <w:u w:val="single"/>
          <w:lang w:val="en-US" w:eastAsia="zh-CN"/>
        </w:rPr>
        <w:t>东莞市莞岭安居建设有限公司</w:t>
      </w:r>
    </w:p>
    <w:p w14:paraId="4933188A">
      <w:pPr>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lang w:val="en-US" w:eastAsia="zh-CN"/>
        </w:rPr>
        <w:t>26</w:t>
      </w:r>
      <w:r>
        <w:rPr>
          <w:rFonts w:eastAsia="仿宋_GB2312"/>
          <w:color w:val="auto"/>
          <w:sz w:val="32"/>
          <w:szCs w:val="32"/>
          <w:highlight w:val="none"/>
          <w:u w:val="single"/>
        </w:rPr>
        <w:t xml:space="preserve"> </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w:t>
      </w:r>
      <w:bookmarkStart w:id="8" w:name="_GoBack"/>
      <w:bookmarkEnd w:id="8"/>
      <w:r>
        <w:rPr>
          <w:rFonts w:hint="eastAsia" w:eastAsia="仿宋_GB2312"/>
          <w:color w:val="auto"/>
          <w:sz w:val="32"/>
          <w:szCs w:val="32"/>
          <w:highlight w:val="none"/>
          <w:u w:val="single"/>
          <w:lang w:val="en-US" w:eastAsia="zh-CN"/>
        </w:rPr>
        <w:t xml:space="preserve">8 </w:t>
      </w:r>
      <w:r>
        <w:rPr>
          <w:rFonts w:hint="eastAsia" w:eastAsia="仿宋_GB2312"/>
          <w:color w:val="auto"/>
          <w:sz w:val="32"/>
          <w:szCs w:val="32"/>
          <w:highlight w:val="none"/>
        </w:rPr>
        <w:t>月</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28 </w:t>
      </w:r>
      <w:r>
        <w:rPr>
          <w:rFonts w:hint="eastAsia" w:eastAsia="仿宋_GB2312"/>
          <w:color w:val="auto"/>
          <w:sz w:val="32"/>
          <w:szCs w:val="32"/>
          <w:highlight w:val="none"/>
        </w:rPr>
        <w:t>日</w:t>
      </w:r>
    </w:p>
    <w:p w14:paraId="0681B5F6">
      <w:pPr>
        <w:pStyle w:val="3"/>
        <w:rPr>
          <w:color w:val="auto"/>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E188D61">
      <w:pPr>
        <w:pStyle w:val="42"/>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附件一投标须知</w:t>
      </w:r>
    </w:p>
    <w:p w14:paraId="7DEED5C1">
      <w:pPr>
        <w:jc w:val="center"/>
        <w:rPr>
          <w:rFonts w:eastAsia="华文中宋"/>
          <w:color w:val="auto"/>
          <w:sz w:val="44"/>
          <w:szCs w:val="44"/>
          <w:highlight w:val="none"/>
        </w:rPr>
      </w:pPr>
      <w:r>
        <w:rPr>
          <w:rFonts w:hint="eastAsia" w:eastAsia="华文中宋"/>
          <w:color w:val="auto"/>
          <w:sz w:val="44"/>
          <w:szCs w:val="44"/>
          <w:highlight w:val="none"/>
        </w:rPr>
        <w:t>投标须知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E1921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59FDBD1F">
            <w:pPr>
              <w:pStyle w:val="21"/>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5D7F263A">
            <w:pPr>
              <w:pStyle w:val="2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2C542DBE">
            <w:pPr>
              <w:pStyle w:val="2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10289A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A5CCD0B">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6F5B7958">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center"/>
          </w:tcPr>
          <w:p w14:paraId="7740EE26">
            <w:pPr>
              <w:adjustRightInd w:val="0"/>
              <w:snapToGrid w:val="0"/>
              <w:spacing w:line="560" w:lineRule="exact"/>
              <w:rPr>
                <w:rFonts w:hint="eastAsia" w:eastAsia="仿宋_GB2312"/>
                <w:color w:val="auto"/>
                <w:sz w:val="32"/>
                <w:szCs w:val="32"/>
                <w:highlight w:val="none"/>
                <w:lang w:eastAsia="zh-CN"/>
              </w:rPr>
            </w:pPr>
            <w:r>
              <w:rPr>
                <w:rFonts w:hint="eastAsia" w:eastAsia="仿宋_GB2312"/>
                <w:color w:val="auto"/>
                <w:sz w:val="32"/>
                <w:szCs w:val="32"/>
                <w:highlight w:val="none"/>
                <w:u w:val="none"/>
                <w:lang w:val="en-US" w:eastAsia="zh-CN"/>
              </w:rPr>
              <w:t>东实·晴翠苑项目成本定价复核服务（重新采购）</w:t>
            </w:r>
          </w:p>
        </w:tc>
      </w:tr>
      <w:tr w14:paraId="6DC6BB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88C69AD">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44A9E28A">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center"/>
          </w:tcPr>
          <w:p w14:paraId="4AEE16A0">
            <w:pPr>
              <w:spacing w:line="360" w:lineRule="auto"/>
              <w:rPr>
                <w:rFonts w:hint="default" w:eastAsia="仿宋_GB2312"/>
                <w:color w:val="auto"/>
                <w:sz w:val="32"/>
                <w:szCs w:val="32"/>
                <w:highlight w:val="none"/>
                <w:lang w:val="en-US" w:eastAsia="zh-CN"/>
              </w:rPr>
            </w:pPr>
            <w:r>
              <w:rPr>
                <w:rFonts w:hint="default" w:eastAsia="仿宋_GB2312"/>
                <w:color w:val="auto"/>
                <w:sz w:val="32"/>
                <w:szCs w:val="32"/>
                <w:highlight w:val="none"/>
                <w:lang w:val="en-US" w:eastAsia="zh-CN"/>
              </w:rPr>
              <w:t>东莞市</w:t>
            </w:r>
            <w:r>
              <w:rPr>
                <w:rFonts w:hint="eastAsia" w:eastAsia="仿宋_GB2312"/>
                <w:color w:val="auto"/>
                <w:sz w:val="32"/>
                <w:szCs w:val="32"/>
                <w:highlight w:val="none"/>
                <w:lang w:val="en-US" w:eastAsia="zh-CN"/>
              </w:rPr>
              <w:t>大岭山镇</w:t>
            </w:r>
          </w:p>
        </w:tc>
      </w:tr>
      <w:tr w14:paraId="23D04E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5CA92B0">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6068871A">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center"/>
          </w:tcPr>
          <w:p w14:paraId="535F6E7A">
            <w:pPr>
              <w:spacing w:line="360" w:lineRule="auto"/>
              <w:rPr>
                <w:rFonts w:hint="eastAsia" w:eastAsia="仿宋_GB2312"/>
                <w:color w:val="auto"/>
                <w:sz w:val="32"/>
                <w:szCs w:val="32"/>
                <w:highlight w:val="none"/>
                <w:lang w:eastAsia="zh-CN"/>
              </w:rPr>
            </w:pPr>
            <w:r>
              <w:rPr>
                <w:rFonts w:hint="default" w:eastAsia="仿宋_GB2312"/>
                <w:color w:val="auto"/>
                <w:sz w:val="32"/>
                <w:szCs w:val="32"/>
                <w:highlight w:val="none"/>
                <w:lang w:val="en-US" w:eastAsia="zh-CN"/>
              </w:rPr>
              <w:t>/</w:t>
            </w:r>
          </w:p>
        </w:tc>
      </w:tr>
      <w:tr w14:paraId="215E16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C0D1F60">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1D621F6B">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center"/>
          </w:tcPr>
          <w:p w14:paraId="79FE1A64">
            <w:pPr>
              <w:spacing w:line="360" w:lineRule="auto"/>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详见合同文本</w:t>
            </w:r>
          </w:p>
        </w:tc>
      </w:tr>
      <w:tr w14:paraId="65C0BD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1E6C2CF">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2D76BAEB">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center"/>
          </w:tcPr>
          <w:p w14:paraId="21F378A3">
            <w:pPr>
              <w:jc w:val="left"/>
              <w:rPr>
                <w:rFonts w:eastAsia="仿宋"/>
                <w:color w:val="auto"/>
                <w:sz w:val="32"/>
                <w:szCs w:val="32"/>
                <w:highlight w:val="none"/>
              </w:rPr>
            </w:pPr>
            <w:r>
              <w:rPr>
                <w:rFonts w:hint="eastAsia" w:eastAsia="仿宋_GB2312"/>
                <w:color w:val="auto"/>
                <w:sz w:val="32"/>
                <w:szCs w:val="32"/>
                <w:highlight w:val="none"/>
                <w:lang w:val="en-US" w:eastAsia="zh-CN"/>
              </w:rPr>
              <w:t>详见合同文本</w:t>
            </w:r>
          </w:p>
        </w:tc>
      </w:tr>
      <w:tr w14:paraId="1B61A9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77E875A">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197C67DA">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center"/>
          </w:tcPr>
          <w:p w14:paraId="1FEFF983">
            <w:pPr>
              <w:spacing w:line="500" w:lineRule="exact"/>
              <w:jc w:val="left"/>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详见合同文本</w:t>
            </w:r>
          </w:p>
        </w:tc>
      </w:tr>
      <w:tr w14:paraId="0637F5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5F9103E">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5CE8A889">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152E0658">
            <w:pPr>
              <w:adjustRightInd w:val="0"/>
              <w:snapToGrid w:val="0"/>
              <w:spacing w:line="560" w:lineRule="exact"/>
              <w:rPr>
                <w:rFonts w:hint="eastAsia" w:eastAsia="仿宋"/>
                <w:color w:val="auto"/>
                <w:sz w:val="32"/>
                <w:szCs w:val="32"/>
                <w:highlight w:val="none"/>
                <w:lang w:eastAsia="zh-CN"/>
              </w:rPr>
            </w:pPr>
            <w:r>
              <w:rPr>
                <w:rFonts w:hint="eastAsia" w:ascii="Times New Roman" w:hAnsi="Times New Roman" w:eastAsia="仿宋_GB2312" w:cs="Times New Roman"/>
                <w:color w:val="auto"/>
                <w:sz w:val="32"/>
                <w:szCs w:val="32"/>
                <w:highlight w:val="none"/>
              </w:rPr>
              <w:t>响应人须具备财政部门颁发的会计师事务所执业证书且在有效期内</w:t>
            </w:r>
            <w:r>
              <w:rPr>
                <w:rFonts w:hint="eastAsia" w:ascii="Times New Roman" w:hAnsi="Times New Roman" w:eastAsia="仿宋_GB2312" w:cs="Times New Roman"/>
                <w:color w:val="auto"/>
                <w:sz w:val="32"/>
                <w:szCs w:val="32"/>
                <w:highlight w:val="none"/>
                <w:lang w:eastAsia="zh-CN"/>
              </w:rPr>
              <w:t>。</w:t>
            </w:r>
          </w:p>
        </w:tc>
      </w:tr>
      <w:tr w14:paraId="5A0156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CC89941">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vAlign w:val="center"/>
          </w:tcPr>
          <w:p w14:paraId="52F4D8D9">
            <w:pPr>
              <w:adjustRightInd w:val="0"/>
              <w:snapToGrid w:val="0"/>
              <w:jc w:val="center"/>
              <w:outlineLvl w:val="0"/>
              <w:rPr>
                <w:rFonts w:eastAsia="仿宋_GB2312"/>
                <w:color w:val="auto"/>
                <w:sz w:val="32"/>
                <w:szCs w:val="32"/>
                <w:highlight w:val="none"/>
              </w:rPr>
            </w:pPr>
            <w:r>
              <w:rPr>
                <w:rFonts w:hint="eastAsia" w:ascii="仿宋_GB2312" w:eastAsia="仿宋_GB2312" w:cs="Times New Roman"/>
                <w:color w:val="auto"/>
                <w:sz w:val="30"/>
                <w:szCs w:val="30"/>
                <w:highlight w:val="none"/>
                <w:lang w:eastAsia="zh-CN"/>
              </w:rPr>
              <w:t>询价</w:t>
            </w:r>
            <w:r>
              <w:rPr>
                <w:rFonts w:hint="eastAsia" w:ascii="仿宋_GB2312" w:hAnsi="Times New Roman" w:eastAsia="仿宋_GB2312" w:cs="Times New Roman"/>
                <w:color w:val="auto"/>
                <w:sz w:val="30"/>
                <w:szCs w:val="30"/>
                <w:highlight w:val="none"/>
              </w:rPr>
              <w:t>保证金</w:t>
            </w:r>
            <w:r>
              <w:rPr>
                <w:rFonts w:hint="eastAsia" w:ascii="仿宋_GB2312" w:eastAsia="仿宋_GB2312" w:cs="Times New Roman"/>
                <w:color w:val="auto"/>
                <w:sz w:val="30"/>
                <w:szCs w:val="30"/>
                <w:highlight w:val="none"/>
                <w:lang w:eastAsia="zh-CN"/>
              </w:rPr>
              <w:t>及缴纳方式</w:t>
            </w:r>
          </w:p>
        </w:tc>
        <w:tc>
          <w:tcPr>
            <w:tcW w:w="5942" w:type="dxa"/>
            <w:vAlign w:val="center"/>
          </w:tcPr>
          <w:p w14:paraId="7E235FFB">
            <w:pPr>
              <w:adjustRightInd w:val="0"/>
              <w:snapToGrid w:val="0"/>
              <w:spacing w:line="560" w:lineRule="exact"/>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1、响应人应按询价文件规定的金额和期限交纳报价保证金，报价保证金作为报价文件的组成部分。响应人与交款人名称必须一致，非响应人缴纳的报价保证金无效。</w:t>
            </w:r>
          </w:p>
          <w:p w14:paraId="0C05B9C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860.00</w:t>
            </w:r>
            <w:r>
              <w:rPr>
                <w:rFonts w:hint="eastAsia" w:eastAsia="仿宋_GB2312"/>
                <w:color w:val="auto"/>
                <w:sz w:val="32"/>
                <w:szCs w:val="32"/>
                <w:highlight w:val="none"/>
              </w:rPr>
              <w:t>元。</w:t>
            </w:r>
          </w:p>
          <w:p w14:paraId="14328E0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14:paraId="15796215">
            <w:pPr>
              <w:adjustRightInd w:val="0"/>
              <w:snapToGrid w:val="0"/>
              <w:spacing w:line="560" w:lineRule="exact"/>
              <w:jc w:val="left"/>
              <w:rPr>
                <w:rFonts w:eastAsia="仿宋_GB2312"/>
                <w:color w:val="auto"/>
                <w:sz w:val="32"/>
                <w:szCs w:val="32"/>
                <w:highlight w:val="none"/>
              </w:rPr>
            </w:pPr>
            <w:r>
              <w:rPr>
                <w:rFonts w:hint="eastAsia" w:eastAsia="仿宋_GB2312"/>
                <w:color w:val="auto"/>
                <w:sz w:val="32"/>
                <w:szCs w:val="32"/>
                <w:highlight w:val="none"/>
              </w:rPr>
              <w:t>4、投标保证金缴纳方式：转</w:t>
            </w:r>
            <w:r>
              <w:rPr>
                <w:rFonts w:hint="eastAsia" w:eastAsia="仿宋_GB2312"/>
                <w:color w:val="auto"/>
                <w:sz w:val="32"/>
                <w:szCs w:val="32"/>
                <w:highlight w:val="none"/>
                <w:lang w:val="en-US" w:eastAsia="zh-CN"/>
              </w:rPr>
              <w:t>账</w:t>
            </w:r>
            <w:r>
              <w:rPr>
                <w:rFonts w:hint="eastAsia" w:eastAsia="仿宋_GB2312"/>
                <w:color w:val="auto"/>
                <w:sz w:val="32"/>
                <w:szCs w:val="32"/>
                <w:highlight w:val="none"/>
              </w:rPr>
              <w:t>。</w:t>
            </w:r>
          </w:p>
          <w:p w14:paraId="76DBE6F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5、报价保证金收款账户信息：</w:t>
            </w:r>
          </w:p>
          <w:p w14:paraId="709C09C0">
            <w:pPr>
              <w:adjustRightInd w:val="0"/>
              <w:snapToGrid w:val="0"/>
              <w:spacing w:line="560" w:lineRule="exact"/>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账户名称：</w:t>
            </w:r>
            <w:r>
              <w:rPr>
                <w:rFonts w:hint="eastAsia" w:eastAsia="仿宋_GB2312" w:cs="Times New Roman"/>
                <w:color w:val="auto"/>
                <w:sz w:val="32"/>
                <w:szCs w:val="32"/>
                <w:highlight w:val="none"/>
                <w:u w:val="single"/>
                <w:lang w:val="en-US" w:eastAsia="zh-CN"/>
              </w:rPr>
              <w:t>东莞市莞岭安居建设有限公司</w:t>
            </w:r>
            <w:r>
              <w:rPr>
                <w:rFonts w:hint="eastAsia" w:ascii="Times New Roman" w:hAnsi="Times New Roman" w:eastAsia="仿宋_GB2312" w:cs="Times New Roman"/>
                <w:color w:val="auto"/>
                <w:sz w:val="32"/>
                <w:szCs w:val="32"/>
                <w:highlight w:val="none"/>
                <w:lang w:val="en-US" w:eastAsia="zh-CN"/>
              </w:rPr>
              <w:t xml:space="preserve"> </w:t>
            </w:r>
          </w:p>
          <w:p w14:paraId="462796FA">
            <w:pPr>
              <w:adjustRightInd w:val="0"/>
              <w:snapToGrid w:val="0"/>
              <w:spacing w:line="560" w:lineRule="exact"/>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银行账号：</w:t>
            </w:r>
            <w:r>
              <w:rPr>
                <w:rFonts w:hint="eastAsia" w:eastAsia="仿宋_GB2312" w:cs="Times New Roman"/>
                <w:color w:val="auto"/>
                <w:sz w:val="32"/>
                <w:szCs w:val="32"/>
                <w:highlight w:val="none"/>
                <w:u w:val="single"/>
                <w:lang w:val="en-US" w:eastAsia="zh-CN"/>
              </w:rPr>
              <w:t>769912099710008</w:t>
            </w:r>
            <w:r>
              <w:rPr>
                <w:rFonts w:hint="eastAsia" w:ascii="Times New Roman" w:hAnsi="Times New Roman" w:eastAsia="仿宋_GB2312" w:cs="Times New Roman"/>
                <w:color w:val="auto"/>
                <w:sz w:val="32"/>
                <w:szCs w:val="32"/>
                <w:highlight w:val="none"/>
                <w:u w:val="single"/>
                <w:lang w:val="en-US" w:eastAsia="zh-CN"/>
              </w:rPr>
              <w:t xml:space="preserve"> </w:t>
            </w:r>
          </w:p>
          <w:p w14:paraId="73E7CD1B">
            <w:pPr>
              <w:adjustRightInd w:val="0"/>
              <w:snapToGrid w:val="0"/>
              <w:spacing w:line="560" w:lineRule="exact"/>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lang w:val="en-US" w:eastAsia="zh-CN"/>
              </w:rPr>
              <w:t>开户银行：</w:t>
            </w:r>
            <w:r>
              <w:rPr>
                <w:rFonts w:hint="eastAsia" w:ascii="Times New Roman" w:hAnsi="Times New Roman" w:eastAsia="仿宋_GB2312" w:cs="Times New Roman"/>
                <w:color w:val="auto"/>
                <w:sz w:val="32"/>
                <w:szCs w:val="32"/>
                <w:highlight w:val="none"/>
                <w:u w:val="single"/>
                <w:lang w:val="en-US" w:eastAsia="zh-CN"/>
              </w:rPr>
              <w:t xml:space="preserve">招商银行股份有限公司东莞大岭山支行 </w:t>
            </w:r>
          </w:p>
          <w:p w14:paraId="159BED5D">
            <w:pPr>
              <w:adjustRightInd w:val="0"/>
              <w:snapToGrid w:val="0"/>
              <w:spacing w:line="560" w:lineRule="exact"/>
              <w:rPr>
                <w:rFonts w:eastAsia="仿宋_GB2312"/>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未成交的报价人报价保证金在开标结束后无息退还。成交人缴纳的报价保证金不退还，在双方签订合同后转为履约保证金，作为成交人在履约过程中违约金或罚款的扣罚来源之一。履约保证金申请返还时间为本项目服务结算完成之日，成交人没有任何违约的情况下由成交人提交退款申请，收到成交人申请后30个日历日内，采购人一次性无息退回。</w:t>
            </w:r>
          </w:p>
        </w:tc>
      </w:tr>
      <w:tr w14:paraId="56BD392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90D7EB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9</w:t>
            </w:r>
          </w:p>
        </w:tc>
        <w:tc>
          <w:tcPr>
            <w:tcW w:w="2275" w:type="dxa"/>
            <w:vAlign w:val="top"/>
          </w:tcPr>
          <w:p w14:paraId="40164C1A">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询价有效期</w:t>
            </w:r>
          </w:p>
        </w:tc>
        <w:tc>
          <w:tcPr>
            <w:tcW w:w="5942" w:type="dxa"/>
            <w:vAlign w:val="center"/>
          </w:tcPr>
          <w:p w14:paraId="1DB5BC09">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4409EB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A91D11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10</w:t>
            </w:r>
          </w:p>
        </w:tc>
        <w:tc>
          <w:tcPr>
            <w:tcW w:w="2275" w:type="dxa"/>
            <w:vAlign w:val="center"/>
          </w:tcPr>
          <w:p w14:paraId="1C72F0D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7FB506A9">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09AFF178">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7237E6E4">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0BB630A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09028C3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45CB182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369DEDF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094C782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）询价文件规定的其他情形：见询价公告或询价响应须知前附表。</w:t>
            </w:r>
          </w:p>
          <w:p w14:paraId="3EA81959">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、响应人在询价活动中有下列行为之一的，应视情节轻重，暂停或取消其参与采购人及东实集团旗下采购项目的资格：</w:t>
            </w:r>
          </w:p>
          <w:p w14:paraId="04FB67A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）响应人之间相互串通、或与采购人、代理机构、评审委员会成员串通询价，损害采购人或者其他响应人的合法权益的；</w:t>
            </w:r>
            <w:r>
              <w:rPr>
                <w:rFonts w:eastAsia="仿宋_GB2312"/>
                <w:color w:val="auto"/>
                <w:sz w:val="32"/>
                <w:szCs w:val="32"/>
                <w:highlight w:val="none"/>
              </w:rPr>
              <w:t xml:space="preserve"> </w:t>
            </w:r>
          </w:p>
          <w:p w14:paraId="1CBACA8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14:paraId="076F119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）以他人名义询价或以其他方式弄虚作假，骗取成交的；</w:t>
            </w:r>
            <w:r>
              <w:rPr>
                <w:rFonts w:eastAsia="仿宋_GB2312"/>
                <w:color w:val="auto"/>
                <w:sz w:val="32"/>
                <w:szCs w:val="32"/>
                <w:highlight w:val="none"/>
              </w:rPr>
              <w:t xml:space="preserve"> </w:t>
            </w:r>
          </w:p>
          <w:p w14:paraId="417B178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203341C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）成交人无正当理由不与采购人订立合同，在签订合同时向采购人提出附加条件，或者不按照询价文件要求提交履约担保的；</w:t>
            </w:r>
          </w:p>
          <w:p w14:paraId="1FA9F32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3BC5C09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73B0CB5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7692049C">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、有下列情形之一的，视为响应人串通询价，其响应无效：</w:t>
            </w:r>
          </w:p>
          <w:p w14:paraId="6065D9B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0773407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6C0E965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6F8FEC78">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28CE987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62DE16C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3BCD24C7">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、使用通过受让或者租借等方式获取的资格、资质证书响应的，属于以他人名义询价，其响应无效：</w:t>
            </w:r>
          </w:p>
          <w:p w14:paraId="7C4F0B21">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1108E3D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3A4AC10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6F7DFC4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6A6FAD2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31D2133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3C82A323">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r>
              <w:rPr>
                <w:rFonts w:eastAsia="仿宋_GB2312"/>
                <w:color w:val="auto"/>
                <w:sz w:val="32"/>
                <w:szCs w:val="32"/>
                <w:highlight w:val="none"/>
              </w:rPr>
              <w:t xml:space="preserve"> </w:t>
            </w:r>
          </w:p>
          <w:p w14:paraId="0300C32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54CF9DC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（二）询价活动前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年内与其存在劳动关系，担任其董事、监事，是其控股股东或实际控制人，或存在其他经济利益关系，可能影响询价活动公平公正的；</w:t>
            </w:r>
          </w:p>
          <w:p w14:paraId="24E6BC2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（三）其他可能影响询价活动公平、公正进行的关系。</w:t>
            </w:r>
          </w:p>
        </w:tc>
      </w:tr>
    </w:tbl>
    <w:p w14:paraId="2E5D26EC">
      <w:pPr>
        <w:rPr>
          <w:rFonts w:eastAsia="仿宋_GB2312"/>
          <w:color w:val="auto"/>
          <w:sz w:val="32"/>
          <w:szCs w:val="32"/>
          <w:highlight w:val="none"/>
        </w:rPr>
      </w:pPr>
    </w:p>
    <w:p w14:paraId="4E8DDD59">
      <w:pPr>
        <w:pStyle w:val="3"/>
        <w:rPr>
          <w:rFonts w:eastAsia="仿宋_GB2312"/>
          <w:color w:val="auto"/>
          <w:sz w:val="32"/>
          <w:szCs w:val="32"/>
          <w:highlight w:val="none"/>
        </w:rPr>
      </w:pPr>
    </w:p>
    <w:p w14:paraId="75CCE333">
      <w:pPr>
        <w:rPr>
          <w:rFonts w:eastAsia="仿宋_GB2312"/>
          <w:color w:val="auto"/>
          <w:sz w:val="32"/>
          <w:szCs w:val="32"/>
          <w:highlight w:val="none"/>
        </w:rPr>
      </w:pPr>
    </w:p>
    <w:p w14:paraId="27A61667">
      <w:pPr>
        <w:pStyle w:val="3"/>
        <w:rPr>
          <w:rFonts w:eastAsia="仿宋_GB2312"/>
          <w:color w:val="auto"/>
          <w:sz w:val="32"/>
          <w:szCs w:val="32"/>
          <w:highlight w:val="none"/>
        </w:rPr>
      </w:pPr>
    </w:p>
    <w:p w14:paraId="6B7A3EFE">
      <w:pPr>
        <w:rPr>
          <w:rFonts w:eastAsia="仿宋_GB2312"/>
          <w:color w:val="auto"/>
          <w:sz w:val="32"/>
          <w:szCs w:val="32"/>
          <w:highlight w:val="none"/>
        </w:rPr>
      </w:pPr>
    </w:p>
    <w:p w14:paraId="4008045F">
      <w:pPr>
        <w:rPr>
          <w:rFonts w:hint="eastAsia" w:eastAsia="黑体"/>
          <w:color w:val="auto"/>
          <w:sz w:val="28"/>
          <w:szCs w:val="44"/>
          <w:highlight w:val="none"/>
        </w:rPr>
      </w:pPr>
      <w:bookmarkStart w:id="1" w:name="_Hlk524442005"/>
      <w:r>
        <w:rPr>
          <w:rFonts w:hint="eastAsia" w:eastAsia="黑体"/>
          <w:color w:val="auto"/>
          <w:sz w:val="28"/>
          <w:szCs w:val="44"/>
          <w:highlight w:val="none"/>
        </w:rPr>
        <w:br w:type="page"/>
      </w:r>
    </w:p>
    <w:p w14:paraId="3D069F2E">
      <w:pPr>
        <w:pStyle w:val="42"/>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附件二报价函</w:t>
      </w:r>
    </w:p>
    <w:p w14:paraId="004BA0F7">
      <w:pPr>
        <w:jc w:val="center"/>
        <w:rPr>
          <w:rFonts w:eastAsia="华文中宋"/>
          <w:color w:val="auto"/>
          <w:sz w:val="44"/>
          <w:szCs w:val="44"/>
          <w:highlight w:val="none"/>
        </w:rPr>
      </w:pPr>
      <w:r>
        <w:rPr>
          <w:rFonts w:hint="eastAsia" w:eastAsia="华文中宋"/>
          <w:color w:val="auto"/>
          <w:sz w:val="44"/>
          <w:szCs w:val="44"/>
          <w:highlight w:val="none"/>
        </w:rPr>
        <w:t>报价函</w:t>
      </w:r>
    </w:p>
    <w:p w14:paraId="39780C23">
      <w:pPr>
        <w:ind w:firstLine="560"/>
        <w:jc w:val="center"/>
        <w:rPr>
          <w:rFonts w:eastAsia="仿宋_GB2312"/>
          <w:color w:val="auto"/>
          <w:sz w:val="32"/>
          <w:szCs w:val="32"/>
          <w:highlight w:val="none"/>
        </w:rPr>
      </w:pPr>
    </w:p>
    <w:p w14:paraId="00639E5A">
      <w:pPr>
        <w:rPr>
          <w:rFonts w:eastAsia="仿宋_GB2312"/>
          <w:color w:val="auto"/>
          <w:sz w:val="32"/>
          <w:szCs w:val="32"/>
          <w:highlight w:val="none"/>
        </w:rPr>
      </w:pPr>
      <w:r>
        <w:rPr>
          <w:rFonts w:hint="eastAsia" w:eastAsia="仿宋_GB2312" w:cs="Times New Roman"/>
          <w:sz w:val="32"/>
          <w:szCs w:val="32"/>
          <w:highlight w:val="none"/>
          <w:u w:val="single"/>
          <w:lang w:val="en-US" w:eastAsia="zh-CN"/>
        </w:rPr>
        <w:t>东莞市莞岭安居建设有限公司</w:t>
      </w:r>
      <w:r>
        <w:rPr>
          <w:rFonts w:hint="eastAsia" w:eastAsia="仿宋_GB2312"/>
          <w:color w:val="auto"/>
          <w:sz w:val="32"/>
          <w:szCs w:val="32"/>
          <w:highlight w:val="none"/>
          <w:u w:val="single"/>
          <w:lang w:eastAsia="zh-CN"/>
        </w:rPr>
        <w:t>（采购人）</w:t>
      </w:r>
      <w:r>
        <w:rPr>
          <w:rFonts w:hint="eastAsia" w:eastAsia="仿宋_GB2312"/>
          <w:color w:val="auto"/>
          <w:sz w:val="32"/>
          <w:szCs w:val="32"/>
          <w:highlight w:val="none"/>
        </w:rPr>
        <w:t>：</w:t>
      </w:r>
    </w:p>
    <w:p w14:paraId="1909CB93">
      <w:pPr>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val="en-US" w:eastAsia="zh-CN"/>
        </w:rPr>
        <w:t>东实·晴翠苑项目成本定价复核服务（重新采购）</w:t>
      </w:r>
      <w:r>
        <w:rPr>
          <w:rFonts w:hint="eastAsia" w:eastAsia="仿宋_GB2312"/>
          <w:color w:val="auto"/>
          <w:sz w:val="32"/>
          <w:szCs w:val="32"/>
          <w:highlight w:val="none"/>
        </w:rPr>
        <w:t>项目，我司愿意以含税价合计人民币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70812662">
      <w:pPr>
        <w:ind w:firstLine="640" w:firstLineChars="200"/>
        <w:rPr>
          <w:rFonts w:eastAsia="仿宋_GB2312"/>
          <w:color w:val="auto"/>
          <w:sz w:val="32"/>
          <w:szCs w:val="32"/>
          <w:highlight w:val="none"/>
        </w:rPr>
      </w:pPr>
    </w:p>
    <w:p w14:paraId="1F518259">
      <w:pPr>
        <w:rPr>
          <w:rFonts w:eastAsia="仿宋_GB2312"/>
          <w:color w:val="auto"/>
          <w:sz w:val="32"/>
          <w:szCs w:val="32"/>
          <w:highlight w:val="none"/>
        </w:rPr>
      </w:pPr>
    </w:p>
    <w:p w14:paraId="7370999E">
      <w:pPr>
        <w:rPr>
          <w:rFonts w:eastAsia="仿宋_GB2312"/>
          <w:color w:val="auto"/>
          <w:sz w:val="32"/>
          <w:szCs w:val="32"/>
          <w:highlight w:val="none"/>
        </w:rPr>
      </w:pPr>
    </w:p>
    <w:p w14:paraId="0060BE88">
      <w:pPr>
        <w:rPr>
          <w:rFonts w:eastAsia="仿宋_GB2312"/>
          <w:color w:val="auto"/>
          <w:sz w:val="32"/>
          <w:szCs w:val="32"/>
          <w:highlight w:val="none"/>
        </w:rPr>
      </w:pPr>
    </w:p>
    <w:p w14:paraId="54A8EE8D">
      <w:pPr>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13F72BE2">
      <w:pPr>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14:paraId="66A01CF0">
      <w:pPr>
        <w:jc w:val="left"/>
        <w:rPr>
          <w:rFonts w:eastAsia="仿宋_GB2312"/>
          <w:color w:val="auto"/>
          <w:sz w:val="32"/>
          <w:szCs w:val="32"/>
          <w:highlight w:val="none"/>
        </w:rPr>
      </w:pPr>
      <w:r>
        <w:rPr>
          <w:rFonts w:hint="eastAsia" w:eastAsia="仿宋_GB2312"/>
          <w:color w:val="auto"/>
          <w:sz w:val="32"/>
          <w:szCs w:val="32"/>
          <w:highlight w:val="none"/>
        </w:rPr>
        <w:t>联系人：</w:t>
      </w:r>
    </w:p>
    <w:p w14:paraId="04F3AB90">
      <w:pPr>
        <w:jc w:val="left"/>
        <w:rPr>
          <w:rFonts w:eastAsia="仿宋_GB2312"/>
          <w:color w:val="auto"/>
          <w:sz w:val="32"/>
          <w:szCs w:val="32"/>
          <w:highlight w:val="none"/>
        </w:rPr>
      </w:pPr>
      <w:r>
        <w:rPr>
          <w:rFonts w:hint="eastAsia" w:eastAsia="仿宋_GB2312"/>
          <w:color w:val="auto"/>
          <w:sz w:val="32"/>
          <w:szCs w:val="32"/>
          <w:highlight w:val="none"/>
        </w:rPr>
        <w:t>联系电话：</w:t>
      </w:r>
    </w:p>
    <w:p w14:paraId="3CBC490D">
      <w:pPr>
        <w:jc w:val="left"/>
        <w:rPr>
          <w:rFonts w:eastAsia="仿宋_GB2312"/>
          <w:color w:val="auto"/>
          <w:sz w:val="32"/>
          <w:szCs w:val="32"/>
          <w:highlight w:val="none"/>
        </w:rPr>
      </w:pPr>
      <w:r>
        <w:rPr>
          <w:rFonts w:hint="eastAsia" w:eastAsia="仿宋_GB2312"/>
          <w:color w:val="auto"/>
          <w:sz w:val="32"/>
          <w:szCs w:val="32"/>
          <w:highlight w:val="none"/>
        </w:rPr>
        <w:t>日期：</w:t>
      </w:r>
    </w:p>
    <w:p w14:paraId="6EA9626C">
      <w:pPr>
        <w:jc w:val="center"/>
        <w:rPr>
          <w:rFonts w:eastAsia="仿宋_GB2312"/>
          <w:color w:val="auto"/>
          <w:sz w:val="32"/>
          <w:szCs w:val="32"/>
          <w:highlight w:val="none"/>
        </w:rPr>
      </w:pPr>
    </w:p>
    <w:p w14:paraId="74DD7366">
      <w:pPr>
        <w:jc w:val="center"/>
        <w:rPr>
          <w:rFonts w:eastAsia="仿宋_GB2312"/>
          <w:color w:val="auto"/>
          <w:sz w:val="32"/>
          <w:szCs w:val="32"/>
          <w:highlight w:val="none"/>
        </w:rPr>
      </w:pPr>
    </w:p>
    <w:p w14:paraId="613D2BC1">
      <w:pPr>
        <w:jc w:val="center"/>
        <w:rPr>
          <w:rFonts w:eastAsia="仿宋_GB2312"/>
          <w:color w:val="auto"/>
          <w:sz w:val="32"/>
          <w:szCs w:val="32"/>
          <w:highlight w:val="none"/>
        </w:rPr>
      </w:pPr>
    </w:p>
    <w:p w14:paraId="0A225912">
      <w:pPr>
        <w:ind w:firstLine="2200" w:firstLineChars="500"/>
        <w:rPr>
          <w:rFonts w:ascii="仿宋_GB2312" w:eastAsia="仿宋_GB2312"/>
          <w:color w:val="auto"/>
          <w:sz w:val="44"/>
          <w:szCs w:val="44"/>
          <w:highlight w:val="none"/>
        </w:rPr>
      </w:pPr>
    </w:p>
    <w:p w14:paraId="557B1D5F">
      <w:pPr>
        <w:widowControl/>
        <w:jc w:val="left"/>
        <w:rPr>
          <w:rFonts w:ascii="仿宋_GB2312" w:eastAsia="仿宋_GB2312"/>
          <w:color w:val="auto"/>
          <w:sz w:val="28"/>
          <w:szCs w:val="44"/>
          <w:highlight w:val="none"/>
        </w:rPr>
      </w:pPr>
      <w:r>
        <w:rPr>
          <w:rFonts w:ascii="仿宋_GB2312" w:eastAsia="仿宋_GB2312"/>
          <w:color w:val="auto"/>
          <w:sz w:val="28"/>
          <w:szCs w:val="44"/>
          <w:highlight w:val="none"/>
        </w:rPr>
        <w:br w:type="page"/>
      </w:r>
    </w:p>
    <w:p w14:paraId="00467FFF">
      <w:pPr>
        <w:pStyle w:val="42"/>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附件三法人证明</w:t>
      </w:r>
    </w:p>
    <w:p w14:paraId="16D6CBC6">
      <w:pPr>
        <w:pStyle w:val="42"/>
        <w:ind w:firstLine="0" w:firstLineChars="0"/>
        <w:jc w:val="left"/>
        <w:rPr>
          <w:rFonts w:eastAsia="黑体"/>
          <w:color w:val="auto"/>
          <w:sz w:val="28"/>
          <w:szCs w:val="44"/>
          <w:highlight w:val="none"/>
        </w:rPr>
      </w:pPr>
    </w:p>
    <w:p w14:paraId="0A2C3DA1">
      <w:pPr>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1EE71B71">
      <w:pPr>
        <w:rPr>
          <w:rFonts w:eastAsia="仿宋_GB2312"/>
          <w:color w:val="auto"/>
          <w:sz w:val="32"/>
          <w:szCs w:val="32"/>
          <w:highlight w:val="none"/>
        </w:rPr>
      </w:pPr>
    </w:p>
    <w:p w14:paraId="7DA7474D">
      <w:pPr>
        <w:rPr>
          <w:rFonts w:eastAsia="仿宋_GB2312"/>
          <w:color w:val="auto"/>
          <w:sz w:val="32"/>
          <w:szCs w:val="32"/>
          <w:highlight w:val="none"/>
        </w:rPr>
      </w:pPr>
      <w:r>
        <w:rPr>
          <w:rFonts w:hint="eastAsia" w:eastAsia="仿宋_GB2312" w:cs="Times New Roman"/>
          <w:sz w:val="32"/>
          <w:szCs w:val="32"/>
          <w:highlight w:val="none"/>
          <w:u w:val="single"/>
          <w:lang w:val="en-US" w:eastAsia="zh-CN"/>
        </w:rPr>
        <w:t>东莞市莞岭安居建设有限公司</w:t>
      </w:r>
      <w:r>
        <w:rPr>
          <w:rFonts w:hint="eastAsia" w:eastAsia="仿宋_GB2312"/>
          <w:color w:val="auto"/>
          <w:sz w:val="32"/>
          <w:szCs w:val="32"/>
          <w:highlight w:val="none"/>
          <w:u w:val="single"/>
          <w:lang w:eastAsia="zh-CN"/>
        </w:rPr>
        <w:t>（采购人）</w:t>
      </w:r>
      <w:r>
        <w:rPr>
          <w:rFonts w:hint="eastAsia" w:eastAsia="仿宋_GB2312"/>
          <w:color w:val="auto"/>
          <w:sz w:val="32"/>
          <w:szCs w:val="32"/>
          <w:highlight w:val="none"/>
        </w:rPr>
        <w:t>：</w:t>
      </w:r>
    </w:p>
    <w:p w14:paraId="5E35423D">
      <w:pPr>
        <w:pStyle w:val="41"/>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本证明书声明：注册于</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rPr>
        <w:t>（国家名称）的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（响应人名称）在下面签字的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（法定代表人姓名、职务）为本公司的合法代表人（</w:t>
      </w:r>
      <w:r>
        <w:rPr>
          <w:rFonts w:hint="eastAsia" w:ascii="Times New Roman" w:hAnsi="Times New Roman"/>
          <w:b/>
          <w:bCs/>
          <w:color w:val="auto"/>
          <w:sz w:val="32"/>
          <w:szCs w:val="32"/>
          <w:highlight w:val="none"/>
        </w:rPr>
        <w:t>须附法定代表人身份证复印件</w:t>
      </w:r>
      <w:r>
        <w:rPr>
          <w:rFonts w:hint="eastAsia" w:ascii="Times New Roman" w:hAnsi="Times New Roman"/>
          <w:color w:val="auto"/>
          <w:sz w:val="32"/>
          <w:szCs w:val="32"/>
          <w:highlight w:val="none"/>
        </w:rPr>
        <w:t>）。</w:t>
      </w:r>
    </w:p>
    <w:p w14:paraId="5F17DB8C">
      <w:pPr>
        <w:spacing w:line="600" w:lineRule="exact"/>
        <w:ind w:firstLine="480" w:firstLineChars="150"/>
        <w:rPr>
          <w:rFonts w:eastAsia="仿宋_GB2312"/>
          <w:color w:val="auto"/>
          <w:sz w:val="32"/>
          <w:szCs w:val="32"/>
          <w:highlight w:val="none"/>
        </w:rPr>
      </w:pPr>
      <w:r>
        <w:rPr>
          <w:rFonts w:hint="eastAsia" w:eastAsia="仿宋_GB2312"/>
          <w:color w:val="auto"/>
          <w:sz w:val="32"/>
          <w:szCs w:val="32"/>
          <w:highlight w:val="none"/>
        </w:rPr>
        <w:t>特此证明</w:t>
      </w:r>
    </w:p>
    <w:p w14:paraId="34209757">
      <w:pPr>
        <w:spacing w:line="600" w:lineRule="exact"/>
        <w:rPr>
          <w:rFonts w:eastAsia="仿宋_GB2312"/>
          <w:color w:val="auto"/>
          <w:sz w:val="32"/>
          <w:szCs w:val="32"/>
          <w:highlight w:val="none"/>
        </w:rPr>
      </w:pPr>
    </w:p>
    <w:p w14:paraId="4592BA05">
      <w:pPr>
        <w:spacing w:line="600" w:lineRule="exact"/>
        <w:rPr>
          <w:rFonts w:eastAsia="仿宋_GB2312"/>
          <w:color w:val="auto"/>
          <w:sz w:val="32"/>
          <w:szCs w:val="32"/>
          <w:highlight w:val="none"/>
        </w:rPr>
      </w:pPr>
    </w:p>
    <w:p w14:paraId="7633F8CE">
      <w:pPr>
        <w:spacing w:line="600" w:lineRule="exact"/>
        <w:rPr>
          <w:rFonts w:eastAsia="仿宋_GB2312"/>
          <w:color w:val="auto"/>
          <w:sz w:val="32"/>
          <w:szCs w:val="32"/>
          <w:highlight w:val="none"/>
        </w:rPr>
      </w:pPr>
    </w:p>
    <w:p w14:paraId="733E6044">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0C671821">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48F408D1">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3FAC8C1A">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6C2750B3">
      <w:pPr>
        <w:rPr>
          <w:rFonts w:eastAsia="仿宋_GB2312"/>
          <w:color w:val="auto"/>
          <w:sz w:val="32"/>
          <w:szCs w:val="32"/>
          <w:highlight w:val="none"/>
        </w:rPr>
      </w:pPr>
    </w:p>
    <w:p w14:paraId="07268353">
      <w:pPr>
        <w:widowControl/>
        <w:jc w:val="center"/>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38A5C220">
      <w:pPr>
        <w:pStyle w:val="42"/>
        <w:ind w:firstLine="0" w:firstLineChars="0"/>
        <w:jc w:val="left"/>
        <w:outlineLvl w:val="1"/>
        <w:rPr>
          <w:rFonts w:eastAsia="黑体"/>
          <w:color w:val="auto"/>
          <w:sz w:val="28"/>
          <w:szCs w:val="44"/>
          <w:highlight w:val="none"/>
        </w:rPr>
      </w:pPr>
      <w:bookmarkStart w:id="3" w:name="_Hlk40704362"/>
      <w:r>
        <w:rPr>
          <w:rFonts w:hint="eastAsia" w:eastAsia="黑体"/>
          <w:color w:val="auto"/>
          <w:sz w:val="28"/>
          <w:szCs w:val="44"/>
          <w:highlight w:val="none"/>
        </w:rPr>
        <w:t>附件四法人授权书</w:t>
      </w:r>
    </w:p>
    <w:p w14:paraId="20345419">
      <w:pPr>
        <w:widowControl/>
        <w:jc w:val="center"/>
        <w:rPr>
          <w:rFonts w:eastAsia="仿宋_GB2312"/>
          <w:b/>
          <w:color w:val="auto"/>
          <w:sz w:val="32"/>
          <w:szCs w:val="32"/>
          <w:highlight w:val="none"/>
        </w:rPr>
      </w:pPr>
    </w:p>
    <w:p w14:paraId="63ECD531">
      <w:pPr>
        <w:widowControl/>
        <w:jc w:val="center"/>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16D2B3C3">
      <w:pPr>
        <w:pStyle w:val="41"/>
        <w:ind w:firstLine="0" w:firstLineChars="0"/>
        <w:rPr>
          <w:rFonts w:ascii="Times New Roman" w:hAnsi="Times New Roman"/>
          <w:color w:val="auto"/>
          <w:sz w:val="32"/>
          <w:szCs w:val="32"/>
          <w:highlight w:val="none"/>
        </w:rPr>
      </w:pPr>
    </w:p>
    <w:p w14:paraId="0776228B">
      <w:pPr>
        <w:rPr>
          <w:rFonts w:eastAsia="仿宋_GB2312"/>
          <w:color w:val="auto"/>
          <w:sz w:val="32"/>
          <w:szCs w:val="32"/>
          <w:highlight w:val="none"/>
        </w:rPr>
      </w:pPr>
      <w:r>
        <w:rPr>
          <w:rFonts w:hint="eastAsia" w:eastAsia="仿宋_GB2312" w:cs="Times New Roman"/>
          <w:sz w:val="32"/>
          <w:szCs w:val="32"/>
          <w:highlight w:val="none"/>
          <w:u w:val="single"/>
          <w:lang w:val="en-US" w:eastAsia="zh-CN"/>
        </w:rPr>
        <w:t>东莞市莞岭安居建设有限公司</w:t>
      </w:r>
      <w:r>
        <w:rPr>
          <w:rFonts w:hint="eastAsia" w:eastAsia="仿宋_GB2312"/>
          <w:color w:val="auto"/>
          <w:sz w:val="32"/>
          <w:szCs w:val="32"/>
          <w:highlight w:val="none"/>
          <w:u w:val="single"/>
          <w:lang w:eastAsia="zh-CN"/>
        </w:rPr>
        <w:t>（采购人）</w:t>
      </w:r>
      <w:r>
        <w:rPr>
          <w:rFonts w:hint="eastAsia" w:eastAsia="仿宋_GB2312"/>
          <w:color w:val="auto"/>
          <w:sz w:val="32"/>
          <w:szCs w:val="32"/>
          <w:highlight w:val="none"/>
        </w:rPr>
        <w:t>：</w:t>
      </w:r>
    </w:p>
    <w:p w14:paraId="26A27BFD">
      <w:pPr>
        <w:pStyle w:val="41"/>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ascii="Times New Roman" w:hAnsi="Times New Roman"/>
          <w:color w:val="auto"/>
          <w:sz w:val="32"/>
          <w:szCs w:val="32"/>
          <w:highlight w:val="none"/>
          <w:u w:val="single"/>
          <w:lang w:val="en-US" w:eastAsia="zh-CN"/>
        </w:rPr>
        <w:t xml:space="preserve">      </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7B57FEA8">
      <w:pPr>
        <w:pStyle w:val="41"/>
        <w:ind w:firstLine="659"/>
        <w:rPr>
          <w:rFonts w:ascii="Times New Roman" w:hAnsi="Times New Roman"/>
          <w:color w:val="auto"/>
          <w:sz w:val="32"/>
          <w:szCs w:val="32"/>
          <w:highlight w:val="none"/>
        </w:rPr>
      </w:pPr>
    </w:p>
    <w:p w14:paraId="2A705548">
      <w:pPr>
        <w:pStyle w:val="41"/>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日至</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日签字生效，有效期与询价有效期一致，特此声明。</w:t>
      </w:r>
    </w:p>
    <w:p w14:paraId="7BAFE30F">
      <w:pPr>
        <w:pStyle w:val="41"/>
        <w:ind w:firstLine="659"/>
        <w:rPr>
          <w:rFonts w:ascii="Times New Roman" w:hAnsi="Times New Roman"/>
          <w:color w:val="auto"/>
          <w:sz w:val="32"/>
          <w:szCs w:val="32"/>
          <w:highlight w:val="none"/>
        </w:rPr>
      </w:pPr>
    </w:p>
    <w:p w14:paraId="50D15586">
      <w:pPr>
        <w:pStyle w:val="41"/>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172AB99B">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39591274">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4F4B5AED">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E365B1A">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4ABD7618">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1D37B58E">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37A181A3">
      <w:pPr>
        <w:pStyle w:val="42"/>
        <w:ind w:firstLine="0" w:firstLineChars="0"/>
        <w:jc w:val="left"/>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附件五承诺函</w:t>
      </w:r>
    </w:p>
    <w:p w14:paraId="2F03C052">
      <w:pPr>
        <w:pStyle w:val="42"/>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05CD9736">
      <w:pPr>
        <w:rPr>
          <w:rFonts w:eastAsia="仿宋_GB2312"/>
          <w:color w:val="auto"/>
          <w:sz w:val="32"/>
          <w:szCs w:val="32"/>
          <w:highlight w:val="none"/>
        </w:rPr>
      </w:pPr>
      <w:r>
        <w:rPr>
          <w:rFonts w:hint="eastAsia" w:eastAsia="仿宋_GB2312" w:cs="Times New Roman"/>
          <w:sz w:val="32"/>
          <w:szCs w:val="32"/>
          <w:highlight w:val="none"/>
          <w:u w:val="single"/>
          <w:lang w:val="en-US" w:eastAsia="zh-CN"/>
        </w:rPr>
        <w:t>东莞市莞岭安居建设有限公司</w:t>
      </w:r>
      <w:r>
        <w:rPr>
          <w:rFonts w:hint="eastAsia" w:eastAsia="仿宋_GB2312"/>
          <w:color w:val="auto"/>
          <w:sz w:val="32"/>
          <w:szCs w:val="32"/>
          <w:highlight w:val="none"/>
          <w:u w:val="single"/>
          <w:lang w:eastAsia="zh-CN"/>
        </w:rPr>
        <w:t>（采购人）</w:t>
      </w:r>
      <w:r>
        <w:rPr>
          <w:rFonts w:hint="eastAsia" w:eastAsia="仿宋_GB2312"/>
          <w:color w:val="auto"/>
          <w:sz w:val="32"/>
          <w:szCs w:val="32"/>
          <w:highlight w:val="none"/>
        </w:rPr>
        <w:t>：</w:t>
      </w:r>
    </w:p>
    <w:p w14:paraId="5F86C789">
      <w:pPr>
        <w:pStyle w:val="41"/>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lang w:val="en-US" w:eastAsia="zh-CN"/>
        </w:rPr>
        <w:t>东实·晴翠苑项目成本定价复核服务（重新采购）</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3259BF36">
      <w:pPr>
        <w:pStyle w:val="41"/>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color w:val="auto"/>
          <w:sz w:val="32"/>
          <w:szCs w:val="32"/>
          <w:highlight w:val="none"/>
          <w:u w:val="single"/>
        </w:rPr>
        <w:t xml:space="preserve"> </w:t>
      </w:r>
      <w:r>
        <w:rPr>
          <w:rFonts w:hint="eastAsia" w:eastAsia="仿宋_GB2312"/>
          <w:color w:val="auto"/>
          <w:sz w:val="32"/>
          <w:szCs w:val="32"/>
          <w:highlight w:val="none"/>
          <w:u w:val="single"/>
          <w:lang w:val="en-US" w:eastAsia="zh-CN"/>
        </w:rPr>
        <w:t>成本定价复核</w:t>
      </w:r>
      <w:r>
        <w:rPr>
          <w:rFonts w:hint="eastAsia"/>
          <w:color w:val="auto"/>
          <w:sz w:val="32"/>
          <w:szCs w:val="32"/>
          <w:highlight w:val="none"/>
          <w:u w:val="single"/>
        </w:rPr>
        <w:t>（服务内容）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2CF3E7FD">
      <w:pPr>
        <w:pStyle w:val="41"/>
        <w:ind w:firstLine="659"/>
        <w:rPr>
          <w:rFonts w:ascii="Times New Roman" w:hAnsi="Times New Roman"/>
          <w:color w:val="auto"/>
          <w:sz w:val="32"/>
          <w:szCs w:val="32"/>
          <w:highlight w:val="none"/>
        </w:rPr>
      </w:pPr>
    </w:p>
    <w:p w14:paraId="2B5A1537">
      <w:pPr>
        <w:pStyle w:val="41"/>
        <w:ind w:firstLine="0" w:firstLineChars="0"/>
        <w:jc w:val="left"/>
        <w:rPr>
          <w:rFonts w:ascii="Times New Roman" w:hAnsi="Times New Roman"/>
          <w:color w:val="auto"/>
          <w:sz w:val="32"/>
          <w:szCs w:val="32"/>
          <w:highlight w:val="none"/>
        </w:rPr>
      </w:pPr>
    </w:p>
    <w:p w14:paraId="6DEE4083">
      <w:pPr>
        <w:jc w:val="left"/>
        <w:rPr>
          <w:rFonts w:eastAsia="仿宋"/>
          <w:color w:val="auto"/>
          <w:sz w:val="32"/>
          <w:szCs w:val="32"/>
          <w:highlight w:val="none"/>
        </w:rPr>
      </w:pPr>
    </w:p>
    <w:p w14:paraId="5B410077">
      <w:pPr>
        <w:jc w:val="left"/>
        <w:rPr>
          <w:rFonts w:eastAsia="仿宋"/>
          <w:color w:val="auto"/>
          <w:sz w:val="32"/>
          <w:szCs w:val="32"/>
          <w:highlight w:val="none"/>
        </w:rPr>
      </w:pPr>
    </w:p>
    <w:p w14:paraId="09693E8A">
      <w:pPr>
        <w:jc w:val="left"/>
        <w:rPr>
          <w:rFonts w:eastAsia="仿宋"/>
          <w:color w:val="auto"/>
          <w:sz w:val="32"/>
          <w:szCs w:val="32"/>
          <w:highlight w:val="none"/>
        </w:rPr>
      </w:pPr>
    </w:p>
    <w:p w14:paraId="54EF13E3">
      <w:pPr>
        <w:pStyle w:val="41"/>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82DE466">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92E8B0C">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523494BD">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1D31E35D">
      <w:pPr>
        <w:pStyle w:val="41"/>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68477E05">
      <w:pPr>
        <w:pStyle w:val="41"/>
        <w:ind w:firstLine="0" w:firstLineChars="0"/>
        <w:jc w:val="left"/>
        <w:rPr>
          <w:rFonts w:ascii="Times New Roman" w:hAnsi="Times New Roman"/>
          <w:color w:val="auto"/>
          <w:sz w:val="32"/>
          <w:szCs w:val="32"/>
          <w:highlight w:val="none"/>
        </w:rPr>
      </w:pPr>
    </w:p>
    <w:p w14:paraId="3DD79180">
      <w:pPr>
        <w:rPr>
          <w:color w:val="auto"/>
          <w:highlight w:val="none"/>
        </w:rPr>
      </w:pPr>
    </w:p>
    <w:p w14:paraId="5A394BCA">
      <w:pPr>
        <w:pStyle w:val="42"/>
        <w:ind w:firstLine="0" w:firstLineChars="0"/>
        <w:jc w:val="left"/>
        <w:outlineLvl w:val="1"/>
        <w:rPr>
          <w:rFonts w:hint="eastAsia" w:eastAsia="黑体"/>
          <w:color w:val="auto"/>
          <w:sz w:val="28"/>
          <w:szCs w:val="44"/>
          <w:highlight w:val="none"/>
        </w:rPr>
      </w:pPr>
      <w:bookmarkStart w:id="4" w:name="_Hlk40704598"/>
    </w:p>
    <w:p w14:paraId="288A3C8E">
      <w:pPr>
        <w:pStyle w:val="42"/>
        <w:ind w:firstLine="0" w:firstLineChars="0"/>
        <w:jc w:val="left"/>
        <w:outlineLvl w:val="1"/>
        <w:rPr>
          <w:rFonts w:hint="eastAsia" w:eastAsia="黑体"/>
          <w:color w:val="auto"/>
          <w:sz w:val="28"/>
          <w:szCs w:val="44"/>
          <w:highlight w:val="none"/>
        </w:rPr>
      </w:pPr>
    </w:p>
    <w:p w14:paraId="488BF755">
      <w:pPr>
        <w:pStyle w:val="42"/>
        <w:ind w:firstLine="0" w:firstLineChars="0"/>
        <w:jc w:val="left"/>
        <w:outlineLvl w:val="1"/>
        <w:rPr>
          <w:rFonts w:hint="eastAsia" w:hAnsi="宋体"/>
          <w:b/>
          <w:bCs/>
          <w:kern w:val="44"/>
          <w:sz w:val="28"/>
          <w:szCs w:val="28"/>
          <w:highlight w:val="none"/>
          <w:lang w:val="zh-CN"/>
        </w:rPr>
      </w:pPr>
      <w:r>
        <w:rPr>
          <w:rFonts w:hint="eastAsia" w:eastAsia="黑体"/>
          <w:color w:val="auto"/>
          <w:sz w:val="28"/>
          <w:szCs w:val="44"/>
          <w:highlight w:val="none"/>
        </w:rPr>
        <w:t>附件六</w:t>
      </w:r>
      <w:bookmarkStart w:id="5" w:name="_Toc17923"/>
      <w:bookmarkStart w:id="6" w:name="_Toc396137240"/>
      <w:r>
        <w:rPr>
          <w:rFonts w:hint="eastAsia" w:hAnsi="宋体"/>
          <w:b/>
          <w:bCs/>
          <w:kern w:val="44"/>
          <w:sz w:val="28"/>
          <w:szCs w:val="28"/>
          <w:highlight w:val="none"/>
          <w:lang w:val="zh-CN"/>
        </w:rPr>
        <w:t>用户需求书</w:t>
      </w:r>
      <w:bookmarkEnd w:id="5"/>
      <w:bookmarkEnd w:id="6"/>
    </w:p>
    <w:p w14:paraId="5178BFD0">
      <w:pPr>
        <w:pStyle w:val="41"/>
        <w:ind w:firstLine="640" w:firstLineChars="0"/>
        <w:jc w:val="center"/>
        <w:rPr>
          <w:rFonts w:hint="eastAsia" w:ascii="Times New Roman" w:hAnsi="Times New Roman"/>
          <w:color w:val="auto"/>
          <w:sz w:val="32"/>
          <w:szCs w:val="32"/>
          <w:highlight w:val="none"/>
        </w:rPr>
      </w:pPr>
      <w:r>
        <w:rPr>
          <w:rFonts w:hint="eastAsia" w:ascii="Times New Roman" w:hAnsi="Times New Roman"/>
          <w:color w:val="auto"/>
          <w:sz w:val="32"/>
          <w:szCs w:val="32"/>
          <w:highlight w:val="none"/>
        </w:rPr>
        <w:t>用户需求书</w:t>
      </w:r>
    </w:p>
    <w:p w14:paraId="052E02A2">
      <w:pPr>
        <w:pStyle w:val="41"/>
        <w:ind w:firstLine="640" w:firstLineChars="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一、总成本及出售价格复核报告，具体服务内容包括但不限于：</w:t>
      </w:r>
    </w:p>
    <w:p w14:paraId="38E844D8">
      <w:pPr>
        <w:pStyle w:val="41"/>
        <w:ind w:firstLine="640" w:firstLineChars="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甲方要求乙方在不违反国家现行财务税收法规政策的前提下,根据甲方提供的</w:t>
      </w:r>
      <w:r>
        <w:rPr>
          <w:rFonts w:hint="eastAsia" w:ascii="Times New Roman" w:hAnsi="Times New Roman"/>
          <w:color w:val="auto"/>
          <w:sz w:val="28"/>
          <w:szCs w:val="28"/>
          <w:highlight w:val="none"/>
          <w:lang w:eastAsia="zh-CN"/>
        </w:rPr>
        <w:t>东实·</w:t>
      </w:r>
      <w:r>
        <w:rPr>
          <w:rFonts w:hint="eastAsia" w:ascii="Times New Roman" w:hAnsi="Times New Roman"/>
          <w:color w:val="auto"/>
          <w:sz w:val="28"/>
          <w:szCs w:val="28"/>
          <w:highlight w:val="none"/>
          <w:lang w:val="en-US" w:eastAsia="zh-CN"/>
        </w:rPr>
        <w:t>晴翠</w:t>
      </w:r>
      <w:r>
        <w:rPr>
          <w:rFonts w:hint="eastAsia" w:ascii="Times New Roman" w:hAnsi="Times New Roman"/>
          <w:color w:val="auto"/>
          <w:sz w:val="28"/>
          <w:szCs w:val="28"/>
          <w:highlight w:val="none"/>
          <w:lang w:eastAsia="zh-CN"/>
        </w:rPr>
        <w:t>苑项目</w:t>
      </w:r>
      <w:r>
        <w:rPr>
          <w:rFonts w:hint="eastAsia" w:ascii="Times New Roman" w:hAnsi="Times New Roman"/>
          <w:color w:val="auto"/>
          <w:sz w:val="28"/>
          <w:szCs w:val="28"/>
          <w:highlight w:val="none"/>
          <w:lang w:val="en-US" w:eastAsia="zh-CN"/>
        </w:rPr>
        <w:t>开发成本进行全面复核（包括但不限于土地成本、综合开发成本、管理费用、销售费用、财务费用、税金等）</w:t>
      </w:r>
      <w:r>
        <w:rPr>
          <w:rFonts w:hint="eastAsia" w:ascii="Times New Roman" w:hAnsi="Times New Roman"/>
          <w:color w:val="auto"/>
          <w:sz w:val="28"/>
          <w:szCs w:val="28"/>
          <w:highlight w:val="none"/>
        </w:rPr>
        <w:t>，结合国家产业政策、经济环境、行业环境等，对项目总成本及拟定的出售价格进行复核，出具</w:t>
      </w:r>
      <w:r>
        <w:rPr>
          <w:rFonts w:hint="eastAsia" w:ascii="Times New Roman" w:hAnsi="Times New Roman"/>
          <w:color w:val="auto"/>
          <w:sz w:val="28"/>
          <w:szCs w:val="28"/>
          <w:highlight w:val="none"/>
          <w:lang w:val="en-US" w:eastAsia="zh-CN"/>
        </w:rPr>
        <w:t>符合保障房政策的</w:t>
      </w:r>
      <w:r>
        <w:rPr>
          <w:rFonts w:hint="eastAsia" w:ascii="Times New Roman" w:hAnsi="Times New Roman"/>
          <w:color w:val="auto"/>
          <w:sz w:val="28"/>
          <w:szCs w:val="28"/>
          <w:highlight w:val="none"/>
        </w:rPr>
        <w:t>总成本及出售价格复核报告。</w:t>
      </w:r>
    </w:p>
    <w:p w14:paraId="21A8A2BA">
      <w:pPr>
        <w:pStyle w:val="41"/>
        <w:ind w:firstLine="640" w:firstLineChars="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二、完成时间要求</w:t>
      </w:r>
      <w:r>
        <w:rPr>
          <w:rFonts w:hint="eastAsia" w:ascii="Times New Roman" w:hAnsi="Times New Roman"/>
          <w:color w:val="auto"/>
          <w:sz w:val="28"/>
          <w:szCs w:val="28"/>
          <w:highlight w:val="none"/>
          <w:lang w:val="en-US" w:eastAsia="zh-CN"/>
        </w:rPr>
        <w:t>：合同生效后，乙方收到甲方指令后根据复核需要一次性罗列出甲方需要提供的资料清单，收到资料后7天内完成复核报告初稿，待甲方确认完成后3日内出具正式稿。因甲方未及时按清单提供资料，则工期相应顺延。</w:t>
      </w:r>
    </w:p>
    <w:p w14:paraId="5C5BE6A2">
      <w:pPr>
        <w:pStyle w:val="41"/>
        <w:ind w:firstLine="640" w:firstLineChars="0"/>
        <w:rPr>
          <w:rFonts w:hint="eastAsia" w:ascii="Times New Roman" w:hAnsi="Times New Roman"/>
          <w:color w:val="auto"/>
          <w:sz w:val="28"/>
          <w:szCs w:val="28"/>
          <w:highlight w:val="none"/>
        </w:rPr>
      </w:pPr>
      <w:r>
        <w:rPr>
          <w:rFonts w:hint="eastAsia" w:ascii="Times New Roman" w:hAnsi="Times New Roman"/>
          <w:color w:val="auto"/>
          <w:sz w:val="28"/>
          <w:szCs w:val="28"/>
          <w:highlight w:val="none"/>
        </w:rPr>
        <w:t>三、报告形式要求：纸质版一式四份以及咨询报告电子版。</w:t>
      </w:r>
    </w:p>
    <w:p w14:paraId="4202FC43">
      <w:pPr>
        <w:rPr>
          <w:rFonts w:hint="eastAsia" w:ascii="仿宋_GB2312" w:hAnsi="仿宋_GB2312" w:eastAsia="仿宋_GB2312" w:cs="仿宋_GB2312"/>
          <w:sz w:val="28"/>
          <w:szCs w:val="28"/>
          <w:highlight w:val="none"/>
        </w:rPr>
      </w:pPr>
    </w:p>
    <w:p w14:paraId="51687B3C">
      <w:pPr>
        <w:rPr>
          <w:rFonts w:hAnsi="宋体"/>
          <w:sz w:val="21"/>
          <w:szCs w:val="21"/>
          <w:highlight w:val="none"/>
        </w:rPr>
      </w:pPr>
    </w:p>
    <w:p w14:paraId="661AA978">
      <w:pPr>
        <w:pStyle w:val="42"/>
        <w:ind w:firstLine="0" w:firstLineChars="0"/>
        <w:jc w:val="left"/>
        <w:outlineLvl w:val="1"/>
        <w:rPr>
          <w:rFonts w:hint="eastAsia" w:eastAsia="黑体"/>
          <w:color w:val="auto"/>
          <w:sz w:val="28"/>
          <w:szCs w:val="44"/>
          <w:highlight w:val="none"/>
        </w:rPr>
      </w:pPr>
    </w:p>
    <w:p w14:paraId="2DB70E78">
      <w:pPr>
        <w:pStyle w:val="42"/>
        <w:ind w:firstLine="0" w:firstLineChars="0"/>
        <w:jc w:val="left"/>
        <w:outlineLvl w:val="1"/>
        <w:rPr>
          <w:rFonts w:hint="eastAsia" w:eastAsia="黑体"/>
          <w:color w:val="auto"/>
          <w:sz w:val="28"/>
          <w:szCs w:val="44"/>
          <w:highlight w:val="none"/>
        </w:rPr>
      </w:pPr>
    </w:p>
    <w:p w14:paraId="4DE365A4">
      <w:pPr>
        <w:pStyle w:val="42"/>
        <w:ind w:firstLine="0" w:firstLineChars="0"/>
        <w:jc w:val="left"/>
        <w:outlineLvl w:val="1"/>
        <w:rPr>
          <w:rFonts w:hint="eastAsia" w:eastAsia="黑体"/>
          <w:color w:val="auto"/>
          <w:sz w:val="28"/>
          <w:szCs w:val="44"/>
          <w:highlight w:val="none"/>
        </w:rPr>
      </w:pPr>
    </w:p>
    <w:p w14:paraId="26C90DF4">
      <w:pPr>
        <w:pStyle w:val="42"/>
        <w:ind w:firstLine="0" w:firstLineChars="0"/>
        <w:jc w:val="left"/>
        <w:outlineLvl w:val="1"/>
        <w:rPr>
          <w:rFonts w:hint="eastAsia" w:eastAsia="黑体"/>
          <w:color w:val="auto"/>
          <w:sz w:val="28"/>
          <w:szCs w:val="44"/>
          <w:highlight w:val="none"/>
        </w:rPr>
      </w:pPr>
    </w:p>
    <w:p w14:paraId="67094D05">
      <w:pPr>
        <w:pStyle w:val="42"/>
        <w:ind w:firstLine="0" w:firstLineChars="0"/>
        <w:jc w:val="left"/>
        <w:outlineLvl w:val="1"/>
        <w:rPr>
          <w:rFonts w:hint="eastAsia" w:eastAsia="黑体"/>
          <w:color w:val="auto"/>
          <w:sz w:val="28"/>
          <w:szCs w:val="44"/>
          <w:highlight w:val="none"/>
        </w:rPr>
      </w:pPr>
    </w:p>
    <w:p w14:paraId="1F5E6C40">
      <w:pPr>
        <w:pStyle w:val="42"/>
        <w:ind w:firstLine="0" w:firstLineChars="0"/>
        <w:jc w:val="left"/>
        <w:outlineLvl w:val="1"/>
        <w:rPr>
          <w:rFonts w:hint="eastAsia" w:eastAsia="黑体"/>
          <w:color w:val="auto"/>
          <w:sz w:val="28"/>
          <w:szCs w:val="44"/>
          <w:highlight w:val="none"/>
        </w:rPr>
      </w:pPr>
    </w:p>
    <w:p w14:paraId="6F19DEDE">
      <w:pPr>
        <w:pStyle w:val="42"/>
        <w:ind w:firstLine="0" w:firstLineChars="0"/>
        <w:jc w:val="left"/>
        <w:outlineLvl w:val="1"/>
        <w:rPr>
          <w:rFonts w:hint="eastAsia" w:eastAsia="黑体"/>
          <w:color w:val="auto"/>
          <w:sz w:val="28"/>
          <w:szCs w:val="44"/>
          <w:highlight w:val="none"/>
        </w:rPr>
      </w:pPr>
    </w:p>
    <w:p w14:paraId="010409C4">
      <w:pPr>
        <w:pStyle w:val="42"/>
        <w:ind w:firstLine="0" w:firstLineChars="0"/>
        <w:jc w:val="left"/>
        <w:outlineLvl w:val="1"/>
        <w:rPr>
          <w:rFonts w:hint="eastAsia" w:eastAsia="黑体"/>
          <w:color w:val="auto"/>
          <w:sz w:val="28"/>
          <w:szCs w:val="44"/>
          <w:highlight w:val="none"/>
        </w:rPr>
      </w:pPr>
    </w:p>
    <w:p w14:paraId="6C2FAC44">
      <w:pPr>
        <w:pStyle w:val="42"/>
        <w:ind w:firstLine="0" w:firstLineChars="0"/>
        <w:jc w:val="left"/>
        <w:outlineLvl w:val="1"/>
        <w:rPr>
          <w:rFonts w:hint="eastAsia" w:eastAsia="黑体"/>
          <w:color w:val="auto"/>
          <w:sz w:val="28"/>
          <w:szCs w:val="44"/>
          <w:highlight w:val="none"/>
        </w:rPr>
      </w:pPr>
    </w:p>
    <w:p w14:paraId="1259C593">
      <w:pPr>
        <w:pStyle w:val="42"/>
        <w:ind w:firstLine="0" w:firstLineChars="0"/>
        <w:jc w:val="left"/>
        <w:outlineLvl w:val="1"/>
        <w:rPr>
          <w:rFonts w:hint="eastAsia" w:eastAsia="黑体"/>
          <w:color w:val="auto"/>
          <w:sz w:val="28"/>
          <w:szCs w:val="44"/>
          <w:highlight w:val="none"/>
        </w:rPr>
      </w:pPr>
    </w:p>
    <w:p w14:paraId="6D2BA38A">
      <w:pPr>
        <w:pStyle w:val="42"/>
        <w:ind w:firstLine="0" w:firstLineChars="0"/>
        <w:jc w:val="left"/>
        <w:outlineLvl w:val="1"/>
        <w:rPr>
          <w:rFonts w:hint="eastAsia" w:eastAsia="黑体"/>
          <w:color w:val="auto"/>
          <w:sz w:val="28"/>
          <w:szCs w:val="44"/>
          <w:highlight w:val="none"/>
        </w:rPr>
      </w:pPr>
    </w:p>
    <w:p w14:paraId="20CF5D60">
      <w:pPr>
        <w:pStyle w:val="42"/>
        <w:ind w:firstLine="0" w:firstLineChars="0"/>
        <w:jc w:val="left"/>
        <w:outlineLvl w:val="1"/>
        <w:rPr>
          <w:rFonts w:hint="eastAsia" w:eastAsia="黑体"/>
          <w:color w:val="auto"/>
          <w:sz w:val="28"/>
          <w:szCs w:val="44"/>
          <w:highlight w:val="none"/>
        </w:rPr>
      </w:pPr>
    </w:p>
    <w:p w14:paraId="78EC9E46">
      <w:pPr>
        <w:pStyle w:val="42"/>
        <w:ind w:firstLine="0" w:firstLineChars="0"/>
        <w:jc w:val="left"/>
        <w:outlineLvl w:val="1"/>
        <w:rPr>
          <w:rFonts w:hint="eastAsia" w:eastAsia="黑体"/>
          <w:color w:val="auto"/>
          <w:sz w:val="28"/>
          <w:szCs w:val="44"/>
          <w:highlight w:val="none"/>
        </w:rPr>
      </w:pPr>
    </w:p>
    <w:p w14:paraId="7DCC7606">
      <w:pPr>
        <w:pStyle w:val="42"/>
        <w:ind w:firstLine="0" w:firstLineChars="0"/>
        <w:jc w:val="left"/>
        <w:outlineLvl w:val="1"/>
        <w:rPr>
          <w:rFonts w:hint="eastAsia" w:eastAsia="黑体"/>
          <w:color w:val="auto"/>
          <w:sz w:val="28"/>
          <w:szCs w:val="44"/>
          <w:highlight w:val="none"/>
        </w:rPr>
      </w:pPr>
    </w:p>
    <w:p w14:paraId="0AF95531">
      <w:pPr>
        <w:pStyle w:val="42"/>
        <w:ind w:firstLine="0" w:firstLineChars="0"/>
        <w:jc w:val="left"/>
        <w:outlineLvl w:val="1"/>
        <w:rPr>
          <w:rFonts w:hint="eastAsia" w:eastAsia="黑体"/>
          <w:color w:val="auto"/>
          <w:sz w:val="28"/>
          <w:szCs w:val="44"/>
          <w:highlight w:val="none"/>
        </w:rPr>
      </w:pPr>
    </w:p>
    <w:p w14:paraId="29B4FA68">
      <w:pPr>
        <w:pStyle w:val="42"/>
        <w:ind w:firstLine="0" w:firstLineChars="0"/>
        <w:jc w:val="left"/>
        <w:outlineLvl w:val="1"/>
        <w:rPr>
          <w:rFonts w:hint="eastAsia" w:eastAsia="黑体"/>
          <w:color w:val="auto"/>
          <w:sz w:val="28"/>
          <w:szCs w:val="44"/>
          <w:highlight w:val="none"/>
          <w:lang w:eastAsia="zh-CN"/>
        </w:rPr>
      </w:pPr>
      <w:r>
        <w:rPr>
          <w:rFonts w:hint="eastAsia" w:eastAsia="黑体"/>
          <w:color w:val="auto"/>
          <w:sz w:val="28"/>
          <w:szCs w:val="44"/>
          <w:highlight w:val="none"/>
        </w:rPr>
        <w:t>附件</w:t>
      </w:r>
      <w:r>
        <w:rPr>
          <w:rFonts w:hint="eastAsia" w:eastAsia="黑体"/>
          <w:color w:val="auto"/>
          <w:sz w:val="28"/>
          <w:szCs w:val="44"/>
          <w:highlight w:val="none"/>
          <w:lang w:eastAsia="zh-CN"/>
        </w:rPr>
        <w:t>七合同文本</w:t>
      </w:r>
      <w:bookmarkEnd w:id="1"/>
      <w:bookmarkEnd w:id="4"/>
      <w:bookmarkStart w:id="7" w:name="_Toc148265712"/>
      <w:bookmarkEnd w:id="7"/>
    </w:p>
    <w:p w14:paraId="5A300854">
      <w:pPr>
        <w:widowControl/>
        <w:tabs>
          <w:tab w:val="left" w:pos="851"/>
          <w:tab w:val="left" w:pos="993"/>
          <w:tab w:val="left" w:pos="1276"/>
        </w:tabs>
        <w:wordWrap w:val="0"/>
        <w:spacing w:line="360" w:lineRule="auto"/>
        <w:ind w:right="417" w:rightChars="199"/>
        <w:jc w:val="left"/>
        <w:rPr>
          <w:rFonts w:hAnsi="宋体"/>
          <w:b/>
          <w:bCs/>
          <w:color w:val="auto"/>
          <w:sz w:val="52"/>
          <w:szCs w:val="52"/>
        </w:rPr>
      </w:pPr>
      <w:r>
        <w:rPr>
          <w:rFonts w:hint="eastAsia" w:hAnsi="宋体"/>
          <w:b/>
          <w:bCs/>
          <w:color w:val="auto"/>
          <w:sz w:val="28"/>
          <w:szCs w:val="28"/>
        </w:rPr>
        <w:t>合同编号：</w:t>
      </w:r>
    </w:p>
    <w:p w14:paraId="790FF7B8">
      <w:pPr>
        <w:widowControl/>
        <w:tabs>
          <w:tab w:val="left" w:pos="851"/>
          <w:tab w:val="left" w:pos="993"/>
          <w:tab w:val="left" w:pos="1276"/>
          <w:tab w:val="center" w:pos="4274"/>
          <w:tab w:val="left" w:pos="7210"/>
        </w:tabs>
        <w:wordWrap w:val="0"/>
        <w:spacing w:line="360" w:lineRule="auto"/>
        <w:ind w:right="417" w:rightChars="199"/>
        <w:jc w:val="both"/>
        <w:rPr>
          <w:rFonts w:hAnsi="宋体"/>
          <w:b/>
          <w:bCs/>
          <w:color w:val="auto"/>
          <w:sz w:val="52"/>
          <w:szCs w:val="52"/>
        </w:rPr>
      </w:pPr>
    </w:p>
    <w:p w14:paraId="7D83D06D">
      <w:pPr>
        <w:wordWrap w:val="0"/>
        <w:spacing w:line="360" w:lineRule="auto"/>
        <w:jc w:val="center"/>
        <w:rPr>
          <w:rFonts w:hint="eastAsia" w:hAnsi="宋体" w:eastAsia="宋体"/>
          <w:b/>
          <w:color w:val="auto"/>
          <w:sz w:val="52"/>
          <w:u w:val="single"/>
          <w:lang w:eastAsia="zh-CN"/>
        </w:rPr>
      </w:pPr>
      <w:r>
        <w:rPr>
          <w:rFonts w:hint="eastAsia" w:hAnsi="宋体"/>
          <w:b/>
          <w:color w:val="auto"/>
          <w:sz w:val="52"/>
          <w:u w:val="single"/>
          <w:lang w:eastAsia="zh-CN"/>
        </w:rPr>
        <w:t>东实·晴翠苑项目成本定价复核服务合同</w:t>
      </w:r>
    </w:p>
    <w:p w14:paraId="6B27056A">
      <w:pPr>
        <w:pStyle w:val="10"/>
        <w:wordWrap w:val="0"/>
        <w:ind w:left="1680" w:right="1680"/>
        <w:rPr>
          <w:rFonts w:hAnsi="宋体"/>
          <w:color w:val="auto"/>
          <w:sz w:val="40"/>
          <w:szCs w:val="56"/>
        </w:rPr>
      </w:pPr>
    </w:p>
    <w:p w14:paraId="24E4EA2B">
      <w:pPr>
        <w:pStyle w:val="10"/>
        <w:wordWrap w:val="0"/>
        <w:spacing w:before="10"/>
        <w:ind w:left="1680" w:right="1680"/>
        <w:rPr>
          <w:rFonts w:hAnsi="宋体"/>
          <w:color w:val="auto"/>
          <w:sz w:val="60"/>
        </w:rPr>
      </w:pPr>
    </w:p>
    <w:p w14:paraId="4C02D1C8">
      <w:pPr>
        <w:tabs>
          <w:tab w:val="left" w:pos="7518"/>
        </w:tabs>
        <w:wordWrap w:val="0"/>
        <w:spacing w:before="26" w:line="600" w:lineRule="auto"/>
        <w:ind w:left="559"/>
        <w:jc w:val="left"/>
        <w:rPr>
          <w:rFonts w:hint="eastAsia" w:ascii="Times New Roman" w:hAnsi="宋体" w:eastAsia="宋体" w:cs="Times New Roman"/>
          <w:color w:val="auto"/>
          <w:lang w:val="en-US" w:eastAsia="zh-CN"/>
        </w:rPr>
      </w:pPr>
      <w:r>
        <w:rPr>
          <w:rFonts w:hint="eastAsia" w:ascii="Times New Roman" w:hAnsi="宋体" w:eastAsia="宋体" w:cs="Times New Roman"/>
          <w:color w:val="auto"/>
        </w:rPr>
        <w:t>项目名称：</w:t>
      </w:r>
      <w:r>
        <w:rPr>
          <w:rFonts w:hint="eastAsia" w:ascii="Times New Roman" w:hAnsi="宋体" w:eastAsia="宋体" w:cs="Times New Roman"/>
          <w:color w:val="auto"/>
          <w:lang w:val="en-US" w:eastAsia="zh-CN"/>
        </w:rPr>
        <w:t>东实·晴翠苑项目</w:t>
      </w:r>
      <w:r>
        <w:rPr>
          <w:rFonts w:hint="eastAsia" w:hAnsi="宋体" w:cs="Times New Roman"/>
          <w:color w:val="auto"/>
          <w:lang w:val="en-US" w:eastAsia="zh-CN"/>
        </w:rPr>
        <w:t>定价复核服务</w:t>
      </w:r>
    </w:p>
    <w:p w14:paraId="66646B21">
      <w:pPr>
        <w:tabs>
          <w:tab w:val="left" w:pos="7518"/>
        </w:tabs>
        <w:wordWrap w:val="0"/>
        <w:spacing w:before="26" w:line="600" w:lineRule="auto"/>
        <w:ind w:left="559"/>
        <w:jc w:val="left"/>
        <w:rPr>
          <w:rFonts w:hint="default" w:hAnsi="宋体" w:eastAsia="宋体"/>
          <w:color w:val="auto"/>
          <w:lang w:val="en-US" w:eastAsia="zh-CN"/>
        </w:rPr>
      </w:pPr>
      <w:r>
        <w:rPr>
          <w:rFonts w:hint="eastAsia" w:hAnsi="宋体"/>
          <w:color w:val="auto"/>
        </w:rPr>
        <w:t>项目地点:</w:t>
      </w:r>
      <w:r>
        <w:rPr>
          <w:rFonts w:hint="eastAsia" w:hAnsi="宋体"/>
          <w:color w:val="auto"/>
          <w:u w:val="single"/>
        </w:rPr>
        <w:t>东莞市</w:t>
      </w:r>
      <w:r>
        <w:rPr>
          <w:rFonts w:hint="eastAsia" w:hAnsi="宋体"/>
          <w:color w:val="auto"/>
          <w:u w:val="single"/>
          <w:lang w:val="en-US" w:eastAsia="zh-CN"/>
        </w:rPr>
        <w:t>大岭山镇</w:t>
      </w:r>
    </w:p>
    <w:p w14:paraId="421175CD">
      <w:pPr>
        <w:tabs>
          <w:tab w:val="left" w:pos="1279"/>
          <w:tab w:val="left" w:pos="7518"/>
        </w:tabs>
        <w:wordWrap w:val="0"/>
        <w:spacing w:before="26" w:line="600" w:lineRule="auto"/>
        <w:ind w:left="559"/>
        <w:jc w:val="left"/>
        <w:rPr>
          <w:rFonts w:hAnsi="宋体"/>
          <w:color w:val="auto"/>
        </w:rPr>
      </w:pPr>
      <w:r>
        <w:rPr>
          <w:rFonts w:hint="eastAsia" w:hAnsi="宋体"/>
          <w:color w:val="auto"/>
        </w:rPr>
        <w:t>甲方：</w:t>
      </w:r>
      <w:r>
        <w:rPr>
          <w:rFonts w:hint="eastAsia" w:ascii="宋体" w:hAnsi="宋体"/>
          <w:color w:val="auto"/>
          <w:szCs w:val="21"/>
          <w:u w:val="single"/>
          <w:lang w:val="en-US" w:eastAsia="zh-CN"/>
        </w:rPr>
        <w:t>东莞市莞岭安居建设有限公司</w:t>
      </w:r>
    </w:p>
    <w:p w14:paraId="528FE09D">
      <w:pPr>
        <w:tabs>
          <w:tab w:val="left" w:pos="1279"/>
          <w:tab w:val="left" w:pos="7518"/>
        </w:tabs>
        <w:wordWrap w:val="0"/>
        <w:spacing w:before="26" w:line="600" w:lineRule="auto"/>
        <w:ind w:left="559"/>
        <w:jc w:val="left"/>
        <w:rPr>
          <w:rFonts w:hAnsi="宋体"/>
          <w:color w:val="auto"/>
          <w:u w:val="single"/>
        </w:rPr>
      </w:pPr>
      <w:r>
        <w:rPr>
          <w:rFonts w:hint="eastAsia" w:hAnsi="宋体"/>
          <w:color w:val="auto"/>
        </w:rPr>
        <w:t>乙方：</w:t>
      </w:r>
      <w:r>
        <w:rPr>
          <w:rFonts w:hint="eastAsia" w:hAnsi="宋体" w:cs="宋体"/>
          <w:color w:val="auto"/>
          <w:sz w:val="24"/>
          <w:szCs w:val="24"/>
          <w:highlight w:val="none"/>
          <w:u w:val="single"/>
          <w:lang w:val="en-US" w:eastAsia="zh-CN"/>
        </w:rPr>
        <w:t xml:space="preserve">                       </w:t>
      </w:r>
      <w:r>
        <w:rPr>
          <w:rFonts w:hint="eastAsia" w:hAnsi="宋体"/>
          <w:color w:val="auto"/>
          <w:u w:val="none"/>
        </w:rPr>
        <w:t xml:space="preserve">                           </w:t>
      </w:r>
    </w:p>
    <w:p w14:paraId="247F2D7F">
      <w:pPr>
        <w:tabs>
          <w:tab w:val="left" w:pos="632"/>
          <w:tab w:val="left" w:pos="9240"/>
        </w:tabs>
        <w:wordWrap w:val="0"/>
        <w:spacing w:line="600" w:lineRule="auto"/>
        <w:ind w:left="564" w:leftChars="269"/>
        <w:jc w:val="left"/>
        <w:rPr>
          <w:rFonts w:hint="eastAsia" w:hAnsi="宋体" w:eastAsia="宋体"/>
          <w:color w:val="auto"/>
          <w:lang w:val="en-US" w:eastAsia="zh-CN"/>
        </w:rPr>
      </w:pPr>
      <w:r>
        <w:rPr>
          <w:rFonts w:hint="eastAsia" w:hAnsi="宋体"/>
          <w:color w:val="auto"/>
        </w:rPr>
        <w:t>签约地点：东莞</w:t>
      </w:r>
      <w:r>
        <w:rPr>
          <w:rFonts w:hint="eastAsia" w:hAnsi="宋体"/>
          <w:color w:val="auto"/>
          <w:lang w:val="en-US" w:eastAsia="zh-CN"/>
        </w:rPr>
        <w:t>市</w:t>
      </w:r>
    </w:p>
    <w:p w14:paraId="236AC760">
      <w:pPr>
        <w:tabs>
          <w:tab w:val="left" w:pos="632"/>
          <w:tab w:val="left" w:pos="9240"/>
        </w:tabs>
        <w:wordWrap w:val="0"/>
        <w:spacing w:line="600" w:lineRule="auto"/>
        <w:ind w:left="564" w:leftChars="269"/>
        <w:jc w:val="left"/>
        <w:rPr>
          <w:rFonts w:hAnsi="宋体"/>
          <w:color w:val="auto"/>
        </w:rPr>
      </w:pPr>
      <w:r>
        <w:rPr>
          <w:rFonts w:hint="eastAsia" w:hAnsi="宋体"/>
          <w:color w:val="auto"/>
        </w:rPr>
        <w:t>签订日期：202</w:t>
      </w:r>
      <w:r>
        <w:rPr>
          <w:rFonts w:hint="eastAsia" w:hAnsi="宋体"/>
          <w:color w:val="auto"/>
          <w:lang w:val="en-US" w:eastAsia="zh-CN"/>
        </w:rPr>
        <w:t>6</w:t>
      </w:r>
      <w:r>
        <w:rPr>
          <w:rFonts w:hint="eastAsia" w:hAnsi="宋体"/>
          <w:color w:val="auto"/>
        </w:rPr>
        <w:t>年</w:t>
      </w:r>
      <w:r>
        <w:rPr>
          <w:rFonts w:hAnsi="宋体"/>
          <w:color w:val="auto"/>
        </w:rPr>
        <w:t xml:space="preserve">  </w:t>
      </w:r>
      <w:r>
        <w:rPr>
          <w:rFonts w:hint="eastAsia" w:hAnsi="宋体"/>
          <w:color w:val="auto"/>
        </w:rPr>
        <w:t xml:space="preserve"> 月</w:t>
      </w:r>
      <w:r>
        <w:rPr>
          <w:rFonts w:hAnsi="宋体"/>
          <w:color w:val="auto"/>
        </w:rPr>
        <w:t xml:space="preserve">  </w:t>
      </w:r>
      <w:r>
        <w:rPr>
          <w:rFonts w:hint="eastAsia" w:hAnsi="宋体"/>
          <w:color w:val="auto"/>
        </w:rPr>
        <w:t xml:space="preserve"> 日</w:t>
      </w:r>
    </w:p>
    <w:p w14:paraId="37900775">
      <w:pPr>
        <w:widowControl/>
        <w:snapToGrid w:val="0"/>
        <w:spacing w:line="500" w:lineRule="exact"/>
        <w:rPr>
          <w:rFonts w:hint="eastAsia" w:ascii="黑体" w:hAnsi="黑体" w:eastAsia="黑体" w:cs="黑体"/>
          <w:color w:val="auto"/>
          <w:spacing w:val="20"/>
          <w:kern w:val="0"/>
          <w:sz w:val="36"/>
          <w:szCs w:val="36"/>
          <w:highlight w:val="none"/>
        </w:rPr>
      </w:pPr>
    </w:p>
    <w:p w14:paraId="1A609FC1">
      <w:pPr>
        <w:widowControl/>
        <w:snapToGrid w:val="0"/>
        <w:spacing w:line="500" w:lineRule="exact"/>
        <w:rPr>
          <w:rFonts w:hint="eastAsia" w:ascii="黑体" w:hAnsi="黑体" w:eastAsia="黑体" w:cs="黑体"/>
          <w:color w:val="auto"/>
          <w:spacing w:val="20"/>
          <w:kern w:val="0"/>
          <w:sz w:val="43"/>
          <w:szCs w:val="43"/>
          <w:highlight w:val="none"/>
        </w:rPr>
      </w:pPr>
    </w:p>
    <w:p w14:paraId="7000A16D">
      <w:pPr>
        <w:widowControl/>
        <w:snapToGrid w:val="0"/>
        <w:spacing w:line="500" w:lineRule="exact"/>
        <w:rPr>
          <w:rFonts w:hint="eastAsia" w:ascii="黑体" w:hAnsi="黑体" w:eastAsia="黑体" w:cs="黑体"/>
          <w:color w:val="auto"/>
          <w:spacing w:val="20"/>
          <w:kern w:val="0"/>
          <w:sz w:val="43"/>
          <w:szCs w:val="43"/>
          <w:highlight w:val="none"/>
        </w:rPr>
      </w:pPr>
    </w:p>
    <w:p w14:paraId="1C464947">
      <w:pPr>
        <w:widowControl/>
        <w:snapToGrid w:val="0"/>
        <w:spacing w:line="500" w:lineRule="exact"/>
        <w:rPr>
          <w:rFonts w:hint="eastAsia" w:ascii="黑体" w:hAnsi="黑体" w:eastAsia="黑体" w:cs="黑体"/>
          <w:color w:val="auto"/>
          <w:spacing w:val="20"/>
          <w:kern w:val="0"/>
          <w:sz w:val="43"/>
          <w:szCs w:val="43"/>
          <w:highlight w:val="none"/>
        </w:rPr>
      </w:pPr>
    </w:p>
    <w:p w14:paraId="45688FD6">
      <w:pPr>
        <w:widowControl/>
        <w:snapToGrid w:val="0"/>
        <w:spacing w:line="500" w:lineRule="exact"/>
        <w:rPr>
          <w:rFonts w:hint="eastAsia" w:ascii="黑体" w:hAnsi="黑体" w:eastAsia="黑体" w:cs="黑体"/>
          <w:color w:val="auto"/>
          <w:spacing w:val="20"/>
          <w:kern w:val="0"/>
          <w:sz w:val="43"/>
          <w:szCs w:val="43"/>
          <w:highlight w:val="none"/>
        </w:rPr>
      </w:pPr>
    </w:p>
    <w:p w14:paraId="771E9C19">
      <w:pPr>
        <w:widowControl/>
        <w:snapToGrid w:val="0"/>
        <w:spacing w:line="500" w:lineRule="exact"/>
        <w:jc w:val="both"/>
        <w:rPr>
          <w:rFonts w:hint="eastAsia" w:ascii="黑体" w:hAnsi="黑体" w:eastAsia="黑体" w:cs="黑体"/>
          <w:color w:val="auto"/>
          <w:spacing w:val="20"/>
          <w:kern w:val="0"/>
          <w:sz w:val="40"/>
          <w:szCs w:val="40"/>
          <w:highlight w:val="none"/>
        </w:rPr>
      </w:pPr>
    </w:p>
    <w:p w14:paraId="4DDC8366">
      <w:pPr>
        <w:jc w:val="center"/>
        <w:rPr>
          <w:rFonts w:hint="eastAsia" w:ascii="宋体" w:hAnsi="宋体" w:eastAsia="宋体"/>
          <w:sz w:val="18"/>
          <w:szCs w:val="18"/>
          <w:highlight w:val="none"/>
          <w:lang w:eastAsia="zh-CN"/>
        </w:rPr>
      </w:pPr>
      <w:r>
        <w:rPr>
          <w:rFonts w:hint="eastAsia" w:ascii="宋体" w:hAnsi="宋体" w:cs="Times New Roman"/>
          <w:sz w:val="36"/>
          <w:szCs w:val="36"/>
          <w:highlight w:val="none"/>
          <w:lang w:eastAsia="zh-CN"/>
        </w:rPr>
        <w:t>东实·晴翠苑项目成本定价复核服务合同</w:t>
      </w:r>
    </w:p>
    <w:p w14:paraId="2820FAD1">
      <w:pPr>
        <w:pStyle w:val="64"/>
        <w:rPr>
          <w:highlight w:val="none"/>
        </w:rPr>
      </w:pPr>
    </w:p>
    <w:p w14:paraId="6CED67E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甲方（建设单位）：</w:t>
      </w:r>
      <w:r>
        <w:rPr>
          <w:rFonts w:hint="eastAsia" w:ascii="宋体" w:hAnsi="宋体" w:eastAsia="宋体" w:cs="宋体"/>
          <w:color w:val="auto"/>
          <w:kern w:val="0"/>
          <w:sz w:val="24"/>
          <w:szCs w:val="24"/>
          <w:u w:val="single"/>
          <w:lang w:eastAsia="zh-CN"/>
        </w:rPr>
        <w:t>东莞市</w:t>
      </w:r>
      <w:r>
        <w:rPr>
          <w:rFonts w:hint="eastAsia" w:ascii="宋体" w:hAnsi="宋体" w:cs="宋体"/>
          <w:color w:val="auto"/>
          <w:kern w:val="0"/>
          <w:sz w:val="24"/>
          <w:szCs w:val="24"/>
          <w:u w:val="single"/>
          <w:lang w:val="en-US" w:eastAsia="zh-CN"/>
        </w:rPr>
        <w:t>莞岭</w:t>
      </w:r>
      <w:r>
        <w:rPr>
          <w:rFonts w:hint="eastAsia" w:ascii="宋体" w:hAnsi="宋体" w:eastAsia="宋体" w:cs="宋体"/>
          <w:color w:val="auto"/>
          <w:kern w:val="0"/>
          <w:sz w:val="24"/>
          <w:szCs w:val="24"/>
          <w:u w:val="single"/>
          <w:lang w:eastAsia="zh-CN"/>
        </w:rPr>
        <w:t>安居建设有限公司</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1F9807C">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u w:val="single"/>
          <w:lang w:val="en-US" w:eastAsia="zh-CN"/>
        </w:rPr>
      </w:pPr>
      <w:r>
        <w:rPr>
          <w:rFonts w:hint="eastAsia" w:ascii="宋体" w:hAnsi="宋体" w:eastAsia="宋体" w:cs="宋体"/>
          <w:color w:val="auto"/>
          <w:kern w:val="0"/>
          <w:sz w:val="24"/>
          <w:szCs w:val="24"/>
        </w:rPr>
        <w:t>法定代表人：</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u w:val="single"/>
          <w:lang w:val="en-US" w:eastAsia="zh-CN"/>
        </w:rPr>
        <w:t xml:space="preserve">                                 </w:t>
      </w:r>
    </w:p>
    <w:p w14:paraId="4F85EAD6">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联系地址：</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u w:val="single"/>
          <w:lang w:val="en-US" w:eastAsia="zh-CN"/>
        </w:rPr>
        <w:t xml:space="preserve">                                  </w:t>
      </w:r>
    </w:p>
    <w:p w14:paraId="50AC957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w:t>
      </w:r>
    </w:p>
    <w:p w14:paraId="118290D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乙方（服务单位）：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xml:space="preserve">          </w:t>
      </w:r>
    </w:p>
    <w:p w14:paraId="5B72693E">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u w:val="single"/>
          <w:lang w:val="en-US" w:eastAsia="zh-CN"/>
        </w:rPr>
      </w:pPr>
      <w:r>
        <w:rPr>
          <w:rFonts w:hint="eastAsia" w:ascii="宋体" w:hAnsi="宋体" w:eastAsia="宋体" w:cs="宋体"/>
          <w:color w:val="auto"/>
          <w:kern w:val="0"/>
          <w:sz w:val="24"/>
          <w:szCs w:val="24"/>
        </w:rPr>
        <w:t xml:space="preserve">法定代表人： </w:t>
      </w:r>
      <w:r>
        <w:rPr>
          <w:rFonts w:hint="eastAsia" w:ascii="宋体" w:hAnsi="宋体" w:eastAsia="宋体" w:cs="宋体"/>
          <w:color w:val="auto"/>
          <w:kern w:val="0"/>
          <w:sz w:val="24"/>
          <w:szCs w:val="24"/>
          <w:u w:val="single"/>
          <w:lang w:val="en-US" w:eastAsia="zh-CN"/>
        </w:rPr>
        <w:t xml:space="preserve">                                 </w:t>
      </w:r>
    </w:p>
    <w:p w14:paraId="47BB489E">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联系地址：</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u w:val="single"/>
          <w:lang w:val="en-US" w:eastAsia="zh-CN"/>
        </w:rPr>
        <w:t xml:space="preserve">                                  </w:t>
      </w:r>
    </w:p>
    <w:p w14:paraId="4002247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p>
    <w:p w14:paraId="2A74D23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兹有甲方委托乙方提供成本定价复核服务业务，依据《中华人民共和国民法典》及有关规定，经双方协商，达成以下约定：</w:t>
      </w:r>
    </w:p>
    <w:p w14:paraId="33CCA0D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一、委托事项</w:t>
      </w:r>
    </w:p>
    <w:p w14:paraId="2C9D406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（一）项目名称：</w:t>
      </w:r>
      <w:r>
        <w:rPr>
          <w:rFonts w:hint="eastAsia" w:ascii="宋体" w:hAnsi="宋体" w:cs="宋体"/>
          <w:color w:val="auto"/>
          <w:kern w:val="0"/>
          <w:sz w:val="24"/>
          <w:szCs w:val="24"/>
          <w:lang w:eastAsia="zh-CN"/>
        </w:rPr>
        <w:t>东实·晴翠苑项目成本定价复核服务（重新采购）</w:t>
      </w:r>
      <w:r>
        <w:rPr>
          <w:rFonts w:hint="eastAsia" w:ascii="宋体" w:hAnsi="宋体" w:eastAsia="宋体" w:cs="宋体"/>
          <w:color w:val="auto"/>
          <w:kern w:val="0"/>
          <w:sz w:val="24"/>
          <w:szCs w:val="24"/>
        </w:rPr>
        <w:t>。</w:t>
      </w:r>
    </w:p>
    <w:p w14:paraId="6F21F1D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（二）委托业务：甲方要求乙方在不违反国家现行财务税收法规政策的前提下,根据甲方提供的</w:t>
      </w:r>
      <w:r>
        <w:rPr>
          <w:rFonts w:hint="eastAsia" w:ascii="宋体" w:hAnsi="宋体" w:eastAsia="宋体" w:cs="宋体"/>
          <w:color w:val="auto"/>
          <w:kern w:val="0"/>
          <w:sz w:val="24"/>
          <w:szCs w:val="24"/>
          <w:lang w:eastAsia="zh-CN"/>
        </w:rPr>
        <w:t>东实·晴翠苑项目</w:t>
      </w:r>
      <w:r>
        <w:rPr>
          <w:rFonts w:hint="eastAsia" w:ascii="宋体" w:hAnsi="宋体" w:eastAsia="宋体" w:cs="宋体"/>
          <w:color w:val="auto"/>
          <w:kern w:val="0"/>
          <w:sz w:val="24"/>
          <w:szCs w:val="24"/>
          <w:lang w:val="en-US" w:eastAsia="zh-CN"/>
        </w:rPr>
        <w:t>开发成本进行全面复核（包括但不限于土地成本、综合开发成本、管理费用、销售费用、财务费用、税金等）</w:t>
      </w:r>
      <w:r>
        <w:rPr>
          <w:rFonts w:hint="eastAsia" w:ascii="宋体" w:hAnsi="宋体" w:eastAsia="宋体" w:cs="宋体"/>
          <w:color w:val="auto"/>
          <w:kern w:val="0"/>
          <w:sz w:val="24"/>
          <w:szCs w:val="24"/>
        </w:rPr>
        <w:t>，结合国家产业政策、经济环境、行业环境等，对项目总成本及拟定的出售价格进行复核，出具</w:t>
      </w:r>
      <w:r>
        <w:rPr>
          <w:rFonts w:hint="eastAsia" w:ascii="宋体" w:hAnsi="宋体" w:eastAsia="宋体" w:cs="宋体"/>
          <w:color w:val="auto"/>
          <w:kern w:val="0"/>
          <w:sz w:val="24"/>
          <w:szCs w:val="24"/>
          <w:lang w:val="en-US" w:eastAsia="zh-CN"/>
        </w:rPr>
        <w:t>符合保障房政策的</w:t>
      </w:r>
      <w:r>
        <w:rPr>
          <w:rFonts w:hint="eastAsia" w:ascii="宋体" w:hAnsi="宋体" w:eastAsia="宋体" w:cs="宋体"/>
          <w:color w:val="auto"/>
          <w:kern w:val="0"/>
          <w:sz w:val="24"/>
          <w:szCs w:val="24"/>
        </w:rPr>
        <w:t>总成本及出售价格复核报告。</w:t>
      </w:r>
    </w:p>
    <w:p w14:paraId="797902C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（三）完成时间：合同生效后</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乙方应于收到甲方指令后</w:t>
      </w:r>
      <w:r>
        <w:rPr>
          <w:rFonts w:hint="eastAsia" w:ascii="宋体" w:hAnsi="宋体" w:eastAsia="宋体" w:cs="宋体"/>
          <w:color w:val="auto"/>
          <w:kern w:val="0"/>
          <w:sz w:val="24"/>
          <w:szCs w:val="24"/>
          <w:lang w:val="en-US" w:eastAsia="zh-CN"/>
        </w:rPr>
        <w:t>根据复核需要一次性罗列出甲方需要提供的资料清单，收到资料后7</w:t>
      </w:r>
      <w:r>
        <w:rPr>
          <w:rFonts w:hint="eastAsia" w:ascii="宋体" w:hAnsi="宋体" w:eastAsia="宋体" w:cs="宋体"/>
          <w:color w:val="auto"/>
          <w:kern w:val="0"/>
          <w:sz w:val="24"/>
          <w:szCs w:val="24"/>
        </w:rPr>
        <w:t>天内完成</w:t>
      </w:r>
      <w:r>
        <w:rPr>
          <w:rFonts w:hint="eastAsia" w:ascii="宋体" w:hAnsi="宋体" w:eastAsia="宋体" w:cs="宋体"/>
          <w:color w:val="auto"/>
          <w:kern w:val="0"/>
          <w:sz w:val="24"/>
          <w:szCs w:val="24"/>
          <w:lang w:val="en-US" w:eastAsia="zh-CN"/>
        </w:rPr>
        <w:t>复核报告初稿，待甲方确认完成后3日内出具正式稿</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因甲方</w:t>
      </w:r>
      <w:r>
        <w:rPr>
          <w:rFonts w:hint="eastAsia" w:ascii="宋体" w:hAnsi="宋体" w:eastAsia="宋体" w:cs="宋体"/>
          <w:color w:val="auto"/>
          <w:kern w:val="0"/>
          <w:sz w:val="24"/>
          <w:szCs w:val="24"/>
          <w:lang w:val="en-US" w:eastAsia="zh-CN"/>
        </w:rPr>
        <w:t>未及时按清单提供资料，</w:t>
      </w:r>
      <w:r>
        <w:rPr>
          <w:rFonts w:hint="eastAsia" w:ascii="宋体" w:hAnsi="宋体" w:eastAsia="宋体" w:cs="宋体"/>
          <w:color w:val="auto"/>
          <w:kern w:val="0"/>
          <w:sz w:val="24"/>
          <w:szCs w:val="24"/>
        </w:rPr>
        <w:t>则</w:t>
      </w:r>
      <w:r>
        <w:rPr>
          <w:rFonts w:hint="eastAsia" w:ascii="宋体" w:hAnsi="宋体" w:eastAsia="宋体" w:cs="宋体"/>
          <w:color w:val="auto"/>
          <w:kern w:val="0"/>
          <w:sz w:val="24"/>
          <w:szCs w:val="24"/>
          <w:lang w:val="en-US" w:eastAsia="zh-CN"/>
        </w:rPr>
        <w:t>工期</w:t>
      </w:r>
      <w:r>
        <w:rPr>
          <w:rFonts w:hint="eastAsia" w:ascii="宋体" w:hAnsi="宋体" w:eastAsia="宋体" w:cs="宋体"/>
          <w:color w:val="auto"/>
          <w:kern w:val="0"/>
          <w:sz w:val="24"/>
          <w:szCs w:val="24"/>
        </w:rPr>
        <w:t>相应顺延。</w:t>
      </w:r>
    </w:p>
    <w:p w14:paraId="0FE2DF7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二、甲方的责任与义务</w:t>
      </w:r>
    </w:p>
    <w:p w14:paraId="572A72C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（一）甲方的责任</w:t>
      </w:r>
    </w:p>
    <w:p w14:paraId="6C7C6536">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1、根据国家现行法律法规的有关规定，甲方有责任保证</w:t>
      </w:r>
      <w:r>
        <w:rPr>
          <w:rFonts w:hint="eastAsia" w:ascii="宋体" w:hAnsi="宋体" w:eastAsia="宋体" w:cs="宋体"/>
          <w:color w:val="auto"/>
          <w:kern w:val="0"/>
          <w:sz w:val="24"/>
          <w:szCs w:val="24"/>
          <w:lang w:val="en-US" w:eastAsia="zh-CN"/>
        </w:rPr>
        <w:t>相关成本、财务数据</w:t>
      </w:r>
      <w:r>
        <w:rPr>
          <w:rFonts w:hint="eastAsia" w:ascii="宋体" w:hAnsi="宋体" w:eastAsia="宋体" w:cs="宋体"/>
          <w:color w:val="auto"/>
          <w:kern w:val="0"/>
          <w:sz w:val="24"/>
          <w:szCs w:val="24"/>
        </w:rPr>
        <w:t>资料的真实性、合法性和完整性并承担因资料不真实、不合法、不完整而造成不良后果的相应责任。</w:t>
      </w:r>
    </w:p>
    <w:p w14:paraId="433F475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2、甲方不得授意乙方人员实施违反会计、税收法律、法规的行为。如有此类情况，经劝告仍不停止的，乙方有权终止合同，依约收取费用。</w:t>
      </w:r>
    </w:p>
    <w:p w14:paraId="033D674E">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甲方应积极配合乙方人员工作并提供必要的工作条件。</w:t>
      </w:r>
    </w:p>
    <w:p w14:paraId="68D26E92">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（二）甲方的义务</w:t>
      </w:r>
    </w:p>
    <w:p w14:paraId="6482ACCE">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1、及时为乙方的</w:t>
      </w:r>
      <w:r>
        <w:rPr>
          <w:rFonts w:hint="eastAsia" w:ascii="宋体" w:hAnsi="宋体" w:eastAsia="宋体" w:cs="宋体"/>
          <w:color w:val="auto"/>
          <w:kern w:val="0"/>
          <w:sz w:val="24"/>
          <w:szCs w:val="24"/>
          <w:lang w:val="en-US" w:eastAsia="zh-CN"/>
        </w:rPr>
        <w:t>复核</w:t>
      </w:r>
      <w:r>
        <w:rPr>
          <w:rFonts w:hint="eastAsia" w:ascii="宋体" w:hAnsi="宋体" w:eastAsia="宋体" w:cs="宋体"/>
          <w:color w:val="auto"/>
          <w:kern w:val="0"/>
          <w:sz w:val="24"/>
          <w:szCs w:val="24"/>
        </w:rPr>
        <w:t>服务工作提供其所需求的全部</w:t>
      </w:r>
      <w:r>
        <w:rPr>
          <w:rFonts w:hint="eastAsia" w:ascii="宋体" w:hAnsi="宋体" w:eastAsia="宋体" w:cs="宋体"/>
          <w:color w:val="auto"/>
          <w:kern w:val="0"/>
          <w:sz w:val="24"/>
          <w:szCs w:val="24"/>
          <w:lang w:val="en-US" w:eastAsia="zh-CN"/>
        </w:rPr>
        <w:t>成本</w:t>
      </w:r>
      <w:r>
        <w:rPr>
          <w:rFonts w:hint="eastAsia" w:ascii="宋体" w:hAnsi="宋体" w:eastAsia="宋体" w:cs="宋体"/>
          <w:color w:val="auto"/>
          <w:kern w:val="0"/>
          <w:sz w:val="24"/>
          <w:szCs w:val="24"/>
        </w:rPr>
        <w:t>资料、</w:t>
      </w:r>
      <w:r>
        <w:rPr>
          <w:rFonts w:hint="eastAsia" w:ascii="宋体" w:hAnsi="宋体" w:eastAsia="宋体" w:cs="宋体"/>
          <w:color w:val="auto"/>
          <w:kern w:val="0"/>
          <w:sz w:val="24"/>
          <w:szCs w:val="24"/>
          <w:lang w:val="en-US" w:eastAsia="zh-CN"/>
        </w:rPr>
        <w:t>财务</w:t>
      </w:r>
      <w:r>
        <w:rPr>
          <w:rFonts w:hint="eastAsia" w:ascii="宋体" w:hAnsi="宋体" w:eastAsia="宋体" w:cs="宋体"/>
          <w:color w:val="auto"/>
          <w:kern w:val="0"/>
          <w:sz w:val="24"/>
          <w:szCs w:val="24"/>
        </w:rPr>
        <w:t>资料和其他有关资料，并保证所提供资料的真实性、合法性和完整性。</w:t>
      </w:r>
    </w:p>
    <w:p w14:paraId="2BE541B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2、甲方确保乙方不受限制地接触任何与本次工作有关的记录、文件和所需的其他信息，不得授意乙方人员实施违反国家法律、法规的行为。</w:t>
      </w:r>
    </w:p>
    <w:p w14:paraId="4DD08EB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3、甲方管理层对其作出的与委托业务有关的声明予以书面确认。</w:t>
      </w:r>
    </w:p>
    <w:p w14:paraId="4C762F8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4、正确使用业务报告，乙方为甲方提供的报告，除本约定书约定的情形外，未经乙方许可，甲方不得提供第三方。由于使用不当所造成的后果，与乙方无关。</w:t>
      </w:r>
    </w:p>
    <w:p w14:paraId="592EAE6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5、按本约定书的约定及时足额支付委托业务费用以及其他相关费用。</w:t>
      </w:r>
    </w:p>
    <w:p w14:paraId="46E79AAC">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三、乙方的责任和义务</w:t>
      </w:r>
    </w:p>
    <w:p w14:paraId="0B3F9AE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（一）乙方的责任</w:t>
      </w:r>
    </w:p>
    <w:p w14:paraId="113AF8A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1、乙方应严格按照现行相关法律、法规和政策规定，及执业准则有关规定，恪守独立、客观、公正的原则，对甲方提供的</w:t>
      </w:r>
      <w:r>
        <w:rPr>
          <w:rFonts w:hint="eastAsia" w:ascii="宋体" w:hAnsi="宋体" w:eastAsia="宋体" w:cs="宋体"/>
          <w:color w:val="auto"/>
          <w:kern w:val="0"/>
          <w:sz w:val="24"/>
          <w:szCs w:val="24"/>
          <w:lang w:val="en-US" w:eastAsia="zh-CN"/>
        </w:rPr>
        <w:t>成本、财务等</w:t>
      </w:r>
      <w:r>
        <w:rPr>
          <w:rFonts w:hint="eastAsia" w:ascii="宋体" w:hAnsi="宋体" w:eastAsia="宋体" w:cs="宋体"/>
          <w:color w:val="auto"/>
          <w:kern w:val="0"/>
          <w:sz w:val="24"/>
          <w:szCs w:val="24"/>
        </w:rPr>
        <w:t>资料进行审核、分析，并发表专业意见。</w:t>
      </w:r>
    </w:p>
    <w:p w14:paraId="01F5EAD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2、乙方应当制定合理计划和实施能够获取充分、适当证据的审核程序，为甲方的委托事项提供合理保证或建议。乙方有责任就业务服务成果向甲方解释，并在业务报告中说明。</w:t>
      </w:r>
    </w:p>
    <w:p w14:paraId="0189470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3、基于截止性测试的性质和审核过程中的其他固有限制，以及甲方内部控制的固有局限性，经乙方审核后仍然可能存在未被发现的风险，乙方出具的业务报告不能因此减轻甲方应当承担的法律责任。</w:t>
      </w:r>
    </w:p>
    <w:p w14:paraId="24A572E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（二）乙方的义务</w:t>
      </w:r>
    </w:p>
    <w:p w14:paraId="3D64F9C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1、在委托方和相关当事方的协助下，根据业务工作方案和计划，按照执业准则中执业质量和业务报告的要求，如期完成工作任务。为所承接审核业务配备具有相应专业胜任能力的专业人员。</w:t>
      </w:r>
    </w:p>
    <w:p w14:paraId="457C605D">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乙方应采取一切合理措施（包括但不限于培训、指导、签订保密协议等），确保任何处理、接触甲方信息和业务的人员遵守法律规定及合同约定的保密义务；并应采取与潜在风险成比例的技术和组织措施，以防范第三方通过乙方设备、系统、网络接触、获取、篡改甲方业务相关信息，保护甲方信息及其他数据免受泄露及网络安全事件，保障甲方数据、信息的保密性、安全性。上述保护措施的严格程度应当充分满足甲方要求及法律及国家标准的要求。</w:t>
      </w:r>
    </w:p>
    <w:p w14:paraId="4D488D68">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四、违约责任</w:t>
      </w:r>
    </w:p>
    <w:p w14:paraId="07E29AD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一</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甲方违约责任 </w:t>
      </w:r>
    </w:p>
    <w:p w14:paraId="11D40846">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甲方提前解除本合同的，如乙方未实际开展工作的，应退还全部已付合同价款；如乙方已实际开展工作的，甲方应据乙方实际工作量结算合同价款，乙方不得追究甲方其他违约责任。</w:t>
      </w:r>
    </w:p>
    <w:p w14:paraId="50BDE67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甲方无正当理由逾期支付合同价款的，甲方应当向乙方支付逾期付款违约金。逾期付款违约金以逾期金额为本金，从甲方逾期付款当日起按照当月已发布的一年期LPR计算至合同价款付清之日。</w:t>
      </w:r>
    </w:p>
    <w:p w14:paraId="2C55052D">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 xml:space="preserve">乙方违约责任 </w:t>
      </w:r>
    </w:p>
    <w:p w14:paraId="66790DA4">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合同签订后，如乙方擅自中途停止或解除合同，乙方应当向甲方支付相当于合同总金额10%的违约金，如甲方的实际损失超出违约金数额的，甲方还有权就超出部分损失向乙方主张赔偿责任。</w:t>
      </w:r>
    </w:p>
    <w:p w14:paraId="1D56040B">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乙方未能按合同规定的日期提交成果</w:t>
      </w:r>
      <w:r>
        <w:rPr>
          <w:rFonts w:hint="eastAsia" w:ascii="宋体" w:hAnsi="宋体" w:eastAsia="宋体" w:cs="宋体"/>
          <w:color w:val="auto"/>
          <w:kern w:val="0"/>
          <w:sz w:val="24"/>
          <w:szCs w:val="24"/>
          <w:lang w:val="en-US" w:eastAsia="zh-CN"/>
        </w:rPr>
        <w:t>的</w:t>
      </w:r>
      <w:r>
        <w:rPr>
          <w:rFonts w:hint="eastAsia" w:ascii="宋体" w:hAnsi="宋体" w:eastAsia="宋体" w:cs="宋体"/>
          <w:color w:val="auto"/>
          <w:kern w:val="0"/>
          <w:sz w:val="24"/>
          <w:szCs w:val="24"/>
        </w:rPr>
        <w:t xml:space="preserve">，应向甲方赔偿逾期交付违约金，每逾期一日，乙方应每日按合同总价款的千分之一向甲方支付逾期交付违约金。逾期超过 15 日，甲方有权解除本合同，并有权要求乙方支付相当于合同总金额10%的违约金，如甲方的实际损失超出违约金数额的，甲方还有权就超出部分损失向乙方主张赔偿责任。因天气、交通、政府行为、甲方提供的资料不准确等客观原因造成逾期交付，经甲方书面确认，乙方不承担赔偿责任。 </w:t>
      </w:r>
    </w:p>
    <w:p w14:paraId="1166052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乙方提供的成果质量不合格的，乙方应负责无偿采取补救措施，以达到质量要求。</w:t>
      </w:r>
      <w:r>
        <w:rPr>
          <w:rFonts w:hint="eastAsia" w:ascii="宋体" w:hAnsi="宋体" w:cs="宋体"/>
          <w:color w:val="auto"/>
          <w:kern w:val="0"/>
          <w:sz w:val="24"/>
          <w:szCs w:val="24"/>
          <w:lang w:val="en-US" w:eastAsia="zh-CN"/>
        </w:rPr>
        <w:t>如乙方不采取补救措施或经补救措施后</w:t>
      </w:r>
      <w:r>
        <w:rPr>
          <w:rFonts w:hint="eastAsia" w:ascii="宋体" w:hAnsi="宋体" w:eastAsia="宋体" w:cs="宋体"/>
          <w:color w:val="auto"/>
          <w:kern w:val="0"/>
          <w:sz w:val="24"/>
          <w:szCs w:val="24"/>
        </w:rPr>
        <w:t>成果质量</w:t>
      </w:r>
      <w:r>
        <w:rPr>
          <w:rFonts w:hint="eastAsia" w:ascii="宋体" w:hAnsi="宋体" w:cs="宋体"/>
          <w:color w:val="auto"/>
          <w:kern w:val="0"/>
          <w:sz w:val="24"/>
          <w:szCs w:val="24"/>
          <w:lang w:val="en-US" w:eastAsia="zh-CN"/>
        </w:rPr>
        <w:t>仍</w:t>
      </w:r>
      <w:r>
        <w:rPr>
          <w:rFonts w:hint="eastAsia" w:ascii="宋体" w:hAnsi="宋体" w:eastAsia="宋体" w:cs="宋体"/>
          <w:color w:val="auto"/>
          <w:kern w:val="0"/>
          <w:sz w:val="24"/>
          <w:szCs w:val="24"/>
        </w:rPr>
        <w:t>不符合合同要求的，甲方有权解除合同，乙方应向甲方支付相当于合同总金额10%的违约金，如甲方的实际损失超出违约金数额的，甲方还有权就超出部分损失向乙方主张赔偿责任。</w:t>
      </w:r>
    </w:p>
    <w:p w14:paraId="43D7B655">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乙方擅自转包本合同标的，甲方有权解除合同，乙方应向甲方支付相当于合同总金额10%的违约金，如甲方的实际损失超出违约金数额的，甲方还有权就超出部分损失向乙方主张赔偿责任。</w:t>
      </w:r>
    </w:p>
    <w:p w14:paraId="7267096D">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如乙方违约的，甲方除有权要求乙方承担违约责任外，还有权要求乙方支付维权成本，包括但不限于诉讼/仲裁费、调查取证费/公证费/鉴定费、律师费、保全费、担保费、差旅费等维权费用及其他合理费用。</w:t>
      </w:r>
    </w:p>
    <w:p w14:paraId="302E109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6、</w:t>
      </w:r>
      <w:r>
        <w:rPr>
          <w:rFonts w:hint="eastAsia" w:ascii="宋体" w:hAnsi="宋体" w:eastAsia="宋体" w:cs="宋体"/>
          <w:color w:val="auto"/>
          <w:kern w:val="0"/>
          <w:sz w:val="24"/>
          <w:szCs w:val="24"/>
        </w:rPr>
        <w:t>因乙方原因所产生的违约金、赔偿或其他应付费用，甲方有权从乙方提供的履约担保金额或甲方应支付的合同价款中直接扣除。。</w:t>
      </w:r>
    </w:p>
    <w:p w14:paraId="66959DA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五、免责事由</w:t>
      </w:r>
    </w:p>
    <w:p w14:paraId="7EA48C5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如本约定书任何一方因受不可抗力事件影响而未能履行其在本约定书项下的全部或部分义务，该义务的履行在不可抗力事件妨碍其履行期间根据程度应予中止或终止。</w:t>
      </w:r>
    </w:p>
    <w:p w14:paraId="3E4FBF0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由不可抗力不能履行约定书或造成他人损害的，部分或全部免除民事责任。</w:t>
      </w:r>
    </w:p>
    <w:p w14:paraId="016B646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六</w:t>
      </w:r>
      <w:r>
        <w:rPr>
          <w:rFonts w:hint="eastAsia" w:ascii="宋体" w:hAnsi="宋体" w:eastAsia="宋体" w:cs="宋体"/>
          <w:color w:val="auto"/>
          <w:kern w:val="0"/>
          <w:sz w:val="24"/>
          <w:szCs w:val="24"/>
        </w:rPr>
        <w:t>、费用及支付</w:t>
      </w:r>
    </w:p>
    <w:p w14:paraId="50EE8E7C">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（一）本项目服务费用为包干价¥</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元（大写：人民币</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）,其中不含税额为¥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元（大写：人民币</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），增值税金额为¥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元（大写：人民币</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）；增值税税率为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%，费用结算期间如遇国家税收政策调整，则按不含税费用以新税率计算税费。</w:t>
      </w:r>
    </w:p>
    <w:p w14:paraId="2805F26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二</w:t>
      </w:r>
      <w:r>
        <w:rPr>
          <w:rFonts w:hint="eastAsia" w:ascii="宋体" w:hAnsi="宋体" w:eastAsia="宋体" w:cs="宋体"/>
          <w:color w:val="auto"/>
          <w:kern w:val="0"/>
          <w:sz w:val="24"/>
          <w:szCs w:val="24"/>
        </w:rPr>
        <w:t>）费用包括但不限于服务期内完成本项目的人工费（含工资、加班费、保险、福利等）交通费、住宿费、食宿费、办公费、设备费、装备费、材料费、快递费、往来询证函费、利润、应缴税费以及服务合同包含的所有风险、责任等各项应有费用的全包价。</w:t>
      </w:r>
    </w:p>
    <w:p w14:paraId="48AEA02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（三）具体支付方式和时间如下：</w:t>
      </w:r>
    </w:p>
    <w:p w14:paraId="7895600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乙方在完成全部工作并向甲方提交《东实·</w:t>
      </w:r>
      <w:r>
        <w:rPr>
          <w:rFonts w:hint="eastAsia" w:ascii="宋体" w:hAnsi="宋体" w:cs="宋体"/>
          <w:color w:val="auto"/>
          <w:kern w:val="0"/>
          <w:sz w:val="24"/>
          <w:szCs w:val="24"/>
          <w:lang w:val="en-US" w:eastAsia="zh-CN"/>
        </w:rPr>
        <w:t>晴翠苑</w:t>
      </w:r>
      <w:r>
        <w:rPr>
          <w:rFonts w:hint="eastAsia" w:ascii="宋体" w:hAnsi="宋体" w:eastAsia="宋体" w:cs="宋体"/>
          <w:color w:val="auto"/>
          <w:kern w:val="0"/>
          <w:sz w:val="24"/>
          <w:szCs w:val="24"/>
          <w:lang w:val="en-US" w:eastAsia="zh-CN"/>
        </w:rPr>
        <w:t>项目总成本及出售价格专项报告》，并且办理完结算工作后向甲方提交等额有效的增值税发票，甲方收到发票后15个工作日内，向乙方支付至结算总金额的100%。</w:t>
      </w:r>
    </w:p>
    <w:p w14:paraId="4487DA3C">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四）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14:paraId="5C1CC06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八、业务报告的出具和使用</w:t>
      </w:r>
    </w:p>
    <w:p w14:paraId="19F68E72">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（一）乙方应当按照国家发布的相关业务准则所规定的格式和类型，出具真实、合法的业务报告。</w:t>
      </w:r>
    </w:p>
    <w:p w14:paraId="0E14B6F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（二）乙方向甲方出具审核报告一式四份以及咨询报告电子版。</w:t>
      </w:r>
    </w:p>
    <w:p w14:paraId="05A2DD0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（三）甲方不得修改或删节乙方出具的审核报告；不得修改或删除重要的数据、重要的附件和所作的重要说明。</w:t>
      </w:r>
    </w:p>
    <w:p w14:paraId="22CA2CB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九、约定事项的变更</w:t>
      </w:r>
    </w:p>
    <w:p w14:paraId="6CFDB9F6">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如果出现不可预见的情形，影响审核工作如期完成，或需要提前出具审核报告时，甲乙双方均可要求变更约定事项，但应提前通知对方，并由双方协商解决。</w:t>
      </w:r>
    </w:p>
    <w:p w14:paraId="5BA5AE2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（一）本约定书签订后，双方应当按约履行，不得无故终止。如遇法定情形或特殊原因确需终止的,提出终止的一方应提前通知另一方。</w:t>
      </w:r>
    </w:p>
    <w:p w14:paraId="08A4AFBA">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（二）在终止业务约定的情况下，乙方有权就本约定书终止之日前对约定事项所付出的劳动收取合理的费用。</w:t>
      </w:r>
    </w:p>
    <w:p w14:paraId="2B8A229C">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十、资料保留及所有权</w:t>
      </w:r>
    </w:p>
    <w:p w14:paraId="2C19C3E2">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乙方对执行业务过程中形成的工作底稿拥有所有权、乙方可自主决定允许甲方获取业务工作底稿部分内容、或摘录部分工作底稿。但披露这些信息不得损害乙方执行业务的有效性和独立性。</w:t>
      </w:r>
    </w:p>
    <w:p w14:paraId="59E86568">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十一、适用法律和争议解决</w:t>
      </w:r>
    </w:p>
    <w:p w14:paraId="721480F9">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本约定书的所有方面均应适用中华人民共和国的法律进行解释并受其约束。与本约定书有关的任何纠纷或争议，双方均可向</w:t>
      </w:r>
      <w:r>
        <w:rPr>
          <w:rFonts w:hint="eastAsia" w:ascii="宋体" w:hAnsi="宋体" w:cs="宋体"/>
          <w:color w:val="auto"/>
          <w:kern w:val="0"/>
          <w:sz w:val="24"/>
          <w:szCs w:val="24"/>
          <w:lang w:val="en-US" w:eastAsia="zh-CN"/>
        </w:rPr>
        <w:t>甲方所在地人民法院提起诉讼解决</w:t>
      </w:r>
      <w:r>
        <w:rPr>
          <w:rFonts w:hint="eastAsia" w:ascii="宋体" w:hAnsi="宋体" w:eastAsia="宋体" w:cs="宋体"/>
          <w:color w:val="auto"/>
          <w:kern w:val="0"/>
          <w:sz w:val="24"/>
          <w:szCs w:val="24"/>
        </w:rPr>
        <w:t>。</w:t>
      </w:r>
    </w:p>
    <w:p w14:paraId="3475506D">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十二、本约定书的法律效力</w:t>
      </w:r>
    </w:p>
    <w:p w14:paraId="21336A27">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（一）本约定书经双方法定代表人签字或盖章并加盖单位公章之日起生效，并在双方履行完成约定事项后终止。</w:t>
      </w:r>
    </w:p>
    <w:p w14:paraId="28B23B08">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（二）本约定书一式</w:t>
      </w:r>
      <w:r>
        <w:rPr>
          <w:rFonts w:hint="eastAsia" w:ascii="宋体" w:hAnsi="宋体" w:eastAsia="宋体" w:cs="宋体"/>
          <w:color w:val="auto"/>
          <w:kern w:val="0"/>
          <w:sz w:val="24"/>
          <w:szCs w:val="24"/>
          <w:lang w:eastAsia="zh-CN"/>
        </w:rPr>
        <w:t>伍</w:t>
      </w:r>
      <w:r>
        <w:rPr>
          <w:rFonts w:hint="eastAsia" w:ascii="宋体" w:hAnsi="宋体" w:eastAsia="宋体" w:cs="宋体"/>
          <w:color w:val="auto"/>
          <w:kern w:val="0"/>
          <w:sz w:val="24"/>
          <w:szCs w:val="24"/>
        </w:rPr>
        <w:t>份，甲方叁份，乙方</w:t>
      </w:r>
      <w:r>
        <w:rPr>
          <w:rFonts w:hint="eastAsia" w:ascii="宋体" w:hAnsi="宋体" w:eastAsia="宋体" w:cs="宋体"/>
          <w:color w:val="auto"/>
          <w:kern w:val="0"/>
          <w:sz w:val="24"/>
          <w:szCs w:val="24"/>
          <w:lang w:eastAsia="zh-CN"/>
        </w:rPr>
        <w:t>贰</w:t>
      </w:r>
      <w:r>
        <w:rPr>
          <w:rFonts w:hint="eastAsia" w:ascii="宋体" w:hAnsi="宋体" w:eastAsia="宋体" w:cs="宋体"/>
          <w:color w:val="auto"/>
          <w:kern w:val="0"/>
          <w:sz w:val="24"/>
          <w:szCs w:val="24"/>
        </w:rPr>
        <w:t>份，具有同等法律效力。</w:t>
      </w:r>
    </w:p>
    <w:p w14:paraId="3D7E52B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十三、其他事项的约定</w:t>
      </w:r>
    </w:p>
    <w:p w14:paraId="256C68C2">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（一）14.1本合同正文与下列附件共同构成本合同双方协商达成一致的全部内容：</w:t>
      </w:r>
    </w:p>
    <w:p w14:paraId="7203C73E">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附件1：阳光合作协议</w:t>
      </w:r>
    </w:p>
    <w:p w14:paraId="7320F943">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附件2：中标通知书、承诺书</w:t>
      </w:r>
    </w:p>
    <w:p w14:paraId="443ED946">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附件3:营业执照、资质证书、法人身份证</w:t>
      </w:r>
    </w:p>
    <w:p w14:paraId="1B48AD9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附件4:招标文件</w:t>
      </w:r>
    </w:p>
    <w:p w14:paraId="63C7C06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附件5:投标文件</w:t>
      </w:r>
    </w:p>
    <w:p w14:paraId="5AE79618">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二</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本约定书未尽事宜，经双方协商另行签订的补充协议，本约定书的附件及任何补充协议与本约定书具有同等法律效力。</w:t>
      </w:r>
    </w:p>
    <w:p w14:paraId="2B941E7A">
      <w:pPr>
        <w:keepNext w:val="0"/>
        <w:keepLines w:val="0"/>
        <w:pageBreakBefore w:val="0"/>
        <w:widowControl/>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color w:val="auto"/>
          <w:kern w:val="0"/>
          <w:sz w:val="24"/>
          <w:szCs w:val="24"/>
        </w:rPr>
      </w:pPr>
    </w:p>
    <w:p w14:paraId="19433308">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w:t>
      </w:r>
    </w:p>
    <w:p w14:paraId="196CA7F1">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甲方：</w:t>
      </w:r>
      <w:r>
        <w:rPr>
          <w:rFonts w:hint="eastAsia" w:ascii="宋体" w:hAnsi="宋体" w:eastAsia="宋体" w:cs="宋体"/>
          <w:color w:val="auto"/>
          <w:kern w:val="0"/>
          <w:sz w:val="24"/>
          <w:szCs w:val="24"/>
          <w:lang w:eastAsia="zh-CN"/>
        </w:rPr>
        <w:t>东莞市</w:t>
      </w:r>
      <w:r>
        <w:rPr>
          <w:rFonts w:hint="eastAsia" w:ascii="宋体" w:hAnsi="宋体" w:cs="宋体"/>
          <w:color w:val="auto"/>
          <w:kern w:val="0"/>
          <w:sz w:val="24"/>
          <w:szCs w:val="24"/>
          <w:lang w:val="en-US" w:eastAsia="zh-CN"/>
        </w:rPr>
        <w:t>莞岭</w:t>
      </w:r>
      <w:r>
        <w:rPr>
          <w:rFonts w:hint="eastAsia" w:ascii="宋体" w:hAnsi="宋体" w:eastAsia="宋体" w:cs="宋体"/>
          <w:color w:val="auto"/>
          <w:kern w:val="0"/>
          <w:sz w:val="24"/>
          <w:szCs w:val="24"/>
          <w:lang w:eastAsia="zh-CN"/>
        </w:rPr>
        <w:t>安居建设有限公司</w:t>
      </w:r>
      <w:r>
        <w:rPr>
          <w:rFonts w:hint="eastAsia" w:ascii="宋体" w:hAnsi="宋体" w:eastAsia="宋体" w:cs="宋体"/>
          <w:color w:val="auto"/>
          <w:kern w:val="0"/>
          <w:sz w:val="24"/>
          <w:szCs w:val="24"/>
        </w:rPr>
        <w:t xml:space="preserve">     乙方：</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 xml:space="preserve"> </w:t>
      </w:r>
    </w:p>
    <w:p w14:paraId="32449642">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（盖章）                            （盖章）</w:t>
      </w:r>
    </w:p>
    <w:p w14:paraId="6F2BC76D">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cs="宋体"/>
          <w:color w:val="auto"/>
          <w:kern w:val="0"/>
          <w:sz w:val="24"/>
          <w:szCs w:val="24"/>
          <w:lang w:eastAsia="zh-CN"/>
        </w:rPr>
      </w:pPr>
    </w:p>
    <w:p w14:paraId="71F91BB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法人（授权）代表：                   法人（授权）代表： </w:t>
      </w:r>
    </w:p>
    <w:p w14:paraId="431AFA24">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地址：                               地址：</w:t>
      </w:r>
    </w:p>
    <w:p w14:paraId="5DDDF7E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电话：                               电话：</w:t>
      </w:r>
    </w:p>
    <w:p w14:paraId="5E37715B">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联系人：                             联系人：</w:t>
      </w:r>
    </w:p>
    <w:p w14:paraId="6620D4FF">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 </w:t>
      </w:r>
    </w:p>
    <w:p w14:paraId="2C1AD22B">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签约日期：</w:t>
      </w:r>
      <w:r>
        <w:rPr>
          <w:rFonts w:hint="eastAsia" w:ascii="宋体" w:hAnsi="宋体" w:eastAsia="宋体" w:cs="宋体"/>
          <w:color w:val="auto"/>
          <w:kern w:val="0"/>
          <w:sz w:val="24"/>
          <w:szCs w:val="24"/>
          <w:lang w:val="en-US" w:eastAsia="zh-CN"/>
        </w:rPr>
        <w:t>2026年   月    日</w:t>
      </w:r>
    </w:p>
    <w:p w14:paraId="4E343D90">
      <w:pPr>
        <w:keepNext w:val="0"/>
        <w:keepLines w:val="0"/>
        <w:pageBreakBefore w:val="0"/>
        <w:widowControl/>
        <w:kinsoku/>
        <w:wordWrap/>
        <w:overflowPunct/>
        <w:topLinePunct w:val="0"/>
        <w:autoSpaceDE w:val="0"/>
        <w:autoSpaceDN w:val="0"/>
        <w:bidi w:val="0"/>
        <w:adjustRightInd w:val="0"/>
        <w:snapToGrid/>
        <w:spacing w:line="360" w:lineRule="auto"/>
        <w:ind w:firstLine="480" w:firstLineChars="20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签约地点：广东.东莞</w:t>
      </w:r>
    </w:p>
    <w:p w14:paraId="4BE697D9">
      <w:pPr>
        <w:snapToGrid/>
        <w:spacing w:line="240" w:lineRule="auto"/>
        <w:rPr>
          <w:rFonts w:hint="eastAsia" w:ascii="黑体" w:hAnsi="黑体" w:eastAsia="黑体" w:cs="黑体"/>
          <w:b w:val="0"/>
          <w:bCs w:val="0"/>
          <w:color w:val="auto"/>
          <w:sz w:val="28"/>
          <w:szCs w:val="28"/>
          <w:highlight w:val="none"/>
          <w:lang w:eastAsia="zh-CN"/>
        </w:rPr>
      </w:pPr>
      <w:r>
        <w:rPr>
          <w:rFonts w:hint="eastAsia" w:ascii="黑体" w:hAnsi="黑体" w:eastAsia="黑体" w:cs="黑体"/>
          <w:b w:val="0"/>
          <w:bCs w:val="0"/>
          <w:color w:val="auto"/>
          <w:sz w:val="28"/>
          <w:szCs w:val="28"/>
          <w:highlight w:val="none"/>
        </w:rPr>
        <w:t>附件</w:t>
      </w:r>
      <w:r>
        <w:rPr>
          <w:rFonts w:hint="eastAsia" w:ascii="黑体" w:hAnsi="黑体" w:eastAsia="黑体" w:cs="黑体"/>
          <w:b w:val="0"/>
          <w:bCs w:val="0"/>
          <w:color w:val="auto"/>
          <w:sz w:val="28"/>
          <w:szCs w:val="28"/>
          <w:highlight w:val="none"/>
          <w:lang w:val="en-US" w:eastAsia="zh-CN"/>
        </w:rPr>
        <w:t>一</w:t>
      </w:r>
    </w:p>
    <w:p w14:paraId="60250AF3">
      <w:pPr>
        <w:keepNext w:val="0"/>
        <w:keepLines w:val="0"/>
        <w:pageBreakBefore w:val="0"/>
        <w:kinsoku/>
        <w:overflowPunct/>
        <w:topLinePunct w:val="0"/>
        <w:bidi w:val="0"/>
        <w:spacing w:line="360" w:lineRule="auto"/>
        <w:ind w:firstLine="880" w:firstLineChars="200"/>
        <w:jc w:val="center"/>
        <w:rPr>
          <w:rFonts w:ascii="宋体" w:hAnsi="宋体"/>
          <w:b/>
          <w:color w:val="auto"/>
          <w:sz w:val="44"/>
          <w:szCs w:val="44"/>
        </w:rPr>
      </w:pPr>
      <w:r>
        <w:rPr>
          <w:rFonts w:hint="eastAsia" w:ascii="宋体" w:hAnsi="宋体"/>
          <w:b/>
          <w:color w:val="auto"/>
          <w:sz w:val="44"/>
          <w:szCs w:val="44"/>
        </w:rPr>
        <w:t>阳光合作协议</w:t>
      </w:r>
    </w:p>
    <w:p w14:paraId="1187E831">
      <w:pPr>
        <w:keepNext w:val="0"/>
        <w:keepLines w:val="0"/>
        <w:pageBreakBefore w:val="0"/>
        <w:kinsoku/>
        <w:overflowPunct/>
        <w:topLinePunct w:val="0"/>
        <w:bidi w:val="0"/>
        <w:spacing w:line="360" w:lineRule="auto"/>
        <w:ind w:firstLine="420" w:firstLineChars="200"/>
        <w:jc w:val="center"/>
        <w:rPr>
          <w:rFonts w:ascii="宋体" w:hAnsi="宋体"/>
          <w:b/>
          <w:color w:val="auto"/>
          <w:szCs w:val="21"/>
        </w:rPr>
      </w:pPr>
    </w:p>
    <w:p w14:paraId="7F9A8111">
      <w:pPr>
        <w:keepNext w:val="0"/>
        <w:keepLines w:val="0"/>
        <w:pageBreakBefore w:val="0"/>
        <w:kinsoku/>
        <w:overflowPunct/>
        <w:topLinePunct w:val="0"/>
        <w:bidi w:val="0"/>
        <w:spacing w:line="360" w:lineRule="auto"/>
        <w:ind w:firstLine="420" w:firstLineChars="200"/>
        <w:contextualSpacing/>
        <w:rPr>
          <w:rFonts w:ascii="宋体" w:hAnsi="宋体"/>
          <w:color w:val="auto"/>
          <w:szCs w:val="21"/>
        </w:rPr>
      </w:pPr>
      <w:r>
        <w:rPr>
          <w:rFonts w:hint="eastAsia" w:ascii="宋体" w:hAnsi="宋体"/>
          <w:color w:val="auto"/>
          <w:szCs w:val="21"/>
        </w:rPr>
        <w:t>甲方：</w:t>
      </w:r>
      <w:r>
        <w:rPr>
          <w:rFonts w:hint="eastAsia" w:ascii="宋体" w:hAnsi="宋体" w:cs="宋体"/>
          <w:color w:val="auto"/>
          <w:u w:val="single"/>
          <w:lang w:eastAsia="zh-CN"/>
        </w:rPr>
        <w:t>东莞市</w:t>
      </w:r>
      <w:r>
        <w:rPr>
          <w:rFonts w:hint="eastAsia" w:ascii="宋体" w:hAnsi="宋体" w:cs="宋体"/>
          <w:color w:val="auto"/>
          <w:u w:val="single"/>
          <w:lang w:val="en-US" w:eastAsia="zh-CN"/>
        </w:rPr>
        <w:t>莞岭</w:t>
      </w:r>
      <w:r>
        <w:rPr>
          <w:rFonts w:hint="eastAsia" w:ascii="宋体" w:hAnsi="宋体" w:cs="宋体"/>
          <w:color w:val="auto"/>
          <w:u w:val="single"/>
          <w:lang w:eastAsia="zh-CN"/>
        </w:rPr>
        <w:t>安居建设有限公司</w:t>
      </w:r>
    </w:p>
    <w:p w14:paraId="39A6FDC4">
      <w:pPr>
        <w:keepNext w:val="0"/>
        <w:keepLines w:val="0"/>
        <w:pageBreakBefore w:val="0"/>
        <w:kinsoku/>
        <w:overflowPunct/>
        <w:topLinePunct w:val="0"/>
        <w:bidi w:val="0"/>
        <w:spacing w:line="360" w:lineRule="auto"/>
        <w:ind w:firstLine="420" w:firstLineChars="200"/>
        <w:contextualSpacing/>
        <w:rPr>
          <w:rFonts w:ascii="宋体" w:hAnsi="宋体"/>
          <w:color w:val="auto"/>
          <w:sz w:val="28"/>
          <w:szCs w:val="4"/>
        </w:rPr>
      </w:pPr>
      <w:r>
        <w:rPr>
          <w:rFonts w:hint="eastAsia" w:ascii="宋体" w:hAnsi="宋体"/>
          <w:color w:val="auto"/>
          <w:szCs w:val="21"/>
        </w:rPr>
        <w:t>乙方：</w:t>
      </w:r>
      <w:r>
        <w:rPr>
          <w:rFonts w:hint="eastAsia" w:hAnsi="宋体" w:cs="宋体"/>
          <w:color w:val="auto"/>
          <w:highlight w:val="none"/>
          <w:u w:val="single"/>
          <w:lang w:val="en-US" w:eastAsia="zh-CN"/>
        </w:rPr>
        <w:t xml:space="preserve">                       </w:t>
      </w:r>
      <w:r>
        <w:rPr>
          <w:rFonts w:hint="eastAsia" w:hAnsi="宋体"/>
          <w:color w:val="auto"/>
          <w:u w:val="single"/>
        </w:rPr>
        <w:t xml:space="preserve">   </w:t>
      </w:r>
    </w:p>
    <w:p w14:paraId="206D2721">
      <w:pPr>
        <w:ind w:firstLine="420" w:firstLineChars="200"/>
        <w:jc w:val="left"/>
        <w:rPr>
          <w:rFonts w:ascii="宋体" w:hAnsi="宋体"/>
          <w:color w:val="auto"/>
        </w:rPr>
      </w:pPr>
      <w:r>
        <w:rPr>
          <w:rFonts w:hint="eastAsia" w:ascii="宋体" w:hAnsi="宋体"/>
          <w:color w:val="auto"/>
        </w:rPr>
        <w:t>甲乙双方于</w:t>
      </w:r>
      <w:r>
        <w:rPr>
          <w:rFonts w:hint="eastAsia" w:ascii="宋体" w:hAnsi="宋体"/>
          <w:color w:val="auto"/>
          <w:u w:val="single"/>
        </w:rPr>
        <w:t>202</w:t>
      </w:r>
      <w:r>
        <w:rPr>
          <w:rFonts w:hint="eastAsia" w:ascii="宋体" w:hAnsi="宋体"/>
          <w:color w:val="auto"/>
          <w:u w:val="single"/>
          <w:lang w:val="en-US" w:eastAsia="zh-CN"/>
        </w:rPr>
        <w:t>6</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日签署了《</w:t>
      </w:r>
      <w:r>
        <w:rPr>
          <w:rFonts w:hint="eastAsia" w:ascii="宋体" w:hAnsi="宋体" w:cs="Times New Roman"/>
          <w:color w:val="auto"/>
          <w:u w:val="single"/>
          <w:lang w:eastAsia="zh-CN"/>
        </w:rPr>
        <w:t>东实·晴翠苑项目成本定价复核服务合同</w:t>
      </w:r>
      <w:r>
        <w:rPr>
          <w:rFonts w:hint="eastAsia" w:ascii="宋体" w:hAnsi="宋体"/>
          <w:color w:val="auto"/>
        </w:rPr>
        <w:t>》（以下简称原合同），为加强双方阳光合作，保证职员职业安全，甲乙双方经协商签订本协议并作为双方共同遵守的阳光合作行为准则。</w:t>
      </w:r>
    </w:p>
    <w:p w14:paraId="19721E30">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b/>
          <w:color w:val="auto"/>
        </w:rPr>
      </w:pPr>
      <w:r>
        <w:rPr>
          <w:rFonts w:hint="eastAsia" w:ascii="宋体" w:hAnsi="宋体"/>
          <w:b/>
          <w:color w:val="auto"/>
        </w:rPr>
        <w:t>一、甲方责任</w:t>
      </w:r>
    </w:p>
    <w:p w14:paraId="6F5852E8">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1.甲方有责任向乙方介绍本单位有关采购管理通用原则和本协议的规定。</w:t>
      </w:r>
    </w:p>
    <w:p w14:paraId="70A4FFF8">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2.甲方有责任对本单位相关人员进行阳光合作教育。</w:t>
      </w:r>
    </w:p>
    <w:p w14:paraId="5541B25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3.甲方人员应严格遵守本单位有关阳光合作管理的规定，不得接受乙方任何形式的回扣、实物、现金、有价证券、礼券等有价物品，不得参加乙方提供的旅游或其他可能影响职务行为公正履行的活动。</w:t>
      </w:r>
    </w:p>
    <w:p w14:paraId="119834DA">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4.甲方人员如违反阳光合作管理制度及本协议规定，甲方视情节轻重、影响大小给予行政及经济处罚。</w:t>
      </w:r>
    </w:p>
    <w:p w14:paraId="1DA0D799">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5．对于乙方举报甲方人员违反阳光合作规定的情况，甲方应及时进行调查，根据调查情况进行处理，并将调查结果向乙方反馈。</w:t>
      </w:r>
    </w:p>
    <w:p w14:paraId="74EC00A5">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6.接受举报的一方应为举报方保密，不得对举报方进行报复，对举报属实和严格遵守《阳光合作协议》的合作方，在同等条件下给予后续合作的优先权。</w:t>
      </w:r>
    </w:p>
    <w:p w14:paraId="6F6B9891">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b/>
          <w:color w:val="auto"/>
        </w:rPr>
      </w:pPr>
      <w:r>
        <w:rPr>
          <w:rFonts w:hint="eastAsia" w:ascii="宋体" w:hAnsi="宋体"/>
          <w:b/>
          <w:color w:val="auto"/>
        </w:rPr>
        <w:t>二、乙方责任</w:t>
      </w:r>
    </w:p>
    <w:p w14:paraId="32B2AFD5">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1.乙方应保证乙方人员了解甲方有关采购管理通用原则和及本协议的规定，并遵照执行。</w:t>
      </w:r>
    </w:p>
    <w:p w14:paraId="53E72482">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2.乙方不得以任何形式给予甲方人员回扣、赠送实物、现金、有价证券、礼券等有价物品或提供旅游等其他可能影响职务行为公正履行的活动（以下统称“财物”）。</w:t>
      </w:r>
    </w:p>
    <w:p w14:paraId="5ED30CDB">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3.乙方有责任接受甲方对乙方在合作期间阳光合作管理执行情况的监督，并对甲方相关调查工作主动配合。</w:t>
      </w:r>
    </w:p>
    <w:p w14:paraId="4E20CC56">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4.乙方有义务就甲方人员任何形式的索取或收受财物行为及时向甲方（直接联系人为东莞实业投资控股集团有限公司</w:t>
      </w:r>
      <w:r>
        <w:rPr>
          <w:rFonts w:hint="eastAsia" w:ascii="宋体" w:hAnsi="宋体"/>
          <w:color w:val="auto"/>
          <w:lang w:eastAsia="zh-CN"/>
        </w:rPr>
        <w:t>风控法务</w:t>
      </w:r>
      <w:r>
        <w:rPr>
          <w:rFonts w:hint="eastAsia" w:ascii="宋体" w:hAnsi="宋体"/>
          <w:color w:val="auto"/>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649B3DA6">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 xml:space="preserve">5．甲方接受乙方实名或匿名举报，保证为举报者的信息保密，常设举报部门及电话： </w:t>
      </w:r>
    </w:p>
    <w:p w14:paraId="00A3F3B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举报受理部门：东莞实业投资控股集团有限公司</w:t>
      </w:r>
      <w:r>
        <w:rPr>
          <w:rFonts w:hint="eastAsia" w:ascii="宋体" w:hAnsi="宋体"/>
          <w:color w:val="auto"/>
          <w:lang w:eastAsia="zh-CN"/>
        </w:rPr>
        <w:t>风控法务</w:t>
      </w:r>
      <w:r>
        <w:rPr>
          <w:rFonts w:hint="eastAsia" w:ascii="宋体" w:hAnsi="宋体"/>
          <w:color w:val="auto"/>
        </w:rPr>
        <w:t>部</w:t>
      </w:r>
    </w:p>
    <w:p w14:paraId="5B038BB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东实集团举报邮箱：dgsyxf@163.com</w:t>
      </w:r>
    </w:p>
    <w:p w14:paraId="473E9499">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东实集团举报电话：0769-28820703（周一至周五9:00-12:00和14:00-18:00）</w:t>
      </w:r>
    </w:p>
    <w:p w14:paraId="3B64756D">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邮寄地址：东莞市东城区八一路1号机关二号大院9号楼，东莞实业投资控股集团有限公司</w:t>
      </w:r>
      <w:r>
        <w:rPr>
          <w:rFonts w:hint="eastAsia" w:ascii="宋体" w:hAnsi="宋体"/>
          <w:color w:val="auto"/>
          <w:lang w:eastAsia="zh-CN"/>
        </w:rPr>
        <w:t>风控法务</w:t>
      </w:r>
      <w:r>
        <w:rPr>
          <w:rFonts w:hint="eastAsia" w:ascii="宋体" w:hAnsi="宋体"/>
          <w:color w:val="auto"/>
        </w:rPr>
        <w:t>部收，邮编523000。</w:t>
      </w:r>
    </w:p>
    <w:p w14:paraId="08C1ACE4">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b/>
          <w:color w:val="auto"/>
        </w:rPr>
      </w:pPr>
      <w:r>
        <w:rPr>
          <w:rFonts w:hint="eastAsia" w:ascii="宋体" w:hAnsi="宋体"/>
          <w:b/>
          <w:color w:val="auto"/>
        </w:rPr>
        <w:t>三、其他</w:t>
      </w:r>
    </w:p>
    <w:p w14:paraId="3A94434D">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1.本协议是原合同的补充协议，与原合同有同等法律效力。</w:t>
      </w:r>
    </w:p>
    <w:p w14:paraId="3679E3C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rPr>
      </w:pPr>
      <w:r>
        <w:rPr>
          <w:rFonts w:hint="eastAsia" w:ascii="宋体" w:hAnsi="宋体"/>
          <w:color w:val="auto"/>
        </w:rPr>
        <w:t>2</w:t>
      </w:r>
      <w:r>
        <w:rPr>
          <w:rFonts w:hint="eastAsia" w:ascii="宋体" w:hAnsi="宋体" w:eastAsia="宋体" w:cs="Times New Roman"/>
          <w:color w:val="auto"/>
        </w:rPr>
        <w:t>.本协议</w:t>
      </w:r>
      <w:r>
        <w:rPr>
          <w:rFonts w:hint="eastAsia" w:ascii="宋体" w:hAnsi="宋体" w:eastAsia="宋体" w:cs="Times New Roman"/>
          <w:color w:val="auto"/>
          <w:kern w:val="2"/>
          <w:sz w:val="21"/>
          <w:szCs w:val="24"/>
        </w:rPr>
        <w:t>一式</w:t>
      </w:r>
      <w:r>
        <w:rPr>
          <w:rFonts w:hint="eastAsia" w:ascii="宋体" w:hAnsi="宋体" w:eastAsia="宋体" w:cs="Times New Roman"/>
          <w:color w:val="auto"/>
          <w:kern w:val="2"/>
          <w:sz w:val="21"/>
          <w:szCs w:val="24"/>
          <w:lang w:eastAsia="zh-CN"/>
        </w:rPr>
        <w:t>伍</w:t>
      </w:r>
      <w:r>
        <w:rPr>
          <w:rFonts w:hint="eastAsia" w:ascii="宋体" w:hAnsi="宋体" w:eastAsia="宋体" w:cs="Times New Roman"/>
          <w:color w:val="auto"/>
          <w:kern w:val="2"/>
          <w:sz w:val="21"/>
          <w:szCs w:val="24"/>
        </w:rPr>
        <w:t>份，甲方叁份，乙方</w:t>
      </w:r>
      <w:r>
        <w:rPr>
          <w:rFonts w:hint="eastAsia" w:ascii="宋体" w:hAnsi="宋体" w:eastAsia="宋体" w:cs="Times New Roman"/>
          <w:color w:val="auto"/>
          <w:kern w:val="2"/>
          <w:sz w:val="21"/>
          <w:szCs w:val="24"/>
          <w:lang w:eastAsia="zh-CN"/>
        </w:rPr>
        <w:t>贰</w:t>
      </w:r>
      <w:r>
        <w:rPr>
          <w:rFonts w:hint="eastAsia" w:ascii="宋体" w:hAnsi="宋体" w:eastAsia="宋体" w:cs="Times New Roman"/>
          <w:color w:val="auto"/>
          <w:kern w:val="2"/>
          <w:sz w:val="21"/>
          <w:szCs w:val="24"/>
        </w:rPr>
        <w:t>份，具有同等法律效力</w:t>
      </w:r>
      <w:r>
        <w:rPr>
          <w:rFonts w:hint="eastAsia" w:ascii="宋体" w:hAnsi="宋体" w:eastAsia="宋体" w:cs="Times New Roman"/>
          <w:color w:val="auto"/>
        </w:rPr>
        <w:t>。</w:t>
      </w:r>
    </w:p>
    <w:p w14:paraId="605184D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r>
        <w:rPr>
          <w:rFonts w:hint="eastAsia" w:ascii="宋体" w:hAnsi="宋体"/>
          <w:color w:val="auto"/>
        </w:rPr>
        <w:t>3.本协议经双方签署后生效</w:t>
      </w:r>
      <w:r>
        <w:rPr>
          <w:rFonts w:hint="eastAsia" w:ascii="宋体" w:hAnsi="宋体"/>
          <w:color w:val="auto"/>
          <w:szCs w:val="21"/>
        </w:rPr>
        <w:t>。</w:t>
      </w:r>
    </w:p>
    <w:p w14:paraId="5A3A523D">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p>
    <w:p w14:paraId="0C672900">
      <w:pPr>
        <w:keepNext w:val="0"/>
        <w:keepLines w:val="0"/>
        <w:pageBreakBefore w:val="0"/>
        <w:kinsoku/>
        <w:wordWrap/>
        <w:overflowPunct/>
        <w:topLinePunct w:val="0"/>
        <w:bidi w:val="0"/>
        <w:snapToGrid/>
        <w:spacing w:line="360" w:lineRule="auto"/>
        <w:ind w:left="0" w:leftChars="0" w:firstLine="420" w:firstLineChars="200"/>
        <w:contextualSpacing/>
        <w:textAlignment w:val="auto"/>
        <w:rPr>
          <w:color w:val="auto"/>
        </w:rPr>
      </w:pPr>
    </w:p>
    <w:p w14:paraId="1515A1F6">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r>
        <w:rPr>
          <w:rFonts w:hint="eastAsia" w:ascii="宋体" w:hAnsi="宋体"/>
          <w:color w:val="auto"/>
          <w:szCs w:val="21"/>
        </w:rPr>
        <w:t>甲方（盖章）：                      乙方（盖章）：</w:t>
      </w:r>
      <w:r>
        <w:rPr>
          <w:rFonts w:ascii="宋体" w:hAnsi="宋体"/>
          <w:color w:val="auto"/>
          <w:szCs w:val="21"/>
        </w:rPr>
        <w:t xml:space="preserve"> </w:t>
      </w:r>
    </w:p>
    <w:p w14:paraId="70497AD0">
      <w:pPr>
        <w:keepNext w:val="0"/>
        <w:keepLines w:val="0"/>
        <w:pageBreakBefore w:val="0"/>
        <w:widowControl w:val="0"/>
        <w:kinsoku/>
        <w:wordWrap/>
        <w:overflowPunct/>
        <w:topLinePunct w:val="0"/>
        <w:autoSpaceDE w:val="0"/>
        <w:autoSpaceDN w:val="0"/>
        <w:bidi w:val="0"/>
        <w:adjustRightInd w:val="0"/>
        <w:snapToGrid w:val="0"/>
        <w:spacing w:line="480" w:lineRule="auto"/>
        <w:ind w:firstLine="840" w:firstLineChars="400"/>
        <w:textAlignment w:val="auto"/>
        <w:rPr>
          <w:color w:val="auto"/>
        </w:rPr>
      </w:pPr>
      <w:r>
        <w:rPr>
          <w:rFonts w:hint="eastAsia" w:ascii="宋体" w:hAnsi="宋体" w:cs="宋体"/>
          <w:color w:val="auto"/>
          <w:u w:val="none"/>
          <w:lang w:eastAsia="zh-CN"/>
        </w:rPr>
        <w:t>东莞市</w:t>
      </w:r>
      <w:r>
        <w:rPr>
          <w:rFonts w:hint="eastAsia" w:ascii="宋体" w:hAnsi="宋体" w:cs="宋体"/>
          <w:color w:val="auto"/>
          <w:u w:val="none"/>
          <w:lang w:val="en-US" w:eastAsia="zh-CN"/>
        </w:rPr>
        <w:t>莞岭</w:t>
      </w:r>
      <w:r>
        <w:rPr>
          <w:rFonts w:hint="eastAsia" w:ascii="宋体" w:hAnsi="宋体" w:cs="宋体"/>
          <w:color w:val="auto"/>
          <w:u w:val="none"/>
          <w:lang w:eastAsia="zh-CN"/>
        </w:rPr>
        <w:t>安居建设有限公司</w:t>
      </w:r>
      <w:r>
        <w:rPr>
          <w:rFonts w:hint="eastAsia" w:hAnsi="宋体" w:cs="宋体"/>
          <w:color w:val="auto"/>
          <w:u w:val="none"/>
          <w:lang w:val="en-US" w:eastAsia="zh-CN"/>
        </w:rPr>
        <w:t xml:space="preserve">           </w:t>
      </w:r>
      <w:r>
        <w:rPr>
          <w:rFonts w:hint="eastAsia" w:hAnsi="宋体" w:cs="宋体"/>
          <w:color w:val="auto"/>
          <w:highlight w:val="none"/>
          <w:u w:val="none"/>
          <w:lang w:val="en-US" w:eastAsia="zh-CN"/>
        </w:rPr>
        <w:t xml:space="preserve"> </w:t>
      </w:r>
    </w:p>
    <w:p w14:paraId="037A4167">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r>
        <w:rPr>
          <w:rFonts w:hint="eastAsia" w:ascii="宋体" w:hAnsi="宋体"/>
          <w:color w:val="auto"/>
          <w:szCs w:val="21"/>
        </w:rPr>
        <w:t>法定代表人（授权代表）：</w:t>
      </w:r>
      <w:r>
        <w:rPr>
          <w:rFonts w:hint="eastAsia" w:ascii="宋体" w:hAnsi="宋体"/>
          <w:color w:val="auto"/>
          <w:szCs w:val="21"/>
        </w:rPr>
        <w:tab/>
      </w:r>
      <w:r>
        <w:rPr>
          <w:rFonts w:hint="eastAsia" w:ascii="宋体" w:hAnsi="宋体"/>
          <w:color w:val="auto"/>
          <w:szCs w:val="21"/>
        </w:rPr>
        <w:tab/>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法定代表人（授权代表）：</w:t>
      </w:r>
    </w:p>
    <w:p w14:paraId="62193731">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p>
    <w:p w14:paraId="591D547D">
      <w:pPr>
        <w:keepNext w:val="0"/>
        <w:keepLines w:val="0"/>
        <w:pageBreakBefore w:val="0"/>
        <w:kinsoku/>
        <w:wordWrap/>
        <w:overflowPunct/>
        <w:topLinePunct w:val="0"/>
        <w:bidi w:val="0"/>
        <w:snapToGrid/>
        <w:spacing w:line="360" w:lineRule="auto"/>
        <w:ind w:left="0" w:leftChars="0" w:firstLine="420" w:firstLineChars="200"/>
        <w:contextualSpacing/>
        <w:textAlignment w:val="auto"/>
        <w:rPr>
          <w:rFonts w:ascii="宋体" w:hAnsi="宋体"/>
          <w:color w:val="auto"/>
          <w:szCs w:val="21"/>
        </w:rPr>
      </w:pPr>
      <w:r>
        <w:rPr>
          <w:rFonts w:hint="eastAsia" w:ascii="宋体" w:hAnsi="宋体"/>
          <w:color w:val="auto"/>
          <w:szCs w:val="21"/>
        </w:rPr>
        <w:t>签约日期：   年   月   日</w:t>
      </w:r>
      <w:r>
        <w:rPr>
          <w:rFonts w:ascii="宋体" w:hAnsi="宋体"/>
          <w:color w:val="auto"/>
          <w:szCs w:val="21"/>
        </w:rPr>
        <w:tab/>
      </w:r>
      <w:r>
        <w:rPr>
          <w:rFonts w:ascii="宋体" w:hAnsi="宋体"/>
          <w:color w:val="auto"/>
          <w:szCs w:val="21"/>
        </w:rPr>
        <w:t xml:space="preserve">    </w:t>
      </w:r>
      <w:r>
        <w:rPr>
          <w:rFonts w:hint="eastAsia" w:ascii="宋体" w:hAnsi="宋体"/>
          <w:color w:val="auto"/>
          <w:szCs w:val="21"/>
        </w:rPr>
        <w:t xml:space="preserve">   签约日期：   年   月   日</w:t>
      </w:r>
    </w:p>
    <w:p w14:paraId="03F0C650"/>
    <w:p w14:paraId="105CC7A0">
      <w:pPr>
        <w:rPr>
          <w:rFonts w:hint="default" w:eastAsia="黑体"/>
          <w:color w:val="auto"/>
          <w:sz w:val="28"/>
          <w:szCs w:val="44"/>
          <w:highlight w:val="none"/>
          <w:lang w:val="en-US" w:eastAsia="zh-CN"/>
        </w:rPr>
      </w:pPr>
      <w:r>
        <w:rPr>
          <w:rFonts w:hint="default" w:eastAsia="黑体"/>
          <w:color w:val="auto"/>
          <w:sz w:val="28"/>
          <w:szCs w:val="44"/>
          <w:highlight w:val="none"/>
          <w:lang w:val="en-US" w:eastAsia="zh-CN"/>
        </w:rPr>
        <w:br w:type="page"/>
      </w:r>
    </w:p>
    <w:p w14:paraId="2EDF7C35">
      <w:pPr>
        <w:pStyle w:val="2"/>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附件A</w:t>
      </w:r>
    </w:p>
    <w:p w14:paraId="287C6176">
      <w:pPr>
        <w:numPr>
          <w:ilvl w:val="0"/>
          <w:numId w:val="4"/>
        </w:numPr>
        <w:ind w:left="160"/>
        <w:rPr>
          <w:rFonts w:hint="eastAsia"/>
          <w:color w:val="000000" w:themeColor="text1"/>
          <w:sz w:val="30"/>
          <w:szCs w:val="30"/>
          <w:highlight w:val="none"/>
          <w:lang w:val="en-US" w:eastAsia="zh-CN"/>
          <w14:textFill>
            <w14:solidFill>
              <w14:schemeClr w14:val="tx1"/>
            </w14:solidFill>
          </w14:textFill>
        </w:rPr>
      </w:pPr>
      <w:r>
        <w:rPr>
          <w:rFonts w:hint="eastAsia"/>
          <w:color w:val="000000" w:themeColor="text1"/>
          <w:sz w:val="30"/>
          <w:szCs w:val="30"/>
          <w:highlight w:val="none"/>
          <w:lang w:val="en-US" w:eastAsia="zh-CN"/>
          <w14:textFill>
            <w14:solidFill>
              <w14:schemeClr w14:val="tx1"/>
            </w14:solidFill>
          </w14:textFill>
        </w:rPr>
        <w:t>谈判规则与流程</w:t>
      </w:r>
    </w:p>
    <w:p w14:paraId="0ACF9E4D">
      <w:pPr>
        <w:numPr>
          <w:ilvl w:val="0"/>
          <w:numId w:val="5"/>
        </w:numPr>
        <w:spacing w:line="600" w:lineRule="exact"/>
        <w:ind w:firstLine="480" w:firstLineChars="20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当本项目有效供应商不足3家</w:t>
      </w:r>
      <w:r>
        <w:rPr>
          <w:rFonts w:hint="eastAsia" w:ascii="宋体" w:hAnsi="宋体" w:cs="宋体"/>
          <w:color w:val="000000" w:themeColor="text1"/>
          <w:sz w:val="24"/>
          <w:szCs w:val="24"/>
          <w:highlight w:val="none"/>
          <w:u w:val="none"/>
          <w:lang w:val="en-US" w:eastAsia="zh-CN"/>
          <w14:textFill>
            <w14:solidFill>
              <w14:schemeClr w14:val="tx1"/>
            </w14:solidFill>
          </w14:textFill>
        </w:rPr>
        <w:t>（有1家或2家）</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时，则</w:t>
      </w:r>
      <w:r>
        <w:rPr>
          <w:rFonts w:hint="eastAsia" w:ascii="宋体" w:hAnsi="宋体" w:eastAsia="宋体" w:cs="宋体"/>
          <w:color w:val="000000" w:themeColor="text1"/>
          <w:sz w:val="24"/>
          <w:szCs w:val="24"/>
          <w:highlight w:val="none"/>
          <w:u w:val="none"/>
          <w14:textFill>
            <w14:solidFill>
              <w14:schemeClr w14:val="tx1"/>
            </w14:solidFill>
          </w14:textFill>
        </w:rPr>
        <w:t>采用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谈判</w:t>
      </w:r>
      <w:r>
        <w:rPr>
          <w:rFonts w:hint="eastAsia" w:ascii="宋体" w:hAnsi="宋体" w:eastAsia="宋体" w:cs="宋体"/>
          <w:color w:val="000000" w:themeColor="text1"/>
          <w:sz w:val="24"/>
          <w:szCs w:val="24"/>
          <w:highlight w:val="none"/>
          <w:u w:val="none"/>
          <w14:textFill>
            <w14:solidFill>
              <w14:schemeClr w14:val="tx1"/>
            </w14:solidFill>
          </w14:textFill>
        </w:rPr>
        <w:t>方式进行采购</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谈判小组</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即本项目的评标委员会</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将根据</w:t>
      </w:r>
      <w:r>
        <w:rPr>
          <w:rFonts w:hint="eastAsia" w:ascii="宋体" w:hAnsi="宋体" w:eastAsia="宋体" w:cs="宋体"/>
          <w:color w:val="000000" w:themeColor="text1"/>
          <w:sz w:val="24"/>
          <w:highlight w:val="none"/>
          <w:lang w:val="en-US" w:eastAsia="zh-CN"/>
          <w14:textFill>
            <w14:solidFill>
              <w14:schemeClr w14:val="tx1"/>
            </w14:solidFill>
          </w14:textFill>
        </w:rPr>
        <w:t>招标</w:t>
      </w:r>
      <w:r>
        <w:rPr>
          <w:rFonts w:hint="eastAsia" w:ascii="宋体" w:hAnsi="宋体" w:eastAsia="宋体" w:cs="宋体"/>
          <w:color w:val="000000" w:themeColor="text1"/>
          <w:sz w:val="24"/>
          <w:highlight w:val="none"/>
          <w14:textFill>
            <w14:solidFill>
              <w14:schemeClr w14:val="tx1"/>
            </w14:solidFill>
          </w14:textFill>
        </w:rPr>
        <w:t>文件的规定，对</w:t>
      </w:r>
      <w:r>
        <w:rPr>
          <w:rFonts w:hint="eastAsia" w:ascii="宋体" w:hAnsi="宋体" w:eastAsia="宋体" w:cs="宋体"/>
          <w:color w:val="000000" w:themeColor="text1"/>
          <w:sz w:val="24"/>
          <w:highlight w:val="none"/>
          <w:lang w:val="en-US"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文件进行</w:t>
      </w:r>
      <w:r>
        <w:rPr>
          <w:rFonts w:hint="eastAsia" w:ascii="宋体" w:hAnsi="宋体" w:eastAsia="宋体" w:cs="宋体"/>
          <w:color w:val="000000" w:themeColor="text1"/>
          <w:sz w:val="24"/>
          <w:highlight w:val="none"/>
          <w:lang w:val="en-US" w:eastAsia="zh-CN"/>
          <w14:textFill>
            <w14:solidFill>
              <w14:schemeClr w14:val="tx1"/>
            </w14:solidFill>
          </w14:textFill>
        </w:rPr>
        <w:t>有效性</w:t>
      </w:r>
      <w:r>
        <w:rPr>
          <w:rFonts w:hint="eastAsia" w:ascii="宋体" w:hAnsi="宋体" w:eastAsia="宋体" w:cs="宋体"/>
          <w:color w:val="000000" w:themeColor="text1"/>
          <w:sz w:val="24"/>
          <w:highlight w:val="none"/>
          <w14:textFill>
            <w14:solidFill>
              <w14:schemeClr w14:val="tx1"/>
            </w14:solidFill>
          </w14:textFill>
        </w:rPr>
        <w:t>评审</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如转为谈判方式前已进行，则省略此步骤</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，具体条款详见</w:t>
      </w:r>
      <w:r>
        <w:rPr>
          <w:rFonts w:hint="eastAsia" w:ascii="宋体" w:hAnsi="宋体" w:cs="宋体"/>
          <w:color w:val="000000" w:themeColor="text1"/>
          <w:sz w:val="24"/>
          <w:highlight w:val="none"/>
          <w:lang w:val="en-US" w:eastAsia="zh-CN"/>
          <w14:textFill>
            <w14:solidFill>
              <w14:schemeClr w14:val="tx1"/>
            </w14:solidFill>
          </w14:textFill>
        </w:rPr>
        <w:t>采购</w:t>
      </w:r>
      <w:r>
        <w:rPr>
          <w:rFonts w:hint="eastAsia" w:ascii="宋体" w:hAnsi="宋体" w:eastAsia="宋体" w:cs="宋体"/>
          <w:color w:val="000000" w:themeColor="text1"/>
          <w:sz w:val="24"/>
          <w:highlight w:val="none"/>
          <w14:textFill>
            <w14:solidFill>
              <w14:schemeClr w14:val="tx1"/>
            </w14:solidFill>
          </w14:textFill>
        </w:rPr>
        <w:t>文件</w:t>
      </w:r>
      <w:r>
        <w:rPr>
          <w:rFonts w:hint="eastAsia" w:ascii="宋体" w:hAnsi="宋体" w:cs="宋体"/>
          <w:color w:val="000000" w:themeColor="text1"/>
          <w:sz w:val="24"/>
          <w:highlight w:val="none"/>
          <w:lang w:val="en-US" w:eastAsia="zh-CN"/>
          <w14:textFill>
            <w14:solidFill>
              <w14:schemeClr w14:val="tx1"/>
            </w14:solidFill>
          </w14:textFill>
        </w:rPr>
        <w:t>要求</w:t>
      </w:r>
      <w:r>
        <w:rPr>
          <w:rFonts w:hint="eastAsia" w:ascii="宋体" w:hAnsi="宋体" w:eastAsia="宋体" w:cs="宋体"/>
          <w:color w:val="000000" w:themeColor="text1"/>
          <w:sz w:val="24"/>
          <w:highlight w:val="none"/>
          <w14:textFill>
            <w14:solidFill>
              <w14:schemeClr w14:val="tx1"/>
            </w14:solidFill>
          </w14:textFill>
        </w:rPr>
        <w:t>。只有全部满足</w:t>
      </w:r>
      <w:r>
        <w:rPr>
          <w:rFonts w:hint="eastAsia" w:ascii="宋体" w:hAnsi="宋体" w:cs="宋体"/>
          <w:color w:val="000000" w:themeColor="text1"/>
          <w:sz w:val="24"/>
          <w:highlight w:val="none"/>
          <w:lang w:val="en-US" w:eastAsia="zh-CN"/>
          <w14:textFill>
            <w14:solidFill>
              <w14:schemeClr w14:val="tx1"/>
            </w14:solidFill>
          </w14:textFill>
        </w:rPr>
        <w:t>采购文件</w:t>
      </w:r>
      <w:r>
        <w:rPr>
          <w:rFonts w:hint="eastAsia" w:ascii="宋体" w:hAnsi="宋体" w:eastAsia="宋体" w:cs="宋体"/>
          <w:color w:val="000000" w:themeColor="text1"/>
          <w:sz w:val="24"/>
          <w:highlight w:val="none"/>
          <w14:textFill>
            <w14:solidFill>
              <w14:schemeClr w14:val="tx1"/>
            </w14:solidFill>
          </w14:textFill>
        </w:rPr>
        <w:t>所列各项要求的投标才是有效投标</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对投标有效性认定意见不一致的，谈判小组按照少数服从多数的原则确定。</w:t>
      </w:r>
    </w:p>
    <w:p w14:paraId="300A7FF0">
      <w:pPr>
        <w:numPr>
          <w:ilvl w:val="0"/>
          <w:numId w:val="5"/>
        </w:numPr>
        <w:spacing w:line="600" w:lineRule="exact"/>
        <w:ind w:firstLine="480" w:firstLineChars="20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eastAsia="zh-CN"/>
          <w14:textFill>
            <w14:solidFill>
              <w14:schemeClr w14:val="tx1"/>
            </w14:solidFill>
          </w14:textFill>
        </w:rPr>
        <w:t>谈判报价共两轮</w:t>
      </w:r>
      <w:r>
        <w:rPr>
          <w:rFonts w:hint="eastAsia" w:ascii="宋体" w:hAnsi="宋体" w:cs="宋体"/>
          <w:color w:val="000000" w:themeColor="text1"/>
          <w:sz w:val="24"/>
          <w:szCs w:val="24"/>
          <w:highlight w:val="none"/>
          <w:u w:val="none"/>
          <w:lang w:eastAsia="zh-CN"/>
          <w14:textFill>
            <w14:solidFill>
              <w14:schemeClr w14:val="tx1"/>
            </w14:solidFill>
          </w14:textFill>
        </w:rPr>
        <w:t>（</w:t>
      </w:r>
      <w:r>
        <w:rPr>
          <w:rFonts w:hint="eastAsia" w:ascii="宋体" w:hAnsi="宋体" w:cs="宋体"/>
          <w:color w:val="000000" w:themeColor="text1"/>
          <w:sz w:val="24"/>
          <w:szCs w:val="24"/>
          <w:highlight w:val="none"/>
          <w:u w:val="none"/>
          <w:lang w:val="en-US" w:eastAsia="zh-CN"/>
          <w14:textFill>
            <w14:solidFill>
              <w14:schemeClr w14:val="tx1"/>
            </w14:solidFill>
          </w14:textFill>
        </w:rPr>
        <w:t>或多轮）</w:t>
      </w:r>
      <w:r>
        <w:rPr>
          <w:rFonts w:hint="eastAsia" w:ascii="宋体" w:hAnsi="宋体" w:eastAsia="宋体" w:cs="宋体"/>
          <w:color w:val="000000" w:themeColor="text1"/>
          <w:sz w:val="24"/>
          <w:szCs w:val="24"/>
          <w:highlight w:val="none"/>
          <w:u w:val="none"/>
          <w:lang w:eastAsia="zh-CN"/>
          <w14:textFill>
            <w14:solidFill>
              <w14:schemeClr w14:val="tx1"/>
            </w14:solidFill>
          </w14:textFill>
        </w:rPr>
        <w:t>报价（含唱标报价）,</w:t>
      </w:r>
      <w:r>
        <w:rPr>
          <w:rFonts w:hint="eastAsia" w:ascii="宋体" w:hAnsi="宋体" w:cs="宋体"/>
          <w:color w:val="000000" w:themeColor="text1"/>
          <w:sz w:val="24"/>
          <w:szCs w:val="24"/>
          <w:highlight w:val="none"/>
          <w:u w:val="none"/>
          <w:lang w:val="en-US" w:eastAsia="zh-CN"/>
          <w14:textFill>
            <w14:solidFill>
              <w14:schemeClr w14:val="tx1"/>
            </w14:solidFill>
          </w14:textFill>
        </w:rPr>
        <w:t>其中第一次报价为本项目截止时间前投标单位递交的投标报价，第二次报价为谈判后的最终报价。</w:t>
      </w:r>
      <w:r>
        <w:rPr>
          <w:rFonts w:hint="eastAsia" w:ascii="宋体" w:hAnsi="宋体" w:eastAsia="宋体" w:cs="宋体"/>
          <w:color w:val="000000" w:themeColor="text1"/>
          <w:sz w:val="24"/>
          <w:szCs w:val="24"/>
          <w:highlight w:val="none"/>
          <w:u w:val="none"/>
          <w14:textFill>
            <w14:solidFill>
              <w14:schemeClr w14:val="tx1"/>
            </w14:solidFill>
          </w14:textFill>
        </w:rPr>
        <w:t>谈判小组应</w:t>
      </w:r>
      <w:r>
        <w:rPr>
          <w:rFonts w:hint="eastAsia" w:ascii="宋体" w:hAnsi="宋体" w:eastAsia="宋体" w:cs="宋体"/>
          <w:color w:val="000000" w:themeColor="text1"/>
          <w:sz w:val="24"/>
          <w:highlight w:val="none"/>
          <w14:textFill>
            <w14:solidFill>
              <w14:schemeClr w14:val="tx1"/>
            </w14:solidFill>
          </w14:textFill>
        </w:rPr>
        <w:t>当集中与单一</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（以</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签到顺序为准）分别进行谈判，</w:t>
      </w:r>
      <w:r>
        <w:rPr>
          <w:rFonts w:hint="eastAsia" w:ascii="宋体" w:hAnsi="宋体" w:eastAsia="宋体" w:cs="宋体"/>
          <w:color w:val="000000" w:themeColor="text1"/>
          <w:sz w:val="24"/>
          <w:highlight w:val="none"/>
          <w:lang w:val="en-US" w:eastAsia="zh-CN"/>
          <w14:textFill>
            <w14:solidFill>
              <w14:schemeClr w14:val="tx1"/>
            </w14:solidFill>
          </w14:textFill>
        </w:rPr>
        <w:t>并</w:t>
      </w:r>
      <w:r>
        <w:rPr>
          <w:rFonts w:hint="eastAsia" w:ascii="宋体" w:hAnsi="宋体" w:eastAsia="宋体" w:cs="宋体"/>
          <w:color w:val="000000" w:themeColor="text1"/>
          <w:sz w:val="24"/>
          <w:szCs w:val="24"/>
          <w:highlight w:val="none"/>
          <w:u w:val="none"/>
          <w14:textFill>
            <w14:solidFill>
              <w14:schemeClr w14:val="tx1"/>
            </w14:solidFill>
          </w14:textFill>
        </w:rPr>
        <w:t>要求所有参加最后一轮谈判的</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u w:val="none"/>
          <w14:textFill>
            <w14:solidFill>
              <w14:schemeClr w14:val="tx1"/>
            </w14:solidFill>
          </w14:textFill>
        </w:rPr>
        <w:t>在规定的统一截止时间前提交最终密封报价。</w:t>
      </w:r>
      <w:r>
        <w:rPr>
          <w:rFonts w:hint="eastAsia" w:ascii="宋体" w:hAnsi="宋体" w:eastAsia="宋体" w:cs="宋体"/>
          <w:color w:val="000000" w:themeColor="text1"/>
          <w:sz w:val="24"/>
          <w:highlight w:val="none"/>
          <w14:textFill>
            <w14:solidFill>
              <w14:schemeClr w14:val="tx1"/>
            </w14:solidFill>
          </w14:textFill>
        </w:rPr>
        <w:t>如在谈判中谈判小组没有对谈判文件作实质性变动增加新的需求，最后报价不得高于上一次报价，否则该</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14:textFill>
            <w14:solidFill>
              <w14:schemeClr w14:val="tx1"/>
            </w14:solidFill>
          </w14:textFill>
        </w:rPr>
        <w:t>不被推荐为</w:t>
      </w:r>
      <w:r>
        <w:rPr>
          <w:rFonts w:hint="eastAsia" w:ascii="宋体" w:hAnsi="宋体" w:eastAsia="宋体" w:cs="宋体"/>
          <w:color w:val="000000" w:themeColor="text1"/>
          <w:sz w:val="24"/>
          <w:szCs w:val="24"/>
          <w:highlight w:val="none"/>
          <w:u w:val="none"/>
          <w14:textFill>
            <w14:solidFill>
              <w14:schemeClr w14:val="tx1"/>
            </w14:solidFill>
          </w14:textFill>
        </w:rPr>
        <w:t>候选供应商</w:t>
      </w:r>
      <w:r>
        <w:rPr>
          <w:rFonts w:hint="eastAsia" w:ascii="宋体" w:hAnsi="宋体" w:eastAsia="宋体" w:cs="宋体"/>
          <w:color w:val="000000" w:themeColor="text1"/>
          <w:sz w:val="24"/>
          <w:highlight w:val="none"/>
          <w14:textFill>
            <w14:solidFill>
              <w14:schemeClr w14:val="tx1"/>
            </w14:solidFill>
          </w14:textFill>
        </w:rPr>
        <w:t>。</w:t>
      </w:r>
    </w:p>
    <w:p w14:paraId="6C6EA12C">
      <w:pPr>
        <w:spacing w:line="600" w:lineRule="exact"/>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谈判文件有实质性变动的，谈判小组应以书面形式通知所有参加谈判的</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供应商</w:t>
      </w:r>
      <w:r>
        <w:rPr>
          <w:rFonts w:hint="eastAsia" w:ascii="宋体" w:hAnsi="宋体" w:eastAsia="宋体" w:cs="宋体"/>
          <w:color w:val="000000" w:themeColor="text1"/>
          <w:sz w:val="24"/>
          <w:szCs w:val="24"/>
          <w:highlight w:val="none"/>
          <w:u w:val="none"/>
          <w14:textFill>
            <w14:solidFill>
              <w14:schemeClr w14:val="tx1"/>
            </w14:solidFill>
          </w14:textFill>
        </w:rPr>
        <w:t>。供应商应当按照采购文件的变动情况和谈判小组的要求重新提交响应文件（或补充书面材料），并由其法定代表人或授权代表签字或者加盖公章。</w:t>
      </w:r>
    </w:p>
    <w:p w14:paraId="446A55CF">
      <w:pPr>
        <w:spacing w:line="600" w:lineRule="exact"/>
        <w:ind w:firstLine="480" w:firstLineChars="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u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14:textFill>
            <w14:solidFill>
              <w14:schemeClr w14:val="tx1"/>
            </w14:solidFill>
          </w14:textFill>
        </w:rPr>
        <w:t>经谈判确定最终采购需求和提交最后报价的供应商后，谈判小组应当根据符合采购需求、质量和服务均能满足招标文件实质性响应要求的原则推荐成交候选人。谈判供应商为2家的，最终报价最低的推荐为第一成交候选人，次低的推荐为第二成交候选人；如出现两个或以上的相同最低价，</w:t>
      </w:r>
      <w:r>
        <w:rPr>
          <w:rFonts w:hint="eastAsia" w:ascii="宋体" w:hAnsi="宋体" w:cs="宋体"/>
          <w:color w:val="000000" w:themeColor="text1"/>
          <w:sz w:val="24"/>
          <w:szCs w:val="24"/>
          <w:highlight w:val="none"/>
          <w:u w:val="none"/>
          <w:lang w:val="en-US" w:eastAsia="zh-CN"/>
          <w14:textFill>
            <w14:solidFill>
              <w14:schemeClr w14:val="tx1"/>
            </w14:solidFill>
          </w14:textFill>
        </w:rPr>
        <w:t>则继续进行下一轮谈判</w:t>
      </w:r>
      <w:r>
        <w:rPr>
          <w:rFonts w:hint="eastAsia" w:ascii="宋体" w:hAnsi="宋体" w:eastAsia="宋体" w:cs="宋体"/>
          <w:color w:val="000000" w:themeColor="text1"/>
          <w:sz w:val="24"/>
          <w:szCs w:val="24"/>
          <w:highlight w:val="none"/>
          <w:u w:val="none"/>
          <w14:textFill>
            <w14:solidFill>
              <w14:schemeClr w14:val="tx1"/>
            </w14:solidFill>
          </w14:textFill>
        </w:rPr>
        <w:t>，以此类推，直至出现唯一最低价为止，最低价者中标。</w:t>
      </w:r>
    </w:p>
    <w:p w14:paraId="08F78133">
      <w:pPr>
        <w:pStyle w:val="42"/>
        <w:ind w:firstLine="0" w:firstLineChars="0"/>
        <w:jc w:val="left"/>
        <w:outlineLvl w:val="1"/>
        <w:rPr>
          <w:rFonts w:hint="default" w:eastAsia="黑体"/>
          <w:color w:val="auto"/>
          <w:sz w:val="28"/>
          <w:szCs w:val="44"/>
          <w:highlight w:val="none"/>
          <w:lang w:val="en-US" w:eastAsia="zh-CN"/>
        </w:rPr>
      </w:pPr>
    </w:p>
    <w:sectPr>
      <w:footerReference r:id="rId5" w:type="default"/>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1033E">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FEC7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0FEC70">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AB536">
    <w:pPr>
      <w:pStyle w:val="14"/>
      <w:jc w:val="center"/>
      <w:rPr>
        <w:rFonts w:ascii="黑体" w:eastAsia="黑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E46D1">
                          <w:pPr>
                            <w:pStyle w:val="14"/>
                            <w:jc w:val="center"/>
                          </w:pPr>
                          <w:r>
                            <w:rPr>
                              <w:rFonts w:hint="eastAsia" w:ascii="黑体" w:eastAsia="黑体"/>
                              <w:kern w:val="0"/>
                              <w:sz w:val="21"/>
                              <w:szCs w:val="21"/>
                            </w:rPr>
                            <w:t xml:space="preserve">- </w:t>
                          </w:r>
                          <w:r>
                            <w:rPr>
                              <w:rFonts w:hint="eastAsia" w:ascii="黑体" w:eastAsia="黑体"/>
                              <w:kern w:val="0"/>
                              <w:sz w:val="21"/>
                              <w:szCs w:val="21"/>
                            </w:rPr>
                            <w:fldChar w:fldCharType="begin"/>
                          </w:r>
                          <w:r>
                            <w:rPr>
                              <w:rFonts w:hint="eastAsia" w:ascii="黑体" w:eastAsia="黑体"/>
                              <w:kern w:val="0"/>
                              <w:sz w:val="21"/>
                              <w:szCs w:val="21"/>
                            </w:rPr>
                            <w:instrText xml:space="preserve"> PAGE </w:instrText>
                          </w:r>
                          <w:r>
                            <w:rPr>
                              <w:rFonts w:hint="eastAsia" w:ascii="黑体" w:eastAsia="黑体"/>
                              <w:kern w:val="0"/>
                              <w:sz w:val="21"/>
                              <w:szCs w:val="21"/>
                            </w:rPr>
                            <w:fldChar w:fldCharType="separate"/>
                          </w:r>
                          <w:r>
                            <w:rPr>
                              <w:rFonts w:ascii="黑体" w:eastAsia="黑体"/>
                              <w:kern w:val="0"/>
                              <w:sz w:val="21"/>
                              <w:szCs w:val="21"/>
                            </w:rPr>
                            <w:t>22</w:t>
                          </w:r>
                          <w:r>
                            <w:rPr>
                              <w:rFonts w:hint="eastAsia" w:ascii="黑体" w:eastAsia="黑体"/>
                              <w:kern w:val="0"/>
                              <w:sz w:val="21"/>
                              <w:szCs w:val="21"/>
                            </w:rPr>
                            <w:fldChar w:fldCharType="end"/>
                          </w:r>
                          <w:r>
                            <w:rPr>
                              <w:rFonts w:hint="eastAsia" w:ascii="黑体" w:eastAsia="黑体"/>
                              <w:kern w:val="0"/>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D8E46D1">
                    <w:pPr>
                      <w:pStyle w:val="14"/>
                      <w:jc w:val="center"/>
                    </w:pPr>
                    <w:r>
                      <w:rPr>
                        <w:rFonts w:hint="eastAsia" w:ascii="黑体" w:eastAsia="黑体"/>
                        <w:kern w:val="0"/>
                        <w:sz w:val="21"/>
                        <w:szCs w:val="21"/>
                      </w:rPr>
                      <w:t xml:space="preserve">- </w:t>
                    </w:r>
                    <w:r>
                      <w:rPr>
                        <w:rFonts w:hint="eastAsia" w:ascii="黑体" w:eastAsia="黑体"/>
                        <w:kern w:val="0"/>
                        <w:sz w:val="21"/>
                        <w:szCs w:val="21"/>
                      </w:rPr>
                      <w:fldChar w:fldCharType="begin"/>
                    </w:r>
                    <w:r>
                      <w:rPr>
                        <w:rFonts w:hint="eastAsia" w:ascii="黑体" w:eastAsia="黑体"/>
                        <w:kern w:val="0"/>
                        <w:sz w:val="21"/>
                        <w:szCs w:val="21"/>
                      </w:rPr>
                      <w:instrText xml:space="preserve"> PAGE </w:instrText>
                    </w:r>
                    <w:r>
                      <w:rPr>
                        <w:rFonts w:hint="eastAsia" w:ascii="黑体" w:eastAsia="黑体"/>
                        <w:kern w:val="0"/>
                        <w:sz w:val="21"/>
                        <w:szCs w:val="21"/>
                      </w:rPr>
                      <w:fldChar w:fldCharType="separate"/>
                    </w:r>
                    <w:r>
                      <w:rPr>
                        <w:rFonts w:ascii="黑体" w:eastAsia="黑体"/>
                        <w:kern w:val="0"/>
                        <w:sz w:val="21"/>
                        <w:szCs w:val="21"/>
                      </w:rPr>
                      <w:t>22</w:t>
                    </w:r>
                    <w:r>
                      <w:rPr>
                        <w:rFonts w:hint="eastAsia" w:ascii="黑体" w:eastAsia="黑体"/>
                        <w:kern w:val="0"/>
                        <w:sz w:val="21"/>
                        <w:szCs w:val="21"/>
                      </w:rPr>
                      <w:fldChar w:fldCharType="end"/>
                    </w:r>
                    <w:r>
                      <w:rPr>
                        <w:rFonts w:hint="eastAsia" w:ascii="黑体" w:eastAsia="黑体"/>
                        <w:kern w:val="0"/>
                        <w:sz w:val="21"/>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79DF">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9"/>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E4E10CF"/>
    <w:multiLevelType w:val="singleLevel"/>
    <w:tmpl w:val="0E4E10CF"/>
    <w:lvl w:ilvl="0" w:tentative="0">
      <w:start w:val="1"/>
      <w:numFmt w:val="chineseCounting"/>
      <w:suff w:val="nothing"/>
      <w:lvlText w:val="%1、"/>
      <w:lvlJc w:val="left"/>
      <w:pPr>
        <w:ind w:left="160" w:leftChars="0" w:firstLine="0" w:firstLineChars="0"/>
      </w:pPr>
      <w:rPr>
        <w:rFonts w:hint="eastAsia"/>
      </w:rPr>
    </w:lvl>
  </w:abstractNum>
  <w:abstractNum w:abstractNumId="2">
    <w:nsid w:val="5AD22714"/>
    <w:multiLevelType w:val="singleLevel"/>
    <w:tmpl w:val="5AD22714"/>
    <w:lvl w:ilvl="0" w:tentative="0">
      <w:start w:val="1"/>
      <w:numFmt w:val="decimal"/>
      <w:suff w:val="nothing"/>
      <w:lvlText w:val="%1、"/>
      <w:lvlJc w:val="left"/>
    </w:lvl>
  </w:abstractNum>
  <w:abstractNum w:abstractNumId="3">
    <w:nsid w:val="6099A159"/>
    <w:multiLevelType w:val="singleLevel"/>
    <w:tmpl w:val="6099A159"/>
    <w:lvl w:ilvl="0" w:tentative="0">
      <w:start w:val="1"/>
      <w:numFmt w:val="decimal"/>
      <w:suff w:val="nothing"/>
      <w:lvlText w:val="%1、"/>
      <w:lvlJc w:val="left"/>
      <w:rPr>
        <w:rFonts w:cs="Times New Roman"/>
      </w:rPr>
    </w:lvl>
  </w:abstractNum>
  <w:abstractNum w:abstractNumId="4">
    <w:nsid w:val="68B40337"/>
    <w:multiLevelType w:val="multilevel"/>
    <w:tmpl w:val="68B40337"/>
    <w:lvl w:ilvl="0" w:tentative="0">
      <w:start w:val="1"/>
      <w:numFmt w:val="japaneseCounting"/>
      <w:pStyle w:val="50"/>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isplayBackgroundShape w:val="1"/>
  <w:bordersDoNotSurroundHeader w:val="0"/>
  <w:bordersDoNotSurroundFooter w:val="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YmYxMTEyODE0ZTZmMjJhMThiYTY0ZTIyMmY0NDIifQ=="/>
  </w:docVars>
  <w:rsids>
    <w:rsidRoot w:val="00BD5ED0"/>
    <w:rsid w:val="00005B73"/>
    <w:rsid w:val="00012BFA"/>
    <w:rsid w:val="000164E6"/>
    <w:rsid w:val="00035F8F"/>
    <w:rsid w:val="00045122"/>
    <w:rsid w:val="000503CE"/>
    <w:rsid w:val="000535B8"/>
    <w:rsid w:val="00055419"/>
    <w:rsid w:val="000616CD"/>
    <w:rsid w:val="00063F50"/>
    <w:rsid w:val="000679B7"/>
    <w:rsid w:val="00074383"/>
    <w:rsid w:val="00077653"/>
    <w:rsid w:val="000930FE"/>
    <w:rsid w:val="000941B8"/>
    <w:rsid w:val="0009582E"/>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FC6"/>
    <w:rsid w:val="000F4060"/>
    <w:rsid w:val="000F575A"/>
    <w:rsid w:val="0010706E"/>
    <w:rsid w:val="00115B17"/>
    <w:rsid w:val="0012090D"/>
    <w:rsid w:val="00124D32"/>
    <w:rsid w:val="001264A1"/>
    <w:rsid w:val="00131E92"/>
    <w:rsid w:val="00136549"/>
    <w:rsid w:val="00137A41"/>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91009"/>
    <w:rsid w:val="001925E5"/>
    <w:rsid w:val="00193F95"/>
    <w:rsid w:val="00196FE0"/>
    <w:rsid w:val="001A2C93"/>
    <w:rsid w:val="001A45EA"/>
    <w:rsid w:val="001A5AE5"/>
    <w:rsid w:val="001B09E7"/>
    <w:rsid w:val="001B6B51"/>
    <w:rsid w:val="001C22FD"/>
    <w:rsid w:val="001C279B"/>
    <w:rsid w:val="001C6622"/>
    <w:rsid w:val="001D0EAA"/>
    <w:rsid w:val="001D0FE8"/>
    <w:rsid w:val="001D6AB7"/>
    <w:rsid w:val="001E5549"/>
    <w:rsid w:val="001E7603"/>
    <w:rsid w:val="001F7CAF"/>
    <w:rsid w:val="002000CE"/>
    <w:rsid w:val="002008CC"/>
    <w:rsid w:val="00204419"/>
    <w:rsid w:val="00205F12"/>
    <w:rsid w:val="00210BCF"/>
    <w:rsid w:val="00215784"/>
    <w:rsid w:val="00215DF7"/>
    <w:rsid w:val="00220762"/>
    <w:rsid w:val="0022330A"/>
    <w:rsid w:val="00227F02"/>
    <w:rsid w:val="00231A8A"/>
    <w:rsid w:val="002355B4"/>
    <w:rsid w:val="00235976"/>
    <w:rsid w:val="002368CE"/>
    <w:rsid w:val="00236E54"/>
    <w:rsid w:val="00237233"/>
    <w:rsid w:val="00243458"/>
    <w:rsid w:val="00244C63"/>
    <w:rsid w:val="002502B9"/>
    <w:rsid w:val="0025172C"/>
    <w:rsid w:val="00251A1B"/>
    <w:rsid w:val="00254E0E"/>
    <w:rsid w:val="002660E2"/>
    <w:rsid w:val="0026670C"/>
    <w:rsid w:val="00272C17"/>
    <w:rsid w:val="0027714D"/>
    <w:rsid w:val="002905F7"/>
    <w:rsid w:val="002941DB"/>
    <w:rsid w:val="002A05DD"/>
    <w:rsid w:val="002A1D9A"/>
    <w:rsid w:val="002A32EA"/>
    <w:rsid w:val="002A4476"/>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421"/>
    <w:rsid w:val="003432FF"/>
    <w:rsid w:val="003440B1"/>
    <w:rsid w:val="003467AD"/>
    <w:rsid w:val="00352F0E"/>
    <w:rsid w:val="003542F4"/>
    <w:rsid w:val="00354C22"/>
    <w:rsid w:val="00356D07"/>
    <w:rsid w:val="00363811"/>
    <w:rsid w:val="003776A2"/>
    <w:rsid w:val="00393456"/>
    <w:rsid w:val="00393F27"/>
    <w:rsid w:val="00396DB6"/>
    <w:rsid w:val="003A7705"/>
    <w:rsid w:val="003B6841"/>
    <w:rsid w:val="003C2315"/>
    <w:rsid w:val="003C349E"/>
    <w:rsid w:val="003C371F"/>
    <w:rsid w:val="003C5F72"/>
    <w:rsid w:val="003E06C5"/>
    <w:rsid w:val="003E3EEF"/>
    <w:rsid w:val="003E4DE6"/>
    <w:rsid w:val="003F4157"/>
    <w:rsid w:val="003F7A36"/>
    <w:rsid w:val="00404AF8"/>
    <w:rsid w:val="00407262"/>
    <w:rsid w:val="004113A9"/>
    <w:rsid w:val="00412BC5"/>
    <w:rsid w:val="0042773C"/>
    <w:rsid w:val="004321F7"/>
    <w:rsid w:val="004333CD"/>
    <w:rsid w:val="004407A6"/>
    <w:rsid w:val="00445796"/>
    <w:rsid w:val="004504C6"/>
    <w:rsid w:val="00454378"/>
    <w:rsid w:val="00455511"/>
    <w:rsid w:val="00460621"/>
    <w:rsid w:val="00476704"/>
    <w:rsid w:val="0048157A"/>
    <w:rsid w:val="0048198F"/>
    <w:rsid w:val="00481EBF"/>
    <w:rsid w:val="00484829"/>
    <w:rsid w:val="00484B15"/>
    <w:rsid w:val="00485FBD"/>
    <w:rsid w:val="00486C6C"/>
    <w:rsid w:val="00490A12"/>
    <w:rsid w:val="00491E00"/>
    <w:rsid w:val="00496744"/>
    <w:rsid w:val="00497C31"/>
    <w:rsid w:val="004A699E"/>
    <w:rsid w:val="004B145E"/>
    <w:rsid w:val="004B66ED"/>
    <w:rsid w:val="004B7C4E"/>
    <w:rsid w:val="004C3A44"/>
    <w:rsid w:val="004D17EB"/>
    <w:rsid w:val="004D1C1A"/>
    <w:rsid w:val="004E611C"/>
    <w:rsid w:val="004E7081"/>
    <w:rsid w:val="004F2DA5"/>
    <w:rsid w:val="004F3897"/>
    <w:rsid w:val="004F5933"/>
    <w:rsid w:val="0050381E"/>
    <w:rsid w:val="00507325"/>
    <w:rsid w:val="00513E78"/>
    <w:rsid w:val="0052004C"/>
    <w:rsid w:val="00520138"/>
    <w:rsid w:val="005210A5"/>
    <w:rsid w:val="005371FF"/>
    <w:rsid w:val="005461F1"/>
    <w:rsid w:val="00560A5A"/>
    <w:rsid w:val="00561B95"/>
    <w:rsid w:val="00565B17"/>
    <w:rsid w:val="0058123D"/>
    <w:rsid w:val="00590112"/>
    <w:rsid w:val="005968DF"/>
    <w:rsid w:val="005A4E94"/>
    <w:rsid w:val="005A74C6"/>
    <w:rsid w:val="005B3EF9"/>
    <w:rsid w:val="005B48FC"/>
    <w:rsid w:val="005B7F8E"/>
    <w:rsid w:val="005C161C"/>
    <w:rsid w:val="005C320D"/>
    <w:rsid w:val="005C6227"/>
    <w:rsid w:val="005E2D48"/>
    <w:rsid w:val="005E3228"/>
    <w:rsid w:val="005F1911"/>
    <w:rsid w:val="005F3328"/>
    <w:rsid w:val="005F55FA"/>
    <w:rsid w:val="00604A1A"/>
    <w:rsid w:val="00605737"/>
    <w:rsid w:val="00610E99"/>
    <w:rsid w:val="00611986"/>
    <w:rsid w:val="006155F4"/>
    <w:rsid w:val="0063300F"/>
    <w:rsid w:val="00633DF9"/>
    <w:rsid w:val="00635B18"/>
    <w:rsid w:val="00640CD1"/>
    <w:rsid w:val="0064381D"/>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4CFF"/>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D10A1"/>
    <w:rsid w:val="007E0968"/>
    <w:rsid w:val="007E314C"/>
    <w:rsid w:val="007E31BF"/>
    <w:rsid w:val="007E751A"/>
    <w:rsid w:val="007E7F57"/>
    <w:rsid w:val="007F6003"/>
    <w:rsid w:val="007F6810"/>
    <w:rsid w:val="007F74D9"/>
    <w:rsid w:val="008028C3"/>
    <w:rsid w:val="00803F4C"/>
    <w:rsid w:val="00806D35"/>
    <w:rsid w:val="008107BC"/>
    <w:rsid w:val="008139B0"/>
    <w:rsid w:val="00816D3B"/>
    <w:rsid w:val="00833C18"/>
    <w:rsid w:val="0083445B"/>
    <w:rsid w:val="0083540F"/>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86C0D"/>
    <w:rsid w:val="008908B3"/>
    <w:rsid w:val="00890C1B"/>
    <w:rsid w:val="008922C7"/>
    <w:rsid w:val="008924EB"/>
    <w:rsid w:val="008A17BF"/>
    <w:rsid w:val="008A2C80"/>
    <w:rsid w:val="008A5E76"/>
    <w:rsid w:val="008B0C71"/>
    <w:rsid w:val="008B368D"/>
    <w:rsid w:val="008C2811"/>
    <w:rsid w:val="008C6743"/>
    <w:rsid w:val="008D0DC7"/>
    <w:rsid w:val="008D19F7"/>
    <w:rsid w:val="008D2EAB"/>
    <w:rsid w:val="008D4710"/>
    <w:rsid w:val="008D517E"/>
    <w:rsid w:val="008D6B16"/>
    <w:rsid w:val="008E4625"/>
    <w:rsid w:val="008E718F"/>
    <w:rsid w:val="008E71DF"/>
    <w:rsid w:val="008F00D0"/>
    <w:rsid w:val="008F36EF"/>
    <w:rsid w:val="008F44F8"/>
    <w:rsid w:val="008F5E1F"/>
    <w:rsid w:val="008F63E9"/>
    <w:rsid w:val="009009AA"/>
    <w:rsid w:val="00902E6B"/>
    <w:rsid w:val="0090741A"/>
    <w:rsid w:val="00911170"/>
    <w:rsid w:val="009137D0"/>
    <w:rsid w:val="009160E2"/>
    <w:rsid w:val="00921906"/>
    <w:rsid w:val="00925020"/>
    <w:rsid w:val="00926ED4"/>
    <w:rsid w:val="00927186"/>
    <w:rsid w:val="0093182D"/>
    <w:rsid w:val="00932531"/>
    <w:rsid w:val="00932C9F"/>
    <w:rsid w:val="00932F10"/>
    <w:rsid w:val="009437E8"/>
    <w:rsid w:val="00943A2D"/>
    <w:rsid w:val="00951AD3"/>
    <w:rsid w:val="00964A4B"/>
    <w:rsid w:val="0096611E"/>
    <w:rsid w:val="009673AF"/>
    <w:rsid w:val="009772B9"/>
    <w:rsid w:val="009813E9"/>
    <w:rsid w:val="00984E18"/>
    <w:rsid w:val="00985E72"/>
    <w:rsid w:val="0099786D"/>
    <w:rsid w:val="009B38A1"/>
    <w:rsid w:val="009B3D46"/>
    <w:rsid w:val="009C67B7"/>
    <w:rsid w:val="009C6F7D"/>
    <w:rsid w:val="009D2A2D"/>
    <w:rsid w:val="009F03D0"/>
    <w:rsid w:val="009F34D1"/>
    <w:rsid w:val="009F67E6"/>
    <w:rsid w:val="009F7302"/>
    <w:rsid w:val="00A11CF1"/>
    <w:rsid w:val="00A20D53"/>
    <w:rsid w:val="00A2111B"/>
    <w:rsid w:val="00A25FAB"/>
    <w:rsid w:val="00A31649"/>
    <w:rsid w:val="00A34A4A"/>
    <w:rsid w:val="00A36417"/>
    <w:rsid w:val="00A40F11"/>
    <w:rsid w:val="00A43898"/>
    <w:rsid w:val="00A450CE"/>
    <w:rsid w:val="00A46C5D"/>
    <w:rsid w:val="00A5612B"/>
    <w:rsid w:val="00A6082D"/>
    <w:rsid w:val="00A63294"/>
    <w:rsid w:val="00A71EF2"/>
    <w:rsid w:val="00A72D1C"/>
    <w:rsid w:val="00A74EE0"/>
    <w:rsid w:val="00A76643"/>
    <w:rsid w:val="00A7749C"/>
    <w:rsid w:val="00A7786F"/>
    <w:rsid w:val="00A820BE"/>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48F2"/>
    <w:rsid w:val="00B14C6E"/>
    <w:rsid w:val="00B16EE8"/>
    <w:rsid w:val="00B20140"/>
    <w:rsid w:val="00B218FE"/>
    <w:rsid w:val="00B21C59"/>
    <w:rsid w:val="00B3448D"/>
    <w:rsid w:val="00B41A9A"/>
    <w:rsid w:val="00B43AE8"/>
    <w:rsid w:val="00B44107"/>
    <w:rsid w:val="00B44693"/>
    <w:rsid w:val="00B54259"/>
    <w:rsid w:val="00B54CE6"/>
    <w:rsid w:val="00B54F0B"/>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54610"/>
    <w:rsid w:val="00C607E8"/>
    <w:rsid w:val="00C60F7D"/>
    <w:rsid w:val="00C77966"/>
    <w:rsid w:val="00C802A7"/>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F0841"/>
    <w:rsid w:val="00D22FB3"/>
    <w:rsid w:val="00D2717E"/>
    <w:rsid w:val="00D320E7"/>
    <w:rsid w:val="00D3269F"/>
    <w:rsid w:val="00D36416"/>
    <w:rsid w:val="00D418BC"/>
    <w:rsid w:val="00D45A27"/>
    <w:rsid w:val="00D46E62"/>
    <w:rsid w:val="00D52541"/>
    <w:rsid w:val="00D54BA0"/>
    <w:rsid w:val="00D608D9"/>
    <w:rsid w:val="00D634C8"/>
    <w:rsid w:val="00D64B79"/>
    <w:rsid w:val="00D66E24"/>
    <w:rsid w:val="00D76D4E"/>
    <w:rsid w:val="00D806A3"/>
    <w:rsid w:val="00D814B6"/>
    <w:rsid w:val="00D8399F"/>
    <w:rsid w:val="00D84FE2"/>
    <w:rsid w:val="00D92409"/>
    <w:rsid w:val="00D95914"/>
    <w:rsid w:val="00DA1560"/>
    <w:rsid w:val="00DA3184"/>
    <w:rsid w:val="00DA5E27"/>
    <w:rsid w:val="00DA65EE"/>
    <w:rsid w:val="00DA7E5B"/>
    <w:rsid w:val="00DB0309"/>
    <w:rsid w:val="00DB6E4E"/>
    <w:rsid w:val="00DC5744"/>
    <w:rsid w:val="00DC619A"/>
    <w:rsid w:val="00DC7FC2"/>
    <w:rsid w:val="00DD2DB5"/>
    <w:rsid w:val="00DD2E0C"/>
    <w:rsid w:val="00DD3DB6"/>
    <w:rsid w:val="00DD4ED1"/>
    <w:rsid w:val="00DD686B"/>
    <w:rsid w:val="00DE3373"/>
    <w:rsid w:val="00DE654E"/>
    <w:rsid w:val="00DE6B3D"/>
    <w:rsid w:val="00DE72B9"/>
    <w:rsid w:val="00DF11FD"/>
    <w:rsid w:val="00DF4ECA"/>
    <w:rsid w:val="00DF5183"/>
    <w:rsid w:val="00DF6697"/>
    <w:rsid w:val="00DF7AB5"/>
    <w:rsid w:val="00DF7F0A"/>
    <w:rsid w:val="00E11376"/>
    <w:rsid w:val="00E21013"/>
    <w:rsid w:val="00E21941"/>
    <w:rsid w:val="00E30D18"/>
    <w:rsid w:val="00E444B2"/>
    <w:rsid w:val="00E50267"/>
    <w:rsid w:val="00E55C56"/>
    <w:rsid w:val="00E570B0"/>
    <w:rsid w:val="00E604F7"/>
    <w:rsid w:val="00E65448"/>
    <w:rsid w:val="00E678F0"/>
    <w:rsid w:val="00E71C8B"/>
    <w:rsid w:val="00E762DB"/>
    <w:rsid w:val="00E76DF9"/>
    <w:rsid w:val="00E76EA8"/>
    <w:rsid w:val="00E82677"/>
    <w:rsid w:val="00E85FE3"/>
    <w:rsid w:val="00E87D58"/>
    <w:rsid w:val="00E91BC8"/>
    <w:rsid w:val="00EA6B31"/>
    <w:rsid w:val="00EC0694"/>
    <w:rsid w:val="00EC1E4F"/>
    <w:rsid w:val="00EC5723"/>
    <w:rsid w:val="00EC5DF0"/>
    <w:rsid w:val="00ED43D8"/>
    <w:rsid w:val="00EE1FB9"/>
    <w:rsid w:val="00EE2A12"/>
    <w:rsid w:val="00EE3F96"/>
    <w:rsid w:val="00EE5B35"/>
    <w:rsid w:val="00EE7FAE"/>
    <w:rsid w:val="00EF409F"/>
    <w:rsid w:val="00EF491C"/>
    <w:rsid w:val="00EF6DB2"/>
    <w:rsid w:val="00F059EF"/>
    <w:rsid w:val="00F06DF3"/>
    <w:rsid w:val="00F10281"/>
    <w:rsid w:val="00F12122"/>
    <w:rsid w:val="00F13805"/>
    <w:rsid w:val="00F15584"/>
    <w:rsid w:val="00F163D7"/>
    <w:rsid w:val="00F236A2"/>
    <w:rsid w:val="00F25AA0"/>
    <w:rsid w:val="00F27EC3"/>
    <w:rsid w:val="00F301A1"/>
    <w:rsid w:val="00F35D52"/>
    <w:rsid w:val="00F363B7"/>
    <w:rsid w:val="00F37CA6"/>
    <w:rsid w:val="00F46A70"/>
    <w:rsid w:val="00F51913"/>
    <w:rsid w:val="00F55724"/>
    <w:rsid w:val="00F608BD"/>
    <w:rsid w:val="00F67143"/>
    <w:rsid w:val="00F81417"/>
    <w:rsid w:val="00F854B9"/>
    <w:rsid w:val="00F938F5"/>
    <w:rsid w:val="00F94850"/>
    <w:rsid w:val="00F97E28"/>
    <w:rsid w:val="00FA6653"/>
    <w:rsid w:val="00FB1DFB"/>
    <w:rsid w:val="00FB50A2"/>
    <w:rsid w:val="00FB5E05"/>
    <w:rsid w:val="00FB74E0"/>
    <w:rsid w:val="00FC7D84"/>
    <w:rsid w:val="00FD22B3"/>
    <w:rsid w:val="00FD24E2"/>
    <w:rsid w:val="00FD50D4"/>
    <w:rsid w:val="00FD6E74"/>
    <w:rsid w:val="00FE0424"/>
    <w:rsid w:val="00FE3D58"/>
    <w:rsid w:val="00FF2CE6"/>
    <w:rsid w:val="00FF40A5"/>
    <w:rsid w:val="00FF64ED"/>
    <w:rsid w:val="01716970"/>
    <w:rsid w:val="01B14F43"/>
    <w:rsid w:val="02EA4873"/>
    <w:rsid w:val="035D4211"/>
    <w:rsid w:val="037D5EE3"/>
    <w:rsid w:val="03992864"/>
    <w:rsid w:val="042C68FB"/>
    <w:rsid w:val="04974E4D"/>
    <w:rsid w:val="049D42FC"/>
    <w:rsid w:val="04CF6E29"/>
    <w:rsid w:val="04DD6DB0"/>
    <w:rsid w:val="059366CF"/>
    <w:rsid w:val="05D00163"/>
    <w:rsid w:val="077C34B8"/>
    <w:rsid w:val="07A209C4"/>
    <w:rsid w:val="080D26DA"/>
    <w:rsid w:val="082639E9"/>
    <w:rsid w:val="08284245"/>
    <w:rsid w:val="08607386"/>
    <w:rsid w:val="086F1260"/>
    <w:rsid w:val="0880226D"/>
    <w:rsid w:val="089F2BDE"/>
    <w:rsid w:val="08B864ED"/>
    <w:rsid w:val="08BB2505"/>
    <w:rsid w:val="08F95144"/>
    <w:rsid w:val="099407C3"/>
    <w:rsid w:val="099A07E1"/>
    <w:rsid w:val="09EB0220"/>
    <w:rsid w:val="0A9B4FED"/>
    <w:rsid w:val="0ADD641A"/>
    <w:rsid w:val="0B0C0A79"/>
    <w:rsid w:val="0B451F6A"/>
    <w:rsid w:val="0BC046EC"/>
    <w:rsid w:val="0BFE48C8"/>
    <w:rsid w:val="0C6F4C8D"/>
    <w:rsid w:val="0C8346C1"/>
    <w:rsid w:val="0CA4745F"/>
    <w:rsid w:val="0CEE63D9"/>
    <w:rsid w:val="0D0E0EB6"/>
    <w:rsid w:val="0D2A3EE6"/>
    <w:rsid w:val="0DE142CB"/>
    <w:rsid w:val="0F114567"/>
    <w:rsid w:val="0FDC1CDC"/>
    <w:rsid w:val="100B5727"/>
    <w:rsid w:val="1011633A"/>
    <w:rsid w:val="10223C48"/>
    <w:rsid w:val="10FF3D72"/>
    <w:rsid w:val="114572F0"/>
    <w:rsid w:val="1208274B"/>
    <w:rsid w:val="12190CF8"/>
    <w:rsid w:val="12475EA9"/>
    <w:rsid w:val="12B97BBE"/>
    <w:rsid w:val="12C13692"/>
    <w:rsid w:val="12ED5BF3"/>
    <w:rsid w:val="133360BD"/>
    <w:rsid w:val="146E4633"/>
    <w:rsid w:val="14BF320F"/>
    <w:rsid w:val="150412EA"/>
    <w:rsid w:val="150D2DE0"/>
    <w:rsid w:val="171438BA"/>
    <w:rsid w:val="17230955"/>
    <w:rsid w:val="178313B2"/>
    <w:rsid w:val="182770BA"/>
    <w:rsid w:val="18863017"/>
    <w:rsid w:val="18AC6D73"/>
    <w:rsid w:val="18B308D7"/>
    <w:rsid w:val="19BC3D87"/>
    <w:rsid w:val="19FA0C55"/>
    <w:rsid w:val="1B4716B4"/>
    <w:rsid w:val="1C08419D"/>
    <w:rsid w:val="1C5A3A9C"/>
    <w:rsid w:val="1CD07752"/>
    <w:rsid w:val="1D4D5FFD"/>
    <w:rsid w:val="1DDC31B9"/>
    <w:rsid w:val="1E423A10"/>
    <w:rsid w:val="1EEF5532"/>
    <w:rsid w:val="1F666BD8"/>
    <w:rsid w:val="1F7A0970"/>
    <w:rsid w:val="209E2C67"/>
    <w:rsid w:val="21262AC3"/>
    <w:rsid w:val="216F32CA"/>
    <w:rsid w:val="22124112"/>
    <w:rsid w:val="23F57352"/>
    <w:rsid w:val="249A7996"/>
    <w:rsid w:val="267E2359"/>
    <w:rsid w:val="26A96492"/>
    <w:rsid w:val="26BC7CBC"/>
    <w:rsid w:val="27447ED5"/>
    <w:rsid w:val="275F3A77"/>
    <w:rsid w:val="27D77C2D"/>
    <w:rsid w:val="28473641"/>
    <w:rsid w:val="284F0253"/>
    <w:rsid w:val="28644870"/>
    <w:rsid w:val="28794261"/>
    <w:rsid w:val="287B168C"/>
    <w:rsid w:val="28976EFA"/>
    <w:rsid w:val="28BC3225"/>
    <w:rsid w:val="2AE635A3"/>
    <w:rsid w:val="2AE949DF"/>
    <w:rsid w:val="2B3B474B"/>
    <w:rsid w:val="2B8D044E"/>
    <w:rsid w:val="2BEA293F"/>
    <w:rsid w:val="2C016BB8"/>
    <w:rsid w:val="2C35087A"/>
    <w:rsid w:val="2C6C09AB"/>
    <w:rsid w:val="2C9B0C73"/>
    <w:rsid w:val="2CC76866"/>
    <w:rsid w:val="2CDF2107"/>
    <w:rsid w:val="2D050128"/>
    <w:rsid w:val="2D454D57"/>
    <w:rsid w:val="2D77461B"/>
    <w:rsid w:val="2D8419ED"/>
    <w:rsid w:val="2DEE5FF6"/>
    <w:rsid w:val="2E1236E1"/>
    <w:rsid w:val="2E1812B3"/>
    <w:rsid w:val="2E400C5F"/>
    <w:rsid w:val="2E5209E3"/>
    <w:rsid w:val="2E6469D8"/>
    <w:rsid w:val="2EAF40BA"/>
    <w:rsid w:val="2EB01AFE"/>
    <w:rsid w:val="2F9D6E55"/>
    <w:rsid w:val="2FC728A4"/>
    <w:rsid w:val="30592C7B"/>
    <w:rsid w:val="306B6E0B"/>
    <w:rsid w:val="30D1119A"/>
    <w:rsid w:val="30F12F4C"/>
    <w:rsid w:val="3112402E"/>
    <w:rsid w:val="311A1F18"/>
    <w:rsid w:val="313D3E38"/>
    <w:rsid w:val="323E0566"/>
    <w:rsid w:val="32611BF0"/>
    <w:rsid w:val="33680863"/>
    <w:rsid w:val="337C11D8"/>
    <w:rsid w:val="33A83294"/>
    <w:rsid w:val="33D73619"/>
    <w:rsid w:val="34011E26"/>
    <w:rsid w:val="341B4D23"/>
    <w:rsid w:val="36176D08"/>
    <w:rsid w:val="3662694C"/>
    <w:rsid w:val="36673217"/>
    <w:rsid w:val="36A81FB2"/>
    <w:rsid w:val="3722158D"/>
    <w:rsid w:val="375E09FC"/>
    <w:rsid w:val="378D125D"/>
    <w:rsid w:val="37995FA5"/>
    <w:rsid w:val="37C329C2"/>
    <w:rsid w:val="383E2E91"/>
    <w:rsid w:val="38525FA9"/>
    <w:rsid w:val="389A1B92"/>
    <w:rsid w:val="38E01351"/>
    <w:rsid w:val="38E630ED"/>
    <w:rsid w:val="39003F1D"/>
    <w:rsid w:val="39276876"/>
    <w:rsid w:val="392B2930"/>
    <w:rsid w:val="39B94EAC"/>
    <w:rsid w:val="3AC853CC"/>
    <w:rsid w:val="3B262FE7"/>
    <w:rsid w:val="3B9015D6"/>
    <w:rsid w:val="3C0721DE"/>
    <w:rsid w:val="3C582CD8"/>
    <w:rsid w:val="3D1E6CEB"/>
    <w:rsid w:val="3D6D3BE9"/>
    <w:rsid w:val="3E094E14"/>
    <w:rsid w:val="3E2546CD"/>
    <w:rsid w:val="3EF13254"/>
    <w:rsid w:val="3EF16A2F"/>
    <w:rsid w:val="3F593567"/>
    <w:rsid w:val="3F5B33B7"/>
    <w:rsid w:val="3FA5363E"/>
    <w:rsid w:val="40531C58"/>
    <w:rsid w:val="41192D98"/>
    <w:rsid w:val="413E5CD9"/>
    <w:rsid w:val="415B2810"/>
    <w:rsid w:val="415D6363"/>
    <w:rsid w:val="41883539"/>
    <w:rsid w:val="41F14F72"/>
    <w:rsid w:val="42177739"/>
    <w:rsid w:val="433E3760"/>
    <w:rsid w:val="43425F9D"/>
    <w:rsid w:val="43BE3CB6"/>
    <w:rsid w:val="43CE6208"/>
    <w:rsid w:val="43D80753"/>
    <w:rsid w:val="43F465D0"/>
    <w:rsid w:val="442A053D"/>
    <w:rsid w:val="44440739"/>
    <w:rsid w:val="444F66A6"/>
    <w:rsid w:val="446F65B8"/>
    <w:rsid w:val="44F057A6"/>
    <w:rsid w:val="45804051"/>
    <w:rsid w:val="45A95346"/>
    <w:rsid w:val="46416F41"/>
    <w:rsid w:val="46C4203A"/>
    <w:rsid w:val="470E29AE"/>
    <w:rsid w:val="48312B93"/>
    <w:rsid w:val="49CB0CCD"/>
    <w:rsid w:val="49D50736"/>
    <w:rsid w:val="49D94FC0"/>
    <w:rsid w:val="4A4041A0"/>
    <w:rsid w:val="4A436006"/>
    <w:rsid w:val="4AA610D6"/>
    <w:rsid w:val="4B0C055A"/>
    <w:rsid w:val="4B3F255B"/>
    <w:rsid w:val="4C8B4A7C"/>
    <w:rsid w:val="4CFC368B"/>
    <w:rsid w:val="4DE70D15"/>
    <w:rsid w:val="4E694325"/>
    <w:rsid w:val="4E7D412D"/>
    <w:rsid w:val="4EE010D0"/>
    <w:rsid w:val="4F086AAF"/>
    <w:rsid w:val="4F80572D"/>
    <w:rsid w:val="4F8A37D0"/>
    <w:rsid w:val="4FB23E60"/>
    <w:rsid w:val="5069668A"/>
    <w:rsid w:val="50A83CB2"/>
    <w:rsid w:val="50D0316E"/>
    <w:rsid w:val="50F103B1"/>
    <w:rsid w:val="511F0165"/>
    <w:rsid w:val="512B42F2"/>
    <w:rsid w:val="522B5E58"/>
    <w:rsid w:val="537D3207"/>
    <w:rsid w:val="538E5DEC"/>
    <w:rsid w:val="54232D0E"/>
    <w:rsid w:val="54260108"/>
    <w:rsid w:val="546E75E5"/>
    <w:rsid w:val="547B65E2"/>
    <w:rsid w:val="55913BCD"/>
    <w:rsid w:val="569C6A11"/>
    <w:rsid w:val="56D076DF"/>
    <w:rsid w:val="56E34736"/>
    <w:rsid w:val="56FB15A3"/>
    <w:rsid w:val="571D4DAD"/>
    <w:rsid w:val="572C3C94"/>
    <w:rsid w:val="575F184A"/>
    <w:rsid w:val="57806BBC"/>
    <w:rsid w:val="5783752D"/>
    <w:rsid w:val="58174687"/>
    <w:rsid w:val="58963DA7"/>
    <w:rsid w:val="58A23681"/>
    <w:rsid w:val="592C3305"/>
    <w:rsid w:val="59BA3FF2"/>
    <w:rsid w:val="5A2C7551"/>
    <w:rsid w:val="5A400720"/>
    <w:rsid w:val="5BA928AE"/>
    <w:rsid w:val="5BC55803"/>
    <w:rsid w:val="5BEB57FC"/>
    <w:rsid w:val="5C903556"/>
    <w:rsid w:val="5C965F86"/>
    <w:rsid w:val="5CAC1ECD"/>
    <w:rsid w:val="5CF4139A"/>
    <w:rsid w:val="5D49282B"/>
    <w:rsid w:val="5D693C9C"/>
    <w:rsid w:val="5DE973D6"/>
    <w:rsid w:val="5E613FBA"/>
    <w:rsid w:val="5E8D2D21"/>
    <w:rsid w:val="5EBD1212"/>
    <w:rsid w:val="5EEC0CC8"/>
    <w:rsid w:val="5F5F698A"/>
    <w:rsid w:val="5FA01570"/>
    <w:rsid w:val="60900F01"/>
    <w:rsid w:val="613673E7"/>
    <w:rsid w:val="61C51EB9"/>
    <w:rsid w:val="623F329A"/>
    <w:rsid w:val="62695E27"/>
    <w:rsid w:val="628242DE"/>
    <w:rsid w:val="62A0331D"/>
    <w:rsid w:val="636127C3"/>
    <w:rsid w:val="63B66860"/>
    <w:rsid w:val="63BF7C32"/>
    <w:rsid w:val="64234664"/>
    <w:rsid w:val="64BC10E7"/>
    <w:rsid w:val="651E17D7"/>
    <w:rsid w:val="6541100E"/>
    <w:rsid w:val="654C0BA8"/>
    <w:rsid w:val="65D64F9F"/>
    <w:rsid w:val="664352EB"/>
    <w:rsid w:val="6668239A"/>
    <w:rsid w:val="672079BD"/>
    <w:rsid w:val="683E7EE4"/>
    <w:rsid w:val="693042C6"/>
    <w:rsid w:val="696610E4"/>
    <w:rsid w:val="69AD467C"/>
    <w:rsid w:val="6A83721D"/>
    <w:rsid w:val="6AB77258"/>
    <w:rsid w:val="6AE21101"/>
    <w:rsid w:val="6AFD2B2F"/>
    <w:rsid w:val="6B4F3B9E"/>
    <w:rsid w:val="6BCE135A"/>
    <w:rsid w:val="6BD63153"/>
    <w:rsid w:val="6BF828FC"/>
    <w:rsid w:val="6C5B55DC"/>
    <w:rsid w:val="6C706080"/>
    <w:rsid w:val="6CAE03DD"/>
    <w:rsid w:val="6CC55CD2"/>
    <w:rsid w:val="6CE56E6B"/>
    <w:rsid w:val="6D032DAA"/>
    <w:rsid w:val="6E005A26"/>
    <w:rsid w:val="6E6329C5"/>
    <w:rsid w:val="6EFF345A"/>
    <w:rsid w:val="6F0E41D6"/>
    <w:rsid w:val="6FB4540B"/>
    <w:rsid w:val="70C73255"/>
    <w:rsid w:val="715A3D27"/>
    <w:rsid w:val="71610FBE"/>
    <w:rsid w:val="725008FF"/>
    <w:rsid w:val="7261099C"/>
    <w:rsid w:val="72760778"/>
    <w:rsid w:val="73563764"/>
    <w:rsid w:val="73A744E8"/>
    <w:rsid w:val="73BB2F7F"/>
    <w:rsid w:val="743104E3"/>
    <w:rsid w:val="74320C3C"/>
    <w:rsid w:val="74513162"/>
    <w:rsid w:val="74581C44"/>
    <w:rsid w:val="74EE6B65"/>
    <w:rsid w:val="75431AF8"/>
    <w:rsid w:val="757B75BC"/>
    <w:rsid w:val="76001713"/>
    <w:rsid w:val="76A665D3"/>
    <w:rsid w:val="788A7BFB"/>
    <w:rsid w:val="78BA77EE"/>
    <w:rsid w:val="78BD1F9D"/>
    <w:rsid w:val="79201CE1"/>
    <w:rsid w:val="79B14724"/>
    <w:rsid w:val="7A1C38BD"/>
    <w:rsid w:val="7A831F21"/>
    <w:rsid w:val="7B3E0A41"/>
    <w:rsid w:val="7B5F45D7"/>
    <w:rsid w:val="7B9A7C73"/>
    <w:rsid w:val="7BF147D9"/>
    <w:rsid w:val="7C323980"/>
    <w:rsid w:val="7C911E58"/>
    <w:rsid w:val="7CBF09DD"/>
    <w:rsid w:val="7D2362F8"/>
    <w:rsid w:val="7E536BB5"/>
    <w:rsid w:val="7E61004C"/>
    <w:rsid w:val="7F2A28F3"/>
    <w:rsid w:val="7F3D0A37"/>
    <w:rsid w:val="7F7E14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9"/>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0"/>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1"/>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2"/>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9"/>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3"/>
    <w:qFormat/>
    <w:uiPriority w:val="99"/>
    <w:rPr>
      <w:rFonts w:ascii="宋体"/>
      <w:sz w:val="18"/>
      <w:szCs w:val="18"/>
    </w:rPr>
  </w:style>
  <w:style w:type="paragraph" w:styleId="8">
    <w:name w:val="annotation text"/>
    <w:basedOn w:val="1"/>
    <w:link w:val="34"/>
    <w:qFormat/>
    <w:uiPriority w:val="99"/>
    <w:pPr>
      <w:jc w:val="left"/>
    </w:pPr>
  </w:style>
  <w:style w:type="paragraph" w:styleId="9">
    <w:name w:val="Body Text 3"/>
    <w:basedOn w:val="1"/>
    <w:qFormat/>
    <w:uiPriority w:val="0"/>
    <w:pPr>
      <w:ind w:right="-26"/>
      <w:jc w:val="center"/>
    </w:pPr>
    <w:rPr>
      <w:b/>
      <w:bCs/>
      <w:color w:val="3366FF"/>
      <w:kern w:val="2"/>
      <w:sz w:val="52"/>
      <w:szCs w:val="52"/>
      <w:lang w:val="zh-CN"/>
    </w:rPr>
  </w:style>
  <w:style w:type="paragraph" w:styleId="10">
    <w:name w:val="Body Text"/>
    <w:basedOn w:val="1"/>
    <w:next w:val="1"/>
    <w:link w:val="35"/>
    <w:qFormat/>
    <w:uiPriority w:val="99"/>
    <w:pPr>
      <w:spacing w:after="120"/>
    </w:pPr>
  </w:style>
  <w:style w:type="paragraph" w:styleId="11">
    <w:name w:val="Body Text Indent"/>
    <w:basedOn w:val="1"/>
    <w:unhideWhenUsed/>
    <w:qFormat/>
    <w:uiPriority w:val="99"/>
    <w:pPr>
      <w:spacing w:after="120"/>
      <w:ind w:left="420" w:leftChars="200"/>
    </w:pPr>
    <w:rPr>
      <w:rFonts w:ascii="黑体" w:hAnsi="黑体" w:eastAsia="黑体" w:cs="宋体"/>
      <w:szCs w:val="21"/>
    </w:rPr>
  </w:style>
  <w:style w:type="paragraph" w:styleId="12">
    <w:name w:val="Plain Text"/>
    <w:basedOn w:val="1"/>
    <w:link w:val="51"/>
    <w:qFormat/>
    <w:uiPriority w:val="99"/>
    <w:pPr>
      <w:tabs>
        <w:tab w:val="left" w:pos="-105"/>
      </w:tabs>
      <w:spacing w:line="440" w:lineRule="exact"/>
      <w:ind w:right="-147" w:rightChars="-70"/>
      <w:outlineLvl w:val="2"/>
    </w:pPr>
    <w:rPr>
      <w:rFonts w:ascii="宋体" w:hAnsi="Courier New"/>
      <w:sz w:val="24"/>
      <w:szCs w:val="21"/>
    </w:rPr>
  </w:style>
  <w:style w:type="paragraph" w:styleId="13">
    <w:name w:val="Balloon Text"/>
    <w:basedOn w:val="1"/>
    <w:link w:val="36"/>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sz w:val="18"/>
      <w:szCs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1"/>
    <w:qFormat/>
    <w:locked/>
    <w:uiPriority w:val="0"/>
    <w:pPr>
      <w:spacing w:before="240" w:after="60"/>
      <w:jc w:val="center"/>
      <w:outlineLvl w:val="0"/>
    </w:pPr>
    <w:rPr>
      <w:rFonts w:ascii="Cambria" w:hAnsi="Cambria"/>
      <w:b/>
      <w:bCs/>
      <w:sz w:val="32"/>
      <w:szCs w:val="32"/>
    </w:rPr>
  </w:style>
  <w:style w:type="paragraph" w:styleId="20">
    <w:name w:val="annotation subject"/>
    <w:basedOn w:val="8"/>
    <w:next w:val="8"/>
    <w:link w:val="56"/>
    <w:semiHidden/>
    <w:qFormat/>
    <w:uiPriority w:val="99"/>
    <w:rPr>
      <w:b/>
      <w:bCs/>
    </w:rPr>
  </w:style>
  <w:style w:type="paragraph" w:styleId="21">
    <w:name w:val="Body Text First Indent"/>
    <w:basedOn w:val="10"/>
    <w:link w:val="39"/>
    <w:qFormat/>
    <w:uiPriority w:val="99"/>
    <w:pPr>
      <w:widowControl/>
      <w:ind w:firstLine="420" w:firstLineChars="100"/>
    </w:pPr>
    <w:rPr>
      <w:rFonts w:ascii="Calibri" w:hAnsi="Calibri" w:cs="宋体"/>
      <w:szCs w:val="22"/>
    </w:rPr>
  </w:style>
  <w:style w:type="table" w:styleId="23">
    <w:name w:val="Table Grid"/>
    <w:basedOn w:val="22"/>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qFormat/>
    <w:uiPriority w:val="0"/>
  </w:style>
  <w:style w:type="character" w:styleId="26">
    <w:name w:val="Hyperlink"/>
    <w:basedOn w:val="24"/>
    <w:qFormat/>
    <w:uiPriority w:val="99"/>
    <w:rPr>
      <w:rFonts w:cs="Times New Roman"/>
      <w:color w:val="0000FF"/>
      <w:u w:val="single"/>
    </w:rPr>
  </w:style>
  <w:style w:type="character" w:styleId="27">
    <w:name w:val="annotation reference"/>
    <w:basedOn w:val="24"/>
    <w:qFormat/>
    <w:uiPriority w:val="99"/>
    <w:rPr>
      <w:rFonts w:cs="Times New Roman"/>
      <w:sz w:val="21"/>
      <w:szCs w:val="21"/>
    </w:rPr>
  </w:style>
  <w:style w:type="paragraph" w:customStyle="1" w:styleId="28">
    <w:name w:val="正文2"/>
    <w:basedOn w:val="6"/>
    <w:qFormat/>
    <w:uiPriority w:val="0"/>
    <w:pPr>
      <w:jc w:val="both"/>
    </w:pPr>
    <w:rPr>
      <w:rFonts w:ascii="Times New Roman" w:hAnsi="Times New Roman" w:eastAsia="宋体" w:cs="Times New Roman"/>
      <w:kern w:val="2"/>
      <w:sz w:val="21"/>
      <w:szCs w:val="21"/>
      <w:lang w:val="en-US" w:eastAsia="zh-CN" w:bidi="ar-SA"/>
    </w:rPr>
  </w:style>
  <w:style w:type="character" w:customStyle="1" w:styleId="29">
    <w:name w:val="标题 1 Char"/>
    <w:basedOn w:val="24"/>
    <w:link w:val="2"/>
    <w:qFormat/>
    <w:locked/>
    <w:uiPriority w:val="99"/>
    <w:rPr>
      <w:rFonts w:ascii="Times New Roman" w:hAnsi="Times New Roman" w:eastAsia="宋体" w:cs="Times New Roman"/>
      <w:b/>
      <w:bCs/>
      <w:kern w:val="44"/>
      <w:sz w:val="44"/>
      <w:szCs w:val="44"/>
    </w:rPr>
  </w:style>
  <w:style w:type="character" w:customStyle="1" w:styleId="30">
    <w:name w:val="标题 2 Char"/>
    <w:basedOn w:val="24"/>
    <w:link w:val="3"/>
    <w:qFormat/>
    <w:locked/>
    <w:uiPriority w:val="99"/>
    <w:rPr>
      <w:rFonts w:ascii="Cambria" w:hAnsi="Cambria" w:eastAsia="宋体" w:cs="Times New Roman"/>
      <w:b/>
      <w:bCs/>
      <w:kern w:val="2"/>
      <w:sz w:val="32"/>
      <w:szCs w:val="32"/>
    </w:rPr>
  </w:style>
  <w:style w:type="character" w:customStyle="1" w:styleId="31">
    <w:name w:val="标题 3 Char"/>
    <w:basedOn w:val="24"/>
    <w:link w:val="4"/>
    <w:qFormat/>
    <w:locked/>
    <w:uiPriority w:val="99"/>
    <w:rPr>
      <w:rFonts w:eastAsia="宋体" w:cs="Times New Roman"/>
      <w:b/>
      <w:sz w:val="32"/>
    </w:rPr>
  </w:style>
  <w:style w:type="character" w:customStyle="1" w:styleId="32">
    <w:name w:val="标题 4 Char"/>
    <w:basedOn w:val="24"/>
    <w:link w:val="5"/>
    <w:qFormat/>
    <w:locked/>
    <w:uiPriority w:val="99"/>
    <w:rPr>
      <w:rFonts w:ascii="Arial" w:hAnsi="Arial" w:eastAsia="黑体" w:cs="Times New Roman"/>
      <w:b/>
      <w:bCs/>
      <w:kern w:val="2"/>
      <w:sz w:val="28"/>
      <w:szCs w:val="28"/>
    </w:rPr>
  </w:style>
  <w:style w:type="character" w:customStyle="1" w:styleId="33">
    <w:name w:val="文档结构图 Char"/>
    <w:basedOn w:val="24"/>
    <w:link w:val="7"/>
    <w:qFormat/>
    <w:locked/>
    <w:uiPriority w:val="99"/>
    <w:rPr>
      <w:rFonts w:ascii="宋体" w:hAnsi="Times New Roman" w:eastAsia="宋体" w:cs="Times New Roman"/>
      <w:kern w:val="2"/>
      <w:sz w:val="18"/>
      <w:szCs w:val="18"/>
    </w:rPr>
  </w:style>
  <w:style w:type="character" w:customStyle="1" w:styleId="34">
    <w:name w:val="批注文字 Char"/>
    <w:basedOn w:val="24"/>
    <w:link w:val="8"/>
    <w:qFormat/>
    <w:locked/>
    <w:uiPriority w:val="99"/>
    <w:rPr>
      <w:rFonts w:ascii="Times New Roman" w:hAnsi="Times New Roman" w:cs="Times New Roman"/>
      <w:kern w:val="2"/>
      <w:sz w:val="21"/>
    </w:rPr>
  </w:style>
  <w:style w:type="character" w:customStyle="1" w:styleId="35">
    <w:name w:val="正文文本 Char"/>
    <w:basedOn w:val="24"/>
    <w:link w:val="10"/>
    <w:qFormat/>
    <w:locked/>
    <w:uiPriority w:val="99"/>
    <w:rPr>
      <w:rFonts w:ascii="Times New Roman" w:hAnsi="Times New Roman" w:eastAsia="宋体" w:cs="Times New Roman"/>
      <w:sz w:val="20"/>
      <w:szCs w:val="20"/>
    </w:rPr>
  </w:style>
  <w:style w:type="character" w:customStyle="1" w:styleId="36">
    <w:name w:val="批注框文本 Char"/>
    <w:basedOn w:val="24"/>
    <w:link w:val="13"/>
    <w:qFormat/>
    <w:locked/>
    <w:uiPriority w:val="99"/>
    <w:rPr>
      <w:rFonts w:ascii="Times New Roman" w:hAnsi="Times New Roman" w:eastAsia="宋体" w:cs="Times New Roman"/>
      <w:kern w:val="2"/>
      <w:sz w:val="18"/>
      <w:szCs w:val="18"/>
    </w:rPr>
  </w:style>
  <w:style w:type="character" w:customStyle="1" w:styleId="37">
    <w:name w:val="页脚 Char"/>
    <w:basedOn w:val="24"/>
    <w:link w:val="14"/>
    <w:qFormat/>
    <w:locked/>
    <w:uiPriority w:val="99"/>
    <w:rPr>
      <w:rFonts w:ascii="Times New Roman" w:hAnsi="Times New Roman" w:eastAsia="宋体" w:cs="Times New Roman"/>
      <w:sz w:val="18"/>
      <w:szCs w:val="18"/>
    </w:rPr>
  </w:style>
  <w:style w:type="character" w:customStyle="1" w:styleId="38">
    <w:name w:val="页眉 Char"/>
    <w:basedOn w:val="24"/>
    <w:link w:val="15"/>
    <w:qFormat/>
    <w:locked/>
    <w:uiPriority w:val="99"/>
    <w:rPr>
      <w:rFonts w:ascii="Times New Roman" w:hAnsi="Times New Roman" w:eastAsia="宋体" w:cs="Times New Roman"/>
      <w:sz w:val="18"/>
      <w:szCs w:val="18"/>
    </w:rPr>
  </w:style>
  <w:style w:type="character" w:customStyle="1" w:styleId="39">
    <w:name w:val="正文首行缩进 Char"/>
    <w:basedOn w:val="35"/>
    <w:link w:val="21"/>
    <w:qFormat/>
    <w:locked/>
    <w:uiPriority w:val="99"/>
    <w:rPr>
      <w:rFonts w:ascii="Times New Roman" w:hAnsi="Times New Roman" w:eastAsia="宋体" w:cs="Times New Roman"/>
      <w:sz w:val="20"/>
      <w:szCs w:val="20"/>
    </w:rPr>
  </w:style>
  <w:style w:type="character" w:customStyle="1" w:styleId="40">
    <w:name w:val="正文缩进2格 Char"/>
    <w:link w:val="41"/>
    <w:qFormat/>
    <w:locked/>
    <w:uiPriority w:val="99"/>
    <w:rPr>
      <w:rFonts w:ascii="仿宋_GB2312" w:hAnsi="宋体" w:eastAsia="仿宋_GB2312"/>
      <w:sz w:val="31"/>
    </w:rPr>
  </w:style>
  <w:style w:type="paragraph" w:customStyle="1" w:styleId="41">
    <w:name w:val="正文缩进2格"/>
    <w:basedOn w:val="1"/>
    <w:link w:val="40"/>
    <w:qFormat/>
    <w:uiPriority w:val="99"/>
    <w:pPr>
      <w:spacing w:line="600" w:lineRule="exact"/>
      <w:ind w:firstLine="639" w:firstLineChars="206"/>
    </w:pPr>
    <w:rPr>
      <w:rFonts w:ascii="仿宋_GB2312" w:hAnsi="宋体" w:eastAsia="仿宋_GB2312"/>
      <w:kern w:val="0"/>
      <w:sz w:val="31"/>
      <w:szCs w:val="31"/>
    </w:rPr>
  </w:style>
  <w:style w:type="paragraph" w:customStyle="1" w:styleId="42">
    <w:name w:val="列出段落1"/>
    <w:basedOn w:val="1"/>
    <w:qFormat/>
    <w:uiPriority w:val="99"/>
    <w:pPr>
      <w:ind w:firstLine="420" w:firstLineChars="200"/>
    </w:pPr>
  </w:style>
  <w:style w:type="paragraph" w:customStyle="1" w:styleId="43">
    <w:name w:val="列出段落2"/>
    <w:basedOn w:val="1"/>
    <w:qFormat/>
    <w:uiPriority w:val="99"/>
    <w:pPr>
      <w:ind w:firstLine="420" w:firstLineChars="200"/>
    </w:pPr>
  </w:style>
  <w:style w:type="paragraph" w:styleId="44">
    <w:name w:val="List Paragraph"/>
    <w:basedOn w:val="1"/>
    <w:qFormat/>
    <w:uiPriority w:val="99"/>
    <w:pPr>
      <w:ind w:firstLine="420" w:firstLineChars="200"/>
    </w:pPr>
  </w:style>
  <w:style w:type="character" w:customStyle="1" w:styleId="45">
    <w:name w:val="fontstyle01"/>
    <w:basedOn w:val="24"/>
    <w:qFormat/>
    <w:uiPriority w:val="99"/>
    <w:rPr>
      <w:rFonts w:ascii="仿宋" w:hAnsi="仿宋" w:eastAsia="仿宋" w:cs="Times New Roman"/>
      <w:color w:val="000000"/>
      <w:sz w:val="28"/>
      <w:szCs w:val="28"/>
    </w:rPr>
  </w:style>
  <w:style w:type="character" w:customStyle="1" w:styleId="46">
    <w:name w:val="！正文 Char"/>
    <w:link w:val="47"/>
    <w:qFormat/>
    <w:locked/>
    <w:uiPriority w:val="99"/>
    <w:rPr>
      <w:rFonts w:ascii="Arial" w:hAnsi="Arial"/>
      <w:sz w:val="24"/>
    </w:rPr>
  </w:style>
  <w:style w:type="paragraph" w:customStyle="1" w:styleId="47">
    <w:name w:val="！正文"/>
    <w:basedOn w:val="1"/>
    <w:link w:val="46"/>
    <w:qFormat/>
    <w:uiPriority w:val="99"/>
    <w:pPr>
      <w:spacing w:line="360" w:lineRule="auto"/>
      <w:ind w:firstLine="200" w:firstLineChars="200"/>
    </w:pPr>
    <w:rPr>
      <w:rFonts w:ascii="Arial" w:hAnsi="Arial" w:eastAsia="等线"/>
      <w:kern w:val="0"/>
      <w:sz w:val="24"/>
      <w:szCs w:val="24"/>
    </w:rPr>
  </w:style>
  <w:style w:type="paragraph" w:customStyle="1" w:styleId="48">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9">
    <w:name w:val="正文缩进 Char"/>
    <w:link w:val="6"/>
    <w:qFormat/>
    <w:locked/>
    <w:uiPriority w:val="99"/>
    <w:rPr>
      <w:sz w:val="24"/>
    </w:rPr>
  </w:style>
  <w:style w:type="paragraph" w:customStyle="1" w:styleId="50">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51">
    <w:name w:val="纯文本 Char"/>
    <w:basedOn w:val="24"/>
    <w:link w:val="12"/>
    <w:qFormat/>
    <w:locked/>
    <w:uiPriority w:val="99"/>
    <w:rPr>
      <w:rFonts w:ascii="宋体" w:hAnsi="Courier New" w:eastAsia="宋体" w:cs="Times New Roman"/>
      <w:kern w:val="2"/>
      <w:sz w:val="21"/>
      <w:szCs w:val="21"/>
    </w:rPr>
  </w:style>
  <w:style w:type="character" w:customStyle="1" w:styleId="52">
    <w:name w:val="未处理的提及1"/>
    <w:basedOn w:val="24"/>
    <w:semiHidden/>
    <w:qFormat/>
    <w:uiPriority w:val="99"/>
    <w:rPr>
      <w:rFonts w:cs="Times New Roman"/>
      <w:color w:val="605E5C"/>
      <w:shd w:val="clear" w:color="auto" w:fill="E1DFDD"/>
    </w:rPr>
  </w:style>
  <w:style w:type="paragraph" w:customStyle="1" w:styleId="53">
    <w:name w:val="样式"/>
    <w:basedOn w:val="1"/>
    <w:next w:val="44"/>
    <w:qFormat/>
    <w:uiPriority w:val="99"/>
    <w:pPr>
      <w:ind w:firstLine="420" w:firstLineChars="200"/>
    </w:pPr>
    <w:rPr>
      <w:rFonts w:ascii="Calibri" w:hAnsi="Calibri"/>
      <w:szCs w:val="22"/>
    </w:rPr>
  </w:style>
  <w:style w:type="character" w:customStyle="1" w:styleId="54">
    <w:name w:val="Body Text Indent 2 Char Char"/>
    <w:link w:val="55"/>
    <w:qFormat/>
    <w:locked/>
    <w:uiPriority w:val="99"/>
  </w:style>
  <w:style w:type="paragraph" w:customStyle="1" w:styleId="55">
    <w:name w:val="正文文本缩进 21"/>
    <w:basedOn w:val="1"/>
    <w:link w:val="54"/>
    <w:qFormat/>
    <w:uiPriority w:val="99"/>
    <w:pPr>
      <w:adjustRightInd w:val="0"/>
      <w:spacing w:line="480" w:lineRule="auto"/>
      <w:ind w:firstLine="540"/>
    </w:pPr>
    <w:rPr>
      <w:rFonts w:ascii="Calibri" w:hAnsi="Calibri" w:eastAsia="等线"/>
      <w:kern w:val="0"/>
      <w:sz w:val="20"/>
    </w:rPr>
  </w:style>
  <w:style w:type="character" w:customStyle="1" w:styleId="56">
    <w:name w:val="批注主题 Char"/>
    <w:basedOn w:val="34"/>
    <w:link w:val="20"/>
    <w:semiHidden/>
    <w:qFormat/>
    <w:locked/>
    <w:uiPriority w:val="99"/>
    <w:rPr>
      <w:rFonts w:ascii="Times New Roman" w:hAnsi="Times New Roman" w:eastAsia="宋体" w:cs="Times New Roman"/>
      <w:b/>
      <w:bCs/>
      <w:kern w:val="2"/>
      <w:sz w:val="21"/>
    </w:rPr>
  </w:style>
  <w:style w:type="character" w:customStyle="1" w:styleId="57">
    <w:name w:val="标题 4 字符"/>
    <w:basedOn w:val="24"/>
    <w:semiHidden/>
    <w:qFormat/>
    <w:uiPriority w:val="99"/>
    <w:rPr>
      <w:rFonts w:ascii="Cambria" w:hAnsi="Cambria" w:eastAsia="宋体" w:cs="Times New Roman"/>
      <w:b/>
      <w:bCs/>
      <w:kern w:val="2"/>
      <w:sz w:val="28"/>
      <w:szCs w:val="28"/>
    </w:rPr>
  </w:style>
  <w:style w:type="paragraph" w:customStyle="1" w:styleId="58">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9">
    <w:name w:val="致远要点"/>
    <w:basedOn w:val="44"/>
    <w:link w:val="60"/>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0">
    <w:name w:val="致远要点 字符"/>
    <w:basedOn w:val="24"/>
    <w:link w:val="59"/>
    <w:qFormat/>
    <w:locked/>
    <w:uiPriority w:val="99"/>
    <w:rPr>
      <w:rFonts w:ascii="黑体" w:hAnsi="黑体" w:eastAsia="黑体" w:cs="宋体"/>
      <w:kern w:val="2"/>
      <w:sz w:val="22"/>
      <w:szCs w:val="22"/>
    </w:rPr>
  </w:style>
  <w:style w:type="paragraph" w:customStyle="1" w:styleId="61">
    <w:name w:val="SANGFOR_6_正文"/>
    <w:basedOn w:val="1"/>
    <w:qFormat/>
    <w:uiPriority w:val="99"/>
    <w:pPr>
      <w:spacing w:line="360" w:lineRule="auto"/>
    </w:pPr>
    <w:rPr>
      <w:szCs w:val="24"/>
    </w:rPr>
  </w:style>
  <w:style w:type="paragraph" w:customStyle="1" w:styleId="62">
    <w:name w:val="标题2"/>
    <w:basedOn w:val="19"/>
    <w:qFormat/>
    <w:uiPriority w:val="0"/>
    <w:pPr>
      <w:jc w:val="left"/>
    </w:pPr>
    <w:rPr>
      <w:rFonts w:ascii="宋体" w:hAnsi="宋体"/>
      <w:sz w:val="24"/>
      <w:szCs w:val="21"/>
    </w:rPr>
  </w:style>
  <w:style w:type="paragraph" w:customStyle="1" w:styleId="63">
    <w:name w:val="表格文字"/>
    <w:basedOn w:val="1"/>
    <w:qFormat/>
    <w:uiPriority w:val="0"/>
    <w:pPr>
      <w:autoSpaceDE/>
      <w:autoSpaceDN/>
      <w:adjustRightInd/>
      <w:spacing w:before="25" w:after="25"/>
    </w:pPr>
    <w:rPr>
      <w:rFonts w:ascii="Times New Roman"/>
      <w:bCs/>
      <w:spacing w:val="10"/>
      <w:szCs w:val="20"/>
    </w:rPr>
  </w:style>
  <w:style w:type="paragraph" w:customStyle="1" w:styleId="64">
    <w:name w:val="Default"/>
    <w:qFormat/>
    <w:uiPriority w:val="0"/>
    <w:pPr>
      <w:widowControl w:val="0"/>
      <w:autoSpaceDE w:val="0"/>
      <w:autoSpaceDN w:val="0"/>
      <w:adjustRightInd w:val="0"/>
    </w:pPr>
    <w:rPr>
      <w:rFonts w:ascii="MetaPlusLF" w:hAnsi="MetaPlusLF" w:eastAsia="宋体" w:cs="MetaPlusLF"/>
      <w:color w:val="000000"/>
      <w:kern w:val="0"/>
      <w:sz w:val="24"/>
      <w:szCs w:val="24"/>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kesin.Com</Company>
  <Pages>26</Pages>
  <Words>9140</Words>
  <Characters>9314</Characters>
  <Lines>5</Lines>
  <Paragraphs>8</Paragraphs>
  <TotalTime>2</TotalTime>
  <ScaleCrop>false</ScaleCrop>
  <LinksUpToDate>false</LinksUpToDate>
  <CharactersWithSpaces>9958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CBD</dc:creator>
  <cp:lastModifiedBy>何健</cp:lastModifiedBy>
  <cp:lastPrinted>2025-02-24T03:20:00Z</cp:lastPrinted>
  <dcterms:modified xsi:type="dcterms:W3CDTF">2026-08-28T02:28:35Z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2FE3FEE00B854829A328B72259156EB1_13</vt:lpwstr>
  </property>
  <property fmtid="{D5CDD505-2E9C-101B-9397-08002B2CF9AE}" pid="4" name="KSOTemplateDocerSaveRecord">
    <vt:lpwstr>eyJoZGlkIjoiZmUwMzEwZWNlYjFiMTk3MzNjZWYzZmFmNzlmYTZjMzUiLCJ1c2VySWQiOiIxNzY1OTkyMTAwIn0=</vt:lpwstr>
  </property>
</Properties>
</file>