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54887">
      <w:pPr>
        <w:adjustRightInd w:val="0"/>
        <w:snapToGrid w:val="0"/>
        <w:spacing w:before="120" w:after="120" w:line="276" w:lineRule="auto"/>
        <w:jc w:val="center"/>
        <w:rPr>
          <w:rFonts w:hint="eastAsia" w:eastAsia="华文中宋"/>
          <w:sz w:val="44"/>
          <w:szCs w:val="44"/>
          <w:lang w:val="en-US" w:eastAsia="zh-CN"/>
        </w:rPr>
      </w:pPr>
      <w:r>
        <w:rPr>
          <w:rFonts w:hint="eastAsia" w:eastAsia="华文中宋"/>
          <w:sz w:val="44"/>
          <w:szCs w:val="44"/>
        </w:rPr>
        <w:t>竞争性磋商</w:t>
      </w:r>
      <w:r>
        <w:rPr>
          <w:rFonts w:hint="eastAsia" w:eastAsia="华文中宋"/>
          <w:sz w:val="44"/>
          <w:szCs w:val="44"/>
          <w:lang w:val="en-US" w:eastAsia="zh-CN"/>
        </w:rPr>
        <w:t>公告</w:t>
      </w:r>
    </w:p>
    <w:p w14:paraId="0B4FFBA3">
      <w:pPr>
        <w:spacing w:line="600" w:lineRule="exact"/>
        <w:ind w:firstLine="640" w:firstLineChars="200"/>
        <w:rPr>
          <w:rFonts w:eastAsia="仿宋_GB2312"/>
          <w:sz w:val="32"/>
          <w:szCs w:val="32"/>
        </w:rPr>
      </w:pPr>
      <w:r>
        <w:rPr>
          <w:rFonts w:eastAsia="仿宋_GB2312"/>
          <w:sz w:val="32"/>
          <w:szCs w:val="32"/>
          <w:u w:val="single"/>
        </w:rPr>
        <w:t xml:space="preserve"> </w:t>
      </w:r>
      <w:r>
        <w:rPr>
          <w:rFonts w:hint="eastAsia" w:eastAsia="仿宋_GB2312"/>
          <w:sz w:val="32"/>
          <w:szCs w:val="32"/>
          <w:u w:val="single"/>
        </w:rPr>
        <w:t>东莞市东实产城发展有限公司</w:t>
      </w:r>
      <w:r>
        <w:rPr>
          <w:rFonts w:hint="eastAsia" w:eastAsia="仿宋_GB2312"/>
          <w:sz w:val="32"/>
          <w:szCs w:val="32"/>
        </w:rPr>
        <w:t>需采购一家</w:t>
      </w:r>
      <w:r>
        <w:rPr>
          <w:rFonts w:eastAsia="仿宋_GB2312"/>
          <w:sz w:val="32"/>
          <w:szCs w:val="32"/>
          <w:u w:val="single"/>
        </w:rPr>
        <w:t xml:space="preserve"> </w:t>
      </w:r>
      <w:r>
        <w:rPr>
          <w:rFonts w:hint="eastAsia" w:eastAsia="仿宋_GB2312"/>
          <w:sz w:val="32"/>
          <w:szCs w:val="32"/>
          <w:u w:val="single"/>
        </w:rPr>
        <w:t xml:space="preserve">东实·道滘数智园项目低空经济产业供需对接会活动服务 </w:t>
      </w:r>
      <w:r>
        <w:rPr>
          <w:rFonts w:hint="eastAsia" w:eastAsia="仿宋_GB2312"/>
          <w:sz w:val="32"/>
          <w:szCs w:val="32"/>
        </w:rPr>
        <w:t>单位，现将相关情况介绍如下：</w:t>
      </w:r>
    </w:p>
    <w:p w14:paraId="1AEE0269">
      <w:pPr>
        <w:adjustRightInd w:val="0"/>
        <w:snapToGrid w:val="0"/>
        <w:spacing w:line="600" w:lineRule="exact"/>
        <w:ind w:firstLine="640" w:firstLineChars="200"/>
        <w:outlineLvl w:val="1"/>
        <w:rPr>
          <w:rFonts w:eastAsia="黑体"/>
          <w:sz w:val="32"/>
          <w:szCs w:val="32"/>
        </w:rPr>
      </w:pPr>
      <w:r>
        <w:rPr>
          <w:rFonts w:hint="eastAsia" w:eastAsia="黑体"/>
          <w:sz w:val="32"/>
          <w:szCs w:val="32"/>
        </w:rPr>
        <w:t>一、项目名称及内容</w:t>
      </w:r>
    </w:p>
    <w:p w14:paraId="1BFC9271">
      <w:pPr>
        <w:adjustRightInd w:val="0"/>
        <w:snapToGrid w:val="0"/>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、项目名称：</w:t>
      </w:r>
      <w:r>
        <w:rPr>
          <w:rFonts w:hint="eastAsia" w:eastAsia="仿宋_GB2312"/>
          <w:b/>
          <w:bCs/>
          <w:sz w:val="32"/>
          <w:szCs w:val="32"/>
          <w:u w:val="single"/>
        </w:rPr>
        <w:t>东实·道滘数智园项目低空经济产业供需对接会活动服务单位招采</w:t>
      </w:r>
      <w:r>
        <w:rPr>
          <w:rFonts w:hint="eastAsia" w:eastAsia="仿宋_GB2312"/>
          <w:sz w:val="32"/>
          <w:szCs w:val="32"/>
          <w:u w:val="single"/>
        </w:rPr>
        <w:t>；</w:t>
      </w:r>
    </w:p>
    <w:p w14:paraId="2214A783">
      <w:pPr>
        <w:adjustRightInd w:val="0"/>
        <w:snapToGrid w:val="0"/>
        <w:spacing w:line="600" w:lineRule="exact"/>
        <w:ind w:firstLine="640" w:firstLineChars="200"/>
        <w:rPr>
          <w:rFonts w:eastAsia="仿宋_GB2312"/>
          <w:sz w:val="32"/>
          <w:szCs w:val="32"/>
          <w:u w:val="single"/>
        </w:rPr>
      </w:pPr>
      <w:r>
        <w:rPr>
          <w:rFonts w:eastAsia="仿宋_GB2312"/>
          <w:sz w:val="32"/>
          <w:szCs w:val="32"/>
        </w:rPr>
        <w:t>2</w:t>
      </w:r>
      <w:r>
        <w:rPr>
          <w:rFonts w:hint="eastAsia" w:eastAsia="仿宋_GB2312"/>
          <w:sz w:val="32"/>
          <w:szCs w:val="32"/>
        </w:rPr>
        <w:t>、项目概况：</w:t>
      </w:r>
      <w:r>
        <w:rPr>
          <w:rFonts w:hint="eastAsia" w:eastAsia="仿宋_GB2312"/>
          <w:sz w:val="32"/>
          <w:szCs w:val="32"/>
          <w:u w:val="single"/>
        </w:rPr>
        <w:t>本项目为</w:t>
      </w:r>
      <w:r>
        <w:rPr>
          <w:rFonts w:hint="eastAsia" w:eastAsia="仿宋_GB2312"/>
          <w:sz w:val="32"/>
          <w:szCs w:val="32"/>
          <w:u w:val="single"/>
          <w:lang w:val="en-US" w:eastAsia="zh-CN"/>
        </w:rPr>
        <w:t>东实·道滘数智园</w:t>
      </w:r>
      <w:r>
        <w:rPr>
          <w:rFonts w:hint="eastAsia" w:eastAsia="仿宋_GB2312"/>
          <w:sz w:val="32"/>
          <w:szCs w:val="32"/>
          <w:u w:val="single"/>
        </w:rPr>
        <w:t>项目，占地面积约1</w:t>
      </w:r>
      <w:r>
        <w:rPr>
          <w:rFonts w:hint="eastAsia" w:eastAsia="仿宋_GB2312"/>
          <w:sz w:val="32"/>
          <w:szCs w:val="32"/>
          <w:u w:val="single"/>
          <w:lang w:val="en-US" w:eastAsia="zh-CN"/>
        </w:rPr>
        <w:t>50</w:t>
      </w:r>
      <w:r>
        <w:rPr>
          <w:rFonts w:hint="eastAsia" w:eastAsia="仿宋_GB2312"/>
          <w:sz w:val="32"/>
          <w:szCs w:val="32"/>
          <w:u w:val="single"/>
        </w:rPr>
        <w:t>亩，容积率3.5，总建筑面积约</w:t>
      </w:r>
      <w:r>
        <w:rPr>
          <w:rFonts w:hint="eastAsia" w:eastAsia="仿宋_GB2312"/>
          <w:sz w:val="32"/>
          <w:szCs w:val="32"/>
          <w:u w:val="single"/>
          <w:lang w:val="en-US" w:eastAsia="zh-CN"/>
        </w:rPr>
        <w:t>26</w:t>
      </w:r>
      <w:r>
        <w:rPr>
          <w:rFonts w:hint="eastAsia" w:eastAsia="仿宋_GB2312"/>
          <w:sz w:val="32"/>
          <w:szCs w:val="32"/>
          <w:u w:val="single"/>
        </w:rPr>
        <w:t>万</w:t>
      </w:r>
      <w:r>
        <w:rPr>
          <w:rFonts w:ascii="Segoe UI Symbol" w:hAnsi="Segoe UI Symbol" w:eastAsia="仿宋_GB2312" w:cs="Segoe UI Symbol"/>
          <w:sz w:val="32"/>
          <w:szCs w:val="32"/>
          <w:u w:val="single"/>
        </w:rPr>
        <w:t>㎡</w:t>
      </w:r>
      <w:r>
        <w:rPr>
          <w:rFonts w:hint="eastAsia" w:eastAsia="仿宋_GB2312"/>
          <w:sz w:val="32"/>
          <w:szCs w:val="32"/>
          <w:u w:val="single"/>
        </w:rPr>
        <w:t>。为展示东莞市低空关键零部件生产制造基地建设成果，助力低空经济产业集聚落地，需采购服务单位</w:t>
      </w:r>
      <w:r>
        <w:rPr>
          <w:rFonts w:hint="eastAsia" w:eastAsia="仿宋_GB2312"/>
          <w:color w:val="000000"/>
          <w:sz w:val="32"/>
          <w:szCs w:val="32"/>
          <w:u w:val="single"/>
        </w:rPr>
        <w:t>负责项目</w:t>
      </w:r>
      <w:r>
        <w:rPr>
          <w:rFonts w:hint="eastAsia" w:eastAsia="仿宋_GB2312"/>
          <w:color w:val="000000"/>
          <w:sz w:val="32"/>
          <w:szCs w:val="32"/>
          <w:u w:val="single"/>
          <w:lang w:val="en-US" w:eastAsia="zh-CN"/>
        </w:rPr>
        <w:t>低空经济产业供需对接会</w:t>
      </w:r>
      <w:r>
        <w:rPr>
          <w:rFonts w:hint="eastAsia" w:eastAsia="仿宋_GB2312"/>
          <w:color w:val="000000"/>
          <w:sz w:val="32"/>
          <w:szCs w:val="32"/>
          <w:u w:val="single"/>
        </w:rPr>
        <w:t>活动的落地执行，包括活动策划、物料制作包装、舞台搭建、座椅布置、L</w:t>
      </w:r>
      <w:r>
        <w:rPr>
          <w:rFonts w:eastAsia="仿宋_GB2312"/>
          <w:color w:val="000000"/>
          <w:sz w:val="32"/>
          <w:szCs w:val="32"/>
          <w:u w:val="single"/>
        </w:rPr>
        <w:t>ED</w:t>
      </w:r>
      <w:r>
        <w:rPr>
          <w:rFonts w:hint="eastAsia" w:eastAsia="仿宋_GB2312"/>
          <w:color w:val="000000"/>
          <w:sz w:val="32"/>
          <w:szCs w:val="32"/>
          <w:u w:val="single"/>
        </w:rPr>
        <w:t>大屏幕安装等，以及相关专业工作人员的安排，如主持人、摄影师等</w:t>
      </w:r>
      <w:r>
        <w:rPr>
          <w:rFonts w:hint="eastAsia" w:eastAsia="仿宋_GB2312"/>
          <w:sz w:val="32"/>
          <w:szCs w:val="32"/>
          <w:u w:val="single"/>
        </w:rPr>
        <w:t>；</w:t>
      </w:r>
    </w:p>
    <w:p w14:paraId="11D93E04">
      <w:pPr>
        <w:adjustRightInd w:val="0"/>
        <w:snapToGrid w:val="0"/>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、项目地点：</w:t>
      </w:r>
      <w:r>
        <w:rPr>
          <w:rFonts w:eastAsia="仿宋_GB2312"/>
          <w:sz w:val="32"/>
          <w:szCs w:val="32"/>
          <w:u w:val="single"/>
        </w:rPr>
        <w:t xml:space="preserve"> </w:t>
      </w:r>
      <w:r>
        <w:rPr>
          <w:rFonts w:hint="eastAsia" w:eastAsia="仿宋_GB2312"/>
          <w:sz w:val="32"/>
          <w:szCs w:val="32"/>
          <w:u w:val="single"/>
        </w:rPr>
        <w:t>东莞市</w:t>
      </w:r>
      <w:r>
        <w:rPr>
          <w:rFonts w:hint="eastAsia" w:eastAsia="仿宋_GB2312"/>
          <w:sz w:val="32"/>
          <w:szCs w:val="32"/>
          <w:u w:val="single"/>
          <w:lang w:val="en-US" w:eastAsia="zh-CN"/>
        </w:rPr>
        <w:t>道滘</w:t>
      </w:r>
      <w:r>
        <w:rPr>
          <w:rFonts w:hint="eastAsia" w:eastAsia="仿宋_GB2312"/>
          <w:sz w:val="32"/>
          <w:szCs w:val="32"/>
          <w:u w:val="single"/>
        </w:rPr>
        <w:t>镇东实·</w:t>
      </w:r>
      <w:r>
        <w:rPr>
          <w:rFonts w:hint="eastAsia" w:eastAsia="仿宋_GB2312"/>
          <w:sz w:val="32"/>
          <w:szCs w:val="32"/>
          <w:u w:val="single"/>
          <w:lang w:val="en-US" w:eastAsia="zh-CN"/>
        </w:rPr>
        <w:t>道滘数智园</w:t>
      </w:r>
      <w:r>
        <w:rPr>
          <w:rFonts w:hint="eastAsia" w:eastAsia="仿宋_GB2312"/>
          <w:sz w:val="32"/>
          <w:szCs w:val="32"/>
          <w:u w:val="single"/>
        </w:rPr>
        <w:t>项目；</w:t>
      </w:r>
    </w:p>
    <w:p w14:paraId="787214BC">
      <w:pPr>
        <w:adjustRightInd w:val="0"/>
        <w:snapToGrid w:val="0"/>
        <w:spacing w:line="600" w:lineRule="exact"/>
        <w:ind w:firstLine="640" w:firstLineChars="200"/>
        <w:rPr>
          <w:rFonts w:eastAsia="仿宋_GB2312"/>
          <w:sz w:val="32"/>
          <w:szCs w:val="32"/>
          <w:u w:val="single"/>
        </w:rPr>
      </w:pPr>
      <w:r>
        <w:rPr>
          <w:rFonts w:eastAsia="仿宋_GB2312"/>
          <w:sz w:val="32"/>
          <w:szCs w:val="32"/>
        </w:rPr>
        <w:t>4</w:t>
      </w:r>
      <w:r>
        <w:rPr>
          <w:rFonts w:hint="eastAsia" w:eastAsia="仿宋_GB2312"/>
          <w:sz w:val="32"/>
          <w:szCs w:val="32"/>
        </w:rPr>
        <w:t>、服务时间（供货时间</w:t>
      </w:r>
      <w:r>
        <w:rPr>
          <w:rFonts w:eastAsia="仿宋_GB2312"/>
          <w:sz w:val="32"/>
          <w:szCs w:val="32"/>
        </w:rPr>
        <w:t>/</w:t>
      </w:r>
      <w:r>
        <w:rPr>
          <w:rFonts w:hint="eastAsia" w:eastAsia="仿宋_GB2312"/>
          <w:sz w:val="32"/>
          <w:szCs w:val="32"/>
        </w:rPr>
        <w:t>工期）：</w:t>
      </w:r>
      <w:r>
        <w:rPr>
          <w:rFonts w:hint="eastAsia" w:eastAsia="仿宋_GB2312"/>
          <w:sz w:val="32"/>
          <w:szCs w:val="32"/>
          <w:u w:val="single"/>
        </w:rPr>
        <w:t>202</w:t>
      </w:r>
      <w:r>
        <w:rPr>
          <w:rFonts w:hint="eastAsia" w:eastAsia="仿宋_GB2312"/>
          <w:sz w:val="32"/>
          <w:szCs w:val="32"/>
          <w:u w:val="single"/>
          <w:lang w:val="en-US" w:eastAsia="zh-CN"/>
        </w:rPr>
        <w:t>6</w:t>
      </w:r>
      <w:r>
        <w:rPr>
          <w:rFonts w:hint="eastAsia" w:eastAsia="仿宋_GB2312"/>
          <w:sz w:val="32"/>
          <w:szCs w:val="32"/>
          <w:u w:val="single"/>
        </w:rPr>
        <w:t>年</w:t>
      </w:r>
      <w:r>
        <w:rPr>
          <w:rFonts w:hint="eastAsia" w:eastAsia="仿宋_GB2312"/>
          <w:sz w:val="32"/>
          <w:szCs w:val="32"/>
          <w:u w:val="single"/>
          <w:lang w:val="en-US" w:eastAsia="zh-CN"/>
        </w:rPr>
        <w:t>6</w:t>
      </w:r>
      <w:r>
        <w:rPr>
          <w:rFonts w:hint="eastAsia" w:eastAsia="仿宋_GB2312"/>
          <w:sz w:val="32"/>
          <w:szCs w:val="32"/>
          <w:u w:val="single"/>
        </w:rPr>
        <w:t>月</w:t>
      </w:r>
      <w:r>
        <w:rPr>
          <w:rFonts w:hint="eastAsia" w:eastAsia="仿宋_GB2312"/>
          <w:sz w:val="32"/>
          <w:szCs w:val="32"/>
          <w:u w:val="single"/>
          <w:lang w:val="en-US" w:eastAsia="zh-CN"/>
        </w:rPr>
        <w:t>1</w:t>
      </w:r>
      <w:r>
        <w:rPr>
          <w:rFonts w:hint="eastAsia" w:eastAsia="仿宋_GB2312"/>
          <w:sz w:val="32"/>
          <w:szCs w:val="32"/>
          <w:u w:val="single"/>
        </w:rPr>
        <w:t>7日（暂定，具体以采购人实际通知时间为准）；</w:t>
      </w:r>
    </w:p>
    <w:p w14:paraId="4BCBD8E7">
      <w:pPr>
        <w:adjustRightInd w:val="0"/>
        <w:snapToGrid w:val="0"/>
        <w:spacing w:line="600" w:lineRule="exact"/>
        <w:ind w:firstLine="640" w:firstLineChars="200"/>
        <w:outlineLvl w:val="1"/>
        <w:rPr>
          <w:rFonts w:eastAsia="黑体"/>
          <w:sz w:val="32"/>
          <w:szCs w:val="32"/>
        </w:rPr>
      </w:pPr>
      <w:r>
        <w:rPr>
          <w:rFonts w:hint="eastAsia" w:eastAsia="黑体"/>
          <w:sz w:val="32"/>
          <w:szCs w:val="32"/>
        </w:rPr>
        <w:t>二、项目发布</w:t>
      </w:r>
    </w:p>
    <w:p w14:paraId="095FE4FF">
      <w:pPr>
        <w:adjustRightInd w:val="0"/>
        <w:snapToGrid w:val="0"/>
        <w:spacing w:line="600" w:lineRule="exact"/>
        <w:ind w:firstLine="640" w:firstLineChars="200"/>
        <w:rPr>
          <w:rFonts w:eastAsia="仿宋_GB2312"/>
          <w:sz w:val="32"/>
          <w:szCs w:val="32"/>
        </w:rPr>
      </w:pPr>
      <w:r>
        <w:rPr>
          <w:rFonts w:hint="eastAsia" w:eastAsia="仿宋_GB2312"/>
          <w:sz w:val="32"/>
          <w:szCs w:val="32"/>
        </w:rPr>
        <w:t>本采购项目信息在东莞实业投资控股集团有限公司网站（</w:t>
      </w:r>
      <w:r>
        <w:rPr>
          <w:rFonts w:eastAsia="仿宋_GB2312"/>
          <w:sz w:val="32"/>
          <w:szCs w:val="32"/>
        </w:rPr>
        <w:t>http://www.dgsy.com.cn/</w:t>
      </w:r>
      <w:r>
        <w:rPr>
          <w:rFonts w:hint="eastAsia" w:eastAsia="仿宋_GB2312"/>
          <w:sz w:val="32"/>
          <w:szCs w:val="32"/>
        </w:rPr>
        <w:t>）发布。</w:t>
      </w:r>
    </w:p>
    <w:p w14:paraId="1B061FFA">
      <w:pPr>
        <w:adjustRightInd w:val="0"/>
        <w:snapToGrid w:val="0"/>
        <w:spacing w:line="600" w:lineRule="exact"/>
        <w:ind w:firstLine="640" w:firstLineChars="200"/>
        <w:outlineLvl w:val="1"/>
        <w:rPr>
          <w:rFonts w:eastAsia="黑体"/>
          <w:sz w:val="32"/>
          <w:szCs w:val="32"/>
        </w:rPr>
      </w:pPr>
      <w:r>
        <w:rPr>
          <w:rFonts w:eastAsia="黑体"/>
          <w:sz w:val="32"/>
          <w:szCs w:val="32"/>
        </w:rPr>
        <w:sym w:font="Wingdings" w:char="F0AB"/>
      </w:r>
      <w:r>
        <w:rPr>
          <w:rFonts w:hint="eastAsia" w:eastAsia="黑体"/>
          <w:sz w:val="32"/>
          <w:szCs w:val="32"/>
        </w:rPr>
        <w:t>三、响应人资格要求</w:t>
      </w:r>
    </w:p>
    <w:p w14:paraId="3288BA98">
      <w:pPr>
        <w:spacing w:line="600" w:lineRule="exact"/>
        <w:ind w:firstLine="640" w:firstLineChars="200"/>
        <w:rPr>
          <w:rFonts w:eastAsia="仿宋_GB2312"/>
          <w:sz w:val="32"/>
          <w:szCs w:val="32"/>
        </w:rPr>
      </w:pPr>
      <w:r>
        <w:rPr>
          <w:rFonts w:eastAsia="仿宋_GB2312"/>
          <w:sz w:val="32"/>
          <w:szCs w:val="32"/>
        </w:rPr>
        <w:t>1、响应人须为在中华人民共和国境内登记注册的具有独立承担民事责任能力的法人或其他组织。【提供《营业执照》复印件（加盖公章）或《事业单位法人证书》复印件（加盖公章）或其他主体证书复印件（加盖公章）】</w:t>
      </w:r>
    </w:p>
    <w:p w14:paraId="6A5D174C">
      <w:pPr>
        <w:spacing w:line="600" w:lineRule="exact"/>
        <w:ind w:firstLine="640" w:firstLineChars="200"/>
        <w:rPr>
          <w:rFonts w:eastAsia="仿宋_GB2312"/>
          <w:sz w:val="32"/>
          <w:szCs w:val="32"/>
        </w:rPr>
      </w:pPr>
      <w:r>
        <w:rPr>
          <w:rFonts w:eastAsia="仿宋_GB2312"/>
          <w:sz w:val="32"/>
          <w:szCs w:val="32"/>
        </w:rPr>
        <w:t>2、业绩要求：具备</w:t>
      </w:r>
      <w:r>
        <w:rPr>
          <w:rFonts w:eastAsia="仿宋_GB2312"/>
          <w:sz w:val="32"/>
          <w:szCs w:val="32"/>
          <w:u w:val="single"/>
        </w:rPr>
        <w:t xml:space="preserve"> </w:t>
      </w:r>
      <w:r>
        <w:rPr>
          <w:rFonts w:hint="eastAsia" w:eastAsia="仿宋_GB2312"/>
          <w:sz w:val="32"/>
          <w:szCs w:val="32"/>
          <w:u w:val="single"/>
        </w:rPr>
        <w:t>活动策划执行</w:t>
      </w:r>
      <w:r>
        <w:rPr>
          <w:rFonts w:eastAsia="仿宋_GB2312"/>
          <w:sz w:val="32"/>
          <w:szCs w:val="32"/>
          <w:u w:val="single"/>
        </w:rPr>
        <w:t xml:space="preserve"> </w:t>
      </w:r>
      <w:r>
        <w:rPr>
          <w:rFonts w:eastAsia="仿宋_GB2312"/>
          <w:sz w:val="32"/>
          <w:szCs w:val="32"/>
        </w:rPr>
        <w:t>项目</w:t>
      </w:r>
      <w:r>
        <w:rPr>
          <w:rFonts w:hint="eastAsia" w:eastAsia="仿宋_GB2312"/>
          <w:sz w:val="32"/>
          <w:szCs w:val="32"/>
        </w:rPr>
        <w:t>业绩</w:t>
      </w:r>
      <w:r>
        <w:rPr>
          <w:rFonts w:eastAsia="仿宋_GB2312"/>
          <w:sz w:val="32"/>
          <w:szCs w:val="32"/>
        </w:rPr>
        <w:t>，</w:t>
      </w:r>
      <w:r>
        <w:rPr>
          <w:rFonts w:hint="eastAsia" w:eastAsia="仿宋_GB2312"/>
          <w:sz w:val="32"/>
          <w:szCs w:val="32"/>
        </w:rPr>
        <w:t>其中</w:t>
      </w:r>
      <w:r>
        <w:rPr>
          <w:rFonts w:eastAsia="仿宋_GB2312"/>
          <w:sz w:val="32"/>
          <w:szCs w:val="32"/>
        </w:rPr>
        <w:t>要求</w:t>
      </w:r>
      <w:r>
        <w:rPr>
          <w:rFonts w:eastAsia="仿宋_GB2312"/>
          <w:sz w:val="32"/>
          <w:szCs w:val="32"/>
          <w:u w:val="single"/>
        </w:rPr>
        <w:t xml:space="preserve">  202</w:t>
      </w:r>
      <w:r>
        <w:rPr>
          <w:rFonts w:hint="eastAsia" w:eastAsia="仿宋_GB2312"/>
          <w:sz w:val="32"/>
          <w:szCs w:val="32"/>
          <w:u w:val="single"/>
          <w:lang w:val="en-US" w:eastAsia="zh-CN"/>
        </w:rPr>
        <w:t>1</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hint="eastAsia" w:eastAsia="仿宋_GB2312"/>
          <w:sz w:val="32"/>
          <w:szCs w:val="32"/>
          <w:u w:val="single"/>
          <w:lang w:val="en-US" w:eastAsia="zh-CN"/>
        </w:rPr>
        <w:t>6</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1 </w:t>
      </w:r>
      <w:r>
        <w:rPr>
          <w:rFonts w:eastAsia="仿宋_GB2312"/>
          <w:sz w:val="32"/>
          <w:szCs w:val="32"/>
        </w:rPr>
        <w:t>日起</w:t>
      </w:r>
      <w:r>
        <w:rPr>
          <w:rFonts w:hint="eastAsia" w:eastAsia="仿宋_GB2312"/>
          <w:sz w:val="32"/>
          <w:szCs w:val="32"/>
        </w:rPr>
        <w:t>至今</w:t>
      </w:r>
      <w:r>
        <w:rPr>
          <w:rFonts w:eastAsia="仿宋_GB2312"/>
          <w:sz w:val="32"/>
          <w:szCs w:val="32"/>
        </w:rPr>
        <w:t>，完成至少1个</w:t>
      </w:r>
      <w:r>
        <w:rPr>
          <w:rFonts w:eastAsia="仿宋_GB2312"/>
          <w:sz w:val="32"/>
          <w:szCs w:val="32"/>
          <w:u w:val="single"/>
        </w:rPr>
        <w:t xml:space="preserve"> </w:t>
      </w:r>
      <w:r>
        <w:rPr>
          <w:rFonts w:hint="eastAsia" w:eastAsia="仿宋_GB2312"/>
          <w:sz w:val="32"/>
          <w:szCs w:val="32"/>
          <w:u w:val="single"/>
        </w:rPr>
        <w:t>活动策划执行项目</w:t>
      </w:r>
      <w:r>
        <w:rPr>
          <w:rFonts w:eastAsia="仿宋_GB2312"/>
          <w:sz w:val="32"/>
          <w:szCs w:val="32"/>
          <w:u w:val="single"/>
        </w:rPr>
        <w:t xml:space="preserve">  </w:t>
      </w:r>
      <w:r>
        <w:rPr>
          <w:rFonts w:eastAsia="仿宋_GB2312"/>
          <w:sz w:val="32"/>
          <w:szCs w:val="32"/>
        </w:rPr>
        <w:t>业绩。【</w:t>
      </w:r>
      <w:r>
        <w:rPr>
          <w:rFonts w:hint="eastAsia" w:eastAsia="仿宋_GB2312"/>
          <w:sz w:val="32"/>
          <w:szCs w:val="32"/>
        </w:rPr>
        <w:t>上述证明资料</w:t>
      </w:r>
      <w:r>
        <w:rPr>
          <w:rFonts w:eastAsia="仿宋_GB2312"/>
          <w:sz w:val="32"/>
          <w:szCs w:val="32"/>
        </w:rPr>
        <w:t>按合同签订时间为准，须提供合同关键页复印件（</w:t>
      </w:r>
      <w:r>
        <w:rPr>
          <w:rFonts w:eastAsia="仿宋_GB2312"/>
          <w:b/>
          <w:bCs/>
          <w:sz w:val="32"/>
          <w:szCs w:val="32"/>
        </w:rPr>
        <w:t>包含但不限于合同首页、合同金额页、</w:t>
      </w:r>
      <w:r>
        <w:rPr>
          <w:rFonts w:hint="eastAsia" w:eastAsia="仿宋_GB2312"/>
          <w:b/>
          <w:bCs/>
          <w:sz w:val="32"/>
          <w:szCs w:val="32"/>
        </w:rPr>
        <w:t>合同服务内容页、</w:t>
      </w:r>
      <w:r>
        <w:rPr>
          <w:rFonts w:eastAsia="仿宋_GB2312"/>
          <w:b/>
          <w:bCs/>
          <w:sz w:val="32"/>
          <w:szCs w:val="32"/>
        </w:rPr>
        <w:t>合同签字页等</w:t>
      </w:r>
      <w:r>
        <w:rPr>
          <w:rFonts w:eastAsia="仿宋_GB2312"/>
          <w:sz w:val="32"/>
          <w:szCs w:val="32"/>
        </w:rPr>
        <w:t>）</w:t>
      </w:r>
      <w:r>
        <w:rPr>
          <w:rFonts w:hint="eastAsia" w:eastAsia="仿宋_GB2312"/>
          <w:sz w:val="32"/>
          <w:szCs w:val="32"/>
        </w:rPr>
        <w:t>，该合同期内任意一期发票复印件，并加盖投标人公章。</w:t>
      </w:r>
      <w:r>
        <w:rPr>
          <w:rFonts w:eastAsia="仿宋_GB2312"/>
          <w:sz w:val="32"/>
          <w:szCs w:val="32"/>
        </w:rPr>
        <w:t>】</w:t>
      </w:r>
    </w:p>
    <w:p w14:paraId="4B19071A">
      <w:pPr>
        <w:widowControl/>
        <w:spacing w:line="600" w:lineRule="exact"/>
        <w:ind w:firstLine="640" w:firstLineChars="200"/>
        <w:rPr>
          <w:rFonts w:eastAsia="仿宋_GB2312"/>
          <w:color w:val="000000"/>
          <w:sz w:val="32"/>
          <w:szCs w:val="32"/>
        </w:rPr>
      </w:pPr>
      <w:r>
        <w:rPr>
          <w:rFonts w:eastAsia="仿宋_GB2312"/>
          <w:sz w:val="32"/>
          <w:szCs w:val="32"/>
        </w:rPr>
        <w:t>3、</w:t>
      </w:r>
      <w:r>
        <w:rPr>
          <w:rFonts w:eastAsia="仿宋_GB2312"/>
          <w:color w:val="000000"/>
          <w:sz w:val="32"/>
          <w:szCs w:val="32"/>
        </w:rPr>
        <w:t>未被列入东实集团及下属企业</w:t>
      </w:r>
      <w:r>
        <w:rPr>
          <w:rFonts w:hint="eastAsia" w:eastAsia="仿宋_GB2312"/>
          <w:color w:val="000000"/>
          <w:sz w:val="32"/>
          <w:szCs w:val="32"/>
        </w:rPr>
        <w:t>相关</w:t>
      </w:r>
      <w:r>
        <w:rPr>
          <w:rFonts w:eastAsia="仿宋_GB2312"/>
          <w:color w:val="000000"/>
          <w:sz w:val="32"/>
          <w:szCs w:val="32"/>
        </w:rPr>
        <w:t>领域黑名单。【以东莞实业投资控股集团有限公司发文（东实通〔2021〕44号）、（东实通〔2021〕98号）</w:t>
      </w:r>
      <w:r>
        <w:rPr>
          <w:rFonts w:hint="eastAsia" w:eastAsia="仿宋_GB2312"/>
          <w:color w:val="000000"/>
          <w:sz w:val="32"/>
          <w:szCs w:val="32"/>
        </w:rPr>
        <w:t>、（东实通〔2022〕75号）、（东实通〔2023〕37号）为准，如有最新发文通知，按最新文件执行。</w:t>
      </w:r>
      <w:r>
        <w:rPr>
          <w:rFonts w:eastAsia="仿宋_GB2312"/>
          <w:color w:val="000000"/>
          <w:sz w:val="32"/>
          <w:szCs w:val="32"/>
        </w:rPr>
        <w:t>】</w:t>
      </w:r>
    </w:p>
    <w:p w14:paraId="1470DCA9">
      <w:pPr>
        <w:adjustRightInd w:val="0"/>
        <w:snapToGrid w:val="0"/>
        <w:spacing w:line="600" w:lineRule="exact"/>
        <w:ind w:firstLine="640" w:firstLineChars="200"/>
        <w:rPr>
          <w:rFonts w:eastAsia="黑体"/>
          <w:sz w:val="32"/>
          <w:szCs w:val="32"/>
        </w:rPr>
      </w:pPr>
      <w:r>
        <w:rPr>
          <w:rFonts w:hint="eastAsia" w:eastAsia="黑体"/>
          <w:sz w:val="32"/>
          <w:szCs w:val="32"/>
        </w:rPr>
        <w:t>四、采购内容及要求</w:t>
      </w:r>
    </w:p>
    <w:p w14:paraId="1E09679C">
      <w:pPr>
        <w:spacing w:line="600" w:lineRule="exact"/>
        <w:ind w:firstLine="640" w:firstLineChars="200"/>
        <w:rPr>
          <w:rFonts w:eastAsia="仿宋_GB2312"/>
          <w:sz w:val="32"/>
          <w:szCs w:val="32"/>
        </w:rPr>
      </w:pPr>
      <w:r>
        <w:rPr>
          <w:rFonts w:hint="eastAsia" w:eastAsia="仿宋_GB2312"/>
          <w:sz w:val="32"/>
          <w:szCs w:val="32"/>
          <w:u w:val="single"/>
        </w:rPr>
        <w:t>具体要求详见本磋商文件</w:t>
      </w:r>
      <w:r>
        <w:rPr>
          <w:rFonts w:hint="eastAsia" w:eastAsia="仿宋_GB2312"/>
          <w:sz w:val="32"/>
          <w:szCs w:val="32"/>
        </w:rPr>
        <w:t>。响应人须仔细阅读本磋商文件，因未详细了解本技术规范书造成报价项目遗漏，由响应人自行负责。</w:t>
      </w:r>
    </w:p>
    <w:p w14:paraId="7887976F">
      <w:pPr>
        <w:adjustRightInd w:val="0"/>
        <w:snapToGrid w:val="0"/>
        <w:spacing w:line="600" w:lineRule="exact"/>
        <w:ind w:firstLine="640" w:firstLineChars="200"/>
        <w:outlineLvl w:val="1"/>
        <w:rPr>
          <w:rFonts w:eastAsia="黑体"/>
          <w:sz w:val="32"/>
          <w:szCs w:val="32"/>
        </w:rPr>
      </w:pPr>
      <w:r>
        <w:rPr>
          <w:rFonts w:hint="eastAsia" w:eastAsia="黑体"/>
          <w:sz w:val="32"/>
          <w:szCs w:val="32"/>
        </w:rPr>
        <w:t>五、完成时间</w:t>
      </w:r>
    </w:p>
    <w:p w14:paraId="5B797A8C">
      <w:pPr>
        <w:adjustRightInd w:val="0"/>
        <w:snapToGrid w:val="0"/>
        <w:spacing w:line="600" w:lineRule="exact"/>
        <w:ind w:firstLine="640" w:firstLineChars="200"/>
        <w:outlineLvl w:val="1"/>
        <w:rPr>
          <w:rFonts w:eastAsia="黑体"/>
          <w:sz w:val="32"/>
          <w:szCs w:val="32"/>
        </w:rPr>
      </w:pPr>
      <w:r>
        <w:rPr>
          <w:rFonts w:hint="eastAsia" w:eastAsia="仿宋_GB2312"/>
          <w:sz w:val="32"/>
          <w:szCs w:val="32"/>
          <w:u w:val="single"/>
        </w:rPr>
        <w:t>202</w:t>
      </w:r>
      <w:r>
        <w:rPr>
          <w:rFonts w:hint="eastAsia" w:eastAsia="仿宋_GB2312"/>
          <w:sz w:val="32"/>
          <w:szCs w:val="32"/>
          <w:u w:val="single"/>
          <w:lang w:val="en-US" w:eastAsia="zh-CN"/>
        </w:rPr>
        <w:t>6</w:t>
      </w:r>
      <w:r>
        <w:rPr>
          <w:rFonts w:hint="eastAsia" w:eastAsia="仿宋_GB2312"/>
          <w:sz w:val="32"/>
          <w:szCs w:val="32"/>
          <w:u w:val="single"/>
        </w:rPr>
        <w:t>年</w:t>
      </w:r>
      <w:r>
        <w:rPr>
          <w:rFonts w:hint="eastAsia" w:eastAsia="仿宋_GB2312"/>
          <w:sz w:val="32"/>
          <w:szCs w:val="32"/>
          <w:u w:val="single"/>
          <w:lang w:val="en-US" w:eastAsia="zh-CN"/>
        </w:rPr>
        <w:t>6</w:t>
      </w:r>
      <w:r>
        <w:rPr>
          <w:rFonts w:hint="eastAsia" w:eastAsia="仿宋_GB2312"/>
          <w:sz w:val="32"/>
          <w:szCs w:val="32"/>
          <w:u w:val="single"/>
        </w:rPr>
        <w:t>月</w:t>
      </w:r>
      <w:r>
        <w:rPr>
          <w:rFonts w:hint="eastAsia" w:eastAsia="仿宋_GB2312"/>
          <w:sz w:val="32"/>
          <w:szCs w:val="32"/>
          <w:u w:val="single"/>
          <w:lang w:val="en-US" w:eastAsia="zh-CN"/>
        </w:rPr>
        <w:t>1</w:t>
      </w:r>
      <w:r>
        <w:rPr>
          <w:rFonts w:hint="eastAsia" w:eastAsia="仿宋_GB2312"/>
          <w:sz w:val="32"/>
          <w:szCs w:val="32"/>
          <w:u w:val="single"/>
        </w:rPr>
        <w:t>7日（暂定，具体以采购人实际通知时间为准）。</w:t>
      </w:r>
    </w:p>
    <w:p w14:paraId="29F5F1E0">
      <w:pPr>
        <w:adjustRightInd w:val="0"/>
        <w:snapToGrid w:val="0"/>
        <w:spacing w:line="600" w:lineRule="exact"/>
        <w:ind w:firstLine="640" w:firstLineChars="200"/>
        <w:outlineLvl w:val="1"/>
        <w:rPr>
          <w:rFonts w:eastAsia="黑体"/>
          <w:sz w:val="32"/>
          <w:szCs w:val="32"/>
        </w:rPr>
      </w:pPr>
      <w:r>
        <w:rPr>
          <w:rFonts w:hint="eastAsia" w:eastAsia="黑体"/>
          <w:sz w:val="32"/>
          <w:szCs w:val="32"/>
        </w:rPr>
        <w:t>六、支付方式</w:t>
      </w:r>
    </w:p>
    <w:p w14:paraId="29605771">
      <w:pPr>
        <w:adjustRightInd w:val="0"/>
        <w:snapToGrid w:val="0"/>
        <w:spacing w:line="600" w:lineRule="exact"/>
        <w:ind w:firstLine="640" w:firstLineChars="200"/>
        <w:outlineLvl w:val="1"/>
      </w:pPr>
      <w:r>
        <w:rPr>
          <w:rFonts w:hint="eastAsia" w:eastAsia="仿宋_GB2312"/>
          <w:sz w:val="32"/>
          <w:szCs w:val="32"/>
          <w:u w:val="single"/>
        </w:rPr>
        <w:t>供应商完成本次</w:t>
      </w:r>
      <w:r>
        <w:rPr>
          <w:rFonts w:hint="eastAsia" w:eastAsia="仿宋_GB2312"/>
          <w:sz w:val="32"/>
          <w:szCs w:val="32"/>
          <w:u w:val="single"/>
          <w:lang w:val="en-US" w:eastAsia="zh-CN"/>
        </w:rPr>
        <w:t>低空经济产业供需对接会</w:t>
      </w:r>
      <w:r>
        <w:rPr>
          <w:rFonts w:hint="eastAsia" w:eastAsia="仿宋_GB2312"/>
          <w:sz w:val="32"/>
          <w:szCs w:val="32"/>
          <w:u w:val="single"/>
        </w:rPr>
        <w:t>活动所有策划执行内容且经采购人验收合格后</w:t>
      </w:r>
      <w:r>
        <w:rPr>
          <w:rFonts w:eastAsia="仿宋_GB2312"/>
          <w:sz w:val="32"/>
          <w:szCs w:val="32"/>
          <w:u w:val="single"/>
        </w:rPr>
        <w:t>，供应商提交相应请款资料</w:t>
      </w:r>
      <w:r>
        <w:rPr>
          <w:rFonts w:hint="eastAsia" w:eastAsia="仿宋_GB2312"/>
          <w:sz w:val="32"/>
          <w:szCs w:val="32"/>
          <w:u w:val="single"/>
        </w:rPr>
        <w:t>及</w:t>
      </w:r>
      <w:r>
        <w:rPr>
          <w:rFonts w:eastAsia="仿宋_GB2312"/>
          <w:sz w:val="32"/>
          <w:szCs w:val="32"/>
          <w:u w:val="single"/>
        </w:rPr>
        <w:t>增值税发票并经采购人审核无误后</w:t>
      </w:r>
      <w:r>
        <w:rPr>
          <w:rFonts w:hint="eastAsia" w:eastAsia="仿宋_GB2312"/>
          <w:sz w:val="32"/>
          <w:szCs w:val="32"/>
          <w:u w:val="single"/>
        </w:rPr>
        <w:t>，采购人20</w:t>
      </w:r>
      <w:r>
        <w:rPr>
          <w:rFonts w:eastAsia="仿宋_GB2312"/>
          <w:sz w:val="32"/>
          <w:szCs w:val="32"/>
          <w:u w:val="single"/>
        </w:rPr>
        <w:t>个工作日内支付至合同总价的</w:t>
      </w:r>
      <w:r>
        <w:rPr>
          <w:rFonts w:hint="eastAsia" w:eastAsia="仿宋_GB2312"/>
          <w:sz w:val="32"/>
          <w:szCs w:val="32"/>
          <w:u w:val="single"/>
        </w:rPr>
        <w:t>100</w:t>
      </w:r>
      <w:r>
        <w:rPr>
          <w:rFonts w:eastAsia="仿宋_GB2312"/>
          <w:sz w:val="32"/>
          <w:szCs w:val="32"/>
          <w:u w:val="single"/>
        </w:rPr>
        <w:t>%；</w:t>
      </w:r>
    </w:p>
    <w:p w14:paraId="28512D88">
      <w:pPr>
        <w:adjustRightInd w:val="0"/>
        <w:snapToGrid w:val="0"/>
        <w:spacing w:line="600" w:lineRule="exact"/>
        <w:ind w:firstLine="640" w:firstLineChars="200"/>
        <w:outlineLvl w:val="1"/>
        <w:rPr>
          <w:rFonts w:eastAsia="黑体"/>
          <w:sz w:val="32"/>
          <w:szCs w:val="32"/>
        </w:rPr>
      </w:pPr>
      <w:r>
        <w:rPr>
          <w:rFonts w:hint="eastAsia" w:eastAsia="黑体"/>
          <w:sz w:val="32"/>
          <w:szCs w:val="32"/>
        </w:rPr>
        <w:t>七、报价</w:t>
      </w:r>
    </w:p>
    <w:p w14:paraId="35ECA5ED">
      <w:pPr>
        <w:spacing w:line="600" w:lineRule="exact"/>
        <w:ind w:firstLine="640" w:firstLineChars="200"/>
        <w:rPr>
          <w:rFonts w:eastAsia="仿宋_GB2312"/>
          <w:sz w:val="32"/>
          <w:szCs w:val="32"/>
        </w:rPr>
      </w:pPr>
      <w:r>
        <w:rPr>
          <w:rFonts w:hint="eastAsia" w:eastAsia="仿宋_GB2312"/>
          <w:sz w:val="32"/>
          <w:szCs w:val="32"/>
        </w:rPr>
        <w:t>采购限价：</w:t>
      </w:r>
      <w:r>
        <w:rPr>
          <w:rFonts w:eastAsia="仿宋_GB2312"/>
          <w:sz w:val="32"/>
          <w:szCs w:val="32"/>
        </w:rPr>
        <w:t>¥</w:t>
      </w:r>
      <w:r>
        <w:rPr>
          <w:rFonts w:eastAsia="仿宋_GB2312"/>
          <w:sz w:val="32"/>
          <w:szCs w:val="32"/>
          <w:u w:val="single"/>
        </w:rPr>
        <w:t xml:space="preserve"> </w:t>
      </w:r>
      <w:r>
        <w:rPr>
          <w:rFonts w:hint="eastAsia" w:eastAsia="仿宋_GB2312"/>
          <w:color w:val="515050"/>
          <w:sz w:val="31"/>
          <w:szCs w:val="31"/>
          <w:u w:val="single"/>
          <w:lang w:val="en-US" w:eastAsia="zh-CN"/>
        </w:rPr>
        <w:t>49</w:t>
      </w:r>
      <w:r>
        <w:rPr>
          <w:rFonts w:eastAsia="仿宋_GB2312"/>
          <w:color w:val="515050"/>
          <w:sz w:val="31"/>
          <w:szCs w:val="31"/>
          <w:u w:val="single"/>
        </w:rPr>
        <w:t>,</w:t>
      </w:r>
      <w:r>
        <w:rPr>
          <w:rFonts w:hint="eastAsia" w:eastAsia="仿宋_GB2312"/>
          <w:color w:val="515050"/>
          <w:sz w:val="31"/>
          <w:szCs w:val="31"/>
          <w:u w:val="single"/>
          <w:lang w:val="en-US" w:eastAsia="zh-CN"/>
        </w:rPr>
        <w:t>9</w:t>
      </w:r>
      <w:r>
        <w:rPr>
          <w:rFonts w:eastAsia="仿宋_GB2312"/>
          <w:color w:val="515050"/>
          <w:sz w:val="31"/>
          <w:szCs w:val="31"/>
          <w:u w:val="single"/>
        </w:rPr>
        <w:t>00.00</w:t>
      </w:r>
      <w:r>
        <w:rPr>
          <w:rFonts w:hint="eastAsia" w:eastAsia="仿宋_GB2312"/>
          <w:sz w:val="32"/>
          <w:szCs w:val="32"/>
        </w:rPr>
        <w:t>元（含税）。</w:t>
      </w:r>
    </w:p>
    <w:p w14:paraId="71EB070B">
      <w:pPr>
        <w:spacing w:line="600" w:lineRule="exact"/>
        <w:ind w:firstLine="640" w:firstLineChars="200"/>
        <w:rPr>
          <w:rFonts w:eastAsia="仿宋_GB2312"/>
          <w:sz w:val="32"/>
          <w:szCs w:val="32"/>
        </w:rPr>
      </w:pPr>
      <w:r>
        <w:rPr>
          <w:rFonts w:hint="eastAsia" w:eastAsia="仿宋_GB2312"/>
          <w:sz w:val="32"/>
          <w:szCs w:val="32"/>
        </w:rPr>
        <w:t>本项目发包方式为</w:t>
      </w:r>
      <w:r>
        <w:rPr>
          <w:rFonts w:hint="eastAsia" w:eastAsia="仿宋_GB2312"/>
          <w:sz w:val="32"/>
          <w:szCs w:val="32"/>
          <w:u w:val="single"/>
        </w:rPr>
        <w:t>固定总价包干，实行固定价格报价，包括但不限于：完成本项目的成本、利润、税金等在项目过程中可能产生的一切费用。响应人已充分考虑了本项目服务内容及要求描述工作量可能与最终实际工作量存在差距的风险。</w:t>
      </w:r>
    </w:p>
    <w:p w14:paraId="0C88EBD3">
      <w:pPr>
        <w:adjustRightInd w:val="0"/>
        <w:snapToGrid w:val="0"/>
        <w:spacing w:line="600" w:lineRule="exact"/>
        <w:ind w:firstLine="640" w:firstLineChars="200"/>
        <w:outlineLvl w:val="1"/>
        <w:rPr>
          <w:rFonts w:eastAsia="黑体"/>
          <w:sz w:val="32"/>
          <w:szCs w:val="32"/>
        </w:rPr>
      </w:pPr>
      <w:r>
        <w:rPr>
          <w:rFonts w:hint="eastAsia" w:eastAsia="黑体"/>
          <w:sz w:val="32"/>
          <w:szCs w:val="32"/>
        </w:rPr>
        <w:t>八、定标</w:t>
      </w:r>
    </w:p>
    <w:p w14:paraId="1F91C1C2">
      <w:pPr>
        <w:spacing w:line="600" w:lineRule="exact"/>
        <w:ind w:firstLine="640" w:firstLineChars="200"/>
        <w:rPr>
          <w:rFonts w:eastAsia="仿宋_GB2312"/>
          <w:sz w:val="32"/>
          <w:szCs w:val="32"/>
          <w:u w:val="single"/>
        </w:rPr>
      </w:pPr>
      <w:r>
        <w:rPr>
          <w:rFonts w:hint="eastAsia" w:eastAsia="仿宋_GB2312"/>
          <w:sz w:val="32"/>
          <w:szCs w:val="32"/>
          <w:u w:val="single"/>
        </w:rPr>
        <w:t>1、开标：采购人代表主持，各响应人现场参与（磋商小组回避）。</w:t>
      </w:r>
    </w:p>
    <w:p w14:paraId="571E270B">
      <w:pPr>
        <w:spacing w:line="600" w:lineRule="exact"/>
        <w:ind w:firstLine="640" w:firstLineChars="200"/>
        <w:rPr>
          <w:rFonts w:eastAsia="仿宋_GB2312"/>
          <w:sz w:val="32"/>
          <w:szCs w:val="32"/>
          <w:u w:val="single"/>
        </w:rPr>
      </w:pPr>
      <w:r>
        <w:rPr>
          <w:rFonts w:hint="eastAsia" w:eastAsia="仿宋_GB2312"/>
          <w:sz w:val="32"/>
          <w:szCs w:val="32"/>
          <w:u w:val="single"/>
        </w:rPr>
        <w:t>2、评审：（1）采购人组建的磋商小组对各响应文件进行资格、符合性审查及技术评审。（2）完成技术评审后，磋商小组与各响应人一一就采购人要求的服务内容及响应文件进行磋商；然后采购人就各响应人反馈的意见进行统一的澄清，澄清后由各响应人进行第二次密封报价（第二次报价原则上不应高于第一次报价）。在磋商过程中，磋商小组可以根据磋商文件和磋商情况实质性变动采购需求中的技术、服务要求以及合同草案条款，但不得变动磋商文件中的其他内容，并以书面形式通知所有参加磋商的响应人。</w:t>
      </w:r>
    </w:p>
    <w:p w14:paraId="7FDE0D14">
      <w:pPr>
        <w:pStyle w:val="10"/>
        <w:spacing w:after="0" w:line="600" w:lineRule="exact"/>
        <w:ind w:firstLine="640" w:firstLineChars="200"/>
        <w:rPr>
          <w:rFonts w:eastAsia="仿宋_GB2312"/>
          <w:sz w:val="32"/>
          <w:szCs w:val="32"/>
          <w:u w:val="single"/>
        </w:rPr>
      </w:pPr>
      <w:r>
        <w:rPr>
          <w:rFonts w:hint="eastAsia" w:eastAsia="仿宋_GB2312"/>
          <w:sz w:val="32"/>
          <w:szCs w:val="32"/>
          <w:u w:val="single"/>
        </w:rPr>
        <w:t>3、定标原则：采取综合评标办法。按照本磋商文件中规定的评审方法和标准，对符合性审查合格的响应文件进行价格、商务和技术的评估，综合比较与评价（详见第二部分 评分标准）。将各响应人的商务得分、技术得分和价格得分相加得出其综合得分；将各综合得分由高到低顺序排列，综合得分最高的响应人为第一成交候选人，综合得分次高的响应人为第二成交候选人。</w:t>
      </w:r>
    </w:p>
    <w:p w14:paraId="75019A97">
      <w:pPr>
        <w:spacing w:line="600" w:lineRule="exact"/>
        <w:ind w:firstLine="640" w:firstLineChars="200"/>
        <w:rPr>
          <w:rFonts w:eastAsia="仿宋_GB2312"/>
          <w:sz w:val="32"/>
          <w:szCs w:val="32"/>
          <w:u w:val="single"/>
        </w:rPr>
      </w:pPr>
      <w:r>
        <w:rPr>
          <w:rFonts w:hint="eastAsia" w:eastAsia="仿宋_GB2312"/>
          <w:sz w:val="32"/>
          <w:szCs w:val="32"/>
          <w:u w:val="single"/>
        </w:rPr>
        <w:t>磋商完成后，招标采购工作小组将相关磋商情况按程序审批并确定成交人。</w:t>
      </w:r>
    </w:p>
    <w:p w14:paraId="01C09DB8">
      <w:pPr>
        <w:adjustRightInd w:val="0"/>
        <w:snapToGrid w:val="0"/>
        <w:spacing w:line="600" w:lineRule="exact"/>
        <w:ind w:firstLine="640" w:firstLineChars="200"/>
        <w:outlineLvl w:val="1"/>
        <w:rPr>
          <w:rFonts w:eastAsia="黑体"/>
          <w:sz w:val="32"/>
          <w:szCs w:val="32"/>
        </w:rPr>
      </w:pPr>
      <w:r>
        <w:rPr>
          <w:rFonts w:hint="eastAsia" w:eastAsia="黑体"/>
          <w:sz w:val="32"/>
          <w:szCs w:val="32"/>
        </w:rPr>
        <w:t>九、采取的合同文本</w:t>
      </w:r>
    </w:p>
    <w:p w14:paraId="79DA8C7E">
      <w:pPr>
        <w:spacing w:line="600" w:lineRule="exact"/>
        <w:ind w:firstLine="640" w:firstLineChars="200"/>
        <w:rPr>
          <w:rFonts w:eastAsia="仿宋_GB2312"/>
          <w:sz w:val="32"/>
          <w:szCs w:val="32"/>
        </w:rPr>
      </w:pPr>
      <w:r>
        <w:rPr>
          <w:rFonts w:hint="eastAsia" w:eastAsia="仿宋_GB2312"/>
          <w:sz w:val="32"/>
          <w:szCs w:val="32"/>
        </w:rPr>
        <w:t>合同签订的依据为磋商文件、响应文件及补充说明等。确定成交单位后，成交单位在</w:t>
      </w:r>
      <w:r>
        <w:rPr>
          <w:rFonts w:hint="eastAsia" w:eastAsia="仿宋_GB2312"/>
          <w:sz w:val="32"/>
          <w:szCs w:val="32"/>
          <w:u w:val="single"/>
        </w:rPr>
        <w:t>30</w:t>
      </w:r>
      <w:r>
        <w:rPr>
          <w:rFonts w:hint="eastAsia" w:eastAsia="仿宋_GB2312"/>
          <w:sz w:val="32"/>
          <w:szCs w:val="32"/>
        </w:rPr>
        <w:t>天内与采购人签订合同。</w:t>
      </w:r>
    </w:p>
    <w:p w14:paraId="37C5B255">
      <w:pPr>
        <w:spacing w:line="600" w:lineRule="exact"/>
        <w:ind w:firstLine="640" w:firstLineChars="200"/>
        <w:rPr>
          <w:rFonts w:eastAsia="仿宋_GB2312"/>
          <w:sz w:val="32"/>
          <w:szCs w:val="32"/>
        </w:rPr>
      </w:pPr>
      <w:r>
        <w:rPr>
          <w:rFonts w:hint="eastAsia" w:eastAsia="仿宋_GB2312"/>
          <w:sz w:val="32"/>
          <w:szCs w:val="32"/>
        </w:rPr>
        <w:t>响应人收款前需向采购人提供请款材料和开具合法有效等额的增值税专用发票，否则采购人有权拒绝付款。</w:t>
      </w:r>
    </w:p>
    <w:p w14:paraId="18E4678D">
      <w:pPr>
        <w:adjustRightInd w:val="0"/>
        <w:snapToGrid w:val="0"/>
        <w:spacing w:line="600" w:lineRule="exact"/>
        <w:ind w:firstLine="640" w:firstLineChars="200"/>
        <w:outlineLvl w:val="1"/>
        <w:rPr>
          <w:rFonts w:eastAsia="黑体"/>
          <w:sz w:val="32"/>
          <w:szCs w:val="32"/>
        </w:rPr>
      </w:pPr>
      <w:r>
        <w:rPr>
          <w:rFonts w:eastAsia="黑体"/>
          <w:sz w:val="32"/>
          <w:szCs w:val="32"/>
        </w:rPr>
        <w:sym w:font="Wingdings" w:char="F0AB"/>
      </w:r>
      <w:r>
        <w:rPr>
          <w:rFonts w:hint="eastAsia" w:eastAsia="黑体"/>
          <w:sz w:val="32"/>
          <w:szCs w:val="32"/>
        </w:rPr>
        <w:t>十、响应文件的组成部分（响应文件本项资料如有不全，则作无效报价处理）</w:t>
      </w:r>
    </w:p>
    <w:p w14:paraId="652F84E7">
      <w:pPr>
        <w:numPr>
          <w:ilvl w:val="0"/>
          <w:numId w:val="3"/>
        </w:numPr>
        <w:spacing w:line="600" w:lineRule="exact"/>
        <w:ind w:firstLine="640" w:firstLineChars="200"/>
        <w:rPr>
          <w:rFonts w:eastAsia="仿宋_GB2312"/>
          <w:sz w:val="32"/>
          <w:szCs w:val="32"/>
        </w:rPr>
      </w:pPr>
      <w:r>
        <w:rPr>
          <w:rFonts w:hint="eastAsia" w:eastAsia="仿宋_GB2312"/>
          <w:sz w:val="32"/>
          <w:szCs w:val="32"/>
        </w:rPr>
        <w:t>价格部分（报价函及报价清单（模板））；</w:t>
      </w:r>
    </w:p>
    <w:p w14:paraId="45C1D244">
      <w:pPr>
        <w:numPr>
          <w:ilvl w:val="0"/>
          <w:numId w:val="3"/>
        </w:numPr>
        <w:spacing w:line="600" w:lineRule="exact"/>
        <w:ind w:firstLine="640" w:firstLineChars="200"/>
        <w:rPr>
          <w:rFonts w:eastAsia="仿宋_GB2312"/>
          <w:sz w:val="32"/>
          <w:szCs w:val="32"/>
        </w:rPr>
      </w:pPr>
      <w:r>
        <w:rPr>
          <w:rFonts w:hint="eastAsia" w:eastAsia="仿宋_GB2312"/>
          <w:sz w:val="32"/>
          <w:szCs w:val="32"/>
        </w:rPr>
        <w:t>商务部分（相关要求详见第二部分评分标准要求）；</w:t>
      </w:r>
    </w:p>
    <w:p w14:paraId="7EDE812B">
      <w:pPr>
        <w:numPr>
          <w:ilvl w:val="0"/>
          <w:numId w:val="3"/>
        </w:numPr>
        <w:spacing w:line="600" w:lineRule="exact"/>
        <w:ind w:firstLine="640" w:firstLineChars="200"/>
        <w:rPr>
          <w:rFonts w:eastAsia="仿宋_GB2312"/>
          <w:sz w:val="32"/>
          <w:szCs w:val="32"/>
        </w:rPr>
      </w:pPr>
      <w:r>
        <w:rPr>
          <w:rFonts w:hint="eastAsia" w:eastAsia="仿宋_GB2312"/>
          <w:sz w:val="32"/>
          <w:szCs w:val="32"/>
        </w:rPr>
        <w:t>技术部分（相关要求详见第二部分评分标准要求）；</w:t>
      </w:r>
    </w:p>
    <w:p w14:paraId="265F493E">
      <w:pPr>
        <w:numPr>
          <w:ilvl w:val="0"/>
          <w:numId w:val="3"/>
        </w:numPr>
        <w:spacing w:line="600" w:lineRule="exact"/>
        <w:ind w:firstLine="640" w:firstLineChars="200"/>
        <w:rPr>
          <w:rFonts w:eastAsia="仿宋_GB2312"/>
          <w:sz w:val="32"/>
          <w:szCs w:val="32"/>
        </w:rPr>
      </w:pPr>
      <w:r>
        <w:rPr>
          <w:rFonts w:hint="eastAsia" w:eastAsia="仿宋_GB2312"/>
          <w:sz w:val="32"/>
          <w:szCs w:val="32"/>
        </w:rPr>
        <w:t>法定代表人证明（模板）以及法定代表人身份证复印件；</w:t>
      </w:r>
    </w:p>
    <w:p w14:paraId="6585AAC1">
      <w:pPr>
        <w:spacing w:line="600" w:lineRule="exact"/>
        <w:ind w:firstLine="640" w:firstLineChars="200"/>
        <w:rPr>
          <w:rFonts w:eastAsia="仿宋_GB2312"/>
          <w:sz w:val="32"/>
          <w:szCs w:val="32"/>
        </w:rPr>
      </w:pPr>
      <w:r>
        <w:rPr>
          <w:rFonts w:hint="eastAsia" w:eastAsia="仿宋_GB2312"/>
          <w:sz w:val="32"/>
          <w:szCs w:val="32"/>
        </w:rPr>
        <w:t>5、法定代表人授权书（模板）及被委托人身份证复印件；</w:t>
      </w:r>
    </w:p>
    <w:p w14:paraId="26884349">
      <w:pPr>
        <w:spacing w:line="600" w:lineRule="exact"/>
        <w:ind w:firstLine="640" w:firstLineChars="200"/>
        <w:rPr>
          <w:rFonts w:eastAsia="仿宋_GB2312"/>
          <w:sz w:val="32"/>
          <w:szCs w:val="32"/>
        </w:rPr>
      </w:pPr>
      <w:r>
        <w:rPr>
          <w:rFonts w:hint="eastAsia" w:eastAsia="仿宋_GB2312"/>
          <w:sz w:val="32"/>
          <w:szCs w:val="32"/>
        </w:rPr>
        <w:t>6、承诺函（模板）；</w:t>
      </w:r>
    </w:p>
    <w:p w14:paraId="700F3B1A">
      <w:pPr>
        <w:spacing w:line="600" w:lineRule="exact"/>
        <w:ind w:firstLine="640" w:firstLineChars="200"/>
        <w:rPr>
          <w:rFonts w:eastAsia="仿宋_GB2312"/>
          <w:sz w:val="32"/>
          <w:szCs w:val="32"/>
        </w:rPr>
      </w:pPr>
      <w:r>
        <w:rPr>
          <w:rFonts w:hint="eastAsia" w:eastAsia="仿宋_GB2312"/>
          <w:sz w:val="32"/>
          <w:szCs w:val="32"/>
        </w:rPr>
        <w:t>7、响应人认为需要提供的其他资料。</w:t>
      </w:r>
    </w:p>
    <w:p w14:paraId="4725A0A4">
      <w:pPr>
        <w:spacing w:line="600" w:lineRule="exact"/>
        <w:ind w:firstLine="620" w:firstLineChars="200"/>
        <w:rPr>
          <w:rStyle w:val="23"/>
          <w:rFonts w:ascii="仿宋_GB2312" w:hAnsi="微软雅黑" w:eastAsia="仿宋_GB2312" w:cs="仿宋_GB2312"/>
          <w:color w:val="FF0000"/>
          <w:sz w:val="31"/>
          <w:szCs w:val="31"/>
        </w:rPr>
      </w:pPr>
      <w:r>
        <w:rPr>
          <w:rFonts w:ascii="仿宋_GB2312" w:hAnsi="宋体" w:eastAsia="仿宋_GB2312" w:cs="仿宋_GB2312"/>
          <w:sz w:val="31"/>
          <w:szCs w:val="31"/>
        </w:rPr>
        <w:t>响应人须严格按照采购人提供的表单格式报价，响应文件必须装订完整，于骑缝处加盖投标单位企业公章。装有响应文件的文件袋须贴有密封条，于骑缝处加盖企业公章。</w:t>
      </w:r>
      <w:r>
        <w:rPr>
          <w:rStyle w:val="23"/>
          <w:rFonts w:hint="eastAsia" w:ascii="仿宋_GB2312" w:hAnsi="微软雅黑" w:eastAsia="仿宋_GB2312" w:cs="仿宋_GB2312"/>
          <w:color w:val="FF0000"/>
          <w:sz w:val="31"/>
          <w:szCs w:val="31"/>
        </w:rPr>
        <w:t>价格部分、商务部分、技术部分必须单独密封（按以上密封要求执行），否则按密封性不符合要求处理，采购人将拒绝接收响应文件。</w:t>
      </w:r>
    </w:p>
    <w:p w14:paraId="37C42107">
      <w:pPr>
        <w:adjustRightInd w:val="0"/>
        <w:snapToGrid w:val="0"/>
        <w:spacing w:line="600" w:lineRule="exact"/>
        <w:ind w:firstLine="640" w:firstLineChars="200"/>
        <w:outlineLvl w:val="1"/>
        <w:rPr>
          <w:rFonts w:eastAsia="黑体"/>
          <w:sz w:val="32"/>
          <w:szCs w:val="32"/>
        </w:rPr>
      </w:pPr>
      <w:r>
        <w:rPr>
          <w:rFonts w:hint="eastAsia" w:eastAsia="黑体"/>
          <w:sz w:val="32"/>
          <w:szCs w:val="32"/>
        </w:rPr>
        <w:t>十一、响应文件份数</w:t>
      </w:r>
    </w:p>
    <w:p w14:paraId="792B65B6">
      <w:pPr>
        <w:spacing w:line="600" w:lineRule="exact"/>
        <w:ind w:firstLine="640" w:firstLineChars="200"/>
        <w:rPr>
          <w:rFonts w:eastAsia="仿宋_GB2312"/>
          <w:sz w:val="32"/>
          <w:szCs w:val="32"/>
        </w:rPr>
      </w:pPr>
      <w:r>
        <w:rPr>
          <w:rFonts w:hint="eastAsia" w:eastAsia="仿宋_GB2312"/>
          <w:sz w:val="32"/>
          <w:szCs w:val="32"/>
        </w:rPr>
        <w:t>正本一份，并提供响应文件扫描件（盖章版）电子版（U盘）。</w:t>
      </w:r>
    </w:p>
    <w:p w14:paraId="05A181F5">
      <w:pPr>
        <w:pStyle w:val="17"/>
        <w:spacing w:before="45" w:beforeAutospacing="0" w:after="45" w:afterAutospacing="0" w:line="600" w:lineRule="exact"/>
        <w:ind w:left="45" w:right="45" w:firstLine="645"/>
        <w:rPr>
          <w:rFonts w:ascii="黑体" w:hAnsi="黑体" w:eastAsia="黑体" w:cs="黑体"/>
          <w:sz w:val="32"/>
          <w:szCs w:val="32"/>
        </w:rPr>
      </w:pPr>
      <w:r>
        <w:rPr>
          <w:rFonts w:hint="eastAsia" w:ascii="黑体" w:hAnsi="黑体" w:eastAsia="黑体" w:cs="黑体"/>
          <w:sz w:val="32"/>
          <w:szCs w:val="32"/>
        </w:rPr>
        <w:t>十二、保证金金额及缴纳方式</w:t>
      </w:r>
    </w:p>
    <w:p w14:paraId="3F8D006C">
      <w:pPr>
        <w:spacing w:line="600" w:lineRule="exact"/>
        <w:ind w:firstLine="640" w:firstLineChars="200"/>
        <w:rPr>
          <w:rFonts w:eastAsia="仿宋_GB2312"/>
          <w:color w:val="000000"/>
          <w:sz w:val="32"/>
          <w:szCs w:val="32"/>
        </w:rPr>
      </w:pPr>
      <w:r>
        <w:rPr>
          <w:rFonts w:eastAsia="仿宋_GB2312"/>
          <w:color w:val="000000"/>
          <w:sz w:val="32"/>
          <w:szCs w:val="32"/>
        </w:rPr>
        <w:t>报价人应按</w:t>
      </w:r>
      <w:r>
        <w:rPr>
          <w:rFonts w:hint="eastAsia" w:eastAsia="仿宋_GB2312"/>
          <w:color w:val="000000"/>
          <w:sz w:val="32"/>
          <w:szCs w:val="32"/>
        </w:rPr>
        <w:t>磋商</w:t>
      </w:r>
      <w:r>
        <w:rPr>
          <w:rFonts w:eastAsia="仿宋_GB2312"/>
          <w:color w:val="000000"/>
          <w:sz w:val="32"/>
          <w:szCs w:val="32"/>
        </w:rPr>
        <w:t>文件规定的金额和期限交纳报价保证金，报价人与交款人名称必须一致，非报价人缴纳的报价保证金无效。</w:t>
      </w:r>
    </w:p>
    <w:p w14:paraId="432500D2">
      <w:pPr>
        <w:spacing w:line="600" w:lineRule="exact"/>
        <w:ind w:firstLine="640" w:firstLineChars="200"/>
        <w:rPr>
          <w:rFonts w:eastAsia="仿宋_GB2312"/>
          <w:color w:val="000000"/>
          <w:sz w:val="32"/>
          <w:szCs w:val="32"/>
          <w:highlight w:val="yellow"/>
        </w:rPr>
      </w:pPr>
      <w:r>
        <w:rPr>
          <w:rFonts w:hint="eastAsia" w:eastAsia="仿宋_GB2312"/>
          <w:color w:val="000000"/>
          <w:sz w:val="32"/>
          <w:szCs w:val="32"/>
        </w:rPr>
        <w:t>1、报价保证金：本项目开标前不收取保证金，拟中标单位当天转账人民币玖佰</w:t>
      </w:r>
      <w:r>
        <w:rPr>
          <w:rFonts w:hint="eastAsia" w:eastAsia="仿宋_GB2312"/>
          <w:color w:val="000000"/>
          <w:sz w:val="32"/>
          <w:szCs w:val="32"/>
          <w:lang w:val="en-US" w:eastAsia="zh-CN"/>
        </w:rPr>
        <w:t>玖</w:t>
      </w:r>
      <w:r>
        <w:rPr>
          <w:rFonts w:hint="eastAsia" w:eastAsia="仿宋_GB2312"/>
          <w:color w:val="000000"/>
          <w:sz w:val="32"/>
          <w:szCs w:val="32"/>
        </w:rPr>
        <w:t>拾</w:t>
      </w:r>
      <w:r>
        <w:rPr>
          <w:rFonts w:hint="eastAsia" w:eastAsia="仿宋_GB2312"/>
          <w:color w:val="000000"/>
          <w:sz w:val="32"/>
          <w:szCs w:val="32"/>
          <w:lang w:val="en-US" w:eastAsia="zh-CN"/>
        </w:rPr>
        <w:t>捌</w:t>
      </w:r>
      <w:r>
        <w:rPr>
          <w:rFonts w:hint="eastAsia" w:eastAsia="仿宋_GB2312"/>
          <w:color w:val="000000"/>
          <w:sz w:val="32"/>
          <w:szCs w:val="32"/>
        </w:rPr>
        <w:t>元整（</w:t>
      </w:r>
      <w:r>
        <w:rPr>
          <w:rFonts w:eastAsia="仿宋_GB2312"/>
          <w:color w:val="000000"/>
          <w:sz w:val="32"/>
          <w:szCs w:val="32"/>
        </w:rPr>
        <w:t>¥</w:t>
      </w:r>
      <w:r>
        <w:rPr>
          <w:rFonts w:hint="eastAsia" w:eastAsia="仿宋_GB2312"/>
          <w:color w:val="000000"/>
          <w:sz w:val="32"/>
          <w:szCs w:val="32"/>
          <w:lang w:val="en-US" w:eastAsia="zh-CN"/>
        </w:rPr>
        <w:t>998</w:t>
      </w:r>
      <w:r>
        <w:rPr>
          <w:rFonts w:eastAsia="仿宋_GB2312"/>
          <w:color w:val="000000"/>
          <w:sz w:val="32"/>
          <w:szCs w:val="32"/>
        </w:rPr>
        <w:t>元</w:t>
      </w:r>
      <w:r>
        <w:rPr>
          <w:rFonts w:hint="eastAsia" w:eastAsia="仿宋_GB2312"/>
          <w:color w:val="000000"/>
          <w:sz w:val="32"/>
          <w:szCs w:val="32"/>
        </w:rPr>
        <w:t>）至以下投标保证金专用账户（报价人与交款人名称必须一致，不接受个人名义转账）。</w:t>
      </w:r>
    </w:p>
    <w:p w14:paraId="3DE13EA5">
      <w:pPr>
        <w:spacing w:line="600" w:lineRule="exact"/>
        <w:ind w:firstLine="640" w:firstLineChars="200"/>
        <w:rPr>
          <w:rFonts w:eastAsia="仿宋_GB2312"/>
          <w:color w:val="000000"/>
          <w:sz w:val="32"/>
          <w:szCs w:val="32"/>
        </w:rPr>
      </w:pPr>
      <w:r>
        <w:rPr>
          <w:rFonts w:hint="eastAsia" w:eastAsia="仿宋_GB2312"/>
          <w:color w:val="000000"/>
          <w:sz w:val="32"/>
          <w:szCs w:val="32"/>
        </w:rPr>
        <w:t>报价保证金收款账户信息：</w:t>
      </w:r>
    </w:p>
    <w:p w14:paraId="03788FDE">
      <w:pPr>
        <w:spacing w:line="600" w:lineRule="exact"/>
        <w:ind w:firstLine="640" w:firstLineChars="200"/>
        <w:rPr>
          <w:rFonts w:eastAsia="仿宋_GB2312"/>
          <w:color w:val="000000"/>
          <w:sz w:val="32"/>
          <w:szCs w:val="32"/>
        </w:rPr>
      </w:pPr>
      <w:r>
        <w:rPr>
          <w:rFonts w:hint="eastAsia" w:eastAsia="仿宋_GB2312"/>
          <w:color w:val="000000"/>
          <w:sz w:val="32"/>
          <w:szCs w:val="32"/>
        </w:rPr>
        <w:t>帐户名称：东莞市东实产城发展有限公司</w:t>
      </w:r>
    </w:p>
    <w:p w14:paraId="526267C2">
      <w:pPr>
        <w:spacing w:line="600" w:lineRule="exact"/>
        <w:ind w:firstLine="640" w:firstLineChars="200"/>
        <w:rPr>
          <w:rFonts w:eastAsia="仿宋_GB2312"/>
          <w:color w:val="000000"/>
          <w:sz w:val="32"/>
          <w:szCs w:val="32"/>
        </w:rPr>
      </w:pPr>
      <w:r>
        <w:rPr>
          <w:rFonts w:hint="eastAsia" w:eastAsia="仿宋_GB2312"/>
          <w:color w:val="000000"/>
          <w:sz w:val="32"/>
          <w:szCs w:val="32"/>
        </w:rPr>
        <w:t>开户银行：东莞银行股份有限公司东莞分行营业部</w:t>
      </w:r>
    </w:p>
    <w:p w14:paraId="3F973C34">
      <w:pPr>
        <w:spacing w:line="600" w:lineRule="exact"/>
        <w:ind w:firstLine="640" w:firstLineChars="200"/>
        <w:rPr>
          <w:rFonts w:eastAsia="仿宋_GB2312"/>
          <w:color w:val="000000"/>
          <w:sz w:val="32"/>
          <w:szCs w:val="32"/>
        </w:rPr>
      </w:pPr>
      <w:r>
        <w:rPr>
          <w:rFonts w:hint="eastAsia" w:eastAsia="仿宋_GB2312"/>
          <w:color w:val="000000"/>
          <w:sz w:val="32"/>
          <w:szCs w:val="32"/>
        </w:rPr>
        <w:t>银行帐号：589000014541253</w:t>
      </w:r>
    </w:p>
    <w:p w14:paraId="3C44AF19">
      <w:pPr>
        <w:spacing w:line="600" w:lineRule="exact"/>
        <w:ind w:firstLine="640" w:firstLineChars="200"/>
        <w:rPr>
          <w:rFonts w:ascii="微软雅黑" w:hAnsi="微软雅黑" w:eastAsia="仿宋_GB2312" w:cs="微软雅黑"/>
          <w:color w:val="515050"/>
          <w:szCs w:val="21"/>
        </w:rPr>
      </w:pPr>
      <w:r>
        <w:rPr>
          <w:rFonts w:hint="eastAsia" w:eastAsia="仿宋_GB2312"/>
          <w:color w:val="000000"/>
          <w:sz w:val="32"/>
          <w:szCs w:val="32"/>
        </w:rPr>
        <w:t>2、报价保证金在本项目合同签订后自动转为履约保证金，履约保证金在完成本项目并验收合格后无息退还。</w:t>
      </w:r>
    </w:p>
    <w:p w14:paraId="24FC56E4">
      <w:pPr>
        <w:adjustRightInd w:val="0"/>
        <w:snapToGrid w:val="0"/>
        <w:spacing w:line="600" w:lineRule="exact"/>
        <w:ind w:firstLine="640" w:firstLineChars="200"/>
        <w:outlineLvl w:val="1"/>
        <w:rPr>
          <w:rFonts w:eastAsia="黑体"/>
          <w:sz w:val="32"/>
          <w:szCs w:val="32"/>
        </w:rPr>
      </w:pPr>
      <w:r>
        <w:rPr>
          <w:rFonts w:hint="eastAsia" w:eastAsia="黑体"/>
          <w:sz w:val="32"/>
          <w:szCs w:val="32"/>
        </w:rPr>
        <w:t>十三、开标时间及地址</w:t>
      </w:r>
    </w:p>
    <w:p w14:paraId="6C826317">
      <w:pPr>
        <w:spacing w:line="600" w:lineRule="exact"/>
        <w:ind w:firstLine="640" w:firstLineChars="200"/>
        <w:rPr>
          <w:rFonts w:eastAsia="仿宋_GB2312"/>
          <w:bCs/>
          <w:sz w:val="32"/>
          <w:szCs w:val="32"/>
        </w:rPr>
      </w:pPr>
      <w:r>
        <w:rPr>
          <w:rFonts w:eastAsia="仿宋_GB2312"/>
          <w:bCs/>
          <w:sz w:val="32"/>
          <w:szCs w:val="32"/>
        </w:rPr>
        <w:t>1</w:t>
      </w:r>
      <w:r>
        <w:rPr>
          <w:rFonts w:hint="eastAsia" w:eastAsia="仿宋_GB2312"/>
          <w:bCs/>
          <w:sz w:val="32"/>
          <w:szCs w:val="32"/>
        </w:rPr>
        <w:t>、开标时间：</w:t>
      </w:r>
      <w:r>
        <w:rPr>
          <w:rFonts w:eastAsia="仿宋_GB2312"/>
          <w:bCs/>
          <w:sz w:val="32"/>
          <w:szCs w:val="32"/>
          <w:u w:val="single"/>
        </w:rPr>
        <w:t>202</w:t>
      </w:r>
      <w:r>
        <w:rPr>
          <w:rFonts w:hint="eastAsia" w:eastAsia="仿宋_GB2312"/>
          <w:bCs/>
          <w:sz w:val="32"/>
          <w:szCs w:val="32"/>
          <w:u w:val="single"/>
          <w:lang w:val="en-US" w:eastAsia="zh-CN"/>
        </w:rPr>
        <w:t>6</w:t>
      </w:r>
      <w:r>
        <w:rPr>
          <w:rFonts w:hint="eastAsia" w:eastAsia="仿宋_GB2312"/>
          <w:bCs/>
          <w:sz w:val="32"/>
          <w:szCs w:val="32"/>
          <w:u w:val="single"/>
        </w:rPr>
        <w:t>年</w:t>
      </w:r>
      <w:r>
        <w:rPr>
          <w:rFonts w:hint="eastAsia" w:eastAsia="仿宋_GB2312"/>
          <w:bCs/>
          <w:sz w:val="32"/>
          <w:szCs w:val="32"/>
          <w:u w:val="single"/>
          <w:lang w:val="en-US" w:eastAsia="zh-CN"/>
        </w:rPr>
        <w:t>5</w:t>
      </w:r>
      <w:r>
        <w:rPr>
          <w:rFonts w:hint="eastAsia" w:eastAsia="仿宋_GB2312"/>
          <w:bCs/>
          <w:sz w:val="32"/>
          <w:szCs w:val="32"/>
          <w:u w:val="single"/>
        </w:rPr>
        <w:t>月</w:t>
      </w:r>
      <w:r>
        <w:rPr>
          <w:rFonts w:hint="eastAsia" w:eastAsia="仿宋_GB2312"/>
          <w:bCs/>
          <w:sz w:val="32"/>
          <w:szCs w:val="32"/>
          <w:u w:val="single"/>
          <w:lang w:val="en-US" w:eastAsia="zh-CN"/>
        </w:rPr>
        <w:t>29</w:t>
      </w:r>
      <w:r>
        <w:rPr>
          <w:rFonts w:hint="eastAsia" w:eastAsia="仿宋_GB2312"/>
          <w:bCs/>
          <w:sz w:val="32"/>
          <w:szCs w:val="32"/>
          <w:u w:val="single"/>
        </w:rPr>
        <w:t>日（星期五）上午09</w:t>
      </w:r>
      <w:r>
        <w:rPr>
          <w:rFonts w:eastAsia="仿宋_GB2312"/>
          <w:bCs/>
          <w:sz w:val="32"/>
          <w:szCs w:val="32"/>
          <w:u w:val="single"/>
        </w:rPr>
        <w:t>:</w:t>
      </w:r>
      <w:r>
        <w:rPr>
          <w:rFonts w:hint="eastAsia" w:eastAsia="仿宋_GB2312"/>
          <w:bCs/>
          <w:sz w:val="32"/>
          <w:szCs w:val="32"/>
          <w:u w:val="single"/>
        </w:rPr>
        <w:t>3</w:t>
      </w:r>
      <w:r>
        <w:rPr>
          <w:rFonts w:eastAsia="仿宋_GB2312"/>
          <w:bCs/>
          <w:sz w:val="32"/>
          <w:szCs w:val="32"/>
          <w:u w:val="single"/>
        </w:rPr>
        <w:t xml:space="preserve">0 </w:t>
      </w:r>
      <w:r>
        <w:rPr>
          <w:rFonts w:hint="eastAsia" w:eastAsia="仿宋_GB2312"/>
          <w:bCs/>
          <w:sz w:val="32"/>
          <w:szCs w:val="32"/>
        </w:rPr>
        <w:t>。</w:t>
      </w:r>
    </w:p>
    <w:p w14:paraId="0E9812C6">
      <w:pPr>
        <w:spacing w:line="600" w:lineRule="exact"/>
        <w:ind w:firstLine="640" w:firstLineChars="200"/>
        <w:rPr>
          <w:rFonts w:eastAsia="仿宋_GB2312"/>
          <w:bCs/>
          <w:sz w:val="32"/>
          <w:szCs w:val="32"/>
        </w:rPr>
      </w:pPr>
      <w:r>
        <w:rPr>
          <w:rFonts w:eastAsia="仿宋_GB2312"/>
          <w:bCs/>
          <w:sz w:val="32"/>
          <w:szCs w:val="32"/>
        </w:rPr>
        <w:t>2</w:t>
      </w:r>
      <w:r>
        <w:rPr>
          <w:rFonts w:hint="eastAsia" w:eastAsia="仿宋_GB2312"/>
          <w:bCs/>
          <w:sz w:val="32"/>
          <w:szCs w:val="32"/>
        </w:rPr>
        <w:t>、开标地址：</w:t>
      </w:r>
      <w:r>
        <w:rPr>
          <w:rFonts w:hint="eastAsia" w:eastAsia="仿宋_GB2312"/>
          <w:bCs/>
          <w:sz w:val="32"/>
          <w:szCs w:val="32"/>
          <w:u w:val="single"/>
        </w:rPr>
        <w:t>东莞市东城区八一路1号机关二号大院9号楼</w:t>
      </w:r>
      <w:r>
        <w:rPr>
          <w:rFonts w:hint="eastAsia" w:eastAsia="仿宋_GB2312"/>
          <w:bCs/>
          <w:sz w:val="32"/>
          <w:szCs w:val="32"/>
          <w:u w:val="single"/>
          <w:lang w:val="en-US" w:eastAsia="zh-CN"/>
        </w:rPr>
        <w:t>2</w:t>
      </w:r>
      <w:r>
        <w:rPr>
          <w:rFonts w:hint="eastAsia" w:eastAsia="仿宋_GB2312"/>
          <w:bCs/>
          <w:sz w:val="32"/>
          <w:szCs w:val="32"/>
          <w:u w:val="single"/>
        </w:rPr>
        <w:t>楼</w:t>
      </w:r>
      <w:r>
        <w:rPr>
          <w:rFonts w:hint="eastAsia" w:eastAsia="仿宋_GB2312"/>
          <w:bCs/>
          <w:sz w:val="32"/>
          <w:szCs w:val="32"/>
          <w:u w:val="single"/>
          <w:lang w:val="en-US" w:eastAsia="zh-CN"/>
        </w:rPr>
        <w:t>2A</w:t>
      </w:r>
      <w:r>
        <w:rPr>
          <w:rFonts w:hint="eastAsia" w:eastAsia="仿宋_GB2312"/>
          <w:bCs/>
          <w:sz w:val="32"/>
          <w:szCs w:val="32"/>
          <w:u w:val="single"/>
        </w:rPr>
        <w:t>会议室</w:t>
      </w:r>
    </w:p>
    <w:p w14:paraId="6513F96B">
      <w:pPr>
        <w:spacing w:line="600" w:lineRule="exact"/>
        <w:ind w:firstLine="640" w:firstLineChars="200"/>
        <w:rPr>
          <w:rFonts w:eastAsia="仿宋_GB2312"/>
          <w:sz w:val="32"/>
          <w:szCs w:val="32"/>
        </w:rPr>
      </w:pPr>
      <w:r>
        <w:rPr>
          <w:rFonts w:hint="eastAsia" w:eastAsia="仿宋_GB2312"/>
          <w:sz w:val="32"/>
          <w:szCs w:val="32"/>
        </w:rPr>
        <w:t>联系人：</w:t>
      </w:r>
      <w:r>
        <w:rPr>
          <w:rFonts w:eastAsia="仿宋_GB2312"/>
          <w:sz w:val="32"/>
          <w:szCs w:val="32"/>
          <w:u w:val="single"/>
        </w:rPr>
        <w:t xml:space="preserve">  </w:t>
      </w:r>
      <w:r>
        <w:rPr>
          <w:rFonts w:hint="eastAsia" w:eastAsia="仿宋_GB2312"/>
          <w:sz w:val="32"/>
          <w:szCs w:val="32"/>
          <w:u w:val="single"/>
          <w:lang w:val="en-US" w:eastAsia="zh-CN"/>
        </w:rPr>
        <w:t>刘</w:t>
      </w:r>
      <w:r>
        <w:rPr>
          <w:rFonts w:hint="eastAsia" w:eastAsia="仿宋_GB2312"/>
          <w:sz w:val="32"/>
          <w:szCs w:val="32"/>
          <w:u w:val="single"/>
        </w:rPr>
        <w:t>工</w:t>
      </w:r>
      <w:r>
        <w:rPr>
          <w:rFonts w:eastAsia="仿宋_GB2312"/>
          <w:sz w:val="32"/>
          <w:szCs w:val="32"/>
          <w:u w:val="single"/>
        </w:rPr>
        <w:t xml:space="preserve">  </w:t>
      </w:r>
    </w:p>
    <w:p w14:paraId="371B4BFA">
      <w:pPr>
        <w:spacing w:line="600" w:lineRule="exact"/>
        <w:ind w:firstLine="640" w:firstLineChars="200"/>
      </w:pPr>
      <w:r>
        <w:rPr>
          <w:rFonts w:hint="eastAsia" w:eastAsia="仿宋_GB2312"/>
          <w:sz w:val="32"/>
          <w:szCs w:val="32"/>
        </w:rPr>
        <w:t>联系电话：</w:t>
      </w:r>
      <w:r>
        <w:rPr>
          <w:rFonts w:eastAsia="仿宋_GB2312"/>
          <w:sz w:val="32"/>
          <w:szCs w:val="32"/>
          <w:u w:val="single"/>
        </w:rPr>
        <w:t xml:space="preserve">  </w:t>
      </w:r>
      <w:r>
        <w:rPr>
          <w:rFonts w:hint="eastAsia" w:eastAsia="仿宋_GB2312"/>
          <w:sz w:val="32"/>
          <w:szCs w:val="32"/>
          <w:u w:val="single"/>
          <w:lang w:val="en-US" w:eastAsia="zh-CN"/>
        </w:rPr>
        <w:t>15603017198</w:t>
      </w:r>
      <w:r>
        <w:rPr>
          <w:rFonts w:eastAsia="仿宋_GB2312"/>
          <w:sz w:val="32"/>
          <w:szCs w:val="32"/>
          <w:u w:val="single"/>
        </w:rPr>
        <w:t xml:space="preserve">  </w:t>
      </w:r>
    </w:p>
    <w:p w14:paraId="29CCDFB8">
      <w:pPr>
        <w:spacing w:line="600" w:lineRule="exact"/>
        <w:ind w:firstLine="640" w:firstLineChars="200"/>
        <w:rPr>
          <w:rFonts w:eastAsia="黑体"/>
          <w:sz w:val="32"/>
          <w:szCs w:val="32"/>
        </w:rPr>
      </w:pPr>
      <w:r>
        <w:rPr>
          <w:rFonts w:hint="eastAsia" w:eastAsia="黑体"/>
          <w:sz w:val="32"/>
          <w:szCs w:val="32"/>
        </w:rPr>
        <w:t>十四、注意事项</w:t>
      </w:r>
    </w:p>
    <w:p w14:paraId="03DF603E">
      <w:pPr>
        <w:spacing w:line="580" w:lineRule="exact"/>
        <w:ind w:firstLine="640" w:firstLineChars="200"/>
        <w:rPr>
          <w:rFonts w:eastAsia="仿宋_GB2312"/>
          <w:color w:val="000000"/>
          <w:sz w:val="32"/>
          <w:szCs w:val="32"/>
        </w:rPr>
      </w:pPr>
      <w:bookmarkStart w:id="0" w:name="_Hlk517879660"/>
      <w:r>
        <w:rPr>
          <w:rFonts w:eastAsia="仿宋_GB2312"/>
          <w:color w:val="000000"/>
          <w:sz w:val="32"/>
          <w:szCs w:val="32"/>
        </w:rPr>
        <w:t>1、若响应人未按规定时间将文件送达现场，视为放弃投标资格。</w:t>
      </w:r>
    </w:p>
    <w:p w14:paraId="79CA19F3">
      <w:pPr>
        <w:spacing w:line="580" w:lineRule="exact"/>
        <w:ind w:firstLine="640" w:firstLineChars="200"/>
        <w:rPr>
          <w:rFonts w:eastAsia="仿宋_GB2312"/>
          <w:color w:val="000000"/>
          <w:sz w:val="32"/>
          <w:szCs w:val="32"/>
        </w:rPr>
      </w:pPr>
      <w:r>
        <w:rPr>
          <w:rFonts w:eastAsia="仿宋_GB2312"/>
          <w:color w:val="000000"/>
          <w:sz w:val="32"/>
          <w:szCs w:val="32"/>
        </w:rPr>
        <w:t>2、采购人向响应人提供的有关资料和数据，是采购人现有的能使响应人利用的资料，采购人对响应人由此而做出的推论、理解和结论概不负责。</w:t>
      </w:r>
    </w:p>
    <w:p w14:paraId="4A5A02A6">
      <w:pPr>
        <w:spacing w:line="580" w:lineRule="exact"/>
        <w:ind w:firstLine="640" w:firstLineChars="200"/>
        <w:rPr>
          <w:rFonts w:eastAsia="仿宋_GB2312"/>
          <w:color w:val="000000"/>
          <w:sz w:val="32"/>
          <w:szCs w:val="32"/>
        </w:rPr>
      </w:pPr>
      <w:r>
        <w:rPr>
          <w:rFonts w:eastAsia="仿宋_GB2312"/>
          <w:color w:val="000000"/>
          <w:sz w:val="32"/>
          <w:szCs w:val="32"/>
        </w:rPr>
        <w:t>3、本项目执行过程中将遵循国家、省、市有关法律、法规、标准、技术规范和规范性文件的最新规定。</w:t>
      </w:r>
    </w:p>
    <w:p w14:paraId="544E30BE">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4、成交单位对采购文件中技术条款作出的负偏离，采购人如不接受，可要求成交单位以采购文件的要求为准，如成交单位拒绝的，采购人有权取消其成交资格或取消合同。采购人不作任何补偿。</w:t>
      </w:r>
    </w:p>
    <w:p w14:paraId="752E0DEF">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5、本项目仅可提交一个报价方案，提交两个或以上报价方案的报价人视为无效报价。</w:t>
      </w:r>
    </w:p>
    <w:p w14:paraId="0B3C6A1A">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6、本项目不接受报价人其他附加条件。</w:t>
      </w:r>
    </w:p>
    <w:p w14:paraId="0EC1BEE9">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7、有下列情形之一的，报价保证金将被没收，并纳入采购人供应商黑名单：</w:t>
      </w:r>
    </w:p>
    <w:p w14:paraId="08E7DC0A">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（1）中标后无正当理由放弃中标或不与采购人签订合同。</w:t>
      </w:r>
    </w:p>
    <w:p w14:paraId="350B3B6B">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（2）成交人将本项目转让给他人，或者在报价文件中未说明，且未经采购人同意，将中标项目分包给他人，采购人可没收其报价保证金。</w:t>
      </w:r>
    </w:p>
    <w:p w14:paraId="7081ADCF">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（3）报价人提供虚假报价文件或虚假补充文件。</w:t>
      </w:r>
    </w:p>
    <w:p w14:paraId="1134D41B">
      <w:pPr>
        <w:widowControl/>
        <w:spacing w:line="580" w:lineRule="exact"/>
        <w:jc w:val="left"/>
        <w:rPr>
          <w:rFonts w:eastAsia="仿宋_GB2312"/>
          <w:color w:val="000000"/>
          <w:sz w:val="32"/>
          <w:szCs w:val="32"/>
        </w:rPr>
      </w:pPr>
    </w:p>
    <w:bookmarkEnd w:id="0"/>
    <w:p w14:paraId="218B42DA">
      <w:pPr>
        <w:widowControl/>
        <w:spacing w:line="600" w:lineRule="exact"/>
        <w:ind w:firstLine="640" w:firstLineChars="200"/>
        <w:jc w:val="left"/>
        <w:rPr>
          <w:rFonts w:eastAsia="仿宋_GB2312"/>
          <w:sz w:val="32"/>
          <w:szCs w:val="32"/>
        </w:rPr>
      </w:pPr>
      <w:r>
        <w:rPr>
          <w:rFonts w:eastAsia="仿宋_GB2312"/>
          <w:sz w:val="32"/>
          <w:szCs w:val="32"/>
        </w:rPr>
        <w:t xml:space="preserve"> </w:t>
      </w:r>
    </w:p>
    <w:p w14:paraId="3DD720E5">
      <w:pPr>
        <w:spacing w:line="600" w:lineRule="exact"/>
        <w:jc w:val="right"/>
        <w:rPr>
          <w:rFonts w:eastAsia="仿宋_GB2312"/>
          <w:sz w:val="32"/>
          <w:szCs w:val="32"/>
        </w:rPr>
      </w:pPr>
      <w:r>
        <w:rPr>
          <w:rFonts w:hint="eastAsia" w:eastAsia="仿宋_GB2312"/>
          <w:sz w:val="32"/>
          <w:szCs w:val="32"/>
        </w:rPr>
        <w:t>东莞市东实产城发展有限公司</w:t>
      </w:r>
      <w:r>
        <w:rPr>
          <w:rFonts w:eastAsia="仿宋_GB2312"/>
          <w:sz w:val="32"/>
          <w:szCs w:val="32"/>
        </w:rPr>
        <w:t xml:space="preserve">          </w:t>
      </w:r>
    </w:p>
    <w:p w14:paraId="6F2C63FA">
      <w:pPr>
        <w:spacing w:line="600" w:lineRule="exact"/>
        <w:ind w:firstLine="640" w:firstLineChars="200"/>
        <w:jc w:val="right"/>
        <w:rPr>
          <w:rFonts w:eastAsia="仿宋_GB2312"/>
          <w:sz w:val="32"/>
          <w:szCs w:val="32"/>
        </w:rPr>
      </w:pPr>
      <w:r>
        <w:rPr>
          <w:rFonts w:eastAsia="仿宋_GB2312"/>
          <w:sz w:val="32"/>
          <w:szCs w:val="32"/>
        </w:rPr>
        <w:t>202</w:t>
      </w:r>
      <w:r>
        <w:rPr>
          <w:rFonts w:hint="eastAsia" w:eastAsia="仿宋_GB2312"/>
          <w:sz w:val="32"/>
          <w:szCs w:val="32"/>
          <w:lang w:val="en-US" w:eastAsia="zh-CN"/>
        </w:rPr>
        <w:t>6</w:t>
      </w:r>
      <w:r>
        <w:rPr>
          <w:rFonts w:hint="eastAsia" w:eastAsia="仿宋_GB2312"/>
          <w:sz w:val="32"/>
          <w:szCs w:val="32"/>
        </w:rPr>
        <w:t>年</w:t>
      </w:r>
      <w:r>
        <w:rPr>
          <w:rFonts w:hint="eastAsia" w:eastAsia="仿宋_GB2312"/>
          <w:sz w:val="32"/>
          <w:szCs w:val="32"/>
          <w:lang w:val="en-US" w:eastAsia="zh-CN"/>
        </w:rPr>
        <w:t>5</w:t>
      </w:r>
      <w:r>
        <w:rPr>
          <w:rFonts w:hint="eastAsia" w:eastAsia="仿宋_GB2312"/>
          <w:sz w:val="32"/>
          <w:szCs w:val="32"/>
        </w:rPr>
        <w:t>月</w:t>
      </w:r>
      <w:r>
        <w:rPr>
          <w:rFonts w:hint="eastAsia" w:eastAsia="仿宋_GB2312"/>
          <w:sz w:val="32"/>
          <w:szCs w:val="32"/>
          <w:lang w:val="en-US" w:eastAsia="zh-CN"/>
        </w:rPr>
        <w:t>25</w:t>
      </w:r>
      <w:r>
        <w:rPr>
          <w:rFonts w:hint="eastAsia" w:eastAsia="仿宋_GB2312"/>
          <w:sz w:val="32"/>
          <w:szCs w:val="32"/>
        </w:rPr>
        <w:t>日</w:t>
      </w:r>
    </w:p>
    <w:p w14:paraId="1025AA4A">
      <w:pPr>
        <w:widowControl/>
        <w:spacing w:line="600" w:lineRule="exact"/>
        <w:ind w:firstLine="640" w:firstLineChars="200"/>
        <w:jc w:val="left"/>
        <w:rPr>
          <w:rFonts w:eastAsia="仿宋_GB2312"/>
          <w:sz w:val="32"/>
          <w:szCs w:val="32"/>
        </w:rPr>
        <w:sectPr>
          <w:headerReference r:id="rId3" w:type="default"/>
          <w:pgSz w:w="11906" w:h="16838"/>
          <w:pgMar w:top="1440" w:right="1800" w:bottom="1440" w:left="1800" w:header="851" w:footer="992" w:gutter="0"/>
          <w:cols w:space="720" w:num="1"/>
          <w:docGrid w:type="lines" w:linePitch="312" w:charSpace="0"/>
        </w:sectPr>
      </w:pPr>
      <w:bookmarkStart w:id="1" w:name="_GoBack"/>
    </w:p>
    <w:bookmarkEnd w:id="1"/>
    <w:p w14:paraId="37CE9C98">
      <w:pPr>
        <w:pStyle w:val="2"/>
        <w:rPr>
          <w:rFonts w:ascii="Times New Roman" w:hAnsi="Times New Roman" w:cs="Times New Roman"/>
          <w:color w:val="auto"/>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LF">
    <w:altName w:val="Times New Roman"/>
    <w:panose1 w:val="00000000000000000000"/>
    <w:charset w:val="00"/>
    <w:family w:val="auto"/>
    <w:pitch w:val="default"/>
    <w:sig w:usb0="00000000" w:usb1="00000000" w:usb2="00000000" w:usb3="00000000" w:csb0="00000097"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E52B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6"/>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47"/>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isplayBackgroundShape w:val="1"/>
  <w:bordersDoNotSurroundHeader w:val="0"/>
  <w:bordersDoNotSurroundFooter w:val="0"/>
  <w:trackRevisions w:val="1"/>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MDU4MmI5YjUzNzMzNTMzNWNjOGNjN2U1NzA5MTIifQ=="/>
  </w:docVars>
  <w:rsids>
    <w:rsidRoot w:val="00BD5ED0"/>
    <w:rsid w:val="00005B73"/>
    <w:rsid w:val="00012BFA"/>
    <w:rsid w:val="00045122"/>
    <w:rsid w:val="000503CE"/>
    <w:rsid w:val="000535B8"/>
    <w:rsid w:val="00055419"/>
    <w:rsid w:val="000616CD"/>
    <w:rsid w:val="00063F50"/>
    <w:rsid w:val="0006598B"/>
    <w:rsid w:val="0007421E"/>
    <w:rsid w:val="000742A1"/>
    <w:rsid w:val="00074383"/>
    <w:rsid w:val="00077653"/>
    <w:rsid w:val="000930FE"/>
    <w:rsid w:val="000941B8"/>
    <w:rsid w:val="000A0257"/>
    <w:rsid w:val="000A0DFB"/>
    <w:rsid w:val="000B504D"/>
    <w:rsid w:val="000B72CC"/>
    <w:rsid w:val="000B79D1"/>
    <w:rsid w:val="000B7FE4"/>
    <w:rsid w:val="000C0834"/>
    <w:rsid w:val="000C2B30"/>
    <w:rsid w:val="000C2D95"/>
    <w:rsid w:val="000C327D"/>
    <w:rsid w:val="000C3723"/>
    <w:rsid w:val="000C4264"/>
    <w:rsid w:val="000D2A43"/>
    <w:rsid w:val="000D2D57"/>
    <w:rsid w:val="000D4735"/>
    <w:rsid w:val="000D6353"/>
    <w:rsid w:val="000E125A"/>
    <w:rsid w:val="000E581E"/>
    <w:rsid w:val="000F0538"/>
    <w:rsid w:val="000F2427"/>
    <w:rsid w:val="000F2FC6"/>
    <w:rsid w:val="000F4060"/>
    <w:rsid w:val="000F575A"/>
    <w:rsid w:val="0010706E"/>
    <w:rsid w:val="00117A72"/>
    <w:rsid w:val="0012090D"/>
    <w:rsid w:val="00120942"/>
    <w:rsid w:val="00121271"/>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6C"/>
    <w:rsid w:val="002368CE"/>
    <w:rsid w:val="00236E54"/>
    <w:rsid w:val="00237233"/>
    <w:rsid w:val="0024024A"/>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0F1C"/>
    <w:rsid w:val="002B7214"/>
    <w:rsid w:val="002C357D"/>
    <w:rsid w:val="002C3587"/>
    <w:rsid w:val="002C772D"/>
    <w:rsid w:val="002D3639"/>
    <w:rsid w:val="002E2198"/>
    <w:rsid w:val="002E2C71"/>
    <w:rsid w:val="002E59B0"/>
    <w:rsid w:val="002E6516"/>
    <w:rsid w:val="002F109A"/>
    <w:rsid w:val="002F1157"/>
    <w:rsid w:val="002F3749"/>
    <w:rsid w:val="002F3DE0"/>
    <w:rsid w:val="003039A2"/>
    <w:rsid w:val="0031154B"/>
    <w:rsid w:val="0031424A"/>
    <w:rsid w:val="00314845"/>
    <w:rsid w:val="00327DE2"/>
    <w:rsid w:val="00327FC7"/>
    <w:rsid w:val="00331421"/>
    <w:rsid w:val="0033731E"/>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36EC9"/>
    <w:rsid w:val="004407A6"/>
    <w:rsid w:val="004444E8"/>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0326"/>
    <w:rsid w:val="004B145E"/>
    <w:rsid w:val="004B210A"/>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D6D"/>
    <w:rsid w:val="00610E99"/>
    <w:rsid w:val="00611986"/>
    <w:rsid w:val="006155F4"/>
    <w:rsid w:val="00624134"/>
    <w:rsid w:val="0063300F"/>
    <w:rsid w:val="00633DF9"/>
    <w:rsid w:val="00635B18"/>
    <w:rsid w:val="00640CD1"/>
    <w:rsid w:val="0065355D"/>
    <w:rsid w:val="006778F7"/>
    <w:rsid w:val="00677B79"/>
    <w:rsid w:val="00681EC9"/>
    <w:rsid w:val="006942F8"/>
    <w:rsid w:val="0069444D"/>
    <w:rsid w:val="006A2355"/>
    <w:rsid w:val="006A260A"/>
    <w:rsid w:val="006A33C7"/>
    <w:rsid w:val="006A736D"/>
    <w:rsid w:val="006B3ECB"/>
    <w:rsid w:val="006B507A"/>
    <w:rsid w:val="006C19C7"/>
    <w:rsid w:val="006C1DD0"/>
    <w:rsid w:val="006C627E"/>
    <w:rsid w:val="006C65B6"/>
    <w:rsid w:val="006D2C51"/>
    <w:rsid w:val="006D2E24"/>
    <w:rsid w:val="006D3754"/>
    <w:rsid w:val="006D4357"/>
    <w:rsid w:val="006D7153"/>
    <w:rsid w:val="006E0309"/>
    <w:rsid w:val="006E0C5E"/>
    <w:rsid w:val="006E5858"/>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64106"/>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02CE"/>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2CDC"/>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57C2D"/>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27258"/>
    <w:rsid w:val="00A3020E"/>
    <w:rsid w:val="00A31649"/>
    <w:rsid w:val="00A326B8"/>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6AE"/>
    <w:rsid w:val="00A87C81"/>
    <w:rsid w:val="00A95B2F"/>
    <w:rsid w:val="00A96A59"/>
    <w:rsid w:val="00AB24A2"/>
    <w:rsid w:val="00AB4398"/>
    <w:rsid w:val="00AB7DBB"/>
    <w:rsid w:val="00AC1ADC"/>
    <w:rsid w:val="00AC2E6F"/>
    <w:rsid w:val="00AC3A72"/>
    <w:rsid w:val="00AD016B"/>
    <w:rsid w:val="00AD0A3F"/>
    <w:rsid w:val="00AD0D60"/>
    <w:rsid w:val="00AD137A"/>
    <w:rsid w:val="00AD2C6E"/>
    <w:rsid w:val="00AD445F"/>
    <w:rsid w:val="00AD4A1F"/>
    <w:rsid w:val="00AE6CCF"/>
    <w:rsid w:val="00AF04F6"/>
    <w:rsid w:val="00AF089C"/>
    <w:rsid w:val="00AF20AC"/>
    <w:rsid w:val="00AF62A5"/>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1912"/>
    <w:rsid w:val="00B72957"/>
    <w:rsid w:val="00B73956"/>
    <w:rsid w:val="00B75E79"/>
    <w:rsid w:val="00B8143C"/>
    <w:rsid w:val="00B82C95"/>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BF6216"/>
    <w:rsid w:val="00C11DC8"/>
    <w:rsid w:val="00C139AD"/>
    <w:rsid w:val="00C1766C"/>
    <w:rsid w:val="00C265B3"/>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039F1"/>
    <w:rsid w:val="00D1361C"/>
    <w:rsid w:val="00D22FB3"/>
    <w:rsid w:val="00D2717E"/>
    <w:rsid w:val="00D320E7"/>
    <w:rsid w:val="00D3269F"/>
    <w:rsid w:val="00D36416"/>
    <w:rsid w:val="00D37F48"/>
    <w:rsid w:val="00D40845"/>
    <w:rsid w:val="00D418BC"/>
    <w:rsid w:val="00D44B25"/>
    <w:rsid w:val="00D45A27"/>
    <w:rsid w:val="00D46E62"/>
    <w:rsid w:val="00D52541"/>
    <w:rsid w:val="00D54BA0"/>
    <w:rsid w:val="00D608D9"/>
    <w:rsid w:val="00D634C8"/>
    <w:rsid w:val="00D66E24"/>
    <w:rsid w:val="00D7384E"/>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0A3C"/>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3FC8"/>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2AAC"/>
    <w:rsid w:val="00F666EF"/>
    <w:rsid w:val="00F67143"/>
    <w:rsid w:val="00F74868"/>
    <w:rsid w:val="00F77685"/>
    <w:rsid w:val="00F81417"/>
    <w:rsid w:val="00F854B9"/>
    <w:rsid w:val="00F877C0"/>
    <w:rsid w:val="00F938F5"/>
    <w:rsid w:val="00F94850"/>
    <w:rsid w:val="00F94EA1"/>
    <w:rsid w:val="00F97E28"/>
    <w:rsid w:val="00FA6653"/>
    <w:rsid w:val="00FB1DFB"/>
    <w:rsid w:val="00FB50A2"/>
    <w:rsid w:val="00FB74E0"/>
    <w:rsid w:val="00FC5B58"/>
    <w:rsid w:val="00FC7D84"/>
    <w:rsid w:val="00FD24E2"/>
    <w:rsid w:val="00FD50D4"/>
    <w:rsid w:val="00FD6E74"/>
    <w:rsid w:val="00FE0424"/>
    <w:rsid w:val="00FE3E85"/>
    <w:rsid w:val="00FF2CE6"/>
    <w:rsid w:val="00FF40A5"/>
    <w:rsid w:val="00FF64ED"/>
    <w:rsid w:val="0166774B"/>
    <w:rsid w:val="02D6144C"/>
    <w:rsid w:val="02DC57C6"/>
    <w:rsid w:val="02DD56C1"/>
    <w:rsid w:val="030D7299"/>
    <w:rsid w:val="03446B17"/>
    <w:rsid w:val="035B150A"/>
    <w:rsid w:val="035D4211"/>
    <w:rsid w:val="037D5EE3"/>
    <w:rsid w:val="03CC780E"/>
    <w:rsid w:val="03D346AC"/>
    <w:rsid w:val="04CF6E29"/>
    <w:rsid w:val="059366CF"/>
    <w:rsid w:val="05D00163"/>
    <w:rsid w:val="060D3D6A"/>
    <w:rsid w:val="077C34B8"/>
    <w:rsid w:val="07A209C4"/>
    <w:rsid w:val="080D26DA"/>
    <w:rsid w:val="08284245"/>
    <w:rsid w:val="086F1260"/>
    <w:rsid w:val="0880226D"/>
    <w:rsid w:val="089F2BDE"/>
    <w:rsid w:val="08BB2505"/>
    <w:rsid w:val="098C6D82"/>
    <w:rsid w:val="099A07E1"/>
    <w:rsid w:val="09E64446"/>
    <w:rsid w:val="0A9B4FED"/>
    <w:rsid w:val="0B0C0A79"/>
    <w:rsid w:val="0B451F6A"/>
    <w:rsid w:val="0BB2311F"/>
    <w:rsid w:val="0C6F4C8D"/>
    <w:rsid w:val="0D0E0EB6"/>
    <w:rsid w:val="0D6C19B0"/>
    <w:rsid w:val="0DE142CB"/>
    <w:rsid w:val="0FD05024"/>
    <w:rsid w:val="0FDC1CDC"/>
    <w:rsid w:val="10223C48"/>
    <w:rsid w:val="112245AE"/>
    <w:rsid w:val="11E26596"/>
    <w:rsid w:val="12206B66"/>
    <w:rsid w:val="12475EA9"/>
    <w:rsid w:val="12AF50E7"/>
    <w:rsid w:val="133360BD"/>
    <w:rsid w:val="133B0072"/>
    <w:rsid w:val="13AA767A"/>
    <w:rsid w:val="13F641DB"/>
    <w:rsid w:val="14227D30"/>
    <w:rsid w:val="146E4633"/>
    <w:rsid w:val="150412EA"/>
    <w:rsid w:val="160523BF"/>
    <w:rsid w:val="16E3076D"/>
    <w:rsid w:val="16F308A9"/>
    <w:rsid w:val="171438BA"/>
    <w:rsid w:val="17230955"/>
    <w:rsid w:val="182770BA"/>
    <w:rsid w:val="18863017"/>
    <w:rsid w:val="18AC6D73"/>
    <w:rsid w:val="18D479E5"/>
    <w:rsid w:val="1A7F3DD2"/>
    <w:rsid w:val="1A8A76C7"/>
    <w:rsid w:val="1AD936DC"/>
    <w:rsid w:val="1B4716B4"/>
    <w:rsid w:val="1C08419D"/>
    <w:rsid w:val="1D4D5FFD"/>
    <w:rsid w:val="1D855A12"/>
    <w:rsid w:val="1DAD0DD7"/>
    <w:rsid w:val="1E023CD5"/>
    <w:rsid w:val="1F7A0970"/>
    <w:rsid w:val="1FB20FD7"/>
    <w:rsid w:val="20803F33"/>
    <w:rsid w:val="209E2C67"/>
    <w:rsid w:val="216F32CA"/>
    <w:rsid w:val="22124112"/>
    <w:rsid w:val="23BE7468"/>
    <w:rsid w:val="23D07304"/>
    <w:rsid w:val="23F57352"/>
    <w:rsid w:val="24662DA2"/>
    <w:rsid w:val="249A7996"/>
    <w:rsid w:val="25A57875"/>
    <w:rsid w:val="267E2359"/>
    <w:rsid w:val="26BC7CBC"/>
    <w:rsid w:val="27447ED5"/>
    <w:rsid w:val="275F3A77"/>
    <w:rsid w:val="27F438F0"/>
    <w:rsid w:val="284F0253"/>
    <w:rsid w:val="28644870"/>
    <w:rsid w:val="2AE949DF"/>
    <w:rsid w:val="2B3B474B"/>
    <w:rsid w:val="2B6A14C8"/>
    <w:rsid w:val="2B8D044E"/>
    <w:rsid w:val="2BD638DC"/>
    <w:rsid w:val="2BF55032"/>
    <w:rsid w:val="2C016BB8"/>
    <w:rsid w:val="2D615106"/>
    <w:rsid w:val="2D77461B"/>
    <w:rsid w:val="2D857CDE"/>
    <w:rsid w:val="2DB37383"/>
    <w:rsid w:val="2DFF3115"/>
    <w:rsid w:val="2E101916"/>
    <w:rsid w:val="2E1D3C7A"/>
    <w:rsid w:val="2E400C5F"/>
    <w:rsid w:val="2E5209E3"/>
    <w:rsid w:val="2EB01AFE"/>
    <w:rsid w:val="2EEA3421"/>
    <w:rsid w:val="2FAF5806"/>
    <w:rsid w:val="300D2403"/>
    <w:rsid w:val="300E1ED4"/>
    <w:rsid w:val="30592C7B"/>
    <w:rsid w:val="30B20467"/>
    <w:rsid w:val="30D1119A"/>
    <w:rsid w:val="30F12F4C"/>
    <w:rsid w:val="3112402E"/>
    <w:rsid w:val="313D3E38"/>
    <w:rsid w:val="32611BF0"/>
    <w:rsid w:val="3269479A"/>
    <w:rsid w:val="32D62AE0"/>
    <w:rsid w:val="335A2B08"/>
    <w:rsid w:val="33777759"/>
    <w:rsid w:val="33A83294"/>
    <w:rsid w:val="33D057FD"/>
    <w:rsid w:val="34011E26"/>
    <w:rsid w:val="341B4D23"/>
    <w:rsid w:val="35A2149A"/>
    <w:rsid w:val="36A81FB2"/>
    <w:rsid w:val="36CE3D1B"/>
    <w:rsid w:val="3722158D"/>
    <w:rsid w:val="375E09FC"/>
    <w:rsid w:val="37ED1634"/>
    <w:rsid w:val="38525FA9"/>
    <w:rsid w:val="38E555E6"/>
    <w:rsid w:val="39003F1D"/>
    <w:rsid w:val="39276876"/>
    <w:rsid w:val="392B2930"/>
    <w:rsid w:val="39544BFD"/>
    <w:rsid w:val="3A665744"/>
    <w:rsid w:val="3ABB388B"/>
    <w:rsid w:val="3AC853CC"/>
    <w:rsid w:val="3C582CD8"/>
    <w:rsid w:val="3C8C2585"/>
    <w:rsid w:val="3D0B23C6"/>
    <w:rsid w:val="3D8D4FBD"/>
    <w:rsid w:val="3DD70AAE"/>
    <w:rsid w:val="3E094E14"/>
    <w:rsid w:val="3E2546CD"/>
    <w:rsid w:val="3EE86C92"/>
    <w:rsid w:val="3EFA73C7"/>
    <w:rsid w:val="40531C58"/>
    <w:rsid w:val="41192D98"/>
    <w:rsid w:val="413E5CD9"/>
    <w:rsid w:val="41485DDC"/>
    <w:rsid w:val="43425F9D"/>
    <w:rsid w:val="436C47C5"/>
    <w:rsid w:val="43E16B02"/>
    <w:rsid w:val="43F465D0"/>
    <w:rsid w:val="442A053D"/>
    <w:rsid w:val="44440739"/>
    <w:rsid w:val="446F65B8"/>
    <w:rsid w:val="44DE5AD1"/>
    <w:rsid w:val="44ED2FF0"/>
    <w:rsid w:val="44F057A6"/>
    <w:rsid w:val="45107F7F"/>
    <w:rsid w:val="459C5E40"/>
    <w:rsid w:val="45A95346"/>
    <w:rsid w:val="46416F41"/>
    <w:rsid w:val="46C4203A"/>
    <w:rsid w:val="46E36556"/>
    <w:rsid w:val="46F6689C"/>
    <w:rsid w:val="470E29AE"/>
    <w:rsid w:val="49CB0CCD"/>
    <w:rsid w:val="49EC2046"/>
    <w:rsid w:val="4AA610D6"/>
    <w:rsid w:val="4AD16064"/>
    <w:rsid w:val="4B0C055A"/>
    <w:rsid w:val="4C54768E"/>
    <w:rsid w:val="4C8B4A7C"/>
    <w:rsid w:val="4CE423C8"/>
    <w:rsid w:val="4CFC368B"/>
    <w:rsid w:val="4D341E7F"/>
    <w:rsid w:val="4D46216D"/>
    <w:rsid w:val="4E7D412D"/>
    <w:rsid w:val="4F086AAF"/>
    <w:rsid w:val="4F7722EA"/>
    <w:rsid w:val="4F8E2029"/>
    <w:rsid w:val="5069668A"/>
    <w:rsid w:val="50857486"/>
    <w:rsid w:val="50A83CB2"/>
    <w:rsid w:val="512B42F2"/>
    <w:rsid w:val="51566A2B"/>
    <w:rsid w:val="533013BB"/>
    <w:rsid w:val="538E5DEC"/>
    <w:rsid w:val="54646C7A"/>
    <w:rsid w:val="56567826"/>
    <w:rsid w:val="56D076DF"/>
    <w:rsid w:val="56E34736"/>
    <w:rsid w:val="56FB15A3"/>
    <w:rsid w:val="572C3C94"/>
    <w:rsid w:val="57806BBC"/>
    <w:rsid w:val="57E8026A"/>
    <w:rsid w:val="58963DA7"/>
    <w:rsid w:val="58D52445"/>
    <w:rsid w:val="592C3305"/>
    <w:rsid w:val="5A2C7551"/>
    <w:rsid w:val="5A400720"/>
    <w:rsid w:val="5B74323E"/>
    <w:rsid w:val="5BB80D25"/>
    <w:rsid w:val="5CD36914"/>
    <w:rsid w:val="5CF4139A"/>
    <w:rsid w:val="5D693C9C"/>
    <w:rsid w:val="5DE973D6"/>
    <w:rsid w:val="5E1A530E"/>
    <w:rsid w:val="5E8D2D21"/>
    <w:rsid w:val="5EBD1212"/>
    <w:rsid w:val="60D85980"/>
    <w:rsid w:val="623F329A"/>
    <w:rsid w:val="625069DB"/>
    <w:rsid w:val="62695E27"/>
    <w:rsid w:val="628242DE"/>
    <w:rsid w:val="62DE530A"/>
    <w:rsid w:val="636127C3"/>
    <w:rsid w:val="63B144A2"/>
    <w:rsid w:val="64016C13"/>
    <w:rsid w:val="6541100E"/>
    <w:rsid w:val="654C0BA8"/>
    <w:rsid w:val="663721DF"/>
    <w:rsid w:val="664352EB"/>
    <w:rsid w:val="66C43858"/>
    <w:rsid w:val="672079BD"/>
    <w:rsid w:val="683E7EE4"/>
    <w:rsid w:val="696610E4"/>
    <w:rsid w:val="6A1110F5"/>
    <w:rsid w:val="6A83721D"/>
    <w:rsid w:val="6AE21101"/>
    <w:rsid w:val="6B0C207B"/>
    <w:rsid w:val="6B4F3B9E"/>
    <w:rsid w:val="6BD63153"/>
    <w:rsid w:val="6C5B55DC"/>
    <w:rsid w:val="6C7D4FD1"/>
    <w:rsid w:val="6CAE03DD"/>
    <w:rsid w:val="6CB539F5"/>
    <w:rsid w:val="6CE56E6B"/>
    <w:rsid w:val="6D032DAA"/>
    <w:rsid w:val="6E005A26"/>
    <w:rsid w:val="6E6329C5"/>
    <w:rsid w:val="6EAB5BC9"/>
    <w:rsid w:val="6EC15CE0"/>
    <w:rsid w:val="6EEE75B5"/>
    <w:rsid w:val="6EFF345A"/>
    <w:rsid w:val="6F0E41D6"/>
    <w:rsid w:val="6F6D60C5"/>
    <w:rsid w:val="6FB4540B"/>
    <w:rsid w:val="70C73255"/>
    <w:rsid w:val="71610FBE"/>
    <w:rsid w:val="71BB16BD"/>
    <w:rsid w:val="725008FF"/>
    <w:rsid w:val="72760778"/>
    <w:rsid w:val="743104E3"/>
    <w:rsid w:val="74320C3C"/>
    <w:rsid w:val="74513162"/>
    <w:rsid w:val="75431AF8"/>
    <w:rsid w:val="757B75BC"/>
    <w:rsid w:val="75DC381F"/>
    <w:rsid w:val="76A665D3"/>
    <w:rsid w:val="77C9281F"/>
    <w:rsid w:val="78BD1F9D"/>
    <w:rsid w:val="79201CE1"/>
    <w:rsid w:val="79B14724"/>
    <w:rsid w:val="7A5C10F0"/>
    <w:rsid w:val="7B1253A7"/>
    <w:rsid w:val="7B3E0A41"/>
    <w:rsid w:val="7C323980"/>
    <w:rsid w:val="7C8E42E9"/>
    <w:rsid w:val="7CB76ED8"/>
    <w:rsid w:val="7D5F712A"/>
    <w:rsid w:val="7D69723F"/>
    <w:rsid w:val="7DAE6A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qFormat="1" w:unhideWhenUsed="0" w:uiPriority="39" w:semiHidden="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6"/>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8"/>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29"/>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styleId="7">
    <w:name w:val="Normal Indent"/>
    <w:basedOn w:val="1"/>
    <w:link w:val="46"/>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30"/>
    <w:qFormat/>
    <w:uiPriority w:val="99"/>
    <w:rPr>
      <w:rFonts w:ascii="宋体"/>
      <w:sz w:val="18"/>
      <w:szCs w:val="18"/>
    </w:rPr>
  </w:style>
  <w:style w:type="paragraph" w:styleId="9">
    <w:name w:val="annotation text"/>
    <w:basedOn w:val="1"/>
    <w:link w:val="31"/>
    <w:qFormat/>
    <w:uiPriority w:val="99"/>
    <w:pPr>
      <w:jc w:val="left"/>
    </w:pPr>
  </w:style>
  <w:style w:type="paragraph" w:styleId="10">
    <w:name w:val="Body Text"/>
    <w:basedOn w:val="1"/>
    <w:next w:val="1"/>
    <w:link w:val="32"/>
    <w:qFormat/>
    <w:uiPriority w:val="99"/>
    <w:pPr>
      <w:spacing w:after="120"/>
    </w:pPr>
  </w:style>
  <w:style w:type="paragraph" w:styleId="11">
    <w:name w:val="Plain Text"/>
    <w:basedOn w:val="1"/>
    <w:link w:val="48"/>
    <w:qFormat/>
    <w:uiPriority w:val="99"/>
    <w:pPr>
      <w:tabs>
        <w:tab w:val="left" w:pos="-105"/>
      </w:tabs>
      <w:spacing w:line="440" w:lineRule="exact"/>
      <w:ind w:right="-147" w:rightChars="-70"/>
      <w:outlineLvl w:val="2"/>
    </w:pPr>
    <w:rPr>
      <w:rFonts w:ascii="宋体" w:hAnsi="Courier New"/>
      <w:sz w:val="24"/>
      <w:szCs w:val="21"/>
    </w:rPr>
  </w:style>
  <w:style w:type="paragraph" w:styleId="12">
    <w:name w:val="Balloon Text"/>
    <w:basedOn w:val="1"/>
    <w:link w:val="33"/>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sz w:val="18"/>
      <w:szCs w:val="18"/>
    </w:rPr>
  </w:style>
  <w:style w:type="paragraph" w:styleId="14">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toc 6"/>
    <w:basedOn w:val="1"/>
    <w:next w:val="1"/>
    <w:qFormat/>
    <w:locked/>
    <w:uiPriority w:val="39"/>
    <w:pPr>
      <w:ind w:left="1200"/>
    </w:pPr>
    <w:rPr>
      <w:rFonts w:ascii="Calibri" w:cs="Calibri"/>
      <w:sz w:val="18"/>
      <w:szCs w:val="18"/>
    </w:r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9"/>
    <w:next w:val="9"/>
    <w:link w:val="53"/>
    <w:semiHidden/>
    <w:qFormat/>
    <w:uiPriority w:val="99"/>
    <w:rPr>
      <w:b/>
      <w:bCs/>
    </w:rPr>
  </w:style>
  <w:style w:type="paragraph" w:styleId="19">
    <w:name w:val="Body Text First Indent"/>
    <w:basedOn w:val="10"/>
    <w:link w:val="36"/>
    <w:qFormat/>
    <w:uiPriority w:val="99"/>
    <w:pPr>
      <w:widowControl/>
      <w:ind w:firstLine="420" w:firstLineChars="100"/>
    </w:pPr>
    <w:rPr>
      <w:rFonts w:ascii="Calibri" w:hAnsi="Calibri" w:cs="宋体"/>
      <w:szCs w:val="22"/>
    </w:r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Hyperlink"/>
    <w:basedOn w:val="22"/>
    <w:qFormat/>
    <w:uiPriority w:val="99"/>
    <w:rPr>
      <w:rFonts w:cs="Times New Roman"/>
      <w:color w:val="0000FF"/>
      <w:u w:val="single"/>
    </w:rPr>
  </w:style>
  <w:style w:type="character" w:styleId="25">
    <w:name w:val="annotation reference"/>
    <w:basedOn w:val="22"/>
    <w:qFormat/>
    <w:uiPriority w:val="99"/>
    <w:rPr>
      <w:rFonts w:cs="Times New Roman"/>
      <w:sz w:val="21"/>
      <w:szCs w:val="21"/>
    </w:rPr>
  </w:style>
  <w:style w:type="character" w:customStyle="1" w:styleId="26">
    <w:name w:val="标题 1 Char"/>
    <w:basedOn w:val="22"/>
    <w:link w:val="3"/>
    <w:qFormat/>
    <w:locked/>
    <w:uiPriority w:val="99"/>
    <w:rPr>
      <w:rFonts w:ascii="Times New Roman" w:hAnsi="Times New Roman" w:eastAsia="宋体" w:cs="Times New Roman"/>
      <w:b/>
      <w:bCs/>
      <w:kern w:val="44"/>
      <w:sz w:val="44"/>
      <w:szCs w:val="44"/>
    </w:rPr>
  </w:style>
  <w:style w:type="character" w:customStyle="1" w:styleId="27">
    <w:name w:val="标题 2 Char"/>
    <w:basedOn w:val="22"/>
    <w:link w:val="4"/>
    <w:qFormat/>
    <w:locked/>
    <w:uiPriority w:val="99"/>
    <w:rPr>
      <w:rFonts w:ascii="Cambria" w:hAnsi="Cambria" w:eastAsia="宋体" w:cs="Times New Roman"/>
      <w:b/>
      <w:bCs/>
      <w:kern w:val="2"/>
      <w:sz w:val="32"/>
      <w:szCs w:val="32"/>
    </w:rPr>
  </w:style>
  <w:style w:type="character" w:customStyle="1" w:styleId="28">
    <w:name w:val="标题 3 Char"/>
    <w:basedOn w:val="22"/>
    <w:link w:val="5"/>
    <w:qFormat/>
    <w:locked/>
    <w:uiPriority w:val="99"/>
    <w:rPr>
      <w:rFonts w:eastAsia="宋体" w:cs="Times New Roman"/>
      <w:b/>
      <w:sz w:val="32"/>
    </w:rPr>
  </w:style>
  <w:style w:type="character" w:customStyle="1" w:styleId="29">
    <w:name w:val="标题 4 Char"/>
    <w:basedOn w:val="22"/>
    <w:link w:val="6"/>
    <w:qFormat/>
    <w:locked/>
    <w:uiPriority w:val="99"/>
    <w:rPr>
      <w:rFonts w:ascii="Arial" w:hAnsi="Arial" w:eastAsia="黑体" w:cs="Times New Roman"/>
      <w:b/>
      <w:bCs/>
      <w:kern w:val="2"/>
      <w:sz w:val="28"/>
      <w:szCs w:val="28"/>
    </w:rPr>
  </w:style>
  <w:style w:type="character" w:customStyle="1" w:styleId="30">
    <w:name w:val="文档结构图 Char"/>
    <w:basedOn w:val="22"/>
    <w:link w:val="8"/>
    <w:qFormat/>
    <w:locked/>
    <w:uiPriority w:val="99"/>
    <w:rPr>
      <w:rFonts w:ascii="宋体" w:hAnsi="Times New Roman" w:eastAsia="宋体" w:cs="Times New Roman"/>
      <w:kern w:val="2"/>
      <w:sz w:val="18"/>
      <w:szCs w:val="18"/>
    </w:rPr>
  </w:style>
  <w:style w:type="character" w:customStyle="1" w:styleId="31">
    <w:name w:val="批注文字 Char"/>
    <w:basedOn w:val="22"/>
    <w:link w:val="9"/>
    <w:qFormat/>
    <w:locked/>
    <w:uiPriority w:val="99"/>
    <w:rPr>
      <w:rFonts w:ascii="Times New Roman" w:hAnsi="Times New Roman" w:cs="Times New Roman"/>
      <w:kern w:val="2"/>
      <w:sz w:val="21"/>
    </w:rPr>
  </w:style>
  <w:style w:type="character" w:customStyle="1" w:styleId="32">
    <w:name w:val="正文文本 Char"/>
    <w:basedOn w:val="22"/>
    <w:link w:val="10"/>
    <w:qFormat/>
    <w:locked/>
    <w:uiPriority w:val="99"/>
    <w:rPr>
      <w:rFonts w:ascii="Times New Roman" w:hAnsi="Times New Roman" w:eastAsia="宋体" w:cs="Times New Roman"/>
      <w:sz w:val="20"/>
      <w:szCs w:val="20"/>
    </w:rPr>
  </w:style>
  <w:style w:type="character" w:customStyle="1" w:styleId="33">
    <w:name w:val="批注框文本 Char"/>
    <w:basedOn w:val="22"/>
    <w:link w:val="12"/>
    <w:qFormat/>
    <w:locked/>
    <w:uiPriority w:val="99"/>
    <w:rPr>
      <w:rFonts w:ascii="Times New Roman" w:hAnsi="Times New Roman" w:eastAsia="宋体" w:cs="Times New Roman"/>
      <w:kern w:val="2"/>
      <w:sz w:val="18"/>
      <w:szCs w:val="18"/>
    </w:rPr>
  </w:style>
  <w:style w:type="character" w:customStyle="1" w:styleId="34">
    <w:name w:val="页脚 Char"/>
    <w:basedOn w:val="22"/>
    <w:link w:val="13"/>
    <w:qFormat/>
    <w:locked/>
    <w:uiPriority w:val="99"/>
    <w:rPr>
      <w:rFonts w:ascii="Times New Roman" w:hAnsi="Times New Roman" w:eastAsia="宋体" w:cs="Times New Roman"/>
      <w:sz w:val="18"/>
      <w:szCs w:val="18"/>
    </w:rPr>
  </w:style>
  <w:style w:type="character" w:customStyle="1" w:styleId="35">
    <w:name w:val="页眉 Char"/>
    <w:basedOn w:val="22"/>
    <w:link w:val="14"/>
    <w:qFormat/>
    <w:locked/>
    <w:uiPriority w:val="99"/>
    <w:rPr>
      <w:rFonts w:ascii="Times New Roman" w:hAnsi="Times New Roman" w:eastAsia="宋体" w:cs="Times New Roman"/>
      <w:sz w:val="18"/>
      <w:szCs w:val="18"/>
    </w:rPr>
  </w:style>
  <w:style w:type="character" w:customStyle="1" w:styleId="36">
    <w:name w:val="正文首行缩进 Char"/>
    <w:basedOn w:val="32"/>
    <w:link w:val="19"/>
    <w:qFormat/>
    <w:locked/>
    <w:uiPriority w:val="99"/>
    <w:rPr>
      <w:rFonts w:ascii="Times New Roman" w:hAnsi="Times New Roman" w:eastAsia="宋体" w:cs="Times New Roman"/>
      <w:sz w:val="20"/>
      <w:szCs w:val="20"/>
    </w:rPr>
  </w:style>
  <w:style w:type="character" w:customStyle="1" w:styleId="37">
    <w:name w:val="正文缩进2格 Char"/>
    <w:link w:val="38"/>
    <w:qFormat/>
    <w:locked/>
    <w:uiPriority w:val="99"/>
    <w:rPr>
      <w:rFonts w:ascii="仿宋_GB2312" w:hAnsi="宋体" w:eastAsia="仿宋_GB2312"/>
      <w:sz w:val="31"/>
    </w:rPr>
  </w:style>
  <w:style w:type="paragraph" w:customStyle="1" w:styleId="38">
    <w:name w:val="正文缩进2格"/>
    <w:basedOn w:val="1"/>
    <w:link w:val="37"/>
    <w:qFormat/>
    <w:uiPriority w:val="99"/>
    <w:pPr>
      <w:spacing w:line="600" w:lineRule="exact"/>
      <w:ind w:firstLine="639" w:firstLineChars="206"/>
    </w:pPr>
    <w:rPr>
      <w:rFonts w:ascii="仿宋_GB2312" w:hAnsi="宋体" w:eastAsia="仿宋_GB2312"/>
      <w:kern w:val="0"/>
      <w:sz w:val="31"/>
      <w:szCs w:val="31"/>
    </w:rPr>
  </w:style>
  <w:style w:type="paragraph" w:customStyle="1" w:styleId="39">
    <w:name w:val="列出段落1"/>
    <w:basedOn w:val="1"/>
    <w:qFormat/>
    <w:uiPriority w:val="99"/>
    <w:pPr>
      <w:ind w:firstLine="420" w:firstLineChars="200"/>
    </w:pPr>
  </w:style>
  <w:style w:type="paragraph" w:customStyle="1" w:styleId="40">
    <w:name w:val="列出段落2"/>
    <w:basedOn w:val="1"/>
    <w:qFormat/>
    <w:uiPriority w:val="99"/>
    <w:pPr>
      <w:ind w:firstLine="420" w:firstLineChars="200"/>
    </w:pPr>
  </w:style>
  <w:style w:type="paragraph" w:styleId="41">
    <w:name w:val="List Paragraph"/>
    <w:basedOn w:val="1"/>
    <w:qFormat/>
    <w:uiPriority w:val="99"/>
    <w:pPr>
      <w:ind w:firstLine="420" w:firstLineChars="200"/>
    </w:pPr>
  </w:style>
  <w:style w:type="character" w:customStyle="1" w:styleId="42">
    <w:name w:val="fontstyle01"/>
    <w:basedOn w:val="22"/>
    <w:qFormat/>
    <w:uiPriority w:val="99"/>
    <w:rPr>
      <w:rFonts w:ascii="仿宋" w:hAnsi="仿宋" w:eastAsia="仿宋" w:cs="Times New Roman"/>
      <w:color w:val="000000"/>
      <w:sz w:val="28"/>
      <w:szCs w:val="28"/>
    </w:rPr>
  </w:style>
  <w:style w:type="character" w:customStyle="1" w:styleId="43">
    <w:name w:val="！正文 Char"/>
    <w:link w:val="44"/>
    <w:qFormat/>
    <w:locked/>
    <w:uiPriority w:val="99"/>
    <w:rPr>
      <w:rFonts w:ascii="Arial" w:hAnsi="Arial"/>
      <w:sz w:val="24"/>
    </w:rPr>
  </w:style>
  <w:style w:type="paragraph" w:customStyle="1" w:styleId="44">
    <w:name w:val="！正文"/>
    <w:basedOn w:val="1"/>
    <w:link w:val="43"/>
    <w:qFormat/>
    <w:uiPriority w:val="99"/>
    <w:pPr>
      <w:spacing w:line="360" w:lineRule="auto"/>
      <w:ind w:firstLine="200" w:firstLineChars="200"/>
    </w:pPr>
    <w:rPr>
      <w:rFonts w:ascii="Arial" w:hAnsi="Arial" w:eastAsia="等线"/>
      <w:kern w:val="0"/>
      <w:sz w:val="24"/>
      <w:szCs w:val="24"/>
    </w:rPr>
  </w:style>
  <w:style w:type="paragraph" w:customStyle="1" w:styleId="45">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6">
    <w:name w:val="正文缩进 Char"/>
    <w:link w:val="7"/>
    <w:qFormat/>
    <w:locked/>
    <w:uiPriority w:val="99"/>
    <w:rPr>
      <w:sz w:val="24"/>
    </w:rPr>
  </w:style>
  <w:style w:type="paragraph" w:customStyle="1" w:styleId="47">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48">
    <w:name w:val="纯文本 Char"/>
    <w:basedOn w:val="22"/>
    <w:link w:val="11"/>
    <w:qFormat/>
    <w:locked/>
    <w:uiPriority w:val="99"/>
    <w:rPr>
      <w:rFonts w:ascii="宋体" w:hAnsi="Courier New" w:eastAsia="宋体" w:cs="Times New Roman"/>
      <w:kern w:val="2"/>
      <w:sz w:val="21"/>
      <w:szCs w:val="21"/>
    </w:rPr>
  </w:style>
  <w:style w:type="character" w:customStyle="1" w:styleId="49">
    <w:name w:val="未处理的提及1"/>
    <w:basedOn w:val="22"/>
    <w:semiHidden/>
    <w:qFormat/>
    <w:uiPriority w:val="99"/>
    <w:rPr>
      <w:rFonts w:cs="Times New Roman"/>
      <w:color w:val="605E5C"/>
      <w:shd w:val="clear" w:color="auto" w:fill="E1DFDD"/>
    </w:rPr>
  </w:style>
  <w:style w:type="paragraph" w:customStyle="1" w:styleId="50">
    <w:name w:val="样式"/>
    <w:basedOn w:val="1"/>
    <w:next w:val="41"/>
    <w:qFormat/>
    <w:uiPriority w:val="99"/>
    <w:pPr>
      <w:ind w:firstLine="420" w:firstLineChars="200"/>
    </w:pPr>
    <w:rPr>
      <w:rFonts w:ascii="Calibri" w:hAnsi="Calibri"/>
      <w:szCs w:val="22"/>
    </w:rPr>
  </w:style>
  <w:style w:type="character" w:customStyle="1" w:styleId="51">
    <w:name w:val="Body Text Indent 2 Char Char"/>
    <w:link w:val="52"/>
    <w:qFormat/>
    <w:locked/>
    <w:uiPriority w:val="99"/>
  </w:style>
  <w:style w:type="paragraph" w:customStyle="1" w:styleId="52">
    <w:name w:val="正文文本缩进 21"/>
    <w:basedOn w:val="1"/>
    <w:link w:val="51"/>
    <w:qFormat/>
    <w:uiPriority w:val="99"/>
    <w:pPr>
      <w:adjustRightInd w:val="0"/>
      <w:spacing w:line="480" w:lineRule="auto"/>
      <w:ind w:firstLine="540"/>
    </w:pPr>
    <w:rPr>
      <w:rFonts w:ascii="Calibri" w:hAnsi="Calibri" w:eastAsia="等线"/>
      <w:kern w:val="0"/>
      <w:sz w:val="20"/>
    </w:rPr>
  </w:style>
  <w:style w:type="character" w:customStyle="1" w:styleId="53">
    <w:name w:val="批注主题 Char"/>
    <w:basedOn w:val="31"/>
    <w:link w:val="18"/>
    <w:semiHidden/>
    <w:qFormat/>
    <w:locked/>
    <w:uiPriority w:val="99"/>
    <w:rPr>
      <w:rFonts w:ascii="Times New Roman" w:hAnsi="Times New Roman" w:eastAsia="宋体" w:cs="Times New Roman"/>
      <w:b/>
      <w:bCs/>
      <w:kern w:val="2"/>
      <w:sz w:val="21"/>
    </w:rPr>
  </w:style>
  <w:style w:type="character" w:customStyle="1" w:styleId="54">
    <w:name w:val="标题 4 字符"/>
    <w:basedOn w:val="22"/>
    <w:semiHidden/>
    <w:qFormat/>
    <w:uiPriority w:val="99"/>
    <w:rPr>
      <w:rFonts w:ascii="Cambria" w:hAnsi="Cambria" w:eastAsia="宋体" w:cs="Times New Roman"/>
      <w:b/>
      <w:bCs/>
      <w:kern w:val="2"/>
      <w:sz w:val="28"/>
      <w:szCs w:val="28"/>
    </w:rPr>
  </w:style>
  <w:style w:type="paragraph" w:customStyle="1" w:styleId="55">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6">
    <w:name w:val="致远要点"/>
    <w:basedOn w:val="41"/>
    <w:link w:val="57"/>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7">
    <w:name w:val="致远要点 字符"/>
    <w:basedOn w:val="22"/>
    <w:link w:val="56"/>
    <w:qFormat/>
    <w:locked/>
    <w:uiPriority w:val="99"/>
    <w:rPr>
      <w:rFonts w:ascii="黑体" w:hAnsi="黑体" w:eastAsia="黑体" w:cs="宋体"/>
      <w:kern w:val="2"/>
      <w:sz w:val="22"/>
      <w:szCs w:val="22"/>
    </w:rPr>
  </w:style>
  <w:style w:type="paragraph" w:customStyle="1" w:styleId="58">
    <w:name w:val="SANGFOR_6_正文"/>
    <w:basedOn w:val="1"/>
    <w:qFormat/>
    <w:uiPriority w:val="99"/>
    <w:pPr>
      <w:spacing w:line="360" w:lineRule="auto"/>
    </w:pPr>
    <w:rPr>
      <w:szCs w:val="24"/>
    </w:rPr>
  </w:style>
  <w:style w:type="paragraph" w:customStyle="1" w:styleId="59">
    <w:name w:val="样式 正文首行缩进 + 首行缩进:  1 字符"/>
    <w:basedOn w:val="1"/>
    <w:next w:val="1"/>
    <w:qFormat/>
    <w:uiPriority w:val="0"/>
    <w:pPr>
      <w:ind w:firstLine="200" w:firstLineChars="200"/>
    </w:pPr>
    <w:rPr>
      <w:rFonts w:cs="宋体"/>
    </w:rPr>
  </w:style>
  <w:style w:type="paragraph" w:customStyle="1" w:styleId="60">
    <w:name w:val="列表段落1"/>
    <w:basedOn w:val="1"/>
    <w:qFormat/>
    <w:uiPriority w:val="34"/>
    <w:pPr>
      <w:ind w:firstLine="420" w:firstLineChars="200"/>
    </w:pPr>
  </w:style>
  <w:style w:type="paragraph" w:customStyle="1" w:styleId="61">
    <w:name w:val="Table Paragraph"/>
    <w:basedOn w:val="1"/>
    <w:qFormat/>
    <w:uiPriority w:val="1"/>
    <w:rPr>
      <w:rFonts w:ascii="宋体" w:hAnsi="宋体" w:cs="宋体"/>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kesin.Com</Company>
  <Pages>8</Pages>
  <Words>7933</Words>
  <Characters>8342</Characters>
  <Lines>70</Lines>
  <Paragraphs>19</Paragraphs>
  <TotalTime>0</TotalTime>
  <ScaleCrop>false</ScaleCrop>
  <LinksUpToDate>false</LinksUpToDate>
  <CharactersWithSpaces>8833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2025-10-27T07:34:00Z</dcterms:created>
  <dc:creator>DGSY</dc:creator>
  <cp:lastModifiedBy>刘伟升</cp:lastModifiedBy>
  <cp:lastPrinted>2022-06-20T07:31:00Z</cp:lastPrinted>
  <dcterms:modified xsi:type="dcterms:W3CDTF">2026-05-25T08:50:46Z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A1997911E0D346CF99A871336CA81FD0_13</vt:lpwstr>
  </property>
  <property fmtid="{D5CDD505-2E9C-101B-9397-08002B2CF9AE}" pid="4" name="KSOTemplateDocerSaveRecord">
    <vt:lpwstr>eyJoZGlkIjoiODliMTNlMWQ3YmY4ODg4YTk3Y2M4NjZkYjQyNjQ5MjYiLCJ1c2VySWQiOiIzNDY0NjQzNTkifQ==</vt:lpwstr>
  </property>
</Properties>
</file>