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C3362">
      <w:pPr>
        <w:adjustRightInd w:val="0"/>
        <w:snapToGrid w:val="0"/>
        <w:spacing w:before="120" w:after="120" w:line="276" w:lineRule="auto"/>
        <w:jc w:val="center"/>
        <w:rPr>
          <w:rFonts w:eastAsia="华文中宋"/>
          <w:sz w:val="44"/>
          <w:szCs w:val="44"/>
        </w:rPr>
      </w:pPr>
      <w:r>
        <w:rPr>
          <w:rFonts w:hint="eastAsia" w:eastAsia="华文中宋"/>
          <w:sz w:val="44"/>
          <w:szCs w:val="44"/>
        </w:rPr>
        <w:t>道滘数智园公众责任险及财产一切险服务采购项目询价文件</w:t>
      </w:r>
    </w:p>
    <w:p w14:paraId="60BC0D24">
      <w:pPr>
        <w:spacing w:line="600" w:lineRule="exact"/>
        <w:ind w:firstLine="640" w:firstLineChars="200"/>
        <w:rPr>
          <w:rFonts w:eastAsia="仿宋_GB2312"/>
          <w:sz w:val="32"/>
          <w:szCs w:val="32"/>
        </w:rPr>
      </w:pPr>
      <w:r>
        <w:rPr>
          <w:rFonts w:eastAsia="仿宋_GB2312"/>
          <w:sz w:val="32"/>
          <w:szCs w:val="32"/>
          <w:u w:val="single"/>
        </w:rPr>
        <w:t xml:space="preserve"> </w:t>
      </w:r>
      <w:r>
        <w:rPr>
          <w:rFonts w:hint="eastAsia" w:eastAsia="仿宋_GB2312"/>
          <w:sz w:val="32"/>
          <w:szCs w:val="32"/>
          <w:u w:val="single"/>
          <w:lang w:eastAsia="zh-CN"/>
        </w:rPr>
        <w:t>广东东鸿物业发展有限公司</w:t>
      </w:r>
      <w:r>
        <w:rPr>
          <w:rFonts w:hint="eastAsia" w:eastAsia="仿宋_GB2312"/>
          <w:sz w:val="32"/>
          <w:szCs w:val="32"/>
        </w:rPr>
        <w:t>需采购一家</w:t>
      </w:r>
      <w:r>
        <w:rPr>
          <w:rFonts w:eastAsia="仿宋_GB2312"/>
          <w:sz w:val="32"/>
          <w:szCs w:val="32"/>
          <w:u w:val="single"/>
        </w:rPr>
        <w:t xml:space="preserve">  </w:t>
      </w:r>
      <w:r>
        <w:rPr>
          <w:rFonts w:hint="eastAsia" w:eastAsia="仿宋_GB2312"/>
          <w:sz w:val="32"/>
          <w:szCs w:val="32"/>
          <w:u w:val="single"/>
        </w:rPr>
        <w:t>公众责任险及财产一切险服务</w:t>
      </w:r>
      <w:r>
        <w:rPr>
          <w:rFonts w:eastAsia="仿宋_GB2312"/>
          <w:sz w:val="32"/>
          <w:szCs w:val="32"/>
          <w:u w:val="single"/>
        </w:rPr>
        <w:t xml:space="preserve">  </w:t>
      </w:r>
      <w:r>
        <w:rPr>
          <w:rFonts w:hint="eastAsia" w:eastAsia="仿宋_GB2312"/>
          <w:sz w:val="32"/>
          <w:szCs w:val="32"/>
        </w:rPr>
        <w:t>单位，现将相关情况介绍如下：</w:t>
      </w:r>
    </w:p>
    <w:p w14:paraId="2951166A">
      <w:pPr>
        <w:adjustRightInd w:val="0"/>
        <w:snapToGrid w:val="0"/>
        <w:spacing w:line="600" w:lineRule="exact"/>
        <w:ind w:firstLine="640" w:firstLineChars="200"/>
        <w:outlineLvl w:val="1"/>
        <w:rPr>
          <w:rFonts w:eastAsia="黑体"/>
          <w:sz w:val="32"/>
          <w:szCs w:val="32"/>
        </w:rPr>
      </w:pPr>
      <w:r>
        <w:rPr>
          <w:rFonts w:hint="eastAsia" w:eastAsia="黑体"/>
          <w:sz w:val="32"/>
          <w:szCs w:val="32"/>
        </w:rPr>
        <w:t>一、项目名称及内容</w:t>
      </w:r>
    </w:p>
    <w:p w14:paraId="26D5AF69">
      <w:pPr>
        <w:adjustRightInd w:val="0"/>
        <w:snapToGrid w:val="0"/>
        <w:spacing w:line="600" w:lineRule="exact"/>
        <w:ind w:firstLine="640" w:firstLineChars="200"/>
        <w:rPr>
          <w:rFonts w:hint="eastAsia" w:eastAsia="仿宋_GB2312"/>
          <w:b w:val="0"/>
          <w:bCs w:val="0"/>
          <w:sz w:val="32"/>
          <w:szCs w:val="32"/>
          <w:u w:val="single"/>
        </w:rPr>
      </w:pPr>
      <w:r>
        <w:rPr>
          <w:rFonts w:eastAsia="仿宋_GB2312"/>
          <w:sz w:val="32"/>
          <w:szCs w:val="32"/>
        </w:rPr>
        <w:t>1</w:t>
      </w:r>
      <w:r>
        <w:rPr>
          <w:rFonts w:hint="eastAsia" w:eastAsia="仿宋_GB2312"/>
          <w:sz w:val="32"/>
          <w:szCs w:val="32"/>
        </w:rPr>
        <w:t>、项目名称：</w:t>
      </w:r>
      <w:r>
        <w:rPr>
          <w:rFonts w:hint="eastAsia" w:eastAsia="仿宋_GB2312"/>
          <w:b w:val="0"/>
          <w:bCs w:val="0"/>
          <w:sz w:val="32"/>
          <w:szCs w:val="32"/>
          <w:u w:val="single"/>
          <w:lang w:eastAsia="zh-CN"/>
        </w:rPr>
        <w:t>道滘数智</w:t>
      </w:r>
      <w:r>
        <w:rPr>
          <w:rFonts w:hint="eastAsia" w:eastAsia="仿宋_GB2312"/>
          <w:b w:val="0"/>
          <w:bCs w:val="0"/>
          <w:sz w:val="32"/>
          <w:szCs w:val="32"/>
          <w:u w:val="single"/>
        </w:rPr>
        <w:t>园</w:t>
      </w:r>
      <w:bookmarkStart w:id="0" w:name="OLE_LINK2"/>
      <w:r>
        <w:rPr>
          <w:rFonts w:hint="eastAsia" w:eastAsia="仿宋_GB2312"/>
          <w:b w:val="0"/>
          <w:bCs w:val="0"/>
          <w:sz w:val="32"/>
          <w:szCs w:val="32"/>
          <w:u w:val="single"/>
        </w:rPr>
        <w:t>公众责任险及财产一切险</w:t>
      </w:r>
      <w:bookmarkEnd w:id="0"/>
      <w:r>
        <w:rPr>
          <w:rFonts w:hint="eastAsia" w:eastAsia="仿宋_GB2312"/>
          <w:b w:val="0"/>
          <w:bCs w:val="0"/>
          <w:sz w:val="32"/>
          <w:szCs w:val="32"/>
          <w:u w:val="single"/>
        </w:rPr>
        <w:t>服务</w:t>
      </w:r>
      <w:r>
        <w:rPr>
          <w:rFonts w:hint="eastAsia" w:eastAsia="仿宋_GB2312"/>
          <w:b w:val="0"/>
          <w:bCs w:val="0"/>
          <w:sz w:val="32"/>
          <w:szCs w:val="32"/>
          <w:u w:val="single"/>
          <w:lang w:eastAsia="zh-CN"/>
        </w:rPr>
        <w:t>采购项目</w:t>
      </w:r>
      <w:r>
        <w:rPr>
          <w:rFonts w:hint="eastAsia" w:eastAsia="仿宋_GB2312"/>
          <w:b w:val="0"/>
          <w:bCs w:val="0"/>
          <w:sz w:val="32"/>
          <w:szCs w:val="32"/>
          <w:u w:val="single"/>
        </w:rPr>
        <w:t>；</w:t>
      </w:r>
    </w:p>
    <w:p w14:paraId="450F7281">
      <w:pPr>
        <w:pStyle w:val="2"/>
        <w:ind w:firstLine="640" w:firstLineChars="200"/>
        <w:rPr>
          <w:rFonts w:hint="eastAsia" w:eastAsia="仿宋_GB2312"/>
          <w:lang w:val="en-US" w:eastAsia="zh-CN"/>
        </w:rPr>
      </w:pPr>
      <w:r>
        <w:rPr>
          <w:rFonts w:hint="eastAsia" w:eastAsia="仿宋_GB2312"/>
          <w:b w:val="0"/>
          <w:bCs w:val="0"/>
          <w:sz w:val="32"/>
          <w:szCs w:val="32"/>
          <w:u w:val="single"/>
          <w:lang w:val="en-US" w:eastAsia="zh-CN"/>
        </w:rPr>
        <w:t>2、项目编号：DHWY-BX-03-02-004(2026)</w:t>
      </w:r>
    </w:p>
    <w:p w14:paraId="6EB70CE2">
      <w:pPr>
        <w:adjustRightInd w:val="0"/>
        <w:snapToGrid w:val="0"/>
        <w:spacing w:line="600" w:lineRule="exact"/>
        <w:ind w:firstLine="640" w:firstLineChars="200"/>
        <w:rPr>
          <w:rFonts w:eastAsia="仿宋_GB2312"/>
          <w:sz w:val="32"/>
          <w:szCs w:val="32"/>
          <w:u w:val="single"/>
        </w:rPr>
      </w:pPr>
      <w:r>
        <w:rPr>
          <w:rFonts w:hint="eastAsia" w:eastAsia="仿宋_GB2312"/>
          <w:sz w:val="32"/>
          <w:szCs w:val="32"/>
          <w:lang w:val="en-US" w:eastAsia="zh-CN"/>
        </w:rPr>
        <w:t>3</w:t>
      </w:r>
      <w:r>
        <w:rPr>
          <w:rFonts w:hint="eastAsia" w:eastAsia="仿宋_GB2312"/>
          <w:sz w:val="32"/>
          <w:szCs w:val="32"/>
        </w:rPr>
        <w:t>、项目概况：</w:t>
      </w:r>
      <w:r>
        <w:rPr>
          <w:rFonts w:hint="eastAsia" w:eastAsia="仿宋_GB2312"/>
          <w:sz w:val="32"/>
          <w:szCs w:val="32"/>
          <w:u w:val="single"/>
        </w:rPr>
        <w:t>本项目园区面积261000平方米</w:t>
      </w:r>
      <w:r>
        <w:rPr>
          <w:rFonts w:hint="eastAsia" w:eastAsia="仿宋_GB2312"/>
          <w:sz w:val="32"/>
          <w:szCs w:val="32"/>
          <w:u w:val="single"/>
          <w:lang w:eastAsia="zh-CN"/>
        </w:rPr>
        <w:t>，</w:t>
      </w:r>
      <w:r>
        <w:rPr>
          <w:rFonts w:hint="eastAsia" w:eastAsia="仿宋_GB2312"/>
          <w:sz w:val="32"/>
          <w:szCs w:val="32"/>
          <w:u w:val="single"/>
        </w:rPr>
        <w:t>建设方为东莞市旗胜投资发展有限公司</w:t>
      </w:r>
      <w:r>
        <w:rPr>
          <w:rFonts w:hint="eastAsia" w:eastAsia="仿宋_GB2312"/>
          <w:sz w:val="32"/>
          <w:szCs w:val="32"/>
          <w:u w:val="single"/>
          <w:lang w:val="en-US" w:eastAsia="zh-CN"/>
        </w:rPr>
        <w:t xml:space="preserve"> </w:t>
      </w:r>
      <w:r>
        <w:rPr>
          <w:rFonts w:hint="eastAsia" w:eastAsia="仿宋_GB2312"/>
          <w:sz w:val="32"/>
          <w:szCs w:val="32"/>
          <w:u w:val="single"/>
        </w:rPr>
        <w:t>（下称“旗</w:t>
      </w:r>
      <w:r>
        <w:rPr>
          <w:rFonts w:hint="eastAsia" w:eastAsia="仿宋_GB2312"/>
          <w:sz w:val="32"/>
          <w:szCs w:val="32"/>
          <w:u w:val="single"/>
          <w:lang w:eastAsia="zh-CN"/>
        </w:rPr>
        <w:t>胜</w:t>
      </w:r>
      <w:r>
        <w:rPr>
          <w:rFonts w:hint="eastAsia" w:eastAsia="仿宋_GB2312"/>
          <w:sz w:val="32"/>
          <w:szCs w:val="32"/>
          <w:u w:val="single"/>
        </w:rPr>
        <w:t>公司”），项目建成后委托</w:t>
      </w:r>
      <w:r>
        <w:rPr>
          <w:rFonts w:hint="eastAsia" w:eastAsia="仿宋_GB2312"/>
          <w:sz w:val="32"/>
          <w:szCs w:val="32"/>
          <w:u w:val="single"/>
          <w:lang w:eastAsia="zh-CN"/>
        </w:rPr>
        <w:t>广东东鸿物业发展有限公司为园区提供物业管理</w:t>
      </w:r>
      <w:r>
        <w:rPr>
          <w:rFonts w:hint="eastAsia" w:eastAsia="仿宋_GB2312"/>
          <w:sz w:val="32"/>
          <w:szCs w:val="32"/>
          <w:u w:val="single"/>
        </w:rPr>
        <w:t>服务。为防范园区安全风险及财产损失，需采购服务单位</w:t>
      </w:r>
      <w:r>
        <w:rPr>
          <w:rFonts w:hint="eastAsia" w:eastAsia="仿宋_GB2312"/>
          <w:color w:val="000000"/>
          <w:sz w:val="32"/>
          <w:szCs w:val="32"/>
          <w:u w:val="single"/>
        </w:rPr>
        <w:t>负责公众责任险及财产一切险</w:t>
      </w:r>
      <w:r>
        <w:rPr>
          <w:rFonts w:hint="eastAsia" w:eastAsia="仿宋_GB2312"/>
          <w:sz w:val="32"/>
          <w:szCs w:val="32"/>
          <w:u w:val="single"/>
        </w:rPr>
        <w:t>；</w:t>
      </w:r>
    </w:p>
    <w:p w14:paraId="7F762DB6">
      <w:pPr>
        <w:adjustRightInd w:val="0"/>
        <w:snapToGrid w:val="0"/>
        <w:spacing w:line="600" w:lineRule="exact"/>
        <w:ind w:firstLine="640" w:firstLineChars="200"/>
        <w:rPr>
          <w:rFonts w:hint="eastAsia" w:eastAsia="仿宋_GB2312"/>
          <w:sz w:val="32"/>
          <w:szCs w:val="32"/>
          <w:u w:val="single"/>
        </w:rPr>
      </w:pPr>
      <w:r>
        <w:rPr>
          <w:rFonts w:hint="eastAsia" w:eastAsia="仿宋_GB2312"/>
          <w:sz w:val="32"/>
          <w:szCs w:val="32"/>
          <w:lang w:val="en-US" w:eastAsia="zh-CN"/>
        </w:rPr>
        <w:t>4</w:t>
      </w:r>
      <w:r>
        <w:rPr>
          <w:rFonts w:hint="eastAsia" w:eastAsia="仿宋_GB2312"/>
          <w:sz w:val="32"/>
          <w:szCs w:val="32"/>
        </w:rPr>
        <w:t>、项目地点：</w:t>
      </w:r>
      <w:r>
        <w:rPr>
          <w:rFonts w:eastAsia="仿宋_GB2312"/>
          <w:sz w:val="32"/>
          <w:szCs w:val="32"/>
          <w:u w:val="single"/>
        </w:rPr>
        <w:t xml:space="preserve"> </w:t>
      </w:r>
      <w:r>
        <w:rPr>
          <w:rFonts w:hint="eastAsia" w:eastAsia="仿宋_GB2312"/>
          <w:sz w:val="32"/>
          <w:szCs w:val="32"/>
          <w:u w:val="single"/>
        </w:rPr>
        <w:t>东莞市</w:t>
      </w:r>
      <w:r>
        <w:rPr>
          <w:rFonts w:hint="eastAsia" w:eastAsia="仿宋_GB2312"/>
          <w:sz w:val="32"/>
          <w:szCs w:val="32"/>
          <w:u w:val="single"/>
          <w:lang w:eastAsia="zh-CN"/>
        </w:rPr>
        <w:t>道滘</w:t>
      </w:r>
      <w:r>
        <w:rPr>
          <w:rFonts w:hint="eastAsia" w:eastAsia="仿宋_GB2312"/>
          <w:sz w:val="32"/>
          <w:szCs w:val="32"/>
          <w:u w:val="single"/>
        </w:rPr>
        <w:t>镇</w:t>
      </w:r>
      <w:r>
        <w:rPr>
          <w:rFonts w:hint="eastAsia" w:eastAsia="仿宋_GB2312"/>
          <w:color w:val="000000"/>
          <w:sz w:val="32"/>
          <w:szCs w:val="32"/>
          <w:u w:val="single"/>
        </w:rPr>
        <w:t>东实</w:t>
      </w:r>
      <w:r>
        <w:rPr>
          <w:rFonts w:hint="eastAsia" w:eastAsia="仿宋_GB2312"/>
          <w:color w:val="000000"/>
          <w:sz w:val="32"/>
          <w:szCs w:val="32"/>
          <w:u w:val="single"/>
          <w:lang w:eastAsia="zh-CN"/>
        </w:rPr>
        <w:t>道滘数智</w:t>
      </w:r>
      <w:r>
        <w:rPr>
          <w:rFonts w:hint="eastAsia" w:eastAsia="仿宋_GB2312"/>
          <w:color w:val="000000"/>
          <w:sz w:val="32"/>
          <w:szCs w:val="32"/>
          <w:u w:val="single"/>
        </w:rPr>
        <w:t>园</w:t>
      </w:r>
      <w:r>
        <w:rPr>
          <w:rFonts w:hint="eastAsia" w:eastAsia="仿宋_GB2312"/>
          <w:sz w:val="32"/>
          <w:szCs w:val="32"/>
          <w:u w:val="single"/>
        </w:rPr>
        <w:t>；</w:t>
      </w:r>
    </w:p>
    <w:p w14:paraId="2268C30E">
      <w:pPr>
        <w:pStyle w:val="2"/>
        <w:ind w:firstLine="640" w:firstLineChars="200"/>
        <w:rPr>
          <w:rFonts w:hint="eastAsia" w:ascii="Times New Roman" w:hAnsi="Times New Roman" w:eastAsia="仿宋_GB2312" w:cs="Times New Roman"/>
          <w:color w:val="auto"/>
          <w:kern w:val="2"/>
          <w:sz w:val="32"/>
          <w:szCs w:val="32"/>
          <w:u w:val="single"/>
          <w:lang w:val="en-US" w:eastAsia="zh-CN" w:bidi="ar-SA"/>
        </w:rPr>
      </w:pPr>
      <w:r>
        <w:rPr>
          <w:rFonts w:hint="eastAsia" w:ascii="Times New Roman" w:hAnsi="Times New Roman" w:eastAsia="仿宋_GB2312" w:cs="Times New Roman"/>
          <w:color w:val="auto"/>
          <w:kern w:val="2"/>
          <w:sz w:val="32"/>
          <w:szCs w:val="32"/>
          <w:lang w:val="en-US" w:eastAsia="zh-CN" w:bidi="ar-SA"/>
        </w:rPr>
        <w:t>5、采购范围：</w:t>
      </w:r>
      <w:r>
        <w:rPr>
          <w:rFonts w:hint="eastAsia"/>
          <w:lang w:val="en-US" w:eastAsia="zh-CN"/>
        </w:rPr>
        <w:t xml:space="preserve"> </w:t>
      </w:r>
      <w:r>
        <w:rPr>
          <w:rFonts w:hint="eastAsia" w:ascii="Times New Roman" w:hAnsi="Times New Roman" w:eastAsia="仿宋_GB2312" w:cs="Times New Roman"/>
          <w:color w:val="auto"/>
          <w:kern w:val="2"/>
          <w:sz w:val="32"/>
          <w:szCs w:val="32"/>
          <w:u w:val="single"/>
          <w:lang w:val="en-US" w:eastAsia="zh-CN" w:bidi="ar-SA"/>
        </w:rPr>
        <w:t xml:space="preserve"> 详见附件6采购用户需求书 ；</w:t>
      </w:r>
    </w:p>
    <w:p w14:paraId="73C4A9CE">
      <w:pPr>
        <w:adjustRightInd w:val="0"/>
        <w:snapToGrid w:val="0"/>
        <w:spacing w:line="600" w:lineRule="exact"/>
        <w:ind w:firstLine="640" w:firstLineChars="200"/>
        <w:rPr>
          <w:rFonts w:eastAsia="仿宋_GB2312"/>
          <w:sz w:val="32"/>
          <w:szCs w:val="32"/>
          <w:u w:val="single"/>
        </w:rPr>
      </w:pPr>
      <w:r>
        <w:rPr>
          <w:rFonts w:hint="eastAsia" w:eastAsia="仿宋_GB2312"/>
          <w:sz w:val="32"/>
          <w:szCs w:val="32"/>
          <w:lang w:val="en-US" w:eastAsia="zh-CN"/>
        </w:rPr>
        <w:t>6</w:t>
      </w:r>
      <w:r>
        <w:rPr>
          <w:rFonts w:hint="eastAsia" w:eastAsia="仿宋_GB2312"/>
          <w:sz w:val="32"/>
          <w:szCs w:val="32"/>
        </w:rPr>
        <w:t>、服务时间（供货时间</w:t>
      </w:r>
      <w:r>
        <w:rPr>
          <w:rFonts w:eastAsia="仿宋_GB2312"/>
          <w:sz w:val="32"/>
          <w:szCs w:val="32"/>
        </w:rPr>
        <w:t>/</w:t>
      </w:r>
      <w:r>
        <w:rPr>
          <w:rFonts w:hint="eastAsia" w:eastAsia="仿宋_GB2312"/>
          <w:sz w:val="32"/>
          <w:szCs w:val="32"/>
        </w:rPr>
        <w:t>工期）：</w:t>
      </w:r>
      <w:r>
        <w:rPr>
          <w:rFonts w:hint="eastAsia" w:eastAsia="仿宋_GB2312"/>
          <w:sz w:val="32"/>
          <w:szCs w:val="32"/>
          <w:u w:val="single"/>
        </w:rPr>
        <w:t>合同签订起</w:t>
      </w:r>
      <w:r>
        <w:rPr>
          <w:rFonts w:hint="eastAsia" w:eastAsia="仿宋_GB2312"/>
          <w:color w:val="000000"/>
          <w:sz w:val="32"/>
          <w:szCs w:val="32"/>
          <w:u w:val="single"/>
        </w:rPr>
        <w:t>2年（如有变化，以采购人另行通知为准）。</w:t>
      </w:r>
    </w:p>
    <w:p w14:paraId="5AB34C6E">
      <w:pPr>
        <w:adjustRightInd w:val="0"/>
        <w:snapToGrid w:val="0"/>
        <w:spacing w:line="600" w:lineRule="exact"/>
        <w:ind w:firstLine="640" w:firstLineChars="200"/>
        <w:outlineLvl w:val="1"/>
        <w:rPr>
          <w:rFonts w:eastAsia="黑体"/>
          <w:sz w:val="32"/>
          <w:szCs w:val="32"/>
        </w:rPr>
      </w:pPr>
      <w:r>
        <w:rPr>
          <w:rFonts w:hint="eastAsia" w:eastAsia="黑体"/>
          <w:sz w:val="32"/>
          <w:szCs w:val="32"/>
        </w:rPr>
        <w:t>二、项目发布</w:t>
      </w:r>
    </w:p>
    <w:p w14:paraId="2B87F6E6">
      <w:pPr>
        <w:adjustRightInd w:val="0"/>
        <w:snapToGrid w:val="0"/>
        <w:spacing w:line="600" w:lineRule="exact"/>
        <w:ind w:firstLine="640" w:firstLineChars="200"/>
        <w:rPr>
          <w:rFonts w:eastAsia="仿宋_GB2312"/>
          <w:sz w:val="32"/>
          <w:szCs w:val="32"/>
        </w:rPr>
      </w:pPr>
      <w:r>
        <w:rPr>
          <w:rFonts w:hint="eastAsia" w:eastAsia="仿宋_GB2312"/>
          <w:sz w:val="32"/>
          <w:szCs w:val="32"/>
        </w:rPr>
        <w:t>本采购项目信息在东莞实业投资控股集团有限公司网站（</w:t>
      </w:r>
      <w:r>
        <w:rPr>
          <w:rFonts w:eastAsia="仿宋_GB2312"/>
          <w:sz w:val="32"/>
          <w:szCs w:val="32"/>
        </w:rPr>
        <w:t>http://www.dgsy.com.cn/</w:t>
      </w:r>
      <w:r>
        <w:rPr>
          <w:rFonts w:hint="eastAsia" w:eastAsia="仿宋_GB2312"/>
          <w:sz w:val="32"/>
          <w:szCs w:val="32"/>
        </w:rPr>
        <w:t>）发布。</w:t>
      </w:r>
    </w:p>
    <w:p w14:paraId="1A178E5A">
      <w:pPr>
        <w:adjustRightInd w:val="0"/>
        <w:snapToGrid w:val="0"/>
        <w:spacing w:line="600" w:lineRule="exact"/>
        <w:ind w:firstLine="640" w:firstLineChars="200"/>
        <w:outlineLvl w:val="1"/>
        <w:rPr>
          <w:rFonts w:eastAsia="黑体"/>
          <w:sz w:val="32"/>
          <w:szCs w:val="32"/>
        </w:rPr>
      </w:pPr>
      <w:r>
        <w:rPr>
          <w:rFonts w:eastAsia="黑体"/>
          <w:sz w:val="32"/>
          <w:szCs w:val="32"/>
        </w:rPr>
        <w:sym w:font="Wingdings" w:char="F0AB"/>
      </w:r>
      <w:r>
        <w:rPr>
          <w:rFonts w:hint="eastAsia" w:eastAsia="黑体"/>
          <w:sz w:val="32"/>
          <w:szCs w:val="32"/>
        </w:rPr>
        <w:t>三、响应人资格要求</w:t>
      </w:r>
    </w:p>
    <w:p w14:paraId="14BCE066">
      <w:pPr>
        <w:spacing w:line="600" w:lineRule="exact"/>
        <w:ind w:firstLine="640" w:firstLineChars="200"/>
        <w:rPr>
          <w:rFonts w:eastAsia="仿宋_GB2312"/>
          <w:sz w:val="32"/>
          <w:szCs w:val="32"/>
        </w:rPr>
      </w:pPr>
      <w:r>
        <w:rPr>
          <w:rFonts w:eastAsia="仿宋_GB2312"/>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2CF96A65">
      <w:pPr>
        <w:pStyle w:val="2"/>
        <w:ind w:firstLine="640" w:firstLineChars="200"/>
        <w:rPr>
          <w:rFonts w:eastAsia="仿宋_GB2312"/>
        </w:rPr>
      </w:pPr>
      <w:r>
        <w:rPr>
          <w:rFonts w:hint="eastAsia" w:eastAsia="仿宋_GB2312"/>
          <w:sz w:val="32"/>
          <w:szCs w:val="32"/>
        </w:rPr>
        <w:t>2、</w:t>
      </w:r>
      <w:r>
        <w:rPr>
          <w:rFonts w:eastAsia="仿宋_GB2312"/>
          <w:sz w:val="32"/>
          <w:szCs w:val="32"/>
        </w:rPr>
        <w:t>响应人须</w:t>
      </w:r>
      <w:r>
        <w:rPr>
          <w:rFonts w:hint="eastAsia" w:eastAsia="仿宋_GB2312"/>
          <w:sz w:val="32"/>
          <w:szCs w:val="32"/>
        </w:rPr>
        <w:t>提供《</w:t>
      </w:r>
      <w:r>
        <w:rPr>
          <w:rFonts w:eastAsia="仿宋_GB2312"/>
          <w:sz w:val="32"/>
          <w:szCs w:val="32"/>
        </w:rPr>
        <w:t>保险业务经营许可证</w:t>
      </w:r>
      <w:r>
        <w:rPr>
          <w:rFonts w:hint="eastAsia" w:eastAsia="仿宋_GB2312"/>
          <w:sz w:val="32"/>
          <w:szCs w:val="32"/>
        </w:rPr>
        <w:t>》复印件并加盖公章。</w:t>
      </w:r>
    </w:p>
    <w:p w14:paraId="77736726">
      <w:pPr>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、业绩要求：要求</w:t>
      </w:r>
      <w:r>
        <w:rPr>
          <w:rFonts w:eastAsia="仿宋_GB2312"/>
          <w:sz w:val="32"/>
          <w:szCs w:val="32"/>
          <w:u w:val="single"/>
        </w:rPr>
        <w:t xml:space="preserve">  20</w:t>
      </w:r>
      <w:r>
        <w:rPr>
          <w:rFonts w:hint="eastAsia" w:eastAsia="仿宋_GB2312"/>
          <w:sz w:val="32"/>
          <w:szCs w:val="32"/>
          <w:u w:val="single"/>
        </w:rPr>
        <w:t>2</w:t>
      </w:r>
      <w:r>
        <w:rPr>
          <w:rFonts w:hint="eastAsia" w:eastAsia="仿宋_GB2312"/>
          <w:sz w:val="32"/>
          <w:szCs w:val="32"/>
          <w:u w:val="single"/>
          <w:lang w:val="en-US" w:eastAsia="zh-CN"/>
        </w:rPr>
        <w:t>5</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1 </w:t>
      </w:r>
      <w:r>
        <w:rPr>
          <w:rFonts w:eastAsia="仿宋_GB2312"/>
          <w:sz w:val="32"/>
          <w:szCs w:val="32"/>
        </w:rPr>
        <w:t>月</w:t>
      </w:r>
      <w:r>
        <w:rPr>
          <w:rFonts w:eastAsia="仿宋_GB2312"/>
          <w:sz w:val="32"/>
          <w:szCs w:val="32"/>
          <w:u w:val="single"/>
        </w:rPr>
        <w:t xml:space="preserve"> 1 </w:t>
      </w:r>
      <w:r>
        <w:rPr>
          <w:rFonts w:eastAsia="仿宋_GB2312"/>
          <w:sz w:val="32"/>
          <w:szCs w:val="32"/>
        </w:rPr>
        <w:t>日起</w:t>
      </w:r>
      <w:r>
        <w:rPr>
          <w:rFonts w:hint="eastAsia" w:eastAsia="仿宋_GB2312"/>
          <w:sz w:val="32"/>
          <w:szCs w:val="32"/>
        </w:rPr>
        <w:t>至今</w:t>
      </w:r>
      <w:r>
        <w:rPr>
          <w:rFonts w:eastAsia="仿宋_GB2312"/>
          <w:sz w:val="32"/>
          <w:szCs w:val="32"/>
        </w:rPr>
        <w:t>，具备</w:t>
      </w:r>
      <w:r>
        <w:rPr>
          <w:rFonts w:eastAsia="仿宋_GB2312"/>
          <w:sz w:val="32"/>
          <w:szCs w:val="32"/>
          <w:u w:val="single"/>
        </w:rPr>
        <w:t xml:space="preserve">  至少1个</w:t>
      </w:r>
      <w:r>
        <w:rPr>
          <w:rFonts w:hint="eastAsia" w:eastAsia="仿宋_GB2312"/>
          <w:sz w:val="32"/>
          <w:szCs w:val="32"/>
          <w:u w:val="single"/>
        </w:rPr>
        <w:t>公众责任险或财产险</w:t>
      </w:r>
      <w:r>
        <w:rPr>
          <w:rFonts w:eastAsia="仿宋_GB2312"/>
          <w:sz w:val="32"/>
          <w:szCs w:val="32"/>
          <w:u w:val="single"/>
        </w:rPr>
        <w:t xml:space="preserve"> </w:t>
      </w:r>
      <w:r>
        <w:rPr>
          <w:rFonts w:eastAsia="仿宋_GB2312"/>
          <w:sz w:val="32"/>
          <w:szCs w:val="32"/>
        </w:rPr>
        <w:t>项目</w:t>
      </w:r>
      <w:r>
        <w:rPr>
          <w:rFonts w:hint="eastAsia" w:eastAsia="仿宋_GB2312"/>
          <w:sz w:val="32"/>
          <w:szCs w:val="32"/>
        </w:rPr>
        <w:t>业绩</w:t>
      </w:r>
      <w:r>
        <w:rPr>
          <w:rFonts w:eastAsia="仿宋_GB2312"/>
          <w:sz w:val="32"/>
          <w:szCs w:val="32"/>
        </w:rPr>
        <w:t>。【</w:t>
      </w:r>
      <w:r>
        <w:rPr>
          <w:rFonts w:hint="eastAsia" w:eastAsia="仿宋_GB2312"/>
          <w:sz w:val="32"/>
          <w:szCs w:val="32"/>
        </w:rPr>
        <w:t>上述证明资料</w:t>
      </w:r>
      <w:r>
        <w:rPr>
          <w:rFonts w:eastAsia="仿宋_GB2312"/>
          <w:sz w:val="32"/>
          <w:szCs w:val="32"/>
        </w:rPr>
        <w:t>按合同签订时间为准，须提供合同关键页复印件（</w:t>
      </w:r>
      <w:r>
        <w:rPr>
          <w:rFonts w:eastAsia="仿宋_GB2312"/>
          <w:b/>
          <w:bCs/>
          <w:sz w:val="32"/>
          <w:szCs w:val="32"/>
        </w:rPr>
        <w:t>包含但不限于合同首页、合同金额页、</w:t>
      </w:r>
      <w:r>
        <w:rPr>
          <w:rFonts w:hint="eastAsia" w:eastAsia="仿宋_GB2312"/>
          <w:b/>
          <w:bCs/>
          <w:sz w:val="32"/>
          <w:szCs w:val="32"/>
        </w:rPr>
        <w:t>合同服务内容页、</w:t>
      </w:r>
      <w:r>
        <w:rPr>
          <w:rFonts w:eastAsia="仿宋_GB2312"/>
          <w:b/>
          <w:bCs/>
          <w:sz w:val="32"/>
          <w:szCs w:val="32"/>
        </w:rPr>
        <w:t>合同签字页等</w:t>
      </w:r>
      <w:r>
        <w:rPr>
          <w:rFonts w:eastAsia="仿宋_GB2312"/>
          <w:sz w:val="32"/>
          <w:szCs w:val="32"/>
        </w:rPr>
        <w:t>）</w:t>
      </w:r>
      <w:r>
        <w:rPr>
          <w:rFonts w:hint="eastAsia" w:eastAsia="仿宋_GB2312"/>
          <w:sz w:val="32"/>
          <w:szCs w:val="32"/>
        </w:rPr>
        <w:t>，该合同期内任意一期发票复印件，并加盖投标人公章。</w:t>
      </w:r>
      <w:r>
        <w:rPr>
          <w:rFonts w:eastAsia="仿宋_GB2312"/>
          <w:sz w:val="32"/>
          <w:szCs w:val="32"/>
        </w:rPr>
        <w:t>】</w:t>
      </w:r>
    </w:p>
    <w:p w14:paraId="2149216E">
      <w:pPr>
        <w:adjustRightInd w:val="0"/>
        <w:snapToGrid w:val="0"/>
        <w:spacing w:line="600" w:lineRule="exact"/>
        <w:ind w:firstLine="640" w:firstLineChars="200"/>
        <w:rPr>
          <w:rFonts w:hint="eastAsia" w:eastAsia="仿宋_GB2312"/>
          <w:color w:val="000000"/>
          <w:sz w:val="32"/>
          <w:szCs w:val="32"/>
        </w:rPr>
      </w:pPr>
      <w:r>
        <w:rPr>
          <w:rFonts w:hint="eastAsia" w:eastAsia="仿宋_GB2312"/>
          <w:sz w:val="32"/>
          <w:szCs w:val="32"/>
        </w:rPr>
        <w:t>4</w:t>
      </w:r>
      <w:r>
        <w:rPr>
          <w:rFonts w:eastAsia="仿宋_GB2312"/>
          <w:sz w:val="32"/>
          <w:szCs w:val="32"/>
        </w:rPr>
        <w:t>、</w:t>
      </w:r>
      <w:r>
        <w:rPr>
          <w:rFonts w:eastAsia="仿宋_GB2312"/>
          <w:color w:val="000000"/>
          <w:sz w:val="32"/>
          <w:szCs w:val="32"/>
        </w:rPr>
        <w:t>未被列入东实集团及下属企业</w:t>
      </w:r>
      <w:r>
        <w:rPr>
          <w:rFonts w:hint="eastAsia" w:eastAsia="仿宋_GB2312"/>
          <w:color w:val="000000"/>
          <w:sz w:val="32"/>
          <w:szCs w:val="32"/>
        </w:rPr>
        <w:t>相关</w:t>
      </w:r>
      <w:r>
        <w:rPr>
          <w:rFonts w:eastAsia="仿宋_GB2312"/>
          <w:color w:val="000000"/>
          <w:sz w:val="32"/>
          <w:szCs w:val="32"/>
        </w:rPr>
        <w:t>领域黑名单。</w:t>
      </w:r>
      <w:r>
        <w:rPr>
          <w:rFonts w:hint="eastAsia" w:eastAsia="仿宋_GB2312"/>
          <w:color w:val="000000"/>
          <w:sz w:val="32"/>
          <w:szCs w:val="32"/>
        </w:rPr>
        <w:t>【以东莞实业投资控股集团有限公司发文（东实通〔2021〕44号）、（东实通〔2021〕98号）、（东实通〔2022〕75号）、（东实通〔2023〕37号）、（东实通〔2024〕163号）、（东实通〔2025〕195号）、（东实通〔2025〕157号）</w:t>
      </w:r>
      <w:r>
        <w:rPr>
          <w:rFonts w:hint="eastAsia" w:eastAsia="仿宋_GB2312"/>
          <w:color w:val="000000"/>
          <w:sz w:val="32"/>
          <w:szCs w:val="32"/>
          <w:lang w:eastAsia="zh-CN"/>
        </w:rPr>
        <w:t>及各下属公司发文</w:t>
      </w:r>
      <w:r>
        <w:rPr>
          <w:rFonts w:hint="eastAsia" w:eastAsia="仿宋_GB2312"/>
          <w:color w:val="000000"/>
          <w:sz w:val="32"/>
          <w:szCs w:val="32"/>
        </w:rPr>
        <w:t>为准，如有最新发文通知，按最新文件执行。】</w:t>
      </w:r>
    </w:p>
    <w:p w14:paraId="04087337">
      <w:pPr>
        <w:pStyle w:val="2"/>
        <w:ind w:firstLine="640" w:firstLineChars="20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5、本项目（不接受）联合体响应。</w:t>
      </w:r>
    </w:p>
    <w:p w14:paraId="0D943FEC">
      <w:pPr>
        <w:adjustRightInd w:val="0"/>
        <w:snapToGrid w:val="0"/>
        <w:spacing w:line="600" w:lineRule="exact"/>
        <w:ind w:firstLine="640" w:firstLineChars="200"/>
        <w:rPr>
          <w:rFonts w:eastAsia="黑体"/>
          <w:sz w:val="32"/>
          <w:szCs w:val="32"/>
        </w:rPr>
      </w:pPr>
      <w:r>
        <w:rPr>
          <w:rFonts w:hint="eastAsia" w:eastAsia="黑体"/>
          <w:sz w:val="32"/>
          <w:szCs w:val="32"/>
        </w:rPr>
        <w:t>四、采购内容及要求</w:t>
      </w:r>
    </w:p>
    <w:p w14:paraId="0B64F4BD">
      <w:pPr>
        <w:spacing w:line="600" w:lineRule="exact"/>
        <w:ind w:firstLine="640" w:firstLineChars="200"/>
        <w:rPr>
          <w:rFonts w:eastAsia="仿宋_GB2312"/>
          <w:sz w:val="32"/>
          <w:szCs w:val="32"/>
        </w:rPr>
      </w:pPr>
      <w:r>
        <w:rPr>
          <w:rFonts w:hint="eastAsia" w:eastAsia="仿宋_GB2312"/>
          <w:sz w:val="32"/>
          <w:szCs w:val="32"/>
          <w:u w:val="single"/>
        </w:rPr>
        <w:t>具体要求详见本询价文件附件《用户需求书》</w:t>
      </w:r>
      <w:r>
        <w:rPr>
          <w:rFonts w:hint="eastAsia" w:eastAsia="仿宋_GB2312"/>
          <w:sz w:val="32"/>
          <w:szCs w:val="32"/>
        </w:rPr>
        <w:t>。响应人须仔细阅读本用户需求书，因未详细了解本用户需求书造成报价项目遗漏，由响应人自行负责。</w:t>
      </w:r>
    </w:p>
    <w:p w14:paraId="3B0DAC62">
      <w:pPr>
        <w:adjustRightInd w:val="0"/>
        <w:snapToGrid w:val="0"/>
        <w:spacing w:line="600" w:lineRule="exact"/>
        <w:ind w:firstLine="640" w:firstLineChars="200"/>
        <w:outlineLvl w:val="1"/>
        <w:rPr>
          <w:rFonts w:eastAsia="黑体"/>
          <w:sz w:val="32"/>
          <w:szCs w:val="32"/>
        </w:rPr>
      </w:pPr>
      <w:r>
        <w:rPr>
          <w:rFonts w:hint="eastAsia" w:eastAsia="黑体"/>
          <w:sz w:val="32"/>
          <w:szCs w:val="32"/>
        </w:rPr>
        <w:t>五、完成时间</w:t>
      </w:r>
    </w:p>
    <w:p w14:paraId="169B0E82">
      <w:pPr>
        <w:adjustRightInd w:val="0"/>
        <w:snapToGrid w:val="0"/>
        <w:spacing w:line="600" w:lineRule="exact"/>
        <w:ind w:firstLine="640" w:firstLineChars="200"/>
        <w:outlineLvl w:val="1"/>
        <w:rPr>
          <w:rFonts w:eastAsia="仿宋_GB2312"/>
          <w:color w:val="000000"/>
          <w:sz w:val="32"/>
          <w:szCs w:val="32"/>
        </w:rPr>
      </w:pPr>
      <w:r>
        <w:rPr>
          <w:rFonts w:hint="eastAsia" w:eastAsia="仿宋_GB2312"/>
          <w:color w:val="000000"/>
          <w:sz w:val="32"/>
          <w:szCs w:val="32"/>
        </w:rPr>
        <w:t>签订合同起2年（如有变化，以采购人另行通知为准）。</w:t>
      </w:r>
    </w:p>
    <w:p w14:paraId="55886213">
      <w:pPr>
        <w:adjustRightInd w:val="0"/>
        <w:snapToGrid w:val="0"/>
        <w:spacing w:line="600" w:lineRule="exact"/>
        <w:ind w:firstLine="640" w:firstLineChars="200"/>
        <w:outlineLvl w:val="1"/>
        <w:rPr>
          <w:rFonts w:eastAsia="黑体"/>
          <w:sz w:val="32"/>
          <w:szCs w:val="32"/>
        </w:rPr>
      </w:pPr>
      <w:r>
        <w:rPr>
          <w:rFonts w:hint="eastAsia" w:eastAsia="黑体"/>
          <w:sz w:val="32"/>
          <w:szCs w:val="32"/>
        </w:rPr>
        <w:t>六、支付方式</w:t>
      </w:r>
    </w:p>
    <w:p w14:paraId="6C274C5D">
      <w:pPr>
        <w:adjustRightInd w:val="0"/>
        <w:snapToGrid w:val="0"/>
        <w:spacing w:line="600" w:lineRule="exact"/>
        <w:ind w:firstLine="640" w:firstLineChars="200"/>
        <w:outlineLvl w:val="1"/>
        <w:rPr>
          <w:rFonts w:eastAsia="仿宋_GB2312"/>
          <w:sz w:val="32"/>
          <w:szCs w:val="32"/>
          <w:u w:val="single"/>
        </w:rPr>
      </w:pPr>
      <w:r>
        <w:rPr>
          <w:rFonts w:hint="eastAsia" w:eastAsia="仿宋_GB2312"/>
          <w:sz w:val="32"/>
          <w:szCs w:val="32"/>
          <w:u w:val="single"/>
        </w:rPr>
        <w:t>本采购项目实际费用付款方为</w:t>
      </w:r>
      <w:r>
        <w:rPr>
          <w:rFonts w:hint="eastAsia" w:eastAsia="仿宋_GB2312"/>
          <w:sz w:val="32"/>
          <w:szCs w:val="32"/>
          <w:u w:val="single"/>
          <w:lang w:eastAsia="zh-CN"/>
        </w:rPr>
        <w:t>广东东鸿物业发展有限公司</w:t>
      </w:r>
      <w:r>
        <w:rPr>
          <w:rFonts w:hint="eastAsia" w:eastAsia="仿宋_GB2312"/>
          <w:sz w:val="32"/>
          <w:szCs w:val="32"/>
          <w:u w:val="single"/>
        </w:rPr>
        <w:t>（统一社会信用代码：91441900303952092A）</w:t>
      </w:r>
    </w:p>
    <w:p w14:paraId="3AA98758">
      <w:pPr>
        <w:adjustRightInd w:val="0"/>
        <w:snapToGrid w:val="0"/>
        <w:spacing w:line="600" w:lineRule="exact"/>
        <w:ind w:firstLine="640" w:firstLineChars="200"/>
        <w:outlineLvl w:val="1"/>
        <w:rPr>
          <w:rFonts w:eastAsia="仿宋_GB2312"/>
          <w:sz w:val="32"/>
          <w:szCs w:val="32"/>
          <w:u w:val="single"/>
        </w:rPr>
      </w:pPr>
      <w:r>
        <w:rPr>
          <w:rFonts w:eastAsia="仿宋_GB2312"/>
          <w:sz w:val="32"/>
          <w:szCs w:val="32"/>
          <w:u w:val="single"/>
        </w:rPr>
        <w:t>1、</w:t>
      </w:r>
      <w:r>
        <w:rPr>
          <w:rFonts w:hint="eastAsia" w:eastAsia="仿宋_GB2312"/>
          <w:sz w:val="32"/>
          <w:szCs w:val="32"/>
          <w:u w:val="single"/>
        </w:rPr>
        <w:t>成交单位完成公众责任险及财产一切险保单并经采购人审核确认后，成交单位提交相应请款资料</w:t>
      </w:r>
      <w:r>
        <w:rPr>
          <w:rFonts w:hint="eastAsia" w:eastAsia="仿宋_GB2312"/>
          <w:sz w:val="32"/>
          <w:szCs w:val="32"/>
          <w:u w:val="single"/>
          <w:lang w:eastAsia="zh-CN"/>
        </w:rPr>
        <w:t>，</w:t>
      </w:r>
      <w:r>
        <w:rPr>
          <w:rFonts w:hint="eastAsia" w:eastAsia="仿宋_GB2312"/>
          <w:sz w:val="32"/>
          <w:szCs w:val="32"/>
          <w:u w:val="single"/>
        </w:rPr>
        <w:t>经采购人审核无误后，由</w:t>
      </w:r>
      <w:r>
        <w:rPr>
          <w:rFonts w:hint="eastAsia" w:eastAsia="仿宋_GB2312"/>
          <w:sz w:val="32"/>
          <w:szCs w:val="32"/>
          <w:u w:val="single"/>
          <w:lang w:eastAsia="zh-CN"/>
        </w:rPr>
        <w:t>广东东鸿物业发展有限公司</w:t>
      </w:r>
      <w:r>
        <w:rPr>
          <w:rFonts w:hint="eastAsia" w:eastAsia="仿宋_GB2312"/>
          <w:sz w:val="32"/>
          <w:szCs w:val="32"/>
          <w:u w:val="single"/>
        </w:rPr>
        <w:t>在15</w:t>
      </w:r>
      <w:r>
        <w:rPr>
          <w:rFonts w:eastAsia="仿宋_GB2312"/>
          <w:sz w:val="32"/>
          <w:szCs w:val="32"/>
          <w:u w:val="single"/>
        </w:rPr>
        <w:t>个工作日内支付至合同总价的</w:t>
      </w:r>
      <w:r>
        <w:rPr>
          <w:rFonts w:hint="eastAsia" w:eastAsia="仿宋_GB2312"/>
          <w:sz w:val="32"/>
          <w:szCs w:val="32"/>
          <w:u w:val="single"/>
        </w:rPr>
        <w:t>100%，后出具正式的保单合同及相应金额的</w:t>
      </w:r>
      <w:r>
        <w:rPr>
          <w:rFonts w:eastAsia="仿宋_GB2312"/>
          <w:sz w:val="32"/>
          <w:szCs w:val="32"/>
          <w:u w:val="single"/>
        </w:rPr>
        <w:t>增值税</w:t>
      </w:r>
      <w:r>
        <w:rPr>
          <w:rFonts w:hint="eastAsia" w:eastAsia="仿宋_GB2312"/>
          <w:sz w:val="32"/>
          <w:szCs w:val="32"/>
          <w:u w:val="single"/>
        </w:rPr>
        <w:t>专用</w:t>
      </w:r>
      <w:r>
        <w:rPr>
          <w:rFonts w:eastAsia="仿宋_GB2312"/>
          <w:sz w:val="32"/>
          <w:szCs w:val="32"/>
          <w:u w:val="single"/>
        </w:rPr>
        <w:t>发票</w:t>
      </w:r>
      <w:r>
        <w:rPr>
          <w:rFonts w:hint="eastAsia" w:eastAsia="仿宋_GB2312"/>
          <w:sz w:val="32"/>
          <w:szCs w:val="32"/>
          <w:u w:val="single"/>
        </w:rPr>
        <w:t>；</w:t>
      </w:r>
    </w:p>
    <w:p w14:paraId="14BA02AE">
      <w:pPr>
        <w:adjustRightInd w:val="0"/>
        <w:snapToGrid w:val="0"/>
        <w:spacing w:line="600" w:lineRule="exact"/>
        <w:ind w:firstLine="640" w:firstLineChars="200"/>
        <w:outlineLvl w:val="1"/>
        <w:rPr>
          <w:rFonts w:eastAsia="黑体"/>
          <w:sz w:val="32"/>
          <w:szCs w:val="32"/>
        </w:rPr>
      </w:pPr>
      <w:r>
        <w:rPr>
          <w:rFonts w:hint="eastAsia" w:eastAsia="黑体"/>
          <w:sz w:val="32"/>
          <w:szCs w:val="32"/>
        </w:rPr>
        <w:t>七、报价</w:t>
      </w:r>
    </w:p>
    <w:p w14:paraId="7438ED95">
      <w:pPr>
        <w:adjustRightInd w:val="0"/>
        <w:snapToGrid w:val="0"/>
        <w:spacing w:line="600" w:lineRule="exact"/>
        <w:ind w:firstLine="640" w:firstLineChars="200"/>
        <w:outlineLvl w:val="1"/>
        <w:rPr>
          <w:rFonts w:hint="eastAsia" w:eastAsia="仿宋_GB2312"/>
          <w:sz w:val="32"/>
          <w:szCs w:val="32"/>
        </w:rPr>
      </w:pPr>
      <w:r>
        <w:rPr>
          <w:rFonts w:hint="eastAsia" w:eastAsia="仿宋_GB2312"/>
          <w:sz w:val="32"/>
          <w:szCs w:val="32"/>
        </w:rPr>
        <w:t>1、本项目含税最高采购限价¥167280.00元。报价应包含：本项目合同实施过程中的应预见和不可预见费用等。</w:t>
      </w:r>
    </w:p>
    <w:p w14:paraId="7ACD608F">
      <w:pPr>
        <w:adjustRightInd w:val="0"/>
        <w:snapToGrid w:val="0"/>
        <w:spacing w:line="600" w:lineRule="exact"/>
        <w:ind w:firstLine="640" w:firstLineChars="200"/>
        <w:outlineLvl w:val="1"/>
        <w:rPr>
          <w:rFonts w:hint="eastAsia" w:eastAsia="仿宋_GB2312"/>
          <w:sz w:val="32"/>
          <w:szCs w:val="32"/>
        </w:rPr>
      </w:pPr>
      <w:r>
        <w:rPr>
          <w:rFonts w:hint="eastAsia" w:eastAsia="仿宋_GB2312"/>
          <w:sz w:val="32"/>
          <w:szCs w:val="32"/>
        </w:rPr>
        <w:t>2、若投标人对某些项目未报价，则应认为已包括在投标报价内。</w:t>
      </w:r>
    </w:p>
    <w:p w14:paraId="4E5DDDC8">
      <w:pPr>
        <w:adjustRightInd w:val="0"/>
        <w:snapToGrid w:val="0"/>
        <w:spacing w:line="600" w:lineRule="exact"/>
        <w:ind w:firstLine="640" w:firstLineChars="200"/>
        <w:outlineLvl w:val="1"/>
        <w:rPr>
          <w:rFonts w:hint="eastAsia" w:eastAsia="仿宋_GB2312"/>
          <w:sz w:val="32"/>
          <w:szCs w:val="32"/>
        </w:rPr>
      </w:pPr>
      <w:r>
        <w:rPr>
          <w:rFonts w:hint="eastAsia" w:eastAsia="仿宋_GB2312"/>
          <w:sz w:val="32"/>
          <w:szCs w:val="32"/>
        </w:rPr>
        <w:t>3、响应人已充分考虑了本项目服务内容及要求描述工作量可能与最终实际工作量存在差距的风险。</w:t>
      </w:r>
    </w:p>
    <w:p w14:paraId="5A8A8A93">
      <w:pPr>
        <w:adjustRightInd w:val="0"/>
        <w:snapToGrid w:val="0"/>
        <w:spacing w:line="600" w:lineRule="exact"/>
        <w:ind w:firstLine="640" w:firstLineChars="200"/>
        <w:outlineLvl w:val="1"/>
        <w:rPr>
          <w:rFonts w:eastAsia="黑体"/>
          <w:sz w:val="32"/>
          <w:szCs w:val="32"/>
        </w:rPr>
      </w:pPr>
      <w:r>
        <w:rPr>
          <w:rFonts w:hint="eastAsia" w:eastAsia="黑体"/>
          <w:sz w:val="32"/>
          <w:szCs w:val="32"/>
        </w:rPr>
        <w:t>八、定标</w:t>
      </w:r>
    </w:p>
    <w:p w14:paraId="0FF2FD66">
      <w:pPr>
        <w:spacing w:line="600" w:lineRule="exact"/>
        <w:ind w:firstLine="640" w:firstLineChars="200"/>
        <w:rPr>
          <w:rFonts w:eastAsia="仿宋_GB2312"/>
          <w:sz w:val="32"/>
          <w:szCs w:val="32"/>
          <w:u w:val="none"/>
        </w:rPr>
      </w:pPr>
      <w:r>
        <w:rPr>
          <w:rFonts w:hint="eastAsia" w:eastAsia="仿宋_GB2312"/>
          <w:sz w:val="32"/>
          <w:szCs w:val="32"/>
          <w:u w:val="none"/>
        </w:rPr>
        <w:t>本次项目采用询价方式进行采购，询价小组对各供应商响应文件进行审核，并根据质量和服务均能满足采购文件实质性响应要求且报价最低的原则，推荐成交候选供应商。</w:t>
      </w:r>
    </w:p>
    <w:p w14:paraId="77EFFD48">
      <w:pPr>
        <w:spacing w:line="600" w:lineRule="exact"/>
        <w:ind w:firstLine="640" w:firstLineChars="200"/>
        <w:rPr>
          <w:rFonts w:eastAsia="仿宋_GB2312"/>
          <w:sz w:val="32"/>
          <w:szCs w:val="32"/>
          <w:u w:val="none"/>
        </w:rPr>
      </w:pPr>
      <w:r>
        <w:rPr>
          <w:rFonts w:hint="eastAsia" w:eastAsia="仿宋_GB2312"/>
          <w:sz w:val="32"/>
          <w:szCs w:val="32"/>
          <w:u w:val="none"/>
        </w:rPr>
        <w:t>询价结束后，招标采购工作小组将相关询价情况按程序审批并确定成交人。</w:t>
      </w:r>
    </w:p>
    <w:p w14:paraId="4CD49B15">
      <w:pPr>
        <w:adjustRightInd w:val="0"/>
        <w:snapToGrid w:val="0"/>
        <w:spacing w:line="600" w:lineRule="exact"/>
        <w:ind w:firstLine="640" w:firstLineChars="200"/>
        <w:outlineLvl w:val="1"/>
        <w:rPr>
          <w:rFonts w:eastAsia="黑体"/>
          <w:sz w:val="32"/>
          <w:szCs w:val="32"/>
        </w:rPr>
      </w:pPr>
      <w:r>
        <w:rPr>
          <w:rFonts w:hint="eastAsia" w:eastAsia="黑体"/>
          <w:sz w:val="32"/>
          <w:szCs w:val="32"/>
        </w:rPr>
        <w:t>九、采取的合同文本</w:t>
      </w:r>
    </w:p>
    <w:p w14:paraId="134E4C13">
      <w:pPr>
        <w:spacing w:line="600" w:lineRule="exact"/>
        <w:ind w:firstLine="640" w:firstLineChars="200"/>
        <w:rPr>
          <w:rFonts w:eastAsia="仿宋_GB2312"/>
          <w:sz w:val="32"/>
          <w:szCs w:val="32"/>
          <w:highlight w:val="yellow"/>
        </w:rPr>
      </w:pPr>
      <w:r>
        <w:rPr>
          <w:rFonts w:hint="eastAsia" w:eastAsia="仿宋_GB2312"/>
          <w:sz w:val="32"/>
          <w:szCs w:val="32"/>
        </w:rPr>
        <w:t>合同签订的依据为询价文件、响应文件及补充说明等。确定成交单位后</w:t>
      </w:r>
      <w:r>
        <w:rPr>
          <w:rFonts w:hint="eastAsia" w:eastAsia="仿宋_GB2312"/>
          <w:sz w:val="32"/>
          <w:szCs w:val="32"/>
          <w:highlight w:val="none"/>
        </w:rPr>
        <w:t>，成交单位在</w:t>
      </w:r>
      <w:r>
        <w:rPr>
          <w:rFonts w:eastAsia="仿宋_GB2312"/>
          <w:sz w:val="32"/>
          <w:szCs w:val="32"/>
          <w:highlight w:val="none"/>
          <w:u w:val="single"/>
        </w:rPr>
        <w:t>15</w:t>
      </w:r>
      <w:r>
        <w:rPr>
          <w:rFonts w:hint="eastAsia" w:eastAsia="仿宋_GB2312"/>
          <w:sz w:val="32"/>
          <w:szCs w:val="32"/>
          <w:highlight w:val="none"/>
        </w:rPr>
        <w:t>天内与采购人</w:t>
      </w:r>
      <w:r>
        <w:rPr>
          <w:rFonts w:hint="eastAsia" w:eastAsia="仿宋_GB2312"/>
          <w:sz w:val="32"/>
          <w:szCs w:val="32"/>
          <w:highlight w:val="none"/>
          <w:u w:val="single"/>
        </w:rPr>
        <w:t>签订合同</w:t>
      </w:r>
      <w:r>
        <w:rPr>
          <w:rFonts w:hint="eastAsia" w:eastAsia="仿宋_GB2312"/>
          <w:sz w:val="32"/>
          <w:szCs w:val="32"/>
          <w:highlight w:val="none"/>
        </w:rPr>
        <w:t>。</w:t>
      </w:r>
    </w:p>
    <w:p w14:paraId="3DC92768">
      <w:pPr>
        <w:spacing w:line="600" w:lineRule="exact"/>
        <w:ind w:firstLine="640" w:firstLineChars="200"/>
        <w:rPr>
          <w:rFonts w:eastAsia="仿宋_GB2312"/>
          <w:sz w:val="32"/>
          <w:szCs w:val="32"/>
        </w:rPr>
      </w:pPr>
    </w:p>
    <w:p w14:paraId="68F98497">
      <w:pPr>
        <w:adjustRightInd w:val="0"/>
        <w:snapToGrid w:val="0"/>
        <w:spacing w:line="600" w:lineRule="exact"/>
        <w:ind w:firstLine="640" w:firstLineChars="200"/>
        <w:outlineLvl w:val="1"/>
        <w:rPr>
          <w:rFonts w:eastAsia="黑体"/>
          <w:sz w:val="32"/>
          <w:szCs w:val="32"/>
        </w:rPr>
      </w:pPr>
      <w:r>
        <w:rPr>
          <w:rFonts w:eastAsia="黑体"/>
          <w:sz w:val="32"/>
          <w:szCs w:val="32"/>
        </w:rPr>
        <w:sym w:font="Wingdings" w:char="F0AB"/>
      </w:r>
      <w:r>
        <w:rPr>
          <w:rFonts w:hint="eastAsia" w:eastAsia="黑体"/>
          <w:sz w:val="32"/>
          <w:szCs w:val="32"/>
        </w:rPr>
        <w:t>十、响应文件的组成部分（响应文件本项资料如有不全，则作无效报价处理）</w:t>
      </w:r>
    </w:p>
    <w:p w14:paraId="78E9B11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报价函（模板）；</w:t>
      </w:r>
    </w:p>
    <w:p w14:paraId="4F79894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2、法定代表人身份证明（模板）以及法定代表人身份证复印件；</w:t>
      </w:r>
    </w:p>
    <w:p w14:paraId="662B41C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3、法人授权书（模板）及被委托人身份证复印件</w:t>
      </w:r>
      <w:r>
        <w:rPr>
          <w:rFonts w:hint="eastAsia" w:ascii="Times New Roman" w:hAnsi="Times New Roman" w:eastAsia="仿宋_GB2312" w:cs="Times New Roman"/>
          <w:sz w:val="32"/>
          <w:szCs w:val="32"/>
          <w:lang w:eastAsia="zh-CN"/>
        </w:rPr>
        <w:t>（非法人参与时需提供）</w:t>
      </w:r>
      <w:r>
        <w:rPr>
          <w:rFonts w:hint="eastAsia" w:ascii="Times New Roman" w:hAnsi="Times New Roman" w:eastAsia="仿宋_GB2312" w:cs="Times New Roman"/>
          <w:sz w:val="32"/>
          <w:szCs w:val="32"/>
        </w:rPr>
        <w:t>；</w:t>
      </w:r>
    </w:p>
    <w:p w14:paraId="459DFF9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4、承诺函（模板）；</w:t>
      </w:r>
    </w:p>
    <w:p w14:paraId="40C5B7A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5、符合“响应人资格要求”对应的证明资料；</w:t>
      </w:r>
    </w:p>
    <w:p w14:paraId="7D8B39D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、响应人认为需要提供的其他资料。</w:t>
      </w:r>
    </w:p>
    <w:p w14:paraId="10E8CF9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响应人须严格按照采购人提供的表单格式报价，响应文件必须装订完整，于骑缝处加盖投标单位企业公章。装有响应文件的文件袋须贴有密封条，于骑缝处加盖企业公章。</w:t>
      </w:r>
    </w:p>
    <w:p w14:paraId="185E9210">
      <w:pPr>
        <w:adjustRightInd w:val="0"/>
        <w:snapToGrid w:val="0"/>
        <w:spacing w:line="600" w:lineRule="exact"/>
        <w:ind w:firstLine="640" w:firstLineChars="200"/>
        <w:outlineLvl w:val="1"/>
        <w:rPr>
          <w:rFonts w:eastAsia="黑体"/>
          <w:sz w:val="32"/>
          <w:szCs w:val="32"/>
        </w:rPr>
      </w:pPr>
      <w:r>
        <w:rPr>
          <w:rFonts w:hint="eastAsia" w:eastAsia="黑体"/>
          <w:sz w:val="32"/>
          <w:szCs w:val="32"/>
        </w:rPr>
        <w:t>十一、响应文件份数</w:t>
      </w:r>
    </w:p>
    <w:p w14:paraId="7F16400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正本一份，并提供响应文件扫描件电子版（U盘）。</w:t>
      </w:r>
    </w:p>
    <w:p w14:paraId="36619037">
      <w:pPr>
        <w:adjustRightInd w:val="0"/>
        <w:snapToGrid w:val="0"/>
        <w:spacing w:line="600" w:lineRule="exact"/>
        <w:ind w:firstLine="640" w:firstLineChars="200"/>
        <w:outlineLvl w:val="1"/>
        <w:rPr>
          <w:rFonts w:eastAsia="黑体"/>
          <w:sz w:val="32"/>
          <w:szCs w:val="32"/>
        </w:rPr>
      </w:pPr>
      <w:r>
        <w:rPr>
          <w:rFonts w:hint="eastAsia" w:eastAsia="黑体"/>
          <w:sz w:val="32"/>
          <w:szCs w:val="32"/>
        </w:rPr>
        <w:t>十二、开标时间及地址</w:t>
      </w:r>
    </w:p>
    <w:p w14:paraId="4A0BB370">
      <w:pPr>
        <w:spacing w:line="600" w:lineRule="exact"/>
        <w:ind w:firstLine="640" w:firstLineChars="200"/>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1、开标时间：</w:t>
      </w:r>
      <w:r>
        <w:rPr>
          <w:rFonts w:hint="eastAsia" w:ascii="仿宋_GB2312" w:hAnsi="仿宋_GB2312" w:eastAsia="仿宋_GB2312" w:cs="仿宋_GB2312"/>
          <w:b w:val="0"/>
          <w:bCs/>
          <w:color w:val="000000"/>
          <w:sz w:val="32"/>
          <w:szCs w:val="32"/>
          <w:highlight w:val="none"/>
          <w:u w:val="single"/>
        </w:rPr>
        <w:t>202</w:t>
      </w:r>
      <w:r>
        <w:rPr>
          <w:rFonts w:hint="eastAsia" w:ascii="仿宋_GB2312" w:hAnsi="仿宋_GB2312" w:eastAsia="仿宋_GB2312" w:cs="仿宋_GB2312"/>
          <w:b w:val="0"/>
          <w:bCs/>
          <w:color w:val="000000"/>
          <w:sz w:val="32"/>
          <w:szCs w:val="32"/>
          <w:highlight w:val="none"/>
          <w:u w:val="single"/>
          <w:lang w:val="en-US" w:eastAsia="zh-CN"/>
        </w:rPr>
        <w:t>6</w:t>
      </w:r>
      <w:r>
        <w:rPr>
          <w:rFonts w:hint="eastAsia" w:ascii="仿宋_GB2312" w:hAnsi="仿宋_GB2312" w:eastAsia="仿宋_GB2312" w:cs="仿宋_GB2312"/>
          <w:b w:val="0"/>
          <w:bCs/>
          <w:color w:val="000000"/>
          <w:sz w:val="32"/>
          <w:szCs w:val="32"/>
          <w:highlight w:val="none"/>
        </w:rPr>
        <w:t>年</w:t>
      </w:r>
      <w:r>
        <w:rPr>
          <w:rFonts w:hint="eastAsia" w:ascii="仿宋_GB2312" w:hAnsi="仿宋_GB2312" w:eastAsia="仿宋_GB2312" w:cs="仿宋_GB2312"/>
          <w:b w:val="0"/>
          <w:bCs/>
          <w:color w:val="000000"/>
          <w:sz w:val="32"/>
          <w:szCs w:val="32"/>
          <w:highlight w:val="none"/>
          <w:u w:val="single"/>
        </w:rPr>
        <w:t xml:space="preserve"> </w:t>
      </w:r>
      <w:r>
        <w:rPr>
          <w:rFonts w:hint="eastAsia" w:ascii="仿宋_GB2312" w:hAnsi="仿宋_GB2312" w:eastAsia="仿宋_GB2312" w:cs="仿宋_GB2312"/>
          <w:b w:val="0"/>
          <w:bCs/>
          <w:color w:val="000000"/>
          <w:sz w:val="32"/>
          <w:szCs w:val="32"/>
          <w:highlight w:val="none"/>
          <w:u w:val="single"/>
          <w:lang w:val="en-US" w:eastAsia="zh-CN"/>
        </w:rPr>
        <w:t xml:space="preserve">6 </w:t>
      </w:r>
      <w:r>
        <w:rPr>
          <w:rFonts w:hint="eastAsia" w:ascii="仿宋_GB2312" w:hAnsi="仿宋_GB2312" w:eastAsia="仿宋_GB2312" w:cs="仿宋_GB2312"/>
          <w:b w:val="0"/>
          <w:bCs/>
          <w:color w:val="000000"/>
          <w:sz w:val="32"/>
          <w:szCs w:val="32"/>
          <w:highlight w:val="none"/>
        </w:rPr>
        <w:t>月</w:t>
      </w:r>
      <w:r>
        <w:rPr>
          <w:rFonts w:hint="eastAsia" w:ascii="仿宋_GB2312" w:hAnsi="仿宋_GB2312" w:eastAsia="仿宋_GB2312" w:cs="仿宋_GB2312"/>
          <w:b w:val="0"/>
          <w:bCs/>
          <w:color w:val="000000"/>
          <w:sz w:val="32"/>
          <w:szCs w:val="32"/>
          <w:highlight w:val="none"/>
          <w:u w:val="single"/>
          <w:lang w:val="en-US" w:eastAsia="zh-CN"/>
        </w:rPr>
        <w:t xml:space="preserve"> 5 </w:t>
      </w:r>
      <w:r>
        <w:rPr>
          <w:rFonts w:hint="eastAsia" w:ascii="仿宋_GB2312" w:hAnsi="仿宋_GB2312" w:eastAsia="仿宋_GB2312" w:cs="仿宋_GB2312"/>
          <w:b w:val="0"/>
          <w:bCs/>
          <w:color w:val="000000"/>
          <w:sz w:val="32"/>
          <w:szCs w:val="32"/>
          <w:highlight w:val="none"/>
        </w:rPr>
        <w:t>日</w:t>
      </w:r>
      <w:r>
        <w:rPr>
          <w:rFonts w:hint="eastAsia" w:ascii="仿宋_GB2312" w:hAnsi="仿宋_GB2312" w:eastAsia="仿宋_GB2312" w:cs="仿宋_GB2312"/>
          <w:b w:val="0"/>
          <w:bCs/>
          <w:color w:val="000000"/>
          <w:sz w:val="32"/>
          <w:szCs w:val="32"/>
          <w:highlight w:val="none"/>
          <w:u w:val="single"/>
          <w:lang w:eastAsia="zh-CN"/>
        </w:rPr>
        <w:t>上</w:t>
      </w:r>
      <w:r>
        <w:rPr>
          <w:rFonts w:hint="eastAsia" w:ascii="仿宋_GB2312" w:hAnsi="仿宋_GB2312" w:eastAsia="仿宋_GB2312" w:cs="仿宋_GB2312"/>
          <w:b w:val="0"/>
          <w:bCs/>
          <w:color w:val="000000"/>
          <w:sz w:val="32"/>
          <w:szCs w:val="32"/>
          <w:highlight w:val="none"/>
        </w:rPr>
        <w:t>午</w:t>
      </w:r>
      <w:r>
        <w:rPr>
          <w:rFonts w:hint="eastAsia" w:ascii="仿宋_GB2312" w:hAnsi="仿宋_GB2312" w:eastAsia="仿宋_GB2312" w:cs="仿宋_GB2312"/>
          <w:b w:val="0"/>
          <w:bCs/>
          <w:color w:val="000000"/>
          <w:sz w:val="32"/>
          <w:szCs w:val="32"/>
          <w:highlight w:val="none"/>
          <w:u w:val="single"/>
          <w:lang w:val="en-US" w:eastAsia="zh-CN"/>
        </w:rPr>
        <w:t>10</w:t>
      </w:r>
      <w:r>
        <w:rPr>
          <w:rFonts w:hint="eastAsia" w:ascii="仿宋_GB2312" w:hAnsi="仿宋_GB2312" w:eastAsia="仿宋_GB2312" w:cs="仿宋_GB2312"/>
          <w:b w:val="0"/>
          <w:bCs/>
          <w:color w:val="000000"/>
          <w:sz w:val="32"/>
          <w:szCs w:val="32"/>
          <w:highlight w:val="none"/>
          <w:u w:val="single"/>
        </w:rPr>
        <w:t>:30</w:t>
      </w:r>
      <w:r>
        <w:rPr>
          <w:rFonts w:hint="eastAsia" w:ascii="仿宋_GB2312" w:hAnsi="仿宋_GB2312" w:eastAsia="仿宋_GB2312" w:cs="仿宋_GB2312"/>
          <w:b w:val="0"/>
          <w:bCs/>
          <w:color w:val="000000"/>
          <w:sz w:val="32"/>
          <w:szCs w:val="32"/>
          <w:highlight w:val="none"/>
        </w:rPr>
        <w:t>。</w:t>
      </w:r>
    </w:p>
    <w:p w14:paraId="679F8392">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2、开标地址：</w:t>
      </w:r>
      <w:r>
        <w:rPr>
          <w:rFonts w:hint="eastAsia" w:ascii="仿宋_GB2312" w:hAnsi="仿宋_GB2312" w:eastAsia="仿宋_GB2312" w:cs="仿宋_GB2312"/>
          <w:b w:val="0"/>
          <w:bCs/>
          <w:sz w:val="32"/>
          <w:szCs w:val="32"/>
          <w:u w:val="single"/>
        </w:rPr>
        <w:t>东莞市宏伟五路1号东鸿公司会议室</w:t>
      </w:r>
    </w:p>
    <w:p w14:paraId="735FBEAD">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u w:val="single"/>
        </w:rPr>
        <w:t xml:space="preserve">吴先生  </w:t>
      </w:r>
    </w:p>
    <w:p w14:paraId="01B4B640">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0769-23078130 </w:t>
      </w:r>
    </w:p>
    <w:p w14:paraId="5D4339E0">
      <w:pPr>
        <w:spacing w:line="600" w:lineRule="exact"/>
        <w:ind w:firstLine="640" w:firstLineChars="200"/>
        <w:rPr>
          <w:rFonts w:eastAsia="仿宋_GB2312"/>
          <w:sz w:val="32"/>
          <w:szCs w:val="32"/>
        </w:rPr>
      </w:pPr>
    </w:p>
    <w:p w14:paraId="7BEAB68A">
      <w:pPr>
        <w:adjustRightInd w:val="0"/>
        <w:snapToGrid w:val="0"/>
        <w:spacing w:line="600" w:lineRule="exact"/>
        <w:ind w:firstLine="640" w:firstLineChars="200"/>
        <w:outlineLvl w:val="1"/>
        <w:rPr>
          <w:rFonts w:eastAsia="黑体"/>
          <w:sz w:val="32"/>
          <w:szCs w:val="32"/>
        </w:rPr>
      </w:pPr>
      <w:r>
        <w:rPr>
          <w:rFonts w:hint="eastAsia" w:eastAsia="黑体"/>
          <w:sz w:val="32"/>
          <w:szCs w:val="32"/>
        </w:rPr>
        <w:t>十三、注意事项</w:t>
      </w:r>
    </w:p>
    <w:p w14:paraId="7669B3FB">
      <w:pPr>
        <w:spacing w:line="580" w:lineRule="exact"/>
        <w:ind w:firstLine="640" w:firstLineChars="200"/>
        <w:rPr>
          <w:rFonts w:eastAsia="仿宋_GB2312"/>
          <w:color w:val="000000"/>
          <w:sz w:val="32"/>
          <w:szCs w:val="32"/>
        </w:rPr>
      </w:pPr>
      <w:bookmarkStart w:id="1" w:name="_Hlk517879660"/>
      <w:r>
        <w:rPr>
          <w:rFonts w:eastAsia="仿宋_GB2312"/>
          <w:color w:val="000000"/>
          <w:sz w:val="32"/>
          <w:szCs w:val="32"/>
        </w:rPr>
        <w:t>1、若响应人未按规定时间将文件送达现场，视为放弃投标资格。</w:t>
      </w:r>
    </w:p>
    <w:p w14:paraId="502A9B18">
      <w:pPr>
        <w:spacing w:line="580" w:lineRule="exact"/>
        <w:ind w:firstLine="640" w:firstLineChars="200"/>
        <w:rPr>
          <w:rFonts w:eastAsia="仿宋_GB2312"/>
          <w:color w:val="000000"/>
          <w:sz w:val="32"/>
          <w:szCs w:val="32"/>
        </w:rPr>
      </w:pPr>
      <w:r>
        <w:rPr>
          <w:rFonts w:eastAsia="仿宋_GB2312"/>
          <w:color w:val="000000"/>
          <w:sz w:val="32"/>
          <w:szCs w:val="32"/>
        </w:rPr>
        <w:t>2、采购人向响应人提供的有关资料和数据，是采购人现有的能使响应人利用的资料，采购人对响应人由此而做出的推论、理解和结论概不负责。</w:t>
      </w:r>
    </w:p>
    <w:p w14:paraId="0D8CCBC0">
      <w:pPr>
        <w:spacing w:line="580" w:lineRule="exact"/>
        <w:ind w:firstLine="640" w:firstLineChars="200"/>
        <w:rPr>
          <w:rFonts w:eastAsia="仿宋_GB2312"/>
          <w:color w:val="000000"/>
          <w:sz w:val="32"/>
          <w:szCs w:val="32"/>
        </w:rPr>
      </w:pPr>
      <w:r>
        <w:rPr>
          <w:rFonts w:eastAsia="仿宋_GB2312"/>
          <w:color w:val="000000"/>
          <w:sz w:val="32"/>
          <w:szCs w:val="32"/>
        </w:rPr>
        <w:t>3、本项目执行过程中将遵循国家、省、市有关法律、法规、标准、技术规范和规范性文件的最新规定。</w:t>
      </w:r>
    </w:p>
    <w:p w14:paraId="6D714B08">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4、成交单位对采购文件中技术条款作出的负偏离，采购人如不接受，可要求成交单位以采购文件的要求为准，如成交单位拒绝的，采购人有权取消其成交资格或取消合同。采购人不作任何补偿。</w:t>
      </w:r>
    </w:p>
    <w:p w14:paraId="2E585A48">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5、本项目仅可提交一个报价方案，提交两个或以上报价方案的报价人视为无效报价。</w:t>
      </w:r>
    </w:p>
    <w:p w14:paraId="0E8C570C">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6、本项目不接受报价人其他附加条件。</w:t>
      </w:r>
    </w:p>
    <w:p w14:paraId="38F42780">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7、有下列情形之一的，并纳入采购人供应商黑名单：</w:t>
      </w:r>
    </w:p>
    <w:p w14:paraId="099C1F90">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（1）中标后无正当理由放弃中标或不与采购人签订合同。</w:t>
      </w:r>
    </w:p>
    <w:p w14:paraId="4573846B">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（2）成交人将本项目转让给他人，或者在报价文件中未说明，且未经采购人同意，将中标项目分包给他人。</w:t>
      </w:r>
    </w:p>
    <w:p w14:paraId="7BABE40B">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（3）报价人提供虚假报价文件或虚假补充文件。</w:t>
      </w:r>
    </w:p>
    <w:p w14:paraId="0C587EC6">
      <w:pPr>
        <w:widowControl/>
        <w:spacing w:line="580" w:lineRule="exact"/>
        <w:jc w:val="left"/>
        <w:rPr>
          <w:rFonts w:eastAsia="仿宋_GB2312"/>
          <w:color w:val="000000"/>
          <w:sz w:val="32"/>
          <w:szCs w:val="32"/>
        </w:rPr>
      </w:pPr>
    </w:p>
    <w:bookmarkEnd w:id="1"/>
    <w:p w14:paraId="3A042050">
      <w:pPr>
        <w:widowControl/>
        <w:spacing w:line="600" w:lineRule="exact"/>
        <w:jc w:val="left"/>
        <w:rPr>
          <w:rFonts w:eastAsia="仿宋_GB2312"/>
          <w:sz w:val="32"/>
          <w:szCs w:val="32"/>
        </w:rPr>
      </w:pPr>
    </w:p>
    <w:p w14:paraId="4B58613F">
      <w:pPr>
        <w:spacing w:line="600" w:lineRule="exact"/>
        <w:jc w:val="right"/>
        <w:rPr>
          <w:rFonts w:eastAsia="仿宋_GB2312"/>
          <w:sz w:val="32"/>
          <w:szCs w:val="32"/>
        </w:rPr>
      </w:pPr>
      <w:r>
        <w:rPr>
          <w:rFonts w:hint="eastAsia" w:eastAsia="仿宋_GB2312"/>
          <w:sz w:val="32"/>
          <w:szCs w:val="32"/>
          <w:lang w:eastAsia="zh-CN"/>
        </w:rPr>
        <w:t>广东东鸿物业发展有限公司</w:t>
      </w:r>
      <w:r>
        <w:rPr>
          <w:rFonts w:eastAsia="仿宋_GB2312"/>
          <w:sz w:val="32"/>
          <w:szCs w:val="32"/>
        </w:rPr>
        <w:t xml:space="preserve">          </w:t>
      </w:r>
    </w:p>
    <w:p w14:paraId="189792F8">
      <w:pPr>
        <w:spacing w:line="600" w:lineRule="exact"/>
        <w:ind w:firstLine="640" w:firstLineChars="200"/>
        <w:jc w:val="center"/>
        <w:rPr>
          <w:rFonts w:eastAsia="仿宋_GB2312"/>
          <w:sz w:val="32"/>
          <w:szCs w:val="32"/>
        </w:rPr>
      </w:pPr>
      <w:r>
        <w:rPr>
          <w:rFonts w:hint="eastAsia" w:eastAsia="仿宋_GB2312"/>
          <w:sz w:val="32"/>
          <w:szCs w:val="32"/>
        </w:rPr>
        <w:t xml:space="preserve">                       </w:t>
      </w: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年</w:t>
      </w:r>
      <w:r>
        <w:rPr>
          <w:rFonts w:hint="eastAsia" w:eastAsia="仿宋_GB2312"/>
          <w:sz w:val="32"/>
          <w:szCs w:val="32"/>
          <w:lang w:val="en-US" w:eastAsia="zh-CN"/>
        </w:rPr>
        <w:t>05</w:t>
      </w:r>
      <w:r>
        <w:rPr>
          <w:rFonts w:hint="eastAsia" w:eastAsia="仿宋_GB2312"/>
          <w:sz w:val="32"/>
          <w:szCs w:val="32"/>
        </w:rPr>
        <w:t>月</w:t>
      </w:r>
      <w:r>
        <w:rPr>
          <w:rFonts w:hint="eastAsia" w:eastAsia="仿宋_GB2312"/>
          <w:sz w:val="32"/>
          <w:szCs w:val="32"/>
          <w:lang w:val="en-US" w:eastAsia="zh-CN"/>
        </w:rPr>
        <w:t>22</w:t>
      </w:r>
      <w:r>
        <w:rPr>
          <w:rFonts w:hint="eastAsia" w:eastAsia="仿宋_GB2312"/>
          <w:sz w:val="32"/>
          <w:szCs w:val="32"/>
        </w:rPr>
        <w:t>日</w:t>
      </w:r>
    </w:p>
    <w:p w14:paraId="09EDE8D9">
      <w:pPr>
        <w:widowControl/>
        <w:spacing w:line="600" w:lineRule="exact"/>
        <w:ind w:firstLine="640" w:firstLineChars="200"/>
        <w:jc w:val="left"/>
        <w:rPr>
          <w:rFonts w:eastAsia="仿宋_GB2312"/>
          <w:sz w:val="32"/>
          <w:szCs w:val="32"/>
        </w:rPr>
        <w:sectPr>
          <w:headerReference r:id="rId3" w:type="default"/>
          <w:pgSz w:w="11906" w:h="16838"/>
          <w:pgMar w:top="1440" w:right="1474" w:bottom="1440" w:left="1587" w:header="851" w:footer="992" w:gutter="0"/>
          <w:cols w:space="720" w:num="1"/>
          <w:docGrid w:type="lines" w:linePitch="312" w:charSpace="0"/>
        </w:sectPr>
      </w:pPr>
    </w:p>
    <w:p w14:paraId="070A7B84">
      <w:pPr>
        <w:pStyle w:val="37"/>
        <w:ind w:firstLine="0" w:firstLineChars="0"/>
        <w:jc w:val="left"/>
        <w:outlineLvl w:val="1"/>
        <w:rPr>
          <w:rFonts w:eastAsia="黑体"/>
          <w:sz w:val="28"/>
          <w:szCs w:val="44"/>
        </w:rPr>
      </w:pPr>
      <w:r>
        <w:rPr>
          <w:rFonts w:hint="eastAsia" w:eastAsia="黑体"/>
          <w:sz w:val="28"/>
          <w:szCs w:val="44"/>
        </w:rPr>
        <w:t>附件一 响应须知</w:t>
      </w:r>
    </w:p>
    <w:p w14:paraId="383130A6">
      <w:pPr>
        <w:jc w:val="center"/>
        <w:rPr>
          <w:rFonts w:eastAsia="华文中宋"/>
          <w:sz w:val="44"/>
          <w:szCs w:val="44"/>
        </w:rPr>
      </w:pPr>
      <w:r>
        <w:rPr>
          <w:rFonts w:hint="eastAsia" w:eastAsia="华文中宋"/>
          <w:sz w:val="44"/>
          <w:szCs w:val="44"/>
        </w:rPr>
        <w:t>响应须知</w:t>
      </w:r>
    </w:p>
    <w:tbl>
      <w:tblPr>
        <w:tblStyle w:val="19"/>
        <w:tblW w:w="93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92"/>
        <w:gridCol w:w="6366"/>
      </w:tblGrid>
      <w:tr w14:paraId="43700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522424E6">
            <w:pPr>
              <w:pStyle w:val="18"/>
              <w:spacing w:after="0" w:line="360" w:lineRule="auto"/>
              <w:ind w:firstLine="0" w:firstLineChars="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项号</w:t>
            </w:r>
          </w:p>
        </w:tc>
        <w:tc>
          <w:tcPr>
            <w:tcW w:w="2092" w:type="dxa"/>
            <w:tcBorders>
              <w:top w:val="double" w:color="auto" w:sz="4" w:space="0"/>
            </w:tcBorders>
            <w:vAlign w:val="center"/>
          </w:tcPr>
          <w:p w14:paraId="4FA8682A">
            <w:pPr>
              <w:pStyle w:val="18"/>
              <w:spacing w:after="0" w:line="360" w:lineRule="auto"/>
              <w:ind w:firstLine="32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内容</w:t>
            </w:r>
          </w:p>
        </w:tc>
        <w:tc>
          <w:tcPr>
            <w:tcW w:w="6366" w:type="dxa"/>
            <w:tcBorders>
              <w:top w:val="double" w:color="auto" w:sz="4" w:space="0"/>
            </w:tcBorders>
            <w:vAlign w:val="center"/>
          </w:tcPr>
          <w:p w14:paraId="0AB10095">
            <w:pPr>
              <w:pStyle w:val="18"/>
              <w:spacing w:after="0" w:line="360" w:lineRule="auto"/>
              <w:ind w:firstLine="32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说明与要求</w:t>
            </w:r>
          </w:p>
        </w:tc>
      </w:tr>
      <w:tr w14:paraId="391FC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BF4B613">
            <w:pPr>
              <w:spacing w:line="360" w:lineRule="auto"/>
              <w:jc w:val="center"/>
              <w:rPr>
                <w:rFonts w:eastAsia="仿宋_GB2312"/>
                <w:sz w:val="32"/>
                <w:szCs w:val="32"/>
              </w:rPr>
            </w:pPr>
            <w:r>
              <w:rPr>
                <w:rFonts w:eastAsia="仿宋_GB2312"/>
                <w:sz w:val="32"/>
                <w:szCs w:val="32"/>
              </w:rPr>
              <w:t>1</w:t>
            </w:r>
          </w:p>
        </w:tc>
        <w:tc>
          <w:tcPr>
            <w:tcW w:w="2092" w:type="dxa"/>
            <w:vAlign w:val="center"/>
          </w:tcPr>
          <w:p w14:paraId="35F9D9CF">
            <w:pPr>
              <w:spacing w:line="360" w:lineRule="auto"/>
              <w:jc w:val="center"/>
              <w:rPr>
                <w:rFonts w:eastAsia="仿宋_GB2312"/>
                <w:sz w:val="32"/>
                <w:szCs w:val="32"/>
              </w:rPr>
            </w:pPr>
            <w:r>
              <w:rPr>
                <w:rFonts w:hint="eastAsia" w:eastAsia="仿宋_GB2312"/>
                <w:sz w:val="32"/>
                <w:szCs w:val="32"/>
              </w:rPr>
              <w:t>项目名称</w:t>
            </w:r>
          </w:p>
        </w:tc>
        <w:tc>
          <w:tcPr>
            <w:tcW w:w="6366" w:type="dxa"/>
            <w:vAlign w:val="center"/>
          </w:tcPr>
          <w:p w14:paraId="4D25AB0C">
            <w:pPr>
              <w:adjustRightInd w:val="0"/>
              <w:snapToGrid w:val="0"/>
              <w:spacing w:line="560" w:lineRule="exact"/>
              <w:rPr>
                <w:rFonts w:eastAsia="仿宋_GB2312"/>
                <w:sz w:val="32"/>
                <w:szCs w:val="32"/>
              </w:rPr>
            </w:pPr>
            <w:r>
              <w:rPr>
                <w:rFonts w:hint="eastAsia" w:eastAsia="仿宋_GB2312"/>
                <w:sz w:val="32"/>
                <w:szCs w:val="32"/>
              </w:rPr>
              <w:t>道滘数智园公众责任险及财产一切险服务采购项目</w:t>
            </w:r>
            <w:bookmarkStart w:id="8" w:name="_GoBack"/>
            <w:bookmarkEnd w:id="8"/>
          </w:p>
        </w:tc>
      </w:tr>
      <w:tr w14:paraId="72579D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2CEA7D9">
            <w:pPr>
              <w:spacing w:line="360" w:lineRule="auto"/>
              <w:jc w:val="center"/>
              <w:rPr>
                <w:rFonts w:eastAsia="仿宋_GB2312"/>
                <w:sz w:val="32"/>
                <w:szCs w:val="32"/>
              </w:rPr>
            </w:pPr>
            <w:r>
              <w:rPr>
                <w:rFonts w:eastAsia="仿宋_GB2312"/>
                <w:sz w:val="32"/>
                <w:szCs w:val="32"/>
              </w:rPr>
              <w:t>2</w:t>
            </w:r>
          </w:p>
        </w:tc>
        <w:tc>
          <w:tcPr>
            <w:tcW w:w="2092" w:type="dxa"/>
            <w:vAlign w:val="center"/>
          </w:tcPr>
          <w:p w14:paraId="1D09F777">
            <w:pPr>
              <w:spacing w:line="360" w:lineRule="auto"/>
              <w:jc w:val="center"/>
              <w:rPr>
                <w:rFonts w:eastAsia="仿宋_GB2312"/>
                <w:sz w:val="32"/>
                <w:szCs w:val="32"/>
              </w:rPr>
            </w:pPr>
            <w:r>
              <w:rPr>
                <w:rFonts w:hint="eastAsia" w:eastAsia="仿宋_GB2312"/>
                <w:sz w:val="32"/>
                <w:szCs w:val="32"/>
              </w:rPr>
              <w:t>建设地点</w:t>
            </w:r>
          </w:p>
        </w:tc>
        <w:tc>
          <w:tcPr>
            <w:tcW w:w="6366" w:type="dxa"/>
            <w:vAlign w:val="center"/>
          </w:tcPr>
          <w:p w14:paraId="22675C96">
            <w:pPr>
              <w:spacing w:line="360" w:lineRule="auto"/>
              <w:rPr>
                <w:rFonts w:eastAsia="仿宋_GB2312"/>
                <w:sz w:val="32"/>
                <w:szCs w:val="32"/>
              </w:rPr>
            </w:pPr>
            <w:r>
              <w:rPr>
                <w:rFonts w:hint="eastAsia" w:eastAsia="仿宋_GB2312"/>
                <w:sz w:val="32"/>
                <w:szCs w:val="32"/>
              </w:rPr>
              <w:t>东莞市</w:t>
            </w:r>
            <w:r>
              <w:rPr>
                <w:rFonts w:hint="eastAsia" w:eastAsia="仿宋_GB2312"/>
                <w:sz w:val="32"/>
                <w:szCs w:val="32"/>
                <w:lang w:eastAsia="zh-CN"/>
              </w:rPr>
              <w:t>道滘</w:t>
            </w:r>
            <w:r>
              <w:rPr>
                <w:rFonts w:hint="eastAsia" w:eastAsia="仿宋_GB2312"/>
                <w:sz w:val="32"/>
                <w:szCs w:val="32"/>
              </w:rPr>
              <w:t>镇</w:t>
            </w:r>
          </w:p>
        </w:tc>
      </w:tr>
      <w:tr w14:paraId="5999B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641AAB0">
            <w:pPr>
              <w:spacing w:line="360" w:lineRule="auto"/>
              <w:jc w:val="center"/>
              <w:rPr>
                <w:rFonts w:eastAsia="仿宋_GB2312"/>
                <w:sz w:val="32"/>
                <w:szCs w:val="32"/>
              </w:rPr>
            </w:pPr>
            <w:r>
              <w:rPr>
                <w:rFonts w:eastAsia="仿宋_GB2312"/>
                <w:sz w:val="32"/>
                <w:szCs w:val="32"/>
              </w:rPr>
              <w:t>3</w:t>
            </w:r>
          </w:p>
        </w:tc>
        <w:tc>
          <w:tcPr>
            <w:tcW w:w="2092" w:type="dxa"/>
            <w:vAlign w:val="center"/>
          </w:tcPr>
          <w:p w14:paraId="403DF987">
            <w:pPr>
              <w:spacing w:line="360" w:lineRule="auto"/>
              <w:jc w:val="center"/>
              <w:rPr>
                <w:rFonts w:eastAsia="仿宋_GB2312"/>
                <w:sz w:val="32"/>
                <w:szCs w:val="32"/>
              </w:rPr>
            </w:pPr>
            <w:r>
              <w:rPr>
                <w:rFonts w:hint="eastAsia" w:eastAsia="仿宋_GB2312"/>
                <w:sz w:val="32"/>
                <w:szCs w:val="32"/>
              </w:rPr>
              <w:t>项目性质</w:t>
            </w:r>
          </w:p>
        </w:tc>
        <w:tc>
          <w:tcPr>
            <w:tcW w:w="6366" w:type="dxa"/>
            <w:vAlign w:val="center"/>
          </w:tcPr>
          <w:p w14:paraId="249A96D9">
            <w:pPr>
              <w:spacing w:line="360" w:lineRule="auto"/>
              <w:rPr>
                <w:rFonts w:eastAsia="仿宋_GB2312"/>
                <w:sz w:val="32"/>
                <w:szCs w:val="32"/>
              </w:rPr>
            </w:pPr>
            <w:bookmarkStart w:id="2" w:name="OLE_LINK3"/>
            <w:r>
              <w:rPr>
                <w:rFonts w:hint="eastAsia" w:eastAsia="仿宋_GB2312"/>
                <w:sz w:val="32"/>
                <w:szCs w:val="32"/>
              </w:rPr>
              <w:t>公众责任险及财产一切险服务</w:t>
            </w:r>
            <w:bookmarkEnd w:id="2"/>
            <w:r>
              <w:rPr>
                <w:rFonts w:hint="eastAsia" w:eastAsia="仿宋_GB2312"/>
                <w:sz w:val="32"/>
                <w:szCs w:val="32"/>
              </w:rPr>
              <w:t>采购</w:t>
            </w:r>
          </w:p>
        </w:tc>
      </w:tr>
      <w:tr w14:paraId="4469A9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A2A3867">
            <w:pPr>
              <w:spacing w:line="360" w:lineRule="auto"/>
              <w:jc w:val="center"/>
              <w:rPr>
                <w:rFonts w:eastAsia="仿宋_GB2312"/>
                <w:sz w:val="32"/>
                <w:szCs w:val="32"/>
              </w:rPr>
            </w:pPr>
            <w:r>
              <w:rPr>
                <w:rFonts w:eastAsia="仿宋_GB2312"/>
                <w:sz w:val="32"/>
                <w:szCs w:val="32"/>
              </w:rPr>
              <w:t>4</w:t>
            </w:r>
          </w:p>
        </w:tc>
        <w:tc>
          <w:tcPr>
            <w:tcW w:w="2092" w:type="dxa"/>
            <w:vAlign w:val="center"/>
          </w:tcPr>
          <w:p w14:paraId="40C2B018">
            <w:pPr>
              <w:spacing w:line="360" w:lineRule="auto"/>
              <w:jc w:val="center"/>
              <w:rPr>
                <w:rFonts w:eastAsia="仿宋_GB2312"/>
                <w:sz w:val="32"/>
                <w:szCs w:val="32"/>
              </w:rPr>
            </w:pPr>
            <w:r>
              <w:rPr>
                <w:rFonts w:hint="eastAsia" w:eastAsia="仿宋_GB2312"/>
                <w:sz w:val="32"/>
                <w:szCs w:val="32"/>
              </w:rPr>
              <w:t>发包要求</w:t>
            </w:r>
          </w:p>
        </w:tc>
        <w:tc>
          <w:tcPr>
            <w:tcW w:w="6366" w:type="dxa"/>
            <w:vAlign w:val="center"/>
          </w:tcPr>
          <w:p w14:paraId="07EA591F">
            <w:pPr>
              <w:spacing w:line="360" w:lineRule="auto"/>
              <w:rPr>
                <w:rFonts w:eastAsia="仿宋_GB2312"/>
                <w:sz w:val="32"/>
                <w:szCs w:val="32"/>
              </w:rPr>
            </w:pPr>
            <w:r>
              <w:rPr>
                <w:rFonts w:hint="eastAsia" w:eastAsia="仿宋_GB2312"/>
                <w:sz w:val="32"/>
                <w:szCs w:val="32"/>
              </w:rPr>
              <w:t>固定总价包干</w:t>
            </w:r>
          </w:p>
        </w:tc>
      </w:tr>
      <w:tr w14:paraId="7B974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4A863EE">
            <w:pPr>
              <w:spacing w:line="360" w:lineRule="auto"/>
              <w:jc w:val="center"/>
              <w:rPr>
                <w:rFonts w:eastAsia="仿宋_GB2312"/>
                <w:sz w:val="32"/>
                <w:szCs w:val="32"/>
              </w:rPr>
            </w:pPr>
            <w:r>
              <w:rPr>
                <w:rFonts w:eastAsia="仿宋_GB2312"/>
                <w:sz w:val="32"/>
                <w:szCs w:val="32"/>
              </w:rPr>
              <w:t>5</w:t>
            </w:r>
          </w:p>
        </w:tc>
        <w:tc>
          <w:tcPr>
            <w:tcW w:w="2092" w:type="dxa"/>
            <w:vAlign w:val="center"/>
          </w:tcPr>
          <w:p w14:paraId="6B0E66D8">
            <w:pPr>
              <w:spacing w:line="360" w:lineRule="auto"/>
              <w:jc w:val="center"/>
              <w:rPr>
                <w:rFonts w:eastAsia="仿宋_GB2312"/>
                <w:sz w:val="32"/>
                <w:szCs w:val="32"/>
              </w:rPr>
            </w:pPr>
            <w:r>
              <w:rPr>
                <w:rFonts w:hint="eastAsia" w:eastAsia="仿宋_GB2312"/>
                <w:sz w:val="32"/>
                <w:szCs w:val="32"/>
              </w:rPr>
              <w:t>质量标准</w:t>
            </w:r>
          </w:p>
        </w:tc>
        <w:tc>
          <w:tcPr>
            <w:tcW w:w="6366" w:type="dxa"/>
            <w:vAlign w:val="center"/>
          </w:tcPr>
          <w:p w14:paraId="228C4DF4">
            <w:pPr>
              <w:jc w:val="left"/>
              <w:rPr>
                <w:rFonts w:eastAsia="仿宋"/>
                <w:sz w:val="32"/>
                <w:szCs w:val="32"/>
              </w:rPr>
            </w:pPr>
            <w:r>
              <w:rPr>
                <w:rFonts w:eastAsia="仿宋"/>
                <w:sz w:val="32"/>
                <w:szCs w:val="32"/>
              </w:rPr>
              <w:t>/</w:t>
            </w:r>
          </w:p>
        </w:tc>
      </w:tr>
      <w:tr w14:paraId="14EF6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5E2249E">
            <w:pPr>
              <w:spacing w:line="360" w:lineRule="auto"/>
              <w:jc w:val="center"/>
              <w:rPr>
                <w:rFonts w:eastAsia="仿宋_GB2312"/>
                <w:sz w:val="32"/>
                <w:szCs w:val="32"/>
              </w:rPr>
            </w:pPr>
            <w:r>
              <w:rPr>
                <w:rFonts w:eastAsia="仿宋_GB2312"/>
                <w:sz w:val="32"/>
                <w:szCs w:val="32"/>
              </w:rPr>
              <w:t>6</w:t>
            </w:r>
          </w:p>
        </w:tc>
        <w:tc>
          <w:tcPr>
            <w:tcW w:w="2092" w:type="dxa"/>
            <w:vAlign w:val="center"/>
          </w:tcPr>
          <w:p w14:paraId="7FA3B1B6">
            <w:pPr>
              <w:spacing w:line="360" w:lineRule="auto"/>
              <w:jc w:val="center"/>
              <w:rPr>
                <w:rFonts w:eastAsia="仿宋_GB2312"/>
                <w:sz w:val="32"/>
                <w:szCs w:val="32"/>
              </w:rPr>
            </w:pPr>
            <w:r>
              <w:rPr>
                <w:rFonts w:hint="eastAsia" w:eastAsia="仿宋_GB2312"/>
                <w:sz w:val="32"/>
                <w:szCs w:val="32"/>
              </w:rPr>
              <w:t>工期要求</w:t>
            </w:r>
          </w:p>
        </w:tc>
        <w:tc>
          <w:tcPr>
            <w:tcW w:w="6366" w:type="dxa"/>
            <w:vAlign w:val="center"/>
          </w:tcPr>
          <w:p w14:paraId="45E59E1C">
            <w:pPr>
              <w:spacing w:line="500" w:lineRule="exact"/>
              <w:jc w:val="left"/>
              <w:rPr>
                <w:rFonts w:eastAsia="仿宋_GB2312"/>
                <w:sz w:val="32"/>
                <w:szCs w:val="32"/>
              </w:rPr>
            </w:pPr>
            <w:r>
              <w:rPr>
                <w:rFonts w:hint="eastAsia" w:eastAsia="仿宋_GB2312"/>
                <w:color w:val="000000"/>
                <w:sz w:val="32"/>
                <w:szCs w:val="32"/>
              </w:rPr>
              <w:t>服务期为合同签订之日起2年（如有变化，以采购人另行通知为准）</w:t>
            </w:r>
          </w:p>
        </w:tc>
      </w:tr>
      <w:tr w14:paraId="5EF809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0A53262">
            <w:pPr>
              <w:spacing w:line="360" w:lineRule="auto"/>
              <w:jc w:val="center"/>
              <w:rPr>
                <w:rFonts w:eastAsia="仿宋_GB2312"/>
                <w:sz w:val="32"/>
                <w:szCs w:val="32"/>
              </w:rPr>
            </w:pPr>
            <w:r>
              <w:rPr>
                <w:rFonts w:eastAsia="仿宋_GB2312"/>
                <w:sz w:val="32"/>
                <w:szCs w:val="32"/>
              </w:rPr>
              <w:t>7</w:t>
            </w:r>
          </w:p>
        </w:tc>
        <w:tc>
          <w:tcPr>
            <w:tcW w:w="2092" w:type="dxa"/>
            <w:vAlign w:val="center"/>
          </w:tcPr>
          <w:p w14:paraId="1C8AB34B">
            <w:pPr>
              <w:spacing w:line="360" w:lineRule="auto"/>
              <w:jc w:val="center"/>
              <w:rPr>
                <w:rFonts w:eastAsia="仿宋_GB2312"/>
                <w:sz w:val="32"/>
                <w:szCs w:val="32"/>
              </w:rPr>
            </w:pPr>
            <w:r>
              <w:rPr>
                <w:rFonts w:hint="eastAsia" w:eastAsia="仿宋_GB2312"/>
                <w:sz w:val="32"/>
                <w:szCs w:val="32"/>
              </w:rPr>
              <w:t>单位资质要求</w:t>
            </w:r>
          </w:p>
        </w:tc>
        <w:tc>
          <w:tcPr>
            <w:tcW w:w="6366" w:type="dxa"/>
            <w:vAlign w:val="center"/>
          </w:tcPr>
          <w:p w14:paraId="100D07FC">
            <w:pPr>
              <w:adjustRightInd w:val="0"/>
              <w:snapToGrid w:val="0"/>
              <w:spacing w:line="560" w:lineRule="exact"/>
              <w:rPr>
                <w:rFonts w:eastAsia="仿宋_GB2312"/>
                <w:sz w:val="32"/>
                <w:szCs w:val="32"/>
              </w:rPr>
            </w:pPr>
            <w:r>
              <w:rPr>
                <w:rFonts w:hint="eastAsia" w:eastAsia="仿宋_GB2312"/>
                <w:sz w:val="32"/>
                <w:szCs w:val="32"/>
              </w:rPr>
              <w:t>持有《</w:t>
            </w:r>
            <w:r>
              <w:rPr>
                <w:rFonts w:eastAsia="仿宋_GB2312"/>
                <w:sz w:val="32"/>
                <w:szCs w:val="32"/>
              </w:rPr>
              <w:t>保险业务经营许可证</w:t>
            </w:r>
            <w:r>
              <w:rPr>
                <w:rFonts w:hint="eastAsia" w:eastAsia="仿宋_GB2312"/>
                <w:sz w:val="32"/>
                <w:szCs w:val="32"/>
              </w:rPr>
              <w:t>》</w:t>
            </w:r>
          </w:p>
        </w:tc>
      </w:tr>
      <w:tr w14:paraId="0AF4C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C938F73">
            <w:pPr>
              <w:spacing w:line="360" w:lineRule="auto"/>
              <w:jc w:val="center"/>
              <w:rPr>
                <w:rFonts w:eastAsia="仿宋_GB2312"/>
                <w:sz w:val="32"/>
                <w:szCs w:val="32"/>
              </w:rPr>
            </w:pPr>
            <w:r>
              <w:rPr>
                <w:rFonts w:hint="eastAsia" w:eastAsia="仿宋_GB2312"/>
                <w:sz w:val="32"/>
                <w:szCs w:val="32"/>
              </w:rPr>
              <w:t>8</w:t>
            </w:r>
          </w:p>
        </w:tc>
        <w:tc>
          <w:tcPr>
            <w:tcW w:w="2092" w:type="dxa"/>
          </w:tcPr>
          <w:p w14:paraId="13F2F61D">
            <w:pPr>
              <w:spacing w:line="360" w:lineRule="auto"/>
              <w:jc w:val="center"/>
              <w:rPr>
                <w:rFonts w:eastAsia="仿宋_GB2312"/>
                <w:sz w:val="32"/>
                <w:szCs w:val="32"/>
              </w:rPr>
            </w:pPr>
            <w:r>
              <w:rPr>
                <w:rFonts w:hint="eastAsia" w:eastAsia="仿宋_GB2312"/>
                <w:sz w:val="32"/>
                <w:szCs w:val="32"/>
              </w:rPr>
              <w:t>询价有效期</w:t>
            </w:r>
          </w:p>
        </w:tc>
        <w:tc>
          <w:tcPr>
            <w:tcW w:w="6366" w:type="dxa"/>
            <w:vAlign w:val="center"/>
          </w:tcPr>
          <w:p w14:paraId="6AD86703">
            <w:pPr>
              <w:adjustRightInd w:val="0"/>
              <w:snapToGrid w:val="0"/>
              <w:spacing w:line="560" w:lineRule="exact"/>
              <w:rPr>
                <w:rFonts w:eastAsia="仿宋_GB2312"/>
                <w:sz w:val="32"/>
                <w:szCs w:val="32"/>
              </w:rPr>
            </w:pPr>
            <w:r>
              <w:rPr>
                <w:rFonts w:eastAsia="仿宋_GB2312"/>
                <w:sz w:val="32"/>
                <w:szCs w:val="32"/>
              </w:rPr>
              <w:t>90</w:t>
            </w:r>
            <w:r>
              <w:rPr>
                <w:rFonts w:hint="eastAsia" w:eastAsia="仿宋_GB2312"/>
                <w:sz w:val="32"/>
                <w:szCs w:val="32"/>
              </w:rPr>
              <w:t>天</w:t>
            </w:r>
          </w:p>
        </w:tc>
      </w:tr>
      <w:tr w14:paraId="788237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C4074C0">
            <w:pPr>
              <w:spacing w:line="360" w:lineRule="auto"/>
              <w:jc w:val="center"/>
              <w:rPr>
                <w:rFonts w:hint="eastAsia" w:eastAsia="仿宋_GB2312"/>
                <w:sz w:val="32"/>
                <w:szCs w:val="32"/>
                <w:lang w:val="en-US" w:eastAsia="zh-CN"/>
              </w:rPr>
            </w:pPr>
            <w:r>
              <w:rPr>
                <w:rFonts w:hint="eastAsia" w:eastAsia="仿宋_GB2312"/>
                <w:sz w:val="32"/>
                <w:szCs w:val="32"/>
                <w:lang w:val="en-US" w:eastAsia="zh-CN"/>
              </w:rPr>
              <w:t>9</w:t>
            </w:r>
          </w:p>
        </w:tc>
        <w:tc>
          <w:tcPr>
            <w:tcW w:w="2092" w:type="dxa"/>
            <w:vAlign w:val="center"/>
          </w:tcPr>
          <w:p w14:paraId="7FCBDD49">
            <w:pPr>
              <w:spacing w:line="360" w:lineRule="auto"/>
              <w:jc w:val="center"/>
              <w:rPr>
                <w:rFonts w:eastAsia="仿宋_GB2312"/>
                <w:sz w:val="32"/>
                <w:szCs w:val="32"/>
              </w:rPr>
            </w:pPr>
            <w:r>
              <w:rPr>
                <w:rFonts w:hint="eastAsia" w:eastAsia="仿宋_GB2312"/>
                <w:sz w:val="32"/>
                <w:szCs w:val="32"/>
              </w:rPr>
              <w:t>响应人不得存在的情形</w:t>
            </w:r>
          </w:p>
        </w:tc>
        <w:tc>
          <w:tcPr>
            <w:tcW w:w="6366" w:type="dxa"/>
            <w:vAlign w:val="center"/>
          </w:tcPr>
          <w:p w14:paraId="4AF53D51">
            <w:pPr>
              <w:adjustRightInd w:val="0"/>
              <w:snapToGrid w:val="0"/>
              <w:spacing w:line="560" w:lineRule="exact"/>
              <w:rPr>
                <w:rFonts w:eastAsia="仿宋_GB2312"/>
                <w:sz w:val="32"/>
                <w:szCs w:val="32"/>
              </w:rPr>
            </w:pPr>
            <w:r>
              <w:rPr>
                <w:rFonts w:eastAsia="仿宋_GB2312"/>
                <w:sz w:val="32"/>
                <w:szCs w:val="32"/>
              </w:rPr>
              <w:t>1</w:t>
            </w:r>
            <w:r>
              <w:rPr>
                <w:rFonts w:hint="eastAsia" w:eastAsia="仿宋_GB2312"/>
                <w:sz w:val="32"/>
                <w:szCs w:val="32"/>
              </w:rPr>
              <w:t>、响应人不得存在下列情形之一，否则采购人有权取消其参与响应资格或成交资格：</w:t>
            </w:r>
          </w:p>
          <w:p w14:paraId="3D3E39BF">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）为采购人不具有独立法人资格的附属机构（单位）；</w:t>
            </w:r>
          </w:p>
          <w:p w14:paraId="173A2EC1">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）被责令停业的；</w:t>
            </w:r>
            <w:r>
              <w:rPr>
                <w:rFonts w:eastAsia="仿宋_GB2312"/>
                <w:sz w:val="32"/>
                <w:szCs w:val="32"/>
              </w:rPr>
              <w:t xml:space="preserve"> </w:t>
            </w:r>
          </w:p>
          <w:p w14:paraId="2E2057D7">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）被暂停或取消投标资格的；</w:t>
            </w:r>
            <w:r>
              <w:rPr>
                <w:rFonts w:eastAsia="仿宋_GB2312"/>
                <w:sz w:val="32"/>
                <w:szCs w:val="32"/>
              </w:rPr>
              <w:t xml:space="preserve"> </w:t>
            </w:r>
          </w:p>
          <w:p w14:paraId="29D68FA6">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）财产被接管或冻结的；</w:t>
            </w:r>
          </w:p>
          <w:p w14:paraId="2751A427">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）在最近三年内有骗取中标、严重违约、重大质量或安全问题的；</w:t>
            </w:r>
          </w:p>
          <w:p w14:paraId="021345A3">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）法律法规规定的其他情形；</w:t>
            </w:r>
          </w:p>
          <w:p w14:paraId="38632D0C">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7</w:t>
            </w:r>
            <w:r>
              <w:rPr>
                <w:rFonts w:hint="eastAsia" w:eastAsia="仿宋_GB2312"/>
                <w:sz w:val="32"/>
                <w:szCs w:val="32"/>
              </w:rPr>
              <w:t>）询价文件规定的其他情形：见询价公告或询价响应须知前附表。</w:t>
            </w:r>
          </w:p>
          <w:p w14:paraId="4FC3ECFE">
            <w:pPr>
              <w:adjustRightInd w:val="0"/>
              <w:snapToGrid w:val="0"/>
              <w:spacing w:line="560" w:lineRule="exact"/>
              <w:rPr>
                <w:rFonts w:eastAsia="仿宋_GB2312"/>
                <w:sz w:val="32"/>
                <w:szCs w:val="32"/>
              </w:rPr>
            </w:pPr>
            <w:r>
              <w:rPr>
                <w:rFonts w:eastAsia="仿宋_GB2312"/>
                <w:sz w:val="32"/>
                <w:szCs w:val="32"/>
              </w:rPr>
              <w:t>2</w:t>
            </w:r>
            <w:r>
              <w:rPr>
                <w:rFonts w:hint="eastAsia" w:eastAsia="仿宋_GB2312"/>
                <w:sz w:val="32"/>
                <w:szCs w:val="32"/>
              </w:rPr>
              <w:t>、响应人在询价活动中有下列行为之一的，应视情节轻重，暂停或取消其参与采购人及东实集团旗下采购项目的资格：</w:t>
            </w:r>
          </w:p>
          <w:p w14:paraId="2A67AFA1">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）响应人之间相互串通、或与采购人、代理机构、评审委员会成员串通询价，损害采购人或者其他响应人的合法权益的；</w:t>
            </w:r>
            <w:r>
              <w:rPr>
                <w:rFonts w:eastAsia="仿宋_GB2312"/>
                <w:sz w:val="32"/>
                <w:szCs w:val="32"/>
              </w:rPr>
              <w:t xml:space="preserve"> </w:t>
            </w:r>
          </w:p>
          <w:p w14:paraId="66C987C8">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）向采购人、代理机构、评审委会成员或其他相关工作人员行贿的；</w:t>
            </w:r>
            <w:r>
              <w:rPr>
                <w:rFonts w:eastAsia="仿宋_GB2312"/>
                <w:sz w:val="32"/>
                <w:szCs w:val="32"/>
              </w:rPr>
              <w:t xml:space="preserve"> </w:t>
            </w:r>
          </w:p>
          <w:p w14:paraId="5C6AEAC2">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）以他人名义询价或以其他方式弄虚作假，骗取成交的；</w:t>
            </w:r>
            <w:r>
              <w:rPr>
                <w:rFonts w:eastAsia="仿宋_GB2312"/>
                <w:sz w:val="32"/>
                <w:szCs w:val="32"/>
              </w:rPr>
              <w:t xml:space="preserve"> </w:t>
            </w:r>
          </w:p>
          <w:p w14:paraId="0CBCEBEC">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）成交人私自将成交项目转让给他人的，将成交项目肢解后分别转让给他人的；</w:t>
            </w:r>
            <w:r>
              <w:rPr>
                <w:rFonts w:eastAsia="仿宋_GB2312"/>
                <w:sz w:val="32"/>
                <w:szCs w:val="32"/>
              </w:rPr>
              <w:t xml:space="preserve"> </w:t>
            </w:r>
          </w:p>
          <w:p w14:paraId="46B36F3C">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）成交人无正当理由不与采购人订立合同，在签订合同时向采购人提出附加条件，或者不按照询价文件要求提交履约担保的；</w:t>
            </w:r>
          </w:p>
          <w:p w14:paraId="6CBF3AF8">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）响应人捏造事实、伪造材料或者以非法手段取得证明材料进行投诉，给他人造成损失的；</w:t>
            </w:r>
            <w:r>
              <w:rPr>
                <w:rFonts w:eastAsia="仿宋_GB2312"/>
                <w:sz w:val="32"/>
                <w:szCs w:val="32"/>
              </w:rPr>
              <w:t xml:space="preserve"> </w:t>
            </w:r>
          </w:p>
          <w:p w14:paraId="7F4624B1">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7</w:t>
            </w:r>
            <w:r>
              <w:rPr>
                <w:rFonts w:hint="eastAsia" w:eastAsia="仿宋_GB2312"/>
                <w:sz w:val="32"/>
                <w:szCs w:val="32"/>
              </w:rPr>
              <w:t>）相关工作人员应当回避而不回避的；</w:t>
            </w:r>
            <w:r>
              <w:rPr>
                <w:rFonts w:eastAsia="仿宋_GB2312"/>
                <w:sz w:val="32"/>
                <w:szCs w:val="32"/>
              </w:rPr>
              <w:t xml:space="preserve"> </w:t>
            </w:r>
          </w:p>
          <w:p w14:paraId="40FA8A05">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8</w:t>
            </w:r>
            <w:r>
              <w:rPr>
                <w:rFonts w:hint="eastAsia" w:eastAsia="仿宋_GB2312"/>
                <w:sz w:val="32"/>
                <w:szCs w:val="32"/>
              </w:rPr>
              <w:t>）其他违法违规的行为。</w:t>
            </w:r>
          </w:p>
          <w:p w14:paraId="668DB50F">
            <w:pPr>
              <w:adjustRightInd w:val="0"/>
              <w:snapToGrid w:val="0"/>
              <w:spacing w:line="560" w:lineRule="exact"/>
              <w:rPr>
                <w:rFonts w:eastAsia="仿宋_GB2312"/>
                <w:sz w:val="32"/>
                <w:szCs w:val="32"/>
              </w:rPr>
            </w:pPr>
            <w:r>
              <w:rPr>
                <w:rFonts w:eastAsia="仿宋_GB2312"/>
                <w:sz w:val="32"/>
                <w:szCs w:val="32"/>
              </w:rPr>
              <w:t>3</w:t>
            </w:r>
            <w:r>
              <w:rPr>
                <w:rFonts w:hint="eastAsia" w:eastAsia="仿宋_GB2312"/>
                <w:sz w:val="32"/>
                <w:szCs w:val="32"/>
              </w:rPr>
              <w:t>、有下列情形之一的，视为响应人串通询价，其响应无效：</w:t>
            </w:r>
          </w:p>
          <w:p w14:paraId="6567F915">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）不同响应人的响应文件由同一单位或者个人编制；</w:t>
            </w:r>
          </w:p>
          <w:p w14:paraId="60CB8566">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）不同响应人委托同一单位或者个人办理响应事宜；</w:t>
            </w:r>
          </w:p>
          <w:p w14:paraId="7AC99409">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）不同响应人的响应文件载明的项目管理成员或者联系人员为同一人；</w:t>
            </w:r>
          </w:p>
          <w:p w14:paraId="22411262">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）不同响应人的响应文件异常一致或者响应报价呈规律性差异；</w:t>
            </w:r>
          </w:p>
          <w:p w14:paraId="356B0FD8">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）不同响应人的响应文件相互混装；</w:t>
            </w:r>
          </w:p>
          <w:p w14:paraId="5D5C62D8">
            <w:pPr>
              <w:adjustRightInd w:val="0"/>
              <w:snapToGrid w:val="0"/>
              <w:spacing w:line="560" w:lineRule="exact"/>
              <w:rPr>
                <w:rFonts w:eastAsia="仿宋_GB2312"/>
                <w:sz w:val="32"/>
                <w:szCs w:val="32"/>
              </w:rPr>
            </w:pPr>
            <w:r>
              <w:rPr>
                <w:rFonts w:eastAsia="仿宋_GB2312"/>
                <w:sz w:val="32"/>
                <w:szCs w:val="32"/>
              </w:rPr>
              <w:t>4</w:t>
            </w:r>
            <w:r>
              <w:rPr>
                <w:rFonts w:hint="eastAsia" w:eastAsia="仿宋_GB2312"/>
                <w:sz w:val="32"/>
                <w:szCs w:val="32"/>
              </w:rPr>
              <w:t>、使用通过受让或者租借等方式获取的资格、资质证书响应的，属于以他人名义询价，其响应无效：</w:t>
            </w:r>
          </w:p>
          <w:p w14:paraId="3C48DB13">
            <w:pPr>
              <w:adjustRightInd w:val="0"/>
              <w:snapToGrid w:val="0"/>
              <w:spacing w:line="560" w:lineRule="exact"/>
              <w:rPr>
                <w:rFonts w:eastAsia="仿宋_GB2312"/>
                <w:sz w:val="32"/>
                <w:szCs w:val="32"/>
              </w:rPr>
            </w:pPr>
            <w:r>
              <w:rPr>
                <w:rFonts w:eastAsia="仿宋_GB2312"/>
                <w:sz w:val="32"/>
                <w:szCs w:val="32"/>
              </w:rPr>
              <w:t>5</w:t>
            </w:r>
            <w:r>
              <w:rPr>
                <w:rFonts w:hint="eastAsia" w:eastAsia="仿宋_GB2312"/>
                <w:sz w:val="32"/>
                <w:szCs w:val="32"/>
              </w:rPr>
              <w:t>、有下列情形之一的，属于以其他方式弄虚作假的行为，其响应无效：</w:t>
            </w:r>
          </w:p>
          <w:p w14:paraId="5209433D">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）使用伪造、变造的许可证件；</w:t>
            </w:r>
          </w:p>
          <w:p w14:paraId="4865651C">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）提供虚假的财务状况或者业绩；</w:t>
            </w:r>
            <w:r>
              <w:rPr>
                <w:rFonts w:eastAsia="仿宋_GB2312"/>
                <w:sz w:val="32"/>
                <w:szCs w:val="32"/>
              </w:rPr>
              <w:t xml:space="preserve"> </w:t>
            </w:r>
          </w:p>
          <w:p w14:paraId="74E4B6DD">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）提供虚假的项目负责人或者主要技术人员简历、劳动关系证明；</w:t>
            </w:r>
            <w:r>
              <w:rPr>
                <w:rFonts w:eastAsia="仿宋_GB2312"/>
                <w:sz w:val="32"/>
                <w:szCs w:val="32"/>
              </w:rPr>
              <w:t xml:space="preserve"> </w:t>
            </w:r>
          </w:p>
          <w:p w14:paraId="0548385F">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）提供虚假的信用状况；</w:t>
            </w:r>
          </w:p>
          <w:p w14:paraId="3EA74032">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）其他弄虚作假的行为。</w:t>
            </w:r>
          </w:p>
          <w:p w14:paraId="31569408">
            <w:pPr>
              <w:adjustRightInd w:val="0"/>
              <w:snapToGrid w:val="0"/>
              <w:spacing w:line="560" w:lineRule="exact"/>
              <w:rPr>
                <w:rFonts w:eastAsia="仿宋_GB2312"/>
                <w:sz w:val="32"/>
                <w:szCs w:val="32"/>
              </w:rPr>
            </w:pPr>
            <w:r>
              <w:rPr>
                <w:rFonts w:eastAsia="仿宋_GB2312"/>
                <w:sz w:val="32"/>
                <w:szCs w:val="32"/>
              </w:rPr>
              <w:t>6</w:t>
            </w:r>
            <w:r>
              <w:rPr>
                <w:rFonts w:hint="eastAsia" w:eastAsia="仿宋_GB2312"/>
                <w:sz w:val="32"/>
                <w:szCs w:val="32"/>
              </w:rPr>
              <w:t>、响应人相关工作人员与采购人或采购代理机构有以下利害关系之一的，应当回避：</w:t>
            </w:r>
            <w:r>
              <w:rPr>
                <w:rFonts w:eastAsia="仿宋_GB2312"/>
                <w:sz w:val="32"/>
                <w:szCs w:val="32"/>
              </w:rPr>
              <w:t xml:space="preserve"> </w:t>
            </w:r>
          </w:p>
          <w:p w14:paraId="6179D6E3">
            <w:pPr>
              <w:adjustRightInd w:val="0"/>
              <w:snapToGrid w:val="0"/>
              <w:spacing w:line="560" w:lineRule="exact"/>
              <w:rPr>
                <w:rFonts w:eastAsia="仿宋_GB2312"/>
                <w:sz w:val="32"/>
                <w:szCs w:val="32"/>
              </w:rPr>
            </w:pPr>
            <w:r>
              <w:rPr>
                <w:rFonts w:hint="eastAsia" w:eastAsia="仿宋_GB2312"/>
                <w:sz w:val="32"/>
                <w:szCs w:val="32"/>
              </w:rPr>
              <w:t>（一）是其主要负责人的近亲属的；</w:t>
            </w:r>
          </w:p>
          <w:p w14:paraId="1A35B675">
            <w:pPr>
              <w:adjustRightInd w:val="0"/>
              <w:snapToGrid w:val="0"/>
              <w:spacing w:line="560" w:lineRule="exact"/>
              <w:rPr>
                <w:rFonts w:eastAsia="仿宋_GB2312"/>
                <w:sz w:val="32"/>
                <w:szCs w:val="32"/>
              </w:rPr>
            </w:pPr>
            <w:r>
              <w:rPr>
                <w:rFonts w:hint="eastAsia" w:eastAsia="仿宋_GB2312"/>
                <w:sz w:val="32"/>
                <w:szCs w:val="32"/>
              </w:rPr>
              <w:t>（二）询价活动前</w:t>
            </w:r>
            <w:r>
              <w:rPr>
                <w:rFonts w:eastAsia="仿宋_GB2312"/>
                <w:sz w:val="32"/>
                <w:szCs w:val="32"/>
              </w:rPr>
              <w:t>3</w:t>
            </w:r>
            <w:r>
              <w:rPr>
                <w:rFonts w:hint="eastAsia" w:eastAsia="仿宋_GB2312"/>
                <w:sz w:val="32"/>
                <w:szCs w:val="32"/>
              </w:rPr>
              <w:t>年内与其存在劳动关系，担任其董事、监事，是其控股股东或实际控制人，或存在其他经济利益关系，可能影响询价活动公平公正的；</w:t>
            </w:r>
          </w:p>
          <w:p w14:paraId="19A560E0">
            <w:pPr>
              <w:adjustRightInd w:val="0"/>
              <w:snapToGrid w:val="0"/>
              <w:spacing w:line="560" w:lineRule="exact"/>
              <w:rPr>
                <w:rFonts w:eastAsia="仿宋_GB2312"/>
                <w:sz w:val="32"/>
                <w:szCs w:val="32"/>
              </w:rPr>
            </w:pPr>
            <w:r>
              <w:rPr>
                <w:rFonts w:hint="eastAsia" w:eastAsia="仿宋_GB2312"/>
                <w:sz w:val="32"/>
                <w:szCs w:val="32"/>
              </w:rPr>
              <w:t>（三）其他可能影响询价活动公平、公正进行的关系。</w:t>
            </w:r>
          </w:p>
        </w:tc>
      </w:tr>
      <w:tr w14:paraId="75F8F8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shd w:val="clear" w:color="auto" w:fill="auto"/>
            <w:vAlign w:val="center"/>
          </w:tcPr>
          <w:p w14:paraId="653A655B">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10</w:t>
            </w:r>
          </w:p>
        </w:tc>
        <w:tc>
          <w:tcPr>
            <w:tcW w:w="2092" w:type="dxa"/>
            <w:shd w:val="clear" w:color="auto" w:fill="auto"/>
            <w:vAlign w:val="center"/>
          </w:tcPr>
          <w:p w14:paraId="0CE6EDF6">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踏勘现场及答疑会</w:t>
            </w:r>
          </w:p>
        </w:tc>
        <w:tc>
          <w:tcPr>
            <w:tcW w:w="6366" w:type="dxa"/>
            <w:shd w:val="clear" w:color="auto" w:fill="auto"/>
            <w:vAlign w:val="center"/>
          </w:tcPr>
          <w:p w14:paraId="032FEE0F">
            <w:pPr>
              <w:adjustRightInd w:val="0"/>
              <w:snapToGrid w:val="0"/>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 本项不组织集中踏勘现场及答疑会，潜在投标人可自行踏勘现场。需求书与现场不符的地方，以现场实际需求为准。</w:t>
            </w:r>
          </w:p>
          <w:p w14:paraId="2E931D06">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 xml:space="preserve"> 2.经采购人允许，潜在投标人可因需要而进入采购人的项目现场踏勘，但潜在投标人不得因此使采购人承担有关的责任和蒙受损失。潜在投标人应承担踏勘现场的责任和风险。</w:t>
            </w:r>
          </w:p>
        </w:tc>
      </w:tr>
      <w:tr w14:paraId="0DFF6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0" w:type="auto"/>
            <w:shd w:val="clear" w:color="auto" w:fill="auto"/>
            <w:vAlign w:val="center"/>
          </w:tcPr>
          <w:p w14:paraId="158163E4">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11</w:t>
            </w:r>
          </w:p>
        </w:tc>
        <w:tc>
          <w:tcPr>
            <w:tcW w:w="0" w:type="auto"/>
            <w:shd w:val="clear" w:color="auto" w:fill="auto"/>
            <w:vAlign w:val="center"/>
          </w:tcPr>
          <w:p w14:paraId="4E48CE4E">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响应人数量</w:t>
            </w:r>
          </w:p>
        </w:tc>
        <w:tc>
          <w:tcPr>
            <w:tcW w:w="6366" w:type="dxa"/>
            <w:shd w:val="clear" w:color="auto" w:fill="auto"/>
            <w:vAlign w:val="center"/>
          </w:tcPr>
          <w:p w14:paraId="1358E2F1">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当有效投标人数量不足3家时，终止采购活动，</w:t>
            </w:r>
            <w:r>
              <w:rPr>
                <w:rFonts w:hint="eastAsia" w:ascii="Times New Roman" w:hAnsi="Times New Roman" w:eastAsia="仿宋_GB2312" w:cs="Times New Roman"/>
                <w:sz w:val="32"/>
                <w:szCs w:val="32"/>
                <w:lang w:eastAsia="zh-CN"/>
              </w:rPr>
              <w:t>并根据现场情况转竞争性谈判、定向谈判采购</w:t>
            </w:r>
            <w:r>
              <w:rPr>
                <w:rFonts w:hint="eastAsia" w:ascii="Times New Roman" w:hAnsi="Times New Roman" w:eastAsia="仿宋_GB2312" w:cs="Times New Roman"/>
                <w:sz w:val="32"/>
                <w:szCs w:val="32"/>
              </w:rPr>
              <w:t>。</w:t>
            </w:r>
          </w:p>
        </w:tc>
      </w:tr>
      <w:tr w14:paraId="5B0F40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0" w:type="auto"/>
            <w:shd w:val="clear" w:color="auto" w:fill="auto"/>
            <w:vAlign w:val="center"/>
          </w:tcPr>
          <w:p w14:paraId="34C13B00">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12</w:t>
            </w:r>
          </w:p>
        </w:tc>
        <w:tc>
          <w:tcPr>
            <w:tcW w:w="0" w:type="auto"/>
            <w:shd w:val="clear" w:color="auto" w:fill="auto"/>
            <w:vAlign w:val="center"/>
          </w:tcPr>
          <w:p w14:paraId="42EDE7F3">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响应要求</w:t>
            </w:r>
          </w:p>
        </w:tc>
        <w:tc>
          <w:tcPr>
            <w:tcW w:w="6366" w:type="dxa"/>
            <w:shd w:val="clear" w:color="auto" w:fill="auto"/>
            <w:vAlign w:val="center"/>
          </w:tcPr>
          <w:p w14:paraId="006D20DC">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标注有“★”号的条款必须实质性响应，不允许负偏离（不满足要求）</w:t>
            </w:r>
          </w:p>
        </w:tc>
      </w:tr>
      <w:tr w14:paraId="1C837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0" w:type="auto"/>
            <w:shd w:val="clear" w:color="auto" w:fill="auto"/>
            <w:vAlign w:val="center"/>
          </w:tcPr>
          <w:p w14:paraId="51CA0D6B">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13</w:t>
            </w:r>
          </w:p>
        </w:tc>
        <w:tc>
          <w:tcPr>
            <w:tcW w:w="0" w:type="auto"/>
            <w:shd w:val="clear" w:color="auto" w:fill="auto"/>
            <w:vAlign w:val="center"/>
          </w:tcPr>
          <w:p w14:paraId="24BA7CA0">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履约保证金</w:t>
            </w:r>
          </w:p>
        </w:tc>
        <w:tc>
          <w:tcPr>
            <w:tcW w:w="6366" w:type="dxa"/>
            <w:shd w:val="clear" w:color="auto" w:fill="auto"/>
            <w:vAlign w:val="center"/>
          </w:tcPr>
          <w:p w14:paraId="60D28A38">
            <w:pPr>
              <w:adjustRightInd w:val="0"/>
              <w:snapToGrid w:val="0"/>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本项目不设履约保证金</w:t>
            </w:r>
          </w:p>
        </w:tc>
      </w:tr>
    </w:tbl>
    <w:p w14:paraId="3E37076F">
      <w:pPr>
        <w:widowControl/>
        <w:jc w:val="left"/>
        <w:rPr>
          <w:rFonts w:eastAsia="仿宋_GB2312"/>
          <w:kern w:val="0"/>
          <w:sz w:val="32"/>
          <w:szCs w:val="32"/>
        </w:rPr>
      </w:pPr>
      <w:r>
        <w:rPr>
          <w:rFonts w:eastAsia="仿宋_GB2312"/>
          <w:sz w:val="32"/>
          <w:szCs w:val="32"/>
        </w:rPr>
        <w:br w:type="page"/>
      </w:r>
    </w:p>
    <w:p w14:paraId="025009C0">
      <w:pPr>
        <w:pStyle w:val="2"/>
        <w:rPr>
          <w:rFonts w:ascii="Times New Roman" w:hAnsi="Times New Roman" w:eastAsia="仿宋_GB2312" w:cs="Times New Roman"/>
          <w:color w:val="auto"/>
          <w:sz w:val="32"/>
          <w:szCs w:val="32"/>
        </w:rPr>
      </w:pPr>
    </w:p>
    <w:p w14:paraId="60250BA8">
      <w:pPr>
        <w:rPr>
          <w:rFonts w:eastAsia="黑体"/>
          <w:sz w:val="28"/>
          <w:szCs w:val="44"/>
        </w:rPr>
      </w:pPr>
      <w:bookmarkStart w:id="3" w:name="_Hlk524442005"/>
      <w:r>
        <w:rPr>
          <w:rFonts w:hint="eastAsia" w:eastAsia="黑体"/>
          <w:sz w:val="28"/>
          <w:szCs w:val="44"/>
        </w:rPr>
        <w:t>附件二</w:t>
      </w:r>
      <w:r>
        <w:rPr>
          <w:rFonts w:eastAsia="黑体"/>
          <w:sz w:val="28"/>
          <w:szCs w:val="44"/>
        </w:rPr>
        <w:t xml:space="preserve"> </w:t>
      </w:r>
      <w:r>
        <w:rPr>
          <w:rFonts w:hint="eastAsia" w:eastAsia="黑体"/>
          <w:sz w:val="28"/>
          <w:szCs w:val="44"/>
        </w:rPr>
        <w:t>报价函</w:t>
      </w:r>
    </w:p>
    <w:p w14:paraId="083D202D">
      <w:pPr>
        <w:jc w:val="center"/>
        <w:rPr>
          <w:rFonts w:eastAsia="华文中宋"/>
          <w:sz w:val="44"/>
          <w:szCs w:val="44"/>
        </w:rPr>
      </w:pPr>
      <w:r>
        <w:rPr>
          <w:rFonts w:hint="eastAsia" w:eastAsia="华文中宋"/>
          <w:sz w:val="44"/>
          <w:szCs w:val="44"/>
        </w:rPr>
        <w:t>报价函</w:t>
      </w:r>
    </w:p>
    <w:p w14:paraId="2C08004B">
      <w:pPr>
        <w:ind w:firstLine="560"/>
        <w:jc w:val="center"/>
        <w:rPr>
          <w:rFonts w:eastAsia="仿宋_GB2312"/>
          <w:sz w:val="32"/>
          <w:szCs w:val="32"/>
        </w:rPr>
      </w:pPr>
    </w:p>
    <w:p w14:paraId="1E5873E2">
      <w:pPr>
        <w:rPr>
          <w:rFonts w:hint="eastAsia" w:eastAsia="仿宋_GB2312"/>
          <w:color w:val="000000"/>
          <w:sz w:val="32"/>
          <w:szCs w:val="32"/>
          <w:lang w:eastAsia="zh-CN"/>
        </w:rPr>
      </w:pPr>
      <w:r>
        <w:rPr>
          <w:rFonts w:hint="eastAsia" w:eastAsia="仿宋_GB2312"/>
          <w:color w:val="000000"/>
          <w:sz w:val="32"/>
          <w:szCs w:val="32"/>
          <w:u w:val="single"/>
          <w:lang w:eastAsia="zh-CN"/>
        </w:rPr>
        <w:t xml:space="preserve">                     </w:t>
      </w:r>
      <w:r>
        <w:rPr>
          <w:rFonts w:hint="eastAsia" w:eastAsia="仿宋_GB2312"/>
          <w:color w:val="000000"/>
          <w:sz w:val="32"/>
          <w:szCs w:val="32"/>
          <w:lang w:eastAsia="zh-CN"/>
        </w:rPr>
        <w:t xml:space="preserve"> 公司：</w:t>
      </w:r>
    </w:p>
    <w:p w14:paraId="116A1D47">
      <w:pPr>
        <w:ind w:firstLine="960" w:firstLineChars="300"/>
        <w:rPr>
          <w:rFonts w:eastAsia="仿宋_GB2312"/>
          <w:sz w:val="32"/>
          <w:szCs w:val="32"/>
        </w:rPr>
      </w:pPr>
      <w:r>
        <w:rPr>
          <w:rFonts w:hint="eastAsia" w:eastAsia="仿宋_GB2312"/>
          <w:color w:val="000000"/>
          <w:sz w:val="32"/>
          <w:szCs w:val="32"/>
          <w:lang w:eastAsia="zh-CN"/>
        </w:rPr>
        <w:t>针对贵司</w:t>
      </w:r>
      <w:r>
        <w:rPr>
          <w:rFonts w:hint="eastAsia" w:eastAsia="仿宋_GB2312"/>
          <w:color w:val="000000"/>
          <w:sz w:val="32"/>
          <w:szCs w:val="32"/>
          <w:u w:val="single"/>
          <w:lang w:eastAsia="zh-CN"/>
        </w:rPr>
        <w:t xml:space="preserve">              </w:t>
      </w:r>
      <w:r>
        <w:rPr>
          <w:rFonts w:hint="eastAsia" w:eastAsia="仿宋_GB2312"/>
          <w:color w:val="000000"/>
          <w:sz w:val="32"/>
          <w:szCs w:val="32"/>
          <w:lang w:eastAsia="zh-CN"/>
        </w:rPr>
        <w:t xml:space="preserve"> 项目，我司愿意以不含税价合计人民币xxxx元（大写），¥xx</w:t>
      </w:r>
      <w:r>
        <w:rPr>
          <w:rFonts w:hint="eastAsia" w:eastAsia="仿宋_GB2312"/>
          <w:color w:val="000000"/>
          <w:sz w:val="32"/>
          <w:szCs w:val="32"/>
          <w:lang w:val="en-US" w:eastAsia="zh-CN"/>
        </w:rPr>
        <w:t>.</w:t>
      </w:r>
      <w:r>
        <w:rPr>
          <w:rFonts w:hint="eastAsia" w:eastAsia="仿宋_GB2312"/>
          <w:color w:val="000000"/>
          <w:sz w:val="32"/>
          <w:szCs w:val="32"/>
          <w:lang w:eastAsia="zh-CN"/>
        </w:rPr>
        <w:t>xx（小写），税点：</w:t>
      </w:r>
      <w:r>
        <w:rPr>
          <w:rFonts w:hint="eastAsia" w:eastAsia="仿宋_GB2312"/>
          <w:color w:val="000000"/>
          <w:sz w:val="32"/>
          <w:szCs w:val="32"/>
          <w:u w:val="single"/>
          <w:lang w:eastAsia="zh-CN"/>
        </w:rPr>
        <w:t xml:space="preserve">     </w:t>
      </w:r>
      <w:r>
        <w:rPr>
          <w:rFonts w:hint="eastAsia" w:eastAsia="仿宋_GB2312"/>
          <w:color w:val="000000"/>
          <w:sz w:val="32"/>
          <w:szCs w:val="32"/>
          <w:u w:val="single"/>
          <w:lang w:val="en-US" w:eastAsia="zh-CN"/>
        </w:rPr>
        <w:t>%</w:t>
      </w:r>
      <w:r>
        <w:rPr>
          <w:rFonts w:hint="eastAsia" w:eastAsia="仿宋_GB2312"/>
          <w:color w:val="000000"/>
          <w:sz w:val="32"/>
          <w:szCs w:val="32"/>
          <w:u w:val="single"/>
          <w:lang w:eastAsia="zh-CN"/>
        </w:rPr>
        <w:t xml:space="preserve">  </w:t>
      </w:r>
      <w:r>
        <w:rPr>
          <w:rFonts w:hint="eastAsia" w:eastAsia="仿宋_GB2312"/>
          <w:color w:val="000000"/>
          <w:sz w:val="32"/>
          <w:szCs w:val="32"/>
          <w:lang w:eastAsia="zh-CN"/>
        </w:rPr>
        <w:t>，含税价：人民币xxxx元（大写），¥xxx. xx（小写）承接此项目。</w:t>
      </w:r>
    </w:p>
    <w:p w14:paraId="40ECC362">
      <w:pPr>
        <w:adjustRightInd w:val="0"/>
        <w:snapToGrid w:val="0"/>
        <w:spacing w:line="56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注：</w:t>
      </w:r>
    </w:p>
    <w:p w14:paraId="400681C3">
      <w:pPr>
        <w:adjustRightInd w:val="0"/>
        <w:snapToGrid w:val="0"/>
        <w:spacing w:line="56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1、投标总价栏须用大写金额和小写金额两种方式表示的投标总价，报价保留小数点后两位。投标总价大小写不一致，以大写为准。投标总价必须准确唯一且应包含采购文件要求的所有费用。</w:t>
      </w:r>
    </w:p>
    <w:p w14:paraId="5B57ACB0">
      <w:pPr>
        <w:adjustRightInd w:val="0"/>
        <w:snapToGrid w:val="0"/>
        <w:spacing w:line="560" w:lineRule="exact"/>
        <w:rPr>
          <w:rFonts w:hint="eastAsia" w:ascii="Times New Roman" w:hAnsi="Times New Roman" w:eastAsia="仿宋_GB2312" w:cs="Times New Roman"/>
          <w:sz w:val="28"/>
          <w:szCs w:val="28"/>
        </w:rPr>
      </w:pPr>
      <w:r>
        <w:rPr>
          <w:rFonts w:hint="eastAsia" w:eastAsia="仿宋_GB2312" w:cs="Times New Roman"/>
          <w:sz w:val="28"/>
          <w:szCs w:val="28"/>
          <w:lang w:val="en-US" w:eastAsia="zh-CN"/>
        </w:rPr>
        <w:t>2</w:t>
      </w:r>
      <w:r>
        <w:rPr>
          <w:rFonts w:hint="eastAsia" w:ascii="Times New Roman" w:hAnsi="Times New Roman" w:eastAsia="仿宋_GB2312" w:cs="Times New Roman"/>
          <w:sz w:val="28"/>
          <w:szCs w:val="28"/>
        </w:rPr>
        <w:t>、温馨提示：未按采购文件要求报价、填写开标一览表是导致投标人废标的常见问题，请投标人仔细填写，认真核对。</w:t>
      </w:r>
    </w:p>
    <w:p w14:paraId="19630217">
      <w:pPr>
        <w:rPr>
          <w:rFonts w:eastAsia="仿宋_GB2312"/>
          <w:sz w:val="32"/>
          <w:szCs w:val="32"/>
        </w:rPr>
      </w:pPr>
    </w:p>
    <w:p w14:paraId="10E200FB">
      <w:pPr>
        <w:rPr>
          <w:rFonts w:eastAsia="仿宋_GB2312"/>
          <w:sz w:val="32"/>
          <w:szCs w:val="32"/>
        </w:rPr>
      </w:pPr>
    </w:p>
    <w:p w14:paraId="494C657D">
      <w:pPr>
        <w:jc w:val="left"/>
        <w:rPr>
          <w:rFonts w:eastAsia="仿宋_GB2312"/>
          <w:sz w:val="32"/>
          <w:szCs w:val="32"/>
        </w:rPr>
      </w:pPr>
      <w:r>
        <w:rPr>
          <w:rFonts w:hint="eastAsia" w:eastAsia="仿宋_GB2312"/>
          <w:sz w:val="32"/>
          <w:szCs w:val="32"/>
        </w:rPr>
        <w:t>响应人名称（加盖公章）：</w:t>
      </w:r>
    </w:p>
    <w:p w14:paraId="12DE511E">
      <w:pPr>
        <w:jc w:val="left"/>
        <w:rPr>
          <w:rFonts w:eastAsia="仿宋_GB2312"/>
          <w:sz w:val="32"/>
          <w:szCs w:val="32"/>
        </w:rPr>
      </w:pPr>
      <w:r>
        <w:rPr>
          <w:rFonts w:hint="eastAsia" w:eastAsia="仿宋_GB2312"/>
          <w:sz w:val="32"/>
          <w:szCs w:val="32"/>
        </w:rPr>
        <w:t>法定代表人（签名或盖章）：</w:t>
      </w:r>
    </w:p>
    <w:p w14:paraId="75DAA42B">
      <w:pPr>
        <w:jc w:val="left"/>
        <w:rPr>
          <w:rFonts w:eastAsia="仿宋_GB2312"/>
          <w:sz w:val="32"/>
          <w:szCs w:val="32"/>
        </w:rPr>
      </w:pPr>
      <w:r>
        <w:rPr>
          <w:rFonts w:hint="eastAsia" w:eastAsia="仿宋_GB2312"/>
          <w:sz w:val="32"/>
          <w:szCs w:val="32"/>
        </w:rPr>
        <w:t>联系人：</w:t>
      </w:r>
    </w:p>
    <w:p w14:paraId="5FD8EF45">
      <w:pPr>
        <w:jc w:val="left"/>
        <w:rPr>
          <w:rFonts w:eastAsia="仿宋_GB2312"/>
          <w:sz w:val="32"/>
          <w:szCs w:val="32"/>
        </w:rPr>
      </w:pPr>
      <w:r>
        <w:rPr>
          <w:rFonts w:hint="eastAsia" w:eastAsia="仿宋_GB2312"/>
          <w:sz w:val="32"/>
          <w:szCs w:val="32"/>
        </w:rPr>
        <w:t>联系电话：</w:t>
      </w:r>
    </w:p>
    <w:p w14:paraId="20600867">
      <w:pPr>
        <w:jc w:val="left"/>
        <w:rPr>
          <w:rFonts w:eastAsia="仿宋_GB2312"/>
          <w:sz w:val="32"/>
          <w:szCs w:val="32"/>
        </w:rPr>
      </w:pPr>
      <w:r>
        <w:rPr>
          <w:rFonts w:hint="eastAsia" w:eastAsia="仿宋_GB2312"/>
          <w:sz w:val="32"/>
          <w:szCs w:val="32"/>
        </w:rPr>
        <w:t>日期：</w:t>
      </w:r>
    </w:p>
    <w:p w14:paraId="1F2F2532">
      <w:pPr>
        <w:jc w:val="center"/>
        <w:rPr>
          <w:rFonts w:eastAsia="仿宋_GB2312"/>
          <w:sz w:val="32"/>
          <w:szCs w:val="32"/>
        </w:rPr>
      </w:pPr>
    </w:p>
    <w:p w14:paraId="18C4F352">
      <w:pPr>
        <w:rPr>
          <w:rFonts w:eastAsia="黑体"/>
          <w:sz w:val="28"/>
          <w:szCs w:val="44"/>
        </w:rPr>
        <w:sectPr>
          <w:pgSz w:w="11907" w:h="16840"/>
          <w:pgMar w:top="1531" w:right="1588" w:bottom="1418" w:left="1418" w:header="851" w:footer="1191" w:gutter="0"/>
          <w:cols w:space="720" w:num="1"/>
          <w:docGrid w:type="linesAndChars" w:linePitch="332" w:charSpace="0"/>
        </w:sectPr>
      </w:pPr>
    </w:p>
    <w:p w14:paraId="56B75E90">
      <w:pPr>
        <w:jc w:val="center"/>
        <w:rPr>
          <w:rFonts w:hint="eastAsia" w:ascii="仿宋" w:hAnsi="仿宋" w:eastAsia="仿宋"/>
          <w:b/>
          <w:bCs/>
          <w:sz w:val="32"/>
          <w:szCs w:val="32"/>
        </w:rPr>
      </w:pPr>
      <w:r>
        <w:rPr>
          <w:rFonts w:hint="eastAsia" w:ascii="仿宋" w:hAnsi="仿宋" w:eastAsia="仿宋"/>
          <w:b/>
          <w:bCs/>
          <w:sz w:val="32"/>
          <w:szCs w:val="32"/>
        </w:rPr>
        <w:t>报价清表</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20"/>
        <w:gridCol w:w="1163"/>
        <w:gridCol w:w="3926"/>
        <w:gridCol w:w="1164"/>
        <w:gridCol w:w="1408"/>
      </w:tblGrid>
      <w:tr w14:paraId="7587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vAlign w:val="center"/>
          </w:tcPr>
          <w:p w14:paraId="53B3A8FB">
            <w:pPr>
              <w:pStyle w:val="2"/>
              <w:jc w:val="center"/>
              <w:rPr>
                <w:rFonts w:hint="eastAsia" w:ascii="仿宋" w:hAnsi="仿宋" w:eastAsia="仿宋" w:cs="Times New Roman"/>
                <w:b/>
                <w:bCs/>
              </w:rPr>
            </w:pPr>
            <w:r>
              <w:rPr>
                <w:rFonts w:ascii="仿宋" w:hAnsi="仿宋" w:eastAsia="仿宋" w:cs="Times New Roman"/>
                <w:b/>
                <w:bCs/>
              </w:rPr>
              <w:t>序号</w:t>
            </w:r>
          </w:p>
        </w:tc>
        <w:tc>
          <w:tcPr>
            <w:tcW w:w="505" w:type="pct"/>
            <w:vAlign w:val="center"/>
          </w:tcPr>
          <w:p w14:paraId="2E6689E3">
            <w:pPr>
              <w:pStyle w:val="2"/>
              <w:jc w:val="center"/>
              <w:rPr>
                <w:rFonts w:hint="eastAsia" w:ascii="仿宋" w:hAnsi="仿宋" w:eastAsia="仿宋" w:cs="Times New Roman"/>
                <w:b/>
                <w:bCs/>
              </w:rPr>
            </w:pPr>
            <w:r>
              <w:rPr>
                <w:rFonts w:hint="eastAsia" w:ascii="仿宋" w:hAnsi="仿宋" w:eastAsia="仿宋" w:cs="Times New Roman"/>
                <w:b/>
                <w:bCs/>
              </w:rPr>
              <w:t>保险名称</w:t>
            </w:r>
          </w:p>
        </w:tc>
        <w:tc>
          <w:tcPr>
            <w:tcW w:w="638" w:type="pct"/>
            <w:vAlign w:val="center"/>
          </w:tcPr>
          <w:p w14:paraId="2EC4A81A">
            <w:pPr>
              <w:pStyle w:val="2"/>
              <w:jc w:val="center"/>
              <w:rPr>
                <w:rFonts w:hint="eastAsia" w:ascii="仿宋" w:hAnsi="仿宋" w:eastAsia="仿宋" w:cs="Times New Roman"/>
                <w:b/>
                <w:bCs/>
              </w:rPr>
            </w:pPr>
            <w:r>
              <w:rPr>
                <w:rFonts w:hint="eastAsia" w:ascii="仿宋" w:hAnsi="仿宋" w:eastAsia="仿宋" w:cs="Times New Roman"/>
                <w:b/>
                <w:bCs/>
              </w:rPr>
              <w:t>保险合同周期</w:t>
            </w:r>
          </w:p>
        </w:tc>
        <w:tc>
          <w:tcPr>
            <w:tcW w:w="2155" w:type="pct"/>
            <w:vAlign w:val="center"/>
          </w:tcPr>
          <w:p w14:paraId="4971B0BB">
            <w:pPr>
              <w:pStyle w:val="2"/>
              <w:jc w:val="center"/>
              <w:rPr>
                <w:rFonts w:hint="eastAsia" w:ascii="仿宋" w:hAnsi="仿宋" w:eastAsia="仿宋" w:cs="Times New Roman"/>
                <w:b/>
                <w:bCs/>
              </w:rPr>
            </w:pPr>
            <w:r>
              <w:rPr>
                <w:rFonts w:hint="eastAsia" w:ascii="仿宋" w:hAnsi="仿宋" w:eastAsia="仿宋" w:cs="Times New Roman"/>
                <w:b/>
                <w:bCs/>
              </w:rPr>
              <w:t>保险责任概述</w:t>
            </w:r>
          </w:p>
        </w:tc>
        <w:tc>
          <w:tcPr>
            <w:tcW w:w="639" w:type="pct"/>
            <w:vAlign w:val="center"/>
          </w:tcPr>
          <w:p w14:paraId="2995D41F">
            <w:pPr>
              <w:pStyle w:val="2"/>
              <w:jc w:val="center"/>
              <w:rPr>
                <w:rFonts w:hint="eastAsia" w:ascii="仿宋" w:hAnsi="仿宋" w:eastAsia="仿宋" w:cs="Times New Roman"/>
                <w:b/>
                <w:bCs/>
              </w:rPr>
            </w:pPr>
            <w:r>
              <w:rPr>
                <w:rFonts w:hint="eastAsia" w:ascii="仿宋" w:hAnsi="仿宋" w:eastAsia="仿宋" w:cs="Times New Roman"/>
                <w:b/>
                <w:bCs/>
              </w:rPr>
              <w:t>要求</w:t>
            </w:r>
          </w:p>
        </w:tc>
        <w:tc>
          <w:tcPr>
            <w:tcW w:w="773" w:type="pct"/>
            <w:vAlign w:val="center"/>
          </w:tcPr>
          <w:p w14:paraId="73F76919">
            <w:pPr>
              <w:pStyle w:val="2"/>
              <w:jc w:val="center"/>
              <w:rPr>
                <w:rFonts w:hint="eastAsia" w:ascii="仿宋" w:hAnsi="仿宋" w:eastAsia="仿宋" w:cs="Times New Roman"/>
                <w:b/>
                <w:bCs/>
              </w:rPr>
            </w:pPr>
            <w:r>
              <w:rPr>
                <w:rFonts w:hint="eastAsia" w:ascii="仿宋" w:hAnsi="仿宋" w:eastAsia="仿宋" w:cs="Times New Roman"/>
                <w:b/>
                <w:bCs/>
                <w:lang w:eastAsia="zh-CN"/>
              </w:rPr>
              <w:t>含税</w:t>
            </w:r>
            <w:r>
              <w:rPr>
                <w:rFonts w:ascii="仿宋" w:hAnsi="仿宋" w:eastAsia="仿宋" w:cs="Times New Roman"/>
                <w:b/>
                <w:bCs/>
              </w:rPr>
              <w:t>金额</w:t>
            </w:r>
            <w:r>
              <w:rPr>
                <w:rFonts w:hint="eastAsia" w:ascii="仿宋" w:hAnsi="仿宋" w:eastAsia="仿宋" w:cs="Times New Roman"/>
                <w:b/>
                <w:bCs/>
              </w:rPr>
              <w:t>（元）</w:t>
            </w:r>
          </w:p>
        </w:tc>
      </w:tr>
      <w:tr w14:paraId="318C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290" w:type="pct"/>
            <w:vAlign w:val="center"/>
          </w:tcPr>
          <w:p w14:paraId="77E9264D">
            <w:pPr>
              <w:pStyle w:val="2"/>
              <w:jc w:val="center"/>
              <w:rPr>
                <w:rFonts w:hint="eastAsia" w:ascii="仿宋" w:hAnsi="仿宋" w:eastAsia="仿宋" w:cs="Times New Roman"/>
              </w:rPr>
            </w:pPr>
            <w:r>
              <w:rPr>
                <w:rFonts w:ascii="仿宋" w:hAnsi="仿宋" w:eastAsia="仿宋" w:cs="Times New Roman"/>
              </w:rPr>
              <w:t>1</w:t>
            </w:r>
          </w:p>
        </w:tc>
        <w:tc>
          <w:tcPr>
            <w:tcW w:w="505" w:type="pct"/>
            <w:vAlign w:val="center"/>
          </w:tcPr>
          <w:p w14:paraId="466F44B2">
            <w:pPr>
              <w:pStyle w:val="2"/>
              <w:jc w:val="center"/>
              <w:rPr>
                <w:rFonts w:hint="eastAsia" w:ascii="仿宋" w:hAnsi="仿宋" w:eastAsia="仿宋" w:cs="Times New Roman"/>
              </w:rPr>
            </w:pPr>
            <w:r>
              <w:rPr>
                <w:rFonts w:hint="eastAsia" w:ascii="仿宋" w:hAnsi="仿宋" w:eastAsia="仿宋" w:cs="Times New Roman"/>
              </w:rPr>
              <w:t>公众责任险</w:t>
            </w:r>
          </w:p>
        </w:tc>
        <w:tc>
          <w:tcPr>
            <w:tcW w:w="638" w:type="pct"/>
            <w:vAlign w:val="center"/>
          </w:tcPr>
          <w:p w14:paraId="35AB29B8">
            <w:pPr>
              <w:pStyle w:val="2"/>
              <w:jc w:val="center"/>
              <w:rPr>
                <w:rFonts w:hint="eastAsia" w:ascii="仿宋" w:hAnsi="仿宋" w:eastAsia="仿宋" w:cs="Times New Roman"/>
              </w:rPr>
            </w:pPr>
            <w:r>
              <w:rPr>
                <w:rFonts w:hint="eastAsia" w:ascii="仿宋" w:hAnsi="仿宋" w:eastAsia="仿宋" w:cs="Times New Roman"/>
              </w:rPr>
              <w:t>2年</w:t>
            </w:r>
          </w:p>
        </w:tc>
        <w:tc>
          <w:tcPr>
            <w:tcW w:w="2155" w:type="pct"/>
            <w:vAlign w:val="center"/>
          </w:tcPr>
          <w:p w14:paraId="026C5582">
            <w:pPr>
              <w:ind w:firstLine="440" w:firstLineChars="200"/>
              <w:jc w:val="left"/>
              <w:rPr>
                <w:rFonts w:hint="eastAsia" w:ascii="仿宋" w:hAnsi="仿宋" w:eastAsia="仿宋"/>
              </w:rPr>
            </w:pPr>
            <w:r>
              <w:rPr>
                <w:rFonts w:hint="eastAsia" w:ascii="仿宋" w:hAnsi="仿宋" w:eastAsia="仿宋" w:cs="宋体"/>
                <w:color w:val="000000"/>
                <w:kern w:val="0"/>
                <w:sz w:val="22"/>
                <w:szCs w:val="22"/>
              </w:rPr>
              <w:t>在保险期间内，被保险人在承保地址范围内因经营业务发生意外事故，造成第三者人身伤亡或财产损失，依照中华人民共和国法律（不含港澳台地区）应由被保险人承担的经济赔偿责任，保险人负责赔偿；同时负责赔偿事先经保险人同意的仲裁 / 诉讼费用。</w:t>
            </w:r>
          </w:p>
        </w:tc>
        <w:tc>
          <w:tcPr>
            <w:tcW w:w="639" w:type="pct"/>
            <w:vAlign w:val="center"/>
          </w:tcPr>
          <w:p w14:paraId="111911A7">
            <w:pPr>
              <w:jc w:val="center"/>
              <w:rPr>
                <w:rFonts w:hint="eastAsia" w:ascii="仿宋" w:hAnsi="仿宋" w:eastAsia="仿宋"/>
              </w:rPr>
            </w:pPr>
            <w:r>
              <w:rPr>
                <w:rFonts w:hint="eastAsia" w:ascii="仿宋" w:hAnsi="仿宋" w:eastAsia="仿宋"/>
              </w:rPr>
              <w:t>保险赔偿限额及保险责任按照用户需求书需求</w:t>
            </w:r>
          </w:p>
        </w:tc>
        <w:tc>
          <w:tcPr>
            <w:tcW w:w="773" w:type="pct"/>
            <w:vAlign w:val="center"/>
          </w:tcPr>
          <w:p w14:paraId="09C6FAB5">
            <w:pPr>
              <w:pStyle w:val="2"/>
              <w:jc w:val="center"/>
              <w:rPr>
                <w:rFonts w:hint="eastAsia" w:ascii="仿宋" w:hAnsi="仿宋" w:eastAsia="仿宋" w:cs="Times New Roman"/>
              </w:rPr>
            </w:pPr>
          </w:p>
        </w:tc>
      </w:tr>
      <w:tr w14:paraId="5588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290" w:type="pct"/>
            <w:vAlign w:val="center"/>
          </w:tcPr>
          <w:p w14:paraId="7A7DC7AE">
            <w:pPr>
              <w:pStyle w:val="2"/>
              <w:jc w:val="center"/>
              <w:rPr>
                <w:rFonts w:hint="eastAsia" w:ascii="仿宋" w:hAnsi="仿宋" w:eastAsia="仿宋" w:cs="Times New Roman"/>
              </w:rPr>
            </w:pPr>
            <w:r>
              <w:rPr>
                <w:rFonts w:hint="eastAsia" w:ascii="仿宋" w:hAnsi="仿宋" w:eastAsia="仿宋" w:cs="Times New Roman"/>
              </w:rPr>
              <w:t>2</w:t>
            </w:r>
          </w:p>
        </w:tc>
        <w:tc>
          <w:tcPr>
            <w:tcW w:w="505" w:type="pct"/>
            <w:vAlign w:val="center"/>
          </w:tcPr>
          <w:p w14:paraId="466268AE">
            <w:pPr>
              <w:pStyle w:val="2"/>
              <w:jc w:val="center"/>
              <w:rPr>
                <w:rFonts w:hint="eastAsia" w:ascii="仿宋" w:hAnsi="仿宋" w:eastAsia="仿宋" w:cs="Times New Roman"/>
              </w:rPr>
            </w:pPr>
            <w:r>
              <w:rPr>
                <w:rFonts w:hint="eastAsia" w:ascii="仿宋" w:hAnsi="仿宋" w:eastAsia="仿宋" w:cs="Times New Roman"/>
              </w:rPr>
              <w:t>财产一切险</w:t>
            </w:r>
          </w:p>
        </w:tc>
        <w:tc>
          <w:tcPr>
            <w:tcW w:w="638" w:type="pct"/>
            <w:vAlign w:val="center"/>
          </w:tcPr>
          <w:p w14:paraId="4856A876">
            <w:pPr>
              <w:pStyle w:val="2"/>
              <w:jc w:val="center"/>
              <w:rPr>
                <w:rFonts w:hint="eastAsia" w:ascii="仿宋" w:hAnsi="仿宋" w:eastAsia="仿宋" w:cs="Times New Roman"/>
              </w:rPr>
            </w:pPr>
            <w:r>
              <w:rPr>
                <w:rFonts w:hint="eastAsia" w:ascii="仿宋" w:hAnsi="仿宋" w:eastAsia="仿宋" w:cs="Times New Roman"/>
              </w:rPr>
              <w:t>2年</w:t>
            </w:r>
          </w:p>
        </w:tc>
        <w:tc>
          <w:tcPr>
            <w:tcW w:w="2155" w:type="pct"/>
            <w:vAlign w:val="center"/>
          </w:tcPr>
          <w:p w14:paraId="3F899B1F">
            <w:pPr>
              <w:ind w:firstLine="440" w:firstLineChars="200"/>
              <w:jc w:val="left"/>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直接损失赔偿：保险期间内， 在保险期间内，由于自然灾害或意外事故造成保险标的直接物质损坏或灭失（以下简称“损失”），保险人按照本保险合同的约定负责赔偿。</w:t>
            </w:r>
          </w:p>
          <w:p w14:paraId="1D10CF74">
            <w:pPr>
              <w:jc w:val="left"/>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 xml:space="preserve">    </w:t>
            </w:r>
            <w:r>
              <w:rPr>
                <w:rFonts w:hint="eastAsia" w:ascii="仿宋" w:hAnsi="仿宋" w:eastAsia="仿宋" w:cs="宋体"/>
                <w:color w:val="000000"/>
                <w:kern w:val="0"/>
                <w:sz w:val="22"/>
                <w:szCs w:val="22"/>
              </w:rPr>
              <w:t>施救损失赔偿：前款原因造成的保险事故发生时，为抢救保险标的或防止灾害蔓延，采取必要的、合理的措施而造成保险标的的损失，保险人按照本保险合同的约定也负责赔偿。</w:t>
            </w:r>
          </w:p>
          <w:p w14:paraId="28F34ACB">
            <w:pPr>
              <w:ind w:firstLine="660" w:firstLineChars="300"/>
              <w:jc w:val="left"/>
              <w:rPr>
                <w:rFonts w:hint="eastAsia" w:ascii="仿宋" w:hAnsi="仿宋" w:eastAsia="仿宋"/>
              </w:rPr>
            </w:pPr>
            <w:r>
              <w:rPr>
                <w:rFonts w:hint="eastAsia" w:ascii="仿宋" w:hAnsi="仿宋" w:eastAsia="仿宋" w:cs="宋体"/>
                <w:color w:val="000000"/>
                <w:kern w:val="0"/>
                <w:sz w:val="22"/>
                <w:szCs w:val="22"/>
              </w:rPr>
              <w:t>施救费用赔偿：保险事故后，被保险人为防止或减少标的损失支付的必要合理费用，保险人负责赔偿。</w:t>
            </w:r>
          </w:p>
        </w:tc>
        <w:tc>
          <w:tcPr>
            <w:tcW w:w="639" w:type="pct"/>
            <w:vAlign w:val="center"/>
          </w:tcPr>
          <w:p w14:paraId="18890353">
            <w:pPr>
              <w:jc w:val="center"/>
              <w:rPr>
                <w:rFonts w:hint="eastAsia" w:ascii="仿宋" w:hAnsi="仿宋" w:eastAsia="仿宋"/>
              </w:rPr>
            </w:pPr>
            <w:r>
              <w:rPr>
                <w:rFonts w:hint="eastAsia" w:ascii="仿宋" w:hAnsi="仿宋" w:eastAsia="仿宋"/>
              </w:rPr>
              <w:t>保险赔偿限额及保险责任按照用户需求书需求</w:t>
            </w:r>
          </w:p>
        </w:tc>
        <w:tc>
          <w:tcPr>
            <w:tcW w:w="773" w:type="pct"/>
            <w:vAlign w:val="center"/>
          </w:tcPr>
          <w:p w14:paraId="5B5135C2">
            <w:pPr>
              <w:pStyle w:val="2"/>
              <w:jc w:val="center"/>
              <w:rPr>
                <w:rFonts w:hint="eastAsia" w:ascii="仿宋" w:hAnsi="仿宋" w:eastAsia="仿宋" w:cs="Times New Roman"/>
              </w:rPr>
            </w:pPr>
          </w:p>
        </w:tc>
      </w:tr>
      <w:tr w14:paraId="6A05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pct"/>
            <w:gridSpan w:val="5"/>
            <w:vAlign w:val="center"/>
          </w:tcPr>
          <w:p w14:paraId="64228F64">
            <w:pPr>
              <w:pStyle w:val="2"/>
              <w:jc w:val="right"/>
              <w:rPr>
                <w:rFonts w:hint="eastAsia" w:ascii="仿宋" w:hAnsi="仿宋" w:eastAsia="仿宋" w:cs="Times New Roman"/>
              </w:rPr>
            </w:pPr>
            <w:r>
              <w:rPr>
                <w:rFonts w:ascii="仿宋" w:hAnsi="仿宋" w:eastAsia="仿宋" w:cs="Times New Roman"/>
              </w:rPr>
              <w:t>合计</w:t>
            </w:r>
          </w:p>
        </w:tc>
        <w:tc>
          <w:tcPr>
            <w:tcW w:w="773" w:type="pct"/>
            <w:vAlign w:val="center"/>
          </w:tcPr>
          <w:p w14:paraId="1CE3CB91">
            <w:pPr>
              <w:pStyle w:val="2"/>
              <w:jc w:val="center"/>
              <w:rPr>
                <w:rFonts w:hint="eastAsia" w:ascii="仿宋" w:hAnsi="仿宋" w:eastAsia="仿宋" w:cs="Times New Roman"/>
              </w:rPr>
            </w:pPr>
          </w:p>
        </w:tc>
      </w:tr>
      <w:tr w14:paraId="7336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pct"/>
            <w:gridSpan w:val="5"/>
            <w:vAlign w:val="center"/>
          </w:tcPr>
          <w:p w14:paraId="67147B22">
            <w:pPr>
              <w:pStyle w:val="2"/>
              <w:jc w:val="right"/>
              <w:rPr>
                <w:rFonts w:hint="eastAsia" w:ascii="仿宋" w:hAnsi="仿宋" w:eastAsia="仿宋" w:cs="Times New Roman"/>
              </w:rPr>
            </w:pPr>
            <w:r>
              <w:rPr>
                <w:rFonts w:ascii="仿宋" w:hAnsi="仿宋" w:eastAsia="仿宋" w:cs="Times New Roman"/>
              </w:rPr>
              <w:t>税率</w:t>
            </w:r>
          </w:p>
        </w:tc>
        <w:tc>
          <w:tcPr>
            <w:tcW w:w="773" w:type="pct"/>
            <w:vAlign w:val="center"/>
          </w:tcPr>
          <w:p w14:paraId="17C4C7EE">
            <w:pPr>
              <w:pStyle w:val="2"/>
              <w:jc w:val="center"/>
              <w:rPr>
                <w:rFonts w:hint="eastAsia" w:ascii="仿宋" w:hAnsi="仿宋" w:eastAsia="仿宋" w:cs="Times New Roman"/>
              </w:rPr>
            </w:pPr>
          </w:p>
        </w:tc>
      </w:tr>
      <w:tr w14:paraId="5E2F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pct"/>
            <w:gridSpan w:val="5"/>
            <w:vAlign w:val="center"/>
          </w:tcPr>
          <w:p w14:paraId="16FB22D2">
            <w:pPr>
              <w:pStyle w:val="2"/>
              <w:jc w:val="right"/>
              <w:rPr>
                <w:rFonts w:hint="eastAsia" w:ascii="仿宋" w:hAnsi="仿宋" w:eastAsia="仿宋" w:cs="Times New Roman"/>
              </w:rPr>
            </w:pPr>
            <w:r>
              <w:rPr>
                <w:rFonts w:hint="eastAsia" w:ascii="仿宋" w:hAnsi="仿宋" w:eastAsia="仿宋" w:cs="Times New Roman"/>
              </w:rPr>
              <w:t>含税</w:t>
            </w:r>
            <w:r>
              <w:rPr>
                <w:rFonts w:ascii="仿宋" w:hAnsi="仿宋" w:eastAsia="仿宋" w:cs="Times New Roman"/>
              </w:rPr>
              <w:t>共计</w:t>
            </w:r>
          </w:p>
        </w:tc>
        <w:tc>
          <w:tcPr>
            <w:tcW w:w="773" w:type="pct"/>
            <w:vAlign w:val="center"/>
          </w:tcPr>
          <w:p w14:paraId="3B73A28A">
            <w:pPr>
              <w:pStyle w:val="2"/>
              <w:jc w:val="center"/>
              <w:rPr>
                <w:rFonts w:hint="eastAsia" w:ascii="仿宋" w:hAnsi="仿宋" w:eastAsia="仿宋" w:cs="Times New Roman"/>
              </w:rPr>
            </w:pPr>
          </w:p>
        </w:tc>
      </w:tr>
    </w:tbl>
    <w:p w14:paraId="58251DC7">
      <w:pPr>
        <w:jc w:val="left"/>
        <w:rPr>
          <w:rFonts w:eastAsia="仿宋_GB2312"/>
          <w:sz w:val="32"/>
          <w:szCs w:val="32"/>
        </w:rPr>
      </w:pPr>
    </w:p>
    <w:p w14:paraId="22F4464B">
      <w:pPr>
        <w:jc w:val="left"/>
        <w:rPr>
          <w:rFonts w:eastAsia="仿宋_GB2312"/>
          <w:sz w:val="32"/>
          <w:szCs w:val="32"/>
        </w:rPr>
      </w:pPr>
      <w:r>
        <w:rPr>
          <w:rFonts w:hint="eastAsia" w:eastAsia="仿宋_GB2312"/>
          <w:sz w:val="32"/>
          <w:szCs w:val="32"/>
        </w:rPr>
        <w:t>响应人名称（加盖公章）：</w:t>
      </w:r>
    </w:p>
    <w:p w14:paraId="10396D69">
      <w:pPr>
        <w:jc w:val="left"/>
        <w:rPr>
          <w:rFonts w:eastAsia="仿宋_GB2312"/>
          <w:sz w:val="32"/>
          <w:szCs w:val="32"/>
        </w:rPr>
      </w:pPr>
      <w:r>
        <w:rPr>
          <w:rFonts w:hint="eastAsia" w:eastAsia="仿宋_GB2312"/>
          <w:sz w:val="32"/>
          <w:szCs w:val="32"/>
        </w:rPr>
        <w:t>法定代表人（签名或盖章）：</w:t>
      </w:r>
    </w:p>
    <w:p w14:paraId="06271789">
      <w:pPr>
        <w:jc w:val="left"/>
        <w:rPr>
          <w:rFonts w:eastAsia="仿宋_GB2312"/>
          <w:sz w:val="32"/>
          <w:szCs w:val="32"/>
        </w:rPr>
      </w:pPr>
      <w:r>
        <w:rPr>
          <w:rFonts w:hint="eastAsia" w:eastAsia="仿宋_GB2312"/>
          <w:sz w:val="32"/>
          <w:szCs w:val="32"/>
        </w:rPr>
        <w:t>联系人：</w:t>
      </w:r>
    </w:p>
    <w:p w14:paraId="24BE93B3">
      <w:pPr>
        <w:jc w:val="left"/>
        <w:rPr>
          <w:rFonts w:eastAsia="仿宋_GB2312"/>
          <w:sz w:val="32"/>
          <w:szCs w:val="32"/>
        </w:rPr>
      </w:pPr>
      <w:r>
        <w:rPr>
          <w:rFonts w:hint="eastAsia" w:eastAsia="仿宋_GB2312"/>
          <w:sz w:val="32"/>
          <w:szCs w:val="32"/>
        </w:rPr>
        <w:t>联系电话：</w:t>
      </w:r>
    </w:p>
    <w:p w14:paraId="3E3504F5">
      <w:pPr>
        <w:jc w:val="left"/>
        <w:rPr>
          <w:rFonts w:eastAsia="仿宋_GB2312"/>
          <w:sz w:val="32"/>
          <w:szCs w:val="32"/>
        </w:rPr>
        <w:sectPr>
          <w:pgSz w:w="11907" w:h="16840"/>
          <w:pgMar w:top="1531" w:right="1588" w:bottom="1249" w:left="1418" w:header="851" w:footer="1191" w:gutter="0"/>
          <w:cols w:space="720" w:num="1"/>
          <w:docGrid w:type="linesAndChars" w:linePitch="332" w:charSpace="0"/>
        </w:sectPr>
      </w:pPr>
      <w:r>
        <w:rPr>
          <w:rFonts w:hint="eastAsia" w:eastAsia="仿宋_GB2312"/>
          <w:sz w:val="32"/>
          <w:szCs w:val="32"/>
        </w:rPr>
        <w:t>日期：</w:t>
      </w:r>
    </w:p>
    <w:p w14:paraId="4D11BBF0">
      <w:pPr>
        <w:pStyle w:val="37"/>
        <w:ind w:firstLine="0" w:firstLineChars="0"/>
        <w:jc w:val="left"/>
        <w:outlineLvl w:val="1"/>
        <w:rPr>
          <w:rFonts w:eastAsia="黑体"/>
          <w:sz w:val="28"/>
          <w:szCs w:val="44"/>
        </w:rPr>
      </w:pPr>
      <w:r>
        <w:rPr>
          <w:rFonts w:hint="eastAsia" w:eastAsia="黑体"/>
          <w:sz w:val="28"/>
          <w:szCs w:val="44"/>
        </w:rPr>
        <w:t>附件三</w:t>
      </w:r>
      <w:r>
        <w:rPr>
          <w:rFonts w:eastAsia="黑体"/>
          <w:sz w:val="28"/>
          <w:szCs w:val="44"/>
        </w:rPr>
        <w:t xml:space="preserve"> </w:t>
      </w:r>
      <w:r>
        <w:rPr>
          <w:rFonts w:hint="eastAsia" w:eastAsia="黑体"/>
          <w:sz w:val="28"/>
          <w:szCs w:val="44"/>
        </w:rPr>
        <w:t>法人证明</w:t>
      </w:r>
    </w:p>
    <w:p w14:paraId="3C63B696">
      <w:pPr>
        <w:pStyle w:val="37"/>
        <w:ind w:firstLine="0" w:firstLineChars="0"/>
        <w:jc w:val="left"/>
        <w:rPr>
          <w:rFonts w:eastAsia="黑体"/>
          <w:sz w:val="28"/>
          <w:szCs w:val="44"/>
        </w:rPr>
      </w:pPr>
    </w:p>
    <w:p w14:paraId="58606E82">
      <w:pPr>
        <w:jc w:val="center"/>
        <w:rPr>
          <w:rFonts w:eastAsia="仿宋_GB2312"/>
          <w:b/>
          <w:bCs/>
          <w:sz w:val="32"/>
          <w:szCs w:val="32"/>
        </w:rPr>
      </w:pPr>
      <w:r>
        <w:rPr>
          <w:rFonts w:hint="eastAsia" w:eastAsia="仿宋_GB2312"/>
          <w:b/>
          <w:bCs/>
          <w:sz w:val="32"/>
          <w:szCs w:val="32"/>
        </w:rPr>
        <w:t>法定代表人身份证明书及法定代表人身份证复印件</w:t>
      </w:r>
    </w:p>
    <w:p w14:paraId="067C5F26">
      <w:pPr>
        <w:rPr>
          <w:rFonts w:eastAsia="仿宋_GB2312"/>
          <w:sz w:val="32"/>
          <w:szCs w:val="32"/>
        </w:rPr>
      </w:pPr>
    </w:p>
    <w:p w14:paraId="6C5AFA30">
      <w:pPr>
        <w:rPr>
          <w:rFonts w:eastAsia="仿宋_GB2312"/>
          <w:color w:val="000000"/>
          <w:sz w:val="32"/>
          <w:szCs w:val="32"/>
        </w:rPr>
      </w:pPr>
      <w:r>
        <w:rPr>
          <w:rFonts w:hint="eastAsia" w:eastAsia="仿宋_GB2312"/>
          <w:color w:val="000000"/>
          <w:sz w:val="32"/>
          <w:szCs w:val="32"/>
          <w:lang w:eastAsia="zh-CN"/>
        </w:rPr>
        <w:t>广东东鸿物业发展有限公司</w:t>
      </w:r>
      <w:r>
        <w:rPr>
          <w:rFonts w:eastAsia="仿宋_GB2312"/>
          <w:color w:val="000000"/>
          <w:sz w:val="32"/>
          <w:szCs w:val="32"/>
        </w:rPr>
        <w:t>：</w:t>
      </w:r>
    </w:p>
    <w:p w14:paraId="793CE4EB">
      <w:pPr>
        <w:pStyle w:val="36"/>
        <w:ind w:firstLine="659"/>
        <w:rPr>
          <w:rFonts w:ascii="Times New Roman" w:hAnsi="Times New Roman"/>
          <w:sz w:val="32"/>
          <w:szCs w:val="32"/>
        </w:rPr>
      </w:pPr>
      <w:r>
        <w:rPr>
          <w:rFonts w:hint="eastAsia" w:ascii="Times New Roman" w:hAnsi="Times New Roman"/>
          <w:sz w:val="32"/>
          <w:szCs w:val="32"/>
        </w:rPr>
        <w:t>本证明书声明：注册于     （国家名称）的</w:t>
      </w:r>
      <w:r>
        <w:rPr>
          <w:rFonts w:hint="eastAsia" w:ascii="Times New Roman" w:hAnsi="Times New Roman"/>
          <w:sz w:val="32"/>
          <w:szCs w:val="32"/>
          <w:u w:val="single"/>
        </w:rPr>
        <w:t>　        　</w:t>
      </w:r>
      <w:r>
        <w:rPr>
          <w:rFonts w:hint="eastAsia" w:ascii="Times New Roman" w:hAnsi="Times New Roman"/>
          <w:sz w:val="32"/>
          <w:szCs w:val="32"/>
        </w:rPr>
        <w:t>（响应人名称）在下面签字的</w:t>
      </w:r>
      <w:r>
        <w:rPr>
          <w:rFonts w:hint="eastAsia" w:ascii="Times New Roman" w:hAnsi="Times New Roman"/>
          <w:sz w:val="32"/>
          <w:szCs w:val="32"/>
          <w:u w:val="single"/>
        </w:rPr>
        <w:t>　　　　　</w:t>
      </w:r>
      <w:r>
        <w:rPr>
          <w:rFonts w:hint="eastAsia" w:ascii="Times New Roman" w:hAnsi="Times New Roman"/>
          <w:sz w:val="32"/>
          <w:szCs w:val="32"/>
        </w:rPr>
        <w:t>（法定代表人姓名、职务）为本公司的合法代表人（</w:t>
      </w:r>
      <w:r>
        <w:rPr>
          <w:rFonts w:hint="eastAsia" w:ascii="Times New Roman" w:hAnsi="Times New Roman"/>
          <w:b/>
          <w:bCs/>
          <w:sz w:val="32"/>
          <w:szCs w:val="32"/>
        </w:rPr>
        <w:t>须附法定代表人身份证复印件</w:t>
      </w:r>
      <w:r>
        <w:rPr>
          <w:rFonts w:hint="eastAsia" w:ascii="Times New Roman" w:hAnsi="Times New Roman"/>
          <w:sz w:val="32"/>
          <w:szCs w:val="32"/>
        </w:rPr>
        <w:t>）。</w:t>
      </w:r>
    </w:p>
    <w:p w14:paraId="3026F15A">
      <w:pPr>
        <w:spacing w:line="600" w:lineRule="exact"/>
        <w:ind w:firstLine="480" w:firstLineChars="150"/>
        <w:rPr>
          <w:rFonts w:eastAsia="仿宋_GB2312"/>
          <w:sz w:val="32"/>
          <w:szCs w:val="32"/>
        </w:rPr>
      </w:pPr>
      <w:r>
        <w:rPr>
          <w:rFonts w:hint="eastAsia" w:eastAsia="仿宋_GB2312"/>
          <w:sz w:val="32"/>
          <w:szCs w:val="32"/>
        </w:rPr>
        <w:t>特此证明</w:t>
      </w:r>
    </w:p>
    <w:p w14:paraId="6105C569">
      <w:pPr>
        <w:spacing w:line="600" w:lineRule="exact"/>
        <w:rPr>
          <w:rFonts w:eastAsia="仿宋_GB2312"/>
          <w:sz w:val="32"/>
          <w:szCs w:val="32"/>
        </w:rPr>
      </w:pPr>
    </w:p>
    <w:p w14:paraId="3573446E">
      <w:pPr>
        <w:spacing w:line="600" w:lineRule="exact"/>
        <w:rPr>
          <w:rFonts w:eastAsia="仿宋_GB2312"/>
          <w:sz w:val="32"/>
          <w:szCs w:val="32"/>
        </w:rPr>
      </w:pPr>
    </w:p>
    <w:p w14:paraId="22151065">
      <w:pPr>
        <w:spacing w:line="600" w:lineRule="exact"/>
        <w:rPr>
          <w:rFonts w:eastAsia="仿宋_GB2312"/>
          <w:sz w:val="32"/>
          <w:szCs w:val="32"/>
        </w:rPr>
      </w:pPr>
    </w:p>
    <w:p w14:paraId="1D22C3C4">
      <w:pPr>
        <w:spacing w:line="600" w:lineRule="exact"/>
        <w:jc w:val="left"/>
        <w:rPr>
          <w:rFonts w:eastAsia="仿宋_GB2312"/>
          <w:sz w:val="32"/>
          <w:szCs w:val="32"/>
        </w:rPr>
      </w:pPr>
      <w:r>
        <w:rPr>
          <w:rFonts w:hint="eastAsia" w:eastAsia="仿宋_GB2312"/>
          <w:sz w:val="32"/>
          <w:szCs w:val="32"/>
        </w:rPr>
        <w:t>响应人名称（加盖公章）：</w:t>
      </w:r>
    </w:p>
    <w:p w14:paraId="59BCFE35">
      <w:pPr>
        <w:spacing w:line="600" w:lineRule="exact"/>
        <w:jc w:val="left"/>
        <w:rPr>
          <w:rFonts w:eastAsia="仿宋_GB2312"/>
          <w:sz w:val="32"/>
          <w:szCs w:val="32"/>
        </w:rPr>
      </w:pPr>
      <w:r>
        <w:rPr>
          <w:rFonts w:hint="eastAsia" w:eastAsia="仿宋_GB2312"/>
          <w:sz w:val="32"/>
          <w:szCs w:val="32"/>
        </w:rPr>
        <w:t>响应人地址：</w:t>
      </w:r>
    </w:p>
    <w:p w14:paraId="42712673">
      <w:pPr>
        <w:spacing w:line="600" w:lineRule="exact"/>
        <w:jc w:val="left"/>
        <w:rPr>
          <w:rFonts w:eastAsia="仿宋_GB2312"/>
          <w:sz w:val="32"/>
          <w:szCs w:val="32"/>
        </w:rPr>
      </w:pPr>
      <w:r>
        <w:rPr>
          <w:rFonts w:hint="eastAsia" w:eastAsia="仿宋_GB2312"/>
          <w:sz w:val="32"/>
          <w:szCs w:val="32"/>
        </w:rPr>
        <w:t>法定代表人（签名或盖私章）：</w:t>
      </w:r>
    </w:p>
    <w:p w14:paraId="09DCD289">
      <w:pPr>
        <w:spacing w:line="600" w:lineRule="exact"/>
        <w:jc w:val="left"/>
        <w:rPr>
          <w:rFonts w:eastAsia="仿宋_GB2312"/>
          <w:sz w:val="32"/>
          <w:szCs w:val="32"/>
        </w:rPr>
      </w:pPr>
      <w:r>
        <w:rPr>
          <w:rFonts w:hint="eastAsia" w:eastAsia="仿宋_GB2312"/>
          <w:sz w:val="32"/>
          <w:szCs w:val="32"/>
        </w:rPr>
        <w:t>职务：</w:t>
      </w:r>
    </w:p>
    <w:p w14:paraId="7785938E">
      <w:pPr>
        <w:rPr>
          <w:rFonts w:eastAsia="仿宋_GB2312"/>
          <w:sz w:val="32"/>
          <w:szCs w:val="32"/>
        </w:rPr>
      </w:pPr>
    </w:p>
    <w:p w14:paraId="5A7A9ADB">
      <w:pPr>
        <w:widowControl/>
        <w:jc w:val="center"/>
        <w:rPr>
          <w:rFonts w:eastAsia="仿宋_GB2312"/>
          <w:sz w:val="32"/>
          <w:szCs w:val="32"/>
        </w:rPr>
      </w:pPr>
      <w:r>
        <w:rPr>
          <w:rFonts w:eastAsia="仿宋_GB2312"/>
          <w:sz w:val="32"/>
          <w:szCs w:val="32"/>
        </w:rPr>
        <w:br w:type="page"/>
      </w:r>
      <w:bookmarkStart w:id="4" w:name="_Toc384752807"/>
    </w:p>
    <w:p w14:paraId="2C93AF88">
      <w:pPr>
        <w:pStyle w:val="37"/>
        <w:ind w:firstLine="0" w:firstLineChars="0"/>
        <w:jc w:val="left"/>
        <w:outlineLvl w:val="1"/>
        <w:rPr>
          <w:rFonts w:eastAsia="黑体"/>
          <w:sz w:val="28"/>
          <w:szCs w:val="44"/>
        </w:rPr>
      </w:pPr>
      <w:bookmarkStart w:id="5" w:name="_Hlk40704362"/>
      <w:r>
        <w:rPr>
          <w:rFonts w:hint="eastAsia" w:eastAsia="黑体"/>
          <w:sz w:val="28"/>
          <w:szCs w:val="44"/>
        </w:rPr>
        <w:t>附件四</w:t>
      </w:r>
      <w:r>
        <w:rPr>
          <w:rFonts w:eastAsia="黑体"/>
          <w:sz w:val="28"/>
          <w:szCs w:val="44"/>
        </w:rPr>
        <w:t xml:space="preserve"> </w:t>
      </w:r>
      <w:r>
        <w:rPr>
          <w:rFonts w:hint="eastAsia" w:eastAsia="黑体"/>
          <w:sz w:val="28"/>
          <w:szCs w:val="44"/>
        </w:rPr>
        <w:t>法人授权书</w:t>
      </w:r>
    </w:p>
    <w:p w14:paraId="38C1C46E">
      <w:pPr>
        <w:widowControl/>
        <w:jc w:val="center"/>
        <w:rPr>
          <w:rFonts w:eastAsia="仿宋_GB2312"/>
          <w:b/>
          <w:sz w:val="32"/>
          <w:szCs w:val="32"/>
        </w:rPr>
      </w:pPr>
    </w:p>
    <w:p w14:paraId="7C99897F">
      <w:pPr>
        <w:widowControl/>
        <w:jc w:val="center"/>
        <w:rPr>
          <w:rFonts w:eastAsia="仿宋_GB2312"/>
          <w:sz w:val="32"/>
          <w:szCs w:val="32"/>
        </w:rPr>
      </w:pPr>
      <w:r>
        <w:rPr>
          <w:rFonts w:hint="eastAsia" w:eastAsia="仿宋_GB2312"/>
          <w:b/>
          <w:sz w:val="32"/>
          <w:szCs w:val="32"/>
        </w:rPr>
        <w:t>授权委托书</w:t>
      </w:r>
      <w:bookmarkEnd w:id="4"/>
    </w:p>
    <w:p w14:paraId="293CCFAA">
      <w:pPr>
        <w:pStyle w:val="36"/>
        <w:ind w:firstLine="0" w:firstLineChars="0"/>
        <w:rPr>
          <w:rFonts w:ascii="Times New Roman" w:hAnsi="Times New Roman"/>
          <w:sz w:val="32"/>
          <w:szCs w:val="32"/>
        </w:rPr>
      </w:pPr>
    </w:p>
    <w:p w14:paraId="1CF7706C">
      <w:pPr>
        <w:rPr>
          <w:rFonts w:eastAsia="仿宋_GB2312"/>
          <w:color w:val="000000"/>
          <w:sz w:val="32"/>
          <w:szCs w:val="32"/>
        </w:rPr>
      </w:pPr>
      <w:r>
        <w:rPr>
          <w:rFonts w:hint="eastAsia" w:eastAsia="仿宋_GB2312"/>
          <w:color w:val="000000"/>
          <w:sz w:val="32"/>
          <w:szCs w:val="32"/>
          <w:lang w:eastAsia="zh-CN"/>
        </w:rPr>
        <w:t>广东东鸿物业发展有限公司</w:t>
      </w:r>
      <w:r>
        <w:rPr>
          <w:rFonts w:eastAsia="仿宋_GB2312"/>
          <w:color w:val="000000"/>
          <w:sz w:val="32"/>
          <w:szCs w:val="32"/>
        </w:rPr>
        <w:t>：</w:t>
      </w:r>
    </w:p>
    <w:p w14:paraId="5BA09388">
      <w:pPr>
        <w:pStyle w:val="36"/>
        <w:ind w:firstLine="659"/>
        <w:rPr>
          <w:rFonts w:ascii="Times New Roman" w:hAnsi="Times New Roman"/>
          <w:sz w:val="32"/>
          <w:szCs w:val="32"/>
        </w:rPr>
      </w:pPr>
      <w:r>
        <w:rPr>
          <w:rFonts w:hint="eastAsia" w:ascii="Times New Roman" w:hAnsi="Times New Roman"/>
          <w:sz w:val="32"/>
          <w:szCs w:val="32"/>
        </w:rPr>
        <w:t>本委托书声明：在下面签字的</w:t>
      </w:r>
      <w:r>
        <w:rPr>
          <w:rFonts w:hint="eastAsia" w:ascii="Times New Roman" w:hAnsi="Times New Roman"/>
          <w:sz w:val="32"/>
          <w:szCs w:val="32"/>
          <w:u w:val="single"/>
        </w:rPr>
        <w:t>（填写法定代表人姓名、职务）</w:t>
      </w:r>
      <w:r>
        <w:rPr>
          <w:rFonts w:hint="eastAsia" w:ascii="Times New Roman" w:hAnsi="Times New Roman"/>
          <w:sz w:val="32"/>
          <w:szCs w:val="32"/>
        </w:rPr>
        <w:t>代表</w:t>
      </w:r>
      <w:r>
        <w:rPr>
          <w:rFonts w:hint="eastAsia" w:ascii="Times New Roman" w:hAnsi="Times New Roman"/>
          <w:sz w:val="32"/>
          <w:szCs w:val="32"/>
          <w:u w:val="single"/>
        </w:rPr>
        <w:t>（填写响应人名称）</w:t>
      </w:r>
      <w:r>
        <w:rPr>
          <w:rFonts w:hint="eastAsia" w:ascii="Times New Roman" w:hAnsi="Times New Roman"/>
          <w:sz w:val="32"/>
          <w:szCs w:val="32"/>
        </w:rPr>
        <w:t>委托在下面签字的</w:t>
      </w:r>
      <w:r>
        <w:rPr>
          <w:rFonts w:hint="eastAsia" w:ascii="Times New Roman" w:hAnsi="Times New Roman"/>
          <w:sz w:val="32"/>
          <w:szCs w:val="32"/>
          <w:u w:val="single"/>
        </w:rPr>
        <w:t>（填写受委托人的姓名、职务）</w:t>
      </w:r>
      <w:r>
        <w:rPr>
          <w:rFonts w:hint="eastAsia" w:ascii="Times New Roman" w:hAnsi="Times New Roman"/>
          <w:sz w:val="32"/>
          <w:szCs w:val="32"/>
        </w:rPr>
        <w:t>为本公司的合法代表人，就</w:t>
      </w:r>
      <w:r>
        <w:rPr>
          <w:rFonts w:ascii="Times New Roman" w:hAnsi="Times New Roman"/>
          <w:sz w:val="32"/>
          <w:szCs w:val="32"/>
          <w:u w:val="single"/>
        </w:rPr>
        <w:t>（填写项目名称）</w:t>
      </w:r>
      <w:r>
        <w:rPr>
          <w:rFonts w:ascii="Times New Roman" w:hAnsi="Times New Roman"/>
          <w:sz w:val="32"/>
          <w:szCs w:val="32"/>
        </w:rPr>
        <w:t>项目</w:t>
      </w:r>
      <w:r>
        <w:rPr>
          <w:rFonts w:hint="eastAsia" w:ascii="Times New Roman" w:hAnsi="Times New Roman"/>
          <w:sz w:val="32"/>
          <w:szCs w:val="32"/>
        </w:rPr>
        <w:t>等相关服务的谈判和合同的执行，以我方的名义处理一切与之有关的事宜（相关身份证复印件须附后）。</w:t>
      </w:r>
    </w:p>
    <w:p w14:paraId="3A48C05E">
      <w:pPr>
        <w:pStyle w:val="36"/>
        <w:ind w:firstLine="659"/>
        <w:rPr>
          <w:rFonts w:ascii="Times New Roman" w:hAnsi="Times New Roman"/>
          <w:sz w:val="32"/>
          <w:szCs w:val="32"/>
        </w:rPr>
      </w:pPr>
    </w:p>
    <w:p w14:paraId="1408A893">
      <w:pPr>
        <w:pStyle w:val="36"/>
        <w:ind w:firstLine="659"/>
        <w:rPr>
          <w:rFonts w:ascii="Times New Roman" w:hAnsi="Times New Roman"/>
          <w:color w:val="000000"/>
          <w:sz w:val="32"/>
          <w:szCs w:val="32"/>
        </w:rPr>
      </w:pPr>
      <w:r>
        <w:rPr>
          <w:rFonts w:ascii="Times New Roman" w:hAnsi="Times New Roman"/>
          <w:color w:val="000000"/>
          <w:sz w:val="32"/>
          <w:szCs w:val="32"/>
        </w:rPr>
        <w:t>本委托书于</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年</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月</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日至</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年</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月</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日</w:t>
      </w:r>
      <w:r>
        <w:rPr>
          <w:rFonts w:ascii="Times New Roman" w:hAnsi="Times New Roman"/>
          <w:color w:val="000000"/>
          <w:sz w:val="32"/>
          <w:szCs w:val="32"/>
        </w:rPr>
        <w:t>签字生效，有效期与询价有效期一致，特此声明。</w:t>
      </w:r>
      <w:r>
        <w:rPr>
          <w:rFonts w:hint="eastAsia" w:ascii="Times New Roman" w:hAnsi="Times New Roman"/>
          <w:color w:val="000000"/>
          <w:sz w:val="32"/>
          <w:szCs w:val="32"/>
        </w:rPr>
        <w:t>（有效期不得少于90个日历日）</w:t>
      </w:r>
    </w:p>
    <w:p w14:paraId="2B37BB63">
      <w:pPr>
        <w:pStyle w:val="36"/>
        <w:ind w:firstLine="659"/>
        <w:rPr>
          <w:rFonts w:ascii="Times New Roman" w:hAnsi="Times New Roman"/>
          <w:color w:val="000000"/>
          <w:sz w:val="32"/>
          <w:szCs w:val="32"/>
        </w:rPr>
      </w:pPr>
    </w:p>
    <w:p w14:paraId="141C9059">
      <w:pPr>
        <w:pStyle w:val="36"/>
        <w:ind w:right="160" w:firstLine="0" w:firstLineChars="0"/>
        <w:jc w:val="left"/>
        <w:rPr>
          <w:rFonts w:ascii="Times New Roman" w:hAnsi="Times New Roman"/>
          <w:sz w:val="32"/>
          <w:szCs w:val="32"/>
        </w:rPr>
      </w:pPr>
      <w:r>
        <w:rPr>
          <w:rFonts w:hint="eastAsia" w:ascii="Times New Roman" w:hAnsi="Times New Roman"/>
          <w:sz w:val="32"/>
          <w:szCs w:val="32"/>
        </w:rPr>
        <w:t>响应人名称（加盖公章）：</w:t>
      </w:r>
    </w:p>
    <w:p w14:paraId="26DA4F78">
      <w:pPr>
        <w:pStyle w:val="36"/>
        <w:ind w:firstLine="0" w:firstLineChars="0"/>
        <w:jc w:val="left"/>
        <w:rPr>
          <w:rFonts w:ascii="Times New Roman" w:hAnsi="Times New Roman"/>
          <w:sz w:val="32"/>
          <w:szCs w:val="32"/>
        </w:rPr>
      </w:pPr>
      <w:r>
        <w:rPr>
          <w:rFonts w:hint="eastAsia" w:ascii="Times New Roman" w:hAnsi="Times New Roman"/>
          <w:sz w:val="32"/>
          <w:szCs w:val="32"/>
        </w:rPr>
        <w:t>响应人地址：</w:t>
      </w:r>
    </w:p>
    <w:p w14:paraId="20277DB8">
      <w:pPr>
        <w:pStyle w:val="36"/>
        <w:ind w:firstLine="0" w:firstLineChars="0"/>
        <w:jc w:val="left"/>
        <w:rPr>
          <w:rFonts w:ascii="Times New Roman" w:hAnsi="Times New Roman"/>
          <w:sz w:val="32"/>
          <w:szCs w:val="32"/>
        </w:rPr>
      </w:pPr>
      <w:r>
        <w:rPr>
          <w:rFonts w:hint="eastAsia" w:ascii="Times New Roman" w:hAnsi="Times New Roman"/>
          <w:sz w:val="32"/>
          <w:szCs w:val="32"/>
        </w:rPr>
        <w:t>法定代表人（签字或盖章）：</w:t>
      </w:r>
    </w:p>
    <w:p w14:paraId="260ECE7E">
      <w:pPr>
        <w:pStyle w:val="36"/>
        <w:ind w:firstLine="0" w:firstLineChars="0"/>
        <w:jc w:val="left"/>
        <w:rPr>
          <w:rFonts w:ascii="Times New Roman" w:hAnsi="Times New Roman"/>
          <w:sz w:val="32"/>
          <w:szCs w:val="32"/>
        </w:rPr>
      </w:pPr>
      <w:r>
        <w:rPr>
          <w:rFonts w:hint="eastAsia" w:ascii="Times New Roman" w:hAnsi="Times New Roman"/>
          <w:sz w:val="32"/>
          <w:szCs w:val="32"/>
        </w:rPr>
        <w:t>职务：</w:t>
      </w:r>
    </w:p>
    <w:p w14:paraId="211478AA">
      <w:pPr>
        <w:pStyle w:val="36"/>
        <w:ind w:firstLine="0" w:firstLineChars="0"/>
        <w:jc w:val="left"/>
        <w:rPr>
          <w:rFonts w:ascii="Times New Roman" w:hAnsi="Times New Roman"/>
          <w:sz w:val="32"/>
          <w:szCs w:val="32"/>
        </w:rPr>
      </w:pPr>
      <w:r>
        <w:rPr>
          <w:rFonts w:hint="eastAsia" w:ascii="Times New Roman" w:hAnsi="Times New Roman"/>
          <w:sz w:val="32"/>
          <w:szCs w:val="32"/>
        </w:rPr>
        <w:t>受委托人（签字或盖章）：</w:t>
      </w:r>
    </w:p>
    <w:p w14:paraId="2965D0C6">
      <w:pPr>
        <w:pStyle w:val="36"/>
        <w:ind w:firstLine="0" w:firstLineChars="0"/>
        <w:jc w:val="left"/>
        <w:rPr>
          <w:rFonts w:ascii="Times New Roman" w:hAnsi="Times New Roman"/>
          <w:sz w:val="32"/>
          <w:szCs w:val="32"/>
        </w:rPr>
      </w:pPr>
      <w:r>
        <w:rPr>
          <w:rFonts w:hint="eastAsia" w:ascii="Times New Roman" w:hAnsi="Times New Roman"/>
          <w:sz w:val="32"/>
          <w:szCs w:val="32"/>
        </w:rPr>
        <w:t>职务：</w:t>
      </w:r>
    </w:p>
    <w:p w14:paraId="42070C8D">
      <w:pPr>
        <w:pStyle w:val="36"/>
        <w:ind w:firstLine="0" w:firstLineChars="0"/>
        <w:jc w:val="left"/>
        <w:rPr>
          <w:rFonts w:ascii="Times New Roman" w:hAnsi="Times New Roman"/>
          <w:sz w:val="32"/>
          <w:szCs w:val="32"/>
        </w:rPr>
      </w:pPr>
      <w:r>
        <w:rPr>
          <w:rFonts w:hint="eastAsia" w:ascii="Times New Roman" w:hAnsi="Times New Roman"/>
          <w:sz w:val="32"/>
          <w:szCs w:val="32"/>
        </w:rPr>
        <w:t>日期：</w:t>
      </w:r>
    </w:p>
    <w:bookmarkEnd w:id="5"/>
    <w:p w14:paraId="23796826">
      <w:pPr>
        <w:pStyle w:val="37"/>
        <w:ind w:firstLine="0" w:firstLineChars="0"/>
        <w:jc w:val="left"/>
        <w:outlineLvl w:val="1"/>
        <w:rPr>
          <w:rFonts w:eastAsia="黑体"/>
          <w:sz w:val="28"/>
          <w:szCs w:val="44"/>
        </w:rPr>
      </w:pPr>
      <w:r>
        <w:rPr>
          <w:sz w:val="32"/>
          <w:szCs w:val="32"/>
        </w:rPr>
        <w:br w:type="page"/>
      </w:r>
      <w:r>
        <w:rPr>
          <w:rFonts w:hint="eastAsia" w:eastAsia="黑体"/>
          <w:sz w:val="28"/>
          <w:szCs w:val="44"/>
        </w:rPr>
        <w:t>附件五</w:t>
      </w:r>
      <w:r>
        <w:rPr>
          <w:rFonts w:eastAsia="黑体"/>
          <w:sz w:val="28"/>
          <w:szCs w:val="44"/>
        </w:rPr>
        <w:t xml:space="preserve"> </w:t>
      </w:r>
      <w:r>
        <w:rPr>
          <w:rFonts w:hint="eastAsia" w:eastAsia="黑体"/>
          <w:sz w:val="28"/>
          <w:szCs w:val="44"/>
        </w:rPr>
        <w:t>承诺函</w:t>
      </w:r>
    </w:p>
    <w:p w14:paraId="039D3501">
      <w:pPr>
        <w:pStyle w:val="37"/>
        <w:ind w:firstLine="0" w:firstLineChars="0"/>
        <w:jc w:val="center"/>
        <w:rPr>
          <w:rFonts w:eastAsia="仿宋_GB2312"/>
          <w:b/>
          <w:sz w:val="32"/>
          <w:szCs w:val="32"/>
        </w:rPr>
      </w:pPr>
      <w:r>
        <w:rPr>
          <w:rFonts w:hint="eastAsia" w:eastAsia="仿宋_GB2312"/>
          <w:b/>
          <w:sz w:val="32"/>
          <w:szCs w:val="32"/>
        </w:rPr>
        <w:t>承诺函</w:t>
      </w:r>
    </w:p>
    <w:p w14:paraId="41070782">
      <w:pPr>
        <w:rPr>
          <w:rFonts w:eastAsia="仿宋_GB2312"/>
          <w:color w:val="000000"/>
          <w:sz w:val="32"/>
          <w:szCs w:val="32"/>
        </w:rPr>
      </w:pPr>
      <w:r>
        <w:rPr>
          <w:rFonts w:hint="eastAsia" w:eastAsia="仿宋_GB2312"/>
          <w:color w:val="000000"/>
          <w:sz w:val="32"/>
          <w:szCs w:val="32"/>
          <w:lang w:eastAsia="zh-CN"/>
        </w:rPr>
        <w:t>广东东鸿物业发展有限公司</w:t>
      </w:r>
      <w:r>
        <w:rPr>
          <w:rFonts w:eastAsia="仿宋_GB2312"/>
          <w:color w:val="000000"/>
          <w:sz w:val="32"/>
          <w:szCs w:val="32"/>
        </w:rPr>
        <w:t>：</w:t>
      </w:r>
    </w:p>
    <w:p w14:paraId="45B7DD25">
      <w:pPr>
        <w:pStyle w:val="36"/>
        <w:ind w:firstLine="640" w:firstLineChars="0"/>
        <w:rPr>
          <w:rFonts w:ascii="Times New Roman" w:hAnsi="Times New Roman"/>
          <w:sz w:val="32"/>
          <w:szCs w:val="32"/>
        </w:rPr>
      </w:pPr>
      <w:r>
        <w:rPr>
          <w:rFonts w:hint="eastAsia" w:ascii="Times New Roman" w:hAnsi="Times New Roman"/>
          <w:sz w:val="32"/>
          <w:szCs w:val="32"/>
        </w:rPr>
        <w:t>我司就参加</w:t>
      </w:r>
      <w:r>
        <w:rPr>
          <w:rFonts w:ascii="Times New Roman" w:hAnsi="Times New Roman"/>
          <w:sz w:val="32"/>
          <w:szCs w:val="32"/>
          <w:u w:val="single"/>
        </w:rPr>
        <w:t xml:space="preserve">         （项目名称）</w:t>
      </w:r>
      <w:r>
        <w:rPr>
          <w:rFonts w:ascii="Times New Roman" w:hAnsi="Times New Roman"/>
          <w:sz w:val="32"/>
          <w:szCs w:val="32"/>
        </w:rPr>
        <w:t>项目</w:t>
      </w:r>
      <w:r>
        <w:rPr>
          <w:rFonts w:hint="eastAsia" w:ascii="Times New Roman" w:hAnsi="Times New Roman"/>
          <w:sz w:val="32"/>
          <w:szCs w:val="32"/>
        </w:rPr>
        <w:t>投标工作，作出以下承诺：</w:t>
      </w:r>
    </w:p>
    <w:p w14:paraId="39ABA2E4">
      <w:pPr>
        <w:pStyle w:val="36"/>
        <w:ind w:firstLine="659"/>
        <w:rPr>
          <w:rFonts w:ascii="Times New Roman" w:hAnsi="Times New Roman"/>
          <w:sz w:val="32"/>
          <w:szCs w:val="32"/>
        </w:rPr>
      </w:pPr>
      <w:r>
        <w:rPr>
          <w:rFonts w:hint="eastAsia" w:ascii="Times New Roman" w:hAnsi="Times New Roman"/>
          <w:sz w:val="32"/>
          <w:szCs w:val="32"/>
        </w:rPr>
        <w:t>我公司已充分了解采购项目情况，本次报价完全响应询价文件的要求，我公司所提供的</w:t>
      </w:r>
      <w:r>
        <w:rPr>
          <w:rFonts w:ascii="Times New Roman" w:hAnsi="Times New Roman"/>
          <w:sz w:val="32"/>
          <w:szCs w:val="32"/>
          <w:u w:val="single"/>
        </w:rPr>
        <w:t xml:space="preserve">      （服务内容）</w:t>
      </w:r>
      <w:r>
        <w:rPr>
          <w:rFonts w:hint="eastAsia" w:ascii="Times New Roman" w:hAnsi="Times New Roman"/>
          <w:sz w:val="32"/>
          <w:szCs w:val="32"/>
        </w:rPr>
        <w:t>等于或优于采购人需求，并承诺如不满足采购人需求，采购人有权取消合同并进行违约处罚。</w:t>
      </w:r>
    </w:p>
    <w:p w14:paraId="0894E57D">
      <w:pPr>
        <w:pStyle w:val="36"/>
        <w:ind w:firstLine="659"/>
        <w:rPr>
          <w:rFonts w:ascii="Times New Roman" w:hAnsi="Times New Roman"/>
          <w:sz w:val="32"/>
          <w:szCs w:val="32"/>
        </w:rPr>
      </w:pPr>
    </w:p>
    <w:p w14:paraId="5334AC06">
      <w:pPr>
        <w:pStyle w:val="36"/>
        <w:ind w:firstLine="0" w:firstLineChars="0"/>
        <w:jc w:val="left"/>
        <w:rPr>
          <w:rFonts w:ascii="Times New Roman" w:hAnsi="Times New Roman"/>
          <w:sz w:val="32"/>
          <w:szCs w:val="32"/>
        </w:rPr>
      </w:pPr>
    </w:p>
    <w:p w14:paraId="26B84430">
      <w:pPr>
        <w:jc w:val="left"/>
        <w:rPr>
          <w:rFonts w:eastAsia="仿宋"/>
          <w:sz w:val="32"/>
          <w:szCs w:val="32"/>
        </w:rPr>
      </w:pPr>
    </w:p>
    <w:p w14:paraId="061CAF65">
      <w:pPr>
        <w:jc w:val="left"/>
        <w:rPr>
          <w:rFonts w:eastAsia="仿宋"/>
          <w:sz w:val="32"/>
          <w:szCs w:val="32"/>
        </w:rPr>
      </w:pPr>
    </w:p>
    <w:p w14:paraId="158173E3">
      <w:pPr>
        <w:jc w:val="left"/>
        <w:rPr>
          <w:rFonts w:eastAsia="仿宋"/>
          <w:sz w:val="32"/>
          <w:szCs w:val="32"/>
        </w:rPr>
      </w:pPr>
    </w:p>
    <w:p w14:paraId="224775CD">
      <w:pPr>
        <w:pStyle w:val="36"/>
        <w:ind w:right="160" w:firstLine="0" w:firstLineChars="0"/>
        <w:jc w:val="left"/>
        <w:rPr>
          <w:rFonts w:ascii="Times New Roman" w:hAnsi="Times New Roman"/>
          <w:sz w:val="32"/>
          <w:szCs w:val="32"/>
        </w:rPr>
      </w:pPr>
      <w:r>
        <w:rPr>
          <w:rFonts w:hint="eastAsia" w:ascii="Times New Roman" w:hAnsi="Times New Roman"/>
          <w:sz w:val="32"/>
          <w:szCs w:val="32"/>
        </w:rPr>
        <w:t>响应人名称（加盖公章）：</w:t>
      </w:r>
    </w:p>
    <w:p w14:paraId="2A7F0501">
      <w:pPr>
        <w:pStyle w:val="36"/>
        <w:ind w:firstLine="0" w:firstLineChars="0"/>
        <w:jc w:val="left"/>
        <w:rPr>
          <w:rFonts w:ascii="Times New Roman" w:hAnsi="Times New Roman"/>
          <w:sz w:val="32"/>
          <w:szCs w:val="32"/>
        </w:rPr>
      </w:pPr>
      <w:r>
        <w:rPr>
          <w:rFonts w:hint="eastAsia" w:ascii="Times New Roman" w:hAnsi="Times New Roman"/>
          <w:sz w:val="32"/>
          <w:szCs w:val="32"/>
        </w:rPr>
        <w:t>响应人地址：</w:t>
      </w:r>
    </w:p>
    <w:p w14:paraId="65EFAE6F">
      <w:pPr>
        <w:pStyle w:val="36"/>
        <w:ind w:firstLine="0" w:firstLineChars="0"/>
        <w:jc w:val="left"/>
        <w:rPr>
          <w:rFonts w:ascii="Times New Roman" w:hAnsi="Times New Roman"/>
          <w:sz w:val="32"/>
          <w:szCs w:val="32"/>
        </w:rPr>
      </w:pPr>
      <w:r>
        <w:rPr>
          <w:rFonts w:hint="eastAsia" w:ascii="Times New Roman" w:hAnsi="Times New Roman"/>
          <w:sz w:val="32"/>
          <w:szCs w:val="32"/>
        </w:rPr>
        <w:t>法定代表人（签字或盖章）：</w:t>
      </w:r>
    </w:p>
    <w:p w14:paraId="3703C592">
      <w:pPr>
        <w:pStyle w:val="36"/>
        <w:ind w:firstLine="0" w:firstLineChars="0"/>
        <w:jc w:val="left"/>
        <w:rPr>
          <w:rFonts w:ascii="Times New Roman" w:hAnsi="Times New Roman"/>
          <w:sz w:val="32"/>
          <w:szCs w:val="32"/>
        </w:rPr>
      </w:pPr>
      <w:r>
        <w:rPr>
          <w:rFonts w:hint="eastAsia" w:ascii="Times New Roman" w:hAnsi="Times New Roman"/>
          <w:sz w:val="32"/>
          <w:szCs w:val="32"/>
        </w:rPr>
        <w:t>职务：</w:t>
      </w:r>
    </w:p>
    <w:p w14:paraId="26BF4570">
      <w:pPr>
        <w:pStyle w:val="36"/>
        <w:ind w:firstLine="0" w:firstLineChars="0"/>
        <w:jc w:val="left"/>
        <w:rPr>
          <w:rFonts w:ascii="Times New Roman" w:hAnsi="Times New Roman"/>
          <w:sz w:val="32"/>
          <w:szCs w:val="32"/>
        </w:rPr>
      </w:pPr>
      <w:r>
        <w:rPr>
          <w:rFonts w:hint="eastAsia" w:ascii="Times New Roman" w:hAnsi="Times New Roman"/>
          <w:sz w:val="32"/>
          <w:szCs w:val="32"/>
        </w:rPr>
        <w:t>日期：</w:t>
      </w:r>
    </w:p>
    <w:p w14:paraId="12D79389">
      <w:pPr>
        <w:pStyle w:val="36"/>
        <w:ind w:firstLine="0" w:firstLineChars="0"/>
        <w:jc w:val="left"/>
        <w:rPr>
          <w:rFonts w:ascii="Times New Roman" w:hAnsi="Times New Roman"/>
          <w:sz w:val="32"/>
          <w:szCs w:val="32"/>
        </w:rPr>
      </w:pPr>
    </w:p>
    <w:p w14:paraId="7343AAEF">
      <w:pPr>
        <w:pStyle w:val="36"/>
        <w:ind w:firstLine="0" w:firstLineChars="0"/>
        <w:jc w:val="left"/>
        <w:rPr>
          <w:rFonts w:ascii="Times New Roman" w:hAnsi="Times New Roman"/>
          <w:sz w:val="32"/>
          <w:szCs w:val="32"/>
        </w:rPr>
      </w:pPr>
    </w:p>
    <w:p w14:paraId="5AECE2A9">
      <w:pPr>
        <w:pStyle w:val="36"/>
        <w:ind w:firstLine="0" w:firstLineChars="0"/>
        <w:jc w:val="left"/>
        <w:rPr>
          <w:rFonts w:ascii="Times New Roman" w:hAnsi="Times New Roman"/>
          <w:sz w:val="32"/>
          <w:szCs w:val="32"/>
        </w:rPr>
      </w:pPr>
    </w:p>
    <w:p w14:paraId="06018D90"/>
    <w:p w14:paraId="04A06ECF">
      <w:pPr>
        <w:widowControl/>
        <w:jc w:val="left"/>
        <w:rPr>
          <w:rFonts w:eastAsia="黑体"/>
          <w:sz w:val="28"/>
          <w:szCs w:val="44"/>
        </w:rPr>
      </w:pPr>
    </w:p>
    <w:p w14:paraId="600C4009">
      <w:pPr>
        <w:pStyle w:val="37"/>
        <w:ind w:firstLine="0" w:firstLineChars="0"/>
        <w:jc w:val="left"/>
        <w:outlineLvl w:val="1"/>
        <w:rPr>
          <w:rFonts w:eastAsia="黑体"/>
          <w:sz w:val="28"/>
          <w:szCs w:val="44"/>
        </w:rPr>
      </w:pPr>
      <w:bookmarkStart w:id="6" w:name="_Hlk40704598"/>
      <w:r>
        <w:rPr>
          <w:rFonts w:hint="eastAsia" w:eastAsia="黑体"/>
          <w:sz w:val="28"/>
          <w:szCs w:val="44"/>
        </w:rPr>
        <w:t>附件六</w:t>
      </w:r>
      <w:r>
        <w:rPr>
          <w:rFonts w:eastAsia="黑体"/>
          <w:sz w:val="28"/>
          <w:szCs w:val="44"/>
        </w:rPr>
        <w:t xml:space="preserve"> </w:t>
      </w:r>
      <w:bookmarkEnd w:id="3"/>
      <w:bookmarkEnd w:id="6"/>
      <w:r>
        <w:rPr>
          <w:rFonts w:hint="eastAsia" w:eastAsia="黑体"/>
          <w:sz w:val="28"/>
          <w:szCs w:val="44"/>
        </w:rPr>
        <w:t>用户需求书</w:t>
      </w:r>
    </w:p>
    <w:p w14:paraId="04931F0A">
      <w:pPr>
        <w:pStyle w:val="37"/>
        <w:ind w:firstLine="0" w:firstLineChars="0"/>
        <w:jc w:val="center"/>
        <w:rPr>
          <w:rFonts w:eastAsia="仿宋_GB2312"/>
          <w:b/>
          <w:sz w:val="32"/>
          <w:szCs w:val="32"/>
        </w:rPr>
      </w:pPr>
      <w:r>
        <w:rPr>
          <w:rFonts w:hint="eastAsia" w:eastAsia="仿宋_GB2312"/>
          <w:b/>
          <w:sz w:val="32"/>
          <w:szCs w:val="32"/>
        </w:rPr>
        <w:t>用户需求书</w:t>
      </w:r>
    </w:p>
    <w:p w14:paraId="1A3AB0F9">
      <w:pPr>
        <w:pStyle w:val="37"/>
        <w:ind w:firstLine="0" w:firstLineChars="0"/>
        <w:jc w:val="center"/>
        <w:rPr>
          <w:rFonts w:eastAsia="仿宋_GB2312"/>
          <w:b/>
          <w:sz w:val="32"/>
          <w:szCs w:val="32"/>
        </w:rPr>
      </w:pPr>
      <w:bookmarkStart w:id="7" w:name="OLE_LINK4"/>
      <w:r>
        <w:rPr>
          <w:rFonts w:hint="eastAsia" w:eastAsia="仿宋_GB2312"/>
          <w:b/>
          <w:sz w:val="32"/>
          <w:szCs w:val="32"/>
        </w:rPr>
        <w:t>公众责任险需求</w:t>
      </w:r>
    </w:p>
    <w:bookmarkEnd w:id="7"/>
    <w:tbl>
      <w:tblPr>
        <w:tblStyle w:val="19"/>
        <w:tblW w:w="8805" w:type="dxa"/>
        <w:tblInd w:w="0" w:type="dxa"/>
        <w:tblLayout w:type="autofit"/>
        <w:tblCellMar>
          <w:top w:w="0" w:type="dxa"/>
          <w:left w:w="108" w:type="dxa"/>
          <w:bottom w:w="0" w:type="dxa"/>
          <w:right w:w="108" w:type="dxa"/>
        </w:tblCellMar>
      </w:tblPr>
      <w:tblGrid>
        <w:gridCol w:w="663"/>
        <w:gridCol w:w="3017"/>
        <w:gridCol w:w="4981"/>
        <w:gridCol w:w="222"/>
      </w:tblGrid>
      <w:tr w14:paraId="65A97CD4">
        <w:tblPrEx>
          <w:tblCellMar>
            <w:top w:w="0" w:type="dxa"/>
            <w:left w:w="108" w:type="dxa"/>
            <w:bottom w:w="0" w:type="dxa"/>
            <w:right w:w="108" w:type="dxa"/>
          </w:tblCellMar>
        </w:tblPrEx>
        <w:trPr>
          <w:gridAfter w:val="1"/>
          <w:wAfter w:w="144" w:type="dxa"/>
          <w:trHeight w:val="316" w:hRule="atLeast"/>
        </w:trPr>
        <w:tc>
          <w:tcPr>
            <w:tcW w:w="8661" w:type="dxa"/>
            <w:gridSpan w:val="3"/>
            <w:tcBorders>
              <w:top w:val="single" w:color="auto" w:sz="4" w:space="0"/>
              <w:left w:val="single" w:color="auto" w:sz="4" w:space="0"/>
              <w:bottom w:val="single" w:color="auto" w:sz="4" w:space="0"/>
              <w:right w:val="single" w:color="auto" w:sz="4" w:space="0"/>
            </w:tcBorders>
            <w:noWrap/>
            <w:vAlign w:val="bottom"/>
          </w:tcPr>
          <w:p w14:paraId="04B85A6B">
            <w:pPr>
              <w:widowControl/>
              <w:jc w:val="center"/>
              <w:rPr>
                <w:rFonts w:hint="eastAsia" w:ascii="华文细黑" w:hAnsi="华文细黑" w:eastAsia="华文细黑" w:cs="宋体"/>
                <w:b/>
                <w:bCs/>
                <w:color w:val="000000"/>
                <w:kern w:val="0"/>
                <w:sz w:val="22"/>
                <w:szCs w:val="22"/>
              </w:rPr>
            </w:pPr>
            <w:r>
              <w:rPr>
                <w:rFonts w:hint="eastAsia" w:ascii="华文细黑" w:hAnsi="华文细黑" w:eastAsia="华文细黑" w:cs="宋体"/>
                <w:b/>
                <w:bCs/>
                <w:color w:val="000000"/>
                <w:kern w:val="0"/>
                <w:sz w:val="22"/>
                <w:szCs w:val="22"/>
              </w:rPr>
              <w:t>一、基础信息条款</w:t>
            </w:r>
          </w:p>
        </w:tc>
      </w:tr>
      <w:tr w14:paraId="1D68FF1E">
        <w:tblPrEx>
          <w:tblCellMar>
            <w:top w:w="0" w:type="dxa"/>
            <w:left w:w="108" w:type="dxa"/>
            <w:bottom w:w="0" w:type="dxa"/>
            <w:right w:w="108" w:type="dxa"/>
          </w:tblCellMar>
        </w:tblPrEx>
        <w:trPr>
          <w:gridAfter w:val="1"/>
          <w:wAfter w:w="144" w:type="dxa"/>
          <w:trHeight w:val="316" w:hRule="atLeast"/>
        </w:trPr>
        <w:tc>
          <w:tcPr>
            <w:tcW w:w="663" w:type="dxa"/>
            <w:tcBorders>
              <w:top w:val="nil"/>
              <w:left w:val="single" w:color="auto" w:sz="4" w:space="0"/>
              <w:bottom w:val="single" w:color="auto" w:sz="4" w:space="0"/>
              <w:right w:val="single" w:color="auto" w:sz="4" w:space="0"/>
            </w:tcBorders>
            <w:noWrap/>
            <w:vAlign w:val="bottom"/>
          </w:tcPr>
          <w:p w14:paraId="3E58E785">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3017" w:type="dxa"/>
            <w:tcBorders>
              <w:top w:val="nil"/>
              <w:left w:val="nil"/>
              <w:bottom w:val="single" w:color="auto" w:sz="4" w:space="0"/>
              <w:right w:val="single" w:color="auto" w:sz="4" w:space="0"/>
            </w:tcBorders>
            <w:vAlign w:val="center"/>
          </w:tcPr>
          <w:p w14:paraId="2E21C9D8">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投保人</w:t>
            </w:r>
          </w:p>
        </w:tc>
        <w:tc>
          <w:tcPr>
            <w:tcW w:w="4981" w:type="dxa"/>
            <w:tcBorders>
              <w:top w:val="nil"/>
              <w:left w:val="nil"/>
              <w:bottom w:val="single" w:color="auto" w:sz="4" w:space="0"/>
              <w:right w:val="single" w:color="auto" w:sz="4" w:space="0"/>
            </w:tcBorders>
            <w:vAlign w:val="center"/>
          </w:tcPr>
          <w:p w14:paraId="54898EC3">
            <w:pPr>
              <w:widowControl/>
              <w:jc w:val="center"/>
              <w:rPr>
                <w:rFonts w:hint="eastAsia" w:ascii="华文细黑" w:hAnsi="华文细黑" w:eastAsia="华文细黑" w:cs="宋体"/>
                <w:color w:val="000000"/>
                <w:kern w:val="0"/>
                <w:sz w:val="22"/>
                <w:szCs w:val="22"/>
                <w:highlight w:val="yellow"/>
              </w:rPr>
            </w:pPr>
            <w:r>
              <w:rPr>
                <w:rFonts w:hint="eastAsia" w:ascii="华文细黑" w:hAnsi="华文细黑" w:eastAsia="华文细黑" w:cs="宋体"/>
                <w:color w:val="000000"/>
                <w:kern w:val="0"/>
                <w:sz w:val="22"/>
                <w:szCs w:val="22"/>
                <w:highlight w:val="yellow"/>
              </w:rPr>
              <w:t>投保人：广东东鸿物业发展有限公司</w:t>
            </w:r>
          </w:p>
        </w:tc>
      </w:tr>
      <w:tr w14:paraId="5B6D1587">
        <w:tblPrEx>
          <w:tblCellMar>
            <w:top w:w="0" w:type="dxa"/>
            <w:left w:w="108" w:type="dxa"/>
            <w:bottom w:w="0" w:type="dxa"/>
            <w:right w:w="108" w:type="dxa"/>
          </w:tblCellMar>
        </w:tblPrEx>
        <w:trPr>
          <w:gridAfter w:val="1"/>
          <w:wAfter w:w="144" w:type="dxa"/>
          <w:trHeight w:val="316" w:hRule="atLeast"/>
        </w:trPr>
        <w:tc>
          <w:tcPr>
            <w:tcW w:w="663" w:type="dxa"/>
            <w:tcBorders>
              <w:top w:val="nil"/>
              <w:left w:val="single" w:color="auto" w:sz="4" w:space="0"/>
              <w:bottom w:val="single" w:color="auto" w:sz="4" w:space="0"/>
              <w:right w:val="single" w:color="auto" w:sz="4" w:space="0"/>
            </w:tcBorders>
            <w:noWrap/>
            <w:vAlign w:val="bottom"/>
          </w:tcPr>
          <w:p w14:paraId="7B9F6C0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2</w:t>
            </w:r>
          </w:p>
        </w:tc>
        <w:tc>
          <w:tcPr>
            <w:tcW w:w="3017" w:type="dxa"/>
            <w:tcBorders>
              <w:top w:val="nil"/>
              <w:left w:val="nil"/>
              <w:bottom w:val="single" w:color="auto" w:sz="4" w:space="0"/>
              <w:right w:val="single" w:color="auto" w:sz="4" w:space="0"/>
            </w:tcBorders>
            <w:vAlign w:val="center"/>
          </w:tcPr>
          <w:p w14:paraId="4D327058">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 xml:space="preserve"> 被保险人</w:t>
            </w:r>
          </w:p>
        </w:tc>
        <w:tc>
          <w:tcPr>
            <w:tcW w:w="4981" w:type="dxa"/>
            <w:tcBorders>
              <w:top w:val="nil"/>
              <w:left w:val="nil"/>
              <w:bottom w:val="single" w:color="auto" w:sz="4" w:space="0"/>
              <w:right w:val="single" w:color="auto" w:sz="4" w:space="0"/>
            </w:tcBorders>
            <w:vAlign w:val="center"/>
          </w:tcPr>
          <w:p w14:paraId="7F808EFD">
            <w:pPr>
              <w:widowControl/>
              <w:jc w:val="center"/>
              <w:rPr>
                <w:rFonts w:hint="eastAsia" w:ascii="华文细黑" w:hAnsi="华文细黑" w:eastAsia="华文细黑" w:cs="宋体"/>
                <w:color w:val="000000"/>
                <w:kern w:val="0"/>
                <w:sz w:val="22"/>
                <w:szCs w:val="22"/>
                <w:highlight w:val="yellow"/>
              </w:rPr>
            </w:pPr>
            <w:r>
              <w:rPr>
                <w:rFonts w:hint="eastAsia" w:ascii="华文细黑" w:hAnsi="华文细黑" w:eastAsia="华文细黑" w:cs="宋体"/>
                <w:color w:val="000000"/>
                <w:kern w:val="0"/>
                <w:sz w:val="22"/>
                <w:szCs w:val="22"/>
                <w:highlight w:val="yellow"/>
              </w:rPr>
              <w:t>被保险人：广东东鸿物业发展有限公司</w:t>
            </w:r>
          </w:p>
        </w:tc>
      </w:tr>
      <w:tr w14:paraId="52CBC61F">
        <w:tblPrEx>
          <w:tblCellMar>
            <w:top w:w="0" w:type="dxa"/>
            <w:left w:w="108" w:type="dxa"/>
            <w:bottom w:w="0" w:type="dxa"/>
            <w:right w:w="108" w:type="dxa"/>
          </w:tblCellMar>
        </w:tblPrEx>
        <w:trPr>
          <w:gridAfter w:val="1"/>
          <w:wAfter w:w="144" w:type="dxa"/>
          <w:trHeight w:val="316" w:hRule="atLeast"/>
        </w:trPr>
        <w:tc>
          <w:tcPr>
            <w:tcW w:w="663" w:type="dxa"/>
            <w:tcBorders>
              <w:top w:val="nil"/>
              <w:left w:val="single" w:color="auto" w:sz="4" w:space="0"/>
              <w:bottom w:val="single" w:color="auto" w:sz="4" w:space="0"/>
              <w:right w:val="single" w:color="auto" w:sz="4" w:space="0"/>
            </w:tcBorders>
            <w:noWrap/>
            <w:vAlign w:val="bottom"/>
          </w:tcPr>
          <w:p w14:paraId="2FC2DBAC">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3</w:t>
            </w:r>
          </w:p>
        </w:tc>
        <w:tc>
          <w:tcPr>
            <w:tcW w:w="3017" w:type="dxa"/>
            <w:tcBorders>
              <w:top w:val="nil"/>
              <w:left w:val="nil"/>
              <w:bottom w:val="single" w:color="auto" w:sz="4" w:space="0"/>
              <w:right w:val="single" w:color="auto" w:sz="4" w:space="0"/>
            </w:tcBorders>
            <w:vAlign w:val="center"/>
          </w:tcPr>
          <w:p w14:paraId="52708292">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承保地址</w:t>
            </w:r>
          </w:p>
        </w:tc>
        <w:tc>
          <w:tcPr>
            <w:tcW w:w="4981" w:type="dxa"/>
            <w:tcBorders>
              <w:top w:val="nil"/>
              <w:left w:val="nil"/>
              <w:bottom w:val="single" w:color="auto" w:sz="4" w:space="0"/>
              <w:right w:val="single" w:color="auto" w:sz="4" w:space="0"/>
            </w:tcBorders>
            <w:vAlign w:val="center"/>
          </w:tcPr>
          <w:p w14:paraId="438CD251">
            <w:pPr>
              <w:widowControl/>
              <w:jc w:val="center"/>
              <w:rPr>
                <w:rFonts w:hint="eastAsia" w:ascii="华文细黑" w:hAnsi="华文细黑" w:eastAsia="华文细黑" w:cs="宋体"/>
                <w:color w:val="000000"/>
                <w:kern w:val="0"/>
                <w:sz w:val="22"/>
                <w:szCs w:val="22"/>
                <w:highlight w:val="yellow"/>
              </w:rPr>
            </w:pPr>
            <w:r>
              <w:rPr>
                <w:rFonts w:hint="eastAsia" w:ascii="华文细黑" w:hAnsi="华文细黑" w:eastAsia="华文细黑" w:cs="宋体"/>
                <w:color w:val="000000"/>
                <w:kern w:val="0"/>
                <w:sz w:val="22"/>
                <w:szCs w:val="22"/>
                <w:highlight w:val="yellow"/>
              </w:rPr>
              <w:t>广东省东莞市道滘镇创意东路8号</w:t>
            </w:r>
          </w:p>
        </w:tc>
      </w:tr>
      <w:tr w14:paraId="048C30BE">
        <w:tblPrEx>
          <w:tblCellMar>
            <w:top w:w="0" w:type="dxa"/>
            <w:left w:w="108" w:type="dxa"/>
            <w:bottom w:w="0" w:type="dxa"/>
            <w:right w:w="108" w:type="dxa"/>
          </w:tblCellMar>
        </w:tblPrEx>
        <w:trPr>
          <w:gridAfter w:val="1"/>
          <w:wAfter w:w="144" w:type="dxa"/>
          <w:trHeight w:val="316" w:hRule="atLeast"/>
        </w:trPr>
        <w:tc>
          <w:tcPr>
            <w:tcW w:w="663" w:type="dxa"/>
            <w:tcBorders>
              <w:top w:val="nil"/>
              <w:left w:val="single" w:color="auto" w:sz="4" w:space="0"/>
              <w:bottom w:val="single" w:color="auto" w:sz="4" w:space="0"/>
              <w:right w:val="single" w:color="auto" w:sz="4" w:space="0"/>
            </w:tcBorders>
            <w:noWrap/>
            <w:vAlign w:val="bottom"/>
          </w:tcPr>
          <w:p w14:paraId="2B3F1121">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4</w:t>
            </w:r>
          </w:p>
        </w:tc>
        <w:tc>
          <w:tcPr>
            <w:tcW w:w="3017" w:type="dxa"/>
            <w:tcBorders>
              <w:top w:val="nil"/>
              <w:left w:val="nil"/>
              <w:bottom w:val="single" w:color="auto" w:sz="4" w:space="0"/>
              <w:right w:val="single" w:color="auto" w:sz="4" w:space="0"/>
            </w:tcBorders>
            <w:vAlign w:val="center"/>
          </w:tcPr>
          <w:p w14:paraId="26586578">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保险期限</w:t>
            </w:r>
          </w:p>
        </w:tc>
        <w:tc>
          <w:tcPr>
            <w:tcW w:w="4981" w:type="dxa"/>
            <w:tcBorders>
              <w:top w:val="nil"/>
              <w:left w:val="nil"/>
              <w:bottom w:val="single" w:color="auto" w:sz="4" w:space="0"/>
              <w:right w:val="single" w:color="auto" w:sz="4" w:space="0"/>
            </w:tcBorders>
            <w:vAlign w:val="center"/>
          </w:tcPr>
          <w:p w14:paraId="0624D872">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2年</w:t>
            </w:r>
          </w:p>
        </w:tc>
      </w:tr>
      <w:tr w14:paraId="739B5EB1">
        <w:tblPrEx>
          <w:tblCellMar>
            <w:top w:w="0" w:type="dxa"/>
            <w:left w:w="108" w:type="dxa"/>
            <w:bottom w:w="0" w:type="dxa"/>
            <w:right w:w="108" w:type="dxa"/>
          </w:tblCellMar>
        </w:tblPrEx>
        <w:trPr>
          <w:gridAfter w:val="1"/>
          <w:wAfter w:w="144" w:type="dxa"/>
          <w:trHeight w:val="316" w:hRule="atLeast"/>
        </w:trPr>
        <w:tc>
          <w:tcPr>
            <w:tcW w:w="663" w:type="dxa"/>
            <w:tcBorders>
              <w:top w:val="nil"/>
              <w:left w:val="single" w:color="auto" w:sz="4" w:space="0"/>
              <w:bottom w:val="single" w:color="auto" w:sz="4" w:space="0"/>
              <w:right w:val="single" w:color="auto" w:sz="4" w:space="0"/>
            </w:tcBorders>
            <w:noWrap/>
            <w:vAlign w:val="bottom"/>
          </w:tcPr>
          <w:p w14:paraId="19C8FFC6">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5</w:t>
            </w:r>
          </w:p>
        </w:tc>
        <w:tc>
          <w:tcPr>
            <w:tcW w:w="3017" w:type="dxa"/>
            <w:tcBorders>
              <w:top w:val="nil"/>
              <w:left w:val="nil"/>
              <w:bottom w:val="single" w:color="auto" w:sz="4" w:space="0"/>
              <w:right w:val="single" w:color="auto" w:sz="4" w:space="0"/>
            </w:tcBorders>
            <w:vAlign w:val="center"/>
          </w:tcPr>
          <w:p w14:paraId="451412EF">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投保附加</w:t>
            </w:r>
          </w:p>
        </w:tc>
        <w:tc>
          <w:tcPr>
            <w:tcW w:w="4981" w:type="dxa"/>
            <w:tcBorders>
              <w:top w:val="nil"/>
              <w:left w:val="nil"/>
              <w:bottom w:val="single" w:color="auto" w:sz="4" w:space="0"/>
              <w:right w:val="single" w:color="auto" w:sz="4" w:space="0"/>
            </w:tcBorders>
            <w:vAlign w:val="center"/>
          </w:tcPr>
          <w:p w14:paraId="051BE77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① 停车场：</w:t>
            </w:r>
            <w:r>
              <w:rPr>
                <w:rFonts w:hint="eastAsia" w:ascii="华文细黑" w:hAnsi="华文细黑" w:eastAsia="华文细黑" w:cs="宋体"/>
                <w:color w:val="000000"/>
                <w:kern w:val="0"/>
                <w:sz w:val="22"/>
                <w:szCs w:val="22"/>
                <w:highlight w:val="yellow"/>
                <w:lang w:val="en-US" w:eastAsia="zh-CN"/>
              </w:rPr>
              <w:t xml:space="preserve"> 569 </w:t>
            </w:r>
            <w:r>
              <w:rPr>
                <w:rFonts w:hint="eastAsia" w:ascii="华文细黑" w:hAnsi="华文细黑" w:eastAsia="华文细黑" w:cs="宋体"/>
                <w:color w:val="000000"/>
                <w:kern w:val="0"/>
                <w:sz w:val="22"/>
                <w:szCs w:val="22"/>
              </w:rPr>
              <w:t>个车位；② 电梯：</w:t>
            </w:r>
            <w:r>
              <w:rPr>
                <w:rFonts w:hint="eastAsia" w:ascii="华文细黑" w:hAnsi="华文细黑" w:eastAsia="华文细黑" w:cs="宋体"/>
                <w:color w:val="000000"/>
                <w:kern w:val="0"/>
                <w:sz w:val="22"/>
                <w:szCs w:val="22"/>
                <w:highlight w:val="yellow"/>
                <w:lang w:val="en-US" w:eastAsia="zh-CN"/>
              </w:rPr>
              <w:t xml:space="preserve"> 62 </w:t>
            </w:r>
            <w:r>
              <w:rPr>
                <w:rFonts w:hint="eastAsia" w:ascii="华文细黑" w:hAnsi="华文细黑" w:eastAsia="华文细黑" w:cs="宋体"/>
                <w:color w:val="000000"/>
                <w:kern w:val="0"/>
                <w:sz w:val="22"/>
                <w:szCs w:val="22"/>
              </w:rPr>
              <w:t xml:space="preserve"> 部</w:t>
            </w:r>
          </w:p>
        </w:tc>
      </w:tr>
      <w:tr w14:paraId="3CD01D3D">
        <w:tblPrEx>
          <w:tblCellMar>
            <w:top w:w="0" w:type="dxa"/>
            <w:left w:w="108" w:type="dxa"/>
            <w:bottom w:w="0" w:type="dxa"/>
            <w:right w:w="108" w:type="dxa"/>
          </w:tblCellMar>
        </w:tblPrEx>
        <w:trPr>
          <w:gridAfter w:val="1"/>
          <w:wAfter w:w="144" w:type="dxa"/>
          <w:trHeight w:val="316" w:hRule="atLeast"/>
        </w:trPr>
        <w:tc>
          <w:tcPr>
            <w:tcW w:w="8661" w:type="dxa"/>
            <w:gridSpan w:val="3"/>
            <w:tcBorders>
              <w:top w:val="single" w:color="auto" w:sz="4" w:space="0"/>
              <w:left w:val="single" w:color="auto" w:sz="4" w:space="0"/>
              <w:bottom w:val="single" w:color="auto" w:sz="4" w:space="0"/>
              <w:right w:val="single" w:color="auto" w:sz="4" w:space="0"/>
            </w:tcBorders>
            <w:noWrap/>
            <w:vAlign w:val="bottom"/>
          </w:tcPr>
          <w:p w14:paraId="15827301">
            <w:pPr>
              <w:widowControl/>
              <w:jc w:val="center"/>
              <w:rPr>
                <w:rFonts w:hint="eastAsia" w:ascii="华文细黑" w:hAnsi="华文细黑" w:eastAsia="华文细黑" w:cs="宋体"/>
                <w:b/>
                <w:bCs/>
                <w:color w:val="000000"/>
                <w:kern w:val="0"/>
                <w:sz w:val="22"/>
                <w:szCs w:val="22"/>
              </w:rPr>
            </w:pPr>
            <w:r>
              <w:rPr>
                <w:rFonts w:hint="eastAsia" w:ascii="华文细黑" w:hAnsi="华文细黑" w:eastAsia="华文细黑" w:cs="宋体"/>
                <w:b/>
                <w:bCs/>
                <w:color w:val="000000"/>
                <w:kern w:val="0"/>
                <w:sz w:val="22"/>
                <w:szCs w:val="22"/>
              </w:rPr>
              <w:t>二、主险核心保障条款</w:t>
            </w:r>
          </w:p>
        </w:tc>
      </w:tr>
      <w:tr w14:paraId="477B0AEA">
        <w:tblPrEx>
          <w:tblCellMar>
            <w:top w:w="0" w:type="dxa"/>
            <w:left w:w="108" w:type="dxa"/>
            <w:bottom w:w="0" w:type="dxa"/>
            <w:right w:w="108" w:type="dxa"/>
          </w:tblCellMar>
        </w:tblPrEx>
        <w:trPr>
          <w:gridAfter w:val="1"/>
          <w:wAfter w:w="144" w:type="dxa"/>
          <w:trHeight w:val="316" w:hRule="atLeast"/>
        </w:trPr>
        <w:tc>
          <w:tcPr>
            <w:tcW w:w="663" w:type="dxa"/>
            <w:tcBorders>
              <w:top w:val="nil"/>
              <w:left w:val="single" w:color="auto" w:sz="4" w:space="0"/>
              <w:bottom w:val="single" w:color="auto" w:sz="4" w:space="0"/>
              <w:right w:val="single" w:color="auto" w:sz="4" w:space="0"/>
            </w:tcBorders>
            <w:noWrap/>
            <w:vAlign w:val="bottom"/>
          </w:tcPr>
          <w:p w14:paraId="4DACDD2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3017" w:type="dxa"/>
            <w:tcBorders>
              <w:top w:val="nil"/>
              <w:left w:val="nil"/>
              <w:bottom w:val="single" w:color="auto" w:sz="4" w:space="0"/>
              <w:right w:val="single" w:color="auto" w:sz="4" w:space="0"/>
            </w:tcBorders>
            <w:vAlign w:val="center"/>
          </w:tcPr>
          <w:p w14:paraId="32A61357">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主险名称</w:t>
            </w:r>
          </w:p>
        </w:tc>
        <w:tc>
          <w:tcPr>
            <w:tcW w:w="4981" w:type="dxa"/>
            <w:tcBorders>
              <w:top w:val="nil"/>
              <w:left w:val="nil"/>
              <w:bottom w:val="single" w:color="auto" w:sz="4" w:space="0"/>
              <w:right w:val="single" w:color="auto" w:sz="4" w:space="0"/>
            </w:tcBorders>
            <w:vAlign w:val="center"/>
          </w:tcPr>
          <w:p w14:paraId="337FA3F2">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公众责任险</w:t>
            </w:r>
          </w:p>
        </w:tc>
      </w:tr>
      <w:tr w14:paraId="702A4EE8">
        <w:tblPrEx>
          <w:tblCellMar>
            <w:top w:w="0" w:type="dxa"/>
            <w:left w:w="108" w:type="dxa"/>
            <w:bottom w:w="0" w:type="dxa"/>
            <w:right w:w="108" w:type="dxa"/>
          </w:tblCellMar>
        </w:tblPrEx>
        <w:trPr>
          <w:gridAfter w:val="1"/>
          <w:wAfter w:w="144" w:type="dxa"/>
          <w:trHeight w:val="1582" w:hRule="atLeast"/>
        </w:trPr>
        <w:tc>
          <w:tcPr>
            <w:tcW w:w="663" w:type="dxa"/>
            <w:tcBorders>
              <w:top w:val="nil"/>
              <w:left w:val="single" w:color="auto" w:sz="4" w:space="0"/>
              <w:bottom w:val="single" w:color="auto" w:sz="4" w:space="0"/>
              <w:right w:val="single" w:color="auto" w:sz="4" w:space="0"/>
            </w:tcBorders>
            <w:noWrap/>
            <w:vAlign w:val="center"/>
          </w:tcPr>
          <w:p w14:paraId="6D73D78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2</w:t>
            </w:r>
          </w:p>
        </w:tc>
        <w:tc>
          <w:tcPr>
            <w:tcW w:w="3017" w:type="dxa"/>
            <w:tcBorders>
              <w:top w:val="nil"/>
              <w:left w:val="nil"/>
              <w:bottom w:val="single" w:color="auto" w:sz="4" w:space="0"/>
              <w:right w:val="single" w:color="auto" w:sz="4" w:space="0"/>
            </w:tcBorders>
            <w:vAlign w:val="center"/>
          </w:tcPr>
          <w:p w14:paraId="72B1BCAE">
            <w:pPr>
              <w:widowControl/>
              <w:jc w:val="center"/>
              <w:rPr>
                <w:rFonts w:hint="eastAsia" w:ascii="华文细黑" w:hAnsi="华文细黑" w:eastAsia="华文细黑" w:cs="宋体"/>
                <w:color w:val="000000"/>
                <w:kern w:val="0"/>
                <w:sz w:val="20"/>
              </w:rPr>
            </w:pPr>
            <w:r>
              <w:rPr>
                <w:rFonts w:hint="eastAsia" w:ascii="华文细黑" w:hAnsi="华文细黑" w:eastAsia="华文细黑" w:cs="宋体"/>
                <w:color w:val="000000"/>
                <w:kern w:val="0"/>
                <w:sz w:val="20"/>
              </w:rPr>
              <w:t xml:space="preserve"> </w:t>
            </w:r>
            <w:r>
              <w:rPr>
                <w:rFonts w:hint="eastAsia" w:ascii="微软雅黑" w:hAnsi="微软雅黑" w:eastAsia="微软雅黑" w:cs="宋体"/>
                <w:color w:val="000000"/>
                <w:kern w:val="0"/>
                <w:sz w:val="20"/>
              </w:rPr>
              <w:t>保险责任</w:t>
            </w:r>
          </w:p>
        </w:tc>
        <w:tc>
          <w:tcPr>
            <w:tcW w:w="4981" w:type="dxa"/>
            <w:tcBorders>
              <w:top w:val="nil"/>
              <w:left w:val="nil"/>
              <w:bottom w:val="single" w:color="auto" w:sz="4" w:space="0"/>
              <w:right w:val="single" w:color="auto" w:sz="4" w:space="0"/>
            </w:tcBorders>
            <w:vAlign w:val="center"/>
          </w:tcPr>
          <w:p w14:paraId="749365D9">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在保险期间内，被保险人在承保地址范围内因经营业务发生意外事故，造成第三者人身伤亡或财产损失，依照中华人民共和国法律（不含港澳台地区）应由被保险人承担的经济赔偿责任，保险人负责赔偿；同时负责赔偿事先经保险人同意的仲裁 / 诉讼费用。</w:t>
            </w:r>
          </w:p>
        </w:tc>
      </w:tr>
      <w:tr w14:paraId="2505FFB2">
        <w:tblPrEx>
          <w:tblCellMar>
            <w:top w:w="0" w:type="dxa"/>
            <w:left w:w="108" w:type="dxa"/>
            <w:bottom w:w="0" w:type="dxa"/>
            <w:right w:w="108" w:type="dxa"/>
          </w:tblCellMar>
        </w:tblPrEx>
        <w:trPr>
          <w:gridAfter w:val="1"/>
          <w:wAfter w:w="144" w:type="dxa"/>
          <w:trHeight w:val="332" w:hRule="atLeast"/>
        </w:trPr>
        <w:tc>
          <w:tcPr>
            <w:tcW w:w="663" w:type="dxa"/>
            <w:vMerge w:val="restart"/>
            <w:tcBorders>
              <w:top w:val="nil"/>
              <w:left w:val="single" w:color="auto" w:sz="4" w:space="0"/>
              <w:bottom w:val="single" w:color="auto" w:sz="4" w:space="0"/>
              <w:right w:val="single" w:color="auto" w:sz="4" w:space="0"/>
            </w:tcBorders>
            <w:noWrap/>
            <w:vAlign w:val="center"/>
          </w:tcPr>
          <w:p w14:paraId="0E78DF86">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3</w:t>
            </w:r>
          </w:p>
        </w:tc>
        <w:tc>
          <w:tcPr>
            <w:tcW w:w="3017" w:type="dxa"/>
            <w:vMerge w:val="restart"/>
            <w:tcBorders>
              <w:top w:val="nil"/>
              <w:left w:val="single" w:color="auto" w:sz="4" w:space="0"/>
              <w:bottom w:val="single" w:color="auto" w:sz="4" w:space="0"/>
              <w:right w:val="single" w:color="auto" w:sz="4" w:space="0"/>
            </w:tcBorders>
            <w:vAlign w:val="center"/>
          </w:tcPr>
          <w:p w14:paraId="53AB9AFB">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赔偿限额</w:t>
            </w:r>
          </w:p>
        </w:tc>
        <w:tc>
          <w:tcPr>
            <w:tcW w:w="4981" w:type="dxa"/>
            <w:vMerge w:val="restart"/>
            <w:tcBorders>
              <w:top w:val="nil"/>
              <w:left w:val="single" w:color="auto" w:sz="4" w:space="0"/>
              <w:bottom w:val="single" w:color="auto" w:sz="4" w:space="0"/>
              <w:right w:val="single" w:color="auto" w:sz="4" w:space="0"/>
            </w:tcBorders>
            <w:vAlign w:val="center"/>
          </w:tcPr>
          <w:p w14:paraId="155B538B">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累计赔偿限额：</w:t>
            </w:r>
            <w:r>
              <w:rPr>
                <w:rFonts w:hint="eastAsia" w:ascii="华文细黑" w:hAnsi="华文细黑" w:eastAsia="华文细黑" w:cs="宋体"/>
                <w:color w:val="000000"/>
                <w:kern w:val="0"/>
                <w:sz w:val="22"/>
                <w:szCs w:val="22"/>
                <w:lang w:val="en-US" w:eastAsia="zh-CN"/>
              </w:rPr>
              <w:t xml:space="preserve"> </w:t>
            </w:r>
            <w:r>
              <w:rPr>
                <w:rFonts w:hint="eastAsia" w:ascii="华文细黑" w:hAnsi="华文细黑" w:eastAsia="华文细黑" w:cs="宋体"/>
                <w:color w:val="000000"/>
                <w:kern w:val="0"/>
                <w:sz w:val="22"/>
                <w:szCs w:val="22"/>
                <w:highlight w:val="yellow"/>
                <w:lang w:val="en-US" w:eastAsia="zh-CN"/>
              </w:rPr>
              <w:t xml:space="preserve">  20000000 </w:t>
            </w:r>
            <w:r>
              <w:rPr>
                <w:rFonts w:hint="eastAsia" w:ascii="华文细黑" w:hAnsi="华文细黑" w:eastAsia="华文细黑" w:cs="宋体"/>
                <w:color w:val="000000"/>
                <w:kern w:val="0"/>
                <w:sz w:val="22"/>
                <w:szCs w:val="22"/>
                <w:lang w:val="en-US" w:eastAsia="zh-CN"/>
              </w:rPr>
              <w:t xml:space="preserve"> </w:t>
            </w:r>
            <w:r>
              <w:rPr>
                <w:rFonts w:hint="eastAsia" w:ascii="华文细黑" w:hAnsi="华文细黑" w:eastAsia="华文细黑" w:cs="宋体"/>
                <w:color w:val="000000"/>
                <w:kern w:val="0"/>
                <w:sz w:val="22"/>
                <w:szCs w:val="22"/>
              </w:rPr>
              <w:t>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每次事故赔偿限额：</w:t>
            </w:r>
            <w:r>
              <w:rPr>
                <w:rFonts w:hint="eastAsia" w:ascii="华文细黑" w:hAnsi="华文细黑" w:eastAsia="华文细黑" w:cs="宋体"/>
                <w:color w:val="000000"/>
                <w:kern w:val="0"/>
                <w:sz w:val="22"/>
                <w:szCs w:val="22"/>
                <w:highlight w:val="yellow"/>
                <w:lang w:val="en-US" w:eastAsia="zh-CN"/>
              </w:rPr>
              <w:t xml:space="preserve">  10000000 </w:t>
            </w:r>
            <w:r>
              <w:rPr>
                <w:rFonts w:hint="eastAsia" w:ascii="华文细黑" w:hAnsi="华文细黑" w:eastAsia="华文细黑" w:cs="宋体"/>
                <w:color w:val="000000"/>
                <w:kern w:val="0"/>
                <w:sz w:val="22"/>
                <w:szCs w:val="22"/>
              </w:rPr>
              <w:t xml:space="preserve"> 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每次事故每人赔偿限额：</w:t>
            </w:r>
            <w:r>
              <w:rPr>
                <w:rFonts w:hint="eastAsia" w:ascii="华文细黑" w:hAnsi="华文细黑" w:eastAsia="华文细黑" w:cs="宋体"/>
                <w:color w:val="000000"/>
                <w:kern w:val="0"/>
                <w:sz w:val="22"/>
                <w:szCs w:val="22"/>
                <w:highlight w:val="yellow"/>
                <w:lang w:val="en-US" w:eastAsia="zh-CN"/>
              </w:rPr>
              <w:t xml:space="preserve"> 500000    </w:t>
            </w:r>
            <w:r>
              <w:rPr>
                <w:rFonts w:hint="eastAsia" w:ascii="华文细黑" w:hAnsi="华文细黑" w:eastAsia="华文细黑" w:cs="宋体"/>
                <w:color w:val="000000"/>
                <w:kern w:val="0"/>
                <w:sz w:val="22"/>
                <w:szCs w:val="22"/>
              </w:rPr>
              <w:t xml:space="preserve"> 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每次事故人身伤亡限额：</w:t>
            </w:r>
            <w:r>
              <w:rPr>
                <w:rFonts w:hint="eastAsia" w:ascii="华文细黑" w:hAnsi="华文细黑" w:eastAsia="华文细黑" w:cs="宋体"/>
                <w:color w:val="000000"/>
                <w:kern w:val="0"/>
                <w:sz w:val="22"/>
                <w:szCs w:val="22"/>
                <w:highlight w:val="yellow"/>
                <w:lang w:val="en-US" w:eastAsia="zh-CN"/>
              </w:rPr>
              <w:t xml:space="preserve"> 10000000     </w:t>
            </w:r>
            <w:r>
              <w:rPr>
                <w:rFonts w:hint="eastAsia" w:ascii="华文细黑" w:hAnsi="华文细黑" w:eastAsia="华文细黑" w:cs="宋体"/>
                <w:color w:val="000000"/>
                <w:kern w:val="0"/>
                <w:sz w:val="22"/>
                <w:szCs w:val="22"/>
              </w:rPr>
              <w:t xml:space="preserve"> 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每次事故财产损失限额：</w:t>
            </w:r>
            <w:r>
              <w:rPr>
                <w:rFonts w:hint="eastAsia" w:ascii="华文细黑" w:hAnsi="华文细黑" w:eastAsia="华文细黑" w:cs="宋体"/>
                <w:color w:val="000000"/>
                <w:kern w:val="0"/>
                <w:sz w:val="22"/>
                <w:szCs w:val="22"/>
                <w:highlight w:val="yellow"/>
                <w:lang w:val="en-US" w:eastAsia="zh-CN"/>
              </w:rPr>
              <w:t xml:space="preserve"> 10000000    </w:t>
            </w:r>
            <w:r>
              <w:rPr>
                <w:rFonts w:hint="eastAsia" w:ascii="华文细黑" w:hAnsi="华文细黑" w:eastAsia="华文细黑" w:cs="宋体"/>
                <w:color w:val="000000"/>
                <w:kern w:val="0"/>
                <w:sz w:val="22"/>
                <w:szCs w:val="22"/>
              </w:rPr>
              <w:t xml:space="preserve"> 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每人医疗费用限额：</w:t>
            </w:r>
            <w:r>
              <w:rPr>
                <w:rFonts w:hint="eastAsia" w:ascii="华文细黑" w:hAnsi="华文细黑" w:eastAsia="华文细黑" w:cs="宋体"/>
                <w:color w:val="000000"/>
                <w:kern w:val="0"/>
                <w:sz w:val="22"/>
                <w:szCs w:val="22"/>
                <w:highlight w:val="yellow"/>
                <w:lang w:val="en-US" w:eastAsia="zh-CN"/>
              </w:rPr>
              <w:t xml:space="preserve">  50000</w:t>
            </w:r>
            <w:r>
              <w:rPr>
                <w:rFonts w:hint="eastAsia" w:ascii="华文细黑" w:hAnsi="华文细黑" w:eastAsia="华文细黑" w:cs="宋体"/>
                <w:color w:val="000000"/>
                <w:kern w:val="0"/>
                <w:sz w:val="22"/>
                <w:szCs w:val="22"/>
              </w:rPr>
              <w:t xml:space="preserve"> 元</w:t>
            </w:r>
          </w:p>
        </w:tc>
      </w:tr>
      <w:tr w14:paraId="7EF8EA82">
        <w:tblPrEx>
          <w:tblCellMar>
            <w:top w:w="0" w:type="dxa"/>
            <w:left w:w="108" w:type="dxa"/>
            <w:bottom w:w="0" w:type="dxa"/>
            <w:right w:w="108" w:type="dxa"/>
          </w:tblCellMar>
        </w:tblPrEx>
        <w:trPr>
          <w:trHeight w:val="316" w:hRule="atLeast"/>
        </w:trPr>
        <w:tc>
          <w:tcPr>
            <w:tcW w:w="663" w:type="dxa"/>
            <w:vMerge w:val="continue"/>
            <w:tcBorders>
              <w:top w:val="nil"/>
              <w:left w:val="single" w:color="auto" w:sz="4" w:space="0"/>
              <w:bottom w:val="single" w:color="auto" w:sz="4" w:space="0"/>
              <w:right w:val="single" w:color="auto" w:sz="4" w:space="0"/>
            </w:tcBorders>
            <w:vAlign w:val="center"/>
          </w:tcPr>
          <w:p w14:paraId="5EB34755">
            <w:pPr>
              <w:widowControl/>
              <w:jc w:val="left"/>
              <w:rPr>
                <w:rFonts w:hint="eastAsia" w:ascii="华文细黑" w:hAnsi="华文细黑" w:eastAsia="华文细黑" w:cs="宋体"/>
                <w:color w:val="000000"/>
                <w:kern w:val="0"/>
                <w:sz w:val="22"/>
                <w:szCs w:val="22"/>
              </w:rPr>
            </w:pPr>
          </w:p>
        </w:tc>
        <w:tc>
          <w:tcPr>
            <w:tcW w:w="3017" w:type="dxa"/>
            <w:vMerge w:val="continue"/>
            <w:tcBorders>
              <w:top w:val="nil"/>
              <w:left w:val="single" w:color="auto" w:sz="4" w:space="0"/>
              <w:bottom w:val="single" w:color="auto" w:sz="4" w:space="0"/>
              <w:right w:val="single" w:color="auto" w:sz="4" w:space="0"/>
            </w:tcBorders>
            <w:vAlign w:val="center"/>
          </w:tcPr>
          <w:p w14:paraId="59649E78">
            <w:pPr>
              <w:widowControl/>
              <w:jc w:val="left"/>
              <w:rPr>
                <w:rFonts w:hint="eastAsia" w:ascii="华文细黑" w:hAnsi="华文细黑" w:eastAsia="华文细黑" w:cs="宋体"/>
                <w:color w:val="000000"/>
                <w:kern w:val="0"/>
                <w:sz w:val="22"/>
                <w:szCs w:val="22"/>
              </w:rPr>
            </w:pPr>
          </w:p>
        </w:tc>
        <w:tc>
          <w:tcPr>
            <w:tcW w:w="4981" w:type="dxa"/>
            <w:vMerge w:val="continue"/>
            <w:tcBorders>
              <w:top w:val="nil"/>
              <w:left w:val="single" w:color="auto" w:sz="4" w:space="0"/>
              <w:bottom w:val="single" w:color="auto" w:sz="4" w:space="0"/>
              <w:right w:val="single" w:color="auto" w:sz="4" w:space="0"/>
            </w:tcBorders>
            <w:vAlign w:val="center"/>
          </w:tcPr>
          <w:p w14:paraId="1FC90D8F">
            <w:pPr>
              <w:widowControl/>
              <w:jc w:val="left"/>
              <w:rPr>
                <w:rFonts w:hint="eastAsia" w:ascii="华文细黑" w:hAnsi="华文细黑" w:eastAsia="华文细黑" w:cs="宋体"/>
                <w:color w:val="000000"/>
                <w:kern w:val="0"/>
                <w:sz w:val="22"/>
                <w:szCs w:val="22"/>
              </w:rPr>
            </w:pPr>
          </w:p>
        </w:tc>
        <w:tc>
          <w:tcPr>
            <w:tcW w:w="144" w:type="dxa"/>
            <w:tcBorders>
              <w:top w:val="nil"/>
              <w:left w:val="nil"/>
              <w:bottom w:val="nil"/>
              <w:right w:val="nil"/>
            </w:tcBorders>
            <w:noWrap/>
            <w:vAlign w:val="center"/>
          </w:tcPr>
          <w:p w14:paraId="2C8433F7">
            <w:pPr>
              <w:widowControl/>
              <w:jc w:val="center"/>
              <w:rPr>
                <w:rFonts w:hint="eastAsia" w:ascii="华文细黑" w:hAnsi="华文细黑" w:eastAsia="华文细黑" w:cs="宋体"/>
                <w:color w:val="000000"/>
                <w:kern w:val="0"/>
                <w:sz w:val="22"/>
                <w:szCs w:val="22"/>
              </w:rPr>
            </w:pPr>
          </w:p>
        </w:tc>
      </w:tr>
      <w:tr w14:paraId="6560BC95">
        <w:tblPrEx>
          <w:tblCellMar>
            <w:top w:w="0" w:type="dxa"/>
            <w:left w:w="108" w:type="dxa"/>
            <w:bottom w:w="0" w:type="dxa"/>
            <w:right w:w="108" w:type="dxa"/>
          </w:tblCellMar>
        </w:tblPrEx>
        <w:trPr>
          <w:trHeight w:val="316" w:hRule="atLeast"/>
        </w:trPr>
        <w:tc>
          <w:tcPr>
            <w:tcW w:w="663" w:type="dxa"/>
            <w:vMerge w:val="continue"/>
            <w:tcBorders>
              <w:top w:val="nil"/>
              <w:left w:val="single" w:color="auto" w:sz="4" w:space="0"/>
              <w:bottom w:val="single" w:color="auto" w:sz="4" w:space="0"/>
              <w:right w:val="single" w:color="auto" w:sz="4" w:space="0"/>
            </w:tcBorders>
            <w:vAlign w:val="center"/>
          </w:tcPr>
          <w:p w14:paraId="1F3E448E">
            <w:pPr>
              <w:widowControl/>
              <w:jc w:val="left"/>
              <w:rPr>
                <w:rFonts w:hint="eastAsia" w:ascii="华文细黑" w:hAnsi="华文细黑" w:eastAsia="华文细黑" w:cs="宋体"/>
                <w:color w:val="000000"/>
                <w:kern w:val="0"/>
                <w:sz w:val="22"/>
                <w:szCs w:val="22"/>
              </w:rPr>
            </w:pPr>
          </w:p>
        </w:tc>
        <w:tc>
          <w:tcPr>
            <w:tcW w:w="3017" w:type="dxa"/>
            <w:vMerge w:val="continue"/>
            <w:tcBorders>
              <w:top w:val="nil"/>
              <w:left w:val="single" w:color="auto" w:sz="4" w:space="0"/>
              <w:bottom w:val="single" w:color="auto" w:sz="4" w:space="0"/>
              <w:right w:val="single" w:color="auto" w:sz="4" w:space="0"/>
            </w:tcBorders>
            <w:vAlign w:val="center"/>
          </w:tcPr>
          <w:p w14:paraId="04D9B368">
            <w:pPr>
              <w:widowControl/>
              <w:jc w:val="left"/>
              <w:rPr>
                <w:rFonts w:hint="eastAsia" w:ascii="华文细黑" w:hAnsi="华文细黑" w:eastAsia="华文细黑" w:cs="宋体"/>
                <w:color w:val="000000"/>
                <w:kern w:val="0"/>
                <w:sz w:val="22"/>
                <w:szCs w:val="22"/>
              </w:rPr>
            </w:pPr>
          </w:p>
        </w:tc>
        <w:tc>
          <w:tcPr>
            <w:tcW w:w="4981" w:type="dxa"/>
            <w:vMerge w:val="continue"/>
            <w:tcBorders>
              <w:top w:val="nil"/>
              <w:left w:val="single" w:color="auto" w:sz="4" w:space="0"/>
              <w:bottom w:val="single" w:color="auto" w:sz="4" w:space="0"/>
              <w:right w:val="single" w:color="auto" w:sz="4" w:space="0"/>
            </w:tcBorders>
            <w:vAlign w:val="center"/>
          </w:tcPr>
          <w:p w14:paraId="41639F15">
            <w:pPr>
              <w:widowControl/>
              <w:jc w:val="left"/>
              <w:rPr>
                <w:rFonts w:hint="eastAsia" w:ascii="华文细黑" w:hAnsi="华文细黑" w:eastAsia="华文细黑" w:cs="宋体"/>
                <w:color w:val="000000"/>
                <w:kern w:val="0"/>
                <w:sz w:val="22"/>
                <w:szCs w:val="22"/>
              </w:rPr>
            </w:pPr>
          </w:p>
        </w:tc>
        <w:tc>
          <w:tcPr>
            <w:tcW w:w="144" w:type="dxa"/>
            <w:tcBorders>
              <w:top w:val="nil"/>
              <w:left w:val="nil"/>
              <w:bottom w:val="nil"/>
              <w:right w:val="nil"/>
            </w:tcBorders>
            <w:noWrap/>
            <w:vAlign w:val="center"/>
          </w:tcPr>
          <w:p w14:paraId="1261CAF8">
            <w:pPr>
              <w:widowControl/>
              <w:jc w:val="left"/>
              <w:rPr>
                <w:rFonts w:eastAsia="Times New Roman"/>
                <w:kern w:val="0"/>
                <w:sz w:val="20"/>
              </w:rPr>
            </w:pPr>
          </w:p>
        </w:tc>
      </w:tr>
      <w:tr w14:paraId="4CA3FDBF">
        <w:tblPrEx>
          <w:tblCellMar>
            <w:top w:w="0" w:type="dxa"/>
            <w:left w:w="108" w:type="dxa"/>
            <w:bottom w:w="0" w:type="dxa"/>
            <w:right w:w="108" w:type="dxa"/>
          </w:tblCellMar>
        </w:tblPrEx>
        <w:trPr>
          <w:trHeight w:val="316" w:hRule="atLeast"/>
        </w:trPr>
        <w:tc>
          <w:tcPr>
            <w:tcW w:w="663" w:type="dxa"/>
            <w:vMerge w:val="continue"/>
            <w:tcBorders>
              <w:top w:val="nil"/>
              <w:left w:val="single" w:color="auto" w:sz="4" w:space="0"/>
              <w:bottom w:val="single" w:color="auto" w:sz="4" w:space="0"/>
              <w:right w:val="single" w:color="auto" w:sz="4" w:space="0"/>
            </w:tcBorders>
            <w:vAlign w:val="center"/>
          </w:tcPr>
          <w:p w14:paraId="6DA0BF71">
            <w:pPr>
              <w:widowControl/>
              <w:jc w:val="left"/>
              <w:rPr>
                <w:rFonts w:hint="eastAsia" w:ascii="华文细黑" w:hAnsi="华文细黑" w:eastAsia="华文细黑" w:cs="宋体"/>
                <w:color w:val="000000"/>
                <w:kern w:val="0"/>
                <w:sz w:val="22"/>
                <w:szCs w:val="22"/>
              </w:rPr>
            </w:pPr>
          </w:p>
        </w:tc>
        <w:tc>
          <w:tcPr>
            <w:tcW w:w="3017" w:type="dxa"/>
            <w:vMerge w:val="continue"/>
            <w:tcBorders>
              <w:top w:val="nil"/>
              <w:left w:val="single" w:color="auto" w:sz="4" w:space="0"/>
              <w:bottom w:val="single" w:color="auto" w:sz="4" w:space="0"/>
              <w:right w:val="single" w:color="auto" w:sz="4" w:space="0"/>
            </w:tcBorders>
            <w:vAlign w:val="center"/>
          </w:tcPr>
          <w:p w14:paraId="4E055439">
            <w:pPr>
              <w:widowControl/>
              <w:jc w:val="left"/>
              <w:rPr>
                <w:rFonts w:hint="eastAsia" w:ascii="华文细黑" w:hAnsi="华文细黑" w:eastAsia="华文细黑" w:cs="宋体"/>
                <w:color w:val="000000"/>
                <w:kern w:val="0"/>
                <w:sz w:val="22"/>
                <w:szCs w:val="22"/>
              </w:rPr>
            </w:pPr>
          </w:p>
        </w:tc>
        <w:tc>
          <w:tcPr>
            <w:tcW w:w="4981" w:type="dxa"/>
            <w:vMerge w:val="continue"/>
            <w:tcBorders>
              <w:top w:val="nil"/>
              <w:left w:val="single" w:color="auto" w:sz="4" w:space="0"/>
              <w:bottom w:val="single" w:color="auto" w:sz="4" w:space="0"/>
              <w:right w:val="single" w:color="auto" w:sz="4" w:space="0"/>
            </w:tcBorders>
            <w:vAlign w:val="center"/>
          </w:tcPr>
          <w:p w14:paraId="4BC0209D">
            <w:pPr>
              <w:widowControl/>
              <w:jc w:val="left"/>
              <w:rPr>
                <w:rFonts w:hint="eastAsia" w:ascii="华文细黑" w:hAnsi="华文细黑" w:eastAsia="华文细黑" w:cs="宋体"/>
                <w:color w:val="000000"/>
                <w:kern w:val="0"/>
                <w:sz w:val="22"/>
                <w:szCs w:val="22"/>
              </w:rPr>
            </w:pPr>
          </w:p>
        </w:tc>
        <w:tc>
          <w:tcPr>
            <w:tcW w:w="144" w:type="dxa"/>
            <w:tcBorders>
              <w:top w:val="nil"/>
              <w:left w:val="nil"/>
              <w:bottom w:val="nil"/>
              <w:right w:val="nil"/>
            </w:tcBorders>
            <w:noWrap/>
            <w:vAlign w:val="center"/>
          </w:tcPr>
          <w:p w14:paraId="1D1B5CBB">
            <w:pPr>
              <w:widowControl/>
              <w:jc w:val="left"/>
              <w:rPr>
                <w:rFonts w:eastAsia="Times New Roman"/>
                <w:kern w:val="0"/>
                <w:sz w:val="20"/>
              </w:rPr>
            </w:pPr>
          </w:p>
        </w:tc>
      </w:tr>
      <w:tr w14:paraId="47B008C5">
        <w:tblPrEx>
          <w:tblCellMar>
            <w:top w:w="0" w:type="dxa"/>
            <w:left w:w="108" w:type="dxa"/>
            <w:bottom w:w="0" w:type="dxa"/>
            <w:right w:w="108" w:type="dxa"/>
          </w:tblCellMar>
        </w:tblPrEx>
        <w:trPr>
          <w:trHeight w:val="316" w:hRule="atLeast"/>
        </w:trPr>
        <w:tc>
          <w:tcPr>
            <w:tcW w:w="663" w:type="dxa"/>
            <w:vMerge w:val="continue"/>
            <w:tcBorders>
              <w:top w:val="nil"/>
              <w:left w:val="single" w:color="auto" w:sz="4" w:space="0"/>
              <w:bottom w:val="single" w:color="auto" w:sz="4" w:space="0"/>
              <w:right w:val="single" w:color="auto" w:sz="4" w:space="0"/>
            </w:tcBorders>
            <w:vAlign w:val="center"/>
          </w:tcPr>
          <w:p w14:paraId="23CB4AAD">
            <w:pPr>
              <w:widowControl/>
              <w:jc w:val="left"/>
              <w:rPr>
                <w:rFonts w:hint="eastAsia" w:ascii="华文细黑" w:hAnsi="华文细黑" w:eastAsia="华文细黑" w:cs="宋体"/>
                <w:color w:val="000000"/>
                <w:kern w:val="0"/>
                <w:sz w:val="22"/>
                <w:szCs w:val="22"/>
              </w:rPr>
            </w:pPr>
          </w:p>
        </w:tc>
        <w:tc>
          <w:tcPr>
            <w:tcW w:w="3017" w:type="dxa"/>
            <w:vMerge w:val="continue"/>
            <w:tcBorders>
              <w:top w:val="nil"/>
              <w:left w:val="single" w:color="auto" w:sz="4" w:space="0"/>
              <w:bottom w:val="single" w:color="auto" w:sz="4" w:space="0"/>
              <w:right w:val="single" w:color="auto" w:sz="4" w:space="0"/>
            </w:tcBorders>
            <w:vAlign w:val="center"/>
          </w:tcPr>
          <w:p w14:paraId="473A7816">
            <w:pPr>
              <w:widowControl/>
              <w:jc w:val="left"/>
              <w:rPr>
                <w:rFonts w:hint="eastAsia" w:ascii="华文细黑" w:hAnsi="华文细黑" w:eastAsia="华文细黑" w:cs="宋体"/>
                <w:color w:val="000000"/>
                <w:kern w:val="0"/>
                <w:sz w:val="22"/>
                <w:szCs w:val="22"/>
              </w:rPr>
            </w:pPr>
          </w:p>
        </w:tc>
        <w:tc>
          <w:tcPr>
            <w:tcW w:w="4981" w:type="dxa"/>
            <w:vMerge w:val="continue"/>
            <w:tcBorders>
              <w:top w:val="nil"/>
              <w:left w:val="single" w:color="auto" w:sz="4" w:space="0"/>
              <w:bottom w:val="single" w:color="auto" w:sz="4" w:space="0"/>
              <w:right w:val="single" w:color="auto" w:sz="4" w:space="0"/>
            </w:tcBorders>
            <w:vAlign w:val="center"/>
          </w:tcPr>
          <w:p w14:paraId="3487E8B1">
            <w:pPr>
              <w:widowControl/>
              <w:jc w:val="left"/>
              <w:rPr>
                <w:rFonts w:hint="eastAsia" w:ascii="华文细黑" w:hAnsi="华文细黑" w:eastAsia="华文细黑" w:cs="宋体"/>
                <w:color w:val="000000"/>
                <w:kern w:val="0"/>
                <w:sz w:val="22"/>
                <w:szCs w:val="22"/>
              </w:rPr>
            </w:pPr>
          </w:p>
        </w:tc>
        <w:tc>
          <w:tcPr>
            <w:tcW w:w="144" w:type="dxa"/>
            <w:tcBorders>
              <w:top w:val="nil"/>
              <w:left w:val="nil"/>
              <w:bottom w:val="nil"/>
              <w:right w:val="nil"/>
            </w:tcBorders>
            <w:noWrap/>
            <w:vAlign w:val="center"/>
          </w:tcPr>
          <w:p w14:paraId="77C86E57">
            <w:pPr>
              <w:widowControl/>
              <w:jc w:val="left"/>
              <w:rPr>
                <w:rFonts w:eastAsia="Times New Roman"/>
                <w:kern w:val="0"/>
                <w:sz w:val="20"/>
              </w:rPr>
            </w:pPr>
          </w:p>
        </w:tc>
      </w:tr>
      <w:tr w14:paraId="0DF48E0A">
        <w:tblPrEx>
          <w:tblCellMar>
            <w:top w:w="0" w:type="dxa"/>
            <w:left w:w="108" w:type="dxa"/>
            <w:bottom w:w="0" w:type="dxa"/>
            <w:right w:w="108" w:type="dxa"/>
          </w:tblCellMar>
        </w:tblPrEx>
        <w:trPr>
          <w:trHeight w:val="316" w:hRule="atLeast"/>
        </w:trPr>
        <w:tc>
          <w:tcPr>
            <w:tcW w:w="663" w:type="dxa"/>
            <w:vMerge w:val="continue"/>
            <w:tcBorders>
              <w:top w:val="nil"/>
              <w:left w:val="single" w:color="auto" w:sz="4" w:space="0"/>
              <w:bottom w:val="single" w:color="auto" w:sz="4" w:space="0"/>
              <w:right w:val="single" w:color="auto" w:sz="4" w:space="0"/>
            </w:tcBorders>
            <w:vAlign w:val="center"/>
          </w:tcPr>
          <w:p w14:paraId="537E47AF">
            <w:pPr>
              <w:widowControl/>
              <w:jc w:val="left"/>
              <w:rPr>
                <w:rFonts w:hint="eastAsia" w:ascii="华文细黑" w:hAnsi="华文细黑" w:eastAsia="华文细黑" w:cs="宋体"/>
                <w:color w:val="000000"/>
                <w:kern w:val="0"/>
                <w:sz w:val="22"/>
                <w:szCs w:val="22"/>
              </w:rPr>
            </w:pPr>
          </w:p>
        </w:tc>
        <w:tc>
          <w:tcPr>
            <w:tcW w:w="3017" w:type="dxa"/>
            <w:vMerge w:val="continue"/>
            <w:tcBorders>
              <w:top w:val="nil"/>
              <w:left w:val="single" w:color="auto" w:sz="4" w:space="0"/>
              <w:bottom w:val="single" w:color="auto" w:sz="4" w:space="0"/>
              <w:right w:val="single" w:color="auto" w:sz="4" w:space="0"/>
            </w:tcBorders>
            <w:vAlign w:val="center"/>
          </w:tcPr>
          <w:p w14:paraId="373C4E40">
            <w:pPr>
              <w:widowControl/>
              <w:jc w:val="left"/>
              <w:rPr>
                <w:rFonts w:hint="eastAsia" w:ascii="华文细黑" w:hAnsi="华文细黑" w:eastAsia="华文细黑" w:cs="宋体"/>
                <w:color w:val="000000"/>
                <w:kern w:val="0"/>
                <w:sz w:val="22"/>
                <w:szCs w:val="22"/>
              </w:rPr>
            </w:pPr>
          </w:p>
        </w:tc>
        <w:tc>
          <w:tcPr>
            <w:tcW w:w="4981" w:type="dxa"/>
            <w:vMerge w:val="continue"/>
            <w:tcBorders>
              <w:top w:val="nil"/>
              <w:left w:val="single" w:color="auto" w:sz="4" w:space="0"/>
              <w:bottom w:val="single" w:color="auto" w:sz="4" w:space="0"/>
              <w:right w:val="single" w:color="auto" w:sz="4" w:space="0"/>
            </w:tcBorders>
            <w:vAlign w:val="center"/>
          </w:tcPr>
          <w:p w14:paraId="643844D1">
            <w:pPr>
              <w:widowControl/>
              <w:jc w:val="left"/>
              <w:rPr>
                <w:rFonts w:hint="eastAsia" w:ascii="华文细黑" w:hAnsi="华文细黑" w:eastAsia="华文细黑" w:cs="宋体"/>
                <w:color w:val="000000"/>
                <w:kern w:val="0"/>
                <w:sz w:val="22"/>
                <w:szCs w:val="22"/>
              </w:rPr>
            </w:pPr>
          </w:p>
        </w:tc>
        <w:tc>
          <w:tcPr>
            <w:tcW w:w="144" w:type="dxa"/>
            <w:tcBorders>
              <w:top w:val="nil"/>
              <w:left w:val="nil"/>
              <w:bottom w:val="nil"/>
              <w:right w:val="nil"/>
            </w:tcBorders>
            <w:noWrap/>
            <w:vAlign w:val="center"/>
          </w:tcPr>
          <w:p w14:paraId="4D9EA705">
            <w:pPr>
              <w:widowControl/>
              <w:jc w:val="left"/>
              <w:rPr>
                <w:rFonts w:eastAsia="Times New Roman"/>
                <w:kern w:val="0"/>
                <w:sz w:val="20"/>
              </w:rPr>
            </w:pPr>
          </w:p>
        </w:tc>
      </w:tr>
      <w:tr w14:paraId="2491656F">
        <w:tblPrEx>
          <w:tblCellMar>
            <w:top w:w="0" w:type="dxa"/>
            <w:left w:w="108" w:type="dxa"/>
            <w:bottom w:w="0" w:type="dxa"/>
            <w:right w:w="108" w:type="dxa"/>
          </w:tblCellMar>
        </w:tblPrEx>
        <w:trPr>
          <w:trHeight w:val="316" w:hRule="atLeast"/>
        </w:trPr>
        <w:tc>
          <w:tcPr>
            <w:tcW w:w="8661" w:type="dxa"/>
            <w:gridSpan w:val="3"/>
            <w:tcBorders>
              <w:top w:val="single" w:color="auto" w:sz="4" w:space="0"/>
              <w:left w:val="single" w:color="auto" w:sz="4" w:space="0"/>
              <w:bottom w:val="single" w:color="auto" w:sz="4" w:space="0"/>
              <w:right w:val="single" w:color="auto" w:sz="4" w:space="0"/>
            </w:tcBorders>
            <w:noWrap/>
            <w:vAlign w:val="bottom"/>
          </w:tcPr>
          <w:p w14:paraId="7DFD425D">
            <w:pPr>
              <w:widowControl/>
              <w:jc w:val="center"/>
              <w:rPr>
                <w:rFonts w:hint="eastAsia" w:ascii="华文细黑" w:hAnsi="华文细黑" w:eastAsia="华文细黑" w:cs="宋体"/>
                <w:b/>
                <w:bCs/>
                <w:color w:val="000000"/>
                <w:kern w:val="0"/>
                <w:sz w:val="22"/>
                <w:szCs w:val="22"/>
              </w:rPr>
            </w:pPr>
            <w:r>
              <w:rPr>
                <w:rFonts w:hint="eastAsia" w:ascii="华文细黑" w:hAnsi="华文细黑" w:eastAsia="华文细黑" w:cs="宋体"/>
                <w:b/>
                <w:bCs/>
                <w:color w:val="000000"/>
                <w:kern w:val="0"/>
                <w:sz w:val="22"/>
                <w:szCs w:val="22"/>
              </w:rPr>
              <w:t>三、附加险保障条款（包括不限于以下条款）</w:t>
            </w:r>
          </w:p>
        </w:tc>
        <w:tc>
          <w:tcPr>
            <w:tcW w:w="144" w:type="dxa"/>
            <w:vAlign w:val="center"/>
          </w:tcPr>
          <w:p w14:paraId="4547DA5A">
            <w:pPr>
              <w:widowControl/>
              <w:jc w:val="left"/>
              <w:rPr>
                <w:rFonts w:eastAsia="Times New Roman"/>
                <w:kern w:val="0"/>
                <w:sz w:val="20"/>
              </w:rPr>
            </w:pPr>
          </w:p>
        </w:tc>
      </w:tr>
      <w:tr w14:paraId="37783C87">
        <w:tblPrEx>
          <w:tblCellMar>
            <w:top w:w="0" w:type="dxa"/>
            <w:left w:w="108" w:type="dxa"/>
            <w:bottom w:w="0" w:type="dxa"/>
            <w:right w:w="108" w:type="dxa"/>
          </w:tblCellMar>
        </w:tblPrEx>
        <w:trPr>
          <w:trHeight w:val="1409" w:hRule="atLeast"/>
        </w:trPr>
        <w:tc>
          <w:tcPr>
            <w:tcW w:w="663" w:type="dxa"/>
            <w:tcBorders>
              <w:top w:val="nil"/>
              <w:left w:val="single" w:color="auto" w:sz="4" w:space="0"/>
              <w:bottom w:val="single" w:color="auto" w:sz="4" w:space="0"/>
              <w:right w:val="single" w:color="auto" w:sz="4" w:space="0"/>
            </w:tcBorders>
            <w:vAlign w:val="center"/>
          </w:tcPr>
          <w:p w14:paraId="2E125006">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3017" w:type="dxa"/>
            <w:tcBorders>
              <w:top w:val="nil"/>
              <w:left w:val="nil"/>
              <w:bottom w:val="single" w:color="auto" w:sz="4" w:space="0"/>
              <w:right w:val="single" w:color="auto" w:sz="4" w:space="0"/>
            </w:tcBorders>
            <w:vAlign w:val="center"/>
          </w:tcPr>
          <w:p w14:paraId="6DF6989E">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赔偿限额</w:t>
            </w:r>
          </w:p>
        </w:tc>
        <w:tc>
          <w:tcPr>
            <w:tcW w:w="4981" w:type="dxa"/>
            <w:tcBorders>
              <w:top w:val="nil"/>
              <w:left w:val="nil"/>
              <w:bottom w:val="single" w:color="auto" w:sz="4" w:space="0"/>
              <w:right w:val="single" w:color="auto" w:sz="4" w:space="0"/>
            </w:tcBorders>
            <w:vAlign w:val="center"/>
          </w:tcPr>
          <w:p w14:paraId="297DCE22">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电梯责任条款：每次事故限额</w:t>
            </w:r>
            <w:r>
              <w:rPr>
                <w:rFonts w:hint="eastAsia" w:ascii="华文细黑" w:hAnsi="华文细黑" w:eastAsia="华文细黑" w:cs="宋体"/>
                <w:color w:val="000000"/>
                <w:kern w:val="0"/>
                <w:sz w:val="22"/>
                <w:szCs w:val="22"/>
                <w:highlight w:val="yellow"/>
                <w:lang w:val="en-US" w:eastAsia="zh-CN"/>
              </w:rPr>
              <w:t xml:space="preserve">   500 </w:t>
            </w:r>
            <w:r>
              <w:rPr>
                <w:rFonts w:hint="eastAsia" w:ascii="华文细黑" w:hAnsi="华文细黑" w:eastAsia="华文细黑" w:cs="宋体"/>
                <w:color w:val="000000"/>
                <w:kern w:val="0"/>
                <w:sz w:val="22"/>
                <w:szCs w:val="22"/>
              </w:rPr>
              <w:t xml:space="preserve"> 万</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停车场责任条款：每车位限额</w:t>
            </w:r>
            <w:r>
              <w:rPr>
                <w:rFonts w:hint="eastAsia" w:ascii="华文细黑" w:hAnsi="华文细黑" w:eastAsia="华文细黑" w:cs="宋体"/>
                <w:color w:val="000000"/>
                <w:kern w:val="0"/>
                <w:sz w:val="22"/>
                <w:szCs w:val="22"/>
                <w:highlight w:val="yellow"/>
                <w:lang w:val="en-US" w:eastAsia="zh-CN"/>
              </w:rPr>
              <w:t xml:space="preserve">  20  </w:t>
            </w:r>
            <w:r>
              <w:rPr>
                <w:rFonts w:hint="eastAsia" w:ascii="华文细黑" w:hAnsi="华文细黑" w:eastAsia="华文细黑" w:cs="宋体"/>
                <w:color w:val="000000"/>
                <w:kern w:val="0"/>
                <w:sz w:val="22"/>
                <w:szCs w:val="22"/>
              </w:rPr>
              <w:t>万</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火灾和爆炸责任条款：每次限额</w:t>
            </w:r>
            <w:r>
              <w:rPr>
                <w:rFonts w:hint="eastAsia" w:ascii="华文细黑" w:hAnsi="华文细黑" w:eastAsia="华文细黑" w:cs="宋体"/>
                <w:color w:val="000000"/>
                <w:kern w:val="0"/>
                <w:sz w:val="22"/>
                <w:szCs w:val="22"/>
                <w:highlight w:val="yellow"/>
                <w:lang w:val="en-US" w:eastAsia="zh-CN"/>
              </w:rPr>
              <w:t xml:space="preserve"> 2000   </w:t>
            </w:r>
            <w:r>
              <w:rPr>
                <w:rFonts w:hint="eastAsia" w:ascii="华文细黑" w:hAnsi="华文细黑" w:eastAsia="华文细黑" w:cs="宋体"/>
                <w:color w:val="000000"/>
                <w:kern w:val="0"/>
                <w:sz w:val="22"/>
                <w:szCs w:val="22"/>
              </w:rPr>
              <w:t>万</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 xml:space="preserve"> 广告及装饰装置责任条款：每次事故限额 </w:t>
            </w:r>
            <w:r>
              <w:rPr>
                <w:rFonts w:hint="eastAsia" w:ascii="华文细黑" w:hAnsi="华文细黑" w:eastAsia="华文细黑" w:cs="宋体"/>
                <w:color w:val="000000"/>
                <w:kern w:val="0"/>
                <w:sz w:val="22"/>
                <w:szCs w:val="22"/>
                <w:highlight w:val="yellow"/>
                <w:lang w:val="en-US" w:eastAsia="zh-CN"/>
              </w:rPr>
              <w:t xml:space="preserve"> 2000    </w:t>
            </w:r>
            <w:r>
              <w:rPr>
                <w:rFonts w:hint="eastAsia" w:ascii="华文细黑" w:hAnsi="华文细黑" w:eastAsia="华文细黑" w:cs="宋体"/>
                <w:color w:val="000000"/>
                <w:kern w:val="0"/>
                <w:sz w:val="22"/>
                <w:szCs w:val="22"/>
              </w:rPr>
              <w:t xml:space="preserve"> 万</w:t>
            </w:r>
          </w:p>
        </w:tc>
        <w:tc>
          <w:tcPr>
            <w:tcW w:w="144" w:type="dxa"/>
            <w:vAlign w:val="center"/>
          </w:tcPr>
          <w:p w14:paraId="52F074E3">
            <w:pPr>
              <w:widowControl/>
              <w:jc w:val="left"/>
              <w:rPr>
                <w:rFonts w:eastAsia="Times New Roman"/>
                <w:kern w:val="0"/>
                <w:sz w:val="20"/>
              </w:rPr>
            </w:pPr>
          </w:p>
        </w:tc>
      </w:tr>
      <w:tr w14:paraId="12A9B5B4">
        <w:tblPrEx>
          <w:tblCellMar>
            <w:top w:w="0" w:type="dxa"/>
            <w:left w:w="108" w:type="dxa"/>
            <w:bottom w:w="0" w:type="dxa"/>
            <w:right w:w="108" w:type="dxa"/>
          </w:tblCellMar>
        </w:tblPrEx>
        <w:trPr>
          <w:trHeight w:val="575" w:hRule="atLeast"/>
        </w:trPr>
        <w:tc>
          <w:tcPr>
            <w:tcW w:w="8661" w:type="dxa"/>
            <w:gridSpan w:val="3"/>
            <w:tcBorders>
              <w:top w:val="single" w:color="auto" w:sz="4" w:space="0"/>
              <w:left w:val="single" w:color="auto" w:sz="4" w:space="0"/>
              <w:bottom w:val="single" w:color="auto" w:sz="4" w:space="0"/>
              <w:right w:val="single" w:color="auto" w:sz="4" w:space="0"/>
            </w:tcBorders>
            <w:vAlign w:val="center"/>
          </w:tcPr>
          <w:p w14:paraId="1EC0F00F">
            <w:pPr>
              <w:widowControl/>
              <w:jc w:val="center"/>
              <w:rPr>
                <w:rFonts w:hint="eastAsia" w:ascii="华文细黑" w:hAnsi="华文细黑" w:eastAsia="华文细黑" w:cs="宋体"/>
                <w:b/>
                <w:bCs/>
                <w:color w:val="000000"/>
                <w:kern w:val="0"/>
                <w:sz w:val="20"/>
              </w:rPr>
            </w:pPr>
            <w:r>
              <w:rPr>
                <w:rFonts w:hint="eastAsia" w:ascii="华文细黑" w:hAnsi="华文细黑" w:eastAsia="华文细黑" w:cs="宋体"/>
                <w:b/>
                <w:bCs/>
                <w:color w:val="000000"/>
                <w:kern w:val="0"/>
                <w:sz w:val="20"/>
              </w:rPr>
              <w:t>四、免赔规则</w:t>
            </w:r>
          </w:p>
        </w:tc>
        <w:tc>
          <w:tcPr>
            <w:tcW w:w="144" w:type="dxa"/>
            <w:vAlign w:val="center"/>
          </w:tcPr>
          <w:p w14:paraId="0A7E0400">
            <w:pPr>
              <w:widowControl/>
              <w:jc w:val="left"/>
              <w:rPr>
                <w:rFonts w:eastAsia="Times New Roman"/>
                <w:kern w:val="0"/>
                <w:sz w:val="20"/>
              </w:rPr>
            </w:pPr>
          </w:p>
        </w:tc>
      </w:tr>
      <w:tr w14:paraId="3D3BE64B">
        <w:tblPrEx>
          <w:tblCellMar>
            <w:top w:w="0" w:type="dxa"/>
            <w:left w:w="108" w:type="dxa"/>
            <w:bottom w:w="0" w:type="dxa"/>
            <w:right w:w="108" w:type="dxa"/>
          </w:tblCellMar>
        </w:tblPrEx>
        <w:trPr>
          <w:trHeight w:val="632" w:hRule="atLeast"/>
        </w:trPr>
        <w:tc>
          <w:tcPr>
            <w:tcW w:w="663" w:type="dxa"/>
            <w:tcBorders>
              <w:top w:val="nil"/>
              <w:left w:val="single" w:color="auto" w:sz="4" w:space="0"/>
              <w:bottom w:val="single" w:color="auto" w:sz="4" w:space="0"/>
              <w:right w:val="single" w:color="auto" w:sz="4" w:space="0"/>
            </w:tcBorders>
            <w:vAlign w:val="center"/>
          </w:tcPr>
          <w:p w14:paraId="15F91209">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3017" w:type="dxa"/>
            <w:tcBorders>
              <w:top w:val="nil"/>
              <w:left w:val="nil"/>
              <w:bottom w:val="single" w:color="auto" w:sz="4" w:space="0"/>
              <w:right w:val="single" w:color="auto" w:sz="4" w:space="0"/>
            </w:tcBorders>
            <w:vAlign w:val="center"/>
          </w:tcPr>
          <w:p w14:paraId="4C0883C9">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免赔规则</w:t>
            </w:r>
          </w:p>
        </w:tc>
        <w:tc>
          <w:tcPr>
            <w:tcW w:w="4981" w:type="dxa"/>
            <w:tcBorders>
              <w:top w:val="nil"/>
              <w:left w:val="nil"/>
              <w:bottom w:val="single" w:color="auto" w:sz="4" w:space="0"/>
              <w:right w:val="single" w:color="auto" w:sz="4" w:space="0"/>
            </w:tcBorders>
            <w:vAlign w:val="center"/>
          </w:tcPr>
          <w:p w14:paraId="5521957F">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 xml:space="preserve">主险：每次事故绝对免赔 </w:t>
            </w:r>
            <w:r>
              <w:rPr>
                <w:rFonts w:hint="eastAsia" w:ascii="华文细黑" w:hAnsi="华文细黑" w:eastAsia="华文细黑" w:cs="宋体"/>
                <w:color w:val="000000"/>
                <w:kern w:val="0"/>
                <w:sz w:val="22"/>
                <w:szCs w:val="22"/>
                <w:highlight w:val="yellow"/>
                <w:lang w:val="en-US" w:eastAsia="zh-CN"/>
              </w:rPr>
              <w:t xml:space="preserve">   1000  </w:t>
            </w:r>
            <w:r>
              <w:rPr>
                <w:rFonts w:hint="eastAsia" w:ascii="华文细黑" w:hAnsi="华文细黑" w:eastAsia="华文细黑" w:cs="宋体"/>
                <w:color w:val="000000"/>
                <w:kern w:val="0"/>
                <w:sz w:val="22"/>
                <w:szCs w:val="22"/>
              </w:rPr>
              <w:t>元或 5%（高者为准）</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停车场全车盗抢：免赔率 20%</w:t>
            </w:r>
          </w:p>
        </w:tc>
        <w:tc>
          <w:tcPr>
            <w:tcW w:w="144" w:type="dxa"/>
            <w:vAlign w:val="center"/>
          </w:tcPr>
          <w:p w14:paraId="46366142">
            <w:pPr>
              <w:widowControl/>
              <w:jc w:val="left"/>
              <w:rPr>
                <w:rFonts w:eastAsia="Times New Roman"/>
                <w:kern w:val="0"/>
                <w:sz w:val="20"/>
              </w:rPr>
            </w:pPr>
          </w:p>
        </w:tc>
      </w:tr>
    </w:tbl>
    <w:p w14:paraId="4CC9A148">
      <w:pPr>
        <w:pStyle w:val="37"/>
        <w:ind w:firstLine="0" w:firstLineChars="0"/>
        <w:outlineLvl w:val="1"/>
        <w:rPr>
          <w:rFonts w:eastAsia="黑体"/>
          <w:sz w:val="28"/>
          <w:szCs w:val="44"/>
        </w:rPr>
      </w:pPr>
    </w:p>
    <w:p w14:paraId="30399053">
      <w:pPr>
        <w:pStyle w:val="37"/>
        <w:ind w:firstLine="0" w:firstLineChars="0"/>
        <w:outlineLvl w:val="1"/>
        <w:rPr>
          <w:rFonts w:eastAsia="黑体"/>
          <w:sz w:val="28"/>
          <w:szCs w:val="44"/>
        </w:rPr>
      </w:pPr>
    </w:p>
    <w:p w14:paraId="03DB36E2">
      <w:pPr>
        <w:pStyle w:val="37"/>
        <w:ind w:firstLine="0" w:firstLineChars="0"/>
        <w:outlineLvl w:val="1"/>
        <w:rPr>
          <w:rFonts w:eastAsia="黑体"/>
          <w:sz w:val="28"/>
          <w:szCs w:val="44"/>
        </w:rPr>
      </w:pPr>
    </w:p>
    <w:p w14:paraId="1C7A6577">
      <w:pPr>
        <w:pStyle w:val="37"/>
        <w:ind w:firstLine="0" w:firstLineChars="0"/>
        <w:outlineLvl w:val="1"/>
        <w:rPr>
          <w:rFonts w:eastAsia="黑体"/>
          <w:sz w:val="28"/>
          <w:szCs w:val="44"/>
        </w:rPr>
      </w:pPr>
    </w:p>
    <w:p w14:paraId="312CA450">
      <w:pPr>
        <w:pStyle w:val="37"/>
        <w:ind w:firstLine="0" w:firstLineChars="0"/>
        <w:outlineLvl w:val="1"/>
        <w:rPr>
          <w:rFonts w:eastAsia="黑体"/>
          <w:sz w:val="28"/>
          <w:szCs w:val="44"/>
        </w:rPr>
      </w:pPr>
    </w:p>
    <w:p w14:paraId="60F52B9C">
      <w:pPr>
        <w:pStyle w:val="37"/>
        <w:ind w:firstLine="0" w:firstLineChars="0"/>
        <w:jc w:val="center"/>
        <w:rPr>
          <w:rFonts w:eastAsia="仿宋_GB2312"/>
          <w:b/>
          <w:sz w:val="32"/>
          <w:szCs w:val="32"/>
        </w:rPr>
      </w:pPr>
      <w:r>
        <w:rPr>
          <w:rFonts w:hint="eastAsia" w:eastAsia="仿宋_GB2312"/>
          <w:b/>
          <w:sz w:val="32"/>
          <w:szCs w:val="32"/>
        </w:rPr>
        <w:t>财产一切险需求</w:t>
      </w:r>
    </w:p>
    <w:p w14:paraId="5470DE32">
      <w:pPr>
        <w:pStyle w:val="37"/>
        <w:ind w:firstLine="0" w:firstLineChars="0"/>
        <w:outlineLvl w:val="1"/>
        <w:rPr>
          <w:rFonts w:eastAsia="黑体"/>
          <w:sz w:val="28"/>
          <w:szCs w:val="44"/>
        </w:rPr>
      </w:pPr>
    </w:p>
    <w:tbl>
      <w:tblPr>
        <w:tblStyle w:val="19"/>
        <w:tblW w:w="9556" w:type="dxa"/>
        <w:tblInd w:w="0" w:type="dxa"/>
        <w:tblLayout w:type="autofit"/>
        <w:tblCellMar>
          <w:top w:w="0" w:type="dxa"/>
          <w:left w:w="108" w:type="dxa"/>
          <w:bottom w:w="0" w:type="dxa"/>
          <w:right w:w="108" w:type="dxa"/>
        </w:tblCellMar>
      </w:tblPr>
      <w:tblGrid>
        <w:gridCol w:w="338"/>
        <w:gridCol w:w="1784"/>
        <w:gridCol w:w="7212"/>
        <w:gridCol w:w="222"/>
      </w:tblGrid>
      <w:tr w14:paraId="3E79E31D">
        <w:tblPrEx>
          <w:tblCellMar>
            <w:top w:w="0" w:type="dxa"/>
            <w:left w:w="108" w:type="dxa"/>
            <w:bottom w:w="0" w:type="dxa"/>
            <w:right w:w="108" w:type="dxa"/>
          </w:tblCellMar>
        </w:tblPrEx>
        <w:trPr>
          <w:gridAfter w:val="1"/>
          <w:wAfter w:w="222" w:type="dxa"/>
          <w:trHeight w:val="330" w:hRule="atLeast"/>
        </w:trPr>
        <w:tc>
          <w:tcPr>
            <w:tcW w:w="9334" w:type="dxa"/>
            <w:gridSpan w:val="3"/>
            <w:tcBorders>
              <w:top w:val="single" w:color="auto" w:sz="4" w:space="0"/>
              <w:left w:val="single" w:color="auto" w:sz="4" w:space="0"/>
              <w:bottom w:val="single" w:color="auto" w:sz="4" w:space="0"/>
              <w:right w:val="single" w:color="auto" w:sz="4" w:space="0"/>
            </w:tcBorders>
            <w:noWrap/>
            <w:vAlign w:val="bottom"/>
          </w:tcPr>
          <w:p w14:paraId="25A62BFC">
            <w:pPr>
              <w:widowControl/>
              <w:jc w:val="center"/>
              <w:rPr>
                <w:rFonts w:hint="eastAsia" w:ascii="华文细黑" w:hAnsi="华文细黑" w:eastAsia="华文细黑" w:cs="宋体"/>
                <w:b/>
                <w:bCs/>
                <w:color w:val="000000"/>
                <w:kern w:val="0"/>
                <w:sz w:val="22"/>
                <w:szCs w:val="22"/>
              </w:rPr>
            </w:pPr>
            <w:r>
              <w:rPr>
                <w:rFonts w:hint="eastAsia" w:ascii="华文细黑" w:hAnsi="华文细黑" w:eastAsia="华文细黑" w:cs="宋体"/>
                <w:b/>
                <w:bCs/>
                <w:color w:val="000000"/>
                <w:kern w:val="0"/>
                <w:sz w:val="22"/>
                <w:szCs w:val="22"/>
              </w:rPr>
              <w:t>一、基础信息条款</w:t>
            </w:r>
          </w:p>
        </w:tc>
      </w:tr>
      <w:tr w14:paraId="68CC64DF">
        <w:tblPrEx>
          <w:tblCellMar>
            <w:top w:w="0" w:type="dxa"/>
            <w:left w:w="108" w:type="dxa"/>
            <w:bottom w:w="0" w:type="dxa"/>
            <w:right w:w="108" w:type="dxa"/>
          </w:tblCellMar>
        </w:tblPrEx>
        <w:trPr>
          <w:gridAfter w:val="1"/>
          <w:wAfter w:w="222" w:type="dxa"/>
          <w:trHeight w:val="330" w:hRule="atLeast"/>
        </w:trPr>
        <w:tc>
          <w:tcPr>
            <w:tcW w:w="338" w:type="dxa"/>
            <w:tcBorders>
              <w:top w:val="nil"/>
              <w:left w:val="single" w:color="auto" w:sz="4" w:space="0"/>
              <w:bottom w:val="single" w:color="auto" w:sz="4" w:space="0"/>
              <w:right w:val="single" w:color="auto" w:sz="4" w:space="0"/>
            </w:tcBorders>
            <w:noWrap/>
            <w:vAlign w:val="bottom"/>
          </w:tcPr>
          <w:p w14:paraId="7D474D2C">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1784" w:type="dxa"/>
            <w:tcBorders>
              <w:top w:val="nil"/>
              <w:left w:val="nil"/>
              <w:bottom w:val="single" w:color="auto" w:sz="4" w:space="0"/>
              <w:right w:val="single" w:color="auto" w:sz="4" w:space="0"/>
            </w:tcBorders>
            <w:shd w:val="clear" w:color="000000" w:fill="FFFFFF"/>
            <w:vAlign w:val="center"/>
          </w:tcPr>
          <w:p w14:paraId="5C79B05D">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险种名称</w:t>
            </w:r>
          </w:p>
        </w:tc>
        <w:tc>
          <w:tcPr>
            <w:tcW w:w="7212" w:type="dxa"/>
            <w:tcBorders>
              <w:top w:val="nil"/>
              <w:left w:val="nil"/>
              <w:bottom w:val="single" w:color="auto" w:sz="4" w:space="0"/>
              <w:right w:val="single" w:color="auto" w:sz="4" w:space="0"/>
            </w:tcBorders>
            <w:shd w:val="clear" w:color="000000" w:fill="FFFFFF"/>
            <w:vAlign w:val="center"/>
          </w:tcPr>
          <w:p w14:paraId="4595EB77">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企业财产一切险</w:t>
            </w:r>
          </w:p>
        </w:tc>
      </w:tr>
      <w:tr w14:paraId="1F7EBE93">
        <w:tblPrEx>
          <w:tblCellMar>
            <w:top w:w="0" w:type="dxa"/>
            <w:left w:w="108" w:type="dxa"/>
            <w:bottom w:w="0" w:type="dxa"/>
            <w:right w:w="108" w:type="dxa"/>
          </w:tblCellMar>
        </w:tblPrEx>
        <w:trPr>
          <w:gridAfter w:val="1"/>
          <w:wAfter w:w="222" w:type="dxa"/>
          <w:trHeight w:val="330" w:hRule="atLeast"/>
        </w:trPr>
        <w:tc>
          <w:tcPr>
            <w:tcW w:w="338" w:type="dxa"/>
            <w:vMerge w:val="restart"/>
            <w:tcBorders>
              <w:top w:val="nil"/>
              <w:left w:val="single" w:color="auto" w:sz="4" w:space="0"/>
              <w:right w:val="single" w:color="auto" w:sz="4" w:space="0"/>
            </w:tcBorders>
            <w:noWrap/>
            <w:vAlign w:val="bottom"/>
          </w:tcPr>
          <w:p w14:paraId="4FE3D282">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2</w:t>
            </w:r>
          </w:p>
        </w:tc>
        <w:tc>
          <w:tcPr>
            <w:tcW w:w="1784" w:type="dxa"/>
            <w:tcBorders>
              <w:top w:val="nil"/>
              <w:left w:val="nil"/>
              <w:bottom w:val="single" w:color="auto" w:sz="4" w:space="0"/>
              <w:right w:val="single" w:color="auto" w:sz="4" w:space="0"/>
            </w:tcBorders>
            <w:shd w:val="clear" w:color="000000" w:fill="FFFFFF"/>
            <w:vAlign w:val="center"/>
          </w:tcPr>
          <w:p w14:paraId="030AE3A7">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投保 / 被保险人</w:t>
            </w:r>
          </w:p>
        </w:tc>
        <w:tc>
          <w:tcPr>
            <w:tcW w:w="7212" w:type="dxa"/>
            <w:tcBorders>
              <w:top w:val="nil"/>
              <w:left w:val="nil"/>
              <w:bottom w:val="single" w:color="auto" w:sz="4" w:space="0"/>
              <w:right w:val="single" w:color="auto" w:sz="4" w:space="0"/>
            </w:tcBorders>
            <w:shd w:val="clear" w:color="000000" w:fill="FFFFFF"/>
            <w:vAlign w:val="center"/>
          </w:tcPr>
          <w:p w14:paraId="740A9DCA">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highlight w:val="yellow"/>
              </w:rPr>
              <w:t>广东东鸿物业发展有限公司</w:t>
            </w:r>
          </w:p>
        </w:tc>
      </w:tr>
      <w:tr w14:paraId="681E09EE">
        <w:tblPrEx>
          <w:tblCellMar>
            <w:top w:w="0" w:type="dxa"/>
            <w:left w:w="108" w:type="dxa"/>
            <w:bottom w:w="0" w:type="dxa"/>
            <w:right w:w="108" w:type="dxa"/>
          </w:tblCellMar>
        </w:tblPrEx>
        <w:trPr>
          <w:gridAfter w:val="1"/>
          <w:wAfter w:w="222" w:type="dxa"/>
          <w:trHeight w:val="330" w:hRule="atLeast"/>
        </w:trPr>
        <w:tc>
          <w:tcPr>
            <w:tcW w:w="338" w:type="dxa"/>
            <w:vMerge w:val="continue"/>
            <w:tcBorders>
              <w:left w:val="single" w:color="auto" w:sz="4" w:space="0"/>
              <w:bottom w:val="single" w:color="auto" w:sz="4" w:space="0"/>
              <w:right w:val="single" w:color="auto" w:sz="4" w:space="0"/>
            </w:tcBorders>
            <w:noWrap/>
            <w:vAlign w:val="bottom"/>
          </w:tcPr>
          <w:p w14:paraId="61A8C96E">
            <w:pPr>
              <w:widowControl/>
              <w:jc w:val="center"/>
              <w:rPr>
                <w:rFonts w:hint="eastAsia" w:ascii="华文细黑" w:hAnsi="华文细黑" w:eastAsia="华文细黑" w:cs="宋体"/>
                <w:color w:val="000000"/>
                <w:kern w:val="0"/>
                <w:sz w:val="22"/>
                <w:szCs w:val="22"/>
              </w:rPr>
            </w:pPr>
          </w:p>
        </w:tc>
        <w:tc>
          <w:tcPr>
            <w:tcW w:w="1784" w:type="dxa"/>
            <w:tcBorders>
              <w:top w:val="nil"/>
              <w:left w:val="nil"/>
              <w:bottom w:val="single" w:color="auto" w:sz="4" w:space="0"/>
              <w:right w:val="single" w:color="auto" w:sz="4" w:space="0"/>
            </w:tcBorders>
            <w:shd w:val="clear" w:color="000000" w:fill="FFFFFF"/>
            <w:vAlign w:val="center"/>
          </w:tcPr>
          <w:p w14:paraId="5EE8FBBD">
            <w:pPr>
              <w:widowControl/>
              <w:jc w:val="center"/>
              <w:rPr>
                <w:rFonts w:hint="eastAsia" w:ascii="华文细黑" w:hAnsi="华文细黑" w:eastAsia="华文细黑" w:cs="宋体"/>
                <w:color w:val="000000"/>
                <w:kern w:val="0"/>
                <w:sz w:val="22"/>
                <w:szCs w:val="22"/>
                <w:lang w:eastAsia="zh-CN"/>
              </w:rPr>
            </w:pPr>
            <w:r>
              <w:rPr>
                <w:rFonts w:hint="eastAsia" w:ascii="华文细黑" w:hAnsi="华文细黑" w:eastAsia="华文细黑" w:cs="宋体"/>
                <w:color w:val="000000"/>
                <w:kern w:val="0"/>
                <w:sz w:val="22"/>
                <w:szCs w:val="22"/>
                <w:lang w:eastAsia="zh-CN"/>
              </w:rPr>
              <w:t>共同补保险人</w:t>
            </w:r>
          </w:p>
        </w:tc>
        <w:tc>
          <w:tcPr>
            <w:tcW w:w="7212" w:type="dxa"/>
            <w:tcBorders>
              <w:top w:val="nil"/>
              <w:left w:val="nil"/>
              <w:bottom w:val="single" w:color="auto" w:sz="4" w:space="0"/>
              <w:right w:val="single" w:color="auto" w:sz="4" w:space="0"/>
            </w:tcBorders>
            <w:shd w:val="clear" w:color="000000" w:fill="FFFFFF"/>
            <w:vAlign w:val="center"/>
          </w:tcPr>
          <w:p w14:paraId="5A78B4ED">
            <w:pPr>
              <w:widowControl/>
              <w:jc w:val="center"/>
              <w:rPr>
                <w:rFonts w:hint="eastAsia" w:ascii="华文细黑" w:hAnsi="华文细黑" w:eastAsia="华文细黑" w:cs="宋体"/>
                <w:color w:val="000000"/>
                <w:kern w:val="0"/>
                <w:sz w:val="22"/>
                <w:szCs w:val="22"/>
                <w:highlight w:val="yellow"/>
              </w:rPr>
            </w:pPr>
            <w:r>
              <w:rPr>
                <w:rFonts w:hint="eastAsia" w:ascii="华文细黑" w:hAnsi="华文细黑" w:eastAsia="华文细黑" w:cs="宋体"/>
                <w:color w:val="000000"/>
                <w:kern w:val="0"/>
                <w:sz w:val="22"/>
                <w:szCs w:val="22"/>
                <w:highlight w:val="yellow"/>
              </w:rPr>
              <w:t>东莞市旗胜投资发展有限公司</w:t>
            </w:r>
          </w:p>
        </w:tc>
      </w:tr>
      <w:tr w14:paraId="5C329B38">
        <w:tblPrEx>
          <w:tblCellMar>
            <w:top w:w="0" w:type="dxa"/>
            <w:left w:w="108" w:type="dxa"/>
            <w:bottom w:w="0" w:type="dxa"/>
            <w:right w:w="108" w:type="dxa"/>
          </w:tblCellMar>
        </w:tblPrEx>
        <w:trPr>
          <w:gridAfter w:val="1"/>
          <w:wAfter w:w="222" w:type="dxa"/>
          <w:trHeight w:val="330" w:hRule="atLeast"/>
        </w:trPr>
        <w:tc>
          <w:tcPr>
            <w:tcW w:w="338" w:type="dxa"/>
            <w:tcBorders>
              <w:top w:val="nil"/>
              <w:left w:val="single" w:color="auto" w:sz="4" w:space="0"/>
              <w:bottom w:val="single" w:color="auto" w:sz="4" w:space="0"/>
              <w:right w:val="single" w:color="auto" w:sz="4" w:space="0"/>
            </w:tcBorders>
            <w:noWrap/>
            <w:vAlign w:val="bottom"/>
          </w:tcPr>
          <w:p w14:paraId="7DB42AFA">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3</w:t>
            </w:r>
          </w:p>
        </w:tc>
        <w:tc>
          <w:tcPr>
            <w:tcW w:w="1784" w:type="dxa"/>
            <w:tcBorders>
              <w:top w:val="nil"/>
              <w:left w:val="nil"/>
              <w:bottom w:val="single" w:color="auto" w:sz="4" w:space="0"/>
              <w:right w:val="single" w:color="auto" w:sz="4" w:space="0"/>
            </w:tcBorders>
            <w:shd w:val="clear" w:color="000000" w:fill="FFFFFF"/>
            <w:vAlign w:val="center"/>
          </w:tcPr>
          <w:p w14:paraId="4D9B27CC">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保险期限</w:t>
            </w:r>
          </w:p>
        </w:tc>
        <w:tc>
          <w:tcPr>
            <w:tcW w:w="7212" w:type="dxa"/>
            <w:tcBorders>
              <w:top w:val="nil"/>
              <w:left w:val="nil"/>
              <w:bottom w:val="single" w:color="auto" w:sz="4" w:space="0"/>
              <w:right w:val="single" w:color="auto" w:sz="4" w:space="0"/>
            </w:tcBorders>
            <w:shd w:val="clear" w:color="000000" w:fill="FFFFFF"/>
            <w:vAlign w:val="center"/>
          </w:tcPr>
          <w:p w14:paraId="0CA990B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投保日起2年</w:t>
            </w:r>
          </w:p>
        </w:tc>
      </w:tr>
      <w:tr w14:paraId="02226FF9">
        <w:tblPrEx>
          <w:tblCellMar>
            <w:top w:w="0" w:type="dxa"/>
            <w:left w:w="108" w:type="dxa"/>
            <w:bottom w:w="0" w:type="dxa"/>
            <w:right w:w="108" w:type="dxa"/>
          </w:tblCellMar>
        </w:tblPrEx>
        <w:trPr>
          <w:gridAfter w:val="1"/>
          <w:wAfter w:w="222" w:type="dxa"/>
          <w:trHeight w:val="330" w:hRule="atLeast"/>
        </w:trPr>
        <w:tc>
          <w:tcPr>
            <w:tcW w:w="338" w:type="dxa"/>
            <w:tcBorders>
              <w:top w:val="nil"/>
              <w:left w:val="single" w:color="auto" w:sz="4" w:space="0"/>
              <w:bottom w:val="single" w:color="auto" w:sz="4" w:space="0"/>
              <w:right w:val="single" w:color="auto" w:sz="4" w:space="0"/>
            </w:tcBorders>
            <w:noWrap/>
            <w:vAlign w:val="bottom"/>
          </w:tcPr>
          <w:p w14:paraId="671B96FC">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4</w:t>
            </w:r>
          </w:p>
        </w:tc>
        <w:tc>
          <w:tcPr>
            <w:tcW w:w="1784" w:type="dxa"/>
            <w:tcBorders>
              <w:top w:val="nil"/>
              <w:left w:val="nil"/>
              <w:bottom w:val="single" w:color="auto" w:sz="4" w:space="0"/>
              <w:right w:val="single" w:color="auto" w:sz="4" w:space="0"/>
            </w:tcBorders>
            <w:shd w:val="clear" w:color="000000" w:fill="FFFFFF"/>
            <w:vAlign w:val="center"/>
          </w:tcPr>
          <w:p w14:paraId="54A0F7F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承保地址</w:t>
            </w:r>
          </w:p>
        </w:tc>
        <w:tc>
          <w:tcPr>
            <w:tcW w:w="7212" w:type="dxa"/>
            <w:tcBorders>
              <w:top w:val="nil"/>
              <w:left w:val="nil"/>
              <w:bottom w:val="single" w:color="auto" w:sz="4" w:space="0"/>
              <w:right w:val="single" w:color="auto" w:sz="4" w:space="0"/>
            </w:tcBorders>
            <w:shd w:val="clear" w:color="000000" w:fill="FFFFFF"/>
            <w:vAlign w:val="center"/>
          </w:tcPr>
          <w:p w14:paraId="0961A74C">
            <w:pPr>
              <w:widowControl/>
              <w:jc w:val="center"/>
              <w:rPr>
                <w:rFonts w:hint="default" w:ascii="华文细黑" w:hAnsi="华文细黑" w:eastAsia="华文细黑" w:cs="宋体"/>
                <w:color w:val="000000"/>
                <w:kern w:val="0"/>
                <w:sz w:val="22"/>
                <w:szCs w:val="22"/>
                <w:lang w:val="en-US" w:eastAsia="zh-CN"/>
              </w:rPr>
            </w:pPr>
            <w:r>
              <w:rPr>
                <w:rFonts w:hint="eastAsia" w:ascii="华文细黑" w:hAnsi="华文细黑" w:eastAsia="华文细黑" w:cs="宋体"/>
                <w:color w:val="000000"/>
                <w:kern w:val="0"/>
                <w:sz w:val="22"/>
                <w:szCs w:val="22"/>
                <w:highlight w:val="yellow"/>
                <w:lang w:val="en-US" w:eastAsia="zh-CN"/>
              </w:rPr>
              <w:t xml:space="preserve"> 中国广东省东莞市创意东路8号   </w:t>
            </w:r>
          </w:p>
        </w:tc>
      </w:tr>
      <w:tr w14:paraId="46FF6D09">
        <w:tblPrEx>
          <w:tblCellMar>
            <w:top w:w="0" w:type="dxa"/>
            <w:left w:w="108" w:type="dxa"/>
            <w:bottom w:w="0" w:type="dxa"/>
            <w:right w:w="108" w:type="dxa"/>
          </w:tblCellMar>
        </w:tblPrEx>
        <w:trPr>
          <w:gridAfter w:val="1"/>
          <w:wAfter w:w="222" w:type="dxa"/>
          <w:trHeight w:val="330" w:hRule="atLeast"/>
        </w:trPr>
        <w:tc>
          <w:tcPr>
            <w:tcW w:w="9334" w:type="dxa"/>
            <w:gridSpan w:val="3"/>
            <w:tcBorders>
              <w:top w:val="single" w:color="auto" w:sz="4" w:space="0"/>
              <w:left w:val="single" w:color="auto" w:sz="4" w:space="0"/>
              <w:bottom w:val="single" w:color="auto" w:sz="4" w:space="0"/>
              <w:right w:val="single" w:color="auto" w:sz="4" w:space="0"/>
            </w:tcBorders>
            <w:noWrap/>
            <w:vAlign w:val="bottom"/>
          </w:tcPr>
          <w:p w14:paraId="04090464">
            <w:pPr>
              <w:widowControl/>
              <w:jc w:val="center"/>
              <w:rPr>
                <w:rFonts w:hint="eastAsia" w:ascii="华文细黑" w:hAnsi="华文细黑" w:eastAsia="华文细黑" w:cs="宋体"/>
                <w:b/>
                <w:bCs/>
                <w:color w:val="000000"/>
                <w:kern w:val="0"/>
                <w:sz w:val="22"/>
                <w:szCs w:val="22"/>
              </w:rPr>
            </w:pPr>
            <w:r>
              <w:rPr>
                <w:rFonts w:hint="eastAsia" w:ascii="华文细黑" w:hAnsi="华文细黑" w:eastAsia="华文细黑" w:cs="宋体"/>
                <w:b/>
                <w:bCs/>
                <w:color w:val="000000"/>
                <w:kern w:val="0"/>
                <w:sz w:val="22"/>
                <w:szCs w:val="22"/>
              </w:rPr>
              <w:t>二、主险核心保障条款</w:t>
            </w:r>
          </w:p>
        </w:tc>
      </w:tr>
      <w:tr w14:paraId="6854C3D4">
        <w:tblPrEx>
          <w:tblCellMar>
            <w:top w:w="0" w:type="dxa"/>
            <w:left w:w="108" w:type="dxa"/>
            <w:bottom w:w="0" w:type="dxa"/>
            <w:right w:w="108" w:type="dxa"/>
          </w:tblCellMar>
        </w:tblPrEx>
        <w:trPr>
          <w:gridAfter w:val="1"/>
          <w:wAfter w:w="222" w:type="dxa"/>
          <w:trHeight w:val="330" w:hRule="atLeast"/>
        </w:trPr>
        <w:tc>
          <w:tcPr>
            <w:tcW w:w="338" w:type="dxa"/>
            <w:tcBorders>
              <w:top w:val="nil"/>
              <w:left w:val="single" w:color="auto" w:sz="4" w:space="0"/>
              <w:bottom w:val="single" w:color="auto" w:sz="4" w:space="0"/>
              <w:right w:val="single" w:color="auto" w:sz="4" w:space="0"/>
            </w:tcBorders>
            <w:noWrap/>
            <w:vAlign w:val="bottom"/>
          </w:tcPr>
          <w:p w14:paraId="6E0D2FF2">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1784" w:type="dxa"/>
            <w:tcBorders>
              <w:top w:val="nil"/>
              <w:left w:val="nil"/>
              <w:bottom w:val="single" w:color="auto" w:sz="4" w:space="0"/>
              <w:right w:val="single" w:color="auto" w:sz="4" w:space="0"/>
            </w:tcBorders>
            <w:shd w:val="clear" w:color="000000" w:fill="FFFFFF"/>
            <w:vAlign w:val="center"/>
          </w:tcPr>
          <w:p w14:paraId="3BB13FD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主险名称</w:t>
            </w:r>
          </w:p>
        </w:tc>
        <w:tc>
          <w:tcPr>
            <w:tcW w:w="7212" w:type="dxa"/>
            <w:tcBorders>
              <w:top w:val="nil"/>
              <w:left w:val="nil"/>
              <w:bottom w:val="single" w:color="auto" w:sz="4" w:space="0"/>
              <w:right w:val="single" w:color="auto" w:sz="4" w:space="0"/>
            </w:tcBorders>
            <w:shd w:val="clear" w:color="000000" w:fill="FFFFFF"/>
            <w:vAlign w:val="center"/>
          </w:tcPr>
          <w:p w14:paraId="6C650FD3">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企业财产一切险</w:t>
            </w:r>
          </w:p>
        </w:tc>
      </w:tr>
      <w:tr w14:paraId="601243B9">
        <w:tblPrEx>
          <w:tblCellMar>
            <w:top w:w="0" w:type="dxa"/>
            <w:left w:w="108" w:type="dxa"/>
            <w:bottom w:w="0" w:type="dxa"/>
            <w:right w:w="108" w:type="dxa"/>
          </w:tblCellMar>
        </w:tblPrEx>
        <w:trPr>
          <w:gridAfter w:val="1"/>
          <w:wAfter w:w="222" w:type="dxa"/>
          <w:trHeight w:val="2645" w:hRule="atLeast"/>
        </w:trPr>
        <w:tc>
          <w:tcPr>
            <w:tcW w:w="338" w:type="dxa"/>
            <w:tcBorders>
              <w:top w:val="nil"/>
              <w:left w:val="single" w:color="auto" w:sz="4" w:space="0"/>
              <w:bottom w:val="single" w:color="auto" w:sz="4" w:space="0"/>
              <w:right w:val="single" w:color="auto" w:sz="4" w:space="0"/>
            </w:tcBorders>
            <w:noWrap/>
            <w:vAlign w:val="center"/>
          </w:tcPr>
          <w:p w14:paraId="2AE929DD">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2</w:t>
            </w:r>
          </w:p>
        </w:tc>
        <w:tc>
          <w:tcPr>
            <w:tcW w:w="1784" w:type="dxa"/>
            <w:tcBorders>
              <w:top w:val="nil"/>
              <w:left w:val="nil"/>
              <w:bottom w:val="single" w:color="auto" w:sz="4" w:space="0"/>
              <w:right w:val="single" w:color="auto" w:sz="4" w:space="0"/>
            </w:tcBorders>
            <w:shd w:val="clear" w:color="000000" w:fill="FFFFFF"/>
            <w:vAlign w:val="center"/>
          </w:tcPr>
          <w:p w14:paraId="53DA8B50">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保险责任</w:t>
            </w:r>
          </w:p>
        </w:tc>
        <w:tc>
          <w:tcPr>
            <w:tcW w:w="7212" w:type="dxa"/>
            <w:tcBorders>
              <w:top w:val="nil"/>
              <w:left w:val="nil"/>
              <w:bottom w:val="single" w:color="auto" w:sz="4" w:space="0"/>
              <w:right w:val="single" w:color="auto" w:sz="4" w:space="0"/>
            </w:tcBorders>
            <w:shd w:val="clear" w:color="000000" w:fill="FFFFFF"/>
            <w:vAlign w:val="center"/>
          </w:tcPr>
          <w:p w14:paraId="20DC773D">
            <w:pPr>
              <w:widowControl/>
              <w:jc w:val="left"/>
              <w:rPr>
                <w:rFonts w:hint="eastAsia" w:ascii="华文细黑" w:hAnsi="华文细黑" w:eastAsia="华文细黑" w:cs="宋体"/>
                <w:b/>
                <w:bCs/>
                <w:color w:val="000000"/>
                <w:kern w:val="0"/>
                <w:sz w:val="22"/>
                <w:szCs w:val="22"/>
              </w:rPr>
            </w:pPr>
            <w:r>
              <w:rPr>
                <w:rFonts w:hint="eastAsia" w:ascii="华文细黑" w:hAnsi="华文细黑" w:eastAsia="华文细黑" w:cs="宋体"/>
                <w:b/>
                <w:bCs/>
                <w:color w:val="000000"/>
                <w:kern w:val="0"/>
                <w:sz w:val="22"/>
                <w:szCs w:val="22"/>
              </w:rPr>
              <w:t>直接损失赔偿：</w:t>
            </w:r>
            <w:r>
              <w:rPr>
                <w:rFonts w:hint="eastAsia" w:ascii="华文细黑" w:hAnsi="华文细黑" w:eastAsia="华文细黑" w:cs="宋体"/>
                <w:color w:val="000000"/>
                <w:kern w:val="0"/>
                <w:sz w:val="22"/>
                <w:szCs w:val="22"/>
              </w:rPr>
              <w:t>保险期间内， 在保险期间内，由于自然灾害或意外事故造成保险标的直接物质损坏或灭失（以下简称“损失”），保险人按照本保险合同的约定负责赔偿。</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b/>
                <w:bCs/>
                <w:color w:val="000000"/>
                <w:kern w:val="0"/>
                <w:sz w:val="22"/>
                <w:szCs w:val="22"/>
              </w:rPr>
              <w:t>施救损失赔偿：</w:t>
            </w:r>
            <w:r>
              <w:rPr>
                <w:rFonts w:hint="eastAsia" w:ascii="华文细黑" w:hAnsi="华文细黑" w:eastAsia="华文细黑" w:cs="宋体"/>
                <w:color w:val="000000"/>
                <w:kern w:val="0"/>
                <w:sz w:val="22"/>
                <w:szCs w:val="22"/>
              </w:rPr>
              <w:t>前款原因造成的保险事故发生时，为抢救保险标的或防止灾害蔓延，采取必要的、合理的措施而造成保险标的的损失，保险人按照本保险合同的约定也负责赔偿。</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b/>
                <w:bCs/>
                <w:color w:val="000000"/>
                <w:kern w:val="0"/>
                <w:sz w:val="22"/>
                <w:szCs w:val="22"/>
              </w:rPr>
              <w:t>施救费用赔偿：</w:t>
            </w:r>
            <w:r>
              <w:rPr>
                <w:rFonts w:hint="eastAsia" w:ascii="华文细黑" w:hAnsi="华文细黑" w:eastAsia="华文细黑" w:cs="宋体"/>
                <w:color w:val="000000"/>
                <w:kern w:val="0"/>
                <w:sz w:val="22"/>
                <w:szCs w:val="22"/>
              </w:rPr>
              <w:t>保险事故后，被保险人为防止或减少标的损失支付的必要合理费用，保险人负责赔偿。</w:t>
            </w:r>
          </w:p>
        </w:tc>
      </w:tr>
      <w:tr w14:paraId="79C27E1F">
        <w:tblPrEx>
          <w:tblCellMar>
            <w:top w:w="0" w:type="dxa"/>
            <w:left w:w="108" w:type="dxa"/>
            <w:bottom w:w="0" w:type="dxa"/>
            <w:right w:w="108" w:type="dxa"/>
          </w:tblCellMar>
        </w:tblPrEx>
        <w:trPr>
          <w:gridAfter w:val="1"/>
          <w:wAfter w:w="222" w:type="dxa"/>
          <w:trHeight w:val="330" w:hRule="atLeast"/>
        </w:trPr>
        <w:tc>
          <w:tcPr>
            <w:tcW w:w="338" w:type="dxa"/>
            <w:tcBorders>
              <w:top w:val="nil"/>
              <w:left w:val="single" w:color="auto" w:sz="4" w:space="0"/>
              <w:bottom w:val="single" w:color="auto" w:sz="4" w:space="0"/>
              <w:right w:val="single" w:color="auto" w:sz="4" w:space="0"/>
            </w:tcBorders>
            <w:noWrap/>
            <w:vAlign w:val="bottom"/>
          </w:tcPr>
          <w:p w14:paraId="4E031D48">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3</w:t>
            </w:r>
          </w:p>
        </w:tc>
        <w:tc>
          <w:tcPr>
            <w:tcW w:w="1784" w:type="dxa"/>
            <w:tcBorders>
              <w:top w:val="nil"/>
              <w:left w:val="nil"/>
              <w:bottom w:val="single" w:color="auto" w:sz="4" w:space="0"/>
              <w:right w:val="single" w:color="auto" w:sz="4" w:space="0"/>
            </w:tcBorders>
            <w:shd w:val="clear" w:color="000000" w:fill="FFFFFF"/>
            <w:vAlign w:val="center"/>
          </w:tcPr>
          <w:p w14:paraId="105E82CC">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总保额</w:t>
            </w:r>
          </w:p>
        </w:tc>
        <w:tc>
          <w:tcPr>
            <w:tcW w:w="7212" w:type="dxa"/>
            <w:tcBorders>
              <w:top w:val="nil"/>
              <w:left w:val="nil"/>
              <w:bottom w:val="single" w:color="auto" w:sz="4" w:space="0"/>
              <w:right w:val="single" w:color="auto" w:sz="4" w:space="0"/>
            </w:tcBorders>
            <w:shd w:val="clear" w:color="000000" w:fill="FFFFFF"/>
            <w:vAlign w:val="center"/>
          </w:tcPr>
          <w:p w14:paraId="25A0B827">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lang w:val="en-US" w:eastAsia="zh-CN"/>
              </w:rPr>
              <w:t xml:space="preserve">     </w:t>
            </w:r>
            <w:r>
              <w:rPr>
                <w:rFonts w:hint="eastAsia" w:ascii="华文细黑" w:hAnsi="华文细黑" w:eastAsia="华文细黑" w:cs="宋体"/>
                <w:color w:val="000000"/>
                <w:kern w:val="0"/>
                <w:sz w:val="22"/>
                <w:szCs w:val="22"/>
              </w:rPr>
              <w:t>元</w:t>
            </w:r>
          </w:p>
        </w:tc>
      </w:tr>
      <w:tr w14:paraId="20841907">
        <w:tblPrEx>
          <w:tblCellMar>
            <w:top w:w="0" w:type="dxa"/>
            <w:left w:w="108" w:type="dxa"/>
            <w:bottom w:w="0" w:type="dxa"/>
            <w:right w:w="108" w:type="dxa"/>
          </w:tblCellMar>
        </w:tblPrEx>
        <w:trPr>
          <w:gridAfter w:val="1"/>
          <w:wAfter w:w="222" w:type="dxa"/>
          <w:trHeight w:val="661" w:hRule="atLeast"/>
        </w:trPr>
        <w:tc>
          <w:tcPr>
            <w:tcW w:w="338" w:type="dxa"/>
            <w:vMerge w:val="restart"/>
            <w:tcBorders>
              <w:top w:val="nil"/>
              <w:left w:val="single" w:color="auto" w:sz="4" w:space="0"/>
              <w:bottom w:val="single" w:color="auto" w:sz="4" w:space="0"/>
              <w:right w:val="single" w:color="auto" w:sz="4" w:space="0"/>
            </w:tcBorders>
            <w:noWrap/>
            <w:vAlign w:val="center"/>
          </w:tcPr>
          <w:p w14:paraId="78EA6EAD">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4</w:t>
            </w:r>
          </w:p>
        </w:tc>
        <w:tc>
          <w:tcPr>
            <w:tcW w:w="1784" w:type="dxa"/>
            <w:vMerge w:val="restart"/>
            <w:tcBorders>
              <w:top w:val="nil"/>
              <w:left w:val="single" w:color="auto" w:sz="4" w:space="0"/>
              <w:bottom w:val="single" w:color="auto" w:sz="4" w:space="0"/>
              <w:right w:val="single" w:color="auto" w:sz="4" w:space="0"/>
            </w:tcBorders>
            <w:shd w:val="clear" w:color="000000" w:fill="FFFFFF"/>
            <w:vAlign w:val="center"/>
          </w:tcPr>
          <w:p w14:paraId="03194382">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分项保额</w:t>
            </w:r>
          </w:p>
        </w:tc>
        <w:tc>
          <w:tcPr>
            <w:tcW w:w="7212" w:type="dxa"/>
            <w:tcBorders>
              <w:top w:val="nil"/>
              <w:left w:val="nil"/>
              <w:bottom w:val="single" w:color="auto" w:sz="4" w:space="0"/>
              <w:right w:val="single" w:color="auto" w:sz="4" w:space="0"/>
            </w:tcBorders>
            <w:shd w:val="clear" w:color="000000" w:fill="FFFFFF"/>
            <w:vAlign w:val="center"/>
          </w:tcPr>
          <w:p w14:paraId="16A01EAA">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房屋建筑（</w:t>
            </w:r>
            <w:r>
              <w:rPr>
                <w:rFonts w:hint="eastAsia" w:ascii="华文细黑" w:hAnsi="华文细黑" w:eastAsia="华文细黑" w:cs="宋体"/>
                <w:color w:val="000000"/>
                <w:kern w:val="0"/>
                <w:sz w:val="22"/>
                <w:szCs w:val="22"/>
                <w:highlight w:val="yellow"/>
                <w:lang w:val="en-US" w:eastAsia="zh-CN"/>
              </w:rPr>
              <w:t xml:space="preserve">  10 </w:t>
            </w:r>
            <w:r>
              <w:rPr>
                <w:rFonts w:hint="eastAsia" w:ascii="华文细黑" w:hAnsi="华文细黑" w:eastAsia="华文细黑" w:cs="宋体"/>
                <w:color w:val="000000"/>
                <w:kern w:val="0"/>
                <w:sz w:val="22"/>
                <w:szCs w:val="22"/>
              </w:rPr>
              <w:t>栋工业厂房 +</w:t>
            </w:r>
            <w:r>
              <w:rPr>
                <w:rFonts w:hint="eastAsia" w:ascii="华文细黑" w:hAnsi="华文细黑" w:eastAsia="华文细黑" w:cs="宋体"/>
                <w:color w:val="000000"/>
                <w:kern w:val="0"/>
                <w:sz w:val="22"/>
                <w:szCs w:val="22"/>
                <w:highlight w:val="yellow"/>
                <w:lang w:val="en-US" w:eastAsia="zh-CN"/>
              </w:rPr>
              <w:t xml:space="preserve">  1</w:t>
            </w:r>
            <w:r>
              <w:rPr>
                <w:rFonts w:hint="eastAsia" w:ascii="华文细黑" w:hAnsi="华文细黑" w:eastAsia="华文细黑" w:cs="宋体"/>
                <w:color w:val="000000"/>
                <w:kern w:val="0"/>
                <w:sz w:val="22"/>
                <w:szCs w:val="22"/>
              </w:rPr>
              <w:t>栋宿舍楼，含基本装修及附属工程）：</w:t>
            </w:r>
            <w:r>
              <w:rPr>
                <w:rFonts w:hint="eastAsia" w:ascii="华文细黑" w:hAnsi="华文细黑" w:eastAsia="华文细黑" w:cs="宋体"/>
                <w:color w:val="000000"/>
                <w:kern w:val="0"/>
                <w:sz w:val="22"/>
                <w:szCs w:val="22"/>
                <w:highlight w:val="yellow"/>
                <w:lang w:val="en-US" w:eastAsia="zh-CN"/>
              </w:rPr>
              <w:t xml:space="preserve">         428000000</w:t>
            </w:r>
            <w:r>
              <w:rPr>
                <w:rFonts w:hint="eastAsia" w:ascii="华文细黑" w:hAnsi="华文细黑" w:eastAsia="华文细黑" w:cs="宋体"/>
                <w:color w:val="000000"/>
                <w:kern w:val="0"/>
                <w:sz w:val="22"/>
                <w:szCs w:val="22"/>
              </w:rPr>
              <w:t>元</w:t>
            </w:r>
          </w:p>
        </w:tc>
      </w:tr>
      <w:tr w14:paraId="54A62EBE">
        <w:tblPrEx>
          <w:tblCellMar>
            <w:top w:w="0" w:type="dxa"/>
            <w:left w:w="108" w:type="dxa"/>
            <w:bottom w:w="0" w:type="dxa"/>
            <w:right w:w="108" w:type="dxa"/>
          </w:tblCellMar>
        </w:tblPrEx>
        <w:trPr>
          <w:gridAfter w:val="1"/>
          <w:wAfter w:w="222" w:type="dxa"/>
          <w:trHeight w:val="661" w:hRule="atLeast"/>
        </w:trPr>
        <w:tc>
          <w:tcPr>
            <w:tcW w:w="338" w:type="dxa"/>
            <w:vMerge w:val="continue"/>
            <w:tcBorders>
              <w:top w:val="nil"/>
              <w:left w:val="single" w:color="auto" w:sz="4" w:space="0"/>
              <w:bottom w:val="single" w:color="auto" w:sz="4" w:space="0"/>
              <w:right w:val="single" w:color="auto" w:sz="4" w:space="0"/>
            </w:tcBorders>
            <w:vAlign w:val="center"/>
          </w:tcPr>
          <w:p w14:paraId="5FEB52FC">
            <w:pPr>
              <w:widowControl/>
              <w:jc w:val="left"/>
              <w:rPr>
                <w:rFonts w:hint="eastAsia" w:ascii="华文细黑" w:hAnsi="华文细黑" w:eastAsia="华文细黑" w:cs="宋体"/>
                <w:color w:val="000000"/>
                <w:kern w:val="0"/>
                <w:sz w:val="22"/>
                <w:szCs w:val="22"/>
              </w:rPr>
            </w:pPr>
          </w:p>
        </w:tc>
        <w:tc>
          <w:tcPr>
            <w:tcW w:w="1784" w:type="dxa"/>
            <w:vMerge w:val="continue"/>
            <w:tcBorders>
              <w:top w:val="nil"/>
              <w:left w:val="single" w:color="auto" w:sz="4" w:space="0"/>
              <w:bottom w:val="single" w:color="auto" w:sz="4" w:space="0"/>
              <w:right w:val="single" w:color="auto" w:sz="4" w:space="0"/>
            </w:tcBorders>
            <w:vAlign w:val="center"/>
          </w:tcPr>
          <w:p w14:paraId="389DA839">
            <w:pPr>
              <w:widowControl/>
              <w:jc w:val="left"/>
              <w:rPr>
                <w:rFonts w:hint="eastAsia" w:ascii="华文细黑" w:hAnsi="华文细黑" w:eastAsia="华文细黑" w:cs="宋体"/>
                <w:color w:val="000000"/>
                <w:kern w:val="0"/>
                <w:sz w:val="22"/>
                <w:szCs w:val="22"/>
              </w:rPr>
            </w:pPr>
          </w:p>
        </w:tc>
        <w:tc>
          <w:tcPr>
            <w:tcW w:w="7212" w:type="dxa"/>
            <w:tcBorders>
              <w:top w:val="nil"/>
              <w:left w:val="nil"/>
              <w:bottom w:val="single" w:color="auto" w:sz="4" w:space="0"/>
              <w:right w:val="single" w:color="auto" w:sz="4" w:space="0"/>
            </w:tcBorders>
            <w:shd w:val="clear" w:color="000000" w:fill="FFFFFF"/>
            <w:vAlign w:val="center"/>
          </w:tcPr>
          <w:p w14:paraId="0E72CBC6">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机器设备（含园区水电、消防、电梯、智能化等设施）：</w:t>
            </w:r>
            <w:r>
              <w:rPr>
                <w:rFonts w:hint="eastAsia" w:ascii="华文细黑" w:hAnsi="华文细黑" w:eastAsia="华文细黑" w:cs="宋体"/>
                <w:color w:val="000000"/>
                <w:kern w:val="0"/>
                <w:sz w:val="22"/>
                <w:szCs w:val="22"/>
                <w:highlight w:val="yellow"/>
                <w:lang w:val="en-US" w:eastAsia="zh-CN"/>
              </w:rPr>
              <w:t xml:space="preserve">100000000 </w:t>
            </w:r>
            <w:r>
              <w:rPr>
                <w:rFonts w:hint="eastAsia" w:ascii="华文细黑" w:hAnsi="华文细黑" w:eastAsia="华文细黑" w:cs="宋体"/>
                <w:color w:val="000000"/>
                <w:kern w:val="0"/>
                <w:sz w:val="22"/>
                <w:szCs w:val="22"/>
              </w:rPr>
              <w:t xml:space="preserve"> 元</w:t>
            </w:r>
          </w:p>
        </w:tc>
      </w:tr>
      <w:tr w14:paraId="2404F5C3">
        <w:tblPrEx>
          <w:tblCellMar>
            <w:top w:w="0" w:type="dxa"/>
            <w:left w:w="108" w:type="dxa"/>
            <w:bottom w:w="0" w:type="dxa"/>
            <w:right w:w="108" w:type="dxa"/>
          </w:tblCellMar>
        </w:tblPrEx>
        <w:trPr>
          <w:gridAfter w:val="1"/>
          <w:wAfter w:w="222" w:type="dxa"/>
          <w:trHeight w:val="330" w:hRule="atLeast"/>
        </w:trPr>
        <w:tc>
          <w:tcPr>
            <w:tcW w:w="9334" w:type="dxa"/>
            <w:gridSpan w:val="3"/>
            <w:tcBorders>
              <w:top w:val="single" w:color="auto" w:sz="4" w:space="0"/>
              <w:left w:val="single" w:color="auto" w:sz="4" w:space="0"/>
              <w:bottom w:val="single" w:color="auto" w:sz="4" w:space="0"/>
              <w:right w:val="single" w:color="auto" w:sz="4" w:space="0"/>
            </w:tcBorders>
            <w:noWrap/>
            <w:vAlign w:val="bottom"/>
          </w:tcPr>
          <w:p w14:paraId="5BACDB42">
            <w:pPr>
              <w:widowControl/>
              <w:jc w:val="center"/>
              <w:rPr>
                <w:rFonts w:hint="eastAsia" w:ascii="华文细黑" w:hAnsi="华文细黑" w:eastAsia="华文细黑" w:cs="宋体"/>
                <w:b/>
                <w:bCs/>
                <w:color w:val="000000"/>
                <w:kern w:val="0"/>
                <w:sz w:val="22"/>
                <w:szCs w:val="22"/>
              </w:rPr>
            </w:pPr>
            <w:r>
              <w:rPr>
                <w:rFonts w:hint="eastAsia" w:ascii="华文细黑" w:hAnsi="华文细黑" w:eastAsia="华文细黑" w:cs="宋体"/>
                <w:b/>
                <w:bCs/>
                <w:color w:val="000000"/>
                <w:kern w:val="0"/>
                <w:sz w:val="22"/>
                <w:szCs w:val="22"/>
              </w:rPr>
              <w:t>三、附加险保障条款（包括不限于以下条款）</w:t>
            </w:r>
          </w:p>
        </w:tc>
      </w:tr>
      <w:tr w14:paraId="7BC8A262">
        <w:tblPrEx>
          <w:tblCellMar>
            <w:top w:w="0" w:type="dxa"/>
            <w:left w:w="108" w:type="dxa"/>
            <w:bottom w:w="0" w:type="dxa"/>
            <w:right w:w="108" w:type="dxa"/>
          </w:tblCellMar>
        </w:tblPrEx>
        <w:trPr>
          <w:gridAfter w:val="1"/>
          <w:wAfter w:w="222" w:type="dxa"/>
          <w:trHeight w:val="332" w:hRule="atLeast"/>
        </w:trPr>
        <w:tc>
          <w:tcPr>
            <w:tcW w:w="338" w:type="dxa"/>
            <w:vMerge w:val="restart"/>
            <w:tcBorders>
              <w:top w:val="nil"/>
              <w:left w:val="single" w:color="auto" w:sz="4" w:space="0"/>
              <w:bottom w:val="single" w:color="auto" w:sz="4" w:space="0"/>
              <w:right w:val="single" w:color="auto" w:sz="4" w:space="0"/>
            </w:tcBorders>
            <w:noWrap/>
            <w:vAlign w:val="center"/>
          </w:tcPr>
          <w:p w14:paraId="4B3EAAED">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1784" w:type="dxa"/>
            <w:vMerge w:val="restart"/>
            <w:tcBorders>
              <w:top w:val="nil"/>
              <w:left w:val="single" w:color="auto" w:sz="4" w:space="0"/>
              <w:bottom w:val="single" w:color="auto" w:sz="4" w:space="0"/>
              <w:right w:val="single" w:color="auto" w:sz="4" w:space="0"/>
            </w:tcBorders>
            <w:shd w:val="clear" w:color="000000" w:fill="FFFFFF"/>
            <w:vAlign w:val="center"/>
          </w:tcPr>
          <w:p w14:paraId="1F9EE38E">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附加险限额</w:t>
            </w:r>
          </w:p>
        </w:tc>
        <w:tc>
          <w:tcPr>
            <w:tcW w:w="7212" w:type="dxa"/>
            <w:vMerge w:val="restart"/>
            <w:tcBorders>
              <w:top w:val="nil"/>
              <w:left w:val="single" w:color="auto" w:sz="4" w:space="0"/>
              <w:bottom w:val="single" w:color="auto" w:sz="4" w:space="0"/>
              <w:right w:val="single" w:color="auto" w:sz="4" w:space="0"/>
            </w:tcBorders>
            <w:vAlign w:val="center"/>
          </w:tcPr>
          <w:p w14:paraId="1D3CEB85">
            <w:pPr>
              <w:widowControl/>
              <w:jc w:val="left"/>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 地面突然下陷下沉扩展条款 与主险保额一致（</w:t>
            </w:r>
            <w:r>
              <w:rPr>
                <w:rFonts w:hint="eastAsia" w:ascii="华文细黑" w:hAnsi="华文细黑" w:eastAsia="华文细黑" w:cs="宋体"/>
                <w:color w:val="000000"/>
                <w:kern w:val="0"/>
                <w:sz w:val="22"/>
                <w:szCs w:val="22"/>
                <w:highlight w:val="yellow"/>
                <w:lang w:val="en-US" w:eastAsia="zh-CN"/>
              </w:rPr>
              <w:t xml:space="preserve">   528000000   </w:t>
            </w:r>
            <w:r>
              <w:rPr>
                <w:rFonts w:hint="eastAsia" w:ascii="华文细黑" w:hAnsi="华文细黑" w:eastAsia="华文细黑" w:cs="宋体"/>
                <w:color w:val="000000"/>
                <w:kern w:val="0"/>
                <w:sz w:val="22"/>
                <w:szCs w:val="22"/>
              </w:rPr>
              <w:t xml:space="preserve"> 元），无单独分项限额</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 xml:space="preserve">2. 清理残骸费用扩展条款 每次事故赔偿限额为损失金额的 </w:t>
            </w:r>
            <w:r>
              <w:rPr>
                <w:rFonts w:hint="eastAsia" w:ascii="华文细黑" w:hAnsi="华文细黑" w:eastAsia="华文细黑" w:cs="宋体"/>
                <w:color w:val="000000"/>
                <w:kern w:val="0"/>
                <w:sz w:val="22"/>
                <w:szCs w:val="22"/>
                <w:highlight w:val="yellow"/>
              </w:rPr>
              <w:t>10</w:t>
            </w:r>
            <w:r>
              <w:rPr>
                <w:rFonts w:hint="eastAsia" w:ascii="华文细黑" w:hAnsi="华文细黑" w:eastAsia="华文细黑" w:cs="宋体"/>
                <w:color w:val="000000"/>
                <w:kern w:val="0"/>
                <w:sz w:val="22"/>
                <w:szCs w:val="22"/>
              </w:rPr>
              <w:t>%</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 xml:space="preserve">3. 消防队灭火费用扩展条款 每次事故赔偿限额为损失金额的 </w:t>
            </w:r>
            <w:r>
              <w:rPr>
                <w:rFonts w:hint="eastAsia" w:ascii="华文细黑" w:hAnsi="华文细黑" w:eastAsia="华文细黑" w:cs="宋体"/>
                <w:color w:val="000000"/>
                <w:kern w:val="0"/>
                <w:sz w:val="22"/>
                <w:szCs w:val="22"/>
                <w:highlight w:val="yellow"/>
              </w:rPr>
              <w:t>10</w:t>
            </w:r>
            <w:r>
              <w:rPr>
                <w:rFonts w:hint="eastAsia" w:ascii="华文细黑" w:hAnsi="华文细黑" w:eastAsia="华文细黑" w:cs="宋体"/>
                <w:color w:val="000000"/>
                <w:kern w:val="0"/>
                <w:sz w:val="22"/>
                <w:szCs w:val="22"/>
              </w:rPr>
              <w:t>%</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4. 锅炉、压力容器扩展条款 每次事故赔偿限额为</w:t>
            </w:r>
            <w:r>
              <w:rPr>
                <w:rFonts w:hint="eastAsia" w:ascii="华文细黑" w:hAnsi="华文细黑" w:eastAsia="华文细黑" w:cs="宋体"/>
                <w:color w:val="000000"/>
                <w:kern w:val="0"/>
                <w:sz w:val="22"/>
                <w:szCs w:val="22"/>
                <w:highlight w:val="yellow"/>
                <w:lang w:val="en-US" w:eastAsia="zh-CN"/>
              </w:rPr>
              <w:t xml:space="preserve"> </w:t>
            </w:r>
            <w:r>
              <w:rPr>
                <w:rFonts w:hint="eastAsia" w:ascii="华文细黑" w:hAnsi="华文细黑" w:eastAsia="华文细黑" w:cs="宋体"/>
                <w:color w:val="FF0000"/>
                <w:kern w:val="0"/>
                <w:sz w:val="22"/>
                <w:szCs w:val="22"/>
                <w:highlight w:val="yellow"/>
                <w:lang w:val="en-US" w:eastAsia="zh-CN"/>
              </w:rPr>
              <w:t xml:space="preserve"> </w:t>
            </w:r>
            <w:r>
              <w:rPr>
                <w:rFonts w:hint="eastAsia" w:ascii="华文细黑" w:hAnsi="华文细黑" w:eastAsia="华文细黑" w:cs="宋体"/>
                <w:color w:val="000000"/>
                <w:kern w:val="0"/>
                <w:sz w:val="22"/>
                <w:szCs w:val="22"/>
                <w:highlight w:val="yellow"/>
                <w:lang w:val="en-US" w:eastAsia="zh-CN"/>
              </w:rPr>
              <w:t xml:space="preserve"> 528000000  </w:t>
            </w:r>
            <w:r>
              <w:rPr>
                <w:rFonts w:hint="eastAsia" w:ascii="华文细黑" w:hAnsi="华文细黑" w:eastAsia="华文细黑" w:cs="宋体"/>
                <w:color w:val="000000"/>
                <w:kern w:val="0"/>
                <w:sz w:val="22"/>
                <w:szCs w:val="22"/>
              </w:rPr>
              <w:t>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5. 水箱、水管爆裂扩展条款 每次事故赔偿限额为</w:t>
            </w:r>
            <w:r>
              <w:rPr>
                <w:rFonts w:hint="eastAsia" w:ascii="华文细黑" w:hAnsi="华文细黑" w:eastAsia="华文细黑" w:cs="宋体"/>
                <w:color w:val="FF0000"/>
                <w:kern w:val="0"/>
                <w:sz w:val="22"/>
                <w:szCs w:val="22"/>
                <w:highlight w:val="yellow"/>
                <w:lang w:val="en-US" w:eastAsia="zh-CN"/>
              </w:rPr>
              <w:t xml:space="preserve">   </w:t>
            </w:r>
            <w:r>
              <w:rPr>
                <w:rFonts w:hint="eastAsia" w:ascii="华文细黑" w:hAnsi="华文细黑" w:eastAsia="华文细黑" w:cs="宋体"/>
                <w:color w:val="000000"/>
                <w:kern w:val="0"/>
                <w:sz w:val="22"/>
                <w:szCs w:val="22"/>
                <w:highlight w:val="yellow"/>
                <w:lang w:val="en-US" w:eastAsia="zh-CN"/>
              </w:rPr>
              <w:t>528000000</w:t>
            </w:r>
            <w:r>
              <w:rPr>
                <w:rFonts w:hint="eastAsia" w:ascii="华文细黑" w:hAnsi="华文细黑" w:eastAsia="华文细黑" w:cs="宋体"/>
                <w:color w:val="FF0000"/>
                <w:kern w:val="0"/>
                <w:sz w:val="22"/>
                <w:szCs w:val="22"/>
                <w:highlight w:val="yellow"/>
                <w:lang w:val="en-US" w:eastAsia="zh-CN"/>
              </w:rPr>
              <w:t xml:space="preserve"> </w:t>
            </w:r>
            <w:r>
              <w:rPr>
                <w:rFonts w:hint="eastAsia" w:ascii="华文细黑" w:hAnsi="华文细黑" w:eastAsia="华文细黑" w:cs="宋体"/>
                <w:color w:val="000000"/>
                <w:kern w:val="0"/>
                <w:sz w:val="22"/>
                <w:szCs w:val="22"/>
              </w:rPr>
              <w:t>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 xml:space="preserve">6. 专业费用扩展条款 每次事故赔偿限额为损失金额的 </w:t>
            </w:r>
            <w:r>
              <w:rPr>
                <w:rFonts w:hint="eastAsia" w:ascii="华文细黑" w:hAnsi="华文细黑" w:eastAsia="华文细黑" w:cs="宋体"/>
                <w:color w:val="000000"/>
                <w:kern w:val="0"/>
                <w:sz w:val="22"/>
                <w:szCs w:val="22"/>
                <w:highlight w:val="yellow"/>
              </w:rPr>
              <w:t>10%</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7. 盗窃、抢劫扩展条款 与主险保额一致（</w:t>
            </w:r>
            <w:r>
              <w:rPr>
                <w:rFonts w:hint="eastAsia" w:ascii="华文细黑" w:hAnsi="华文细黑" w:eastAsia="华文细黑" w:cs="宋体"/>
                <w:color w:val="000000"/>
                <w:kern w:val="0"/>
                <w:sz w:val="22"/>
                <w:szCs w:val="22"/>
                <w:highlight w:val="yellow"/>
                <w:lang w:val="en-US" w:eastAsia="zh-CN"/>
              </w:rPr>
              <w:t xml:space="preserve">    528000000 </w:t>
            </w:r>
            <w:r>
              <w:rPr>
                <w:rFonts w:hint="eastAsia" w:ascii="华文细黑" w:hAnsi="华文细黑" w:eastAsia="华文细黑" w:cs="宋体"/>
                <w:color w:val="000000"/>
                <w:kern w:val="0"/>
                <w:sz w:val="22"/>
                <w:szCs w:val="22"/>
              </w:rPr>
              <w:t xml:space="preserve"> 元），无单独分项限额</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8. 自动喷淋系统水损扩展条款 每次事故赔偿限额为</w:t>
            </w:r>
            <w:r>
              <w:rPr>
                <w:rFonts w:hint="eastAsia" w:ascii="华文细黑" w:hAnsi="华文细黑" w:eastAsia="华文细黑" w:cs="宋体"/>
                <w:color w:val="000000"/>
                <w:kern w:val="0"/>
                <w:sz w:val="22"/>
                <w:szCs w:val="22"/>
                <w:highlight w:val="yellow"/>
                <w:lang w:val="en-US" w:eastAsia="zh-CN"/>
              </w:rPr>
              <w:t xml:space="preserve">   528000000    </w:t>
            </w:r>
            <w:r>
              <w:rPr>
                <w:rFonts w:hint="eastAsia" w:ascii="华文细黑" w:hAnsi="华文细黑" w:eastAsia="华文细黑" w:cs="宋体"/>
                <w:color w:val="000000"/>
                <w:kern w:val="0"/>
                <w:sz w:val="22"/>
                <w:szCs w:val="22"/>
              </w:rPr>
              <w:t xml:space="preserve"> 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9. 玻璃破碎条款 每次事故赔偿限额为</w:t>
            </w:r>
            <w:r>
              <w:rPr>
                <w:rFonts w:hint="eastAsia" w:ascii="华文细黑" w:hAnsi="华文细黑" w:eastAsia="华文细黑" w:cs="宋体"/>
                <w:color w:val="000000"/>
                <w:kern w:val="0"/>
                <w:sz w:val="22"/>
                <w:szCs w:val="22"/>
                <w:highlight w:val="yellow"/>
                <w:lang w:val="en-US" w:eastAsia="zh-CN"/>
              </w:rPr>
              <w:t xml:space="preserve"> 5000000</w:t>
            </w:r>
            <w:r>
              <w:rPr>
                <w:rFonts w:hint="eastAsia" w:ascii="华文细黑" w:hAnsi="华文细黑" w:eastAsia="华文细黑" w:cs="宋体"/>
                <w:color w:val="000000"/>
                <w:kern w:val="0"/>
                <w:sz w:val="22"/>
                <w:szCs w:val="22"/>
              </w:rPr>
              <w:t>元，累计赔偿限额为</w:t>
            </w:r>
            <w:r>
              <w:rPr>
                <w:rFonts w:hint="eastAsia" w:ascii="华文细黑" w:hAnsi="华文细黑" w:eastAsia="华文细黑" w:cs="宋体"/>
                <w:color w:val="000000"/>
                <w:kern w:val="0"/>
                <w:sz w:val="22"/>
                <w:szCs w:val="22"/>
                <w:highlight w:val="yellow"/>
                <w:lang w:val="en-US" w:eastAsia="zh-CN"/>
              </w:rPr>
              <w:t xml:space="preserve"> 528000000 </w:t>
            </w:r>
            <w:r>
              <w:rPr>
                <w:rFonts w:hint="eastAsia" w:ascii="华文细黑" w:hAnsi="华文细黑" w:eastAsia="华文细黑" w:cs="宋体"/>
                <w:color w:val="000000"/>
                <w:kern w:val="0"/>
                <w:sz w:val="22"/>
                <w:szCs w:val="22"/>
              </w:rPr>
              <w:t xml:space="preserve"> 元</w:t>
            </w:r>
            <w:r>
              <w:rPr>
                <w:rFonts w:hint="eastAsia" w:ascii="华文细黑" w:hAnsi="华文细黑" w:eastAsia="华文细黑" w:cs="宋体"/>
                <w:color w:val="000000"/>
                <w:kern w:val="0"/>
                <w:sz w:val="22"/>
                <w:szCs w:val="22"/>
              </w:rPr>
              <w:br w:type="textWrapping"/>
            </w:r>
            <w:r>
              <w:rPr>
                <w:rFonts w:hint="eastAsia" w:ascii="华文细黑" w:hAnsi="华文细黑" w:eastAsia="华文细黑" w:cs="宋体"/>
                <w:color w:val="000000"/>
                <w:kern w:val="0"/>
                <w:sz w:val="22"/>
                <w:szCs w:val="22"/>
              </w:rPr>
              <w:t>10. 错误和遗漏条款 每次事故赔偿限额为</w:t>
            </w:r>
            <w:r>
              <w:rPr>
                <w:rFonts w:hint="eastAsia" w:ascii="华文细黑" w:hAnsi="华文细黑" w:eastAsia="华文细黑" w:cs="宋体"/>
                <w:color w:val="000000"/>
                <w:kern w:val="0"/>
                <w:sz w:val="22"/>
                <w:szCs w:val="22"/>
                <w:highlight w:val="yellow"/>
                <w:lang w:val="en-US" w:eastAsia="zh-CN"/>
              </w:rPr>
              <w:t xml:space="preserve">      528000000    </w:t>
            </w:r>
            <w:r>
              <w:rPr>
                <w:rFonts w:hint="eastAsia" w:ascii="华文细黑" w:hAnsi="华文细黑" w:eastAsia="华文细黑" w:cs="宋体"/>
                <w:color w:val="000000"/>
                <w:kern w:val="0"/>
                <w:sz w:val="22"/>
                <w:szCs w:val="22"/>
              </w:rPr>
              <w:t xml:space="preserve"> 元</w:t>
            </w:r>
          </w:p>
        </w:tc>
      </w:tr>
      <w:tr w14:paraId="4196FD22">
        <w:tblPrEx>
          <w:tblCellMar>
            <w:top w:w="0" w:type="dxa"/>
            <w:left w:w="108" w:type="dxa"/>
            <w:bottom w:w="0" w:type="dxa"/>
            <w:right w:w="108" w:type="dxa"/>
          </w:tblCellMar>
        </w:tblPrEx>
        <w:trPr>
          <w:trHeight w:val="330" w:hRule="atLeast"/>
        </w:trPr>
        <w:tc>
          <w:tcPr>
            <w:tcW w:w="338" w:type="dxa"/>
            <w:vMerge w:val="continue"/>
            <w:tcBorders>
              <w:top w:val="nil"/>
              <w:left w:val="single" w:color="auto" w:sz="4" w:space="0"/>
              <w:bottom w:val="single" w:color="auto" w:sz="4" w:space="0"/>
              <w:right w:val="single" w:color="auto" w:sz="4" w:space="0"/>
            </w:tcBorders>
            <w:vAlign w:val="center"/>
          </w:tcPr>
          <w:p w14:paraId="3AD20A93">
            <w:pPr>
              <w:widowControl/>
              <w:jc w:val="left"/>
              <w:rPr>
                <w:rFonts w:hint="eastAsia" w:ascii="华文细黑" w:hAnsi="华文细黑" w:eastAsia="华文细黑" w:cs="宋体"/>
                <w:color w:val="000000"/>
                <w:kern w:val="0"/>
                <w:sz w:val="22"/>
                <w:szCs w:val="22"/>
              </w:rPr>
            </w:pPr>
          </w:p>
        </w:tc>
        <w:tc>
          <w:tcPr>
            <w:tcW w:w="1784" w:type="dxa"/>
            <w:vMerge w:val="continue"/>
            <w:tcBorders>
              <w:top w:val="nil"/>
              <w:left w:val="single" w:color="auto" w:sz="4" w:space="0"/>
              <w:bottom w:val="single" w:color="auto" w:sz="4" w:space="0"/>
              <w:right w:val="single" w:color="auto" w:sz="4" w:space="0"/>
            </w:tcBorders>
            <w:vAlign w:val="center"/>
          </w:tcPr>
          <w:p w14:paraId="0E55DF35">
            <w:pPr>
              <w:widowControl/>
              <w:jc w:val="left"/>
              <w:rPr>
                <w:rFonts w:hint="eastAsia" w:ascii="华文细黑" w:hAnsi="华文细黑" w:eastAsia="华文细黑" w:cs="宋体"/>
                <w:color w:val="000000"/>
                <w:kern w:val="0"/>
                <w:sz w:val="22"/>
                <w:szCs w:val="22"/>
              </w:rPr>
            </w:pPr>
          </w:p>
        </w:tc>
        <w:tc>
          <w:tcPr>
            <w:tcW w:w="7212" w:type="dxa"/>
            <w:vMerge w:val="continue"/>
            <w:tcBorders>
              <w:top w:val="nil"/>
              <w:left w:val="single" w:color="auto" w:sz="4" w:space="0"/>
              <w:bottom w:val="single" w:color="auto" w:sz="4" w:space="0"/>
              <w:right w:val="single" w:color="auto" w:sz="4" w:space="0"/>
            </w:tcBorders>
            <w:vAlign w:val="center"/>
          </w:tcPr>
          <w:p w14:paraId="4F00F901">
            <w:pPr>
              <w:widowControl/>
              <w:jc w:val="left"/>
              <w:rPr>
                <w:rFonts w:hint="eastAsia" w:ascii="华文细黑" w:hAnsi="华文细黑" w:eastAsia="华文细黑" w:cs="宋体"/>
                <w:color w:val="000000"/>
                <w:kern w:val="0"/>
                <w:sz w:val="22"/>
                <w:szCs w:val="22"/>
              </w:rPr>
            </w:pPr>
          </w:p>
        </w:tc>
        <w:tc>
          <w:tcPr>
            <w:tcW w:w="222" w:type="dxa"/>
            <w:tcBorders>
              <w:top w:val="nil"/>
              <w:left w:val="nil"/>
              <w:bottom w:val="nil"/>
              <w:right w:val="nil"/>
            </w:tcBorders>
            <w:noWrap/>
            <w:vAlign w:val="center"/>
          </w:tcPr>
          <w:p w14:paraId="2AD54B79">
            <w:pPr>
              <w:widowControl/>
              <w:jc w:val="left"/>
              <w:rPr>
                <w:rFonts w:hint="eastAsia" w:ascii="华文细黑" w:hAnsi="华文细黑" w:eastAsia="华文细黑" w:cs="宋体"/>
                <w:color w:val="000000"/>
                <w:kern w:val="0"/>
                <w:sz w:val="22"/>
                <w:szCs w:val="22"/>
              </w:rPr>
            </w:pPr>
          </w:p>
        </w:tc>
      </w:tr>
      <w:tr w14:paraId="553C5685">
        <w:tblPrEx>
          <w:tblCellMar>
            <w:top w:w="0" w:type="dxa"/>
            <w:left w:w="108" w:type="dxa"/>
            <w:bottom w:w="0" w:type="dxa"/>
            <w:right w:w="108" w:type="dxa"/>
          </w:tblCellMar>
        </w:tblPrEx>
        <w:trPr>
          <w:trHeight w:val="3712" w:hRule="atLeast"/>
        </w:trPr>
        <w:tc>
          <w:tcPr>
            <w:tcW w:w="338" w:type="dxa"/>
            <w:vMerge w:val="continue"/>
            <w:tcBorders>
              <w:top w:val="nil"/>
              <w:left w:val="single" w:color="auto" w:sz="4" w:space="0"/>
              <w:bottom w:val="single" w:color="auto" w:sz="4" w:space="0"/>
              <w:right w:val="single" w:color="auto" w:sz="4" w:space="0"/>
            </w:tcBorders>
            <w:vAlign w:val="center"/>
          </w:tcPr>
          <w:p w14:paraId="389662A4">
            <w:pPr>
              <w:widowControl/>
              <w:jc w:val="left"/>
              <w:rPr>
                <w:rFonts w:hint="eastAsia" w:ascii="华文细黑" w:hAnsi="华文细黑" w:eastAsia="华文细黑" w:cs="宋体"/>
                <w:color w:val="000000"/>
                <w:kern w:val="0"/>
                <w:sz w:val="22"/>
                <w:szCs w:val="22"/>
              </w:rPr>
            </w:pPr>
          </w:p>
        </w:tc>
        <w:tc>
          <w:tcPr>
            <w:tcW w:w="1784" w:type="dxa"/>
            <w:vMerge w:val="continue"/>
            <w:tcBorders>
              <w:top w:val="nil"/>
              <w:left w:val="single" w:color="auto" w:sz="4" w:space="0"/>
              <w:bottom w:val="single" w:color="auto" w:sz="4" w:space="0"/>
              <w:right w:val="single" w:color="auto" w:sz="4" w:space="0"/>
            </w:tcBorders>
            <w:vAlign w:val="center"/>
          </w:tcPr>
          <w:p w14:paraId="564C8147">
            <w:pPr>
              <w:widowControl/>
              <w:jc w:val="left"/>
              <w:rPr>
                <w:rFonts w:hint="eastAsia" w:ascii="华文细黑" w:hAnsi="华文细黑" w:eastAsia="华文细黑" w:cs="宋体"/>
                <w:color w:val="000000"/>
                <w:kern w:val="0"/>
                <w:sz w:val="22"/>
                <w:szCs w:val="22"/>
              </w:rPr>
            </w:pPr>
          </w:p>
        </w:tc>
        <w:tc>
          <w:tcPr>
            <w:tcW w:w="7212" w:type="dxa"/>
            <w:vMerge w:val="continue"/>
            <w:tcBorders>
              <w:top w:val="nil"/>
              <w:left w:val="single" w:color="auto" w:sz="4" w:space="0"/>
              <w:bottom w:val="single" w:color="auto" w:sz="4" w:space="0"/>
              <w:right w:val="single" w:color="auto" w:sz="4" w:space="0"/>
            </w:tcBorders>
            <w:vAlign w:val="center"/>
          </w:tcPr>
          <w:p w14:paraId="28904AE5">
            <w:pPr>
              <w:widowControl/>
              <w:jc w:val="left"/>
              <w:rPr>
                <w:rFonts w:hint="eastAsia" w:ascii="华文细黑" w:hAnsi="华文细黑" w:eastAsia="华文细黑" w:cs="宋体"/>
                <w:color w:val="000000"/>
                <w:kern w:val="0"/>
                <w:sz w:val="22"/>
                <w:szCs w:val="22"/>
              </w:rPr>
            </w:pPr>
          </w:p>
        </w:tc>
        <w:tc>
          <w:tcPr>
            <w:tcW w:w="222" w:type="dxa"/>
            <w:tcBorders>
              <w:top w:val="nil"/>
              <w:left w:val="nil"/>
              <w:bottom w:val="nil"/>
              <w:right w:val="nil"/>
            </w:tcBorders>
            <w:noWrap/>
            <w:vAlign w:val="center"/>
          </w:tcPr>
          <w:p w14:paraId="011DEC75">
            <w:pPr>
              <w:widowControl/>
              <w:jc w:val="left"/>
              <w:rPr>
                <w:rFonts w:eastAsia="Times New Roman"/>
                <w:kern w:val="0"/>
                <w:sz w:val="20"/>
              </w:rPr>
            </w:pPr>
          </w:p>
        </w:tc>
      </w:tr>
      <w:tr w14:paraId="50D9E003">
        <w:tblPrEx>
          <w:tblCellMar>
            <w:top w:w="0" w:type="dxa"/>
            <w:left w:w="108" w:type="dxa"/>
            <w:bottom w:w="0" w:type="dxa"/>
            <w:right w:w="108" w:type="dxa"/>
          </w:tblCellMar>
        </w:tblPrEx>
        <w:trPr>
          <w:trHeight w:val="330" w:hRule="atLeast"/>
        </w:trPr>
        <w:tc>
          <w:tcPr>
            <w:tcW w:w="9334" w:type="dxa"/>
            <w:gridSpan w:val="3"/>
            <w:tcBorders>
              <w:top w:val="single" w:color="auto" w:sz="4" w:space="0"/>
              <w:left w:val="single" w:color="auto" w:sz="4" w:space="0"/>
              <w:bottom w:val="single" w:color="auto" w:sz="4" w:space="0"/>
              <w:right w:val="single" w:color="auto" w:sz="4" w:space="0"/>
            </w:tcBorders>
            <w:vAlign w:val="center"/>
          </w:tcPr>
          <w:p w14:paraId="277AA50B">
            <w:pPr>
              <w:widowControl/>
              <w:jc w:val="center"/>
              <w:rPr>
                <w:rFonts w:hint="eastAsia" w:ascii="华文细黑" w:hAnsi="华文细黑" w:eastAsia="华文细黑" w:cs="宋体"/>
                <w:b/>
                <w:bCs/>
                <w:color w:val="000000"/>
                <w:kern w:val="0"/>
                <w:sz w:val="20"/>
              </w:rPr>
            </w:pPr>
            <w:r>
              <w:rPr>
                <w:rFonts w:hint="eastAsia" w:ascii="华文细黑" w:hAnsi="华文细黑" w:eastAsia="华文细黑" w:cs="宋体"/>
                <w:b/>
                <w:bCs/>
                <w:color w:val="000000"/>
                <w:kern w:val="0"/>
                <w:sz w:val="20"/>
              </w:rPr>
              <w:t>四、免赔规则</w:t>
            </w:r>
          </w:p>
        </w:tc>
        <w:tc>
          <w:tcPr>
            <w:tcW w:w="222" w:type="dxa"/>
            <w:vAlign w:val="center"/>
          </w:tcPr>
          <w:p w14:paraId="507FD736">
            <w:pPr>
              <w:widowControl/>
              <w:jc w:val="left"/>
              <w:rPr>
                <w:rFonts w:eastAsia="Times New Roman"/>
                <w:kern w:val="0"/>
                <w:sz w:val="20"/>
              </w:rPr>
            </w:pPr>
          </w:p>
        </w:tc>
      </w:tr>
      <w:tr w14:paraId="0B80FCA1">
        <w:tblPrEx>
          <w:tblCellMar>
            <w:top w:w="0" w:type="dxa"/>
            <w:left w:w="108" w:type="dxa"/>
            <w:bottom w:w="0" w:type="dxa"/>
            <w:right w:w="108" w:type="dxa"/>
          </w:tblCellMar>
        </w:tblPrEx>
        <w:trPr>
          <w:trHeight w:val="330" w:hRule="atLeast"/>
        </w:trPr>
        <w:tc>
          <w:tcPr>
            <w:tcW w:w="338" w:type="dxa"/>
            <w:tcBorders>
              <w:top w:val="nil"/>
              <w:left w:val="single" w:color="auto" w:sz="4" w:space="0"/>
              <w:bottom w:val="single" w:color="auto" w:sz="4" w:space="0"/>
              <w:right w:val="single" w:color="auto" w:sz="4" w:space="0"/>
            </w:tcBorders>
            <w:noWrap/>
            <w:vAlign w:val="bottom"/>
          </w:tcPr>
          <w:p w14:paraId="7A0ED3AC">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1</w:t>
            </w:r>
          </w:p>
        </w:tc>
        <w:tc>
          <w:tcPr>
            <w:tcW w:w="1784" w:type="dxa"/>
            <w:tcBorders>
              <w:top w:val="nil"/>
              <w:left w:val="nil"/>
              <w:bottom w:val="single" w:color="auto" w:sz="4" w:space="0"/>
              <w:right w:val="single" w:color="auto" w:sz="4" w:space="0"/>
            </w:tcBorders>
            <w:shd w:val="clear" w:color="000000" w:fill="FFFFFF"/>
            <w:vAlign w:val="center"/>
          </w:tcPr>
          <w:p w14:paraId="1EE38237">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免赔条件</w:t>
            </w:r>
          </w:p>
        </w:tc>
        <w:tc>
          <w:tcPr>
            <w:tcW w:w="7212" w:type="dxa"/>
            <w:tcBorders>
              <w:top w:val="nil"/>
              <w:left w:val="nil"/>
              <w:bottom w:val="single" w:color="auto" w:sz="4" w:space="0"/>
              <w:right w:val="single" w:color="auto" w:sz="4" w:space="0"/>
            </w:tcBorders>
            <w:vAlign w:val="center"/>
          </w:tcPr>
          <w:p w14:paraId="49633DBD">
            <w:pPr>
              <w:widowControl/>
              <w:jc w:val="center"/>
              <w:rPr>
                <w:rFonts w:hint="eastAsia" w:ascii="华文细黑" w:hAnsi="华文细黑" w:eastAsia="华文细黑" w:cs="宋体"/>
                <w:color w:val="000000"/>
                <w:kern w:val="0"/>
                <w:sz w:val="22"/>
                <w:szCs w:val="22"/>
              </w:rPr>
            </w:pPr>
            <w:r>
              <w:rPr>
                <w:rFonts w:hint="eastAsia" w:ascii="华文细黑" w:hAnsi="华文细黑" w:eastAsia="华文细黑" w:cs="宋体"/>
                <w:color w:val="000000"/>
                <w:kern w:val="0"/>
                <w:sz w:val="22"/>
                <w:szCs w:val="22"/>
              </w:rPr>
              <w:t>每次事故绝对免赔额</w:t>
            </w:r>
            <w:r>
              <w:rPr>
                <w:rFonts w:hint="eastAsia" w:ascii="华文细黑" w:hAnsi="华文细黑" w:eastAsia="华文细黑" w:cs="宋体"/>
                <w:color w:val="000000"/>
                <w:kern w:val="0"/>
                <w:sz w:val="22"/>
                <w:szCs w:val="22"/>
                <w:highlight w:val="yellow"/>
              </w:rPr>
              <w:t xml:space="preserve"> </w:t>
            </w:r>
            <w:r>
              <w:rPr>
                <w:rFonts w:hint="eastAsia" w:ascii="华文细黑" w:hAnsi="华文细黑" w:eastAsia="华文细黑" w:cs="宋体"/>
                <w:color w:val="000000"/>
                <w:kern w:val="0"/>
                <w:sz w:val="22"/>
                <w:szCs w:val="22"/>
                <w:highlight w:val="yellow"/>
                <w:lang w:val="en-US" w:eastAsia="zh-CN"/>
              </w:rPr>
              <w:t>1000</w:t>
            </w:r>
            <w:r>
              <w:rPr>
                <w:rFonts w:hint="eastAsia" w:ascii="华文细黑" w:hAnsi="华文细黑" w:eastAsia="华文细黑" w:cs="宋体"/>
                <w:color w:val="000000"/>
                <w:kern w:val="0"/>
                <w:sz w:val="22"/>
                <w:szCs w:val="22"/>
              </w:rPr>
              <w:t xml:space="preserve">元或核定损失金额的 </w:t>
            </w:r>
            <w:r>
              <w:rPr>
                <w:rFonts w:hint="eastAsia" w:ascii="华文细黑" w:hAnsi="华文细黑" w:eastAsia="华文细黑" w:cs="宋体"/>
                <w:color w:val="000000"/>
                <w:kern w:val="0"/>
                <w:sz w:val="22"/>
                <w:szCs w:val="22"/>
                <w:highlight w:val="yellow"/>
                <w:lang w:val="en-US" w:eastAsia="zh-CN"/>
              </w:rPr>
              <w:t>3%</w:t>
            </w:r>
            <w:r>
              <w:rPr>
                <w:rFonts w:hint="eastAsia" w:ascii="华文细黑" w:hAnsi="华文细黑" w:eastAsia="华文细黑" w:cs="宋体"/>
                <w:color w:val="000000"/>
                <w:kern w:val="0"/>
                <w:sz w:val="22"/>
                <w:szCs w:val="22"/>
              </w:rPr>
              <w:t>，两者以高者为准</w:t>
            </w:r>
          </w:p>
        </w:tc>
        <w:tc>
          <w:tcPr>
            <w:tcW w:w="222" w:type="dxa"/>
            <w:vAlign w:val="center"/>
          </w:tcPr>
          <w:p w14:paraId="77187E4A">
            <w:pPr>
              <w:widowControl/>
              <w:jc w:val="left"/>
              <w:rPr>
                <w:rFonts w:eastAsia="Times New Roman"/>
                <w:kern w:val="0"/>
                <w:sz w:val="20"/>
              </w:rPr>
            </w:pPr>
          </w:p>
        </w:tc>
      </w:tr>
    </w:tbl>
    <w:p w14:paraId="28ACBFD2">
      <w:pPr>
        <w:pStyle w:val="37"/>
        <w:ind w:firstLine="0" w:firstLineChars="0"/>
        <w:outlineLvl w:val="1"/>
        <w:rPr>
          <w:rFonts w:eastAsia="黑体"/>
          <w:sz w:val="28"/>
          <w:szCs w:val="44"/>
        </w:rPr>
      </w:pPr>
    </w:p>
    <w:sectPr>
      <w:pgSz w:w="11907" w:h="16840"/>
      <w:pgMar w:top="1331" w:right="1588" w:bottom="1029"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Metrolite 2 Com Roman">
    <w:panose1 w:val="02010600010101010101"/>
    <w:charset w:val="86"/>
    <w:family w:val="auto"/>
    <w:pitch w:val="default"/>
    <w:sig w:usb0="00000001" w:usb1="080E0000" w:usb2="00000000" w:usb3="00000000" w:csb0="00040000" w:csb1="00000000"/>
  </w:font>
  <w:font w:name="汉仪细等线繁">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F95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4"/>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8B40337"/>
    <w:multiLevelType w:val="multilevel"/>
    <w:tmpl w:val="68B40337"/>
    <w:lvl w:ilvl="0" w:tentative="0">
      <w:start w:val="1"/>
      <w:numFmt w:val="japaneseCounting"/>
      <w:pStyle w:val="45"/>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formatting="1"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MmQ1MzEyYTYwODNmNjI5MGY3M2FhMjEyOTRhNzMifQ=="/>
  </w:docVars>
  <w:rsids>
    <w:rsidRoot w:val="00BD5ED0"/>
    <w:rsid w:val="00005B73"/>
    <w:rsid w:val="00012BFA"/>
    <w:rsid w:val="000179C1"/>
    <w:rsid w:val="00026FA6"/>
    <w:rsid w:val="00045122"/>
    <w:rsid w:val="000503CE"/>
    <w:rsid w:val="00053430"/>
    <w:rsid w:val="000535B8"/>
    <w:rsid w:val="00055419"/>
    <w:rsid w:val="00056A49"/>
    <w:rsid w:val="000608BD"/>
    <w:rsid w:val="000616CD"/>
    <w:rsid w:val="00063F50"/>
    <w:rsid w:val="0007421E"/>
    <w:rsid w:val="000742A1"/>
    <w:rsid w:val="00074383"/>
    <w:rsid w:val="00077653"/>
    <w:rsid w:val="00085A2E"/>
    <w:rsid w:val="000930FE"/>
    <w:rsid w:val="000941B8"/>
    <w:rsid w:val="000A0257"/>
    <w:rsid w:val="000A0DFB"/>
    <w:rsid w:val="000B72CC"/>
    <w:rsid w:val="000B79D1"/>
    <w:rsid w:val="000B7FE4"/>
    <w:rsid w:val="000C0834"/>
    <w:rsid w:val="000C2B30"/>
    <w:rsid w:val="000C2D95"/>
    <w:rsid w:val="000C327D"/>
    <w:rsid w:val="000C3723"/>
    <w:rsid w:val="000C4264"/>
    <w:rsid w:val="000C4A99"/>
    <w:rsid w:val="000D2762"/>
    <w:rsid w:val="000D2A43"/>
    <w:rsid w:val="000D2D57"/>
    <w:rsid w:val="000D4735"/>
    <w:rsid w:val="000D6353"/>
    <w:rsid w:val="000D674E"/>
    <w:rsid w:val="000E125A"/>
    <w:rsid w:val="000E31A1"/>
    <w:rsid w:val="000E4AD6"/>
    <w:rsid w:val="000E581E"/>
    <w:rsid w:val="000F0538"/>
    <w:rsid w:val="000F2427"/>
    <w:rsid w:val="000F2FC6"/>
    <w:rsid w:val="000F4060"/>
    <w:rsid w:val="000F575A"/>
    <w:rsid w:val="00103DA5"/>
    <w:rsid w:val="0010706E"/>
    <w:rsid w:val="00117A72"/>
    <w:rsid w:val="0012090D"/>
    <w:rsid w:val="00120942"/>
    <w:rsid w:val="00121271"/>
    <w:rsid w:val="001264A1"/>
    <w:rsid w:val="00127DFC"/>
    <w:rsid w:val="00131E92"/>
    <w:rsid w:val="00136549"/>
    <w:rsid w:val="00137A41"/>
    <w:rsid w:val="00143273"/>
    <w:rsid w:val="0014722B"/>
    <w:rsid w:val="0014729E"/>
    <w:rsid w:val="00152F22"/>
    <w:rsid w:val="001563D3"/>
    <w:rsid w:val="00156EF1"/>
    <w:rsid w:val="00157353"/>
    <w:rsid w:val="00163182"/>
    <w:rsid w:val="0016352B"/>
    <w:rsid w:val="0016524E"/>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3C9"/>
    <w:rsid w:val="001E5549"/>
    <w:rsid w:val="001E7603"/>
    <w:rsid w:val="001F7CAF"/>
    <w:rsid w:val="002000CE"/>
    <w:rsid w:val="002008CC"/>
    <w:rsid w:val="00204419"/>
    <w:rsid w:val="00205F12"/>
    <w:rsid w:val="00210BCF"/>
    <w:rsid w:val="0021536F"/>
    <w:rsid w:val="00215784"/>
    <w:rsid w:val="00215DF7"/>
    <w:rsid w:val="00220762"/>
    <w:rsid w:val="0022330A"/>
    <w:rsid w:val="00227327"/>
    <w:rsid w:val="00227EAA"/>
    <w:rsid w:val="00231A8A"/>
    <w:rsid w:val="00234A4A"/>
    <w:rsid w:val="002355B4"/>
    <w:rsid w:val="00235976"/>
    <w:rsid w:val="002368CE"/>
    <w:rsid w:val="00236E54"/>
    <w:rsid w:val="00237233"/>
    <w:rsid w:val="0024024A"/>
    <w:rsid w:val="002415A4"/>
    <w:rsid w:val="00243458"/>
    <w:rsid w:val="00244C63"/>
    <w:rsid w:val="002502B9"/>
    <w:rsid w:val="0025172C"/>
    <w:rsid w:val="00251A1B"/>
    <w:rsid w:val="00254E0E"/>
    <w:rsid w:val="002555B6"/>
    <w:rsid w:val="0026670C"/>
    <w:rsid w:val="00272C17"/>
    <w:rsid w:val="0027714D"/>
    <w:rsid w:val="00280738"/>
    <w:rsid w:val="002905F7"/>
    <w:rsid w:val="0029243E"/>
    <w:rsid w:val="002A05DD"/>
    <w:rsid w:val="002A1D9A"/>
    <w:rsid w:val="002A32EA"/>
    <w:rsid w:val="002A5A03"/>
    <w:rsid w:val="002A6766"/>
    <w:rsid w:val="002B0F1C"/>
    <w:rsid w:val="002B7214"/>
    <w:rsid w:val="002C357D"/>
    <w:rsid w:val="002C3587"/>
    <w:rsid w:val="002C772D"/>
    <w:rsid w:val="002D0186"/>
    <w:rsid w:val="002D170E"/>
    <w:rsid w:val="002D3639"/>
    <w:rsid w:val="002E2198"/>
    <w:rsid w:val="002E2C71"/>
    <w:rsid w:val="002E59B0"/>
    <w:rsid w:val="002E6516"/>
    <w:rsid w:val="002F109A"/>
    <w:rsid w:val="002F1157"/>
    <w:rsid w:val="002F3749"/>
    <w:rsid w:val="002F3DE0"/>
    <w:rsid w:val="002F6A7C"/>
    <w:rsid w:val="003039A2"/>
    <w:rsid w:val="0031424A"/>
    <w:rsid w:val="00314845"/>
    <w:rsid w:val="003257BE"/>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ADA"/>
    <w:rsid w:val="003C5F72"/>
    <w:rsid w:val="003D3D92"/>
    <w:rsid w:val="003D4674"/>
    <w:rsid w:val="003E1367"/>
    <w:rsid w:val="003E4DE6"/>
    <w:rsid w:val="003F0208"/>
    <w:rsid w:val="003F4157"/>
    <w:rsid w:val="003F61D7"/>
    <w:rsid w:val="003F7A36"/>
    <w:rsid w:val="00404AF8"/>
    <w:rsid w:val="00407262"/>
    <w:rsid w:val="004113A9"/>
    <w:rsid w:val="00412BC5"/>
    <w:rsid w:val="0042773C"/>
    <w:rsid w:val="004321F7"/>
    <w:rsid w:val="004333CD"/>
    <w:rsid w:val="00433918"/>
    <w:rsid w:val="00436EC9"/>
    <w:rsid w:val="004407A6"/>
    <w:rsid w:val="004444E8"/>
    <w:rsid w:val="00445796"/>
    <w:rsid w:val="00455511"/>
    <w:rsid w:val="00460621"/>
    <w:rsid w:val="004622C3"/>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916"/>
    <w:rsid w:val="004B145E"/>
    <w:rsid w:val="004B5CC5"/>
    <w:rsid w:val="004B66ED"/>
    <w:rsid w:val="004B7C4E"/>
    <w:rsid w:val="004C3A44"/>
    <w:rsid w:val="004D1C1A"/>
    <w:rsid w:val="004D44ED"/>
    <w:rsid w:val="004E4C9C"/>
    <w:rsid w:val="004E611C"/>
    <w:rsid w:val="004E7081"/>
    <w:rsid w:val="004F0372"/>
    <w:rsid w:val="004F2DA5"/>
    <w:rsid w:val="004F3897"/>
    <w:rsid w:val="004F5933"/>
    <w:rsid w:val="0050381E"/>
    <w:rsid w:val="00505499"/>
    <w:rsid w:val="00507325"/>
    <w:rsid w:val="005132C7"/>
    <w:rsid w:val="00513E78"/>
    <w:rsid w:val="0052004C"/>
    <w:rsid w:val="00520138"/>
    <w:rsid w:val="005210A5"/>
    <w:rsid w:val="00523326"/>
    <w:rsid w:val="005371FF"/>
    <w:rsid w:val="005461F1"/>
    <w:rsid w:val="005463E8"/>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C7410"/>
    <w:rsid w:val="005E2D48"/>
    <w:rsid w:val="005E3228"/>
    <w:rsid w:val="005F1911"/>
    <w:rsid w:val="005F3328"/>
    <w:rsid w:val="005F598A"/>
    <w:rsid w:val="00605737"/>
    <w:rsid w:val="0060686C"/>
    <w:rsid w:val="00610E99"/>
    <w:rsid w:val="00611986"/>
    <w:rsid w:val="006155F4"/>
    <w:rsid w:val="00624134"/>
    <w:rsid w:val="0063300F"/>
    <w:rsid w:val="00633DF9"/>
    <w:rsid w:val="00635B18"/>
    <w:rsid w:val="00640CD1"/>
    <w:rsid w:val="0065355D"/>
    <w:rsid w:val="00676D7B"/>
    <w:rsid w:val="006778F7"/>
    <w:rsid w:val="00677B79"/>
    <w:rsid w:val="00681077"/>
    <w:rsid w:val="00681EC9"/>
    <w:rsid w:val="006942F8"/>
    <w:rsid w:val="0069444D"/>
    <w:rsid w:val="006A260A"/>
    <w:rsid w:val="006A33C7"/>
    <w:rsid w:val="006A736D"/>
    <w:rsid w:val="006B507A"/>
    <w:rsid w:val="006C19C7"/>
    <w:rsid w:val="006C1DD0"/>
    <w:rsid w:val="006C627E"/>
    <w:rsid w:val="006C65B6"/>
    <w:rsid w:val="006D2C51"/>
    <w:rsid w:val="006D2E24"/>
    <w:rsid w:val="006D3754"/>
    <w:rsid w:val="006D4357"/>
    <w:rsid w:val="006D7153"/>
    <w:rsid w:val="006E0309"/>
    <w:rsid w:val="006E0C5E"/>
    <w:rsid w:val="006E5858"/>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0AD"/>
    <w:rsid w:val="00743B54"/>
    <w:rsid w:val="0074619F"/>
    <w:rsid w:val="007469CE"/>
    <w:rsid w:val="00757900"/>
    <w:rsid w:val="007579C5"/>
    <w:rsid w:val="0076054E"/>
    <w:rsid w:val="0076075B"/>
    <w:rsid w:val="00764106"/>
    <w:rsid w:val="00770201"/>
    <w:rsid w:val="00771C33"/>
    <w:rsid w:val="007722DD"/>
    <w:rsid w:val="00781472"/>
    <w:rsid w:val="00782C1C"/>
    <w:rsid w:val="00786D41"/>
    <w:rsid w:val="00787CFC"/>
    <w:rsid w:val="00792B1C"/>
    <w:rsid w:val="00794F11"/>
    <w:rsid w:val="007953EE"/>
    <w:rsid w:val="00797AC3"/>
    <w:rsid w:val="007A5BEF"/>
    <w:rsid w:val="007A6E42"/>
    <w:rsid w:val="007A6F56"/>
    <w:rsid w:val="007B3AFE"/>
    <w:rsid w:val="007B3FFC"/>
    <w:rsid w:val="007C258B"/>
    <w:rsid w:val="007C518E"/>
    <w:rsid w:val="007D10A1"/>
    <w:rsid w:val="007E314C"/>
    <w:rsid w:val="007E31BF"/>
    <w:rsid w:val="007E751A"/>
    <w:rsid w:val="007E7F57"/>
    <w:rsid w:val="007F6003"/>
    <w:rsid w:val="007F6810"/>
    <w:rsid w:val="007F74D9"/>
    <w:rsid w:val="008028C3"/>
    <w:rsid w:val="00804221"/>
    <w:rsid w:val="00806D35"/>
    <w:rsid w:val="008107BC"/>
    <w:rsid w:val="008139B0"/>
    <w:rsid w:val="00816D3B"/>
    <w:rsid w:val="00833C18"/>
    <w:rsid w:val="0083540F"/>
    <w:rsid w:val="00837974"/>
    <w:rsid w:val="00837F4F"/>
    <w:rsid w:val="008402CE"/>
    <w:rsid w:val="00846B12"/>
    <w:rsid w:val="00847E4A"/>
    <w:rsid w:val="0085111E"/>
    <w:rsid w:val="00852823"/>
    <w:rsid w:val="008542C7"/>
    <w:rsid w:val="00854DE5"/>
    <w:rsid w:val="00854E40"/>
    <w:rsid w:val="008558E9"/>
    <w:rsid w:val="0085632D"/>
    <w:rsid w:val="0086215D"/>
    <w:rsid w:val="00864EBB"/>
    <w:rsid w:val="00865807"/>
    <w:rsid w:val="0087416D"/>
    <w:rsid w:val="00880ADA"/>
    <w:rsid w:val="00880D0D"/>
    <w:rsid w:val="0088194E"/>
    <w:rsid w:val="00882123"/>
    <w:rsid w:val="00883D24"/>
    <w:rsid w:val="008908B3"/>
    <w:rsid w:val="00890C1B"/>
    <w:rsid w:val="008922C7"/>
    <w:rsid w:val="008924EB"/>
    <w:rsid w:val="008A17BF"/>
    <w:rsid w:val="008A2C80"/>
    <w:rsid w:val="008A2CDC"/>
    <w:rsid w:val="008A31B3"/>
    <w:rsid w:val="008A39F7"/>
    <w:rsid w:val="008A5E76"/>
    <w:rsid w:val="008B0C71"/>
    <w:rsid w:val="008B368D"/>
    <w:rsid w:val="008B59C5"/>
    <w:rsid w:val="008C16BA"/>
    <w:rsid w:val="008C2811"/>
    <w:rsid w:val="008C6743"/>
    <w:rsid w:val="008D0DC7"/>
    <w:rsid w:val="008D331F"/>
    <w:rsid w:val="008D4710"/>
    <w:rsid w:val="008D517E"/>
    <w:rsid w:val="008D6B16"/>
    <w:rsid w:val="008E4625"/>
    <w:rsid w:val="008E718F"/>
    <w:rsid w:val="008E7682"/>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072C"/>
    <w:rsid w:val="0093182D"/>
    <w:rsid w:val="00932531"/>
    <w:rsid w:val="00932C9F"/>
    <w:rsid w:val="00932F10"/>
    <w:rsid w:val="009367C0"/>
    <w:rsid w:val="009437E8"/>
    <w:rsid w:val="00943A2D"/>
    <w:rsid w:val="00951AD3"/>
    <w:rsid w:val="00957C2D"/>
    <w:rsid w:val="00964A4B"/>
    <w:rsid w:val="0096611E"/>
    <w:rsid w:val="009673AF"/>
    <w:rsid w:val="00970311"/>
    <w:rsid w:val="00970B62"/>
    <w:rsid w:val="009772B9"/>
    <w:rsid w:val="00984E18"/>
    <w:rsid w:val="00985E72"/>
    <w:rsid w:val="00993C36"/>
    <w:rsid w:val="0099786D"/>
    <w:rsid w:val="00997D30"/>
    <w:rsid w:val="009A36F9"/>
    <w:rsid w:val="009B38A1"/>
    <w:rsid w:val="009B3D46"/>
    <w:rsid w:val="009C6F7D"/>
    <w:rsid w:val="009D2A2D"/>
    <w:rsid w:val="009F03D0"/>
    <w:rsid w:val="009F05E5"/>
    <w:rsid w:val="009F34D1"/>
    <w:rsid w:val="009F67E6"/>
    <w:rsid w:val="009F7302"/>
    <w:rsid w:val="00A021CB"/>
    <w:rsid w:val="00A04284"/>
    <w:rsid w:val="00A05F19"/>
    <w:rsid w:val="00A11CF1"/>
    <w:rsid w:val="00A16FBD"/>
    <w:rsid w:val="00A20D53"/>
    <w:rsid w:val="00A2111B"/>
    <w:rsid w:val="00A25FAB"/>
    <w:rsid w:val="00A3020E"/>
    <w:rsid w:val="00A31649"/>
    <w:rsid w:val="00A34A4A"/>
    <w:rsid w:val="00A36417"/>
    <w:rsid w:val="00A40F11"/>
    <w:rsid w:val="00A43898"/>
    <w:rsid w:val="00A450CE"/>
    <w:rsid w:val="00A46C5D"/>
    <w:rsid w:val="00A549B4"/>
    <w:rsid w:val="00A5612B"/>
    <w:rsid w:val="00A5641E"/>
    <w:rsid w:val="00A6082D"/>
    <w:rsid w:val="00A63294"/>
    <w:rsid w:val="00A71EF2"/>
    <w:rsid w:val="00A72D1C"/>
    <w:rsid w:val="00A74482"/>
    <w:rsid w:val="00A74EE0"/>
    <w:rsid w:val="00A76643"/>
    <w:rsid w:val="00A7749C"/>
    <w:rsid w:val="00A7786F"/>
    <w:rsid w:val="00A861CA"/>
    <w:rsid w:val="00A876AE"/>
    <w:rsid w:val="00A87C81"/>
    <w:rsid w:val="00A95B2F"/>
    <w:rsid w:val="00A96A59"/>
    <w:rsid w:val="00AB24A2"/>
    <w:rsid w:val="00AB4398"/>
    <w:rsid w:val="00AB7DBB"/>
    <w:rsid w:val="00AC1ADC"/>
    <w:rsid w:val="00AC2E6F"/>
    <w:rsid w:val="00AC3A72"/>
    <w:rsid w:val="00AD016B"/>
    <w:rsid w:val="00AD0A3F"/>
    <w:rsid w:val="00AD0D60"/>
    <w:rsid w:val="00AD137A"/>
    <w:rsid w:val="00AD2C6E"/>
    <w:rsid w:val="00AD445F"/>
    <w:rsid w:val="00AD4A1F"/>
    <w:rsid w:val="00AE6CCF"/>
    <w:rsid w:val="00AF04F6"/>
    <w:rsid w:val="00AF089C"/>
    <w:rsid w:val="00AF20AC"/>
    <w:rsid w:val="00B00417"/>
    <w:rsid w:val="00B01550"/>
    <w:rsid w:val="00B04A3E"/>
    <w:rsid w:val="00B07940"/>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3EEF"/>
    <w:rsid w:val="00B44107"/>
    <w:rsid w:val="00B44693"/>
    <w:rsid w:val="00B54259"/>
    <w:rsid w:val="00B54CE6"/>
    <w:rsid w:val="00B54F0B"/>
    <w:rsid w:val="00B56DD9"/>
    <w:rsid w:val="00B64CDD"/>
    <w:rsid w:val="00B67CEE"/>
    <w:rsid w:val="00B71912"/>
    <w:rsid w:val="00B72957"/>
    <w:rsid w:val="00B73956"/>
    <w:rsid w:val="00B75E79"/>
    <w:rsid w:val="00B8143C"/>
    <w:rsid w:val="00B82C95"/>
    <w:rsid w:val="00B84BD7"/>
    <w:rsid w:val="00B87690"/>
    <w:rsid w:val="00B87F6F"/>
    <w:rsid w:val="00B9040F"/>
    <w:rsid w:val="00B90B09"/>
    <w:rsid w:val="00B92C68"/>
    <w:rsid w:val="00B94A94"/>
    <w:rsid w:val="00B95683"/>
    <w:rsid w:val="00B979FB"/>
    <w:rsid w:val="00B97DEC"/>
    <w:rsid w:val="00BB21E0"/>
    <w:rsid w:val="00BB2DAD"/>
    <w:rsid w:val="00BB526C"/>
    <w:rsid w:val="00BC09CD"/>
    <w:rsid w:val="00BC18B3"/>
    <w:rsid w:val="00BC1A2B"/>
    <w:rsid w:val="00BC1BB2"/>
    <w:rsid w:val="00BD5ED0"/>
    <w:rsid w:val="00BE5655"/>
    <w:rsid w:val="00BE62B0"/>
    <w:rsid w:val="00BF2792"/>
    <w:rsid w:val="00BF3167"/>
    <w:rsid w:val="00BF4097"/>
    <w:rsid w:val="00BF4AA9"/>
    <w:rsid w:val="00BF6216"/>
    <w:rsid w:val="00C029BF"/>
    <w:rsid w:val="00C11DC8"/>
    <w:rsid w:val="00C139AD"/>
    <w:rsid w:val="00C1766C"/>
    <w:rsid w:val="00C265B3"/>
    <w:rsid w:val="00C26BEC"/>
    <w:rsid w:val="00C36E31"/>
    <w:rsid w:val="00C4146E"/>
    <w:rsid w:val="00C446A4"/>
    <w:rsid w:val="00C54610"/>
    <w:rsid w:val="00C57915"/>
    <w:rsid w:val="00C607E8"/>
    <w:rsid w:val="00C60F7D"/>
    <w:rsid w:val="00C678CE"/>
    <w:rsid w:val="00C72C74"/>
    <w:rsid w:val="00C77966"/>
    <w:rsid w:val="00C80ECD"/>
    <w:rsid w:val="00C81116"/>
    <w:rsid w:val="00C812CB"/>
    <w:rsid w:val="00C84164"/>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01B5D"/>
    <w:rsid w:val="00D1361C"/>
    <w:rsid w:val="00D22FB3"/>
    <w:rsid w:val="00D2717E"/>
    <w:rsid w:val="00D320E7"/>
    <w:rsid w:val="00D3269F"/>
    <w:rsid w:val="00D36416"/>
    <w:rsid w:val="00D40845"/>
    <w:rsid w:val="00D418BC"/>
    <w:rsid w:val="00D44B25"/>
    <w:rsid w:val="00D45A27"/>
    <w:rsid w:val="00D46E62"/>
    <w:rsid w:val="00D52541"/>
    <w:rsid w:val="00D54BA0"/>
    <w:rsid w:val="00D608D9"/>
    <w:rsid w:val="00D634C8"/>
    <w:rsid w:val="00D66E24"/>
    <w:rsid w:val="00D7384E"/>
    <w:rsid w:val="00D76D4E"/>
    <w:rsid w:val="00D806A3"/>
    <w:rsid w:val="00D814B6"/>
    <w:rsid w:val="00D8399F"/>
    <w:rsid w:val="00D84FE2"/>
    <w:rsid w:val="00D95914"/>
    <w:rsid w:val="00DA00E1"/>
    <w:rsid w:val="00DA1560"/>
    <w:rsid w:val="00DA5E27"/>
    <w:rsid w:val="00DA65EE"/>
    <w:rsid w:val="00DA7E5B"/>
    <w:rsid w:val="00DB0309"/>
    <w:rsid w:val="00DB4641"/>
    <w:rsid w:val="00DB5EA2"/>
    <w:rsid w:val="00DB6E4E"/>
    <w:rsid w:val="00DB70AB"/>
    <w:rsid w:val="00DC1BE3"/>
    <w:rsid w:val="00DC5744"/>
    <w:rsid w:val="00DC619A"/>
    <w:rsid w:val="00DC7FC2"/>
    <w:rsid w:val="00DD1581"/>
    <w:rsid w:val="00DD2C37"/>
    <w:rsid w:val="00DD2DB5"/>
    <w:rsid w:val="00DD2E0C"/>
    <w:rsid w:val="00DD3DB6"/>
    <w:rsid w:val="00DD4ED1"/>
    <w:rsid w:val="00DD686B"/>
    <w:rsid w:val="00DE3373"/>
    <w:rsid w:val="00DE3BF0"/>
    <w:rsid w:val="00DE654E"/>
    <w:rsid w:val="00DE72B9"/>
    <w:rsid w:val="00DF4929"/>
    <w:rsid w:val="00DF4ECA"/>
    <w:rsid w:val="00DF5183"/>
    <w:rsid w:val="00DF6697"/>
    <w:rsid w:val="00DF7AB5"/>
    <w:rsid w:val="00DF7F0A"/>
    <w:rsid w:val="00E21013"/>
    <w:rsid w:val="00E21941"/>
    <w:rsid w:val="00E30877"/>
    <w:rsid w:val="00E30D18"/>
    <w:rsid w:val="00E377D3"/>
    <w:rsid w:val="00E37D03"/>
    <w:rsid w:val="00E444B2"/>
    <w:rsid w:val="00E50267"/>
    <w:rsid w:val="00E55C56"/>
    <w:rsid w:val="00E5682C"/>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528B"/>
    <w:rsid w:val="00EA6B31"/>
    <w:rsid w:val="00EB4308"/>
    <w:rsid w:val="00EC0694"/>
    <w:rsid w:val="00EC1E4F"/>
    <w:rsid w:val="00EC5723"/>
    <w:rsid w:val="00EC5DF0"/>
    <w:rsid w:val="00ED0AF6"/>
    <w:rsid w:val="00ED420B"/>
    <w:rsid w:val="00ED43D8"/>
    <w:rsid w:val="00EE1FB9"/>
    <w:rsid w:val="00EE2A12"/>
    <w:rsid w:val="00EE5B35"/>
    <w:rsid w:val="00EE7EE4"/>
    <w:rsid w:val="00EE7FAE"/>
    <w:rsid w:val="00EF2A79"/>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561FB"/>
    <w:rsid w:val="00F608BD"/>
    <w:rsid w:val="00F61800"/>
    <w:rsid w:val="00F666EF"/>
    <w:rsid w:val="00F67143"/>
    <w:rsid w:val="00F74868"/>
    <w:rsid w:val="00F75B3E"/>
    <w:rsid w:val="00F81417"/>
    <w:rsid w:val="00F834B3"/>
    <w:rsid w:val="00F854B9"/>
    <w:rsid w:val="00F877C0"/>
    <w:rsid w:val="00F93243"/>
    <w:rsid w:val="00F938F5"/>
    <w:rsid w:val="00F94850"/>
    <w:rsid w:val="00F94EA1"/>
    <w:rsid w:val="00F97E28"/>
    <w:rsid w:val="00FA6653"/>
    <w:rsid w:val="00FB1DFB"/>
    <w:rsid w:val="00FB1F67"/>
    <w:rsid w:val="00FB50A2"/>
    <w:rsid w:val="00FB74E0"/>
    <w:rsid w:val="00FC7D84"/>
    <w:rsid w:val="00FD24E2"/>
    <w:rsid w:val="00FD50D4"/>
    <w:rsid w:val="00FD6E74"/>
    <w:rsid w:val="00FE0424"/>
    <w:rsid w:val="00FE2251"/>
    <w:rsid w:val="00FE3D30"/>
    <w:rsid w:val="00FF2CE6"/>
    <w:rsid w:val="00FF40A5"/>
    <w:rsid w:val="00FF64ED"/>
    <w:rsid w:val="0166774B"/>
    <w:rsid w:val="02DD56C1"/>
    <w:rsid w:val="030D7299"/>
    <w:rsid w:val="03446B17"/>
    <w:rsid w:val="035B150A"/>
    <w:rsid w:val="035D4211"/>
    <w:rsid w:val="037D5EE3"/>
    <w:rsid w:val="03CC780E"/>
    <w:rsid w:val="03D346AC"/>
    <w:rsid w:val="04657F2A"/>
    <w:rsid w:val="04CF6E29"/>
    <w:rsid w:val="059366CF"/>
    <w:rsid w:val="05D00163"/>
    <w:rsid w:val="060D3D6A"/>
    <w:rsid w:val="077C34B8"/>
    <w:rsid w:val="07A209C4"/>
    <w:rsid w:val="07A44CC5"/>
    <w:rsid w:val="080D26DA"/>
    <w:rsid w:val="08284245"/>
    <w:rsid w:val="086F1260"/>
    <w:rsid w:val="0880226D"/>
    <w:rsid w:val="089F2BDE"/>
    <w:rsid w:val="08A76D63"/>
    <w:rsid w:val="08BB2505"/>
    <w:rsid w:val="09377983"/>
    <w:rsid w:val="099A07E1"/>
    <w:rsid w:val="09E64446"/>
    <w:rsid w:val="0A9B4FED"/>
    <w:rsid w:val="0B0C0A79"/>
    <w:rsid w:val="0B451F6A"/>
    <w:rsid w:val="0B7F3FC7"/>
    <w:rsid w:val="0C3703FE"/>
    <w:rsid w:val="0C6F4C8D"/>
    <w:rsid w:val="0D0E0EB6"/>
    <w:rsid w:val="0D6C19B0"/>
    <w:rsid w:val="0D725B91"/>
    <w:rsid w:val="0DE142CB"/>
    <w:rsid w:val="0EDE485D"/>
    <w:rsid w:val="0EF16F8A"/>
    <w:rsid w:val="0FDC1CDC"/>
    <w:rsid w:val="10223C48"/>
    <w:rsid w:val="104B4F2A"/>
    <w:rsid w:val="10D4182A"/>
    <w:rsid w:val="112245AE"/>
    <w:rsid w:val="12206B66"/>
    <w:rsid w:val="12475EA9"/>
    <w:rsid w:val="12492502"/>
    <w:rsid w:val="12AF50E7"/>
    <w:rsid w:val="12CF1390"/>
    <w:rsid w:val="133360BD"/>
    <w:rsid w:val="133B0072"/>
    <w:rsid w:val="13AA767A"/>
    <w:rsid w:val="13F641DB"/>
    <w:rsid w:val="14227D30"/>
    <w:rsid w:val="145B0D83"/>
    <w:rsid w:val="146E4633"/>
    <w:rsid w:val="14740441"/>
    <w:rsid w:val="14E63495"/>
    <w:rsid w:val="150412EA"/>
    <w:rsid w:val="160523BF"/>
    <w:rsid w:val="16CA1264"/>
    <w:rsid w:val="16E3076D"/>
    <w:rsid w:val="171438BA"/>
    <w:rsid w:val="17230955"/>
    <w:rsid w:val="182770BA"/>
    <w:rsid w:val="18863017"/>
    <w:rsid w:val="18AC6D73"/>
    <w:rsid w:val="18D479E5"/>
    <w:rsid w:val="197B401F"/>
    <w:rsid w:val="1A8A76C7"/>
    <w:rsid w:val="1AA72BF2"/>
    <w:rsid w:val="1AD936DC"/>
    <w:rsid w:val="1B4716B4"/>
    <w:rsid w:val="1C08419D"/>
    <w:rsid w:val="1C9F6277"/>
    <w:rsid w:val="1D4D5FFD"/>
    <w:rsid w:val="1D855A12"/>
    <w:rsid w:val="1DAD0DD7"/>
    <w:rsid w:val="1DBD0020"/>
    <w:rsid w:val="1E023CD5"/>
    <w:rsid w:val="1E8A260F"/>
    <w:rsid w:val="1F7A0970"/>
    <w:rsid w:val="1FFD30A0"/>
    <w:rsid w:val="20803F33"/>
    <w:rsid w:val="209E2C67"/>
    <w:rsid w:val="21260DE0"/>
    <w:rsid w:val="216F32CA"/>
    <w:rsid w:val="22124112"/>
    <w:rsid w:val="23BE7468"/>
    <w:rsid w:val="23D07304"/>
    <w:rsid w:val="23F32A04"/>
    <w:rsid w:val="23F57352"/>
    <w:rsid w:val="24662DA2"/>
    <w:rsid w:val="249A7996"/>
    <w:rsid w:val="255120D8"/>
    <w:rsid w:val="267E2359"/>
    <w:rsid w:val="26BC7CBC"/>
    <w:rsid w:val="27447ED5"/>
    <w:rsid w:val="275F3A77"/>
    <w:rsid w:val="276F1BE4"/>
    <w:rsid w:val="27F438F0"/>
    <w:rsid w:val="284F0253"/>
    <w:rsid w:val="28644870"/>
    <w:rsid w:val="29233D8C"/>
    <w:rsid w:val="29306154"/>
    <w:rsid w:val="2987431B"/>
    <w:rsid w:val="29F51284"/>
    <w:rsid w:val="2A7529CA"/>
    <w:rsid w:val="2AE949DF"/>
    <w:rsid w:val="2B3B474B"/>
    <w:rsid w:val="2B6A14C8"/>
    <w:rsid w:val="2B8D044E"/>
    <w:rsid w:val="2B91155A"/>
    <w:rsid w:val="2B913DE4"/>
    <w:rsid w:val="2BAD264D"/>
    <w:rsid w:val="2BD638DC"/>
    <w:rsid w:val="2BF55032"/>
    <w:rsid w:val="2C016BB8"/>
    <w:rsid w:val="2C46158D"/>
    <w:rsid w:val="2C66290D"/>
    <w:rsid w:val="2CCE400E"/>
    <w:rsid w:val="2D5C161A"/>
    <w:rsid w:val="2D615106"/>
    <w:rsid w:val="2D77461B"/>
    <w:rsid w:val="2D857CDE"/>
    <w:rsid w:val="2DB37383"/>
    <w:rsid w:val="2DFF3115"/>
    <w:rsid w:val="2E101916"/>
    <w:rsid w:val="2E1D3C7A"/>
    <w:rsid w:val="2E400C5F"/>
    <w:rsid w:val="2E5209E3"/>
    <w:rsid w:val="2EB01AFE"/>
    <w:rsid w:val="2EEA3421"/>
    <w:rsid w:val="2FAF5806"/>
    <w:rsid w:val="300D2403"/>
    <w:rsid w:val="30592C7B"/>
    <w:rsid w:val="30946572"/>
    <w:rsid w:val="30B20467"/>
    <w:rsid w:val="30D1119A"/>
    <w:rsid w:val="30F12F4C"/>
    <w:rsid w:val="3112402E"/>
    <w:rsid w:val="313D3E38"/>
    <w:rsid w:val="320A7897"/>
    <w:rsid w:val="325C5837"/>
    <w:rsid w:val="32611BF0"/>
    <w:rsid w:val="3269479A"/>
    <w:rsid w:val="32D62AE0"/>
    <w:rsid w:val="335A2B08"/>
    <w:rsid w:val="337551E4"/>
    <w:rsid w:val="33777759"/>
    <w:rsid w:val="33A83294"/>
    <w:rsid w:val="33D057FD"/>
    <w:rsid w:val="34011E26"/>
    <w:rsid w:val="341B4D23"/>
    <w:rsid w:val="35A2149A"/>
    <w:rsid w:val="365F1A51"/>
    <w:rsid w:val="36A81FB2"/>
    <w:rsid w:val="3722158D"/>
    <w:rsid w:val="375E09FC"/>
    <w:rsid w:val="37ED1634"/>
    <w:rsid w:val="38525FA9"/>
    <w:rsid w:val="38961E84"/>
    <w:rsid w:val="38A51163"/>
    <w:rsid w:val="38E555E6"/>
    <w:rsid w:val="39003F1D"/>
    <w:rsid w:val="39276876"/>
    <w:rsid w:val="392B2930"/>
    <w:rsid w:val="39544BFD"/>
    <w:rsid w:val="3ABB388B"/>
    <w:rsid w:val="3ABC353D"/>
    <w:rsid w:val="3AC853CC"/>
    <w:rsid w:val="3C4C1AAF"/>
    <w:rsid w:val="3C582CD8"/>
    <w:rsid w:val="3C8C2585"/>
    <w:rsid w:val="3CD21D6D"/>
    <w:rsid w:val="3D0B23C6"/>
    <w:rsid w:val="3D474095"/>
    <w:rsid w:val="3DA07301"/>
    <w:rsid w:val="3DD70AAE"/>
    <w:rsid w:val="3E094E14"/>
    <w:rsid w:val="3E2546CD"/>
    <w:rsid w:val="3EFA73C7"/>
    <w:rsid w:val="40531C58"/>
    <w:rsid w:val="40FD3214"/>
    <w:rsid w:val="41192D98"/>
    <w:rsid w:val="413E5CD9"/>
    <w:rsid w:val="41485DDC"/>
    <w:rsid w:val="42927B60"/>
    <w:rsid w:val="43425F9D"/>
    <w:rsid w:val="436C47C5"/>
    <w:rsid w:val="43BF1A33"/>
    <w:rsid w:val="43E16B02"/>
    <w:rsid w:val="43F465D0"/>
    <w:rsid w:val="442A053D"/>
    <w:rsid w:val="44440739"/>
    <w:rsid w:val="446F65B8"/>
    <w:rsid w:val="44A122DD"/>
    <w:rsid w:val="44DE5AD1"/>
    <w:rsid w:val="44ED2FF0"/>
    <w:rsid w:val="44F057A6"/>
    <w:rsid w:val="45085EB8"/>
    <w:rsid w:val="45107F7F"/>
    <w:rsid w:val="454E21E4"/>
    <w:rsid w:val="459C5E40"/>
    <w:rsid w:val="45A95346"/>
    <w:rsid w:val="462A19D1"/>
    <w:rsid w:val="46416F41"/>
    <w:rsid w:val="46C4203A"/>
    <w:rsid w:val="46E36556"/>
    <w:rsid w:val="46F6689C"/>
    <w:rsid w:val="470E29AE"/>
    <w:rsid w:val="47AC3472"/>
    <w:rsid w:val="484750E6"/>
    <w:rsid w:val="49793CA3"/>
    <w:rsid w:val="49CB0CCD"/>
    <w:rsid w:val="49EC2046"/>
    <w:rsid w:val="4A266DE0"/>
    <w:rsid w:val="4AA610D6"/>
    <w:rsid w:val="4AD16064"/>
    <w:rsid w:val="4B0C055A"/>
    <w:rsid w:val="4B7D446C"/>
    <w:rsid w:val="4B8464B4"/>
    <w:rsid w:val="4C54768E"/>
    <w:rsid w:val="4C5D54D6"/>
    <w:rsid w:val="4C8B4A7C"/>
    <w:rsid w:val="4CD751A0"/>
    <w:rsid w:val="4CE423C8"/>
    <w:rsid w:val="4CFC368B"/>
    <w:rsid w:val="4D341E7F"/>
    <w:rsid w:val="4D3644C9"/>
    <w:rsid w:val="4D46216D"/>
    <w:rsid w:val="4E7D412D"/>
    <w:rsid w:val="4F086AAF"/>
    <w:rsid w:val="4F8E2029"/>
    <w:rsid w:val="5069668A"/>
    <w:rsid w:val="50857486"/>
    <w:rsid w:val="50A83CB2"/>
    <w:rsid w:val="512B42F2"/>
    <w:rsid w:val="513A7B72"/>
    <w:rsid w:val="514216FD"/>
    <w:rsid w:val="51583D23"/>
    <w:rsid w:val="523A35B0"/>
    <w:rsid w:val="529416F9"/>
    <w:rsid w:val="52E55A8A"/>
    <w:rsid w:val="533013BB"/>
    <w:rsid w:val="538E5DEC"/>
    <w:rsid w:val="54352A41"/>
    <w:rsid w:val="54646C7A"/>
    <w:rsid w:val="55592760"/>
    <w:rsid w:val="55654C60"/>
    <w:rsid w:val="56567826"/>
    <w:rsid w:val="56D076DF"/>
    <w:rsid w:val="56E34736"/>
    <w:rsid w:val="56ED33C7"/>
    <w:rsid w:val="56FB15A3"/>
    <w:rsid w:val="572C3C94"/>
    <w:rsid w:val="576F0B4B"/>
    <w:rsid w:val="57806BBC"/>
    <w:rsid w:val="57E8026A"/>
    <w:rsid w:val="58963DA7"/>
    <w:rsid w:val="58D52445"/>
    <w:rsid w:val="592C3305"/>
    <w:rsid w:val="59BE5287"/>
    <w:rsid w:val="59F6057D"/>
    <w:rsid w:val="5A0C2947"/>
    <w:rsid w:val="5A2C7551"/>
    <w:rsid w:val="5A400720"/>
    <w:rsid w:val="5A706581"/>
    <w:rsid w:val="5B74323E"/>
    <w:rsid w:val="5BB80D25"/>
    <w:rsid w:val="5BE30FD5"/>
    <w:rsid w:val="5CD36914"/>
    <w:rsid w:val="5CE96177"/>
    <w:rsid w:val="5CF4139A"/>
    <w:rsid w:val="5D693C9C"/>
    <w:rsid w:val="5D7C6FEB"/>
    <w:rsid w:val="5D800647"/>
    <w:rsid w:val="5DE973D6"/>
    <w:rsid w:val="5E1A530E"/>
    <w:rsid w:val="5E8D2D21"/>
    <w:rsid w:val="5E9E6A52"/>
    <w:rsid w:val="5EBD1212"/>
    <w:rsid w:val="60A710C0"/>
    <w:rsid w:val="60D3786A"/>
    <w:rsid w:val="60D85980"/>
    <w:rsid w:val="60F8107F"/>
    <w:rsid w:val="623F329A"/>
    <w:rsid w:val="625069DB"/>
    <w:rsid w:val="62695E27"/>
    <w:rsid w:val="628242DE"/>
    <w:rsid w:val="62DE530A"/>
    <w:rsid w:val="636127C3"/>
    <w:rsid w:val="63B144A2"/>
    <w:rsid w:val="64016C13"/>
    <w:rsid w:val="64A565FB"/>
    <w:rsid w:val="64D34267"/>
    <w:rsid w:val="6541100E"/>
    <w:rsid w:val="654C0BA8"/>
    <w:rsid w:val="65CB0B10"/>
    <w:rsid w:val="663721DF"/>
    <w:rsid w:val="664352EB"/>
    <w:rsid w:val="672079BD"/>
    <w:rsid w:val="67A27F96"/>
    <w:rsid w:val="683E7EE4"/>
    <w:rsid w:val="696610E4"/>
    <w:rsid w:val="6A1110F5"/>
    <w:rsid w:val="6A83721D"/>
    <w:rsid w:val="6AE21101"/>
    <w:rsid w:val="6B0845B4"/>
    <w:rsid w:val="6B0C207B"/>
    <w:rsid w:val="6B4F3B9E"/>
    <w:rsid w:val="6B533A81"/>
    <w:rsid w:val="6BD63153"/>
    <w:rsid w:val="6C3F7B62"/>
    <w:rsid w:val="6C5B55DC"/>
    <w:rsid w:val="6CAE03DD"/>
    <w:rsid w:val="6CE56E6B"/>
    <w:rsid w:val="6D032DAA"/>
    <w:rsid w:val="6D156B14"/>
    <w:rsid w:val="6E005A26"/>
    <w:rsid w:val="6E6329C5"/>
    <w:rsid w:val="6EAB5BC9"/>
    <w:rsid w:val="6EC15CE0"/>
    <w:rsid w:val="6EEE75B5"/>
    <w:rsid w:val="6EFF345A"/>
    <w:rsid w:val="6F0E41D6"/>
    <w:rsid w:val="6F6D60C5"/>
    <w:rsid w:val="6FB4540B"/>
    <w:rsid w:val="70270977"/>
    <w:rsid w:val="705E6F86"/>
    <w:rsid w:val="70C73255"/>
    <w:rsid w:val="710E21F8"/>
    <w:rsid w:val="71610FBE"/>
    <w:rsid w:val="71BB16BD"/>
    <w:rsid w:val="725008FF"/>
    <w:rsid w:val="72534E9D"/>
    <w:rsid w:val="72760778"/>
    <w:rsid w:val="72EE0533"/>
    <w:rsid w:val="743104E3"/>
    <w:rsid w:val="74320C3C"/>
    <w:rsid w:val="74452AAF"/>
    <w:rsid w:val="744F2989"/>
    <w:rsid w:val="74513162"/>
    <w:rsid w:val="75431AF8"/>
    <w:rsid w:val="757B75BC"/>
    <w:rsid w:val="75DC381F"/>
    <w:rsid w:val="75F145C2"/>
    <w:rsid w:val="76A665D3"/>
    <w:rsid w:val="771559BF"/>
    <w:rsid w:val="77C9281F"/>
    <w:rsid w:val="78AC657F"/>
    <w:rsid w:val="78BD1F9D"/>
    <w:rsid w:val="78BD64D9"/>
    <w:rsid w:val="78FD327E"/>
    <w:rsid w:val="79201CE1"/>
    <w:rsid w:val="79B14724"/>
    <w:rsid w:val="7A1E525A"/>
    <w:rsid w:val="7A5C10F0"/>
    <w:rsid w:val="7B1253A7"/>
    <w:rsid w:val="7B3E0A41"/>
    <w:rsid w:val="7C110926"/>
    <w:rsid w:val="7C323980"/>
    <w:rsid w:val="7C8E42E9"/>
    <w:rsid w:val="7CB76ED8"/>
    <w:rsid w:val="7D5F712A"/>
    <w:rsid w:val="7D69723F"/>
    <w:rsid w:val="7DA95783"/>
    <w:rsid w:val="7DAE6AAD"/>
    <w:rsid w:val="7E165FAD"/>
    <w:rsid w:val="7E734C09"/>
    <w:rsid w:val="7F0D7F93"/>
    <w:rsid w:val="7F4F09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7"/>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etrolite 2 Com Roman" w:hAnsi="Metrolite 2 Com Roman" w:eastAsia="宋体" w:cs="Metrolite 2 Com Roman"/>
      <w:color w:val="000000"/>
      <w:sz w:val="24"/>
      <w:szCs w:val="24"/>
      <w:lang w:val="en-US" w:eastAsia="zh-CN" w:bidi="ar-SA"/>
    </w:rPr>
  </w:style>
  <w:style w:type="paragraph" w:styleId="7">
    <w:name w:val="Normal Indent"/>
    <w:basedOn w:val="1"/>
    <w:link w:val="44"/>
    <w:qFormat/>
    <w:uiPriority w:val="99"/>
    <w:pPr>
      <w:widowControl/>
      <w:adjustRightInd w:val="0"/>
      <w:spacing w:line="360" w:lineRule="atLeast"/>
      <w:ind w:firstLine="482"/>
      <w:jc w:val="left"/>
      <w:textAlignment w:val="baseline"/>
    </w:pPr>
    <w:rPr>
      <w:rFonts w:ascii="Calibri" w:hAnsi="Calibri" w:eastAsia="汉仪细等线繁"/>
      <w:kern w:val="0"/>
      <w:sz w:val="24"/>
    </w:rPr>
  </w:style>
  <w:style w:type="paragraph" w:styleId="8">
    <w:name w:val="Document Map"/>
    <w:basedOn w:val="1"/>
    <w:link w:val="28"/>
    <w:qFormat/>
    <w:uiPriority w:val="99"/>
    <w:rPr>
      <w:rFonts w:ascii="宋体"/>
      <w:sz w:val="18"/>
      <w:szCs w:val="18"/>
    </w:rPr>
  </w:style>
  <w:style w:type="paragraph" w:styleId="9">
    <w:name w:val="annotation text"/>
    <w:basedOn w:val="1"/>
    <w:link w:val="29"/>
    <w:qFormat/>
    <w:uiPriority w:val="99"/>
    <w:pPr>
      <w:jc w:val="left"/>
    </w:pPr>
  </w:style>
  <w:style w:type="paragraph" w:styleId="10">
    <w:name w:val="Body Text"/>
    <w:basedOn w:val="1"/>
    <w:link w:val="30"/>
    <w:qFormat/>
    <w:uiPriority w:val="99"/>
    <w:pPr>
      <w:spacing w:after="120"/>
    </w:pPr>
  </w:style>
  <w:style w:type="paragraph" w:styleId="11">
    <w:name w:val="Plain Text"/>
    <w:basedOn w:val="1"/>
    <w:link w:val="46"/>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1"/>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1"/>
    <w:semiHidden/>
    <w:qFormat/>
    <w:uiPriority w:val="99"/>
    <w:rPr>
      <w:b/>
      <w:bCs/>
    </w:rPr>
  </w:style>
  <w:style w:type="paragraph" w:styleId="18">
    <w:name w:val="Body Text First Indent"/>
    <w:basedOn w:val="10"/>
    <w:link w:val="34"/>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rFonts w:cs="Times New Roman"/>
      <w:color w:val="0000FF"/>
      <w:u w:val="single"/>
    </w:rPr>
  </w:style>
  <w:style w:type="character" w:styleId="23">
    <w:name w:val="annotation reference"/>
    <w:basedOn w:val="21"/>
    <w:qFormat/>
    <w:uiPriority w:val="99"/>
    <w:rPr>
      <w:rFonts w:cs="Times New Roman"/>
      <w:sz w:val="21"/>
      <w:szCs w:val="21"/>
    </w:rPr>
  </w:style>
  <w:style w:type="character" w:customStyle="1" w:styleId="24">
    <w:name w:val="标题 1 字符"/>
    <w:basedOn w:val="21"/>
    <w:link w:val="3"/>
    <w:qFormat/>
    <w:locked/>
    <w:uiPriority w:val="99"/>
    <w:rPr>
      <w:rFonts w:ascii="Times New Roman" w:hAnsi="Times New Roman" w:eastAsia="宋体" w:cs="Times New Roman"/>
      <w:b/>
      <w:bCs/>
      <w:kern w:val="44"/>
      <w:sz w:val="44"/>
      <w:szCs w:val="44"/>
    </w:rPr>
  </w:style>
  <w:style w:type="character" w:customStyle="1" w:styleId="25">
    <w:name w:val="标题 2 字符"/>
    <w:basedOn w:val="21"/>
    <w:link w:val="4"/>
    <w:qFormat/>
    <w:locked/>
    <w:uiPriority w:val="99"/>
    <w:rPr>
      <w:rFonts w:ascii="Cambria" w:hAnsi="Cambria" w:eastAsia="宋体" w:cs="Times New Roman"/>
      <w:b/>
      <w:bCs/>
      <w:kern w:val="2"/>
      <w:sz w:val="32"/>
      <w:szCs w:val="32"/>
    </w:rPr>
  </w:style>
  <w:style w:type="character" w:customStyle="1" w:styleId="26">
    <w:name w:val="标题 3 字符"/>
    <w:basedOn w:val="21"/>
    <w:link w:val="5"/>
    <w:qFormat/>
    <w:locked/>
    <w:uiPriority w:val="99"/>
    <w:rPr>
      <w:rFonts w:eastAsia="宋体" w:cs="Times New Roman"/>
      <w:b/>
      <w:sz w:val="32"/>
    </w:rPr>
  </w:style>
  <w:style w:type="character" w:customStyle="1" w:styleId="27">
    <w:name w:val="标题 4 字符1"/>
    <w:basedOn w:val="21"/>
    <w:link w:val="6"/>
    <w:qFormat/>
    <w:locked/>
    <w:uiPriority w:val="99"/>
    <w:rPr>
      <w:rFonts w:ascii="Arial" w:hAnsi="Arial" w:eastAsia="黑体" w:cs="Times New Roman"/>
      <w:b/>
      <w:bCs/>
      <w:kern w:val="2"/>
      <w:sz w:val="28"/>
      <w:szCs w:val="28"/>
    </w:rPr>
  </w:style>
  <w:style w:type="character" w:customStyle="1" w:styleId="28">
    <w:name w:val="文档结构图 字符"/>
    <w:basedOn w:val="21"/>
    <w:link w:val="8"/>
    <w:qFormat/>
    <w:locked/>
    <w:uiPriority w:val="99"/>
    <w:rPr>
      <w:rFonts w:ascii="宋体" w:hAnsi="Times New Roman" w:eastAsia="宋体" w:cs="Times New Roman"/>
      <w:kern w:val="2"/>
      <w:sz w:val="18"/>
      <w:szCs w:val="18"/>
    </w:rPr>
  </w:style>
  <w:style w:type="character" w:customStyle="1" w:styleId="29">
    <w:name w:val="批注文字 字符"/>
    <w:basedOn w:val="21"/>
    <w:link w:val="9"/>
    <w:qFormat/>
    <w:locked/>
    <w:uiPriority w:val="99"/>
    <w:rPr>
      <w:rFonts w:ascii="Times New Roman" w:hAnsi="Times New Roman" w:cs="Times New Roman"/>
      <w:kern w:val="2"/>
      <w:sz w:val="21"/>
    </w:rPr>
  </w:style>
  <w:style w:type="character" w:customStyle="1" w:styleId="30">
    <w:name w:val="正文文本 字符"/>
    <w:basedOn w:val="21"/>
    <w:link w:val="10"/>
    <w:qFormat/>
    <w:locked/>
    <w:uiPriority w:val="99"/>
    <w:rPr>
      <w:rFonts w:ascii="Times New Roman" w:hAnsi="Times New Roman" w:eastAsia="宋体" w:cs="Times New Roman"/>
      <w:sz w:val="20"/>
      <w:szCs w:val="20"/>
    </w:rPr>
  </w:style>
  <w:style w:type="character" w:customStyle="1" w:styleId="31">
    <w:name w:val="批注框文本 字符"/>
    <w:basedOn w:val="21"/>
    <w:link w:val="12"/>
    <w:qFormat/>
    <w:locked/>
    <w:uiPriority w:val="99"/>
    <w:rPr>
      <w:rFonts w:ascii="Times New Roman" w:hAnsi="Times New Roman" w:eastAsia="宋体" w:cs="Times New Roman"/>
      <w:kern w:val="2"/>
      <w:sz w:val="18"/>
      <w:szCs w:val="18"/>
    </w:rPr>
  </w:style>
  <w:style w:type="character" w:customStyle="1" w:styleId="32">
    <w:name w:val="页脚 字符"/>
    <w:basedOn w:val="21"/>
    <w:link w:val="13"/>
    <w:qFormat/>
    <w:locked/>
    <w:uiPriority w:val="99"/>
    <w:rPr>
      <w:rFonts w:ascii="Times New Roman" w:hAnsi="Times New Roman" w:eastAsia="宋体" w:cs="Times New Roman"/>
      <w:sz w:val="18"/>
      <w:szCs w:val="18"/>
    </w:rPr>
  </w:style>
  <w:style w:type="character" w:customStyle="1" w:styleId="33">
    <w:name w:val="页眉 字符"/>
    <w:basedOn w:val="21"/>
    <w:link w:val="14"/>
    <w:qFormat/>
    <w:locked/>
    <w:uiPriority w:val="99"/>
    <w:rPr>
      <w:rFonts w:ascii="Times New Roman" w:hAnsi="Times New Roman" w:eastAsia="宋体" w:cs="Times New Roman"/>
      <w:sz w:val="18"/>
      <w:szCs w:val="18"/>
    </w:rPr>
  </w:style>
  <w:style w:type="character" w:customStyle="1" w:styleId="34">
    <w:name w:val="正文文本首行缩进 字符"/>
    <w:basedOn w:val="30"/>
    <w:link w:val="18"/>
    <w:qFormat/>
    <w:locked/>
    <w:uiPriority w:val="99"/>
    <w:rPr>
      <w:rFonts w:ascii="Times New Roman" w:hAnsi="Times New Roman" w:eastAsia="宋体" w:cs="Times New Roman"/>
      <w:sz w:val="20"/>
      <w:szCs w:val="20"/>
    </w:rPr>
  </w:style>
  <w:style w:type="character" w:customStyle="1" w:styleId="35">
    <w:name w:val="正文缩进2格 Char"/>
    <w:link w:val="36"/>
    <w:qFormat/>
    <w:locked/>
    <w:uiPriority w:val="99"/>
    <w:rPr>
      <w:rFonts w:ascii="仿宋_GB2312" w:hAnsi="宋体" w:eastAsia="仿宋_GB2312"/>
      <w:sz w:val="31"/>
    </w:rPr>
  </w:style>
  <w:style w:type="paragraph" w:customStyle="1" w:styleId="36">
    <w:name w:val="正文缩进2格"/>
    <w:basedOn w:val="1"/>
    <w:link w:val="35"/>
    <w:qFormat/>
    <w:uiPriority w:val="99"/>
    <w:pPr>
      <w:spacing w:line="600" w:lineRule="exact"/>
      <w:ind w:firstLine="639" w:firstLineChars="206"/>
    </w:pPr>
    <w:rPr>
      <w:rFonts w:ascii="仿宋_GB2312" w:hAnsi="宋体" w:eastAsia="仿宋_GB2312"/>
      <w:kern w:val="0"/>
      <w:sz w:val="31"/>
      <w:szCs w:val="31"/>
    </w:rPr>
  </w:style>
  <w:style w:type="paragraph" w:customStyle="1" w:styleId="37">
    <w:name w:val="列出段落1"/>
    <w:basedOn w:val="1"/>
    <w:qFormat/>
    <w:uiPriority w:val="99"/>
    <w:pPr>
      <w:ind w:firstLine="420" w:firstLineChars="200"/>
    </w:pPr>
  </w:style>
  <w:style w:type="paragraph" w:customStyle="1" w:styleId="38">
    <w:name w:val="列出段落2"/>
    <w:basedOn w:val="1"/>
    <w:qFormat/>
    <w:uiPriority w:val="99"/>
    <w:pPr>
      <w:ind w:firstLine="420" w:firstLineChars="200"/>
    </w:pPr>
  </w:style>
  <w:style w:type="paragraph" w:styleId="39">
    <w:name w:val="List Paragraph"/>
    <w:basedOn w:val="1"/>
    <w:qFormat/>
    <w:uiPriority w:val="99"/>
    <w:pPr>
      <w:ind w:firstLine="420" w:firstLineChars="200"/>
    </w:pPr>
  </w:style>
  <w:style w:type="character" w:customStyle="1" w:styleId="40">
    <w:name w:val="fontstyle01"/>
    <w:basedOn w:val="21"/>
    <w:qFormat/>
    <w:uiPriority w:val="99"/>
    <w:rPr>
      <w:rFonts w:ascii="仿宋" w:hAnsi="仿宋" w:eastAsia="仿宋" w:cs="Times New Roman"/>
      <w:color w:val="000000"/>
      <w:sz w:val="28"/>
      <w:szCs w:val="28"/>
    </w:rPr>
  </w:style>
  <w:style w:type="character" w:customStyle="1" w:styleId="41">
    <w:name w:val="！正文 Char"/>
    <w:link w:val="42"/>
    <w:qFormat/>
    <w:locked/>
    <w:uiPriority w:val="99"/>
    <w:rPr>
      <w:rFonts w:ascii="Arial" w:hAnsi="Arial"/>
      <w:sz w:val="24"/>
    </w:rPr>
  </w:style>
  <w:style w:type="paragraph" w:customStyle="1" w:styleId="42">
    <w:name w:val="！正文"/>
    <w:basedOn w:val="1"/>
    <w:link w:val="41"/>
    <w:qFormat/>
    <w:uiPriority w:val="99"/>
    <w:pPr>
      <w:spacing w:line="360" w:lineRule="auto"/>
      <w:ind w:firstLine="200" w:firstLineChars="200"/>
    </w:pPr>
    <w:rPr>
      <w:rFonts w:ascii="Arial" w:hAnsi="Arial" w:eastAsia="汉仪细等线繁"/>
      <w:kern w:val="0"/>
      <w:sz w:val="24"/>
      <w:szCs w:val="24"/>
    </w:rPr>
  </w:style>
  <w:style w:type="paragraph" w:customStyle="1" w:styleId="43">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4">
    <w:name w:val="正文缩进 字符"/>
    <w:link w:val="7"/>
    <w:qFormat/>
    <w:locked/>
    <w:uiPriority w:val="99"/>
    <w:rPr>
      <w:sz w:val="24"/>
    </w:rPr>
  </w:style>
  <w:style w:type="paragraph" w:customStyle="1" w:styleId="45">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6">
    <w:name w:val="纯文本 字符"/>
    <w:basedOn w:val="21"/>
    <w:link w:val="11"/>
    <w:qFormat/>
    <w:locked/>
    <w:uiPriority w:val="99"/>
    <w:rPr>
      <w:rFonts w:ascii="宋体" w:hAnsi="Courier New" w:eastAsia="宋体" w:cs="Times New Roman"/>
      <w:kern w:val="2"/>
      <w:sz w:val="21"/>
      <w:szCs w:val="21"/>
    </w:rPr>
  </w:style>
  <w:style w:type="character" w:customStyle="1" w:styleId="47">
    <w:name w:val="未处理的提及1"/>
    <w:basedOn w:val="21"/>
    <w:semiHidden/>
    <w:qFormat/>
    <w:uiPriority w:val="99"/>
    <w:rPr>
      <w:rFonts w:cs="Times New Roman"/>
      <w:color w:val="605E5C"/>
      <w:shd w:val="clear" w:color="auto" w:fill="E1DFDD"/>
    </w:rPr>
  </w:style>
  <w:style w:type="paragraph" w:customStyle="1" w:styleId="48">
    <w:name w:val="样式"/>
    <w:basedOn w:val="1"/>
    <w:next w:val="39"/>
    <w:qFormat/>
    <w:uiPriority w:val="99"/>
    <w:pPr>
      <w:ind w:firstLine="420" w:firstLineChars="200"/>
    </w:pPr>
    <w:rPr>
      <w:rFonts w:ascii="Calibri" w:hAnsi="Calibri"/>
      <w:szCs w:val="22"/>
    </w:rPr>
  </w:style>
  <w:style w:type="character" w:customStyle="1" w:styleId="49">
    <w:name w:val="Body Text Indent 2 Char Char"/>
    <w:link w:val="50"/>
    <w:qFormat/>
    <w:locked/>
    <w:uiPriority w:val="99"/>
  </w:style>
  <w:style w:type="paragraph" w:customStyle="1" w:styleId="50">
    <w:name w:val="正文文本缩进 21"/>
    <w:basedOn w:val="1"/>
    <w:link w:val="49"/>
    <w:qFormat/>
    <w:uiPriority w:val="99"/>
    <w:pPr>
      <w:adjustRightInd w:val="0"/>
      <w:spacing w:line="480" w:lineRule="auto"/>
      <w:ind w:firstLine="540"/>
    </w:pPr>
    <w:rPr>
      <w:rFonts w:ascii="Calibri" w:hAnsi="Calibri" w:eastAsia="汉仪细等线繁"/>
      <w:kern w:val="0"/>
      <w:sz w:val="20"/>
    </w:rPr>
  </w:style>
  <w:style w:type="character" w:customStyle="1" w:styleId="51">
    <w:name w:val="批注主题 字符"/>
    <w:basedOn w:val="29"/>
    <w:link w:val="17"/>
    <w:semiHidden/>
    <w:qFormat/>
    <w:locked/>
    <w:uiPriority w:val="99"/>
    <w:rPr>
      <w:rFonts w:ascii="Times New Roman" w:hAnsi="Times New Roman" w:eastAsia="宋体" w:cs="Times New Roman"/>
      <w:b/>
      <w:bCs/>
      <w:kern w:val="2"/>
      <w:sz w:val="21"/>
    </w:rPr>
  </w:style>
  <w:style w:type="character" w:customStyle="1" w:styleId="52">
    <w:name w:val="标题 4 字符"/>
    <w:basedOn w:val="21"/>
    <w:semiHidden/>
    <w:qFormat/>
    <w:uiPriority w:val="99"/>
    <w:rPr>
      <w:rFonts w:ascii="Cambria" w:hAnsi="Cambria" w:eastAsia="宋体" w:cs="Times New Roman"/>
      <w:b/>
      <w:bCs/>
      <w:kern w:val="2"/>
      <w:sz w:val="28"/>
      <w:szCs w:val="28"/>
    </w:rPr>
  </w:style>
  <w:style w:type="paragraph" w:customStyle="1" w:styleId="53">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4">
    <w:name w:val="致远要点"/>
    <w:basedOn w:val="39"/>
    <w:link w:val="55"/>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5">
    <w:name w:val="致远要点 字符"/>
    <w:basedOn w:val="21"/>
    <w:link w:val="54"/>
    <w:qFormat/>
    <w:locked/>
    <w:uiPriority w:val="99"/>
    <w:rPr>
      <w:rFonts w:ascii="黑体" w:hAnsi="黑体" w:eastAsia="黑体" w:cs="宋体"/>
      <w:kern w:val="2"/>
      <w:sz w:val="22"/>
      <w:szCs w:val="22"/>
    </w:rPr>
  </w:style>
  <w:style w:type="paragraph" w:customStyle="1" w:styleId="56">
    <w:name w:val="SANGFOR_6_正文"/>
    <w:basedOn w:val="1"/>
    <w:qFormat/>
    <w:uiPriority w:val="99"/>
    <w:pPr>
      <w:spacing w:line="360" w:lineRule="auto"/>
    </w:pPr>
    <w:rPr>
      <w:szCs w:val="24"/>
    </w:rPr>
  </w:style>
  <w:style w:type="character" w:customStyle="1" w:styleId="57">
    <w:name w:val="font51"/>
    <w:basedOn w:val="21"/>
    <w:qFormat/>
    <w:uiPriority w:val="0"/>
    <w:rPr>
      <w:rFonts w:hint="eastAsia" w:ascii="微软雅黑" w:hAnsi="微软雅黑" w:eastAsia="微软雅黑" w:cs="微软雅黑"/>
      <w:color w:val="FF0000"/>
      <w:sz w:val="28"/>
      <w:szCs w:val="28"/>
      <w:u w:val="none"/>
    </w:rPr>
  </w:style>
  <w:style w:type="paragraph" w:customStyle="1" w:styleId="5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5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FEEA-DB8C-4F00-8753-8DD194299836}">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4778</Words>
  <Characters>4938</Characters>
  <Lines>336</Lines>
  <Paragraphs>300</Paragraphs>
  <TotalTime>2394</TotalTime>
  <ScaleCrop>false</ScaleCrop>
  <LinksUpToDate>false</LinksUpToDate>
  <CharactersWithSpaces>5130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2025-05-08T22:04:00Z</dcterms:created>
  <dc:creator>DGSY</dc:creator>
  <cp:lastModifiedBy>吴洪林</cp:lastModifiedBy>
  <cp:lastPrinted>2025-09-18T08:37:00Z</cp:lastPrinted>
  <dcterms:modified xsi:type="dcterms:W3CDTF">2026-05-22T01:17:08Z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C7A2F5F9F252401DBD6A9430E5ED8387_13</vt:lpwstr>
  </property>
  <property fmtid="{D5CDD505-2E9C-101B-9397-08002B2CF9AE}" pid="4" name="KSOTemplateDocerSaveRecord">
    <vt:lpwstr>eyJoZGlkIjoiZjg5YjI1ZjFkY2QyNGQ0MDg2NzMxMjJmZDg4ZTI1NmIiLCJ1c2VySWQiOiIxNjA0NzkzMjAxIn0=</vt:lpwstr>
  </property>
</Properties>
</file>