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F80F5">
      <w:pPr>
        <w:rPr>
          <w:rFonts w:hint="default" w:ascii="Times New Roman" w:hAnsi="Times New Roman" w:eastAsia="仿宋" w:cs="Times New Roman"/>
          <w:color w:val="000000"/>
          <w:sz w:val="28"/>
          <w:szCs w:val="28"/>
          <w:lang w:val="en-US" w:eastAsia="zh-CN"/>
        </w:rPr>
      </w:pPr>
      <w:bookmarkStart w:id="6" w:name="_GoBack"/>
      <w:bookmarkEnd w:id="6"/>
      <w:r>
        <w:rPr>
          <w:rFonts w:hint="default" w:ascii="Times New Roman" w:hAnsi="Times New Roman" w:eastAsia="仿宋" w:cs="Times New Roman"/>
          <w:color w:val="000000"/>
          <w:sz w:val="28"/>
          <w:szCs w:val="28"/>
          <w:lang w:val="en-US" w:eastAsia="zh-CN"/>
        </w:rPr>
        <w:t>附件：</w:t>
      </w:r>
    </w:p>
    <w:p w14:paraId="013331F7">
      <w:pPr>
        <w:rPr>
          <w:rFonts w:hint="default" w:ascii="Times New Roman" w:hAnsi="Times New Roman" w:eastAsia="仿宋" w:cs="Times New Roman"/>
          <w:sz w:val="28"/>
          <w:szCs w:val="28"/>
        </w:rPr>
      </w:pPr>
    </w:p>
    <w:p w14:paraId="2410870E">
      <w:pPr>
        <w:rPr>
          <w:rFonts w:hint="default" w:ascii="Times New Roman" w:hAnsi="Times New Roman" w:eastAsia="仿宋" w:cs="Times New Roman"/>
          <w:sz w:val="28"/>
          <w:szCs w:val="28"/>
        </w:rPr>
      </w:pPr>
    </w:p>
    <w:p w14:paraId="2919F204">
      <w:pPr>
        <w:rPr>
          <w:rFonts w:hint="default" w:ascii="Times New Roman" w:hAnsi="Times New Roman" w:eastAsia="仿宋" w:cs="Times New Roman"/>
          <w:sz w:val="28"/>
          <w:szCs w:val="28"/>
        </w:rPr>
      </w:pPr>
    </w:p>
    <w:p w14:paraId="63663ED5">
      <w:pPr>
        <w:rPr>
          <w:rFonts w:hint="default" w:ascii="Times New Roman" w:hAnsi="Times New Roman" w:eastAsia="仿宋" w:cs="Times New Roman"/>
          <w:sz w:val="28"/>
          <w:szCs w:val="28"/>
        </w:rPr>
      </w:pPr>
    </w:p>
    <w:p w14:paraId="6B3A072B">
      <w:pPr>
        <w:widowControl/>
        <w:spacing w:line="360" w:lineRule="auto"/>
        <w:jc w:val="center"/>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lang w:val="en-US" w:eastAsia="zh-CN"/>
        </w:rPr>
        <w:t>新东欣公司2026年</w:t>
      </w:r>
      <w:r>
        <w:rPr>
          <w:rFonts w:hint="default" w:ascii="Times New Roman" w:hAnsi="Times New Roman" w:eastAsia="仿宋" w:cs="Times New Roman"/>
          <w:b/>
          <w:bCs/>
          <w:sz w:val="44"/>
          <w:szCs w:val="44"/>
        </w:rPr>
        <w:t>焚烧车间高盐脱酸废水回喷急冷塔阻盐剂采购</w:t>
      </w:r>
      <w:r>
        <w:rPr>
          <w:rFonts w:hint="default" w:ascii="Times New Roman" w:hAnsi="Times New Roman" w:eastAsia="仿宋" w:cs="Times New Roman"/>
          <w:b/>
          <w:bCs/>
          <w:sz w:val="44"/>
          <w:szCs w:val="44"/>
          <w:lang w:val="en-US" w:eastAsia="zh-CN"/>
        </w:rPr>
        <w:t>技术</w:t>
      </w:r>
      <w:r>
        <w:rPr>
          <w:rFonts w:hint="default" w:ascii="Times New Roman" w:hAnsi="Times New Roman" w:eastAsia="仿宋" w:cs="Times New Roman"/>
          <w:b/>
          <w:bCs/>
          <w:sz w:val="44"/>
          <w:szCs w:val="44"/>
        </w:rPr>
        <w:t>需求书</w:t>
      </w:r>
    </w:p>
    <w:p w14:paraId="2C31DBB5">
      <w:pPr>
        <w:rPr>
          <w:rFonts w:hint="default" w:ascii="Times New Roman" w:hAnsi="Times New Roman" w:eastAsia="仿宋" w:cs="Times New Roman"/>
          <w:sz w:val="28"/>
          <w:szCs w:val="28"/>
        </w:rPr>
      </w:pPr>
    </w:p>
    <w:p w14:paraId="0FC67590">
      <w:pPr>
        <w:rPr>
          <w:rFonts w:hint="default" w:ascii="Times New Roman" w:hAnsi="Times New Roman" w:eastAsia="仿宋" w:cs="Times New Roman"/>
          <w:sz w:val="28"/>
          <w:szCs w:val="28"/>
        </w:rPr>
      </w:pPr>
    </w:p>
    <w:p w14:paraId="4B98E1BD">
      <w:pPr>
        <w:rPr>
          <w:rFonts w:hint="default" w:ascii="Times New Roman" w:hAnsi="Times New Roman" w:eastAsia="仿宋" w:cs="Times New Roman"/>
          <w:sz w:val="28"/>
          <w:szCs w:val="28"/>
        </w:rPr>
      </w:pPr>
    </w:p>
    <w:p w14:paraId="4318F3FD">
      <w:pPr>
        <w:rPr>
          <w:rFonts w:hint="default" w:ascii="Times New Roman" w:hAnsi="Times New Roman" w:eastAsia="仿宋" w:cs="Times New Roman"/>
          <w:sz w:val="28"/>
          <w:szCs w:val="28"/>
        </w:rPr>
      </w:pPr>
    </w:p>
    <w:p w14:paraId="2F551311">
      <w:pPr>
        <w:rPr>
          <w:rFonts w:hint="default" w:ascii="Times New Roman" w:hAnsi="Times New Roman" w:eastAsia="仿宋" w:cs="Times New Roman"/>
          <w:sz w:val="28"/>
          <w:szCs w:val="28"/>
        </w:rPr>
      </w:pPr>
    </w:p>
    <w:p w14:paraId="462BB174">
      <w:pPr>
        <w:spacing w:line="48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采购</w:t>
      </w:r>
      <w:r>
        <w:rPr>
          <w:rFonts w:hint="default" w:ascii="Times New Roman" w:hAnsi="Times New Roman" w:eastAsia="仿宋" w:cs="Times New Roman"/>
          <w:sz w:val="32"/>
          <w:szCs w:val="32"/>
        </w:rPr>
        <w:t>人：东莞市新东欣环保投资有限公司</w:t>
      </w:r>
    </w:p>
    <w:p w14:paraId="15439772">
      <w:pPr>
        <w:spacing w:line="480" w:lineRule="auto"/>
        <w:jc w:val="center"/>
        <w:rPr>
          <w:rFonts w:hint="default" w:ascii="Times New Roman" w:hAnsi="Times New Roman" w:eastAsia="仿宋" w:cs="Times New Roman"/>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titlePg/>
          <w:docGrid w:type="linesAndChars" w:linePitch="317" w:charSpace="609"/>
        </w:sect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p>
    <w:p w14:paraId="5D159DE5">
      <w:pPr>
        <w:pStyle w:val="2"/>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东莞市海心沙资源综合利用中心绿色工业服务项目焚烧车间焚烧线尾气处理工段的急冷系统已进行技术改造，急冷用水采用湿法脱酸废水替代生产水，即高盐废水回喷急冷塔，实现焚烧车间高盐废水再利用，以降低高盐脱酸废水处理成本。但高盐废水直接回喷急冷塔，会在急冷塔内壁会形成大块坚硬的盐块，堵塞喷枪和烟气通道，同时也会造成急冷塔内壁腐蚀，影响设备运行寿命。为此，需采购行业内有成功运用案例的阻盐剂产品，解决高盐废水回喷急冷塔后的结焦问题。</w:t>
      </w:r>
    </w:p>
    <w:p w14:paraId="21573DD9">
      <w:pPr>
        <w:pStyle w:val="10"/>
        <w:widowControl/>
        <w:numPr>
          <w:ilvl w:val="0"/>
          <w:numId w:val="1"/>
        </w:numPr>
        <w:spacing w:before="156" w:beforeLines="50" w:after="156" w:afterLines="50" w:line="360" w:lineRule="auto"/>
        <w:ind w:firstLineChars="0"/>
        <w:jc w:val="left"/>
        <w:outlineLvl w:val="0"/>
        <w:rPr>
          <w:rFonts w:hint="default" w:ascii="Times New Roman" w:hAnsi="Times New Roman" w:eastAsia="仿宋" w:cs="Times New Roman"/>
          <w:b/>
          <w:color w:val="000000"/>
          <w:sz w:val="28"/>
          <w:szCs w:val="28"/>
        </w:rPr>
      </w:pPr>
      <w:bookmarkStart w:id="0" w:name="_Toc28960236"/>
      <w:bookmarkStart w:id="1" w:name="_Toc25338015"/>
      <w:r>
        <w:rPr>
          <w:rFonts w:hint="default" w:ascii="Times New Roman" w:hAnsi="Times New Roman" w:eastAsia="仿宋" w:cs="Times New Roman"/>
          <w:b/>
          <w:color w:val="000000"/>
          <w:sz w:val="28"/>
          <w:szCs w:val="28"/>
        </w:rPr>
        <w:t>项目概况</w:t>
      </w:r>
      <w:bookmarkEnd w:id="0"/>
      <w:bookmarkEnd w:id="1"/>
    </w:p>
    <w:p w14:paraId="03125C3F">
      <w:pPr>
        <w:pStyle w:val="2"/>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焚烧回转窑的烟气处理采用“回转窑焚烧+二燃室+余热锅炉+急冷塔+布袋除尘器+两级湿法脱酸+ GGH + SGH + SCR”工艺。其中，湿法脱酸过程会产生大量高盐废水，需送至物化废水车间，采用“预处理+蒸发结晶”工艺处理。预处理过程中，会带入大量盐类（碳酸钙等），同时产生大量物化污泥及结晶盐泥，产生巨额费用。</w:t>
      </w:r>
    </w:p>
    <w:p w14:paraId="460CFC94">
      <w:pPr>
        <w:pStyle w:val="2"/>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因此，焚烧车间回转窑尾气处理工段急冷系统在2021年8月3日开始采用湿法脱酸水废水替代生产水，实现高盐废水再利用。虽然解决了高盐废水再利用的问题，但在高盐废水再利用期间，急冷系统产生的飞灰呈块状现象，产生结盐现象。由于盐分的增加，导致飞灰容易粘结、挂壁，容易造成急冷塔内壁腐蚀、下灰口及烟气管道堵塞，影响系统安全稳定运行，且挂壁飞灰坚实，造成人工清理难度大。故当前需要采购阻盐剂，投加至回喷急冷的高盐水中。阻盐剂的投加主要是缓解飞灰挂壁，下灰口及烟气烟道堵塞，延长急冷系统持续运行时间，降低人工清理难度。</w:t>
      </w:r>
    </w:p>
    <w:p w14:paraId="0997DC1F">
      <w:pPr>
        <w:pStyle w:val="10"/>
        <w:widowControl/>
        <w:numPr>
          <w:ilvl w:val="0"/>
          <w:numId w:val="1"/>
        </w:numPr>
        <w:spacing w:before="156" w:beforeLines="50" w:after="156" w:afterLines="50" w:line="360" w:lineRule="auto"/>
        <w:ind w:firstLineChars="0"/>
        <w:jc w:val="left"/>
        <w:outlineLvl w:val="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使用目的</w:t>
      </w:r>
    </w:p>
    <w:p w14:paraId="21F60FA0">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焚烧车间提供急冷塔及高盐水箱，用于此次阻盐剂试用使用。主要解决高盐水回喷急冷塔结盐和挂壁问题，延长急冷系统持续运行时间，降低人工清理难度。具体应达到如下目的：</w:t>
      </w:r>
    </w:p>
    <w:p w14:paraId="6E91984B">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1、高盐水阻盐剂投加后，急冷下灰颗粒较于未投加时，要求下灰颗粒要有明显的干燥无硬块，急冷塔无湿底，降低人工清理难度，塔壁无结盐或挂壁情况得到改善；</w:t>
      </w:r>
    </w:p>
    <w:p w14:paraId="54000AC6">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2、高盐水阻盐剂投加后，降低高盐水处置成本，结盐情况能够在可控范围内，不影响生产。</w:t>
      </w:r>
    </w:p>
    <w:p w14:paraId="102C8A52">
      <w:pPr>
        <w:widowControl/>
        <w:spacing w:before="156" w:beforeLines="50" w:after="156" w:afterLines="50" w:line="360" w:lineRule="auto"/>
        <w:jc w:val="left"/>
        <w:outlineLvl w:val="0"/>
        <w:rPr>
          <w:rFonts w:hint="default" w:ascii="Times New Roman" w:hAnsi="Times New Roman" w:eastAsia="仿宋" w:cs="Times New Roman"/>
          <w:b/>
          <w:color w:val="000000"/>
          <w:sz w:val="28"/>
          <w:szCs w:val="28"/>
        </w:rPr>
      </w:pPr>
      <w:bookmarkStart w:id="2" w:name="_Toc28960237"/>
      <w:bookmarkStart w:id="3" w:name="_Toc25338016"/>
      <w:r>
        <w:rPr>
          <w:rFonts w:hint="default" w:ascii="Times New Roman" w:hAnsi="Times New Roman" w:eastAsia="仿宋" w:cs="Times New Roman"/>
          <w:b/>
          <w:color w:val="000000"/>
          <w:sz w:val="28"/>
          <w:szCs w:val="28"/>
        </w:rPr>
        <w:t>三、需求内容</w:t>
      </w:r>
      <w:bookmarkEnd w:id="2"/>
      <w:bookmarkEnd w:id="3"/>
    </w:p>
    <w:p w14:paraId="17C33692">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w:t>
      </w:r>
      <w:r>
        <w:rPr>
          <w:rFonts w:hint="default" w:ascii="Times New Roman" w:hAnsi="Times New Roman" w:eastAsia="仿宋" w:cs="Times New Roman"/>
          <w:color w:val="000000"/>
          <w:sz w:val="28"/>
          <w:szCs w:val="28"/>
          <w:lang w:val="en-US" w:eastAsia="zh-CN"/>
        </w:rPr>
        <w:t>成交人</w:t>
      </w:r>
      <w:r>
        <w:rPr>
          <w:rFonts w:hint="default" w:ascii="Times New Roman" w:hAnsi="Times New Roman" w:eastAsia="仿宋" w:cs="Times New Roman"/>
          <w:color w:val="000000"/>
          <w:sz w:val="28"/>
          <w:szCs w:val="28"/>
        </w:rPr>
        <w:t>提供满足生产需求的阻盐剂产品。</w:t>
      </w:r>
    </w:p>
    <w:p w14:paraId="37113D28">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w:t>
      </w:r>
      <w:r>
        <w:rPr>
          <w:rFonts w:hint="default" w:ascii="Times New Roman" w:hAnsi="Times New Roman" w:eastAsia="仿宋" w:cs="Times New Roman"/>
          <w:color w:val="000000"/>
          <w:sz w:val="28"/>
          <w:szCs w:val="28"/>
          <w:lang w:val="en-US" w:eastAsia="zh-CN"/>
        </w:rPr>
        <w:t>成交人需</w:t>
      </w:r>
      <w:r>
        <w:rPr>
          <w:rFonts w:hint="default" w:ascii="Times New Roman" w:hAnsi="Times New Roman" w:eastAsia="仿宋" w:cs="Times New Roman"/>
          <w:color w:val="000000"/>
          <w:sz w:val="28"/>
          <w:szCs w:val="28"/>
        </w:rPr>
        <w:t>安排技术人员现场踏勘，掌握工况条件，调整工艺参数。</w:t>
      </w:r>
    </w:p>
    <w:p w14:paraId="46F0167E">
      <w:pPr>
        <w:pStyle w:val="2"/>
        <w:spacing w:after="0"/>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w:t>
      </w:r>
      <w:r>
        <w:rPr>
          <w:rFonts w:hint="default" w:ascii="Times New Roman" w:hAnsi="Times New Roman" w:eastAsia="仿宋" w:cs="Times New Roman"/>
          <w:color w:val="000000"/>
          <w:sz w:val="28"/>
          <w:szCs w:val="28"/>
          <w:lang w:eastAsia="zh-CN"/>
        </w:rPr>
        <w:t>成交人</w:t>
      </w:r>
      <w:r>
        <w:rPr>
          <w:rFonts w:hint="default" w:ascii="Times New Roman" w:hAnsi="Times New Roman" w:eastAsia="仿宋" w:cs="Times New Roman"/>
          <w:color w:val="000000"/>
          <w:sz w:val="28"/>
          <w:szCs w:val="28"/>
        </w:rPr>
        <w:t>需对</w:t>
      </w:r>
      <w:r>
        <w:rPr>
          <w:rFonts w:hint="default" w:ascii="Times New Roman" w:hAnsi="Times New Roman" w:eastAsia="仿宋" w:cs="Times New Roman"/>
          <w:color w:val="000000"/>
          <w:sz w:val="28"/>
          <w:szCs w:val="28"/>
          <w:lang w:val="en-US" w:eastAsia="zh-CN"/>
        </w:rPr>
        <w:t>采购人</w:t>
      </w:r>
      <w:r>
        <w:rPr>
          <w:rFonts w:hint="default" w:ascii="Times New Roman" w:hAnsi="Times New Roman" w:eastAsia="仿宋" w:cs="Times New Roman"/>
          <w:color w:val="000000"/>
          <w:sz w:val="28"/>
          <w:szCs w:val="28"/>
        </w:rPr>
        <w:t>操作人员进行阻盐剂的使用及操作方法培训，直至该人员能独立操作。</w:t>
      </w:r>
    </w:p>
    <w:p w14:paraId="4B577192">
      <w:pPr>
        <w:pStyle w:val="2"/>
        <w:spacing w:after="0"/>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4、技术要求：</w:t>
      </w:r>
    </w:p>
    <w:p w14:paraId="03BBE745">
      <w:pPr>
        <w:pStyle w:val="2"/>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1）对焚烧装置的设备和管路无腐蚀，不影响设备使用寿命；</w:t>
      </w:r>
    </w:p>
    <w:p w14:paraId="161036F9">
      <w:pPr>
        <w:pStyle w:val="2"/>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2）对急冷喷枪的雾化效果无影响，使用后急冷塔底不出水，布袋除尘器出灰正常；</w:t>
      </w:r>
    </w:p>
    <w:p w14:paraId="393F48AE">
      <w:pPr>
        <w:pStyle w:val="2"/>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3）阻盐剂投加量≤0.013kg/kg盐，使用后急冷出灰含水率≤10%，急冷飞灰呈松散小块状；</w:t>
      </w:r>
    </w:p>
    <w:p w14:paraId="5E368AAC">
      <w:pPr>
        <w:pStyle w:val="2"/>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4）对装置烟气排放无影响，不会致使尾气排放超标，满足《危险废物焚烧污染控制标准GB18484-2020》要求，具体如下：</w:t>
      </w:r>
    </w:p>
    <w:tbl>
      <w:tblPr>
        <w:tblStyle w:val="5"/>
        <w:tblW w:w="8670" w:type="dxa"/>
        <w:jc w:val="center"/>
        <w:tblLayout w:type="autofit"/>
        <w:tblCellMar>
          <w:top w:w="0" w:type="dxa"/>
          <w:left w:w="108" w:type="dxa"/>
          <w:bottom w:w="0" w:type="dxa"/>
          <w:right w:w="108" w:type="dxa"/>
        </w:tblCellMar>
      </w:tblPr>
      <w:tblGrid>
        <w:gridCol w:w="859"/>
        <w:gridCol w:w="3375"/>
        <w:gridCol w:w="1533"/>
        <w:gridCol w:w="2903"/>
      </w:tblGrid>
      <w:tr w14:paraId="0E462D80">
        <w:tblPrEx>
          <w:tblCellMar>
            <w:top w:w="0" w:type="dxa"/>
            <w:left w:w="108" w:type="dxa"/>
            <w:bottom w:w="0" w:type="dxa"/>
            <w:right w:w="108" w:type="dxa"/>
          </w:tblCellMar>
        </w:tblPrEx>
        <w:trPr>
          <w:trHeight w:val="497" w:hRule="atLeast"/>
          <w:jc w:val="center"/>
        </w:trPr>
        <w:tc>
          <w:tcPr>
            <w:tcW w:w="8670" w:type="dxa"/>
            <w:gridSpan w:val="4"/>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99569BC">
            <w:pPr>
              <w:pStyle w:val="2"/>
              <w:spacing w:line="120" w:lineRule="atLeast"/>
              <w:ind w:left="420" w:leftChars="200"/>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危险废物焚烧设施烟气污染物排放浓度限值</w:t>
            </w:r>
          </w:p>
          <w:p w14:paraId="679D07EE">
            <w:pPr>
              <w:pStyle w:val="2"/>
              <w:spacing w:after="0" w:line="120" w:lineRule="atLeast"/>
              <w:ind w:left="420" w:leftChars="200"/>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单位：mg/m</w:t>
            </w:r>
            <w:r>
              <w:rPr>
                <w:rFonts w:hint="default" w:ascii="Times New Roman" w:hAnsi="Times New Roman" w:eastAsia="仿宋" w:cs="Times New Roman"/>
                <w:color w:val="000000"/>
                <w:sz w:val="28"/>
                <w:szCs w:val="28"/>
                <w:vertAlign w:val="superscript"/>
              </w:rPr>
              <w:t>3</w:t>
            </w:r>
          </w:p>
        </w:tc>
      </w:tr>
      <w:tr w14:paraId="5687E531">
        <w:tblPrEx>
          <w:tblCellMar>
            <w:top w:w="0" w:type="dxa"/>
            <w:left w:w="108" w:type="dxa"/>
            <w:bottom w:w="0" w:type="dxa"/>
            <w:right w:w="108" w:type="dxa"/>
          </w:tblCellMar>
        </w:tblPrEx>
        <w:trPr>
          <w:trHeight w:val="497"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5EC07">
            <w:pPr>
              <w:widowControl/>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kern w:val="0"/>
                <w:sz w:val="28"/>
                <w:szCs w:val="28"/>
              </w:rPr>
              <w:t>序号</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CB6D8">
            <w:pPr>
              <w:widowControl/>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kern w:val="0"/>
                <w:sz w:val="28"/>
                <w:szCs w:val="28"/>
              </w:rPr>
              <w:t>污染物项目</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F2F0C">
            <w:pPr>
              <w:widowControl/>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kern w:val="0"/>
                <w:sz w:val="28"/>
                <w:szCs w:val="28"/>
              </w:rPr>
              <w:t>限值</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CAA24">
            <w:pPr>
              <w:widowControl/>
              <w:jc w:val="center"/>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bCs/>
                <w:color w:val="000000"/>
                <w:kern w:val="0"/>
                <w:sz w:val="28"/>
                <w:szCs w:val="28"/>
              </w:rPr>
              <w:t>取值时间</w:t>
            </w:r>
          </w:p>
        </w:tc>
      </w:tr>
      <w:tr w14:paraId="00DEAF2F">
        <w:tblPrEx>
          <w:tblCellMar>
            <w:top w:w="0" w:type="dxa"/>
            <w:left w:w="108" w:type="dxa"/>
            <w:bottom w:w="0" w:type="dxa"/>
            <w:right w:w="108" w:type="dxa"/>
          </w:tblCellMar>
        </w:tblPrEx>
        <w:trPr>
          <w:trHeight w:val="28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7078E5">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DAB8D8">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颗粒物</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1ED2B">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30</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45507">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1小时均值</w:t>
            </w:r>
          </w:p>
        </w:tc>
      </w:tr>
      <w:tr w14:paraId="29F7CB1D">
        <w:tblPrEx>
          <w:tblCellMar>
            <w:top w:w="0" w:type="dxa"/>
            <w:left w:w="108" w:type="dxa"/>
            <w:bottom w:w="0" w:type="dxa"/>
            <w:right w:w="108" w:type="dxa"/>
          </w:tblCellMar>
        </w:tblPrEx>
        <w:trPr>
          <w:trHeight w:val="28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3560B">
            <w:pPr>
              <w:widowControl/>
              <w:jc w:val="left"/>
              <w:rPr>
                <w:rFonts w:hint="default" w:ascii="Times New Roman" w:hAnsi="Times New Roman" w:eastAsia="仿宋" w:cs="Times New Roman"/>
                <w:color w:val="000000"/>
                <w:kern w:val="0"/>
                <w:sz w:val="28"/>
                <w:szCs w:val="28"/>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38D824">
            <w:pPr>
              <w:widowControl/>
              <w:jc w:val="left"/>
              <w:rPr>
                <w:rFonts w:hint="default" w:ascii="Times New Roman" w:hAnsi="Times New Roman" w:eastAsia="仿宋" w:cs="Times New Roman"/>
                <w:color w:val="000000"/>
                <w:kern w:val="0"/>
                <w:sz w:val="28"/>
                <w:szCs w:val="28"/>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88A90">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20</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8739A">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24小时均值或日均值</w:t>
            </w:r>
          </w:p>
        </w:tc>
      </w:tr>
      <w:tr w14:paraId="5119D148">
        <w:tblPrEx>
          <w:tblCellMar>
            <w:top w:w="0" w:type="dxa"/>
            <w:left w:w="108" w:type="dxa"/>
            <w:bottom w:w="0" w:type="dxa"/>
            <w:right w:w="108" w:type="dxa"/>
          </w:tblCellMar>
        </w:tblPrEx>
        <w:trPr>
          <w:trHeight w:val="28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37EE28">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B8271B">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一氧化碳（CO）</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127F3">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100</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679C2">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1小时均值</w:t>
            </w:r>
          </w:p>
        </w:tc>
      </w:tr>
      <w:tr w14:paraId="245B1B04">
        <w:tblPrEx>
          <w:tblCellMar>
            <w:top w:w="0" w:type="dxa"/>
            <w:left w:w="108" w:type="dxa"/>
            <w:bottom w:w="0" w:type="dxa"/>
            <w:right w:w="108" w:type="dxa"/>
          </w:tblCellMar>
        </w:tblPrEx>
        <w:trPr>
          <w:trHeight w:val="28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7E8DC5">
            <w:pPr>
              <w:widowControl/>
              <w:jc w:val="left"/>
              <w:rPr>
                <w:rFonts w:hint="default" w:ascii="Times New Roman" w:hAnsi="Times New Roman" w:eastAsia="仿宋" w:cs="Times New Roman"/>
                <w:color w:val="000000"/>
                <w:kern w:val="0"/>
                <w:sz w:val="28"/>
                <w:szCs w:val="28"/>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11BDDF">
            <w:pPr>
              <w:widowControl/>
              <w:jc w:val="left"/>
              <w:rPr>
                <w:rFonts w:hint="default" w:ascii="Times New Roman" w:hAnsi="Times New Roman" w:eastAsia="仿宋" w:cs="Times New Roman"/>
                <w:color w:val="000000"/>
                <w:kern w:val="0"/>
                <w:sz w:val="28"/>
                <w:szCs w:val="28"/>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DDECA">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80</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8CFDD">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24小时均值或日均值</w:t>
            </w:r>
          </w:p>
        </w:tc>
      </w:tr>
      <w:tr w14:paraId="1B4C30BF">
        <w:tblPrEx>
          <w:tblCellMar>
            <w:top w:w="0" w:type="dxa"/>
            <w:left w:w="108" w:type="dxa"/>
            <w:bottom w:w="0" w:type="dxa"/>
            <w:right w:w="108" w:type="dxa"/>
          </w:tblCellMar>
        </w:tblPrEx>
        <w:trPr>
          <w:trHeight w:val="28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28381A">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3</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FD1A81">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氮氧化物（NOX）</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EB7A2">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300</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7837D">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1小时均值</w:t>
            </w:r>
          </w:p>
        </w:tc>
      </w:tr>
      <w:tr w14:paraId="5ED79AA4">
        <w:tblPrEx>
          <w:tblCellMar>
            <w:top w:w="0" w:type="dxa"/>
            <w:left w:w="108" w:type="dxa"/>
            <w:bottom w:w="0" w:type="dxa"/>
            <w:right w:w="108" w:type="dxa"/>
          </w:tblCellMar>
        </w:tblPrEx>
        <w:trPr>
          <w:trHeight w:val="28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6DD29">
            <w:pPr>
              <w:widowControl/>
              <w:jc w:val="left"/>
              <w:rPr>
                <w:rFonts w:hint="default" w:ascii="Times New Roman" w:hAnsi="Times New Roman" w:eastAsia="仿宋" w:cs="Times New Roman"/>
                <w:color w:val="000000"/>
                <w:kern w:val="0"/>
                <w:sz w:val="28"/>
                <w:szCs w:val="28"/>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8F5C91">
            <w:pPr>
              <w:widowControl/>
              <w:jc w:val="left"/>
              <w:rPr>
                <w:rFonts w:hint="default" w:ascii="Times New Roman" w:hAnsi="Times New Roman" w:eastAsia="仿宋" w:cs="Times New Roman"/>
                <w:color w:val="000000"/>
                <w:kern w:val="0"/>
                <w:sz w:val="28"/>
                <w:szCs w:val="28"/>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EE505">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250</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4A916">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24小时均值或日均值</w:t>
            </w:r>
          </w:p>
        </w:tc>
      </w:tr>
      <w:tr w14:paraId="12EB0D75">
        <w:tblPrEx>
          <w:tblCellMar>
            <w:top w:w="0" w:type="dxa"/>
            <w:left w:w="108" w:type="dxa"/>
            <w:bottom w:w="0" w:type="dxa"/>
            <w:right w:w="108" w:type="dxa"/>
          </w:tblCellMar>
        </w:tblPrEx>
        <w:trPr>
          <w:trHeight w:val="28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5463C4">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4</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84160C">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二氧化硫（SO2）</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E748C">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100</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9DC72">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1小时均值</w:t>
            </w:r>
          </w:p>
        </w:tc>
      </w:tr>
      <w:tr w14:paraId="633E9EDD">
        <w:tblPrEx>
          <w:tblCellMar>
            <w:top w:w="0" w:type="dxa"/>
            <w:left w:w="108" w:type="dxa"/>
            <w:bottom w:w="0" w:type="dxa"/>
            <w:right w:w="108" w:type="dxa"/>
          </w:tblCellMar>
        </w:tblPrEx>
        <w:trPr>
          <w:trHeight w:val="28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7007B6">
            <w:pPr>
              <w:widowControl/>
              <w:jc w:val="left"/>
              <w:rPr>
                <w:rFonts w:hint="default" w:ascii="Times New Roman" w:hAnsi="Times New Roman" w:eastAsia="仿宋" w:cs="Times New Roman"/>
                <w:color w:val="000000"/>
                <w:kern w:val="0"/>
                <w:sz w:val="28"/>
                <w:szCs w:val="28"/>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E4B287">
            <w:pPr>
              <w:widowControl/>
              <w:jc w:val="left"/>
              <w:rPr>
                <w:rFonts w:hint="default" w:ascii="Times New Roman" w:hAnsi="Times New Roman" w:eastAsia="仿宋" w:cs="Times New Roman"/>
                <w:color w:val="000000"/>
                <w:kern w:val="0"/>
                <w:sz w:val="28"/>
                <w:szCs w:val="28"/>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19D9E">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80</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86F33">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24小时均值或日均值</w:t>
            </w:r>
          </w:p>
        </w:tc>
      </w:tr>
      <w:tr w14:paraId="6C4B0B27">
        <w:tblPrEx>
          <w:tblCellMar>
            <w:top w:w="0" w:type="dxa"/>
            <w:left w:w="108" w:type="dxa"/>
            <w:bottom w:w="0" w:type="dxa"/>
            <w:right w:w="108" w:type="dxa"/>
          </w:tblCellMar>
        </w:tblPrEx>
        <w:trPr>
          <w:trHeight w:val="28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6182FA">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5</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EAA7A8">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氟化氢（HF）</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EB52B">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4</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903FF">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1小时均值</w:t>
            </w:r>
          </w:p>
        </w:tc>
      </w:tr>
      <w:tr w14:paraId="37DA4E51">
        <w:tblPrEx>
          <w:tblCellMar>
            <w:top w:w="0" w:type="dxa"/>
            <w:left w:w="108" w:type="dxa"/>
            <w:bottom w:w="0" w:type="dxa"/>
            <w:right w:w="108" w:type="dxa"/>
          </w:tblCellMar>
        </w:tblPrEx>
        <w:trPr>
          <w:trHeight w:val="28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F7B5E1">
            <w:pPr>
              <w:widowControl/>
              <w:jc w:val="left"/>
              <w:rPr>
                <w:rFonts w:hint="default" w:ascii="Times New Roman" w:hAnsi="Times New Roman" w:eastAsia="仿宋" w:cs="Times New Roman"/>
                <w:color w:val="000000"/>
                <w:kern w:val="0"/>
                <w:sz w:val="28"/>
                <w:szCs w:val="28"/>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0942FE">
            <w:pPr>
              <w:widowControl/>
              <w:jc w:val="left"/>
              <w:rPr>
                <w:rFonts w:hint="default" w:ascii="Times New Roman" w:hAnsi="Times New Roman" w:eastAsia="仿宋" w:cs="Times New Roman"/>
                <w:color w:val="000000"/>
                <w:kern w:val="0"/>
                <w:sz w:val="28"/>
                <w:szCs w:val="28"/>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BE457">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39DD2">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24小时均值或日均值</w:t>
            </w:r>
          </w:p>
        </w:tc>
      </w:tr>
      <w:tr w14:paraId="628DDD8D">
        <w:tblPrEx>
          <w:tblCellMar>
            <w:top w:w="0" w:type="dxa"/>
            <w:left w:w="108" w:type="dxa"/>
            <w:bottom w:w="0" w:type="dxa"/>
            <w:right w:w="108" w:type="dxa"/>
          </w:tblCellMar>
        </w:tblPrEx>
        <w:trPr>
          <w:trHeight w:val="28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FB48C6">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6</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23BB7B">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氯化氢（HCl）</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C3892">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60</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31F8B">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1小时均值</w:t>
            </w:r>
          </w:p>
        </w:tc>
      </w:tr>
      <w:tr w14:paraId="7B44F435">
        <w:tblPrEx>
          <w:tblCellMar>
            <w:top w:w="0" w:type="dxa"/>
            <w:left w:w="108" w:type="dxa"/>
            <w:bottom w:w="0" w:type="dxa"/>
            <w:right w:w="108" w:type="dxa"/>
          </w:tblCellMar>
        </w:tblPrEx>
        <w:trPr>
          <w:trHeight w:val="28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79640E">
            <w:pPr>
              <w:widowControl/>
              <w:jc w:val="left"/>
              <w:rPr>
                <w:rFonts w:hint="default" w:ascii="Times New Roman" w:hAnsi="Times New Roman" w:eastAsia="仿宋" w:cs="Times New Roman"/>
                <w:color w:val="000000"/>
                <w:kern w:val="0"/>
                <w:sz w:val="28"/>
                <w:szCs w:val="28"/>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005444">
            <w:pPr>
              <w:widowControl/>
              <w:jc w:val="left"/>
              <w:rPr>
                <w:rFonts w:hint="default" w:ascii="Times New Roman" w:hAnsi="Times New Roman" w:eastAsia="仿宋" w:cs="Times New Roman"/>
                <w:color w:val="000000"/>
                <w:kern w:val="0"/>
                <w:sz w:val="28"/>
                <w:szCs w:val="28"/>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D6CD3">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50</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4B65D">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24小时均值或日均值</w:t>
            </w:r>
          </w:p>
        </w:tc>
      </w:tr>
      <w:tr w14:paraId="2EB46CD2">
        <w:tblPrEx>
          <w:tblCellMar>
            <w:top w:w="0" w:type="dxa"/>
            <w:left w:w="108" w:type="dxa"/>
            <w:bottom w:w="0" w:type="dxa"/>
            <w:right w:w="108" w:type="dxa"/>
          </w:tblCellMar>
        </w:tblPrEx>
        <w:trPr>
          <w:trHeight w:val="5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9A113">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7</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50748">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汞及其化合物（以Hg计）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52388">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0.05</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0F218">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测定均值</w:t>
            </w:r>
          </w:p>
        </w:tc>
      </w:tr>
      <w:tr w14:paraId="25324009">
        <w:tblPrEx>
          <w:tblCellMar>
            <w:top w:w="0" w:type="dxa"/>
            <w:left w:w="108" w:type="dxa"/>
            <w:bottom w:w="0" w:type="dxa"/>
            <w:right w:w="108" w:type="dxa"/>
          </w:tblCellMar>
        </w:tblPrEx>
        <w:trPr>
          <w:trHeight w:val="5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F6F8E">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8</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78E6C">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铊及其化合物（以Tl计）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FBE64">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0.05</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F798">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测定均值</w:t>
            </w:r>
          </w:p>
        </w:tc>
      </w:tr>
      <w:tr w14:paraId="646273E1">
        <w:tblPrEx>
          <w:tblCellMar>
            <w:top w:w="0" w:type="dxa"/>
            <w:left w:w="108" w:type="dxa"/>
            <w:bottom w:w="0" w:type="dxa"/>
            <w:right w:w="108" w:type="dxa"/>
          </w:tblCellMar>
        </w:tblPrEx>
        <w:trPr>
          <w:trHeight w:val="5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F6D7E">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9</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8348C">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镉及其化合物（以Cd计）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4940F">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0.05</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0DBF2">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测定均值</w:t>
            </w:r>
          </w:p>
        </w:tc>
      </w:tr>
      <w:tr w14:paraId="0BA822B4">
        <w:tblPrEx>
          <w:tblCellMar>
            <w:top w:w="0" w:type="dxa"/>
            <w:left w:w="108" w:type="dxa"/>
            <w:bottom w:w="0" w:type="dxa"/>
            <w:right w:w="108" w:type="dxa"/>
          </w:tblCellMar>
        </w:tblPrEx>
        <w:trPr>
          <w:trHeight w:val="5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34472">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b w:val="0"/>
                <w:bCs/>
                <w:color w:val="000000"/>
                <w:kern w:val="0"/>
                <w:sz w:val="28"/>
                <w:szCs w:val="28"/>
              </w:rPr>
              <w:t>序号</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5BCBB">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b w:val="0"/>
                <w:bCs/>
                <w:color w:val="000000"/>
                <w:kern w:val="0"/>
                <w:sz w:val="28"/>
                <w:szCs w:val="28"/>
              </w:rPr>
              <w:t>污染物项目</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61A65">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b w:val="0"/>
                <w:bCs/>
                <w:color w:val="000000"/>
                <w:kern w:val="0"/>
                <w:sz w:val="28"/>
                <w:szCs w:val="28"/>
              </w:rPr>
              <w:t>限值</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F3A9C">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b w:val="0"/>
                <w:bCs/>
                <w:color w:val="000000"/>
                <w:kern w:val="0"/>
                <w:sz w:val="28"/>
                <w:szCs w:val="28"/>
              </w:rPr>
              <w:t>取值时间</w:t>
            </w:r>
          </w:p>
        </w:tc>
      </w:tr>
      <w:tr w14:paraId="089141B2">
        <w:tblPrEx>
          <w:tblCellMar>
            <w:top w:w="0" w:type="dxa"/>
            <w:left w:w="108" w:type="dxa"/>
            <w:bottom w:w="0" w:type="dxa"/>
            <w:right w:w="108" w:type="dxa"/>
          </w:tblCellMar>
        </w:tblPrEx>
        <w:trPr>
          <w:trHeight w:val="5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47BF2">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10</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3BA66">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铅及其化合物（以Pb计）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29979">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0.5</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67633">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测定均值</w:t>
            </w:r>
          </w:p>
        </w:tc>
      </w:tr>
      <w:tr w14:paraId="03727557">
        <w:tblPrEx>
          <w:tblCellMar>
            <w:top w:w="0" w:type="dxa"/>
            <w:left w:w="108" w:type="dxa"/>
            <w:bottom w:w="0" w:type="dxa"/>
            <w:right w:w="108" w:type="dxa"/>
          </w:tblCellMar>
        </w:tblPrEx>
        <w:trPr>
          <w:trHeight w:val="5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201DC">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11</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E379A">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砷及其化合物（以As计）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7F141">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0.5</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F0A13">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测定均值</w:t>
            </w:r>
          </w:p>
        </w:tc>
      </w:tr>
      <w:tr w14:paraId="6E994FF1">
        <w:tblPrEx>
          <w:tblCellMar>
            <w:top w:w="0" w:type="dxa"/>
            <w:left w:w="108" w:type="dxa"/>
            <w:bottom w:w="0" w:type="dxa"/>
            <w:right w:w="108" w:type="dxa"/>
          </w:tblCellMar>
        </w:tblPrEx>
        <w:trPr>
          <w:trHeight w:val="5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C3696">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12</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70A3C">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铬及其化合物（以Cr计）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06F4B">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0.5</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A85BD">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测定均值</w:t>
            </w:r>
          </w:p>
        </w:tc>
      </w:tr>
      <w:tr w14:paraId="4FA87C9D">
        <w:tblPrEx>
          <w:tblCellMar>
            <w:top w:w="0" w:type="dxa"/>
            <w:left w:w="108" w:type="dxa"/>
            <w:bottom w:w="0" w:type="dxa"/>
            <w:right w:w="108" w:type="dxa"/>
          </w:tblCellMar>
        </w:tblPrEx>
        <w:trPr>
          <w:trHeight w:val="135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CB7CF">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13</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42464">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锡、锑、铜、锰、镍、钴及其化合物（以Sn+Sb+Cu+Mn+Ni+Co计）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4DFE8">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E7703">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测定均值</w:t>
            </w:r>
          </w:p>
        </w:tc>
      </w:tr>
      <w:tr w14:paraId="7DA71D77">
        <w:tblPrEx>
          <w:tblCellMar>
            <w:top w:w="0" w:type="dxa"/>
            <w:left w:w="108" w:type="dxa"/>
            <w:bottom w:w="0" w:type="dxa"/>
            <w:right w:w="108" w:type="dxa"/>
          </w:tblCellMar>
        </w:tblPrEx>
        <w:trPr>
          <w:trHeight w:val="5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17AAA">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14</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B8740">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二噁英类（ng TEQ/Nm3）</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084A1">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0.5</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D0149">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测定均值</w:t>
            </w:r>
          </w:p>
        </w:tc>
      </w:tr>
      <w:tr w14:paraId="3376C6B1">
        <w:tblPrEx>
          <w:tblCellMar>
            <w:top w:w="0" w:type="dxa"/>
            <w:left w:w="108" w:type="dxa"/>
            <w:bottom w:w="0" w:type="dxa"/>
            <w:right w:w="108" w:type="dxa"/>
          </w:tblCellMar>
        </w:tblPrEx>
        <w:trPr>
          <w:trHeight w:val="540" w:hRule="atLeast"/>
          <w:jc w:val="center"/>
        </w:trPr>
        <w:tc>
          <w:tcPr>
            <w:tcW w:w="867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F22572B">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注：表中污染物限值为基准氧含量排放浓度。</w:t>
            </w:r>
          </w:p>
        </w:tc>
      </w:tr>
    </w:tbl>
    <w:p w14:paraId="001AD4FA">
      <w:pPr>
        <w:widowControl/>
        <w:spacing w:before="156" w:beforeLines="50" w:after="156" w:afterLines="50" w:line="360" w:lineRule="auto"/>
        <w:jc w:val="left"/>
        <w:outlineLvl w:val="0"/>
        <w:rPr>
          <w:rFonts w:hint="default" w:ascii="Times New Roman" w:hAnsi="Times New Roman" w:eastAsia="仿宋" w:cs="Times New Roman"/>
          <w:b/>
          <w:sz w:val="28"/>
          <w:szCs w:val="28"/>
        </w:rPr>
      </w:pPr>
      <w:bookmarkStart w:id="4" w:name="_Toc28960238"/>
      <w:bookmarkStart w:id="5" w:name="_Toc25338017"/>
      <w:r>
        <w:rPr>
          <w:rFonts w:hint="eastAsia" w:ascii="Times New Roman" w:hAnsi="Times New Roman" w:eastAsia="仿宋" w:cs="Times New Roman"/>
          <w:b/>
          <w:color w:val="000000"/>
          <w:sz w:val="28"/>
          <w:szCs w:val="28"/>
          <w:lang w:val="en-US" w:eastAsia="zh-CN"/>
        </w:rPr>
        <w:t>四</w:t>
      </w:r>
      <w:r>
        <w:rPr>
          <w:rFonts w:hint="default" w:ascii="Times New Roman" w:hAnsi="Times New Roman" w:eastAsia="仿宋" w:cs="Times New Roman"/>
          <w:b/>
          <w:color w:val="000000"/>
          <w:sz w:val="28"/>
          <w:szCs w:val="28"/>
        </w:rPr>
        <w:t>、要求</w:t>
      </w:r>
      <w:bookmarkEnd w:id="4"/>
      <w:bookmarkEnd w:id="5"/>
    </w:p>
    <w:p w14:paraId="14F45A17">
      <w:pPr>
        <w:pStyle w:val="2"/>
        <w:spacing w:after="0"/>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w:t>
      </w:r>
      <w:r>
        <w:rPr>
          <w:rFonts w:hint="default" w:ascii="Times New Roman" w:hAnsi="Times New Roman" w:eastAsia="仿宋" w:cs="Times New Roman"/>
          <w:color w:val="000000"/>
          <w:sz w:val="28"/>
          <w:szCs w:val="28"/>
          <w:lang w:eastAsia="zh-CN"/>
        </w:rPr>
        <w:t>成交人</w:t>
      </w:r>
      <w:r>
        <w:rPr>
          <w:rFonts w:hint="default" w:ascii="Times New Roman" w:hAnsi="Times New Roman" w:eastAsia="仿宋" w:cs="Times New Roman"/>
          <w:color w:val="000000"/>
          <w:sz w:val="28"/>
          <w:szCs w:val="28"/>
        </w:rPr>
        <w:t>服务期间需达到</w:t>
      </w:r>
      <w:r>
        <w:rPr>
          <w:rFonts w:hint="eastAsia"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的使用目的；</w:t>
      </w:r>
    </w:p>
    <w:p w14:paraId="20691EDD">
      <w:pPr>
        <w:pStyle w:val="2"/>
        <w:spacing w:after="0"/>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w:t>
      </w:r>
      <w:r>
        <w:rPr>
          <w:rFonts w:hint="default" w:ascii="Times New Roman" w:hAnsi="Times New Roman" w:eastAsia="仿宋" w:cs="Times New Roman"/>
          <w:color w:val="000000"/>
          <w:sz w:val="28"/>
          <w:szCs w:val="28"/>
          <w:lang w:eastAsia="zh-CN"/>
        </w:rPr>
        <w:t>成交人</w:t>
      </w:r>
      <w:r>
        <w:rPr>
          <w:rFonts w:hint="default" w:ascii="Times New Roman" w:hAnsi="Times New Roman" w:eastAsia="仿宋" w:cs="Times New Roman"/>
          <w:color w:val="000000"/>
          <w:sz w:val="28"/>
          <w:szCs w:val="28"/>
        </w:rPr>
        <w:t>需无偿提供半自动加药装置以及安装工作；</w:t>
      </w:r>
    </w:p>
    <w:p w14:paraId="51A13A43">
      <w:pPr>
        <w:pStyle w:val="2"/>
        <w:spacing w:after="0"/>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w:t>
      </w:r>
      <w:r>
        <w:rPr>
          <w:rFonts w:hint="default" w:ascii="Times New Roman" w:hAnsi="Times New Roman" w:eastAsia="仿宋" w:cs="Times New Roman"/>
          <w:color w:val="000000"/>
          <w:sz w:val="28"/>
          <w:szCs w:val="28"/>
          <w:lang w:eastAsia="zh-CN"/>
        </w:rPr>
        <w:t>成交人</w:t>
      </w:r>
      <w:r>
        <w:rPr>
          <w:rFonts w:hint="default" w:ascii="Times New Roman" w:hAnsi="Times New Roman" w:eastAsia="仿宋" w:cs="Times New Roman"/>
          <w:color w:val="000000"/>
          <w:sz w:val="28"/>
          <w:szCs w:val="28"/>
        </w:rPr>
        <w:t>负责根据运行工况的变化情况，及时调整加药方案；</w:t>
      </w:r>
    </w:p>
    <w:p w14:paraId="7BD1C5EC">
      <w:pPr>
        <w:pStyle w:val="2"/>
        <w:spacing w:after="0"/>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4、阻盐剂需在保证焚烧线运行安全的条件下进行，不得影响到焚烧的正常生产；</w:t>
      </w:r>
    </w:p>
    <w:p w14:paraId="58D4A330">
      <w:pPr>
        <w:pStyle w:val="2"/>
        <w:spacing w:after="0"/>
        <w:ind w:firstLine="560" w:firstLineChars="20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5</w:t>
      </w:r>
      <w:r>
        <w:rPr>
          <w:rFonts w:hint="default" w:ascii="Times New Roman" w:hAnsi="Times New Roman" w:eastAsia="仿宋" w:cs="Times New Roman"/>
          <w:color w:val="000000"/>
          <w:sz w:val="28"/>
          <w:szCs w:val="28"/>
        </w:rPr>
        <w:t>、</w:t>
      </w:r>
      <w:r>
        <w:rPr>
          <w:rFonts w:hint="default" w:ascii="Times New Roman" w:hAnsi="Times New Roman" w:eastAsia="仿宋" w:cs="Times New Roman"/>
          <w:color w:val="000000"/>
          <w:sz w:val="28"/>
          <w:szCs w:val="28"/>
          <w:lang w:eastAsia="zh-CN"/>
        </w:rPr>
        <w:t>成交人</w:t>
      </w:r>
      <w:r>
        <w:rPr>
          <w:rFonts w:hint="default" w:ascii="Times New Roman" w:hAnsi="Times New Roman" w:eastAsia="仿宋" w:cs="Times New Roman"/>
          <w:color w:val="000000"/>
          <w:sz w:val="28"/>
          <w:szCs w:val="28"/>
        </w:rPr>
        <w:t>在加药装置以外的任何操作需得到</w:t>
      </w:r>
      <w:r>
        <w:rPr>
          <w:rFonts w:hint="eastAsia"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指定人员认可后方可进行；</w:t>
      </w:r>
    </w:p>
    <w:p w14:paraId="56B8AB9C">
      <w:pPr>
        <w:pStyle w:val="2"/>
        <w:spacing w:after="0"/>
        <w:ind w:firstLine="560" w:firstLineChars="20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6</w:t>
      </w:r>
      <w:r>
        <w:rPr>
          <w:rFonts w:hint="default" w:ascii="Times New Roman" w:hAnsi="Times New Roman" w:eastAsia="仿宋" w:cs="Times New Roman"/>
          <w:color w:val="000000"/>
          <w:sz w:val="28"/>
          <w:szCs w:val="28"/>
        </w:rPr>
        <w:t>、工作过程中，</w:t>
      </w:r>
      <w:r>
        <w:rPr>
          <w:rFonts w:hint="default" w:ascii="Times New Roman" w:hAnsi="Times New Roman" w:eastAsia="仿宋" w:cs="Times New Roman"/>
          <w:color w:val="000000"/>
          <w:sz w:val="28"/>
          <w:szCs w:val="28"/>
          <w:lang w:eastAsia="zh-CN"/>
        </w:rPr>
        <w:t>成交人</w:t>
      </w:r>
      <w:r>
        <w:rPr>
          <w:rFonts w:hint="default" w:ascii="Times New Roman" w:hAnsi="Times New Roman" w:eastAsia="仿宋" w:cs="Times New Roman"/>
          <w:color w:val="000000"/>
          <w:sz w:val="28"/>
          <w:szCs w:val="28"/>
        </w:rPr>
        <w:t>作业人员必须遵守东莞市相关法律法规及业主方相关规定，接受业主方的监管和指导；</w:t>
      </w:r>
    </w:p>
    <w:p w14:paraId="059C5B77">
      <w:pPr>
        <w:pStyle w:val="2"/>
        <w:spacing w:after="0"/>
        <w:ind w:firstLine="560" w:firstLineChars="20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7</w:t>
      </w:r>
      <w:r>
        <w:rPr>
          <w:rFonts w:hint="default" w:ascii="Times New Roman" w:hAnsi="Times New Roman" w:eastAsia="仿宋" w:cs="Times New Roman"/>
          <w:color w:val="000000"/>
          <w:sz w:val="28"/>
          <w:szCs w:val="28"/>
        </w:rPr>
        <w:t>、阻盐剂试用过程中不得对急冷塔受热面、防腐层等造成任何损坏及烟气排放不达标情况；</w:t>
      </w:r>
    </w:p>
    <w:p w14:paraId="7524A89E">
      <w:pPr>
        <w:pStyle w:val="2"/>
        <w:spacing w:after="0"/>
        <w:ind w:firstLine="560" w:firstLineChars="20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8</w:t>
      </w:r>
      <w:r>
        <w:rPr>
          <w:rFonts w:hint="default" w:ascii="Times New Roman" w:hAnsi="Times New Roman" w:eastAsia="仿宋" w:cs="Times New Roman"/>
          <w:color w:val="000000"/>
          <w:sz w:val="28"/>
          <w:szCs w:val="28"/>
        </w:rPr>
        <w:t>、停炉时，经双方共同察看急冷塔内以及结盐情况，分析判断加药这段时间内，急冷塔高盐水回喷结盐情况是否得到控制有效；</w:t>
      </w:r>
    </w:p>
    <w:p w14:paraId="64CA81AE">
      <w:pPr>
        <w:pStyle w:val="2"/>
        <w:spacing w:after="0"/>
        <w:ind w:firstLine="560" w:firstLineChars="20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9</w:t>
      </w:r>
      <w:r>
        <w:rPr>
          <w:rFonts w:hint="default" w:ascii="Times New Roman" w:hAnsi="Times New Roman" w:eastAsia="仿宋" w:cs="Times New Roman"/>
          <w:color w:val="000000"/>
          <w:sz w:val="28"/>
          <w:szCs w:val="28"/>
        </w:rPr>
        <w:t>、</w:t>
      </w:r>
      <w:r>
        <w:rPr>
          <w:rFonts w:hint="default" w:ascii="Times New Roman" w:hAnsi="Times New Roman" w:eastAsia="仿宋" w:cs="Times New Roman"/>
          <w:color w:val="000000"/>
          <w:sz w:val="28"/>
          <w:szCs w:val="28"/>
          <w:lang w:eastAsia="zh-CN"/>
        </w:rPr>
        <w:t>成交人</w:t>
      </w:r>
      <w:r>
        <w:rPr>
          <w:rFonts w:hint="default" w:ascii="Times New Roman" w:hAnsi="Times New Roman" w:eastAsia="仿宋" w:cs="Times New Roman"/>
          <w:color w:val="000000"/>
          <w:sz w:val="28"/>
          <w:szCs w:val="28"/>
        </w:rPr>
        <w:t>负责根据急冷塔结盐的晶体进行化验分析与试验，并进行效果优化；</w:t>
      </w:r>
    </w:p>
    <w:p w14:paraId="2CFF7952">
      <w:pPr>
        <w:pStyle w:val="2"/>
        <w:spacing w:after="0"/>
        <w:ind w:firstLine="560" w:firstLineChars="20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10</w:t>
      </w:r>
      <w:r>
        <w:rPr>
          <w:rFonts w:hint="default" w:ascii="Times New Roman" w:hAnsi="Times New Roman" w:eastAsia="仿宋" w:cs="Times New Roman"/>
          <w:color w:val="000000"/>
          <w:sz w:val="28"/>
          <w:szCs w:val="28"/>
        </w:rPr>
        <w:t>、经双方确认，急冷塔出灰情况无法达到预期效果的，加药设备、剩余药剂由</w:t>
      </w:r>
      <w:r>
        <w:rPr>
          <w:rFonts w:hint="eastAsia" w:ascii="Times New Roman" w:hAnsi="Times New Roman" w:eastAsia="仿宋" w:cs="Times New Roman"/>
          <w:color w:val="000000"/>
          <w:sz w:val="28"/>
          <w:szCs w:val="28"/>
          <w:lang w:val="en-US" w:eastAsia="zh-CN"/>
        </w:rPr>
        <w:t>成交人</w:t>
      </w:r>
      <w:r>
        <w:rPr>
          <w:rFonts w:hint="default" w:ascii="Times New Roman" w:hAnsi="Times New Roman" w:eastAsia="仿宋" w:cs="Times New Roman"/>
          <w:color w:val="000000"/>
          <w:sz w:val="28"/>
          <w:szCs w:val="28"/>
        </w:rPr>
        <w:t>自行无条件退回，阻盐剂供应期间产生费用由</w:t>
      </w:r>
      <w:r>
        <w:rPr>
          <w:rFonts w:hint="eastAsia" w:ascii="Times New Roman" w:hAnsi="Times New Roman" w:eastAsia="仿宋" w:cs="Times New Roman"/>
          <w:color w:val="000000"/>
          <w:sz w:val="28"/>
          <w:szCs w:val="28"/>
          <w:lang w:eastAsia="zh-CN"/>
        </w:rPr>
        <w:t>成交人</w:t>
      </w:r>
      <w:r>
        <w:rPr>
          <w:rFonts w:hint="default" w:ascii="Times New Roman" w:hAnsi="Times New Roman" w:eastAsia="仿宋" w:cs="Times New Roman"/>
          <w:color w:val="000000"/>
          <w:sz w:val="28"/>
          <w:szCs w:val="28"/>
        </w:rPr>
        <w:t>自行负责。</w:t>
      </w:r>
    </w:p>
    <w:p w14:paraId="5543D2D9">
      <w:pPr>
        <w:widowControl/>
        <w:spacing w:before="156" w:beforeLines="50" w:after="156" w:afterLines="50" w:line="360" w:lineRule="auto"/>
        <w:jc w:val="left"/>
        <w:outlineLvl w:val="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四、完成时间</w:t>
      </w:r>
    </w:p>
    <w:p w14:paraId="3F217323">
      <w:pPr>
        <w:pStyle w:val="2"/>
        <w:ind w:firstLine="560" w:firstLineChars="20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1、</w:t>
      </w:r>
      <w:r>
        <w:rPr>
          <w:rFonts w:hint="default" w:ascii="Times New Roman" w:hAnsi="Times New Roman" w:eastAsia="仿宋" w:cs="Times New Roman"/>
          <w:color w:val="000000"/>
          <w:sz w:val="28"/>
          <w:szCs w:val="28"/>
        </w:rPr>
        <w:t>自合同签订生效之日起，</w:t>
      </w:r>
      <w:r>
        <w:rPr>
          <w:rFonts w:hint="eastAsia" w:ascii="Times New Roman" w:hAnsi="Times New Roman" w:eastAsia="仿宋" w:cs="Times New Roman"/>
          <w:color w:val="000000"/>
          <w:sz w:val="28"/>
          <w:szCs w:val="28"/>
          <w:lang w:val="en-US" w:eastAsia="zh-CN"/>
        </w:rPr>
        <w:t>成交人</w:t>
      </w:r>
      <w:r>
        <w:rPr>
          <w:rFonts w:hint="default" w:ascii="Times New Roman" w:hAnsi="Times New Roman" w:eastAsia="仿宋" w:cs="Times New Roman"/>
          <w:color w:val="000000"/>
          <w:sz w:val="28"/>
          <w:szCs w:val="28"/>
        </w:rPr>
        <w:t>根据</w:t>
      </w:r>
      <w:r>
        <w:rPr>
          <w:rFonts w:hint="eastAsia" w:ascii="Times New Roman" w:hAnsi="Times New Roman" w:eastAsia="仿宋" w:cs="Times New Roman"/>
          <w:color w:val="000000"/>
          <w:sz w:val="28"/>
          <w:szCs w:val="28"/>
          <w:lang w:val="en-US" w:eastAsia="zh-CN"/>
        </w:rPr>
        <w:t>采购人</w:t>
      </w:r>
      <w:r>
        <w:rPr>
          <w:rFonts w:hint="default" w:ascii="Times New Roman" w:hAnsi="Times New Roman" w:eastAsia="仿宋" w:cs="Times New Roman"/>
          <w:color w:val="000000"/>
          <w:sz w:val="28"/>
          <w:szCs w:val="28"/>
        </w:rPr>
        <w:t>具体需求进行供货。</w:t>
      </w:r>
    </w:p>
    <w:p w14:paraId="690AE7FE">
      <w:pPr>
        <w:pStyle w:val="2"/>
        <w:ind w:firstLine="560" w:firstLineChars="200"/>
        <w:rPr>
          <w:rFonts w:hint="default" w:ascii="Times New Roman" w:hAnsi="Times New Roman" w:eastAsia="仿宋" w:cs="Times New Roman"/>
          <w:sz w:val="28"/>
          <w:szCs w:val="28"/>
        </w:rPr>
      </w:pPr>
      <w:r>
        <w:rPr>
          <w:rFonts w:hint="eastAsia" w:ascii="Times New Roman" w:hAnsi="Times New Roman" w:eastAsia="仿宋" w:cs="Times New Roman"/>
          <w:color w:val="000000"/>
          <w:sz w:val="28"/>
          <w:szCs w:val="28"/>
          <w:lang w:val="en-US" w:eastAsia="zh-CN"/>
        </w:rPr>
        <w:t>2</w:t>
      </w:r>
      <w:r>
        <w:rPr>
          <w:rFonts w:hint="default" w:ascii="Times New Roman" w:hAnsi="Times New Roman" w:eastAsia="仿宋" w:cs="Times New Roman"/>
          <w:color w:val="000000"/>
          <w:sz w:val="28"/>
          <w:szCs w:val="28"/>
        </w:rPr>
        <w:t>、供货要求：</w:t>
      </w:r>
      <w:r>
        <w:rPr>
          <w:rFonts w:hint="eastAsia"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提出使用需求后，</w:t>
      </w:r>
      <w:r>
        <w:rPr>
          <w:rFonts w:hint="default" w:ascii="Times New Roman" w:hAnsi="Times New Roman" w:eastAsia="仿宋" w:cs="Times New Roman"/>
          <w:color w:val="000000"/>
          <w:sz w:val="28"/>
          <w:szCs w:val="28"/>
          <w:lang w:eastAsia="zh-CN"/>
        </w:rPr>
        <w:t>成交人</w:t>
      </w:r>
      <w:r>
        <w:rPr>
          <w:rFonts w:hint="default" w:ascii="Times New Roman" w:hAnsi="Times New Roman" w:eastAsia="仿宋" w:cs="Times New Roman"/>
          <w:color w:val="000000"/>
          <w:sz w:val="28"/>
          <w:szCs w:val="28"/>
        </w:rPr>
        <w:t>需在5个自然日内完成供货。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0298811"/>
    </w:sdtPr>
    <w:sdtEndPr>
      <w:rPr>
        <w:color w:val="auto"/>
      </w:rPr>
    </w:sdtEndPr>
    <w:sdtContent>
      <w:p w14:paraId="61103601">
        <w:pPr>
          <w:pStyle w:val="3"/>
          <w:jc w:val="center"/>
          <w:rPr>
            <w:rFonts w:hint="eastAsia"/>
            <w:color w:val="auto"/>
          </w:rPr>
        </w:pPr>
        <w:r>
          <w:rPr>
            <w:color w:val="auto"/>
          </w:rPr>
          <w:fldChar w:fldCharType="begin"/>
        </w:r>
        <w:r>
          <w:rPr>
            <w:color w:val="auto"/>
          </w:rPr>
          <w:instrText xml:space="preserve">PAGE   \* MERGEFORMAT</w:instrText>
        </w:r>
        <w:r>
          <w:rPr>
            <w:color w:val="auto"/>
          </w:rPr>
          <w:fldChar w:fldCharType="separate"/>
        </w:r>
        <w:r>
          <w:rPr>
            <w:color w:val="auto"/>
            <w:lang w:val="zh-CN"/>
          </w:rPr>
          <w:t>6</w:t>
        </w:r>
        <w:r>
          <w:rPr>
            <w:color w:val="auto"/>
          </w:rPr>
          <w:fldChar w:fldCharType="end"/>
        </w:r>
      </w:p>
    </w:sdtContent>
  </w:sdt>
  <w:p w14:paraId="45F4B355">
    <w:pPr>
      <w:pStyle w:val="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3DD1">
    <w:pPr>
      <w:pStyle w:val="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CCDE">
    <w:pPr>
      <w:pStyle w:val="3"/>
      <w:jc w:val="center"/>
      <w:rPr>
        <w:rFonts w:hint="eastAsia"/>
      </w:rPr>
    </w:pPr>
  </w:p>
  <w:p w14:paraId="46794BCC">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7D76E">
    <w:pPr>
      <w:pStyle w:val="4"/>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7A7C">
    <w:pPr>
      <w:pStyle w:val="4"/>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CEDA">
    <w:pPr>
      <w:pStyle w:val="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DB7CFE"/>
    <w:multiLevelType w:val="multilevel"/>
    <w:tmpl w:val="7EDB7CFE"/>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AE"/>
    <w:rsid w:val="000556D8"/>
    <w:rsid w:val="00074DA6"/>
    <w:rsid w:val="00082BB8"/>
    <w:rsid w:val="000911B6"/>
    <w:rsid w:val="00094301"/>
    <w:rsid w:val="000C46EF"/>
    <w:rsid w:val="000C736E"/>
    <w:rsid w:val="00113F28"/>
    <w:rsid w:val="00132040"/>
    <w:rsid w:val="00132669"/>
    <w:rsid w:val="00161137"/>
    <w:rsid w:val="001D1ACB"/>
    <w:rsid w:val="002379DD"/>
    <w:rsid w:val="00264315"/>
    <w:rsid w:val="00311F97"/>
    <w:rsid w:val="003146D9"/>
    <w:rsid w:val="00354926"/>
    <w:rsid w:val="0035788F"/>
    <w:rsid w:val="003601E3"/>
    <w:rsid w:val="0037426E"/>
    <w:rsid w:val="00376B51"/>
    <w:rsid w:val="00391EE1"/>
    <w:rsid w:val="003928BD"/>
    <w:rsid w:val="003B554A"/>
    <w:rsid w:val="003E44AC"/>
    <w:rsid w:val="004261CD"/>
    <w:rsid w:val="00461D2F"/>
    <w:rsid w:val="004834A3"/>
    <w:rsid w:val="004A0C4F"/>
    <w:rsid w:val="004B4C3B"/>
    <w:rsid w:val="004C56BE"/>
    <w:rsid w:val="004D2DE8"/>
    <w:rsid w:val="004D5ECD"/>
    <w:rsid w:val="00523A9E"/>
    <w:rsid w:val="00553471"/>
    <w:rsid w:val="00554BDB"/>
    <w:rsid w:val="00577733"/>
    <w:rsid w:val="005863EB"/>
    <w:rsid w:val="005A33F6"/>
    <w:rsid w:val="005D20F1"/>
    <w:rsid w:val="005D5B9B"/>
    <w:rsid w:val="005D7F5F"/>
    <w:rsid w:val="005E6CEA"/>
    <w:rsid w:val="00605711"/>
    <w:rsid w:val="00653910"/>
    <w:rsid w:val="0067254C"/>
    <w:rsid w:val="006D0318"/>
    <w:rsid w:val="006D35FF"/>
    <w:rsid w:val="00763E16"/>
    <w:rsid w:val="00771A0D"/>
    <w:rsid w:val="007C2E4E"/>
    <w:rsid w:val="007F447F"/>
    <w:rsid w:val="00826EFA"/>
    <w:rsid w:val="00862BFA"/>
    <w:rsid w:val="00877161"/>
    <w:rsid w:val="008867DE"/>
    <w:rsid w:val="008A71DA"/>
    <w:rsid w:val="008C7D3B"/>
    <w:rsid w:val="008D06B5"/>
    <w:rsid w:val="009566F6"/>
    <w:rsid w:val="009733D6"/>
    <w:rsid w:val="00987AC8"/>
    <w:rsid w:val="009B1CC0"/>
    <w:rsid w:val="009C12DB"/>
    <w:rsid w:val="009C1CF8"/>
    <w:rsid w:val="009C23B4"/>
    <w:rsid w:val="00A24E85"/>
    <w:rsid w:val="00A3269D"/>
    <w:rsid w:val="00AA5808"/>
    <w:rsid w:val="00AE0CC7"/>
    <w:rsid w:val="00AE28B3"/>
    <w:rsid w:val="00B531CE"/>
    <w:rsid w:val="00B93D8E"/>
    <w:rsid w:val="00BD5D00"/>
    <w:rsid w:val="00BD6633"/>
    <w:rsid w:val="00BE10B5"/>
    <w:rsid w:val="00C34688"/>
    <w:rsid w:val="00C42A9B"/>
    <w:rsid w:val="00C70895"/>
    <w:rsid w:val="00C737CF"/>
    <w:rsid w:val="00CE4EBE"/>
    <w:rsid w:val="00D201AA"/>
    <w:rsid w:val="00D340B9"/>
    <w:rsid w:val="00D56D95"/>
    <w:rsid w:val="00D61913"/>
    <w:rsid w:val="00D7256F"/>
    <w:rsid w:val="00D82459"/>
    <w:rsid w:val="00DA312D"/>
    <w:rsid w:val="00DA3D04"/>
    <w:rsid w:val="00DB4CAE"/>
    <w:rsid w:val="00DF1B21"/>
    <w:rsid w:val="00E70C10"/>
    <w:rsid w:val="00E75205"/>
    <w:rsid w:val="00E75434"/>
    <w:rsid w:val="00E80359"/>
    <w:rsid w:val="00EE3658"/>
    <w:rsid w:val="00EE74F7"/>
    <w:rsid w:val="00EF646B"/>
    <w:rsid w:val="00F52A08"/>
    <w:rsid w:val="00F83DA2"/>
    <w:rsid w:val="00FA68D1"/>
    <w:rsid w:val="00FC4375"/>
    <w:rsid w:val="00FE0EA6"/>
    <w:rsid w:val="00FF5173"/>
    <w:rsid w:val="0921123E"/>
    <w:rsid w:val="12BB6D8E"/>
    <w:rsid w:val="15474D82"/>
    <w:rsid w:val="22CD4569"/>
    <w:rsid w:val="51D92CD4"/>
    <w:rsid w:val="55164621"/>
    <w:rsid w:val="577E32F8"/>
    <w:rsid w:val="5A2E40E4"/>
    <w:rsid w:val="60812AF2"/>
    <w:rsid w:val="677267E7"/>
    <w:rsid w:val="69BE42E6"/>
    <w:rsid w:val="6EFA39A0"/>
    <w:rsid w:val="76DD1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uiPriority w:val="99"/>
    <w:pPr>
      <w:spacing w:after="120"/>
    </w:pPr>
  </w:style>
  <w:style w:type="paragraph" w:styleId="3">
    <w:name w:val="footer"/>
    <w:basedOn w:val="1"/>
    <w:link w:val="8"/>
    <w:unhideWhenUsed/>
    <w:qFormat/>
    <w:uiPriority w:val="0"/>
    <w:pPr>
      <w:tabs>
        <w:tab w:val="center" w:pos="4153"/>
        <w:tab w:val="right" w:pos="8306"/>
      </w:tabs>
      <w:snapToGrid w:val="0"/>
      <w:jc w:val="left"/>
    </w:pPr>
    <w:rPr>
      <w:rFonts w:ascii="宋体" w:hAnsi="宋体" w:eastAsia="宋体" w:cs="宋体"/>
      <w:color w:val="FF0000"/>
      <w:kern w:val="0"/>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rFonts w:ascii="宋体" w:hAnsi="宋体" w:eastAsia="宋体" w:cs="宋体"/>
      <w:color w:val="FF0000"/>
      <w:kern w:val="0"/>
      <w:sz w:val="18"/>
      <w:szCs w:val="18"/>
    </w:rPr>
  </w:style>
  <w:style w:type="character" w:customStyle="1" w:styleId="7">
    <w:name w:val="页眉 字符"/>
    <w:basedOn w:val="6"/>
    <w:link w:val="4"/>
    <w:qFormat/>
    <w:uiPriority w:val="0"/>
    <w:rPr>
      <w:sz w:val="18"/>
      <w:szCs w:val="18"/>
    </w:rPr>
  </w:style>
  <w:style w:type="character" w:customStyle="1" w:styleId="8">
    <w:name w:val="页脚 字符"/>
    <w:basedOn w:val="6"/>
    <w:link w:val="3"/>
    <w:qFormat/>
    <w:uiPriority w:val="0"/>
    <w:rPr>
      <w:sz w:val="18"/>
      <w:szCs w:val="18"/>
    </w:rPr>
  </w:style>
  <w:style w:type="character" w:customStyle="1" w:styleId="9">
    <w:name w:val="正文文本 字符"/>
    <w:basedOn w:val="6"/>
    <w:link w:val="2"/>
    <w:qFormat/>
    <w:uiPriority w:val="99"/>
    <w:rPr>
      <w:rFonts w:asciiTheme="minorHAnsi" w:hAnsiTheme="minorHAnsi" w:eastAsiaTheme="minorEastAsia" w:cstheme="minorBidi"/>
      <w:color w:val="auto"/>
      <w:kern w:val="2"/>
      <w:sz w:val="21"/>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2118</Words>
  <Characters>2244</Characters>
  <Lines>16</Lines>
  <Paragraphs>4</Paragraphs>
  <TotalTime>0</TotalTime>
  <ScaleCrop>false</ScaleCrop>
  <LinksUpToDate>false</LinksUpToDate>
  <CharactersWithSpaces>2251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2025-01-16T03:39:00Z</dcterms:created>
  <dc:creator>喻性文</dc:creator>
  <cp:lastModifiedBy>邓阿娜</cp:lastModifiedBy>
  <dcterms:modified xsi:type="dcterms:W3CDTF">2026-05-07T02:33:36Z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436908780_btnclosed</vt:lpwstr>
  </property>
  <property fmtid="{D5CDD505-2E9C-101B-9397-08002B2CF9AE}" pid="3" name="KSOProductBuildVer">
    <vt:lpwstr>2052-12.1.0.25865</vt:lpwstr>
  </property>
  <property fmtid="{D5CDD505-2E9C-101B-9397-08002B2CF9AE}" pid="4" name="KSOTemplateDocerSaveRecord">
    <vt:lpwstr>eyJoZGlkIjoiYTZhNThlNjE2MzczNzE5MmJkZjRjMmM4ZmQxNGQ3YzYiLCJ1c2VySWQiOiIxNTg5NDk0NjI2In0=</vt:lpwstr>
  </property>
  <property fmtid="{D5CDD505-2E9C-101B-9397-08002B2CF9AE}" pid="5" name="ICV">
    <vt:lpwstr>55F991B8D1E648C4B1C5D8DD75CDBD2D_12</vt:lpwstr>
  </property>
</Properties>
</file>