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31683">
      <w:pPr>
        <w:shd w:val="clear" w:color="auto" w:fill="auto"/>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 xml:space="preserve"> 询价文件</w:t>
      </w:r>
    </w:p>
    <w:p w14:paraId="5C258B42">
      <w:pPr>
        <w:shd w:val="clear" w:color="auto" w:fill="auto"/>
        <w:spacing w:line="600" w:lineRule="exact"/>
        <w:ind w:firstLine="640" w:firstLineChars="200"/>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000000"/>
          <w:sz w:val="32"/>
          <w:szCs w:val="32"/>
          <w:highlight w:val="none"/>
          <w:u w:val="single"/>
          <w:lang w:eastAsia="zh-CN"/>
        </w:rPr>
        <w:t>东莞市东寮安居建设有限公司</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需采购一家</w:t>
      </w:r>
      <w:r>
        <w:rPr>
          <w:rFonts w:hint="eastAsia" w:eastAsia="仿宋_GB2312"/>
          <w:color w:val="auto"/>
          <w:sz w:val="32"/>
          <w:szCs w:val="32"/>
          <w:highlight w:val="none"/>
          <w:u w:val="single"/>
        </w:rPr>
        <w:t xml:space="preserve"> 朋友圈广告投放服务</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单位，现将相关情况介绍如下：</w:t>
      </w:r>
    </w:p>
    <w:p w14:paraId="07F6F7E3">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1667E63C">
      <w:pPr>
        <w:shd w:val="clear" w:color="auto" w:fill="auto"/>
        <w:adjustRightInd w:val="0"/>
        <w:snapToGrid w:val="0"/>
        <w:spacing w:line="600" w:lineRule="exact"/>
        <w:ind w:firstLine="640" w:firstLineChars="200"/>
        <w:rPr>
          <w:rFonts w:hint="eastAsia" w:eastAsia="仿宋_GB2312"/>
          <w:color w:val="auto"/>
          <w:sz w:val="32"/>
          <w:szCs w:val="32"/>
          <w:highlight w:val="none"/>
          <w:u w:val="single"/>
        </w:rPr>
      </w:pPr>
      <w:r>
        <w:rPr>
          <w:rFonts w:eastAsia="仿宋_GB2312"/>
          <w:color w:val="auto"/>
          <w:sz w:val="32"/>
          <w:szCs w:val="32"/>
          <w:highlight w:val="none"/>
        </w:rPr>
        <w:t>1</w:t>
      </w:r>
      <w:r>
        <w:rPr>
          <w:rFonts w:hint="eastAsia" w:eastAsia="仿宋_GB2312"/>
          <w:color w:val="auto"/>
          <w:sz w:val="32"/>
          <w:szCs w:val="32"/>
          <w:highlight w:val="none"/>
        </w:rPr>
        <w:t>、项目名称：</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重新采购</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u w:val="single"/>
        </w:rPr>
        <w:t>；</w:t>
      </w:r>
    </w:p>
    <w:p w14:paraId="04F0EAB6">
      <w:pPr>
        <w:adjustRightInd w:val="0"/>
        <w:snapToGrid w:val="0"/>
        <w:spacing w:line="60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2</w:t>
      </w:r>
      <w:r>
        <w:rPr>
          <w:rFonts w:hint="eastAsia" w:eastAsia="仿宋_GB2312"/>
          <w:color w:val="auto"/>
          <w:sz w:val="32"/>
          <w:szCs w:val="32"/>
          <w:highlight w:val="none"/>
        </w:rPr>
        <w:t>、采购范围：</w:t>
      </w:r>
      <w:r>
        <w:rPr>
          <w:rFonts w:hint="eastAsia" w:eastAsia="仿宋_GB2312"/>
          <w:color w:val="auto"/>
          <w:sz w:val="32"/>
          <w:szCs w:val="32"/>
          <w:highlight w:val="none"/>
          <w:u w:val="single"/>
        </w:rPr>
        <w:t>（</w:t>
      </w:r>
      <w:r>
        <w:rPr>
          <w:rFonts w:hint="eastAsia" w:eastAsia="仿宋_GB2312"/>
          <w:color w:val="auto"/>
          <w:sz w:val="32"/>
          <w:szCs w:val="32"/>
          <w:highlight w:val="none"/>
          <w:u w:val="single"/>
          <w:lang w:val="en-US" w:eastAsia="zh-CN"/>
        </w:rPr>
        <w:t>1</w:t>
      </w:r>
      <w:r>
        <w:rPr>
          <w:rFonts w:hint="eastAsia" w:eastAsia="仿宋_GB2312"/>
          <w:color w:val="auto"/>
          <w:sz w:val="32"/>
          <w:szCs w:val="32"/>
          <w:highlight w:val="none"/>
          <w:u w:val="single"/>
        </w:rPr>
        <w:t>）广告投放：负责</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在腾讯广告平台 的广告制作及发布等执行工作，并保证广告投放的稳定性及可靠性。（2）广告投放形式和腾讯广告平台充值金额要求：负责在腾讯广告平台采用竞价的方式为</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进行广告投放，并开放后台供</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监控。</w:t>
      </w:r>
      <w:r>
        <w:rPr>
          <w:rFonts w:hint="eastAsia" w:eastAsia="仿宋_GB2312"/>
          <w:color w:val="auto"/>
          <w:sz w:val="32"/>
          <w:szCs w:val="32"/>
          <w:highlight w:val="none"/>
          <w:u w:val="single"/>
          <w:lang w:val="en-US" w:eastAsia="zh-CN"/>
        </w:rPr>
        <w:t>响应人</w:t>
      </w:r>
      <w:r>
        <w:rPr>
          <w:rFonts w:hint="eastAsia" w:eastAsia="仿宋_GB2312"/>
          <w:color w:val="auto"/>
          <w:sz w:val="32"/>
          <w:szCs w:val="32"/>
          <w:highlight w:val="none"/>
          <w:u w:val="single"/>
        </w:rPr>
        <w:t>在合同约定服务期限内，腾讯广告平台充值投放金额不低于85000元；（3）数据报告：投放结束后为</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提供完整广告监测报告，监测报告内容包括所投放广告的展示数、点击等，监测数据以媒体反馈给出的数据为准。</w:t>
      </w:r>
    </w:p>
    <w:p w14:paraId="0DEAA46B">
      <w:pPr>
        <w:shd w:val="clear" w:color="auto" w:fill="auto"/>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、项目地点：</w:t>
      </w:r>
      <w:r>
        <w:rPr>
          <w:rFonts w:hint="eastAsia" w:eastAsia="仿宋_GB2312"/>
          <w:color w:val="000000"/>
          <w:sz w:val="32"/>
          <w:szCs w:val="32"/>
          <w:highlight w:val="none"/>
          <w:u w:val="single"/>
        </w:rPr>
        <w:t>东莞市；</w:t>
      </w:r>
    </w:p>
    <w:p w14:paraId="7702FE51">
      <w:pPr>
        <w:shd w:val="clear" w:color="auto" w:fill="auto"/>
        <w:adjustRightInd w:val="0"/>
        <w:snapToGrid w:val="0"/>
        <w:spacing w:line="600" w:lineRule="exact"/>
        <w:ind w:firstLine="640" w:firstLineChars="200"/>
        <w:rPr>
          <w:rFonts w:hint="eastAsia" w:eastAsia="仿宋_GB2312"/>
          <w:color w:val="auto"/>
          <w:sz w:val="32"/>
          <w:szCs w:val="32"/>
          <w:highlight w:val="none"/>
          <w:u w:val="single"/>
          <w:lang w:val="en-US" w:eastAsia="zh-CN"/>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、服务时间：</w:t>
      </w:r>
      <w:r>
        <w:rPr>
          <w:rFonts w:hint="default" w:eastAsia="仿宋_GB2312"/>
          <w:color w:val="auto"/>
          <w:sz w:val="32"/>
          <w:szCs w:val="32"/>
          <w:highlight w:val="none"/>
          <w:u w:val="single"/>
          <w:lang w:val="en-US"/>
        </w:rPr>
        <w:t>详见本询价文件</w:t>
      </w:r>
      <w:r>
        <w:rPr>
          <w:rFonts w:hint="eastAsia" w:eastAsia="仿宋_GB2312"/>
          <w:color w:val="auto"/>
          <w:sz w:val="32"/>
          <w:szCs w:val="32"/>
          <w:highlight w:val="none"/>
          <w:u w:val="single"/>
          <w:lang w:val="en-US" w:eastAsia="zh-CN"/>
        </w:rPr>
        <w:t>附件七</w:t>
      </w:r>
      <w:r>
        <w:rPr>
          <w:rFonts w:hint="default" w:eastAsia="仿宋_GB2312"/>
          <w:color w:val="auto"/>
          <w:sz w:val="32"/>
          <w:szCs w:val="32"/>
          <w:highlight w:val="none"/>
          <w:u w:val="single"/>
          <w:lang w:val="en-US"/>
        </w:rPr>
        <w:t>《合同文本》</w:t>
      </w:r>
      <w:r>
        <w:rPr>
          <w:rFonts w:hint="eastAsia" w:eastAsia="仿宋_GB2312"/>
          <w:color w:val="auto"/>
          <w:sz w:val="32"/>
          <w:szCs w:val="32"/>
          <w:highlight w:val="none"/>
          <w:u w:val="single"/>
          <w:lang w:val="en-US" w:eastAsia="zh-CN"/>
        </w:rPr>
        <w:t>。</w:t>
      </w:r>
    </w:p>
    <w:p w14:paraId="3391061F">
      <w:pPr>
        <w:shd w:val="clear" w:color="auto" w:fill="auto"/>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二、项目发布</w:t>
      </w:r>
    </w:p>
    <w:p w14:paraId="18057A48">
      <w:pPr>
        <w:shd w:val="clear" w:color="auto" w:fill="auto"/>
        <w:adjustRightInd w:val="0"/>
        <w:snapToGrid w:val="0"/>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本采购项目信息在东莞实业投资控股集团有限公司网站（http://www.dgsy.com.cn/）发布（参照《东实集团招标采购管理办法》、《工程招标实施细则》、《采购实施细则》要求执行）。</w:t>
      </w:r>
    </w:p>
    <w:p w14:paraId="7A573864">
      <w:pPr>
        <w:shd w:val="clear" w:color="auto" w:fill="auto"/>
        <w:adjustRightInd w:val="0"/>
        <w:snapToGrid w:val="0"/>
        <w:spacing w:line="360" w:lineRule="auto"/>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45343415">
      <w:pPr>
        <w:shd w:val="clear" w:color="auto" w:fill="auto"/>
        <w:adjustRightInd w:val="0"/>
        <w:snapToGrid w:val="0"/>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以</w:t>
      </w:r>
      <w:r>
        <w:rPr>
          <w:rFonts w:hint="eastAsia" w:ascii="仿宋" w:hAnsi="仿宋" w:eastAsia="仿宋"/>
          <w:sz w:val="32"/>
          <w:szCs w:val="32"/>
          <w:highlight w:val="none"/>
        </w:rPr>
        <w:t>分支机构投标的，</w:t>
      </w:r>
      <w:r>
        <w:rPr>
          <w:rFonts w:hint="eastAsia" w:ascii="仿宋" w:hAnsi="仿宋" w:eastAsia="仿宋"/>
          <w:sz w:val="32"/>
          <w:szCs w:val="32"/>
          <w:highlight w:val="none"/>
          <w:lang w:val="en-US" w:eastAsia="zh-CN"/>
        </w:rPr>
        <w:t>投标单位</w:t>
      </w:r>
      <w:r>
        <w:rPr>
          <w:rFonts w:hint="eastAsia" w:ascii="仿宋" w:hAnsi="仿宋" w:eastAsia="仿宋"/>
          <w:sz w:val="32"/>
          <w:szCs w:val="32"/>
          <w:highlight w:val="none"/>
        </w:rPr>
        <w:t>须提供总公司和分公司营业执照副本复印件，</w:t>
      </w:r>
      <w:r>
        <w:rPr>
          <w:rFonts w:hint="eastAsia" w:ascii="仿宋" w:hAnsi="仿宋" w:eastAsia="仿宋"/>
          <w:sz w:val="32"/>
          <w:szCs w:val="32"/>
          <w:highlight w:val="none"/>
          <w:lang w:val="en-US" w:eastAsia="zh-CN"/>
        </w:rPr>
        <w:t>以及</w:t>
      </w:r>
      <w:r>
        <w:rPr>
          <w:rFonts w:hint="eastAsia" w:ascii="仿宋" w:hAnsi="仿宋" w:eastAsia="仿宋"/>
          <w:sz w:val="32"/>
          <w:szCs w:val="32"/>
          <w:highlight w:val="none"/>
        </w:rPr>
        <w:t>总公司出具给分支机构的授权书。】</w:t>
      </w:r>
    </w:p>
    <w:p w14:paraId="2B6BE355">
      <w:pPr>
        <w:shd w:val="clear" w:color="auto" w:fill="auto"/>
        <w:adjustRightInd w:val="0"/>
        <w:snapToGrid w:val="0"/>
        <w:spacing w:line="360" w:lineRule="auto"/>
        <w:ind w:firstLine="640" w:firstLineChars="200"/>
        <w:rPr>
          <w:rFonts w:eastAsia="仿宋_GB2312"/>
          <w:color w:val="auto"/>
          <w:sz w:val="32"/>
          <w:szCs w:val="32"/>
          <w:highlight w:val="none"/>
        </w:rPr>
      </w:pPr>
      <w:r>
        <w:rPr>
          <w:rFonts w:hint="eastAsia" w:ascii="仿宋" w:hAnsi="仿宋" w:eastAsia="仿宋"/>
          <w:color w:val="auto"/>
          <w:sz w:val="32"/>
          <w:szCs w:val="32"/>
          <w:highlight w:val="none"/>
        </w:rPr>
        <w:t>2</w:t>
      </w:r>
      <w:r>
        <w:rPr>
          <w:rFonts w:hint="eastAsia" w:ascii="仿宋" w:hAnsi="仿宋" w:eastAsia="仿宋" w:cs="仿宋"/>
          <w:color w:val="auto"/>
          <w:sz w:val="32"/>
          <w:szCs w:val="32"/>
          <w:highlight w:val="none"/>
        </w:rPr>
        <w:t>、资质要求：响应人须具备</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资质且在</w:t>
      </w:r>
      <w:r>
        <w:rPr>
          <w:rFonts w:hint="eastAsia" w:eastAsia="仿宋_GB2312"/>
          <w:color w:val="auto"/>
          <w:sz w:val="32"/>
          <w:szCs w:val="32"/>
          <w:highlight w:val="none"/>
        </w:rPr>
        <w:t>有效期内。【</w:t>
      </w:r>
      <w:r>
        <w:rPr>
          <w:rFonts w:hint="eastAsia" w:eastAsia="仿宋_GB2312"/>
          <w:b/>
          <w:bCs/>
          <w:color w:val="auto"/>
          <w:sz w:val="32"/>
          <w:szCs w:val="32"/>
          <w:highlight w:val="none"/>
        </w:rPr>
        <w:t>提供资质证书复印件（加盖公章）</w:t>
      </w:r>
      <w:r>
        <w:rPr>
          <w:rFonts w:hint="eastAsia" w:eastAsia="仿宋_GB2312"/>
          <w:color w:val="auto"/>
          <w:sz w:val="32"/>
          <w:szCs w:val="32"/>
          <w:highlight w:val="none"/>
        </w:rPr>
        <w:t>】</w:t>
      </w:r>
    </w:p>
    <w:p w14:paraId="1C8159CD">
      <w:pPr>
        <w:shd w:val="clear" w:color="auto" w:fill="auto"/>
        <w:adjustRightInd w:val="0"/>
        <w:snapToGrid w:val="0"/>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3、业绩要求：</w:t>
      </w:r>
      <w:r>
        <w:rPr>
          <w:rFonts w:hint="eastAsia" w:ascii="仿宋" w:hAnsi="仿宋" w:eastAsia="仿宋" w:cs="仿宋"/>
          <w:color w:val="auto"/>
          <w:sz w:val="32"/>
          <w:szCs w:val="32"/>
          <w:highlight w:val="none"/>
        </w:rPr>
        <w:t>具备</w:t>
      </w:r>
      <w:r>
        <w:rPr>
          <w:rFonts w:hint="eastAsia" w:eastAsia="仿宋_GB2312"/>
          <w:color w:val="auto"/>
          <w:sz w:val="32"/>
          <w:szCs w:val="32"/>
          <w:highlight w:val="none"/>
          <w:u w:val="single"/>
          <w:lang w:val="en-US" w:eastAsia="zh-CN"/>
        </w:rPr>
        <w:t>朋友圈广告投放服务</w:t>
      </w:r>
      <w:r>
        <w:rPr>
          <w:rFonts w:hint="eastAsia" w:ascii="仿宋" w:hAnsi="仿宋" w:eastAsia="仿宋" w:cs="仿宋"/>
          <w:color w:val="auto"/>
          <w:sz w:val="32"/>
          <w:szCs w:val="32"/>
          <w:highlight w:val="none"/>
        </w:rPr>
        <w:t>项目经验，要求</w:t>
      </w:r>
      <w:r>
        <w:rPr>
          <w:rFonts w:hint="eastAsia" w:ascii="仿宋" w:hAnsi="仿宋" w:eastAsia="仿宋" w:cs="仿宋"/>
          <w:color w:val="auto"/>
          <w:sz w:val="32"/>
          <w:szCs w:val="32"/>
          <w:highlight w:val="none"/>
          <w:u w:val="single"/>
          <w:lang w:val="en-US" w:eastAsia="zh-CN"/>
        </w:rPr>
        <w:t>2021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1</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日起至</w:t>
      </w:r>
      <w:r>
        <w:rPr>
          <w:rFonts w:hint="eastAsia" w:ascii="仿宋" w:hAnsi="仿宋" w:eastAsia="仿宋" w:cs="仿宋"/>
          <w:color w:val="auto"/>
          <w:sz w:val="32"/>
          <w:szCs w:val="32"/>
          <w:highlight w:val="none"/>
          <w:u w:val="single"/>
          <w:lang w:val="en-US" w:eastAsia="zh-CN"/>
        </w:rPr>
        <w:t>响应截止</w:t>
      </w:r>
      <w:r>
        <w:rPr>
          <w:rFonts w:hint="eastAsia" w:ascii="仿宋" w:hAnsi="仿宋" w:eastAsia="仿宋" w:cs="仿宋"/>
          <w:color w:val="auto"/>
          <w:sz w:val="32"/>
          <w:szCs w:val="32"/>
          <w:highlight w:val="none"/>
        </w:rPr>
        <w:t>日，完成至少1个</w:t>
      </w:r>
      <w:r>
        <w:rPr>
          <w:rFonts w:hint="eastAsia" w:ascii="仿宋" w:hAnsi="仿宋" w:eastAsia="仿宋" w:cs="仿宋"/>
          <w:color w:val="auto"/>
          <w:sz w:val="32"/>
          <w:szCs w:val="32"/>
          <w:highlight w:val="none"/>
          <w:u w:val="single"/>
        </w:rPr>
        <w:t xml:space="preserve"> </w:t>
      </w:r>
      <w:r>
        <w:rPr>
          <w:rFonts w:hint="eastAsia" w:eastAsia="仿宋_GB2312"/>
          <w:color w:val="auto"/>
          <w:sz w:val="32"/>
          <w:szCs w:val="32"/>
          <w:highlight w:val="none"/>
          <w:u w:val="single"/>
          <w:lang w:val="en-US" w:eastAsia="zh-CN"/>
        </w:rPr>
        <w:t>朋友圈广告投放服务</w:t>
      </w:r>
      <w:r>
        <w:rPr>
          <w:rFonts w:hint="eastAsia" w:ascii="仿宋" w:hAnsi="仿宋" w:eastAsia="仿宋" w:cs="仿宋"/>
          <w:color w:val="auto"/>
          <w:sz w:val="32"/>
          <w:szCs w:val="32"/>
          <w:highlight w:val="none"/>
        </w:rPr>
        <w:t>业绩。【</w:t>
      </w:r>
      <w:r>
        <w:rPr>
          <w:rFonts w:hint="eastAsia" w:ascii="仿宋" w:hAnsi="仿宋" w:eastAsia="仿宋" w:cs="仿宋"/>
          <w:b w:val="0"/>
          <w:bCs w:val="0"/>
          <w:color w:val="auto"/>
          <w:sz w:val="32"/>
          <w:szCs w:val="32"/>
          <w:highlight w:val="none"/>
        </w:rPr>
        <w:t>按合同签订时间为准，须提供合同关键页复印件</w:t>
      </w:r>
      <w:r>
        <w:rPr>
          <w:rFonts w:hint="eastAsia" w:ascii="仿宋" w:hAnsi="仿宋" w:eastAsia="仿宋" w:cs="仿宋"/>
          <w:b/>
          <w:bCs/>
          <w:color w:val="auto"/>
          <w:sz w:val="32"/>
          <w:szCs w:val="32"/>
          <w:highlight w:val="none"/>
        </w:rPr>
        <w:t>（包含但不限于合同首页、合同金额页、合同签字页等）、该合同期内任意一期发票复印件，并加盖投标人公章</w:t>
      </w:r>
      <w:r>
        <w:rPr>
          <w:rFonts w:hint="eastAsia" w:eastAsia="仿宋_GB2312"/>
          <w:color w:val="auto"/>
          <w:sz w:val="32"/>
          <w:szCs w:val="32"/>
          <w:highlight w:val="none"/>
        </w:rPr>
        <w:t>。】</w:t>
      </w:r>
    </w:p>
    <w:p w14:paraId="11CFB005">
      <w:pPr>
        <w:shd w:val="clear" w:color="auto" w:fill="auto"/>
        <w:adjustRightInd w:val="0"/>
        <w:snapToGrid w:val="0"/>
        <w:spacing w:line="360" w:lineRule="auto"/>
        <w:ind w:firstLine="640" w:firstLineChars="200"/>
        <w:rPr>
          <w:rFonts w:ascii="仿宋" w:hAnsi="仿宋" w:eastAsia="仿宋" w:cs="仿宋"/>
          <w:color w:val="auto"/>
          <w:highlight w:val="none"/>
        </w:rPr>
      </w:pPr>
      <w:r>
        <w:rPr>
          <w:rFonts w:hint="eastAsia" w:eastAsia="仿宋_GB2312"/>
          <w:color w:val="auto"/>
          <w:sz w:val="32"/>
          <w:szCs w:val="32"/>
          <w:highlight w:val="none"/>
        </w:rPr>
        <w:t>4、人员要求：</w:t>
      </w:r>
      <w:r>
        <w:rPr>
          <w:rFonts w:hint="eastAsia" w:ascii="仿宋" w:hAnsi="仿宋" w:eastAsia="仿宋" w:cs="仿宋"/>
          <w:color w:val="auto"/>
          <w:sz w:val="32"/>
          <w:szCs w:val="32"/>
          <w:highlight w:val="none"/>
        </w:rPr>
        <w:t>响应人拟派项目专职人员须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提供</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b/>
          <w:bCs/>
          <w:color w:val="auto"/>
          <w:sz w:val="32"/>
          <w:szCs w:val="32"/>
          <w:highlight w:val="none"/>
        </w:rPr>
        <w:t>证书复印件（加盖公章）</w:t>
      </w:r>
      <w:r>
        <w:rPr>
          <w:rFonts w:hint="eastAsia" w:ascii="仿宋" w:hAnsi="仿宋" w:eastAsia="仿宋" w:cs="仿宋"/>
          <w:color w:val="auto"/>
          <w:sz w:val="32"/>
          <w:szCs w:val="32"/>
          <w:highlight w:val="none"/>
        </w:rPr>
        <w:t>】</w:t>
      </w:r>
    </w:p>
    <w:p w14:paraId="55A460EC">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5、未被列入东实集团及下属企业</w:t>
      </w:r>
      <w:r>
        <w:rPr>
          <w:rFonts w:hint="eastAsia" w:ascii="仿宋" w:hAnsi="仿宋" w:eastAsia="仿宋"/>
          <w:color w:val="auto"/>
          <w:sz w:val="32"/>
          <w:szCs w:val="32"/>
          <w:highlight w:val="none"/>
          <w:lang w:val="en-US" w:eastAsia="zh-CN"/>
        </w:rPr>
        <w:t>相关</w:t>
      </w:r>
      <w:r>
        <w:rPr>
          <w:rFonts w:hint="eastAsia" w:eastAsia="仿宋_GB2312"/>
          <w:color w:val="auto"/>
          <w:sz w:val="32"/>
          <w:szCs w:val="32"/>
          <w:highlight w:val="none"/>
        </w:rPr>
        <w:t>领域黑名单。【以东莞实业投资控股集团</w:t>
      </w:r>
      <w:r>
        <w:rPr>
          <w:rFonts w:hint="default" w:ascii="Times New Roman" w:hAnsi="Times New Roman" w:eastAsia="仿宋_GB2312" w:cs="Times New Roman"/>
          <w:color w:val="auto"/>
          <w:sz w:val="32"/>
          <w:szCs w:val="32"/>
          <w:highlight w:val="none"/>
        </w:rPr>
        <w:t>有限公司发文（东实通〔2021〕44号）、（东实通〔2021〕98号）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（东实通〔2022〕75号）</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（东实通〔2023〕37号）</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（东实通〔202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163</w:t>
      </w:r>
      <w:r>
        <w:rPr>
          <w:rFonts w:hint="default" w:ascii="Times New Roman" w:hAnsi="Times New Roman" w:eastAsia="仿宋" w:cs="Times New Roman"/>
          <w:color w:val="auto"/>
          <w:sz w:val="32"/>
          <w:szCs w:val="32"/>
          <w:highlight w:val="none"/>
          <w:lang w:val="en-US" w:eastAsia="zh-CN"/>
        </w:rPr>
        <w:t>号）</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（东实通〔202</w:t>
      </w: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195</w:t>
      </w:r>
      <w:r>
        <w:rPr>
          <w:rFonts w:hint="default" w:ascii="Times New Roman" w:hAnsi="Times New Roman" w:eastAsia="仿宋" w:cs="Times New Roman"/>
          <w:color w:val="auto"/>
          <w:sz w:val="32"/>
          <w:szCs w:val="32"/>
          <w:highlight w:val="none"/>
          <w:lang w:val="en-US" w:eastAsia="zh-CN"/>
        </w:rPr>
        <w:t>号）</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（东实通〔202</w:t>
      </w: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157</w:t>
      </w:r>
      <w:r>
        <w:rPr>
          <w:rFonts w:hint="default" w:ascii="Times New Roman" w:hAnsi="Times New Roman" w:eastAsia="仿宋" w:cs="Times New Roman"/>
          <w:color w:val="auto"/>
          <w:sz w:val="32"/>
          <w:szCs w:val="32"/>
          <w:highlight w:val="none"/>
          <w:lang w:val="en-US" w:eastAsia="zh-CN"/>
        </w:rPr>
        <w:t>号）</w:t>
      </w:r>
      <w:r>
        <w:rPr>
          <w:rFonts w:hint="default" w:ascii="Times New Roman" w:hAnsi="Times New Roman" w:eastAsia="仿宋_GB2312" w:cs="Times New Roman"/>
          <w:color w:val="auto"/>
          <w:sz w:val="32"/>
          <w:szCs w:val="32"/>
          <w:highlight w:val="none"/>
        </w:rPr>
        <w:t>为准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如有最新发文通知，按最新文件执行。</w:t>
      </w:r>
      <w:r>
        <w:rPr>
          <w:rFonts w:hint="default" w:ascii="Times New Roman" w:hAnsi="Times New Roman" w:eastAsia="仿宋_GB2312" w:cs="Times New Roman"/>
          <w:color w:val="auto"/>
          <w:sz w:val="32"/>
          <w:szCs w:val="32"/>
          <w:highlight w:val="none"/>
        </w:rPr>
        <w:t>】</w:t>
      </w:r>
    </w:p>
    <w:p w14:paraId="39585D2C">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四、采购内容及要求</w:t>
      </w:r>
    </w:p>
    <w:p w14:paraId="6E717960">
      <w:pPr>
        <w:shd w:val="clear" w:color="auto" w:fill="auto"/>
        <w:spacing w:line="600" w:lineRule="exact"/>
        <w:ind w:firstLine="640" w:firstLineChars="200"/>
        <w:rPr>
          <w:rFonts w:eastAsia="仿宋_GB2312"/>
          <w:color w:val="auto"/>
          <w:sz w:val="32"/>
          <w:szCs w:val="32"/>
          <w:highlight w:val="none"/>
          <w:u w:val="none"/>
        </w:rPr>
      </w:pPr>
      <w:r>
        <w:rPr>
          <w:rFonts w:hint="eastAsia" w:eastAsia="仿宋_GB2312"/>
          <w:color w:val="auto"/>
          <w:sz w:val="32"/>
          <w:szCs w:val="32"/>
          <w:highlight w:val="none"/>
          <w:u w:val="none"/>
        </w:rPr>
        <w:t>具体要求详见本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文件。响应人须仔细阅读本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文件，因未详细了解本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文件造成报价项目遗漏，由响应人自行负责。</w:t>
      </w:r>
    </w:p>
    <w:p w14:paraId="187447E7">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五、完成时间</w:t>
      </w:r>
    </w:p>
    <w:p w14:paraId="516E2528">
      <w:pPr>
        <w:shd w:val="clear" w:color="auto" w:fill="auto"/>
        <w:spacing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详见《询价文件》附件七合同文本。</w:t>
      </w:r>
    </w:p>
    <w:p w14:paraId="3B70C4D4">
      <w:pPr>
        <w:shd w:val="clear" w:color="auto" w:fill="auto"/>
        <w:adjustRightInd w:val="0"/>
        <w:snapToGrid w:val="0"/>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六、支付方式</w:t>
      </w:r>
    </w:p>
    <w:p w14:paraId="3F4199CD">
      <w:pPr>
        <w:shd w:val="clear" w:color="auto" w:fill="auto"/>
        <w:spacing w:line="600" w:lineRule="exact"/>
        <w:ind w:firstLine="640" w:firstLineChars="200"/>
        <w:rPr>
          <w:rFonts w:hint="eastAsia" w:eastAsia="仿宋_GB2312"/>
          <w:color w:val="auto"/>
          <w:sz w:val="32"/>
          <w:szCs w:val="32"/>
          <w:highlight w:val="none"/>
          <w:u w:val="single"/>
          <w:lang w:eastAsia="zh-CN"/>
        </w:rPr>
      </w:pPr>
      <w:r>
        <w:rPr>
          <w:rFonts w:hint="eastAsia" w:eastAsia="仿宋_GB2312"/>
          <w:color w:val="auto"/>
          <w:sz w:val="32"/>
          <w:szCs w:val="32"/>
          <w:highlight w:val="none"/>
          <w:u w:val="single"/>
        </w:rPr>
        <w:t>广告投放采取后付费的模式，甲乙双方约定，在甲方的每单广告上线投放结束后的 5 个工作日内，乙方以邮件/微信的方式向甲方提供结案报告，自收到结案报告5 日内，甲方没有提出书面异议的视为甲方认可乙方的工作，并确认乙方合同义务履行完毕，甲方在收到乙方提交结案报告、完整结算资料、请款资料及合法等额的增值税专用发票且办理完结算后15个工作日内付款</w:t>
      </w:r>
      <w:r>
        <w:rPr>
          <w:rFonts w:hint="eastAsia" w:eastAsia="仿宋_GB2312"/>
          <w:color w:val="auto"/>
          <w:sz w:val="32"/>
          <w:szCs w:val="32"/>
          <w:highlight w:val="none"/>
          <w:u w:val="single"/>
          <w:lang w:eastAsia="zh-CN"/>
        </w:rPr>
        <w:t>。</w:t>
      </w:r>
    </w:p>
    <w:p w14:paraId="60A293ED">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七、报价</w:t>
      </w:r>
    </w:p>
    <w:p w14:paraId="7327EDDB">
      <w:pPr>
        <w:shd w:val="clear" w:color="auto" w:fill="auto"/>
        <w:spacing w:line="600" w:lineRule="exact"/>
        <w:ind w:firstLine="640" w:firstLineChars="200"/>
        <w:rPr>
          <w:rFonts w:hint="eastAsia" w:eastAsia="仿宋_GB2312"/>
          <w:b/>
          <w:bCs/>
          <w:color w:val="auto"/>
          <w:sz w:val="32"/>
          <w:szCs w:val="32"/>
          <w:highlight w:val="none"/>
          <w:lang w:eastAsia="zh-CN"/>
        </w:rPr>
      </w:pPr>
      <w:r>
        <w:rPr>
          <w:rFonts w:hint="eastAsia" w:eastAsia="仿宋_GB2312"/>
          <w:b/>
          <w:bCs/>
          <w:color w:val="auto"/>
          <w:sz w:val="32"/>
          <w:szCs w:val="32"/>
          <w:highlight w:val="none"/>
        </w:rPr>
        <w:t>采购限价：</w:t>
      </w:r>
      <w:r>
        <w:rPr>
          <w:rFonts w:eastAsia="仿宋_GB2312"/>
          <w:b/>
          <w:bCs/>
          <w:color w:val="auto"/>
          <w:sz w:val="32"/>
          <w:szCs w:val="32"/>
          <w:highlight w:val="none"/>
          <w:u w:val="single"/>
        </w:rPr>
        <w:t>¥</w:t>
      </w:r>
      <w:r>
        <w:rPr>
          <w:rFonts w:hint="eastAsia" w:eastAsia="仿宋_GB2312"/>
          <w:b/>
          <w:bCs/>
          <w:color w:val="auto"/>
          <w:sz w:val="32"/>
          <w:szCs w:val="32"/>
          <w:highlight w:val="none"/>
          <w:u w:val="single"/>
          <w:lang w:val="en-US" w:eastAsia="zh-CN"/>
        </w:rPr>
        <w:t>93500.00</w:t>
      </w:r>
      <w:r>
        <w:rPr>
          <w:rFonts w:hint="eastAsia" w:eastAsia="仿宋_GB2312"/>
          <w:b/>
          <w:bCs/>
          <w:color w:val="auto"/>
          <w:sz w:val="32"/>
          <w:szCs w:val="32"/>
          <w:highlight w:val="none"/>
        </w:rPr>
        <w:t>元（含税）</w:t>
      </w:r>
      <w:r>
        <w:rPr>
          <w:rFonts w:hint="eastAsia" w:eastAsia="仿宋_GB2312"/>
          <w:b/>
          <w:bCs/>
          <w:color w:val="auto"/>
          <w:sz w:val="32"/>
          <w:szCs w:val="32"/>
          <w:highlight w:val="none"/>
          <w:lang w:eastAsia="zh-CN"/>
        </w:rPr>
        <w:t>。</w:t>
      </w:r>
    </w:p>
    <w:p w14:paraId="0A8861B7">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本项目发包方式为</w:t>
      </w:r>
      <w:r>
        <w:rPr>
          <w:rFonts w:hint="eastAsia" w:eastAsia="仿宋_GB2312"/>
          <w:color w:val="auto"/>
          <w:sz w:val="32"/>
          <w:szCs w:val="32"/>
          <w:highlight w:val="none"/>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0610CCE3">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八、定标</w:t>
      </w:r>
    </w:p>
    <w:p w14:paraId="0296F1CA">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本次项目采用询价方式进行采购，询价小组对各供应商响应文件进行审核，并根据质量和服务均能满足采购文件实质性响应要求且报价最低的原则，推荐成交候选供应商。</w:t>
      </w:r>
    </w:p>
    <w:p w14:paraId="6CC74B0D">
      <w:pPr>
        <w:spacing w:line="600" w:lineRule="exact"/>
        <w:ind w:firstLine="640" w:firstLineChars="200"/>
        <w:rPr>
          <w:rFonts w:hint="eastAsia"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14:paraId="20C488EB">
      <w:pPr>
        <w:adjustRightInd w:val="0"/>
        <w:snapToGrid w:val="0"/>
        <w:spacing w:line="600" w:lineRule="exact"/>
        <w:ind w:firstLine="640" w:firstLineChars="200"/>
        <w:outlineLvl w:val="0"/>
        <w:rPr>
          <w:rFonts w:hint="eastAsia" w:eastAsia="仿宋_GB2312" w:cs="Times New Roman"/>
          <w:color w:val="auto"/>
          <w:sz w:val="32"/>
          <w:szCs w:val="32"/>
          <w:highlight w:val="none"/>
          <w:u w:val="single"/>
          <w:lang w:val="en-US" w:eastAsia="zh-CN"/>
        </w:rPr>
      </w:pPr>
      <w:r>
        <w:rPr>
          <w:rFonts w:hint="eastAsia" w:eastAsia="仿宋_GB2312" w:cs="Times New Roman"/>
          <w:color w:val="auto"/>
          <w:sz w:val="32"/>
          <w:szCs w:val="32"/>
          <w:highlight w:val="none"/>
          <w:u w:val="single"/>
          <w:lang w:val="en-US" w:eastAsia="zh-CN"/>
        </w:rPr>
        <w:t>本项目为重新采购项目，当现场递交响应文件的供应商个数或经评审有效的供应商个数不足三个且个数为二时，采购人将转为现场谈判；当现场递交响应文件的供应商个数或经评审有效的供应商个数不足三个且个数为一时，采购方式将转为定向谈判。谈判过程及相关表格详见附件A。</w:t>
      </w:r>
    </w:p>
    <w:p w14:paraId="759B6B61">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35A8C27D">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hint="eastAsia" w:eastAsia="仿宋_GB2312"/>
          <w:color w:val="auto"/>
          <w:sz w:val="32"/>
          <w:szCs w:val="32"/>
          <w:highlight w:val="none"/>
          <w:u w:val="single"/>
        </w:rPr>
        <w:t>3</w:t>
      </w:r>
      <w:r>
        <w:rPr>
          <w:rFonts w:eastAsia="仿宋_GB2312"/>
          <w:color w:val="auto"/>
          <w:sz w:val="32"/>
          <w:szCs w:val="32"/>
          <w:highlight w:val="none"/>
          <w:u w:val="single"/>
        </w:rPr>
        <w:t>0</w:t>
      </w:r>
      <w:r>
        <w:rPr>
          <w:rFonts w:hint="eastAsia" w:eastAsia="仿宋_GB2312"/>
          <w:color w:val="auto"/>
          <w:sz w:val="32"/>
          <w:szCs w:val="32"/>
          <w:highlight w:val="none"/>
        </w:rPr>
        <w:t>天内与采购人签订合同。</w:t>
      </w:r>
    </w:p>
    <w:p w14:paraId="17F6E7CC">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响应人收款前需向采购人提供请款材料和开具合法有效等额的增值税专用发票，否则采购人有权拒绝付款。</w:t>
      </w:r>
    </w:p>
    <w:p w14:paraId="78C62F2F">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0608412D">
      <w:pPr>
        <w:numPr>
          <w:ilvl w:val="0"/>
          <w:numId w:val="3"/>
        </w:num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报价函（模板）</w:t>
      </w:r>
      <w:r>
        <w:rPr>
          <w:rFonts w:hint="eastAsia" w:eastAsia="仿宋_GB2312"/>
          <w:color w:val="auto"/>
          <w:sz w:val="32"/>
          <w:szCs w:val="32"/>
          <w:highlight w:val="none"/>
          <w:lang w:val="en-US" w:eastAsia="zh-CN"/>
        </w:rPr>
        <w:t xml:space="preserve"> </w:t>
      </w:r>
      <w:r>
        <w:rPr>
          <w:rFonts w:hint="eastAsia" w:eastAsia="仿宋_GB2312"/>
          <w:color w:val="auto"/>
          <w:sz w:val="32"/>
          <w:szCs w:val="32"/>
          <w:highlight w:val="none"/>
        </w:rPr>
        <w:t>；</w:t>
      </w:r>
    </w:p>
    <w:p w14:paraId="037782FF">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40A4A4C7">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625C4C8C">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1164D366">
      <w:pPr>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符合“响应人资格要求”对应的证明资料；</w:t>
      </w:r>
    </w:p>
    <w:p w14:paraId="082F6189">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响应人认为需要提供的其他资料。</w:t>
      </w:r>
    </w:p>
    <w:p w14:paraId="7D8F17A6">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r>
        <w:rPr>
          <w:rFonts w:hint="eastAsia" w:eastAsia="仿宋_GB2312"/>
          <w:color w:val="auto"/>
          <w:sz w:val="32"/>
          <w:szCs w:val="32"/>
          <w:highlight w:val="none"/>
        </w:rPr>
        <w:t>。</w:t>
      </w:r>
    </w:p>
    <w:p w14:paraId="02B45ABD">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504F4089">
      <w:pPr>
        <w:shd w:val="clear" w:color="auto" w:fill="auto"/>
        <w:spacing w:line="600" w:lineRule="exact"/>
        <w:ind w:firstLine="640" w:firstLineChars="200"/>
        <w:rPr>
          <w:rFonts w:eastAsia="仿宋_GB2312"/>
          <w:color w:val="auto"/>
          <w:sz w:val="32"/>
          <w:szCs w:val="32"/>
          <w:highlight w:val="none"/>
        </w:rPr>
      </w:pPr>
      <w:r>
        <w:rPr>
          <w:rFonts w:hint="eastAsia" w:eastAsia="仿宋_GB2312"/>
          <w:b/>
          <w:bCs/>
          <w:color w:val="auto"/>
          <w:sz w:val="32"/>
          <w:szCs w:val="32"/>
          <w:highlight w:val="none"/>
        </w:rPr>
        <w:t>正本一份，并提供响应文件</w:t>
      </w:r>
      <w:r>
        <w:rPr>
          <w:rFonts w:hint="eastAsia" w:eastAsia="仿宋_GB2312"/>
          <w:b/>
          <w:bCs/>
          <w:color w:val="auto"/>
          <w:sz w:val="32"/>
          <w:szCs w:val="32"/>
          <w:highlight w:val="none"/>
          <w:lang w:val="en-US" w:eastAsia="zh-CN"/>
        </w:rPr>
        <w:t>(盖章版）</w:t>
      </w:r>
      <w:r>
        <w:rPr>
          <w:rFonts w:hint="eastAsia" w:eastAsia="仿宋_GB2312"/>
          <w:b/>
          <w:bCs/>
          <w:color w:val="auto"/>
          <w:sz w:val="32"/>
          <w:szCs w:val="32"/>
          <w:highlight w:val="none"/>
        </w:rPr>
        <w:t>扫描件电子版（U盘）</w:t>
      </w:r>
      <w:r>
        <w:rPr>
          <w:rFonts w:hint="eastAsia" w:eastAsia="仿宋_GB2312"/>
          <w:color w:val="auto"/>
          <w:sz w:val="32"/>
          <w:szCs w:val="32"/>
          <w:highlight w:val="none"/>
        </w:rPr>
        <w:t>。</w:t>
      </w:r>
    </w:p>
    <w:p w14:paraId="234C5B44">
      <w:pPr>
        <w:numPr>
          <w:ilvl w:val="0"/>
          <w:numId w:val="0"/>
        </w:numPr>
        <w:adjustRightInd w:val="0"/>
        <w:snapToGrid w:val="0"/>
        <w:spacing w:line="600" w:lineRule="exact"/>
        <w:ind w:firstLine="640" w:firstLineChars="200"/>
        <w:outlineLvl w:val="1"/>
        <w:rPr>
          <w:rFonts w:hint="eastAsia" w:ascii="Times New Roman" w:hAnsi="Times New Roman" w:eastAsia="仿宋_GB2312" w:cs="Times New Roman"/>
          <w:b/>
          <w:bCs/>
          <w:i w:val="0"/>
          <w:iCs w:val="0"/>
          <w:caps w:val="0"/>
          <w:color w:val="auto"/>
          <w:spacing w:val="0"/>
          <w:sz w:val="32"/>
          <w:szCs w:val="32"/>
          <w:highlight w:val="none"/>
          <w:u w:val="none"/>
          <w:lang w:val="en-US" w:eastAsia="zh-CN"/>
        </w:rPr>
      </w:pPr>
      <w:r>
        <w:rPr>
          <w:rFonts w:hint="eastAsia" w:ascii="黑体" w:hAnsi="黑体" w:eastAsia="黑体" w:cs="黑体"/>
          <w:i w:val="0"/>
          <w:iCs w:val="0"/>
          <w:caps w:val="0"/>
          <w:color w:val="auto"/>
          <w:spacing w:val="0"/>
          <w:sz w:val="32"/>
          <w:szCs w:val="32"/>
          <w:highlight w:val="none"/>
          <w:lang w:val="en-US" w:eastAsia="zh-CN"/>
        </w:rPr>
        <w:t>十二、</w:t>
      </w:r>
      <w:r>
        <w:rPr>
          <w:rFonts w:hint="eastAsia" w:ascii="黑体" w:hAnsi="黑体" w:eastAsia="黑体" w:cs="黑体"/>
          <w:i w:val="0"/>
          <w:iCs w:val="0"/>
          <w:caps w:val="0"/>
          <w:color w:val="auto"/>
          <w:spacing w:val="0"/>
          <w:sz w:val="32"/>
          <w:szCs w:val="32"/>
          <w:highlight w:val="none"/>
        </w:rPr>
        <w:t>保证金金额及缴纳方式</w:t>
      </w:r>
    </w:p>
    <w:p w14:paraId="25E30F84">
      <w:pPr>
        <w:spacing w:line="60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人应按询价文件规定的金额和期限交纳报价保证金，</w:t>
      </w: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人与交款人名称必须一致，非</w:t>
      </w: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人缴纳的报价保证金无效。</w:t>
      </w:r>
    </w:p>
    <w:p w14:paraId="643D4F4D">
      <w:pPr>
        <w:spacing w:line="60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1、报价保证金：</w:t>
      </w:r>
      <w:r>
        <w:rPr>
          <w:rFonts w:hint="eastAsia" w:ascii="Times New Roman" w:hAnsi="Times New Roman" w:eastAsia="仿宋_GB2312" w:cs="Times New Roman"/>
          <w:color w:val="auto"/>
          <w:sz w:val="32"/>
          <w:szCs w:val="32"/>
          <w:highlight w:val="none"/>
          <w:u w:val="single"/>
          <w:lang w:val="en-US" w:eastAsia="zh-CN"/>
        </w:rPr>
        <w:t>详见附件一《投标须知》</w:t>
      </w:r>
      <w:r>
        <w:rPr>
          <w:rFonts w:hint="eastAsia" w:ascii="Times New Roman" w:hAnsi="Times New Roman" w:eastAsia="仿宋_GB2312" w:cs="Times New Roman"/>
          <w:color w:val="auto"/>
          <w:sz w:val="32"/>
          <w:szCs w:val="32"/>
          <w:highlight w:val="none"/>
          <w:u w:val="none"/>
          <w:lang w:val="en-US" w:eastAsia="zh-CN"/>
        </w:rPr>
        <w:t>；</w:t>
      </w:r>
    </w:p>
    <w:p w14:paraId="76AD2A97">
      <w:pPr>
        <w:spacing w:line="600" w:lineRule="exact"/>
        <w:ind w:firstLine="640" w:firstLineChars="200"/>
        <w:rPr>
          <w:rFonts w:hint="eastAsia"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u w:val="none"/>
          <w:lang w:val="en-US" w:eastAsia="zh-CN"/>
        </w:rPr>
        <w:t>2、履约保证金：</w:t>
      </w:r>
      <w:r>
        <w:rPr>
          <w:rFonts w:hint="eastAsia" w:ascii="Times New Roman" w:hAnsi="Times New Roman" w:eastAsia="仿宋_GB2312" w:cs="Times New Roman"/>
          <w:color w:val="auto"/>
          <w:sz w:val="32"/>
          <w:szCs w:val="32"/>
          <w:highlight w:val="none"/>
          <w:u w:val="single"/>
          <w:lang w:val="en-US" w:eastAsia="zh-CN"/>
        </w:rPr>
        <w:t>详见附件一《投标须知》</w:t>
      </w:r>
      <w:r>
        <w:rPr>
          <w:rFonts w:hint="eastAsia" w:ascii="Times New Roman" w:hAnsi="Times New Roman" w:eastAsia="仿宋_GB2312" w:cs="Times New Roman"/>
          <w:color w:val="auto"/>
          <w:sz w:val="32"/>
          <w:szCs w:val="32"/>
          <w:highlight w:val="none"/>
          <w:u w:val="none"/>
          <w:lang w:val="en-US" w:eastAsia="zh-CN"/>
        </w:rPr>
        <w:t>；</w:t>
      </w:r>
    </w:p>
    <w:p w14:paraId="1547033A">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三</w:t>
      </w:r>
      <w:r>
        <w:rPr>
          <w:rFonts w:hint="eastAsia" w:eastAsia="黑体"/>
          <w:color w:val="auto"/>
          <w:sz w:val="32"/>
          <w:szCs w:val="32"/>
          <w:highlight w:val="none"/>
        </w:rPr>
        <w:t>、开标时间及地址</w:t>
      </w:r>
    </w:p>
    <w:p w14:paraId="58E9FBB6">
      <w:pPr>
        <w:shd w:val="clear" w:color="auto" w:fill="auto"/>
        <w:spacing w:line="600" w:lineRule="exact"/>
        <w:ind w:firstLine="640"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sz w:val="32"/>
          <w:szCs w:val="32"/>
          <w:highlight w:val="none"/>
          <w:u w:val="single"/>
        </w:rPr>
        <w:t>20</w:t>
      </w:r>
      <w:r>
        <w:rPr>
          <w:rFonts w:hint="eastAsia" w:eastAsia="仿宋_GB2312"/>
          <w:b/>
          <w:sz w:val="32"/>
          <w:szCs w:val="32"/>
          <w:highlight w:val="none"/>
          <w:u w:val="single"/>
        </w:rPr>
        <w:t>2</w:t>
      </w:r>
      <w:r>
        <w:rPr>
          <w:rFonts w:hint="eastAsia" w:eastAsia="仿宋_GB2312"/>
          <w:b/>
          <w:sz w:val="32"/>
          <w:szCs w:val="32"/>
          <w:highlight w:val="none"/>
          <w:u w:val="single"/>
          <w:lang w:val="en-US" w:eastAsia="zh-CN"/>
        </w:rPr>
        <w:t>6</w:t>
      </w:r>
      <w:r>
        <w:rPr>
          <w:rFonts w:hint="eastAsia" w:eastAsia="仿宋_GB2312"/>
          <w:b/>
          <w:sz w:val="32"/>
          <w:szCs w:val="32"/>
          <w:highlight w:val="none"/>
        </w:rPr>
        <w:t>年</w:t>
      </w:r>
      <w:r>
        <w:rPr>
          <w:rFonts w:hint="eastAsia" w:eastAsia="仿宋_GB2312"/>
          <w:b/>
          <w:sz w:val="32"/>
          <w:szCs w:val="32"/>
          <w:highlight w:val="none"/>
          <w:u w:val="single"/>
          <w:lang w:val="en-US" w:eastAsia="zh-CN"/>
        </w:rPr>
        <w:t xml:space="preserve"> 5 </w:t>
      </w:r>
      <w:r>
        <w:rPr>
          <w:rFonts w:hint="eastAsia" w:eastAsia="仿宋_GB2312"/>
          <w:b/>
          <w:sz w:val="32"/>
          <w:szCs w:val="32"/>
          <w:highlight w:val="none"/>
        </w:rPr>
        <w:t>月</w:t>
      </w:r>
      <w:r>
        <w:rPr>
          <w:rFonts w:hint="eastAsia" w:eastAsia="仿宋_GB2312"/>
          <w:b/>
          <w:sz w:val="32"/>
          <w:szCs w:val="32"/>
          <w:highlight w:val="none"/>
          <w:u w:val="single"/>
          <w:lang w:val="en-US" w:eastAsia="zh-CN"/>
        </w:rPr>
        <w:t xml:space="preserve"> 13 </w:t>
      </w:r>
      <w:r>
        <w:rPr>
          <w:rFonts w:hint="eastAsia" w:eastAsia="仿宋_GB2312"/>
          <w:b/>
          <w:sz w:val="32"/>
          <w:szCs w:val="32"/>
          <w:highlight w:val="none"/>
        </w:rPr>
        <w:t>日（星期</w:t>
      </w:r>
      <w:r>
        <w:rPr>
          <w:rFonts w:hint="eastAsia" w:eastAsia="仿宋_GB2312"/>
          <w:b/>
          <w:sz w:val="32"/>
          <w:szCs w:val="32"/>
          <w:highlight w:val="none"/>
          <w:u w:val="single"/>
          <w:lang w:val="en-US" w:eastAsia="zh-CN"/>
        </w:rPr>
        <w:t xml:space="preserve"> 三 </w:t>
      </w:r>
      <w:r>
        <w:rPr>
          <w:rFonts w:hint="eastAsia" w:eastAsia="仿宋_GB2312"/>
          <w:b/>
          <w:sz w:val="32"/>
          <w:szCs w:val="32"/>
          <w:highlight w:val="none"/>
        </w:rPr>
        <w:t>）</w:t>
      </w:r>
      <w:r>
        <w:rPr>
          <w:rFonts w:hint="eastAsia" w:eastAsia="仿宋_GB2312"/>
          <w:b/>
          <w:sz w:val="32"/>
          <w:szCs w:val="32"/>
          <w:highlight w:val="none"/>
          <w:lang w:val="en-US" w:eastAsia="zh-CN"/>
        </w:rPr>
        <w:t>上午</w:t>
      </w:r>
      <w:r>
        <w:rPr>
          <w:rFonts w:hint="eastAsia" w:eastAsia="仿宋_GB2312"/>
          <w:b/>
          <w:color w:val="auto"/>
          <w:sz w:val="32"/>
          <w:szCs w:val="32"/>
          <w:highlight w:val="none"/>
          <w:u w:val="single"/>
          <w:lang w:val="en-US" w:eastAsia="zh-CN"/>
        </w:rPr>
        <w:t>10</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0</w:t>
      </w:r>
      <w:r>
        <w:rPr>
          <w:rFonts w:eastAsia="仿宋_GB2312"/>
          <w:b/>
          <w:color w:val="auto"/>
          <w:sz w:val="32"/>
          <w:szCs w:val="32"/>
          <w:highlight w:val="none"/>
          <w:u w:val="single"/>
        </w:rPr>
        <w:t>0</w:t>
      </w:r>
      <w:r>
        <w:rPr>
          <w:rFonts w:hint="eastAsia" w:eastAsia="仿宋_GB2312"/>
          <w:b/>
          <w:color w:val="auto"/>
          <w:sz w:val="32"/>
          <w:szCs w:val="32"/>
          <w:highlight w:val="none"/>
        </w:rPr>
        <w:t>。</w:t>
      </w:r>
    </w:p>
    <w:p w14:paraId="1077487A">
      <w:pPr>
        <w:shd w:val="clear" w:color="auto" w:fill="auto"/>
        <w:spacing w:line="600" w:lineRule="exact"/>
        <w:ind w:firstLine="640" w:firstLineChars="200"/>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rPr>
        <w:t>东莞市东城区八一路1号机关二号大院9号楼103会议室</w:t>
      </w:r>
    </w:p>
    <w:p w14:paraId="77F7DC14">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吴工</w:t>
      </w:r>
      <w:r>
        <w:rPr>
          <w:rFonts w:eastAsia="仿宋_GB2312"/>
          <w:color w:val="auto"/>
          <w:sz w:val="32"/>
          <w:szCs w:val="32"/>
          <w:highlight w:val="none"/>
          <w:u w:val="single"/>
        </w:rPr>
        <w:t xml:space="preserve">  </w:t>
      </w:r>
    </w:p>
    <w:p w14:paraId="12E3FC99">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联系电话：</w:t>
      </w:r>
      <w:r>
        <w:rPr>
          <w:rFonts w:hint="eastAsia" w:eastAsia="仿宋_GB2312"/>
          <w:color w:val="auto"/>
          <w:sz w:val="32"/>
          <w:szCs w:val="32"/>
          <w:highlight w:val="none"/>
          <w:u w:val="single"/>
          <w:lang w:val="en-US" w:eastAsia="zh-CN"/>
        </w:rPr>
        <w:t>18126818023</w:t>
      </w:r>
      <w:r>
        <w:rPr>
          <w:rFonts w:eastAsia="仿宋_GB2312"/>
          <w:color w:val="auto"/>
          <w:sz w:val="32"/>
          <w:szCs w:val="32"/>
          <w:highlight w:val="none"/>
          <w:u w:val="single"/>
        </w:rPr>
        <w:t xml:space="preserve"> </w:t>
      </w:r>
    </w:p>
    <w:p w14:paraId="33951071">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四</w:t>
      </w:r>
      <w:r>
        <w:rPr>
          <w:rFonts w:hint="eastAsia" w:eastAsia="黑体"/>
          <w:color w:val="auto"/>
          <w:sz w:val="32"/>
          <w:szCs w:val="32"/>
          <w:highlight w:val="none"/>
        </w:rPr>
        <w:t>、注意事项</w:t>
      </w:r>
    </w:p>
    <w:p w14:paraId="69479F6F">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1、若响应人未按规定时间将文件送达现场，视为放弃投标资格。</w:t>
      </w:r>
    </w:p>
    <w:p w14:paraId="5A7F37F9">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2、采购人向响应人提供的有关资料和数据，是采购人现有的能使响应人利用的资料，采购人对响应人由此而做出的推论、理解和结论概不负责。</w:t>
      </w:r>
    </w:p>
    <w:p w14:paraId="33D046DB">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3、本项目执行过程中将遵循国家、省、市有关法律、法规、标准、技术规范和规范性文件的最新规定。</w:t>
      </w:r>
    </w:p>
    <w:p w14:paraId="61AE4CE8">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4、成交单位对采购文件中技术条款作出的负偏离，采购人如不接受，可要求成交单位以采购文件的要求为准，如成交单位拒绝的，采购人有权取消其成交资格或取消合同。采购人不作任何补偿。</w:t>
      </w:r>
    </w:p>
    <w:p w14:paraId="5E279641">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5、本项目仅可提交一个报价方案，提交两个或以上报价方案的响应人视为无效报价。</w:t>
      </w:r>
    </w:p>
    <w:p w14:paraId="69281E61">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6、本项目不接受响应人其他附加条件。</w:t>
      </w:r>
    </w:p>
    <w:p w14:paraId="669FEF5F">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7、有下列情形之一的，报价保证金将被没收，并纳入采购人供应商黑名单：</w:t>
      </w:r>
    </w:p>
    <w:p w14:paraId="15B93BBB">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（1）中标后无正当理由放弃中标或不与采购人签订合同。</w:t>
      </w:r>
    </w:p>
    <w:p w14:paraId="15F67928">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（2）成交人将本项目转让给他人，或者在报价文件中未说明，且未经采购人同意，将中标项目分包给他人，采购人可没收其报价保证金。</w:t>
      </w:r>
    </w:p>
    <w:p w14:paraId="36F81B6B">
      <w:pPr>
        <w:widowControl/>
        <w:shd w:val="clear" w:color="auto" w:fill="auto"/>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（3）报价人提供虚假报价文件或虚假补充文件。</w:t>
      </w:r>
    </w:p>
    <w:p w14:paraId="7D9E7C0B">
      <w:pPr>
        <w:widowControl/>
        <w:shd w:val="clear" w:color="auto" w:fill="auto"/>
        <w:spacing w:line="600" w:lineRule="exact"/>
        <w:jc w:val="left"/>
        <w:rPr>
          <w:rFonts w:eastAsia="仿宋_GB2312"/>
          <w:color w:val="auto"/>
          <w:sz w:val="32"/>
          <w:szCs w:val="32"/>
          <w:highlight w:val="none"/>
        </w:rPr>
      </w:pPr>
    </w:p>
    <w:p w14:paraId="0544D062">
      <w:pPr>
        <w:shd w:val="clear" w:color="auto" w:fill="auto"/>
        <w:spacing w:line="600" w:lineRule="exact"/>
        <w:ind w:firstLine="640" w:firstLineChars="200"/>
        <w:jc w:val="right"/>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 xml:space="preserve"> 东莞市东寮安居建设有限公司</w:t>
      </w:r>
    </w:p>
    <w:p w14:paraId="1EA16648">
      <w:pPr>
        <w:spacing w:line="600" w:lineRule="exact"/>
        <w:ind w:firstLine="640" w:firstLineChars="200"/>
        <w:jc w:val="right"/>
        <w:rPr>
          <w:rFonts w:hint="eastAsia" w:eastAsia="仿宋_GB2312"/>
          <w:color w:val="auto"/>
          <w:sz w:val="32"/>
          <w:szCs w:val="32"/>
          <w:highlight w:val="none"/>
        </w:rPr>
      </w:pPr>
      <w:r>
        <w:rPr>
          <w:rFonts w:eastAsia="仿宋_GB2312"/>
          <w:color w:val="auto"/>
          <w:sz w:val="32"/>
          <w:szCs w:val="32"/>
          <w:highlight w:val="none"/>
        </w:rPr>
        <w:t>20</w:t>
      </w:r>
      <w:r>
        <w:rPr>
          <w:rFonts w:hint="eastAsia" w:eastAsia="仿宋_GB2312"/>
          <w:color w:val="auto"/>
          <w:sz w:val="32"/>
          <w:szCs w:val="32"/>
          <w:highlight w:val="none"/>
          <w:u w:val="single"/>
          <w:lang w:val="en-US" w:eastAsia="zh-CN"/>
        </w:rPr>
        <w:t>26</w:t>
      </w:r>
      <w:r>
        <w:rPr>
          <w:rFonts w:hint="eastAsia" w:eastAsia="仿宋_GB2312"/>
          <w:color w:val="auto"/>
          <w:sz w:val="32"/>
          <w:szCs w:val="32"/>
          <w:highlight w:val="none"/>
        </w:rPr>
        <w:t>年</w:t>
      </w:r>
      <w:r>
        <w:rPr>
          <w:rFonts w:hint="eastAsia" w:eastAsia="仿宋_GB2312"/>
          <w:color w:val="auto"/>
          <w:sz w:val="32"/>
          <w:szCs w:val="32"/>
          <w:highlight w:val="none"/>
          <w:u w:val="single"/>
          <w:lang w:val="en-US" w:eastAsia="zh-CN"/>
        </w:rPr>
        <w:t xml:space="preserve"> 5  </w:t>
      </w:r>
      <w:r>
        <w:rPr>
          <w:rFonts w:hint="eastAsia" w:eastAsia="仿宋_GB2312"/>
          <w:color w:val="auto"/>
          <w:sz w:val="32"/>
          <w:szCs w:val="32"/>
          <w:highlight w:val="none"/>
        </w:rPr>
        <w:t>月</w:t>
      </w:r>
      <w:r>
        <w:rPr>
          <w:rFonts w:hint="eastAsia" w:eastAsia="仿宋_GB2312"/>
          <w:color w:val="auto"/>
          <w:sz w:val="32"/>
          <w:szCs w:val="32"/>
          <w:highlight w:val="none"/>
          <w:u w:val="single"/>
          <w:lang w:val="en-US" w:eastAsia="zh-CN"/>
        </w:rPr>
        <w:t xml:space="preserve"> 8 </w:t>
      </w:r>
      <w:r>
        <w:rPr>
          <w:rFonts w:hint="eastAsia" w:eastAsia="仿宋_GB2312"/>
          <w:color w:val="auto"/>
          <w:sz w:val="32"/>
          <w:szCs w:val="32"/>
          <w:highlight w:val="none"/>
        </w:rPr>
        <w:t>日</w:t>
      </w:r>
    </w:p>
    <w:p w14:paraId="3E2E0FE2">
      <w:pPr>
        <w:spacing w:line="600" w:lineRule="exact"/>
        <w:ind w:firstLine="640" w:firstLineChars="200"/>
        <w:jc w:val="right"/>
        <w:rPr>
          <w:rFonts w:hint="eastAsia" w:eastAsia="仿宋_GB2312"/>
          <w:color w:val="auto"/>
          <w:sz w:val="32"/>
          <w:szCs w:val="32"/>
          <w:highlight w:val="none"/>
        </w:rPr>
      </w:pPr>
    </w:p>
    <w:p w14:paraId="368894DF">
      <w:pPr>
        <w:spacing w:line="600" w:lineRule="exact"/>
        <w:ind w:firstLine="640" w:firstLineChars="200"/>
        <w:jc w:val="right"/>
        <w:rPr>
          <w:rFonts w:hint="eastAsia" w:eastAsia="仿宋_GB2312"/>
          <w:color w:val="auto"/>
          <w:sz w:val="32"/>
          <w:szCs w:val="32"/>
          <w:highlight w:val="none"/>
        </w:rPr>
      </w:pPr>
    </w:p>
    <w:p w14:paraId="002A57D9">
      <w:pPr>
        <w:spacing w:line="600" w:lineRule="exact"/>
        <w:ind w:firstLine="640" w:firstLineChars="200"/>
        <w:jc w:val="right"/>
        <w:rPr>
          <w:rFonts w:hint="eastAsia" w:eastAsia="仿宋_GB2312"/>
          <w:color w:val="auto"/>
          <w:sz w:val="32"/>
          <w:szCs w:val="32"/>
          <w:highlight w:val="none"/>
        </w:rPr>
      </w:pPr>
    </w:p>
    <w:p w14:paraId="10D1E64F">
      <w:pPr>
        <w:spacing w:line="600" w:lineRule="exact"/>
        <w:ind w:firstLine="640" w:firstLineChars="200"/>
        <w:jc w:val="right"/>
        <w:rPr>
          <w:rFonts w:hint="eastAsia" w:eastAsia="仿宋_GB2312"/>
          <w:color w:val="auto"/>
          <w:sz w:val="32"/>
          <w:szCs w:val="32"/>
          <w:highlight w:val="none"/>
        </w:rPr>
      </w:pPr>
    </w:p>
    <w:p w14:paraId="57BE4EE4">
      <w:pPr>
        <w:spacing w:line="600" w:lineRule="exact"/>
        <w:ind w:firstLine="640" w:firstLineChars="200"/>
        <w:jc w:val="right"/>
        <w:rPr>
          <w:rFonts w:hint="eastAsia" w:eastAsia="仿宋_GB2312"/>
          <w:color w:val="auto"/>
          <w:sz w:val="32"/>
          <w:szCs w:val="32"/>
          <w:highlight w:val="none"/>
        </w:rPr>
      </w:pPr>
    </w:p>
    <w:p w14:paraId="273BA3E1">
      <w:pPr>
        <w:spacing w:line="600" w:lineRule="exact"/>
        <w:ind w:firstLine="640" w:firstLineChars="200"/>
        <w:jc w:val="right"/>
        <w:rPr>
          <w:rFonts w:hint="eastAsia" w:eastAsia="仿宋_GB2312"/>
          <w:color w:val="auto"/>
          <w:sz w:val="32"/>
          <w:szCs w:val="32"/>
          <w:highlight w:val="none"/>
        </w:rPr>
      </w:pPr>
    </w:p>
    <w:p w14:paraId="1340125B">
      <w:pPr>
        <w:spacing w:line="600" w:lineRule="exact"/>
        <w:ind w:firstLine="640" w:firstLineChars="200"/>
        <w:jc w:val="right"/>
        <w:rPr>
          <w:rFonts w:hint="eastAsia" w:eastAsia="仿宋_GB2312"/>
          <w:color w:val="auto"/>
          <w:sz w:val="32"/>
          <w:szCs w:val="32"/>
          <w:highlight w:val="none"/>
        </w:rPr>
      </w:pPr>
    </w:p>
    <w:p w14:paraId="1C815C90">
      <w:pPr>
        <w:spacing w:line="600" w:lineRule="exact"/>
        <w:ind w:firstLine="640" w:firstLineChars="200"/>
        <w:jc w:val="right"/>
        <w:rPr>
          <w:rFonts w:hint="eastAsia" w:eastAsia="仿宋_GB2312"/>
          <w:color w:val="auto"/>
          <w:sz w:val="32"/>
          <w:szCs w:val="32"/>
          <w:highlight w:val="none"/>
        </w:rPr>
      </w:pPr>
    </w:p>
    <w:p w14:paraId="3FDB2962">
      <w:pPr>
        <w:rPr>
          <w:rFonts w:hint="eastAsia" w:eastAsia="仿宋_GB2312"/>
          <w:color w:val="auto"/>
          <w:sz w:val="32"/>
          <w:szCs w:val="32"/>
          <w:highlight w:val="none"/>
        </w:rPr>
      </w:pPr>
      <w:r>
        <w:rPr>
          <w:rFonts w:hint="eastAsia" w:eastAsia="仿宋_GB2312"/>
          <w:color w:val="auto"/>
          <w:sz w:val="32"/>
          <w:szCs w:val="32"/>
          <w:highlight w:val="none"/>
        </w:rPr>
        <w:br w:type="page"/>
      </w:r>
    </w:p>
    <w:p w14:paraId="633D6F9F">
      <w:pPr>
        <w:pStyle w:val="46"/>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附件一 响应须知</w:t>
      </w:r>
    </w:p>
    <w:p w14:paraId="09B679BA">
      <w:pPr>
        <w:shd w:val="clear" w:color="auto" w:fill="auto"/>
        <w:jc w:val="center"/>
        <w:rPr>
          <w:rFonts w:eastAsia="华文中宋"/>
          <w:color w:val="auto"/>
          <w:sz w:val="44"/>
          <w:szCs w:val="44"/>
          <w:highlight w:val="none"/>
        </w:rPr>
      </w:pPr>
      <w:r>
        <w:rPr>
          <w:rFonts w:hint="eastAsia" w:eastAsia="华文中宋"/>
          <w:color w:val="auto"/>
          <w:sz w:val="44"/>
          <w:szCs w:val="44"/>
          <w:highlight w:val="none"/>
        </w:rPr>
        <w:t>响应须知</w:t>
      </w:r>
    </w:p>
    <w:tbl>
      <w:tblPr>
        <w:tblStyle w:val="23"/>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65CDA1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noWrap w:val="0"/>
            <w:vAlign w:val="center"/>
          </w:tcPr>
          <w:p w14:paraId="41DDC5FD">
            <w:pPr>
              <w:pStyle w:val="10"/>
              <w:shd w:val="clear" w:color="auto" w:fill="auto"/>
              <w:spacing w:after="0"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noWrap w:val="0"/>
            <w:vAlign w:val="center"/>
          </w:tcPr>
          <w:p w14:paraId="551B6F8C">
            <w:pPr>
              <w:pStyle w:val="10"/>
              <w:shd w:val="clear" w:color="auto" w:fill="auto"/>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noWrap w:val="0"/>
            <w:vAlign w:val="center"/>
          </w:tcPr>
          <w:p w14:paraId="35AA879A">
            <w:pPr>
              <w:pStyle w:val="10"/>
              <w:shd w:val="clear" w:color="auto" w:fill="auto"/>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14:paraId="4ACA09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3E6AB063">
            <w:pPr>
              <w:shd w:val="clear" w:color="auto" w:fill="auto"/>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noWrap w:val="0"/>
            <w:vAlign w:val="center"/>
          </w:tcPr>
          <w:p w14:paraId="5E94FDD5">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noWrap w:val="0"/>
            <w:vAlign w:val="center"/>
          </w:tcPr>
          <w:p w14:paraId="1D2C8994">
            <w:pPr>
              <w:shd w:val="clear" w:color="auto" w:fill="auto"/>
              <w:adjustRightInd w:val="0"/>
              <w:snapToGrid w:val="0"/>
              <w:spacing w:line="560" w:lineRule="exact"/>
              <w:rPr>
                <w:rFonts w:hint="eastAsia" w:eastAsia="仿宋_GB2312"/>
                <w:color w:val="auto"/>
                <w:sz w:val="32"/>
                <w:szCs w:val="32"/>
                <w:highlight w:val="none"/>
                <w:lang w:eastAsia="zh-CN"/>
              </w:rPr>
            </w:pP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重新采购</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 xml:space="preserve"> </w:t>
            </w:r>
          </w:p>
        </w:tc>
      </w:tr>
      <w:tr w14:paraId="30A320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5DFE4D59">
            <w:pPr>
              <w:shd w:val="clear" w:color="auto" w:fill="auto"/>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noWrap w:val="0"/>
            <w:vAlign w:val="center"/>
          </w:tcPr>
          <w:p w14:paraId="0382FD04">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noWrap w:val="0"/>
            <w:vAlign w:val="center"/>
          </w:tcPr>
          <w:p w14:paraId="54A55B47">
            <w:pPr>
              <w:shd w:val="clear" w:color="auto" w:fill="auto"/>
              <w:spacing w:line="360" w:lineRule="auto"/>
              <w:rPr>
                <w:rFonts w:hint="eastAsia" w:eastAsia="仿宋_GB2312"/>
                <w:color w:val="auto"/>
                <w:sz w:val="32"/>
                <w:szCs w:val="32"/>
                <w:highlight w:val="none"/>
                <w:lang w:eastAsia="zh-CN"/>
              </w:rPr>
            </w:pPr>
            <w:r>
              <w:rPr>
                <w:rFonts w:hint="eastAsia" w:eastAsia="仿宋_GB2312"/>
                <w:color w:val="auto"/>
                <w:sz w:val="32"/>
                <w:szCs w:val="32"/>
                <w:highlight w:val="none"/>
              </w:rPr>
              <w:t>东莞市</w:t>
            </w:r>
            <w:r>
              <w:rPr>
                <w:rFonts w:hint="eastAsia" w:eastAsia="仿宋_GB2312"/>
                <w:color w:val="auto"/>
                <w:sz w:val="32"/>
                <w:szCs w:val="32"/>
                <w:highlight w:val="none"/>
                <w:lang w:val="en-US" w:eastAsia="zh-CN"/>
              </w:rPr>
              <w:t xml:space="preserve"> </w:t>
            </w:r>
          </w:p>
        </w:tc>
      </w:tr>
      <w:tr w14:paraId="3A85B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54FE33E8">
            <w:pPr>
              <w:shd w:val="clear" w:color="auto" w:fill="auto"/>
              <w:spacing w:line="360" w:lineRule="auto"/>
              <w:jc w:val="center"/>
              <w:rPr>
                <w:rFonts w:eastAsia="仿宋_GB2312"/>
                <w:color w:val="auto"/>
                <w:sz w:val="32"/>
                <w:szCs w:val="32"/>
                <w:highlight w:val="none"/>
              </w:rPr>
            </w:pPr>
            <w:r>
              <w:rPr>
                <w:rFonts w:eastAsia="仿宋_GB2312"/>
                <w:color w:val="auto"/>
                <w:sz w:val="32"/>
                <w:szCs w:val="32"/>
                <w:highlight w:val="none"/>
              </w:rPr>
              <w:t>3</w:t>
            </w:r>
          </w:p>
        </w:tc>
        <w:tc>
          <w:tcPr>
            <w:tcW w:w="2275" w:type="dxa"/>
            <w:noWrap w:val="0"/>
            <w:vAlign w:val="center"/>
          </w:tcPr>
          <w:p w14:paraId="3B049209">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项目性质</w:t>
            </w:r>
          </w:p>
        </w:tc>
        <w:tc>
          <w:tcPr>
            <w:tcW w:w="5942" w:type="dxa"/>
            <w:noWrap w:val="0"/>
            <w:vAlign w:val="center"/>
          </w:tcPr>
          <w:p w14:paraId="21758B9A">
            <w:pPr>
              <w:shd w:val="clear" w:color="auto" w:fill="auto"/>
              <w:spacing w:line="360" w:lineRule="auto"/>
              <w:rPr>
                <w:rFonts w:eastAsia="仿宋_GB2312"/>
                <w:color w:val="auto"/>
                <w:sz w:val="32"/>
                <w:szCs w:val="32"/>
                <w:highlight w:val="none"/>
              </w:rPr>
            </w:pPr>
            <w:r>
              <w:rPr>
                <w:rFonts w:hint="eastAsia" w:eastAsia="仿宋_GB2312"/>
                <w:color w:val="auto"/>
                <w:sz w:val="32"/>
                <w:szCs w:val="32"/>
                <w:highlight w:val="none"/>
              </w:rPr>
              <w:t>详见《询价文件》</w:t>
            </w:r>
            <w:r>
              <w:rPr>
                <w:rFonts w:hint="eastAsia" w:eastAsia="仿宋_GB2312"/>
                <w:color w:val="auto"/>
                <w:sz w:val="32"/>
                <w:szCs w:val="32"/>
                <w:highlight w:val="none"/>
                <w:lang w:eastAsia="zh-CN"/>
              </w:rPr>
              <w:t>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rPr>
              <w:t>合同文本</w:t>
            </w:r>
          </w:p>
        </w:tc>
      </w:tr>
      <w:tr w14:paraId="7F809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7E29D742">
            <w:pPr>
              <w:shd w:val="clear" w:color="auto" w:fill="auto"/>
              <w:spacing w:line="360" w:lineRule="auto"/>
              <w:jc w:val="center"/>
              <w:rPr>
                <w:rFonts w:eastAsia="仿宋_GB2312"/>
                <w:color w:val="auto"/>
                <w:sz w:val="32"/>
                <w:szCs w:val="32"/>
                <w:highlight w:val="none"/>
              </w:rPr>
            </w:pPr>
            <w:r>
              <w:rPr>
                <w:rFonts w:eastAsia="仿宋_GB2312"/>
                <w:color w:val="auto"/>
                <w:sz w:val="32"/>
                <w:szCs w:val="32"/>
                <w:highlight w:val="none"/>
              </w:rPr>
              <w:t>4</w:t>
            </w:r>
          </w:p>
        </w:tc>
        <w:tc>
          <w:tcPr>
            <w:tcW w:w="2275" w:type="dxa"/>
            <w:noWrap w:val="0"/>
            <w:vAlign w:val="center"/>
          </w:tcPr>
          <w:p w14:paraId="4E2179BD">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发包要求</w:t>
            </w:r>
          </w:p>
        </w:tc>
        <w:tc>
          <w:tcPr>
            <w:tcW w:w="5942" w:type="dxa"/>
            <w:noWrap w:val="0"/>
            <w:vAlign w:val="center"/>
          </w:tcPr>
          <w:p w14:paraId="3D936DAE">
            <w:pPr>
              <w:jc w:val="left"/>
              <w:rPr>
                <w:rFonts w:hint="eastAsia" w:eastAsia="仿宋_GB2312"/>
                <w:color w:val="auto"/>
                <w:sz w:val="32"/>
                <w:szCs w:val="32"/>
                <w:highlight w:val="none"/>
                <w:lang w:eastAsia="zh-CN"/>
              </w:rPr>
            </w:pPr>
            <w:r>
              <w:rPr>
                <w:rFonts w:hint="eastAsia" w:eastAsia="仿宋_GB2312"/>
                <w:color w:val="auto"/>
                <w:sz w:val="32"/>
                <w:szCs w:val="32"/>
                <w:highlight w:val="none"/>
              </w:rPr>
              <w:t>详见《询价文件》</w:t>
            </w:r>
            <w:r>
              <w:rPr>
                <w:rFonts w:hint="eastAsia" w:eastAsia="仿宋_GB2312"/>
                <w:color w:val="auto"/>
                <w:sz w:val="32"/>
                <w:szCs w:val="32"/>
                <w:highlight w:val="none"/>
                <w:lang w:eastAsia="zh-CN"/>
              </w:rPr>
              <w:t>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rPr>
              <w:t>合同文本</w:t>
            </w:r>
          </w:p>
        </w:tc>
      </w:tr>
      <w:tr w14:paraId="4088E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513A06D5">
            <w:pPr>
              <w:shd w:val="clear" w:color="auto" w:fill="auto"/>
              <w:spacing w:line="360" w:lineRule="auto"/>
              <w:jc w:val="center"/>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5</w:t>
            </w:r>
          </w:p>
        </w:tc>
        <w:tc>
          <w:tcPr>
            <w:tcW w:w="2275" w:type="dxa"/>
            <w:noWrap w:val="0"/>
            <w:vAlign w:val="center"/>
          </w:tcPr>
          <w:p w14:paraId="76F93FB3">
            <w:pPr>
              <w:shd w:val="clear" w:color="auto" w:fill="auto"/>
              <w:spacing w:line="360" w:lineRule="auto"/>
              <w:jc w:val="center"/>
              <w:rPr>
                <w:color w:val="auto"/>
                <w:highlight w:val="none"/>
              </w:rPr>
            </w:pPr>
            <w:r>
              <w:rPr>
                <w:rFonts w:hint="eastAsia" w:eastAsia="仿宋_GB2312"/>
                <w:color w:val="auto"/>
                <w:sz w:val="32"/>
                <w:szCs w:val="32"/>
                <w:highlight w:val="none"/>
              </w:rPr>
              <w:t>质量标准</w:t>
            </w:r>
          </w:p>
        </w:tc>
        <w:tc>
          <w:tcPr>
            <w:tcW w:w="5942" w:type="dxa"/>
            <w:noWrap w:val="0"/>
            <w:vAlign w:val="center"/>
          </w:tcPr>
          <w:p w14:paraId="5B6D4161">
            <w:pPr>
              <w:jc w:val="left"/>
              <w:rPr>
                <w:rFonts w:eastAsia="仿宋"/>
                <w:color w:val="auto"/>
                <w:sz w:val="32"/>
                <w:szCs w:val="32"/>
                <w:highlight w:val="none"/>
              </w:rPr>
            </w:pPr>
            <w:r>
              <w:rPr>
                <w:rFonts w:hint="eastAsia" w:eastAsia="仿宋_GB2312"/>
                <w:color w:val="auto"/>
                <w:sz w:val="32"/>
                <w:szCs w:val="32"/>
                <w:highlight w:val="none"/>
              </w:rPr>
              <w:t>详见《询价文件》</w:t>
            </w:r>
            <w:r>
              <w:rPr>
                <w:rFonts w:hint="eastAsia" w:eastAsia="仿宋_GB2312"/>
                <w:color w:val="auto"/>
                <w:sz w:val="32"/>
                <w:szCs w:val="32"/>
                <w:highlight w:val="none"/>
                <w:lang w:eastAsia="zh-CN"/>
              </w:rPr>
              <w:t>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rPr>
              <w:t>合同文本</w:t>
            </w:r>
          </w:p>
        </w:tc>
      </w:tr>
      <w:tr w14:paraId="60E13F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6827ED63">
            <w:pPr>
              <w:shd w:val="clear" w:color="auto" w:fill="auto"/>
              <w:spacing w:line="360" w:lineRule="auto"/>
              <w:jc w:val="center"/>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6</w:t>
            </w:r>
          </w:p>
        </w:tc>
        <w:tc>
          <w:tcPr>
            <w:tcW w:w="2275" w:type="dxa"/>
            <w:noWrap w:val="0"/>
            <w:vAlign w:val="center"/>
          </w:tcPr>
          <w:p w14:paraId="295D39FF">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工期要求</w:t>
            </w:r>
          </w:p>
        </w:tc>
        <w:tc>
          <w:tcPr>
            <w:tcW w:w="5942" w:type="dxa"/>
            <w:noWrap w:val="0"/>
            <w:vAlign w:val="center"/>
          </w:tcPr>
          <w:p w14:paraId="7F4DD381">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详见《询价文件》</w:t>
            </w:r>
            <w:r>
              <w:rPr>
                <w:rFonts w:hint="eastAsia" w:eastAsia="仿宋_GB2312"/>
                <w:color w:val="auto"/>
                <w:sz w:val="32"/>
                <w:szCs w:val="32"/>
                <w:highlight w:val="none"/>
                <w:lang w:eastAsia="zh-CN"/>
              </w:rPr>
              <w:t>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rPr>
              <w:t>合同文本</w:t>
            </w:r>
          </w:p>
        </w:tc>
      </w:tr>
      <w:tr w14:paraId="73085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1CE1A4DE">
            <w:pPr>
              <w:spacing w:line="360" w:lineRule="auto"/>
              <w:jc w:val="center"/>
              <w:rPr>
                <w:rFonts w:hint="eastAsia" w:ascii="Times New Roman" w:hAnsi="Times New Roman" w:eastAsia="仿宋_GB2312" w:cs="Times New Roman"/>
                <w:color w:val="auto"/>
                <w:kern w:val="2"/>
                <w:sz w:val="32"/>
                <w:szCs w:val="32"/>
                <w:highlight w:val="none"/>
                <w:lang w:val="en-US" w:eastAsia="zh-CN" w:bidi="ar-SA"/>
              </w:rPr>
            </w:pPr>
            <w:r>
              <w:rPr>
                <w:rFonts w:eastAsia="仿宋_GB2312"/>
                <w:color w:val="auto"/>
                <w:sz w:val="32"/>
                <w:szCs w:val="32"/>
                <w:highlight w:val="none"/>
              </w:rPr>
              <w:t>7</w:t>
            </w:r>
          </w:p>
        </w:tc>
        <w:tc>
          <w:tcPr>
            <w:tcW w:w="2275" w:type="dxa"/>
            <w:noWrap w:val="0"/>
            <w:vAlign w:val="center"/>
          </w:tcPr>
          <w:p w14:paraId="5F316802">
            <w:pPr>
              <w:spacing w:line="360" w:lineRule="auto"/>
              <w:jc w:val="center"/>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olor w:val="auto"/>
                <w:sz w:val="32"/>
                <w:szCs w:val="32"/>
                <w:highlight w:val="none"/>
              </w:rPr>
              <w:t>单位资质要求</w:t>
            </w:r>
          </w:p>
        </w:tc>
        <w:tc>
          <w:tcPr>
            <w:tcW w:w="5942" w:type="dxa"/>
            <w:noWrap w:val="0"/>
            <w:vAlign w:val="center"/>
          </w:tcPr>
          <w:p w14:paraId="662CECDB">
            <w:pPr>
              <w:adjustRightInd w:val="0"/>
              <w:snapToGrid w:val="0"/>
              <w:spacing w:line="560" w:lineRule="exact"/>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sz w:val="32"/>
                <w:szCs w:val="32"/>
                <w:highlight w:val="none"/>
                <w:lang w:val="en-US" w:eastAsia="zh-CN"/>
              </w:rPr>
              <w:t>/</w:t>
            </w:r>
          </w:p>
        </w:tc>
      </w:tr>
      <w:tr w14:paraId="3C8301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63EA2CF2">
            <w:pPr>
              <w:shd w:val="clear" w:color="auto" w:fill="auto"/>
              <w:spacing w:line="360" w:lineRule="auto"/>
              <w:jc w:val="center"/>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8</w:t>
            </w:r>
          </w:p>
        </w:tc>
        <w:tc>
          <w:tcPr>
            <w:tcW w:w="2275" w:type="dxa"/>
            <w:noWrap w:val="0"/>
            <w:vAlign w:val="top"/>
          </w:tcPr>
          <w:p w14:paraId="1B72D3C6">
            <w:pPr>
              <w:shd w:val="clear" w:color="auto" w:fill="auto"/>
              <w:spacing w:line="360" w:lineRule="auto"/>
              <w:jc w:val="center"/>
              <w:rPr>
                <w:rFonts w:ascii="仿宋_GB2312" w:eastAsia="仿宋_GB2312"/>
                <w:color w:val="auto"/>
                <w:sz w:val="30"/>
                <w:szCs w:val="30"/>
                <w:highlight w:val="none"/>
              </w:rPr>
            </w:pPr>
            <w:r>
              <w:rPr>
                <w:rFonts w:hint="eastAsia" w:eastAsia="仿宋_GB2312"/>
                <w:color w:val="auto"/>
                <w:sz w:val="32"/>
                <w:szCs w:val="32"/>
                <w:highlight w:val="none"/>
              </w:rPr>
              <w:t>询价保证金金额及缴纳方式</w:t>
            </w:r>
          </w:p>
        </w:tc>
        <w:tc>
          <w:tcPr>
            <w:tcW w:w="5942" w:type="dxa"/>
            <w:noWrap w:val="0"/>
            <w:vAlign w:val="center"/>
          </w:tcPr>
          <w:p w14:paraId="04518311">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1、响应人应按采购文件规定的金额和期限交纳报价保证金，报价保证金作为响应文件的组成部分。响应人与交款人名称必须一致，非响应人缴纳的报价保证金无效。</w:t>
            </w:r>
          </w:p>
          <w:p w14:paraId="73F08D10">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2、报价保证金金额：金额为人民币</w:t>
            </w:r>
            <w:bookmarkStart w:id="3" w:name="_GoBack"/>
            <w:bookmarkEnd w:id="3"/>
            <w:r>
              <w:rPr>
                <w:rFonts w:hint="eastAsia" w:eastAsia="仿宋_GB2312"/>
                <w:color w:val="auto"/>
                <w:sz w:val="32"/>
                <w:szCs w:val="32"/>
                <w:highlight w:val="none"/>
                <w:lang w:val="en-US" w:eastAsia="zh-CN"/>
              </w:rPr>
              <w:t>1870.00</w:t>
            </w:r>
            <w:r>
              <w:rPr>
                <w:rFonts w:hint="eastAsia" w:eastAsia="仿宋_GB2312"/>
                <w:color w:val="auto"/>
                <w:sz w:val="32"/>
                <w:szCs w:val="32"/>
                <w:highlight w:val="none"/>
              </w:rPr>
              <w:t>元。</w:t>
            </w:r>
          </w:p>
          <w:p w14:paraId="43CCCC0C">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3、报价保证金缴纳期限：响应文件递交截止时间前（报价保证金汇错账号、迟到或不足额均作无效处理）。</w:t>
            </w:r>
          </w:p>
          <w:p w14:paraId="22E1793B">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4、投标保证金缴纳方式：转帐。</w:t>
            </w:r>
          </w:p>
          <w:p w14:paraId="767776E3">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5、报价保证金收款账户信息：</w:t>
            </w:r>
          </w:p>
          <w:p w14:paraId="7434A0E8">
            <w:pPr>
              <w:adjustRightInd w:val="0"/>
              <w:snapToGrid w:val="0"/>
              <w:spacing w:line="560" w:lineRule="exac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账户名称：</w:t>
            </w:r>
            <w:r>
              <w:rPr>
                <w:rFonts w:hint="eastAsia" w:eastAsia="仿宋_GB2312" w:cs="Times New Roman"/>
                <w:sz w:val="32"/>
                <w:szCs w:val="32"/>
                <w:highlight w:val="none"/>
                <w:u w:val="single"/>
                <w:lang w:val="en-US" w:eastAsia="zh-CN"/>
              </w:rPr>
              <w:t>东莞市东寮安居建设有限公司</w:t>
            </w:r>
            <w:r>
              <w:rPr>
                <w:rFonts w:hint="eastAsia" w:ascii="Times New Roman" w:hAnsi="Times New Roman" w:eastAsia="仿宋_GB2312" w:cs="Times New Roman"/>
                <w:sz w:val="32"/>
                <w:szCs w:val="32"/>
                <w:highlight w:val="none"/>
                <w:lang w:val="en-US" w:eastAsia="zh-CN"/>
              </w:rPr>
              <w:t xml:space="preserve"> </w:t>
            </w:r>
          </w:p>
          <w:p w14:paraId="16973501">
            <w:pPr>
              <w:adjustRightInd w:val="0"/>
              <w:snapToGrid w:val="0"/>
              <w:spacing w:line="560" w:lineRule="exac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银行账号：</w:t>
            </w:r>
            <w:r>
              <w:rPr>
                <w:rFonts w:hint="eastAsia" w:eastAsia="仿宋_GB2312" w:cs="Times New Roman"/>
                <w:sz w:val="32"/>
                <w:szCs w:val="32"/>
                <w:highlight w:val="none"/>
                <w:u w:val="single"/>
                <w:lang w:val="en-US" w:eastAsia="zh-CN"/>
              </w:rPr>
              <w:t>7699 1195 5410 888</w:t>
            </w:r>
            <w:r>
              <w:rPr>
                <w:rFonts w:hint="eastAsia" w:ascii="Times New Roman" w:hAnsi="Times New Roman" w:eastAsia="仿宋_GB2312" w:cs="Times New Roman"/>
                <w:sz w:val="32"/>
                <w:szCs w:val="32"/>
                <w:highlight w:val="none"/>
                <w:u w:val="single"/>
                <w:lang w:val="en-US" w:eastAsia="zh-CN"/>
              </w:rPr>
              <w:t xml:space="preserve"> </w:t>
            </w:r>
          </w:p>
          <w:p w14:paraId="1E1C0927">
            <w:pPr>
              <w:shd w:val="clear" w:color="auto" w:fill="auto"/>
              <w:spacing w:line="500" w:lineRule="exact"/>
              <w:jc w:val="left"/>
              <w:rPr>
                <w:rFonts w:hint="eastAsia"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lang w:val="en-US" w:eastAsia="zh-CN"/>
              </w:rPr>
              <w:t>开户银行：</w:t>
            </w:r>
            <w:r>
              <w:rPr>
                <w:rFonts w:hint="eastAsia" w:ascii="Times New Roman" w:hAnsi="Times New Roman" w:eastAsia="仿宋_GB2312" w:cs="Times New Roman"/>
                <w:sz w:val="32"/>
                <w:szCs w:val="32"/>
                <w:highlight w:val="none"/>
                <w:u w:val="single"/>
                <w:lang w:val="en-US" w:eastAsia="zh-CN"/>
              </w:rPr>
              <w:t>招商银行股份有限公司东莞</w:t>
            </w:r>
            <w:r>
              <w:rPr>
                <w:rFonts w:hint="eastAsia" w:eastAsia="仿宋_GB2312" w:cs="Times New Roman"/>
                <w:sz w:val="32"/>
                <w:szCs w:val="32"/>
                <w:highlight w:val="none"/>
                <w:u w:val="single"/>
                <w:lang w:val="en-US" w:eastAsia="zh-CN"/>
              </w:rPr>
              <w:t>寮步支行</w:t>
            </w:r>
            <w:r>
              <w:rPr>
                <w:rFonts w:hint="eastAsia" w:ascii="Times New Roman" w:hAnsi="Times New Roman" w:eastAsia="仿宋_GB2312" w:cs="Times New Roman"/>
                <w:sz w:val="32"/>
                <w:szCs w:val="32"/>
                <w:highlight w:val="none"/>
                <w:u w:val="single"/>
                <w:lang w:val="en-US" w:eastAsia="zh-CN"/>
              </w:rPr>
              <w:t xml:space="preserve"> </w:t>
            </w:r>
          </w:p>
          <w:p w14:paraId="2E692F63">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6、未成交的响应人报价保证金在开标结束后无息退还。成交人缴纳的报价保证金不退还，在双方签订合同后转为履约保证金，作为成交人在履约过程中违约金或罚款的扣罚来源之一。履约保证金申请返还时间为本项目服务结算之日，成交人没有任何违约的情况下由成交人提交退款申请，收到成交人申请后30个日历日内，采购人一次性无息退回。</w:t>
            </w:r>
          </w:p>
        </w:tc>
      </w:tr>
      <w:tr w14:paraId="35F49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49C4E4BD">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9</w:t>
            </w:r>
          </w:p>
        </w:tc>
        <w:tc>
          <w:tcPr>
            <w:tcW w:w="2275" w:type="dxa"/>
            <w:noWrap w:val="0"/>
            <w:vAlign w:val="top"/>
          </w:tcPr>
          <w:p w14:paraId="123FC4C2">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询价有效期</w:t>
            </w:r>
          </w:p>
        </w:tc>
        <w:tc>
          <w:tcPr>
            <w:tcW w:w="5942" w:type="dxa"/>
            <w:noWrap w:val="0"/>
            <w:vAlign w:val="center"/>
          </w:tcPr>
          <w:p w14:paraId="22E9DB86">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14:paraId="10C3E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0F31F29E">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10</w:t>
            </w:r>
          </w:p>
        </w:tc>
        <w:tc>
          <w:tcPr>
            <w:tcW w:w="2275" w:type="dxa"/>
            <w:noWrap w:val="0"/>
            <w:vAlign w:val="center"/>
          </w:tcPr>
          <w:p w14:paraId="0353CAA1">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noWrap w:val="0"/>
            <w:vAlign w:val="center"/>
          </w:tcPr>
          <w:p w14:paraId="380A76CA">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14:paraId="37D3641B">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14:paraId="6FFA3553">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14:paraId="7C35C5DF">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14:paraId="01844122">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14:paraId="529F6E5F">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14:paraId="0B01BF03">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14:paraId="21BEB029">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）询价文件规定的其他情形：见询价公告或询价响应须知前附表。</w:t>
            </w:r>
          </w:p>
          <w:p w14:paraId="392E3E27">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、响应人在询价活动中有下列行为之一的，应视情节轻重，暂停或取消其参与采购人及东实集团旗下采购项目的资格：</w:t>
            </w:r>
          </w:p>
          <w:p w14:paraId="058FDEC8">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）响应人之间相互串通、或与采购人、代理机构、评审委员会成员串通询价，损害采购人或者其他响应人的合法权益的；</w:t>
            </w:r>
            <w:r>
              <w:rPr>
                <w:rFonts w:eastAsia="仿宋_GB2312"/>
                <w:color w:val="auto"/>
                <w:sz w:val="32"/>
                <w:szCs w:val="32"/>
                <w:highlight w:val="none"/>
              </w:rPr>
              <w:t xml:space="preserve"> </w:t>
            </w:r>
          </w:p>
          <w:p w14:paraId="46A6BFA0">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14:paraId="4DA9C174">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）以他人名义询价或以其他方式弄虚作假，骗取成交的；</w:t>
            </w:r>
            <w:r>
              <w:rPr>
                <w:rFonts w:eastAsia="仿宋_GB2312"/>
                <w:color w:val="auto"/>
                <w:sz w:val="32"/>
                <w:szCs w:val="32"/>
                <w:highlight w:val="none"/>
              </w:rPr>
              <w:t xml:space="preserve"> </w:t>
            </w:r>
          </w:p>
          <w:p w14:paraId="286F103C">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14:paraId="4B76C3E3">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）成交人无正当理由不与采购人订立合同，在签订合同时向采购人提出附加条件，或者不按照询价文件要求提交履约担保的；</w:t>
            </w:r>
          </w:p>
          <w:p w14:paraId="614C3E1B">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14:paraId="37C50DBC">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14:paraId="50BC1198">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14:paraId="374EA4A7">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、有下列情形之一的，视为响应人串通询价，其响应无效：</w:t>
            </w:r>
          </w:p>
          <w:p w14:paraId="0090C0C1">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14:paraId="4EF28FFF">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14:paraId="6DBDFD9B">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14:paraId="43B17E6B">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14:paraId="724B4676">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14:paraId="49EAC6C2">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14:paraId="2A8F2062">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、使用通过受让或者租借等方式获取的资格、资质证书响应的，属于以他人名义询价，其响应无效：</w:t>
            </w:r>
          </w:p>
          <w:p w14:paraId="0D061361">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14:paraId="76896260">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14:paraId="5C6B3F6D">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14:paraId="6A26DD92">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14:paraId="7CEAA42D">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14:paraId="48A87248">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14:paraId="60CC57C6">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r>
              <w:rPr>
                <w:rFonts w:eastAsia="仿宋_GB2312"/>
                <w:color w:val="auto"/>
                <w:sz w:val="32"/>
                <w:szCs w:val="32"/>
                <w:highlight w:val="none"/>
              </w:rPr>
              <w:t xml:space="preserve"> </w:t>
            </w:r>
          </w:p>
          <w:p w14:paraId="2862D136">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14:paraId="4A97BA3A">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（二）询价活动前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年内与其存在劳动关系，担任其董事、监事，是其控股股东或实际控制人，或存在其他经济利益关系，可能影响询价活动公平公正的；</w:t>
            </w:r>
          </w:p>
          <w:p w14:paraId="467221A6">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（三）其他可能影响询价活动公平、公正进行的关系。</w:t>
            </w:r>
          </w:p>
        </w:tc>
      </w:tr>
    </w:tbl>
    <w:p w14:paraId="545DA064">
      <w:pPr>
        <w:pStyle w:val="46"/>
        <w:shd w:val="clear" w:color="auto" w:fill="auto"/>
        <w:ind w:firstLine="0" w:firstLineChars="0"/>
        <w:jc w:val="left"/>
        <w:outlineLvl w:val="1"/>
        <w:rPr>
          <w:rFonts w:eastAsia="黑体"/>
          <w:color w:val="auto"/>
          <w:sz w:val="28"/>
          <w:szCs w:val="44"/>
          <w:highlight w:val="none"/>
        </w:rPr>
      </w:pPr>
      <w:bookmarkStart w:id="0" w:name="_Hlk524442005"/>
    </w:p>
    <w:p w14:paraId="7E514A69">
      <w:pPr>
        <w:pStyle w:val="46"/>
        <w:shd w:val="clear" w:color="auto" w:fill="auto"/>
        <w:ind w:firstLine="0" w:firstLineChars="0"/>
        <w:jc w:val="left"/>
        <w:outlineLvl w:val="1"/>
        <w:rPr>
          <w:rFonts w:eastAsia="黑体"/>
          <w:color w:val="auto"/>
          <w:sz w:val="28"/>
          <w:szCs w:val="44"/>
          <w:highlight w:val="none"/>
        </w:rPr>
      </w:pPr>
    </w:p>
    <w:p w14:paraId="5A624B53">
      <w:pPr>
        <w:pStyle w:val="46"/>
        <w:shd w:val="clear" w:color="auto" w:fill="auto"/>
        <w:ind w:firstLine="0" w:firstLineChars="0"/>
        <w:jc w:val="left"/>
        <w:outlineLvl w:val="1"/>
        <w:rPr>
          <w:rFonts w:eastAsia="黑体"/>
          <w:color w:val="auto"/>
          <w:sz w:val="28"/>
          <w:szCs w:val="44"/>
          <w:highlight w:val="none"/>
        </w:rPr>
      </w:pPr>
    </w:p>
    <w:p w14:paraId="56ADA81F">
      <w:pPr>
        <w:pStyle w:val="46"/>
        <w:shd w:val="clear" w:color="auto" w:fill="auto"/>
        <w:ind w:firstLine="0" w:firstLineChars="0"/>
        <w:jc w:val="left"/>
        <w:outlineLvl w:val="1"/>
        <w:rPr>
          <w:rFonts w:eastAsia="黑体"/>
          <w:color w:val="auto"/>
          <w:sz w:val="28"/>
          <w:szCs w:val="44"/>
          <w:highlight w:val="none"/>
        </w:rPr>
      </w:pPr>
    </w:p>
    <w:p w14:paraId="2E31C357">
      <w:pPr>
        <w:pStyle w:val="46"/>
        <w:shd w:val="clear" w:color="auto" w:fill="auto"/>
        <w:ind w:firstLine="0" w:firstLineChars="0"/>
        <w:jc w:val="left"/>
        <w:outlineLvl w:val="1"/>
        <w:rPr>
          <w:rFonts w:eastAsia="黑体"/>
          <w:color w:val="auto"/>
          <w:sz w:val="28"/>
          <w:szCs w:val="44"/>
          <w:highlight w:val="none"/>
        </w:rPr>
      </w:pPr>
    </w:p>
    <w:p w14:paraId="72F685D3">
      <w:pPr>
        <w:pStyle w:val="46"/>
        <w:shd w:val="clear" w:color="auto" w:fill="auto"/>
        <w:ind w:firstLine="0" w:firstLineChars="0"/>
        <w:jc w:val="left"/>
        <w:outlineLvl w:val="1"/>
        <w:rPr>
          <w:rFonts w:eastAsia="黑体"/>
          <w:color w:val="auto"/>
          <w:sz w:val="28"/>
          <w:szCs w:val="44"/>
          <w:highlight w:val="none"/>
        </w:rPr>
      </w:pPr>
    </w:p>
    <w:p w14:paraId="13CBD866">
      <w:pPr>
        <w:pStyle w:val="46"/>
        <w:shd w:val="clear" w:color="auto" w:fill="auto"/>
        <w:ind w:firstLine="0" w:firstLineChars="0"/>
        <w:jc w:val="left"/>
        <w:outlineLvl w:val="1"/>
        <w:rPr>
          <w:rFonts w:eastAsia="黑体"/>
          <w:color w:val="auto"/>
          <w:sz w:val="28"/>
          <w:szCs w:val="44"/>
          <w:highlight w:val="none"/>
        </w:rPr>
      </w:pPr>
    </w:p>
    <w:p w14:paraId="1C692DA9">
      <w:pPr>
        <w:widowControl/>
        <w:shd w:val="clear" w:color="auto" w:fill="auto"/>
        <w:jc w:val="left"/>
        <w:rPr>
          <w:rFonts w:eastAsia="黑体"/>
          <w:color w:val="auto"/>
          <w:sz w:val="28"/>
          <w:szCs w:val="44"/>
          <w:highlight w:val="none"/>
        </w:rPr>
      </w:pPr>
      <w:r>
        <w:rPr>
          <w:rFonts w:eastAsia="黑体"/>
          <w:color w:val="auto"/>
          <w:sz w:val="28"/>
          <w:szCs w:val="44"/>
          <w:highlight w:val="none"/>
        </w:rPr>
        <w:br w:type="page"/>
      </w:r>
    </w:p>
    <w:p w14:paraId="77429D91">
      <w:pPr>
        <w:pStyle w:val="46"/>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附件二报价函</w:t>
      </w:r>
    </w:p>
    <w:p w14:paraId="5C9853B4">
      <w:pPr>
        <w:shd w:val="clear" w:color="auto" w:fill="auto"/>
        <w:jc w:val="center"/>
        <w:rPr>
          <w:rFonts w:eastAsia="华文中宋"/>
          <w:color w:val="auto"/>
          <w:sz w:val="44"/>
          <w:szCs w:val="44"/>
          <w:highlight w:val="none"/>
        </w:rPr>
      </w:pPr>
      <w:r>
        <w:rPr>
          <w:rFonts w:hint="eastAsia" w:eastAsia="华文中宋"/>
          <w:color w:val="auto"/>
          <w:sz w:val="44"/>
          <w:szCs w:val="44"/>
          <w:highlight w:val="none"/>
        </w:rPr>
        <w:t>报价函</w:t>
      </w:r>
    </w:p>
    <w:p w14:paraId="0211CD53">
      <w:pPr>
        <w:shd w:val="clear" w:color="auto" w:fill="auto"/>
        <w:ind w:firstLine="560"/>
        <w:jc w:val="center"/>
        <w:rPr>
          <w:rFonts w:eastAsia="仿宋_GB2312"/>
          <w:color w:val="auto"/>
          <w:sz w:val="32"/>
          <w:szCs w:val="32"/>
          <w:highlight w:val="none"/>
        </w:rPr>
      </w:pPr>
    </w:p>
    <w:p w14:paraId="4CFFE803">
      <w:pPr>
        <w:rPr>
          <w:rFonts w:eastAsia="仿宋_GB2312"/>
          <w:color w:val="000000"/>
          <w:sz w:val="32"/>
          <w:szCs w:val="32"/>
          <w:highlight w:val="none"/>
          <w:u w:val="singl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660FA733">
      <w:pPr>
        <w:shd w:val="clear" w:color="auto" w:fill="auto"/>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重新采购</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项目，我司愿意以含税价合计人民币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w:t>
      </w:r>
      <w:r>
        <w:rPr>
          <w:rFonts w:hint="eastAsia" w:eastAsia="仿宋_GB2312"/>
          <w:color w:val="auto"/>
          <w:sz w:val="32"/>
          <w:szCs w:val="32"/>
          <w:highlight w:val="none"/>
          <w:u w:val="single"/>
        </w:rPr>
        <w:t>（小写），税率（必填）%</w:t>
      </w:r>
      <w:r>
        <w:rPr>
          <w:rFonts w:hint="eastAsia" w:eastAsia="仿宋_GB2312"/>
          <w:color w:val="auto"/>
          <w:sz w:val="32"/>
          <w:szCs w:val="32"/>
          <w:highlight w:val="none"/>
        </w:rPr>
        <w:t>承接此项目。</w:t>
      </w:r>
    </w:p>
    <w:p w14:paraId="2F8E946F">
      <w:pPr>
        <w:shd w:val="clear" w:color="auto" w:fill="auto"/>
        <w:rPr>
          <w:rFonts w:eastAsia="仿宋_GB2312"/>
          <w:color w:val="auto"/>
          <w:sz w:val="32"/>
          <w:szCs w:val="32"/>
          <w:highlight w:val="none"/>
        </w:rPr>
      </w:pPr>
    </w:p>
    <w:p w14:paraId="58E93A60">
      <w:pPr>
        <w:shd w:val="clear" w:color="auto" w:fill="auto"/>
        <w:rPr>
          <w:rFonts w:eastAsia="仿宋_GB2312"/>
          <w:color w:val="auto"/>
          <w:sz w:val="32"/>
          <w:szCs w:val="32"/>
          <w:highlight w:val="none"/>
        </w:rPr>
      </w:pPr>
    </w:p>
    <w:p w14:paraId="5EC956A7">
      <w:pPr>
        <w:pStyle w:val="9"/>
        <w:rPr>
          <w:rFonts w:eastAsia="仿宋_GB2312"/>
          <w:color w:val="auto"/>
          <w:sz w:val="32"/>
          <w:szCs w:val="32"/>
          <w:highlight w:val="none"/>
        </w:rPr>
      </w:pPr>
    </w:p>
    <w:p w14:paraId="1DBB0113">
      <w:pPr>
        <w:pStyle w:val="10"/>
        <w:rPr>
          <w:highlight w:val="none"/>
        </w:rPr>
      </w:pPr>
    </w:p>
    <w:p w14:paraId="224F6901">
      <w:pPr>
        <w:pStyle w:val="10"/>
        <w:rPr>
          <w:color w:val="auto"/>
          <w:highlight w:val="none"/>
        </w:rPr>
      </w:pPr>
    </w:p>
    <w:p w14:paraId="1915776F">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69851954">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202FFE28">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联系人：</w:t>
      </w:r>
    </w:p>
    <w:p w14:paraId="16FBE04F">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联系电话：</w:t>
      </w:r>
    </w:p>
    <w:p w14:paraId="72605121">
      <w:pPr>
        <w:shd w:val="clear" w:color="auto" w:fill="auto"/>
        <w:jc w:val="left"/>
        <w:rPr>
          <w:rFonts w:hint="eastAsia" w:eastAsia="仿宋_GB2312"/>
          <w:color w:val="auto"/>
          <w:sz w:val="32"/>
          <w:szCs w:val="32"/>
          <w:highlight w:val="none"/>
        </w:rPr>
      </w:pPr>
      <w:r>
        <w:rPr>
          <w:rFonts w:hint="eastAsia" w:eastAsia="仿宋_GB2312"/>
          <w:color w:val="auto"/>
          <w:sz w:val="32"/>
          <w:szCs w:val="32"/>
          <w:highlight w:val="none"/>
        </w:rPr>
        <w:t>日期：</w:t>
      </w:r>
    </w:p>
    <w:p w14:paraId="42B70BC1">
      <w:pPr>
        <w:pStyle w:val="3"/>
        <w:rPr>
          <w:color w:val="auto"/>
          <w:highlight w:val="none"/>
        </w:rPr>
      </w:pPr>
    </w:p>
    <w:p w14:paraId="62FACEBF">
      <w:pPr>
        <w:shd w:val="clear" w:color="auto" w:fill="auto"/>
        <w:jc w:val="center"/>
        <w:rPr>
          <w:rFonts w:eastAsia="仿宋_GB2312"/>
          <w:color w:val="auto"/>
          <w:sz w:val="32"/>
          <w:szCs w:val="32"/>
          <w:highlight w:val="none"/>
        </w:rPr>
      </w:pPr>
    </w:p>
    <w:p w14:paraId="63C3E5C8">
      <w:pPr>
        <w:pStyle w:val="43"/>
        <w:shd w:val="clear" w:color="auto" w:fill="auto"/>
        <w:rPr>
          <w:rFonts w:eastAsia="仿宋_GB2312"/>
          <w:color w:val="auto"/>
          <w:sz w:val="32"/>
          <w:szCs w:val="32"/>
          <w:highlight w:val="none"/>
        </w:rPr>
      </w:pPr>
    </w:p>
    <w:p w14:paraId="5D6C7564">
      <w:pPr>
        <w:pStyle w:val="46"/>
        <w:shd w:val="clear" w:color="auto" w:fill="auto"/>
        <w:ind w:firstLine="0" w:firstLineChars="0"/>
        <w:jc w:val="left"/>
        <w:outlineLvl w:val="1"/>
        <w:rPr>
          <w:rFonts w:eastAsia="黑体"/>
          <w:color w:val="auto"/>
          <w:sz w:val="28"/>
          <w:szCs w:val="44"/>
          <w:highlight w:val="none"/>
        </w:rPr>
      </w:pPr>
    </w:p>
    <w:p w14:paraId="00E9818C">
      <w:pPr>
        <w:pStyle w:val="46"/>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附件三法人证明</w:t>
      </w:r>
    </w:p>
    <w:p w14:paraId="47CA39A4">
      <w:pPr>
        <w:pStyle w:val="46"/>
        <w:shd w:val="clear" w:color="auto" w:fill="auto"/>
        <w:ind w:firstLine="0" w:firstLineChars="0"/>
        <w:jc w:val="left"/>
        <w:rPr>
          <w:rFonts w:eastAsia="黑体"/>
          <w:color w:val="auto"/>
          <w:sz w:val="28"/>
          <w:szCs w:val="44"/>
          <w:highlight w:val="none"/>
        </w:rPr>
      </w:pPr>
    </w:p>
    <w:p w14:paraId="1803EA73">
      <w:pPr>
        <w:shd w:val="clear" w:color="auto" w:fill="auto"/>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55AF3807">
      <w:pPr>
        <w:shd w:val="clear" w:color="auto" w:fill="auto"/>
        <w:rPr>
          <w:rFonts w:eastAsia="仿宋_GB2312"/>
          <w:color w:val="auto"/>
          <w:sz w:val="32"/>
          <w:szCs w:val="32"/>
          <w:highlight w:val="none"/>
        </w:rPr>
      </w:pPr>
    </w:p>
    <w:p w14:paraId="107B7872">
      <w:pPr>
        <w:rPr>
          <w:rFonts w:eastAsia="仿宋_GB2312"/>
          <w:color w:val="auto"/>
          <w:sz w:val="32"/>
          <w:szCs w:val="32"/>
          <w:highlight w:val="non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519B34BA">
      <w:pPr>
        <w:pStyle w:val="45"/>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w:t>
      </w:r>
      <w:r>
        <w:rPr>
          <w:rFonts w:hint="eastAsia" w:ascii="Times New Roman" w:hAnsi="Times New Roman"/>
          <w:color w:val="auto"/>
          <w:sz w:val="32"/>
          <w:szCs w:val="32"/>
          <w:highlight w:val="none"/>
          <w:u w:val="single"/>
          <w:lang w:val="en-US" w:eastAsia="zh-CN"/>
        </w:rPr>
        <w:t xml:space="preserve">    </w:t>
      </w:r>
      <w:r>
        <w:rPr>
          <w:rFonts w:hint="eastAsia" w:ascii="Times New Roman" w:hAnsi="Times New Roman"/>
          <w:color w:val="auto"/>
          <w:sz w:val="32"/>
          <w:szCs w:val="32"/>
          <w:highlight w:val="none"/>
        </w:rPr>
        <w:t>（国家名称）的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099532AC">
      <w:pPr>
        <w:shd w:val="clear" w:color="auto" w:fill="auto"/>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041C427F">
      <w:pPr>
        <w:shd w:val="clear" w:color="auto" w:fill="auto"/>
        <w:spacing w:line="600" w:lineRule="exact"/>
        <w:rPr>
          <w:rFonts w:eastAsia="仿宋_GB2312"/>
          <w:color w:val="auto"/>
          <w:sz w:val="32"/>
          <w:szCs w:val="32"/>
          <w:highlight w:val="none"/>
        </w:rPr>
      </w:pPr>
    </w:p>
    <w:p w14:paraId="0CF0F145">
      <w:pPr>
        <w:shd w:val="clear" w:color="auto" w:fill="auto"/>
        <w:spacing w:line="600" w:lineRule="exact"/>
        <w:rPr>
          <w:rFonts w:eastAsia="仿宋_GB2312"/>
          <w:color w:val="auto"/>
          <w:sz w:val="32"/>
          <w:szCs w:val="32"/>
          <w:highlight w:val="none"/>
        </w:rPr>
      </w:pPr>
    </w:p>
    <w:p w14:paraId="7C448EAA">
      <w:pPr>
        <w:shd w:val="clear" w:color="auto" w:fill="auto"/>
        <w:spacing w:line="600" w:lineRule="exact"/>
        <w:rPr>
          <w:rFonts w:eastAsia="仿宋_GB2312"/>
          <w:color w:val="auto"/>
          <w:sz w:val="32"/>
          <w:szCs w:val="32"/>
          <w:highlight w:val="none"/>
        </w:rPr>
      </w:pPr>
    </w:p>
    <w:p w14:paraId="20A9BABA">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20354F82">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0FC63578">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1567080A">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0971B718">
      <w:pPr>
        <w:shd w:val="clear" w:color="auto" w:fill="auto"/>
        <w:rPr>
          <w:rFonts w:eastAsia="仿宋_GB2312"/>
          <w:color w:val="auto"/>
          <w:sz w:val="32"/>
          <w:szCs w:val="32"/>
          <w:highlight w:val="none"/>
        </w:rPr>
      </w:pPr>
    </w:p>
    <w:p w14:paraId="4F07BDF0">
      <w:pPr>
        <w:widowControl/>
        <w:shd w:val="clear" w:color="auto" w:fill="auto"/>
        <w:jc w:val="center"/>
        <w:rPr>
          <w:rFonts w:eastAsia="仿宋_GB2312"/>
          <w:color w:val="auto"/>
          <w:sz w:val="32"/>
          <w:szCs w:val="32"/>
          <w:highlight w:val="none"/>
        </w:rPr>
      </w:pPr>
      <w:r>
        <w:rPr>
          <w:rFonts w:eastAsia="仿宋_GB2312"/>
          <w:color w:val="auto"/>
          <w:sz w:val="32"/>
          <w:szCs w:val="32"/>
          <w:highlight w:val="none"/>
        </w:rPr>
        <w:br w:type="page"/>
      </w:r>
      <w:bookmarkStart w:id="1" w:name="_Toc384752807"/>
    </w:p>
    <w:p w14:paraId="70AD776E">
      <w:pPr>
        <w:pStyle w:val="46"/>
        <w:shd w:val="clear" w:color="auto" w:fill="auto"/>
        <w:ind w:firstLine="0" w:firstLineChars="0"/>
        <w:jc w:val="left"/>
        <w:outlineLvl w:val="1"/>
        <w:rPr>
          <w:rFonts w:eastAsia="黑体"/>
          <w:color w:val="auto"/>
          <w:sz w:val="28"/>
          <w:szCs w:val="44"/>
          <w:highlight w:val="none"/>
        </w:rPr>
      </w:pPr>
      <w:bookmarkStart w:id="2" w:name="_Hlk40704362"/>
      <w:r>
        <w:rPr>
          <w:rFonts w:hint="eastAsia" w:eastAsia="黑体"/>
          <w:color w:val="auto"/>
          <w:sz w:val="28"/>
          <w:szCs w:val="44"/>
          <w:highlight w:val="none"/>
        </w:rPr>
        <w:t>附件四法人授权书</w:t>
      </w:r>
    </w:p>
    <w:p w14:paraId="3D842456">
      <w:pPr>
        <w:widowControl/>
        <w:shd w:val="clear" w:color="auto" w:fill="auto"/>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1"/>
    </w:p>
    <w:p w14:paraId="2B81360D">
      <w:pPr>
        <w:pStyle w:val="45"/>
        <w:shd w:val="clear" w:color="auto" w:fill="auto"/>
        <w:ind w:firstLine="0" w:firstLineChars="0"/>
        <w:rPr>
          <w:rFonts w:ascii="Times New Roman" w:hAnsi="Times New Roman"/>
          <w:color w:val="auto"/>
          <w:sz w:val="32"/>
          <w:szCs w:val="32"/>
          <w:highlight w:val="none"/>
        </w:rPr>
      </w:pPr>
    </w:p>
    <w:p w14:paraId="5A45CE3A">
      <w:pPr>
        <w:rPr>
          <w:rFonts w:eastAsia="仿宋_GB2312"/>
          <w:color w:val="auto"/>
          <w:sz w:val="32"/>
          <w:szCs w:val="32"/>
          <w:highlight w:val="non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4094E7A8">
      <w:pPr>
        <w:pStyle w:val="45"/>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重新采购</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 xml:space="preserve"> </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14:paraId="7965B775">
      <w:pPr>
        <w:pStyle w:val="45"/>
        <w:shd w:val="clear" w:color="auto" w:fill="auto"/>
        <w:ind w:firstLine="659"/>
        <w:rPr>
          <w:rFonts w:ascii="Times New Roman" w:hAnsi="Times New Roman"/>
          <w:color w:val="auto"/>
          <w:sz w:val="32"/>
          <w:szCs w:val="32"/>
          <w:highlight w:val="none"/>
        </w:rPr>
      </w:pPr>
    </w:p>
    <w:p w14:paraId="1E9500A1">
      <w:pPr>
        <w:pStyle w:val="45"/>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日签字生效，有效期与询价有效期一致，特此声明。</w:t>
      </w:r>
    </w:p>
    <w:p w14:paraId="778294DB">
      <w:pPr>
        <w:pStyle w:val="45"/>
        <w:shd w:val="clear" w:color="auto" w:fill="auto"/>
        <w:ind w:firstLine="659"/>
        <w:rPr>
          <w:rFonts w:ascii="Times New Roman" w:hAnsi="Times New Roman"/>
          <w:color w:val="auto"/>
          <w:sz w:val="32"/>
          <w:szCs w:val="32"/>
          <w:highlight w:val="none"/>
        </w:rPr>
      </w:pPr>
    </w:p>
    <w:p w14:paraId="4A79452E">
      <w:pPr>
        <w:pStyle w:val="45"/>
        <w:shd w:val="clear" w:color="auto" w:fill="auto"/>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0BFF656F">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063AB5AD">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20E0028B">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26B686D4">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72BE2FED">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50D8438F">
      <w:pPr>
        <w:pStyle w:val="45"/>
        <w:shd w:val="clear" w:color="auto" w:fill="auto"/>
        <w:ind w:firstLine="0" w:firstLineChars="0"/>
        <w:jc w:val="left"/>
        <w:rPr>
          <w:rFonts w:hint="eastAsia"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155D3D44">
      <w:pPr>
        <w:pStyle w:val="45"/>
        <w:shd w:val="clear" w:color="auto" w:fill="auto"/>
        <w:ind w:firstLine="0" w:firstLineChars="0"/>
        <w:jc w:val="left"/>
        <w:rPr>
          <w:rFonts w:hint="eastAsia" w:ascii="Times New Roman" w:hAnsi="Times New Roman"/>
          <w:color w:val="auto"/>
          <w:sz w:val="32"/>
          <w:szCs w:val="32"/>
          <w:highlight w:val="none"/>
        </w:rPr>
      </w:pPr>
    </w:p>
    <w:bookmarkEnd w:id="2"/>
    <w:p w14:paraId="30C3FD2A">
      <w:pPr>
        <w:pStyle w:val="46"/>
        <w:ind w:firstLine="0" w:firstLineChars="0"/>
        <w:jc w:val="left"/>
        <w:outlineLvl w:val="1"/>
        <w:rPr>
          <w:rFonts w:hint="eastAsia" w:eastAsia="黑体"/>
          <w:sz w:val="28"/>
          <w:szCs w:val="44"/>
          <w:highlight w:val="none"/>
        </w:rPr>
      </w:pPr>
    </w:p>
    <w:p w14:paraId="185DFC25">
      <w:pPr>
        <w:pStyle w:val="46"/>
        <w:ind w:firstLine="0" w:firstLineChars="0"/>
        <w:jc w:val="left"/>
        <w:outlineLvl w:val="1"/>
        <w:rPr>
          <w:rFonts w:hint="eastAsia" w:eastAsia="黑体"/>
          <w:sz w:val="28"/>
          <w:szCs w:val="44"/>
          <w:highlight w:val="none"/>
        </w:rPr>
      </w:pPr>
    </w:p>
    <w:p w14:paraId="5AD3A63D">
      <w:pPr>
        <w:pStyle w:val="46"/>
        <w:ind w:firstLine="0" w:firstLineChars="0"/>
        <w:jc w:val="left"/>
        <w:outlineLvl w:val="1"/>
        <w:rPr>
          <w:rFonts w:hint="eastAsia" w:eastAsia="宋体"/>
          <w:sz w:val="28"/>
          <w:szCs w:val="44"/>
          <w:highlight w:val="none"/>
          <w:lang w:eastAsia="zh-CN"/>
        </w:rPr>
      </w:pPr>
      <w:r>
        <w:rPr>
          <w:rFonts w:hint="eastAsia" w:eastAsia="黑体"/>
          <w:sz w:val="28"/>
          <w:szCs w:val="44"/>
          <w:highlight w:val="none"/>
        </w:rPr>
        <w:t>附件</w:t>
      </w:r>
      <w:r>
        <w:rPr>
          <w:rFonts w:hint="eastAsia" w:eastAsia="黑体"/>
          <w:sz w:val="28"/>
          <w:szCs w:val="44"/>
          <w:highlight w:val="none"/>
          <w:lang w:val="en-US" w:eastAsia="zh-CN"/>
        </w:rPr>
        <w:t>五分支机构</w:t>
      </w:r>
      <w:r>
        <w:rPr>
          <w:rFonts w:hint="eastAsia" w:eastAsia="黑体"/>
          <w:sz w:val="28"/>
          <w:szCs w:val="44"/>
          <w:highlight w:val="none"/>
        </w:rPr>
        <w:t>授权书</w:t>
      </w:r>
      <w:r>
        <w:rPr>
          <w:rFonts w:hint="eastAsia"/>
          <w:highlight w:val="none"/>
          <w:lang w:eastAsia="zh-CN"/>
        </w:rPr>
        <w:t>（</w:t>
      </w:r>
      <w:r>
        <w:rPr>
          <w:rFonts w:hint="eastAsia"/>
          <w:highlight w:val="none"/>
          <w:lang w:val="en-US" w:eastAsia="zh-CN"/>
        </w:rPr>
        <w:t>若有</w:t>
      </w:r>
      <w:r>
        <w:rPr>
          <w:rFonts w:hint="eastAsia"/>
          <w:highlight w:val="none"/>
          <w:lang w:eastAsia="zh-CN"/>
        </w:rPr>
        <w:t>）</w:t>
      </w:r>
    </w:p>
    <w:p w14:paraId="0067DD60">
      <w:pPr>
        <w:widowControl/>
        <w:jc w:val="center"/>
        <w:rPr>
          <w:rFonts w:eastAsia="仿宋_GB2312"/>
          <w:b/>
          <w:sz w:val="32"/>
          <w:szCs w:val="32"/>
          <w:highlight w:val="none"/>
        </w:rPr>
      </w:pPr>
    </w:p>
    <w:p w14:paraId="2B9AF7C4">
      <w:pPr>
        <w:widowControl/>
        <w:jc w:val="center"/>
        <w:rPr>
          <w:rFonts w:eastAsia="仿宋_GB2312"/>
          <w:sz w:val="32"/>
          <w:szCs w:val="32"/>
          <w:highlight w:val="none"/>
        </w:rPr>
      </w:pPr>
      <w:r>
        <w:rPr>
          <w:rFonts w:hint="eastAsia" w:eastAsia="仿宋_GB2312"/>
          <w:b/>
          <w:sz w:val="32"/>
          <w:szCs w:val="32"/>
          <w:highlight w:val="none"/>
        </w:rPr>
        <w:t>授权委托书</w:t>
      </w:r>
    </w:p>
    <w:p w14:paraId="257261A9">
      <w:pPr>
        <w:pStyle w:val="45"/>
        <w:ind w:firstLine="0" w:firstLineChars="0"/>
        <w:rPr>
          <w:rFonts w:ascii="Times New Roman" w:hAnsi="Times New Roman"/>
          <w:sz w:val="32"/>
          <w:szCs w:val="32"/>
          <w:highlight w:val="none"/>
        </w:rPr>
      </w:pPr>
    </w:p>
    <w:p w14:paraId="36F5723A">
      <w:pPr>
        <w:rPr>
          <w:rFonts w:eastAsia="仿宋_GB2312"/>
          <w:color w:val="000000"/>
          <w:sz w:val="32"/>
          <w:szCs w:val="32"/>
          <w:highlight w:val="none"/>
          <w:u w:val="singl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28E4D81D">
      <w:pPr>
        <w:pStyle w:val="45"/>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本委托书声明：</w:t>
      </w:r>
      <w:r>
        <w:rPr>
          <w:rFonts w:hint="eastAsia" w:ascii="仿宋_GB2312" w:hAnsi="仿宋_GB2312" w:eastAsia="仿宋_GB2312" w:cs="仿宋_GB2312"/>
          <w:sz w:val="32"/>
          <w:szCs w:val="32"/>
          <w:highlight w:val="none"/>
          <w:lang w:val="en-US" w:eastAsia="zh-CN"/>
        </w:rPr>
        <w:t>（分支机构全称）为我司依法设立的分支机构，我司同意并授权（分支机构全称）参与</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重新采购</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投标、报价、谈判等事宜；如（分支机构全称）中标的，我司由（分支机构全称）与贵司签署相关服务合同并由其按约定为贵司提供相关服务。</w:t>
      </w:r>
    </w:p>
    <w:p w14:paraId="75BC7CFD">
      <w:pPr>
        <w:pStyle w:val="45"/>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我司对（分支机构全称）履行上述授权事项及签署的全部文件的法律后果予以认可并承担因此产生全部法律责任。</w:t>
      </w:r>
    </w:p>
    <w:p w14:paraId="7DB5E24E">
      <w:pPr>
        <w:pStyle w:val="45"/>
        <w:ind w:firstLine="65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本委托书于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日签字生效，特此声明。</w:t>
      </w:r>
    </w:p>
    <w:p w14:paraId="336F6DDB">
      <w:pPr>
        <w:pStyle w:val="45"/>
        <w:ind w:firstLine="659"/>
        <w:rPr>
          <w:rFonts w:hint="eastAsia" w:ascii="仿宋_GB2312" w:hAnsi="仿宋_GB2312" w:eastAsia="仿宋_GB2312" w:cs="仿宋_GB2312"/>
          <w:sz w:val="32"/>
          <w:szCs w:val="32"/>
          <w:highlight w:val="none"/>
        </w:rPr>
      </w:pPr>
    </w:p>
    <w:p w14:paraId="138CD9F6">
      <w:pPr>
        <w:pStyle w:val="45"/>
        <w:ind w:right="160"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委托人：</w:t>
      </w:r>
      <w:r>
        <w:rPr>
          <w:rFonts w:hint="eastAsia" w:ascii="仿宋_GB2312" w:hAnsi="仿宋_GB2312" w:eastAsia="仿宋_GB2312" w:cs="仿宋_GB2312"/>
          <w:sz w:val="32"/>
          <w:szCs w:val="32"/>
          <w:highlight w:val="none"/>
        </w:rPr>
        <w:t>（加盖公章）：</w:t>
      </w:r>
    </w:p>
    <w:p w14:paraId="5CD4011B">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委托单位法定代表人</w:t>
      </w:r>
      <w:r>
        <w:rPr>
          <w:rFonts w:hint="eastAsia" w:ascii="仿宋_GB2312" w:hAnsi="仿宋_GB2312" w:eastAsia="仿宋_GB2312" w:cs="仿宋_GB2312"/>
          <w:sz w:val="32"/>
          <w:szCs w:val="32"/>
          <w:highlight w:val="none"/>
        </w:rPr>
        <w:t>（签字或盖章）：</w:t>
      </w:r>
    </w:p>
    <w:p w14:paraId="406E6FED">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职务</w:t>
      </w:r>
      <w:r>
        <w:rPr>
          <w:rFonts w:hint="eastAsia" w:ascii="仿宋_GB2312" w:hAnsi="仿宋_GB2312" w:eastAsia="仿宋_GB2312" w:cs="仿宋_GB2312"/>
          <w:sz w:val="32"/>
          <w:szCs w:val="32"/>
          <w:highlight w:val="none"/>
        </w:rPr>
        <w:t>：</w:t>
      </w:r>
    </w:p>
    <w:p w14:paraId="41952CF4">
      <w:pPr>
        <w:pStyle w:val="45"/>
        <w:ind w:right="160" w:firstLine="0" w:firstLineChars="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受委托人：</w:t>
      </w:r>
      <w:r>
        <w:rPr>
          <w:rFonts w:hint="eastAsia" w:ascii="仿宋_GB2312" w:hAnsi="仿宋_GB2312" w:eastAsia="仿宋_GB2312" w:cs="仿宋_GB2312"/>
          <w:sz w:val="32"/>
          <w:szCs w:val="32"/>
          <w:highlight w:val="none"/>
        </w:rPr>
        <w:t>（加盖公章）：</w:t>
      </w:r>
    </w:p>
    <w:p w14:paraId="67C795D7">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受委托人负责人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（签字或盖章）：</w:t>
      </w:r>
    </w:p>
    <w:p w14:paraId="266D4C39">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p w14:paraId="1239AC8F">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p>
    <w:p w14:paraId="43C2270A">
      <w:pPr>
        <w:pStyle w:val="46"/>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六</w:t>
      </w:r>
      <w:r>
        <w:rPr>
          <w:rFonts w:hint="eastAsia" w:eastAsia="黑体"/>
          <w:color w:val="auto"/>
          <w:sz w:val="28"/>
          <w:szCs w:val="44"/>
          <w:highlight w:val="none"/>
        </w:rPr>
        <w:t>承诺函</w:t>
      </w:r>
    </w:p>
    <w:p w14:paraId="2776630D">
      <w:pPr>
        <w:pStyle w:val="46"/>
        <w:shd w:val="clear" w:color="auto" w:fill="auto"/>
        <w:ind w:firstLine="0" w:firstLineChars="0"/>
        <w:jc w:val="center"/>
        <w:rPr>
          <w:rFonts w:hint="eastAsia" w:eastAsia="仿宋_GB2312"/>
          <w:b/>
          <w:color w:val="auto"/>
          <w:sz w:val="32"/>
          <w:szCs w:val="32"/>
          <w:highlight w:val="none"/>
        </w:rPr>
      </w:pPr>
      <w:r>
        <w:rPr>
          <w:rFonts w:hint="eastAsia" w:eastAsia="仿宋_GB2312"/>
          <w:b/>
          <w:color w:val="auto"/>
          <w:sz w:val="32"/>
          <w:szCs w:val="32"/>
          <w:highlight w:val="none"/>
        </w:rPr>
        <w:t>承诺函</w:t>
      </w:r>
    </w:p>
    <w:p w14:paraId="6C44C591">
      <w:pPr>
        <w:pStyle w:val="46"/>
        <w:shd w:val="clear" w:color="auto" w:fill="auto"/>
        <w:ind w:firstLine="0" w:firstLineChars="0"/>
        <w:jc w:val="center"/>
        <w:rPr>
          <w:rFonts w:hint="eastAsia" w:eastAsia="仿宋_GB2312"/>
          <w:b/>
          <w:color w:val="auto"/>
          <w:sz w:val="32"/>
          <w:szCs w:val="32"/>
          <w:highlight w:val="none"/>
        </w:rPr>
      </w:pPr>
    </w:p>
    <w:p w14:paraId="3E402931">
      <w:pPr>
        <w:rPr>
          <w:rFonts w:eastAsia="仿宋_GB2312"/>
          <w:color w:val="000000"/>
          <w:sz w:val="32"/>
          <w:szCs w:val="32"/>
          <w:highlight w:val="none"/>
          <w:u w:val="singl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7CD3FBD2">
      <w:pPr>
        <w:pStyle w:val="45"/>
        <w:shd w:val="clear" w:color="auto" w:fill="auto"/>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重新采购</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 xml:space="preserve"> </w:t>
      </w:r>
      <w:r>
        <w:rPr>
          <w:rFonts w:hint="eastAsia"/>
          <w:color w:val="auto"/>
          <w:sz w:val="32"/>
          <w:szCs w:val="32"/>
          <w:highlight w:val="none"/>
        </w:rPr>
        <w:t>项目</w:t>
      </w:r>
      <w:r>
        <w:rPr>
          <w:rFonts w:hint="eastAsia" w:ascii="Times New Roman" w:hAnsi="Times New Roman"/>
          <w:color w:val="auto"/>
          <w:sz w:val="32"/>
          <w:szCs w:val="32"/>
          <w:highlight w:val="none"/>
        </w:rPr>
        <w:t>投标工作，作出以下承诺：</w:t>
      </w:r>
    </w:p>
    <w:p w14:paraId="4758854B">
      <w:pPr>
        <w:pStyle w:val="45"/>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rFonts w:hint="eastAsia" w:ascii="Times New Roman" w:hAnsi="Times New Roman"/>
          <w:color w:val="auto"/>
          <w:sz w:val="32"/>
          <w:szCs w:val="32"/>
          <w:highlight w:val="none"/>
          <w:u w:val="single"/>
          <w:lang w:val="en-US" w:eastAsia="zh-CN"/>
        </w:rPr>
        <w:t xml:space="preserve"> </w:t>
      </w:r>
      <w:r>
        <w:rPr>
          <w:rFonts w:hint="eastAsia"/>
          <w:color w:val="auto"/>
          <w:sz w:val="32"/>
          <w:szCs w:val="32"/>
          <w:highlight w:val="none"/>
          <w:u w:val="single"/>
          <w:lang w:val="en-US" w:eastAsia="zh-CN"/>
        </w:rPr>
        <w:t xml:space="preserve">朋友圈广告投放服务 </w:t>
      </w:r>
      <w:r>
        <w:rPr>
          <w:rFonts w:hint="eastAsia" w:ascii="Times New Roman" w:hAnsi="Times New Roman"/>
          <w:color w:val="auto"/>
          <w:sz w:val="32"/>
          <w:szCs w:val="32"/>
          <w:highlight w:val="none"/>
        </w:rPr>
        <w:t>等于或优于采购人需求，并承诺如不满足采购人需求，采购人有权取消合同并进行违约处罚。</w:t>
      </w:r>
    </w:p>
    <w:p w14:paraId="6681BA4B">
      <w:pPr>
        <w:pStyle w:val="45"/>
        <w:shd w:val="clear" w:color="auto" w:fill="auto"/>
        <w:ind w:firstLine="659"/>
        <w:rPr>
          <w:rFonts w:ascii="Times New Roman" w:hAnsi="Times New Roman"/>
          <w:color w:val="auto"/>
          <w:sz w:val="32"/>
          <w:szCs w:val="32"/>
          <w:highlight w:val="none"/>
        </w:rPr>
      </w:pPr>
    </w:p>
    <w:p w14:paraId="0DB8D118">
      <w:pPr>
        <w:pStyle w:val="45"/>
        <w:shd w:val="clear" w:color="auto" w:fill="auto"/>
        <w:ind w:firstLine="0" w:firstLineChars="0"/>
        <w:jc w:val="left"/>
        <w:rPr>
          <w:rFonts w:ascii="Times New Roman" w:hAnsi="Times New Roman"/>
          <w:color w:val="auto"/>
          <w:sz w:val="32"/>
          <w:szCs w:val="32"/>
          <w:highlight w:val="none"/>
        </w:rPr>
      </w:pPr>
    </w:p>
    <w:p w14:paraId="40C9A711">
      <w:pPr>
        <w:shd w:val="clear" w:color="auto" w:fill="auto"/>
        <w:jc w:val="left"/>
        <w:rPr>
          <w:rFonts w:eastAsia="仿宋"/>
          <w:color w:val="auto"/>
          <w:sz w:val="32"/>
          <w:szCs w:val="32"/>
          <w:highlight w:val="none"/>
        </w:rPr>
      </w:pPr>
    </w:p>
    <w:p w14:paraId="483754B1">
      <w:pPr>
        <w:shd w:val="clear" w:color="auto" w:fill="auto"/>
        <w:jc w:val="left"/>
        <w:rPr>
          <w:rFonts w:eastAsia="仿宋"/>
          <w:color w:val="auto"/>
          <w:sz w:val="32"/>
          <w:szCs w:val="32"/>
          <w:highlight w:val="none"/>
        </w:rPr>
      </w:pPr>
    </w:p>
    <w:p w14:paraId="2C0F9020">
      <w:pPr>
        <w:shd w:val="clear" w:color="auto" w:fill="auto"/>
        <w:jc w:val="left"/>
        <w:rPr>
          <w:rFonts w:eastAsia="仿宋"/>
          <w:color w:val="auto"/>
          <w:sz w:val="32"/>
          <w:szCs w:val="32"/>
          <w:highlight w:val="none"/>
        </w:rPr>
      </w:pPr>
    </w:p>
    <w:p w14:paraId="6ABCB160">
      <w:pPr>
        <w:pStyle w:val="45"/>
        <w:shd w:val="clear" w:color="auto" w:fill="auto"/>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3656109D">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1FDFF23A">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7D5D3AD6">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44747C25">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0"/>
    <w:p w14:paraId="3C587388">
      <w:pPr>
        <w:rPr>
          <w:color w:val="auto"/>
          <w:highlight w:val="none"/>
        </w:rPr>
      </w:pPr>
    </w:p>
    <w:p w14:paraId="1FD0980A">
      <w:pPr>
        <w:rPr>
          <w:highlight w:val="none"/>
        </w:rPr>
      </w:pPr>
      <w:r>
        <w:rPr>
          <w:highlight w:val="none"/>
        </w:rPr>
        <w:br w:type="page"/>
      </w:r>
    </w:p>
    <w:p w14:paraId="4A582F50">
      <w:pPr>
        <w:shd w:val="clear" w:color="auto" w:fill="auto"/>
        <w:jc w:val="left"/>
        <w:rPr>
          <w:rFonts w:hint="eastAsia"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七</w:t>
      </w:r>
      <w:r>
        <w:rPr>
          <w:rFonts w:hint="eastAsia" w:eastAsia="黑体"/>
          <w:color w:val="auto"/>
          <w:sz w:val="28"/>
          <w:szCs w:val="44"/>
          <w:highlight w:val="none"/>
        </w:rPr>
        <w:t>合同文本</w:t>
      </w:r>
    </w:p>
    <w:p w14:paraId="72D472CF">
      <w:pPr>
        <w:shd w:val="clear" w:color="auto" w:fill="auto"/>
        <w:jc w:val="center"/>
        <w:rPr>
          <w:rFonts w:hint="eastAsia" w:ascii="仿宋" w:hAnsi="仿宋" w:eastAsia="仿宋" w:cs="仿宋"/>
          <w:b/>
          <w:bCs/>
          <w:color w:val="auto"/>
          <w:sz w:val="36"/>
          <w:szCs w:val="52"/>
          <w:highlight w:val="none"/>
        </w:rPr>
      </w:pPr>
      <w:r>
        <w:rPr>
          <w:rFonts w:hint="eastAsia" w:ascii="仿宋" w:hAnsi="仿宋" w:eastAsia="仿宋" w:cs="仿宋"/>
          <w:b/>
          <w:bCs/>
          <w:color w:val="auto"/>
          <w:sz w:val="36"/>
          <w:szCs w:val="52"/>
          <w:highlight w:val="none"/>
        </w:rPr>
        <w:t>东寮·溪江苑项目朋友圈广告投放（二）服务合同</w:t>
      </w:r>
    </w:p>
    <w:p w14:paraId="55BAF9B5">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 xml:space="preserve">甲  方：东莞市东寮安居建设有限公司                          </w:t>
      </w:r>
    </w:p>
    <w:p w14:paraId="67FD2C52">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地  址：</w:t>
      </w:r>
    </w:p>
    <w:p w14:paraId="5F8FBF5B">
      <w:pPr>
        <w:shd w:val="clear" w:color="auto" w:fill="auto"/>
        <w:spacing w:line="240" w:lineRule="auto"/>
        <w:jc w:val="left"/>
        <w:rPr>
          <w:rFonts w:hint="eastAsia" w:ascii="仿宋" w:hAnsi="仿宋" w:eastAsia="仿宋" w:cs="仿宋"/>
          <w:b/>
          <w:bCs/>
          <w:color w:val="auto"/>
          <w:sz w:val="28"/>
          <w:szCs w:val="44"/>
          <w:highlight w:val="none"/>
          <w:lang w:val="en-US" w:eastAsia="zh-CN"/>
        </w:rPr>
      </w:pPr>
      <w:r>
        <w:rPr>
          <w:rFonts w:hint="eastAsia" w:ascii="仿宋" w:hAnsi="仿宋" w:eastAsia="仿宋" w:cs="仿宋"/>
          <w:b/>
          <w:bCs/>
          <w:color w:val="auto"/>
          <w:sz w:val="28"/>
          <w:szCs w:val="44"/>
          <w:highlight w:val="none"/>
        </w:rPr>
        <w:t>联系人：</w:t>
      </w:r>
    </w:p>
    <w:p w14:paraId="77DCA88A">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邮  箱：</w:t>
      </w:r>
    </w:p>
    <w:p w14:paraId="3719C527">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电  话：</w:t>
      </w:r>
    </w:p>
    <w:p w14:paraId="069088B5">
      <w:pPr>
        <w:shd w:val="clear" w:color="auto" w:fill="auto"/>
        <w:spacing w:line="240" w:lineRule="auto"/>
        <w:jc w:val="left"/>
        <w:rPr>
          <w:rFonts w:hint="eastAsia" w:ascii="仿宋" w:hAnsi="仿宋" w:eastAsia="仿宋" w:cs="仿宋"/>
          <w:b/>
          <w:bCs/>
          <w:color w:val="auto"/>
          <w:sz w:val="28"/>
          <w:szCs w:val="44"/>
          <w:highlight w:val="none"/>
        </w:rPr>
      </w:pPr>
    </w:p>
    <w:p w14:paraId="61F9CF77">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乙  方：</w:t>
      </w:r>
    </w:p>
    <w:p w14:paraId="3AA9B379">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地  址：</w:t>
      </w:r>
    </w:p>
    <w:p w14:paraId="1DBD1757">
      <w:pPr>
        <w:shd w:val="clear" w:color="auto" w:fill="auto"/>
        <w:spacing w:line="240" w:lineRule="auto"/>
        <w:jc w:val="left"/>
        <w:rPr>
          <w:rFonts w:hint="eastAsia" w:ascii="仿宋" w:hAnsi="仿宋" w:eastAsia="仿宋" w:cs="仿宋"/>
          <w:b/>
          <w:bCs/>
          <w:color w:val="auto"/>
          <w:sz w:val="28"/>
          <w:szCs w:val="44"/>
          <w:highlight w:val="none"/>
          <w:lang w:val="en-US" w:eastAsia="zh-CN"/>
        </w:rPr>
      </w:pPr>
      <w:r>
        <w:rPr>
          <w:rFonts w:hint="eastAsia" w:ascii="仿宋" w:hAnsi="仿宋" w:eastAsia="仿宋" w:cs="仿宋"/>
          <w:b/>
          <w:bCs/>
          <w:color w:val="auto"/>
          <w:sz w:val="28"/>
          <w:szCs w:val="44"/>
          <w:highlight w:val="none"/>
        </w:rPr>
        <w:t>联系人：</w:t>
      </w:r>
    </w:p>
    <w:p w14:paraId="0ABEAC20">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邮  箱：</w:t>
      </w:r>
    </w:p>
    <w:p w14:paraId="54DC0F58">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电  话：</w:t>
      </w:r>
    </w:p>
    <w:p w14:paraId="303817E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依据《中华人民共和国民法典》的规定，就乙方为甲方提供</w:t>
      </w:r>
      <w:r>
        <w:rPr>
          <w:rFonts w:hint="eastAsia" w:ascii="仿宋" w:hAnsi="仿宋" w:eastAsia="仿宋" w:cs="仿宋"/>
          <w:color w:val="auto"/>
          <w:sz w:val="28"/>
          <w:szCs w:val="44"/>
          <w:highlight w:val="none"/>
          <w:u w:val="single"/>
        </w:rPr>
        <w:t>腾讯信息流广告投放</w:t>
      </w:r>
      <w:r>
        <w:rPr>
          <w:rFonts w:hint="eastAsia" w:ascii="仿宋" w:hAnsi="仿宋" w:eastAsia="仿宋" w:cs="仿宋"/>
          <w:color w:val="auto"/>
          <w:sz w:val="28"/>
          <w:szCs w:val="44"/>
          <w:highlight w:val="none"/>
        </w:rPr>
        <w:t>服务事宜，经协商一致，签订本合同。</w:t>
      </w:r>
    </w:p>
    <w:p w14:paraId="08509ED7">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第一条 服务事宜</w:t>
      </w:r>
    </w:p>
    <w:p w14:paraId="7ECDEDDB">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1.1  广告投放服务内容及合同期限</w:t>
      </w:r>
    </w:p>
    <w:p w14:paraId="58442213">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(1) 广告投放：乙方负责甲方在</w:t>
      </w:r>
      <w:r>
        <w:rPr>
          <w:rFonts w:hint="eastAsia" w:ascii="仿宋" w:hAnsi="仿宋" w:eastAsia="仿宋" w:cs="仿宋"/>
          <w:color w:val="auto"/>
          <w:sz w:val="28"/>
          <w:szCs w:val="44"/>
          <w:highlight w:val="none"/>
          <w:u w:val="single"/>
        </w:rPr>
        <w:t xml:space="preserve"> 腾讯广告平台</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u w:val="none"/>
        </w:rPr>
        <w:t>的广告</w:t>
      </w:r>
      <w:r>
        <w:rPr>
          <w:rFonts w:hint="eastAsia" w:ascii="仿宋" w:hAnsi="仿宋" w:eastAsia="仿宋" w:cs="仿宋"/>
          <w:color w:val="auto"/>
          <w:sz w:val="28"/>
          <w:szCs w:val="44"/>
          <w:highlight w:val="none"/>
        </w:rPr>
        <w:t>制作及发布等执行工作，并保证广告投放的稳定性及可靠性。</w:t>
      </w:r>
    </w:p>
    <w:p w14:paraId="103F2B3A">
      <w:pPr>
        <w:shd w:val="clear" w:color="auto" w:fill="auto"/>
        <w:ind w:firstLine="56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（2）广告投放形式和腾讯广告平台充值金额要求：乙方负责在腾讯广告平台采用竞价的方式为甲方进行广告投放，并开放后台供甲方监控。乙方在合同约定服务期限内，腾讯广告平台充值投放金额不低于85000元；</w:t>
      </w:r>
    </w:p>
    <w:p w14:paraId="2943342E">
      <w:pPr>
        <w:shd w:val="clear" w:color="auto" w:fill="auto"/>
        <w:ind w:firstLine="56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eastAsia="zh-CN"/>
        </w:rPr>
        <w:t>（</w:t>
      </w:r>
      <w:r>
        <w:rPr>
          <w:rFonts w:hint="eastAsia" w:ascii="仿宋" w:hAnsi="仿宋" w:eastAsia="仿宋" w:cs="仿宋"/>
          <w:color w:val="auto"/>
          <w:sz w:val="28"/>
          <w:szCs w:val="44"/>
          <w:highlight w:val="none"/>
          <w:lang w:val="en-US" w:eastAsia="zh-CN"/>
        </w:rPr>
        <w:t>3）</w:t>
      </w:r>
      <w:r>
        <w:rPr>
          <w:rFonts w:hint="eastAsia" w:ascii="仿宋" w:hAnsi="仿宋" w:eastAsia="仿宋" w:cs="仿宋"/>
          <w:color w:val="auto"/>
          <w:sz w:val="28"/>
          <w:szCs w:val="44"/>
          <w:highlight w:val="none"/>
        </w:rPr>
        <w:t>数据报告：投放</w:t>
      </w:r>
      <w:r>
        <w:rPr>
          <w:rFonts w:hint="eastAsia" w:ascii="仿宋" w:hAnsi="仿宋" w:eastAsia="仿宋" w:cs="仿宋"/>
          <w:color w:val="auto"/>
          <w:sz w:val="28"/>
          <w:szCs w:val="44"/>
          <w:highlight w:val="none"/>
          <w:lang w:val="en-US" w:eastAsia="zh-CN"/>
        </w:rPr>
        <w:t>结束后</w:t>
      </w:r>
      <w:r>
        <w:rPr>
          <w:rFonts w:hint="eastAsia" w:ascii="仿宋" w:hAnsi="仿宋" w:eastAsia="仿宋" w:cs="仿宋"/>
          <w:color w:val="auto"/>
          <w:sz w:val="28"/>
          <w:szCs w:val="44"/>
          <w:highlight w:val="none"/>
        </w:rPr>
        <w:t>乙方为甲方提供</w:t>
      </w:r>
      <w:r>
        <w:rPr>
          <w:rFonts w:hint="eastAsia" w:ascii="仿宋" w:hAnsi="仿宋" w:eastAsia="仿宋" w:cs="仿宋"/>
          <w:color w:val="auto"/>
          <w:sz w:val="28"/>
          <w:szCs w:val="44"/>
          <w:highlight w:val="none"/>
          <w:lang w:val="en-US" w:eastAsia="zh-CN"/>
        </w:rPr>
        <w:t>完整</w:t>
      </w:r>
      <w:r>
        <w:rPr>
          <w:rFonts w:hint="eastAsia" w:ascii="仿宋" w:hAnsi="仿宋" w:eastAsia="仿宋" w:cs="仿宋"/>
          <w:color w:val="auto"/>
          <w:sz w:val="28"/>
          <w:szCs w:val="44"/>
          <w:highlight w:val="none"/>
        </w:rPr>
        <w:t>广告监测报告，监测报告内容包括所投放广告的展示数、点击等，监测数据甲方以媒体反馈给出的数据为准。</w:t>
      </w:r>
    </w:p>
    <w:p w14:paraId="06D4CA7A">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w:t>
      </w:r>
      <w:r>
        <w:rPr>
          <w:rFonts w:hint="eastAsia" w:ascii="仿宋" w:hAnsi="仿宋" w:eastAsia="仿宋" w:cs="仿宋"/>
          <w:color w:val="auto"/>
          <w:sz w:val="28"/>
          <w:szCs w:val="44"/>
          <w:highlight w:val="none"/>
          <w:lang w:val="en-US" w:eastAsia="zh-CN"/>
        </w:rPr>
        <w:t>4</w:t>
      </w:r>
      <w:r>
        <w:rPr>
          <w:rFonts w:hint="eastAsia" w:ascii="仿宋" w:hAnsi="仿宋" w:eastAsia="仿宋" w:cs="仿宋"/>
          <w:color w:val="auto"/>
          <w:sz w:val="28"/>
          <w:szCs w:val="44"/>
          <w:highlight w:val="none"/>
        </w:rPr>
        <w:t>）本合同期限为</w:t>
      </w:r>
      <w:r>
        <w:rPr>
          <w:rFonts w:hint="eastAsia" w:ascii="仿宋" w:hAnsi="仿宋" w:eastAsia="仿宋" w:cs="仿宋"/>
          <w:color w:val="auto"/>
          <w:sz w:val="28"/>
          <w:szCs w:val="44"/>
          <w:highlight w:val="none"/>
          <w:u w:val="single"/>
          <w:lang w:val="en-US" w:eastAsia="zh-CN"/>
        </w:rPr>
        <w:t>合同签订后3个月</w:t>
      </w:r>
      <w:r>
        <w:rPr>
          <w:rFonts w:hint="eastAsia" w:ascii="仿宋" w:hAnsi="仿宋" w:eastAsia="仿宋" w:cs="仿宋"/>
          <w:color w:val="auto"/>
          <w:sz w:val="28"/>
          <w:szCs w:val="44"/>
          <w:highlight w:val="none"/>
        </w:rPr>
        <w:t>。如合同期限到期但本合同约定广告仍未投发完毕的，则延长至全部广告投放完结为止。</w:t>
      </w:r>
    </w:p>
    <w:p w14:paraId="5E6CDCA1">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第二条 合作费用、付款期限及方式</w:t>
      </w:r>
    </w:p>
    <w:p w14:paraId="50063B81">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2.1  合作费用：本次合作甲乙双方确认的合作资源及金额如下</w:t>
      </w:r>
    </w:p>
    <w:tbl>
      <w:tblPr>
        <w:tblStyle w:val="23"/>
        <w:tblW w:w="8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172"/>
        <w:gridCol w:w="1222"/>
        <w:gridCol w:w="1287"/>
        <w:gridCol w:w="1560"/>
        <w:gridCol w:w="1500"/>
      </w:tblGrid>
      <w:tr w14:paraId="4B5E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683" w:type="dxa"/>
            <w:noWrap w:val="0"/>
            <w:vAlign w:val="center"/>
          </w:tcPr>
          <w:p w14:paraId="5588BBD3">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投放城市</w:t>
            </w:r>
          </w:p>
        </w:tc>
        <w:tc>
          <w:tcPr>
            <w:tcW w:w="1172" w:type="dxa"/>
            <w:noWrap w:val="0"/>
            <w:vAlign w:val="center"/>
          </w:tcPr>
          <w:p w14:paraId="760E54ED">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发布平台</w:t>
            </w:r>
          </w:p>
        </w:tc>
        <w:tc>
          <w:tcPr>
            <w:tcW w:w="1222" w:type="dxa"/>
            <w:noWrap w:val="0"/>
            <w:vAlign w:val="center"/>
          </w:tcPr>
          <w:p w14:paraId="0D3A7C0F">
            <w:pPr>
              <w:spacing w:line="360" w:lineRule="auto"/>
              <w:jc w:val="center"/>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形式</w:t>
            </w:r>
          </w:p>
        </w:tc>
        <w:tc>
          <w:tcPr>
            <w:tcW w:w="1287" w:type="dxa"/>
            <w:noWrap w:val="0"/>
            <w:vAlign w:val="center"/>
          </w:tcPr>
          <w:p w14:paraId="273F619A">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投放方式</w:t>
            </w:r>
          </w:p>
        </w:tc>
        <w:tc>
          <w:tcPr>
            <w:tcW w:w="1560" w:type="dxa"/>
            <w:noWrap w:val="0"/>
            <w:vAlign w:val="center"/>
          </w:tcPr>
          <w:p w14:paraId="410F1564">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平台充值金额（元）</w:t>
            </w:r>
          </w:p>
        </w:tc>
        <w:tc>
          <w:tcPr>
            <w:tcW w:w="1500" w:type="dxa"/>
            <w:noWrap w:val="0"/>
            <w:vAlign w:val="center"/>
          </w:tcPr>
          <w:p w14:paraId="5B584769">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服务费（元）</w:t>
            </w:r>
          </w:p>
        </w:tc>
      </w:tr>
      <w:tr w14:paraId="0545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683" w:type="dxa"/>
            <w:noWrap w:val="0"/>
            <w:vAlign w:val="center"/>
          </w:tcPr>
          <w:p w14:paraId="728DF853">
            <w:pPr>
              <w:spacing w:line="360" w:lineRule="auto"/>
              <w:jc w:val="center"/>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东莞</w:t>
            </w:r>
          </w:p>
        </w:tc>
        <w:tc>
          <w:tcPr>
            <w:tcW w:w="1172" w:type="dxa"/>
            <w:noWrap w:val="0"/>
            <w:vAlign w:val="center"/>
          </w:tcPr>
          <w:p w14:paraId="68E2D709">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腾讯广告</w:t>
            </w:r>
          </w:p>
        </w:tc>
        <w:tc>
          <w:tcPr>
            <w:tcW w:w="1222" w:type="dxa"/>
            <w:noWrap w:val="0"/>
            <w:vAlign w:val="center"/>
          </w:tcPr>
          <w:p w14:paraId="7107BD3C">
            <w:pPr>
              <w:widowControl/>
              <w:jc w:val="center"/>
              <w:textAlignment w:val="center"/>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图文/视频</w:t>
            </w:r>
          </w:p>
        </w:tc>
        <w:tc>
          <w:tcPr>
            <w:tcW w:w="1287" w:type="dxa"/>
            <w:noWrap w:val="0"/>
            <w:vAlign w:val="center"/>
          </w:tcPr>
          <w:p w14:paraId="6F1D9547">
            <w:pPr>
              <w:spacing w:line="360" w:lineRule="auto"/>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竞价</w:t>
            </w:r>
          </w:p>
        </w:tc>
        <w:tc>
          <w:tcPr>
            <w:tcW w:w="1560" w:type="dxa"/>
            <w:noWrap w:val="0"/>
            <w:vAlign w:val="center"/>
          </w:tcPr>
          <w:p w14:paraId="723E1D9C">
            <w:pPr>
              <w:widowControl/>
              <w:jc w:val="center"/>
              <w:textAlignment w:val="center"/>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≥85000</w:t>
            </w:r>
          </w:p>
        </w:tc>
        <w:tc>
          <w:tcPr>
            <w:tcW w:w="1500" w:type="dxa"/>
            <w:noWrap w:val="0"/>
            <w:vAlign w:val="center"/>
          </w:tcPr>
          <w:p w14:paraId="1A56F529">
            <w:pPr>
              <w:widowControl/>
              <w:jc w:val="center"/>
              <w:textAlignment w:val="center"/>
              <w:rPr>
                <w:rFonts w:hint="default" w:ascii="微软雅黑" w:hAnsi="微软雅黑" w:eastAsia="微软雅黑" w:cs="微软雅黑"/>
                <w:color w:val="auto"/>
                <w:szCs w:val="21"/>
                <w:highlight w:val="none"/>
                <w:lang w:val="en-US" w:eastAsia="zh-CN"/>
              </w:rPr>
            </w:pPr>
          </w:p>
        </w:tc>
      </w:tr>
      <w:tr w14:paraId="1FB5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64" w:type="dxa"/>
            <w:gridSpan w:val="4"/>
            <w:noWrap w:val="0"/>
            <w:vAlign w:val="center"/>
          </w:tcPr>
          <w:p w14:paraId="50E05698">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合计总价（含税，</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w:t>
            </w:r>
          </w:p>
        </w:tc>
        <w:tc>
          <w:tcPr>
            <w:tcW w:w="3060" w:type="dxa"/>
            <w:gridSpan w:val="2"/>
            <w:noWrap w:val="0"/>
            <w:vAlign w:val="center"/>
          </w:tcPr>
          <w:p w14:paraId="3B80F19C">
            <w:pPr>
              <w:widowControl/>
              <w:jc w:val="center"/>
              <w:textAlignment w:val="center"/>
              <w:rPr>
                <w:rFonts w:hint="default" w:ascii="微软雅黑" w:hAnsi="微软雅黑" w:eastAsia="微软雅黑" w:cs="微软雅黑"/>
                <w:color w:val="auto"/>
                <w:szCs w:val="21"/>
                <w:highlight w:val="none"/>
                <w:lang w:val="en-US" w:eastAsia="zh-CN"/>
              </w:rPr>
            </w:pPr>
          </w:p>
        </w:tc>
      </w:tr>
    </w:tbl>
    <w:tbl>
      <w:tblPr>
        <w:tblStyle w:val="24"/>
        <w:tblpPr w:leftFromText="180" w:rightFromText="180" w:vertAnchor="text" w:tblpX="10597" w:tblpY="-3396"/>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24C2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0A0F3437">
            <w:pPr>
              <w:jc w:val="left"/>
              <w:rPr>
                <w:rFonts w:hint="eastAsia" w:ascii="仿宋" w:hAnsi="仿宋" w:eastAsia="仿宋" w:cs="仿宋"/>
                <w:color w:val="auto"/>
                <w:sz w:val="28"/>
                <w:szCs w:val="44"/>
                <w:highlight w:val="none"/>
                <w:vertAlign w:val="baseline"/>
              </w:rPr>
            </w:pPr>
          </w:p>
        </w:tc>
      </w:tr>
    </w:tbl>
    <w:p w14:paraId="488AAAE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本合同实行总价包干；合同（含税）总价款为</w:t>
      </w:r>
      <w:r>
        <w:rPr>
          <w:rFonts w:hint="eastAsia" w:ascii="仿宋" w:hAnsi="仿宋" w:eastAsia="仿宋" w:cs="仿宋"/>
          <w:color w:val="auto"/>
          <w:sz w:val="28"/>
          <w:szCs w:val="44"/>
          <w:highlight w:val="none"/>
          <w:u w:val="single"/>
        </w:rPr>
        <w:t>￥元（</w:t>
      </w:r>
      <w:r>
        <w:rPr>
          <w:rFonts w:hint="eastAsia" w:ascii="仿宋" w:hAnsi="仿宋" w:eastAsia="仿宋" w:cs="仿宋"/>
          <w:color w:val="auto"/>
          <w:sz w:val="28"/>
          <w:szCs w:val="44"/>
          <w:highlight w:val="none"/>
          <w:u w:val="single"/>
          <w:lang w:val="en-US" w:eastAsia="zh-CN"/>
        </w:rPr>
        <w:t xml:space="preserve"> 大写           </w:t>
      </w:r>
      <w:r>
        <w:rPr>
          <w:rFonts w:hint="eastAsia" w:ascii="仿宋" w:hAnsi="仿宋" w:eastAsia="仿宋" w:cs="仿宋"/>
          <w:color w:val="auto"/>
          <w:sz w:val="28"/>
          <w:szCs w:val="44"/>
          <w:highlight w:val="none"/>
          <w:u w:val="single"/>
        </w:rPr>
        <w:t>）</w:t>
      </w:r>
      <w:r>
        <w:rPr>
          <w:rFonts w:hint="eastAsia" w:ascii="仿宋" w:hAnsi="仿宋" w:eastAsia="仿宋" w:cs="仿宋"/>
          <w:color w:val="auto"/>
          <w:sz w:val="28"/>
          <w:szCs w:val="44"/>
          <w:highlight w:val="none"/>
        </w:rPr>
        <w:t>，其中：增值税率为</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u w:val="single"/>
        </w:rPr>
        <w:t>%</w:t>
      </w:r>
      <w:r>
        <w:rPr>
          <w:rFonts w:hint="eastAsia" w:ascii="仿宋" w:hAnsi="仿宋" w:eastAsia="仿宋" w:cs="仿宋"/>
          <w:color w:val="auto"/>
          <w:sz w:val="28"/>
          <w:szCs w:val="44"/>
          <w:highlight w:val="none"/>
        </w:rPr>
        <w:t>，增值税金额</w:t>
      </w:r>
      <w:r>
        <w:rPr>
          <w:rFonts w:hint="eastAsia" w:ascii="仿宋" w:hAnsi="仿宋" w:eastAsia="仿宋" w:cs="仿宋"/>
          <w:color w:val="auto"/>
          <w:sz w:val="28"/>
          <w:szCs w:val="44"/>
          <w:highlight w:val="none"/>
          <w:u w:val="single"/>
        </w:rPr>
        <w:t>￥</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rPr>
        <w:t>元，不含税合同总价款为</w:t>
      </w:r>
      <w:r>
        <w:rPr>
          <w:rFonts w:hint="eastAsia" w:ascii="仿宋" w:hAnsi="仿宋" w:eastAsia="仿宋" w:cs="仿宋"/>
          <w:color w:val="auto"/>
          <w:sz w:val="28"/>
          <w:szCs w:val="44"/>
          <w:highlight w:val="none"/>
          <w:u w:val="single"/>
        </w:rPr>
        <w:t>￥</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rPr>
        <w:t>元。上述合同价包括乙方为完成本合同项下全部工作的费用，该服务费用包括但不限于：完成项目所有的人工费、材料费、制作、运输、装卸、管理费、损耗、利润、税金等所需的各项费用</w:t>
      </w:r>
    </w:p>
    <w:p w14:paraId="76A7DEF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2.2  订单确认：甲方根据所列“确认单”格式通过邮件的方式向乙方提出单次广告投放需求，甲方广告投放需求经双方确认或签字盖章后方可执行，经双方签字或盖章的“确认单”作为合同附件，与本合同具有同等法律效力。</w:t>
      </w:r>
    </w:p>
    <w:p w14:paraId="3A7520B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2.3  付款期限及方式：广告投放采取甲方后付费的模式，甲乙双方约定，在甲方的每单广告上线投放结束后的 5 个工作日内，乙方以邮件/微信的方式向甲方提供结案报告，自收到结案报告5 日内，甲方没有提出书面异议的视为甲方认可乙方的工作，并确认乙方合同义务履行完毕，甲方在收到乙方提交结案报告、完整结算资料、请款资料及合法等额的增值税专用发票且办理完结算后15个工作日内付款，付款方式为汇款，乙方收款银行账号如下：</w:t>
      </w:r>
    </w:p>
    <w:p w14:paraId="7745918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账户名：</w:t>
      </w:r>
    </w:p>
    <w:p w14:paraId="1939CC9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账  号：</w:t>
      </w:r>
    </w:p>
    <w:p w14:paraId="3B3174D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开户行：</w:t>
      </w:r>
    </w:p>
    <w:p w14:paraId="4F37D33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2.4  为保障双方权益，双方约定需以双方合同指定联系人及指定邮箱邮件形式进行确认下单，如指定联系人信息发生变化，需第一时间邮件书面告知对方及时更换，后续以新对接联系方式为准，如未及时书面告知的，所产生的一切后果均自行承担。邮件下单与合同一样具备法律效力。</w:t>
      </w:r>
    </w:p>
    <w:p w14:paraId="1AC51217">
      <w:pPr>
        <w:shd w:val="clear" w:color="auto" w:fill="auto"/>
        <w:jc w:val="left"/>
        <w:rPr>
          <w:rFonts w:hint="eastAsia" w:ascii="仿宋" w:hAnsi="仿宋" w:eastAsia="仿宋" w:cs="仿宋"/>
          <w:color w:val="auto"/>
          <w:sz w:val="28"/>
          <w:szCs w:val="44"/>
          <w:highlight w:val="none"/>
          <w:lang w:val="en-US" w:eastAsia="zh-CN"/>
        </w:rPr>
      </w:pPr>
      <w:r>
        <w:rPr>
          <w:rFonts w:hint="eastAsia" w:ascii="仿宋" w:hAnsi="仿宋" w:eastAsia="仿宋" w:cs="仿宋"/>
          <w:color w:val="auto"/>
          <w:sz w:val="28"/>
          <w:szCs w:val="44"/>
          <w:highlight w:val="none"/>
        </w:rPr>
        <w:t>甲方指定联系人：</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电话</w:t>
      </w:r>
      <w:r>
        <w:rPr>
          <w:rFonts w:hint="eastAsia" w:ascii="仿宋" w:hAnsi="仿宋" w:eastAsia="仿宋" w:cs="仿宋"/>
          <w:color w:val="auto"/>
          <w:sz w:val="28"/>
          <w:szCs w:val="44"/>
          <w:highlight w:val="none"/>
          <w:lang w:eastAsia="zh-CN"/>
        </w:rPr>
        <w:t>：</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邮箱：</w:t>
      </w:r>
      <w:r>
        <w:rPr>
          <w:rFonts w:hint="eastAsia" w:ascii="仿宋" w:hAnsi="仿宋" w:eastAsia="仿宋" w:cs="仿宋"/>
          <w:color w:val="auto"/>
          <w:sz w:val="28"/>
          <w:szCs w:val="44"/>
          <w:highlight w:val="none"/>
          <w:lang w:val="en-US" w:eastAsia="zh-CN"/>
        </w:rPr>
        <w:t xml:space="preserve"> </w:t>
      </w:r>
    </w:p>
    <w:p w14:paraId="15060868">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乙方指定联系人：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电话：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邮箱： </w:t>
      </w:r>
    </w:p>
    <w:p w14:paraId="384E42B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2.5  乙方收到甲方汇款后，需向甲方开具等额有效的发票，发票开具内容为“信息服务费”。</w:t>
      </w:r>
    </w:p>
    <w:p w14:paraId="6D58ADC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2.6  乙方有权根据媒体平台政策的变化对优惠政策予以调整。</w:t>
      </w:r>
    </w:p>
    <w:p w14:paraId="46B1D6FA">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第三条 广告创意及内容</w:t>
      </w:r>
    </w:p>
    <w:p w14:paraId="3258C18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3.1 双方同意由甲方自行负责广告内容和设计稿样等资料。甲方应在广告发布前至少提前3个工作日（根据媒体资源方实际流程要求）以邮件或微信方式向乙方提供所需的全部广告资料（包括但不限于广告物料、物料所链接的页面以及符合媒体审核相关规定的资料）。如因甲方未能按照本合同之规定按期提供广告资料或甲方提供的广告资料不符合平台规则，而造成广告发布的延期或不能执行的，由甲方自行承担责任，乙方不承担任何责任。</w:t>
      </w:r>
    </w:p>
    <w:p w14:paraId="61AEE4F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3.2 甲方应保证提供的广告素材的合法性以及符合媒体相关规定，广告链接内容的真实性不损害任何第三方的合法权益。若甲方违反此保证导致任何争议，则甲方自行承担责任。</w:t>
      </w:r>
    </w:p>
    <w:p w14:paraId="2D8045A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3.3  乙方对该链接从广告职业者角度按照《广告法》等法律法规审查的义务，并应当及时书面通知甲方修改不符合法律规定的内容，若甲方拒绝修改，则乙方有权拒绝发布广告。如因甲方发布的广告内容违反国家法律法规而受到相关部门查处时，乙方有义务积极进行协调处理。</w:t>
      </w:r>
    </w:p>
    <w:p w14:paraId="27FFCF0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3.4  如因投放媒体网站对其服务内容、版面布局、页面设计等进行调整而影响广告计划的执行，则乙方在上述调整对甲方的影响范围内不承担相关责任，但乙方有义务同相关媒体协商后，1个工作日内告知甲方，双方协商后续执行事宜。</w:t>
      </w:r>
    </w:p>
    <w:p w14:paraId="39D575AA">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3.5在合同期限内，乙方应及时有效执行甲方给出的投放计划，当投放计划需要临时性调整，甲方应提前通知乙方，以便乙方有效执行；广告投放上线后，甲方不得中止或修改投放时间及内容，如确需修改，甲方至少提前两个工作日以邮件形式向乙方提出书面申请，且经乙方书面同意后方可执行，由此增加的成本及支出由甲方承担。</w:t>
      </w:r>
    </w:p>
    <w:p w14:paraId="24043A11">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3.6 因本项目的履行依赖于投放媒体资源，故甲方在此确认，如遇投放媒体资源紧张或乙方无法排期的，乙方有权视投放媒体资源、流量等情况顺延广告投放排期，并不为此承担违约责任，但乙方需提前告知甲方。</w:t>
      </w:r>
    </w:p>
    <w:p w14:paraId="3D9EFBC4">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第四条</w:t>
      </w:r>
      <w:r>
        <w:rPr>
          <w:rFonts w:hint="eastAsia" w:ascii="仿宋" w:hAnsi="仿宋" w:eastAsia="仿宋" w:cs="仿宋"/>
          <w:b/>
          <w:bCs/>
          <w:color w:val="auto"/>
          <w:sz w:val="28"/>
          <w:szCs w:val="44"/>
          <w:highlight w:val="none"/>
          <w:lang w:val="en-US" w:eastAsia="zh-CN"/>
        </w:rPr>
        <w:t xml:space="preserve"> </w:t>
      </w:r>
      <w:r>
        <w:rPr>
          <w:rFonts w:hint="eastAsia" w:ascii="仿宋" w:hAnsi="仿宋" w:eastAsia="仿宋" w:cs="仿宋"/>
          <w:b/>
          <w:bCs/>
          <w:color w:val="auto"/>
          <w:sz w:val="28"/>
          <w:szCs w:val="44"/>
          <w:highlight w:val="none"/>
        </w:rPr>
        <w:t>双方保证</w:t>
      </w:r>
    </w:p>
    <w:p w14:paraId="2965EA2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4.1 任何一方有权签署本合同并已经获得履行本合同所需要的全部许可和授权。</w:t>
      </w:r>
    </w:p>
    <w:p w14:paraId="3F47DF5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4.2 任何一方签署本合同将不构成其与任何第三方之间的利益冲突。</w:t>
      </w:r>
    </w:p>
    <w:p w14:paraId="62CF7C8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4.3 任何一方在本合同合作期间，若与第三方发生公司合并、并购事件，新公司将继续履行本合同项下该方未完成的合同内容。</w:t>
      </w:r>
    </w:p>
    <w:p w14:paraId="3CDD0B82">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4.4 双方合作期间，甲乙双方有义务维护对方的良好形象。</w:t>
      </w:r>
    </w:p>
    <w:p w14:paraId="0B8345C7">
      <w:pPr>
        <w:shd w:val="clear" w:color="auto" w:fill="auto"/>
        <w:ind w:firstLine="560" w:firstLineChars="200"/>
        <w:jc w:val="left"/>
        <w:rPr>
          <w:rFonts w:hint="default" w:ascii="仿宋" w:hAnsi="仿宋" w:eastAsia="仿宋" w:cs="仿宋"/>
          <w:color w:val="auto"/>
          <w:sz w:val="28"/>
          <w:szCs w:val="44"/>
          <w:highlight w:val="none"/>
          <w:lang w:val="en-US" w:eastAsia="zh-CN"/>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五</w:t>
      </w:r>
      <w:r>
        <w:rPr>
          <w:rFonts w:hint="eastAsia" w:ascii="仿宋" w:hAnsi="仿宋" w:eastAsia="仿宋" w:cs="仿宋"/>
          <w:b/>
          <w:bCs/>
          <w:color w:val="auto"/>
          <w:sz w:val="28"/>
          <w:szCs w:val="44"/>
          <w:highlight w:val="none"/>
        </w:rPr>
        <w:t>条</w:t>
      </w:r>
      <w:r>
        <w:rPr>
          <w:rFonts w:hint="eastAsia" w:ascii="仿宋" w:hAnsi="仿宋" w:eastAsia="仿宋" w:cs="仿宋"/>
          <w:b/>
          <w:bCs/>
          <w:color w:val="auto"/>
          <w:sz w:val="28"/>
          <w:szCs w:val="44"/>
          <w:highlight w:val="none"/>
          <w:lang w:val="en-US" w:eastAsia="zh-CN"/>
        </w:rPr>
        <w:t xml:space="preserve"> 知识产权</w:t>
      </w:r>
    </w:p>
    <w:p w14:paraId="7F2C852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5</w:t>
      </w:r>
      <w:r>
        <w:rPr>
          <w:rFonts w:hint="eastAsia" w:ascii="仿宋" w:hAnsi="仿宋" w:eastAsia="仿宋" w:cs="仿宋"/>
          <w:color w:val="auto"/>
          <w:sz w:val="28"/>
          <w:szCs w:val="44"/>
          <w:highlight w:val="none"/>
        </w:rPr>
        <w:t>.1甲方提交给乙方使用的素材与资料，其知识产权仍归甲方所有。除为本合同目的而使用之外，乙方不得复制、使用及提供给第三方。</w:t>
      </w:r>
    </w:p>
    <w:p w14:paraId="7CFD9D2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5</w:t>
      </w:r>
      <w:r>
        <w:rPr>
          <w:rFonts w:hint="eastAsia" w:ascii="仿宋" w:hAnsi="仿宋" w:eastAsia="仿宋" w:cs="仿宋"/>
          <w:color w:val="auto"/>
          <w:sz w:val="28"/>
          <w:szCs w:val="44"/>
          <w:highlight w:val="none"/>
        </w:rPr>
        <w:t>.2乙方向甲方提交的工作成果的全部知识产权均归甲方所有；甲方有权自行决定发表、修改、使用等，相关收益归甲方所有。</w:t>
      </w:r>
    </w:p>
    <w:p w14:paraId="0BCD85E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6</w:t>
      </w:r>
      <w:r>
        <w:rPr>
          <w:rFonts w:hint="eastAsia" w:ascii="仿宋" w:hAnsi="仿宋" w:eastAsia="仿宋" w:cs="仿宋"/>
          <w:color w:val="auto"/>
          <w:sz w:val="28"/>
          <w:szCs w:val="44"/>
          <w:highlight w:val="none"/>
        </w:rPr>
        <w:t>.3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14:paraId="050D434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5</w:t>
      </w:r>
      <w:r>
        <w:rPr>
          <w:rFonts w:hint="eastAsia" w:ascii="仿宋" w:hAnsi="仿宋" w:eastAsia="仿宋" w:cs="仿宋"/>
          <w:color w:val="auto"/>
          <w:sz w:val="28"/>
          <w:szCs w:val="44"/>
          <w:highlight w:val="none"/>
        </w:rPr>
        <w:t>.4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10%的违约金。前述违约金不足以弥补甲方损失的，甲方有权继续追偿。</w:t>
      </w:r>
    </w:p>
    <w:p w14:paraId="2D0C3BD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六条 保密</w:t>
      </w:r>
    </w:p>
    <w:p w14:paraId="3CA4583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乙方保证对在讨论、签订、履行本合同过程中所获悉的属于甲方及甲方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前述保密义务，在本合同终止或解除之后仍需履行。如乙方或乙方员工泄露甲方的商业秘密致使甲方受到损失的，由乙方承担赔偿责任。</w:t>
      </w:r>
    </w:p>
    <w:p w14:paraId="4702E55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七条 </w:t>
      </w:r>
      <w:r>
        <w:rPr>
          <w:rFonts w:hint="eastAsia" w:ascii="仿宋" w:hAnsi="仿宋" w:eastAsia="仿宋" w:cs="仿宋"/>
          <w:b/>
          <w:bCs/>
          <w:color w:val="auto"/>
          <w:sz w:val="28"/>
          <w:szCs w:val="44"/>
          <w:highlight w:val="none"/>
        </w:rPr>
        <w:t>不可抗力</w:t>
      </w:r>
    </w:p>
    <w:p w14:paraId="0FFAFBB5">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7</w:t>
      </w:r>
      <w:r>
        <w:rPr>
          <w:rFonts w:hint="eastAsia" w:ascii="仿宋" w:hAnsi="仿宋" w:eastAsia="仿宋" w:cs="仿宋"/>
          <w:color w:val="auto"/>
          <w:sz w:val="28"/>
          <w:szCs w:val="44"/>
          <w:highlight w:val="none"/>
        </w:rPr>
        <w:t>.1不可抗力的确认</w:t>
      </w:r>
    </w:p>
    <w:p w14:paraId="5907222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不可抗力是指甲乙双方在订立合同时不可预见，在履行合同过程中不可避免发生并不能克服的自然灾害、政策的调整和社会性突发事件，如地震、海啸、瘟疫、水灾、骚乱、暴动、战争等。</w:t>
      </w:r>
    </w:p>
    <w:p w14:paraId="51FE497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7</w:t>
      </w:r>
      <w:r>
        <w:rPr>
          <w:rFonts w:hint="eastAsia" w:ascii="仿宋" w:hAnsi="仿宋" w:eastAsia="仿宋" w:cs="仿宋"/>
          <w:color w:val="auto"/>
          <w:sz w:val="28"/>
          <w:szCs w:val="44"/>
          <w:highlight w:val="none"/>
        </w:rPr>
        <w:t>.2 不可抗力的通知</w:t>
      </w:r>
    </w:p>
    <w:p w14:paraId="17F51AB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合同一方当事人遇到不可抗力事件，使其履行合同义务受到阻碍时，应立即通知合同另一方当事人，书面说明不可抗力和受阻碍的详细情况，并提供必要的证明。</w:t>
      </w:r>
    </w:p>
    <w:p w14:paraId="0131B22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7</w:t>
      </w:r>
      <w:r>
        <w:rPr>
          <w:rFonts w:hint="eastAsia" w:ascii="仿宋" w:hAnsi="仿宋" w:eastAsia="仿宋" w:cs="仿宋"/>
          <w:color w:val="auto"/>
          <w:sz w:val="28"/>
          <w:szCs w:val="44"/>
          <w:highlight w:val="none"/>
        </w:rPr>
        <w:t>.3 不可抗力后果及其处理</w:t>
      </w:r>
    </w:p>
    <w:p w14:paraId="70F71A8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（1）合同一方延迟履行，在延迟履行期间发生不可抗力的，不免除其责任。</w:t>
      </w:r>
    </w:p>
    <w:p w14:paraId="595ADC7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（2）不可抗力发生后，合同双方均应采取措施尽量避免和减少损失的扩大，任何一方没有采取有效措施导致损失扩大的，应对扩大的损失承担责任。</w:t>
      </w:r>
    </w:p>
    <w:p w14:paraId="650BF30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（3）合同一方因不可抗力不能履行合同的，应当及时通知对方解除合同。双方根据乙方实际完成工作量据实结算合同费用。</w:t>
      </w:r>
    </w:p>
    <w:p w14:paraId="2E0A7D3A">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八条 </w:t>
      </w:r>
      <w:r>
        <w:rPr>
          <w:rFonts w:hint="eastAsia" w:ascii="仿宋" w:hAnsi="仿宋" w:eastAsia="仿宋" w:cs="仿宋"/>
          <w:b/>
          <w:bCs/>
          <w:color w:val="auto"/>
          <w:sz w:val="28"/>
          <w:szCs w:val="44"/>
          <w:highlight w:val="none"/>
        </w:rPr>
        <w:t>违约责任</w:t>
      </w:r>
    </w:p>
    <w:p w14:paraId="371CCAD1">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.1 甲方违约责任：</w:t>
      </w:r>
    </w:p>
    <w:p w14:paraId="604296B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.1.1 甲方无正当理由逾期支付合同价款的，甲方应当向乙方支付逾期付款违约金。逾期付款违约金以逾期金额为本金，从甲方逾期付款当日起按照当月已发布的一年期LPR计算至合同价款付清之日。</w:t>
      </w:r>
      <w:r>
        <w:rPr>
          <w:rFonts w:hint="eastAsia" w:ascii="仿宋" w:hAnsi="仿宋" w:eastAsia="仿宋" w:cs="仿宋"/>
          <w:color w:val="auto"/>
          <w:sz w:val="28"/>
          <w:szCs w:val="44"/>
          <w:highlight w:val="none"/>
          <w:lang w:eastAsia="zh-CN"/>
        </w:rPr>
        <w:t>逾期</w:t>
      </w:r>
      <w:r>
        <w:rPr>
          <w:rFonts w:hint="eastAsia" w:ascii="仿宋" w:hAnsi="仿宋" w:eastAsia="仿宋" w:cs="仿宋"/>
          <w:color w:val="auto"/>
          <w:sz w:val="28"/>
          <w:szCs w:val="44"/>
          <w:highlight w:val="none"/>
          <w:lang w:val="en-US" w:eastAsia="zh-CN"/>
        </w:rPr>
        <w:t>付款</w:t>
      </w:r>
      <w:r>
        <w:rPr>
          <w:rFonts w:hint="eastAsia" w:ascii="仿宋" w:hAnsi="仿宋" w:eastAsia="仿宋" w:cs="仿宋"/>
          <w:color w:val="auto"/>
          <w:sz w:val="28"/>
          <w:szCs w:val="44"/>
          <w:highlight w:val="none"/>
          <w:lang w:eastAsia="zh-CN"/>
        </w:rPr>
        <w:t>违约金总额</w:t>
      </w:r>
      <w:r>
        <w:rPr>
          <w:rFonts w:hint="eastAsia" w:ascii="仿宋" w:hAnsi="仿宋" w:eastAsia="仿宋" w:cs="仿宋"/>
          <w:color w:val="auto"/>
          <w:sz w:val="28"/>
          <w:szCs w:val="44"/>
          <w:highlight w:val="none"/>
          <w:lang w:val="en-US" w:eastAsia="zh-CN"/>
        </w:rPr>
        <w:t>累计</w:t>
      </w:r>
      <w:r>
        <w:rPr>
          <w:rFonts w:hint="eastAsia" w:ascii="仿宋" w:hAnsi="仿宋" w:eastAsia="仿宋" w:cs="仿宋"/>
          <w:color w:val="auto"/>
          <w:sz w:val="28"/>
          <w:szCs w:val="44"/>
          <w:highlight w:val="none"/>
          <w:lang w:eastAsia="zh-CN"/>
        </w:rPr>
        <w:t>不超过应付未付总金额的10%</w:t>
      </w:r>
      <w:r>
        <w:rPr>
          <w:rFonts w:hint="eastAsia" w:ascii="仿宋" w:hAnsi="仿宋" w:eastAsia="仿宋" w:cs="仿宋"/>
          <w:color w:val="auto"/>
          <w:sz w:val="28"/>
          <w:szCs w:val="44"/>
          <w:highlight w:val="none"/>
        </w:rPr>
        <w:t>。</w:t>
      </w:r>
    </w:p>
    <w:p w14:paraId="08CFE96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.1.2甲方</w:t>
      </w:r>
      <w:r>
        <w:rPr>
          <w:rFonts w:hint="eastAsia" w:ascii="仿宋" w:hAnsi="仿宋" w:eastAsia="仿宋" w:cs="仿宋"/>
          <w:color w:val="auto"/>
          <w:sz w:val="28"/>
          <w:szCs w:val="44"/>
          <w:highlight w:val="none"/>
          <w:lang w:val="en-US" w:eastAsia="zh-CN"/>
        </w:rPr>
        <w:t>单方面</w:t>
      </w:r>
      <w:r>
        <w:rPr>
          <w:rFonts w:hint="eastAsia" w:ascii="仿宋" w:hAnsi="仿宋" w:eastAsia="仿宋" w:cs="仿宋"/>
          <w:color w:val="auto"/>
          <w:sz w:val="28"/>
          <w:szCs w:val="44"/>
          <w:highlight w:val="none"/>
        </w:rPr>
        <w:t>解除本合同的，如乙方未实际开展工作的，应退还全部已付合同价款；如乙方已实际开展工作的，甲方应据乙方实际工作量结算合同价款，乙方不得追究甲方其他违约责任。</w:t>
      </w:r>
    </w:p>
    <w:p w14:paraId="1377C97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 乙方违约责任：</w:t>
      </w:r>
    </w:p>
    <w:p w14:paraId="1BAD9EB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2.1乙方须在甲方要求的时间内完成甲方所需的服务内容，如乙方未按时提供服务，在甲方催告后仍未提供或完成相关工作的，每逾期一日，甲方有权要求乙方按该合同总额的千分之一或3000元（两者取大值）减收服务费用直至乙方完成符合甲方要求的工作为止。</w:t>
      </w:r>
    </w:p>
    <w:p w14:paraId="2887142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 xml:space="preserve">.2.2 如乙方发布的推广内容与甲方确认的广告不符，或在推广发布过程中出现遗漏、错误等，乙方应在甲方提出书面更正通知后【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w:t>
      </w:r>
      <w:r>
        <w:rPr>
          <w:rFonts w:hint="eastAsia" w:ascii="仿宋" w:hAnsi="仿宋" w:eastAsia="仿宋" w:cs="仿宋"/>
          <w:color w:val="auto"/>
          <w:sz w:val="28"/>
          <w:szCs w:val="44"/>
          <w:highlight w:val="none"/>
          <w:lang w:val="en-US" w:eastAsia="zh-CN"/>
        </w:rPr>
        <w:t>个自然</w:t>
      </w:r>
      <w:r>
        <w:rPr>
          <w:rFonts w:hint="eastAsia" w:ascii="仿宋" w:hAnsi="仿宋" w:eastAsia="仿宋" w:cs="仿宋"/>
          <w:color w:val="auto"/>
          <w:sz w:val="28"/>
          <w:szCs w:val="44"/>
          <w:highlight w:val="none"/>
        </w:rPr>
        <w:t>天内负责及时更正重新发布，每发生一次错误或遗漏，甲方有权要求乙方减收5000元，并且赔偿直接损失。上述情况达到三次，</w:t>
      </w:r>
      <w:r>
        <w:rPr>
          <w:rFonts w:hint="eastAsia" w:ascii="仿宋" w:hAnsi="仿宋" w:eastAsia="仿宋" w:cs="仿宋"/>
          <w:color w:val="auto"/>
          <w:sz w:val="28"/>
          <w:szCs w:val="44"/>
          <w:highlight w:val="none"/>
          <w:lang w:eastAsia="zh-Hans"/>
        </w:rPr>
        <w:t>甲方有权单方解除合同，并要求乙方向甲方支付相当于合同总金额</w:t>
      </w: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eastAsia="zh-Hans"/>
        </w:rPr>
        <w:t>0%的违约金</w:t>
      </w:r>
      <w:r>
        <w:rPr>
          <w:rFonts w:hint="eastAsia" w:ascii="仿宋" w:hAnsi="仿宋" w:eastAsia="仿宋" w:cs="仿宋"/>
          <w:color w:val="auto"/>
          <w:sz w:val="28"/>
          <w:szCs w:val="44"/>
          <w:highlight w:val="none"/>
        </w:rPr>
        <w:t>；如甲方的实际损失超出违约金数额的，甲方还有权就超出部分损失向乙方主张赔偿责任。</w:t>
      </w:r>
    </w:p>
    <w:p w14:paraId="117B884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.2.3 乙方擅自转委托的，甲方有权解除合同并要求乙方按照合同总金额10%向甲方支付违约金，实际损失超过违约金的，乙方应当予以补足；甲方选择继续履行合同的，乙方应按合同总价款5%向甲方支付违约金，实际损失超过违约金的，乙方应当予以补足。</w:t>
      </w:r>
    </w:p>
    <w:p w14:paraId="1CA29E6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.2.4</w:t>
      </w:r>
      <w:r>
        <w:rPr>
          <w:rFonts w:hint="eastAsia" w:ascii="仿宋" w:hAnsi="仿宋" w:eastAsia="仿宋" w:cs="仿宋"/>
          <w:color w:val="auto"/>
          <w:sz w:val="28"/>
          <w:szCs w:val="44"/>
          <w:highlight w:val="none"/>
          <w:lang w:eastAsia="zh-Hans"/>
        </w:rPr>
        <w:t>乙方提供的</w:t>
      </w:r>
      <w:r>
        <w:rPr>
          <w:rFonts w:hint="eastAsia" w:ascii="仿宋" w:hAnsi="仿宋" w:eastAsia="仿宋" w:cs="仿宋"/>
          <w:color w:val="auto"/>
          <w:sz w:val="28"/>
          <w:szCs w:val="44"/>
          <w:highlight w:val="none"/>
        </w:rPr>
        <w:t>成果无法满足甲方要求或提供的服务</w:t>
      </w:r>
      <w:r>
        <w:rPr>
          <w:rFonts w:hint="eastAsia" w:ascii="仿宋" w:hAnsi="仿宋" w:eastAsia="仿宋" w:cs="仿宋"/>
          <w:color w:val="auto"/>
          <w:sz w:val="28"/>
          <w:szCs w:val="44"/>
          <w:highlight w:val="none"/>
          <w:lang w:eastAsia="zh-Hans"/>
        </w:rPr>
        <w:t>不符合合同约定，经甲方催告拒绝改正或采取三次以上补救措施仍未达</w:t>
      </w:r>
      <w:r>
        <w:rPr>
          <w:rFonts w:hint="eastAsia" w:ascii="仿宋" w:hAnsi="仿宋" w:eastAsia="仿宋" w:cs="仿宋"/>
          <w:color w:val="auto"/>
          <w:sz w:val="28"/>
          <w:szCs w:val="44"/>
          <w:highlight w:val="none"/>
        </w:rPr>
        <w:t>甲方要求或</w:t>
      </w:r>
      <w:r>
        <w:rPr>
          <w:rFonts w:hint="eastAsia" w:ascii="仿宋" w:hAnsi="仿宋" w:eastAsia="仿宋" w:cs="仿宋"/>
          <w:color w:val="auto"/>
          <w:sz w:val="28"/>
          <w:szCs w:val="44"/>
          <w:highlight w:val="none"/>
          <w:lang w:eastAsia="zh-Hans"/>
        </w:rPr>
        <w:t>合同约定标准，或因乙方原因造成甲方损失的，甲方有权单方解除合同并要求乙方向甲方支付相当于合同总金额10%的违约金</w:t>
      </w:r>
      <w:r>
        <w:rPr>
          <w:rFonts w:hint="eastAsia" w:ascii="仿宋" w:hAnsi="仿宋" w:eastAsia="仿宋" w:cs="仿宋"/>
          <w:color w:val="auto"/>
          <w:sz w:val="28"/>
          <w:szCs w:val="44"/>
          <w:highlight w:val="none"/>
        </w:rPr>
        <w:t>；如甲方的实际损失超出违约金数额的，甲方还有权就超出部分损失向乙方主张赔偿责任。</w:t>
      </w:r>
    </w:p>
    <w:p w14:paraId="574A2855">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 xml:space="preserve">.2.5乙方无法定或约定事宜要求解除本合同的，乙方应向甲方支付相当于合同总金额10%的违约金，如甲方的实际损失超出违约金数额的，甲方还有权就超出部分损失向乙方主张赔偿责任。                                              </w:t>
      </w:r>
    </w:p>
    <w:p w14:paraId="14473DAB">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.2.6因乙方原因所产生的违约金、赔偿或其他应付费用，甲方有权从乙方提供的履约担保金额或甲方应支付的合同价款中直接扣除。</w:t>
      </w:r>
    </w:p>
    <w:p w14:paraId="6181130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.2.7 如乙方违约的，甲方除有权要求乙方承担违约责任外，还有权要求乙方支付维权成本，包括但不限于诉讼/仲裁费、调查取证费/公证费/鉴定费、律师费、保全费、担保费、差旅费等维权费用及其他合理费用。</w:t>
      </w:r>
    </w:p>
    <w:p w14:paraId="30792AE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九条 </w:t>
      </w:r>
      <w:r>
        <w:rPr>
          <w:rFonts w:hint="eastAsia" w:ascii="仿宋" w:hAnsi="仿宋" w:eastAsia="仿宋" w:cs="仿宋"/>
          <w:color w:val="auto"/>
          <w:sz w:val="28"/>
          <w:szCs w:val="44"/>
          <w:highlight w:val="none"/>
        </w:rPr>
        <w:t>争议解决</w:t>
      </w:r>
    </w:p>
    <w:p w14:paraId="5863BFDB">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本合同发生争议，双方当事人应及时协商解决；经双方协商无法解决的争议，双方同意按照以下第 (1)  种方式解决：</w:t>
      </w:r>
    </w:p>
    <w:p w14:paraId="735CF4E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(1)凡因本合同引起的或与本合同有关的任何争议，均提交甲方所在地有管辖权的人民法院裁决。</w:t>
      </w:r>
    </w:p>
    <w:p w14:paraId="2502E9F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 凡因本合同引起的或与本合同有关的任何争议，双方同意提交【东莞】仲裁委员会进行仲裁。仲裁裁决是终局的，对双方均有约束力。</w:t>
      </w:r>
    </w:p>
    <w:p w14:paraId="68E34D8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十条 </w:t>
      </w:r>
      <w:r>
        <w:rPr>
          <w:rFonts w:hint="eastAsia" w:ascii="仿宋" w:hAnsi="仿宋" w:eastAsia="仿宋" w:cs="仿宋"/>
          <w:color w:val="auto"/>
          <w:sz w:val="28"/>
          <w:szCs w:val="44"/>
          <w:highlight w:val="none"/>
        </w:rPr>
        <w:t>通知</w:t>
      </w:r>
    </w:p>
    <w:p w14:paraId="0248EDEA">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双方各自指定履行本合同的联系人，一方资料、文件之交接及意见之传达、接收均通过联系人进行。</w:t>
      </w:r>
    </w:p>
    <w:p w14:paraId="5F63245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甲方指定联系人：                                                        </w:t>
      </w:r>
    </w:p>
    <w:p w14:paraId="465C167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姓    名：____________________________________________</w:t>
      </w:r>
    </w:p>
    <w:p w14:paraId="292363D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联系电话：___________________________________________</w:t>
      </w:r>
    </w:p>
    <w:p w14:paraId="5BC4306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电子邮箱：____________________________________________</w:t>
      </w:r>
    </w:p>
    <w:p w14:paraId="334EF3D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通讯地址：____________________________________________ </w:t>
      </w:r>
    </w:p>
    <w:p w14:paraId="74C2752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甲方咨询投诉电话</w:t>
      </w:r>
      <w:r>
        <w:rPr>
          <w:rFonts w:hint="eastAsia" w:ascii="仿宋" w:hAnsi="仿宋" w:eastAsia="仿宋" w:cs="仿宋"/>
          <w:color w:val="auto"/>
          <w:sz w:val="28"/>
          <w:szCs w:val="44"/>
          <w:highlight w:val="none"/>
          <w:lang w:eastAsia="zh-CN"/>
        </w:rPr>
        <w:t>：</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u w:val="single"/>
        </w:rPr>
        <w:t>0769-23366373</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w:t>
      </w:r>
    </w:p>
    <w:p w14:paraId="4EA1727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乙方指定联系人：                                                        </w:t>
      </w:r>
    </w:p>
    <w:p w14:paraId="5A8C9C0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姓    名：___________________________________________</w:t>
      </w:r>
    </w:p>
    <w:p w14:paraId="0F3BA0F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联系电话：________________________________________</w:t>
      </w:r>
    </w:p>
    <w:p w14:paraId="7265995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电子邮箱：_________________________________________</w:t>
      </w:r>
    </w:p>
    <w:p w14:paraId="1E08BD7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通讯地址：_________________________________________</w:t>
      </w:r>
    </w:p>
    <w:p w14:paraId="5E7B413B">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十一条 </w:t>
      </w:r>
      <w:r>
        <w:rPr>
          <w:rFonts w:hint="eastAsia" w:ascii="仿宋" w:hAnsi="仿宋" w:eastAsia="仿宋" w:cs="仿宋"/>
          <w:color w:val="auto"/>
          <w:sz w:val="28"/>
          <w:szCs w:val="44"/>
          <w:highlight w:val="none"/>
        </w:rPr>
        <w:t>其他</w:t>
      </w:r>
    </w:p>
    <w:p w14:paraId="5E5CE3AD">
      <w:pPr>
        <w:shd w:val="clear" w:color="auto" w:fill="auto"/>
        <w:ind w:firstLine="560" w:firstLineChars="200"/>
        <w:jc w:val="left"/>
        <w:rPr>
          <w:rFonts w:hint="eastAsia" w:ascii="仿宋" w:hAnsi="仿宋" w:eastAsia="仿宋" w:cs="仿宋"/>
          <w:color w:val="auto"/>
          <w:sz w:val="28"/>
          <w:szCs w:val="44"/>
          <w:highlight w:val="none"/>
          <w:lang w:eastAsia="zh-CN"/>
        </w:rPr>
      </w:pP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.1本合同正文与下列附件共同构成本合同双方协商达成一致的全部内容：</w:t>
      </w:r>
    </w:p>
    <w:p w14:paraId="5CBE13A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.阳光合作协议</w:t>
      </w:r>
    </w:p>
    <w:p w14:paraId="1733DFD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2</w:t>
      </w:r>
      <w:r>
        <w:rPr>
          <w:rFonts w:hint="eastAsia" w:ascii="仿宋" w:hAnsi="仿宋" w:eastAsia="仿宋" w:cs="仿宋"/>
          <w:color w:val="auto"/>
          <w:sz w:val="28"/>
          <w:szCs w:val="44"/>
          <w:highlight w:val="none"/>
        </w:rPr>
        <w:t>.中标通知书</w:t>
      </w:r>
    </w:p>
    <w:p w14:paraId="72D6B51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3</w:t>
      </w:r>
      <w:r>
        <w:rPr>
          <w:rFonts w:hint="eastAsia" w:ascii="仿宋" w:hAnsi="仿宋" w:eastAsia="仿宋" w:cs="仿宋"/>
          <w:color w:val="auto"/>
          <w:sz w:val="28"/>
          <w:szCs w:val="44"/>
          <w:highlight w:val="none"/>
        </w:rPr>
        <w:t>.响应文件</w:t>
      </w:r>
    </w:p>
    <w:p w14:paraId="364DA09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4</w:t>
      </w:r>
      <w:r>
        <w:rPr>
          <w:rFonts w:hint="eastAsia" w:ascii="仿宋" w:hAnsi="仿宋" w:eastAsia="仿宋" w:cs="仿宋"/>
          <w:color w:val="auto"/>
          <w:sz w:val="28"/>
          <w:szCs w:val="44"/>
          <w:highlight w:val="none"/>
        </w:rPr>
        <w:t>.采购文件</w:t>
      </w:r>
    </w:p>
    <w:p w14:paraId="6EDCCAC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.2本合同未尽事宜，经双方平等友好协商一致，可签订补充协议。</w:t>
      </w:r>
    </w:p>
    <w:p w14:paraId="0EBE7815">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.3本合同自双方有权代表签字、单位盖章后生效。</w:t>
      </w:r>
    </w:p>
    <w:p w14:paraId="04B26D8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 xml:space="preserve">.4本合同一式【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】份，甲方执【</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】份，乙方执【</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】份，各份具有同等法律效力。</w:t>
      </w:r>
    </w:p>
    <w:p w14:paraId="6162C9B2">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（以下无正文）</w:t>
      </w:r>
    </w:p>
    <w:p w14:paraId="56104FBB">
      <w:pPr>
        <w:shd w:val="clear" w:color="auto" w:fill="auto"/>
        <w:ind w:firstLine="560" w:firstLineChars="200"/>
        <w:jc w:val="left"/>
        <w:rPr>
          <w:rFonts w:hint="eastAsia" w:ascii="仿宋" w:hAnsi="仿宋" w:eastAsia="仿宋" w:cs="仿宋"/>
          <w:color w:val="auto"/>
          <w:sz w:val="28"/>
          <w:szCs w:val="44"/>
          <w:highlight w:val="none"/>
        </w:rPr>
      </w:pPr>
    </w:p>
    <w:p w14:paraId="4B88B95C">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甲  方：</w:t>
      </w:r>
      <w:r>
        <w:rPr>
          <w:rFonts w:hint="eastAsia" w:ascii="仿宋" w:hAnsi="仿宋" w:eastAsia="仿宋" w:cs="仿宋"/>
          <w:color w:val="auto"/>
          <w:sz w:val="28"/>
          <w:szCs w:val="44"/>
          <w:highlight w:val="none"/>
          <w:u w:val="none"/>
        </w:rPr>
        <w:t>东莞市东寮安居建设有限公司</w:t>
      </w:r>
      <w:r>
        <w:rPr>
          <w:rFonts w:hint="eastAsia" w:ascii="仿宋" w:hAnsi="仿宋" w:eastAsia="仿宋" w:cs="仿宋"/>
          <w:color w:val="auto"/>
          <w:sz w:val="28"/>
          <w:szCs w:val="44"/>
          <w:highlight w:val="none"/>
          <w:u w:val="none"/>
          <w:lang w:val="en-US" w:eastAsia="zh-CN"/>
        </w:rPr>
        <w:t xml:space="preserve">  </w:t>
      </w:r>
      <w:r>
        <w:rPr>
          <w:rFonts w:hint="eastAsia" w:ascii="仿宋" w:hAnsi="仿宋" w:eastAsia="仿宋" w:cs="仿宋"/>
          <w:color w:val="auto"/>
          <w:sz w:val="28"/>
          <w:szCs w:val="44"/>
          <w:highlight w:val="none"/>
        </w:rPr>
        <w:t>乙  方：</w:t>
      </w:r>
    </w:p>
    <w:p w14:paraId="65320BF3">
      <w:pPr>
        <w:shd w:val="clear" w:color="auto" w:fill="auto"/>
        <w:ind w:left="280" w:hanging="280" w:hangingChars="1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地  址：</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地  址：</w:t>
      </w:r>
    </w:p>
    <w:p w14:paraId="6B8BD7F0">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联系人：</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联系人：</w:t>
      </w:r>
    </w:p>
    <w:p w14:paraId="1E2AD239">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电  话：</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电  话：</w:t>
      </w:r>
    </w:p>
    <w:p w14:paraId="5AD733ED">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授权代表签字：</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授权代表签字：</w:t>
      </w:r>
    </w:p>
    <w:p w14:paraId="4765893D">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签约日期：</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签约日期：</w:t>
      </w:r>
    </w:p>
    <w:p w14:paraId="20451299">
      <w:pPr>
        <w:shd w:val="clear" w:color="auto" w:fill="auto"/>
        <w:jc w:val="left"/>
        <w:rPr>
          <w:rFonts w:hint="eastAsia" w:ascii="仿宋" w:hAnsi="仿宋" w:eastAsia="仿宋" w:cs="仿宋"/>
          <w:color w:val="auto"/>
          <w:sz w:val="28"/>
          <w:szCs w:val="44"/>
          <w:highlight w:val="none"/>
        </w:rPr>
      </w:pPr>
    </w:p>
    <w:p w14:paraId="143E1B4D">
      <w:pPr>
        <w:shd w:val="clear" w:color="auto" w:fill="auto"/>
        <w:jc w:val="left"/>
        <w:rPr>
          <w:rFonts w:hint="eastAsia" w:ascii="仿宋" w:hAnsi="仿宋" w:eastAsia="仿宋" w:cs="仿宋"/>
          <w:color w:val="auto"/>
          <w:sz w:val="28"/>
          <w:szCs w:val="44"/>
          <w:highlight w:val="none"/>
        </w:rPr>
      </w:pPr>
    </w:p>
    <w:p w14:paraId="7761F0C1">
      <w:pPr>
        <w:shd w:val="clear" w:color="auto" w:fill="auto"/>
        <w:jc w:val="left"/>
        <w:rPr>
          <w:rFonts w:hint="eastAsia" w:ascii="仿宋" w:hAnsi="仿宋" w:eastAsia="仿宋" w:cs="仿宋"/>
          <w:color w:val="auto"/>
          <w:sz w:val="28"/>
          <w:szCs w:val="44"/>
          <w:highlight w:val="none"/>
        </w:rPr>
      </w:pPr>
    </w:p>
    <w:p w14:paraId="78A61348">
      <w:pPr>
        <w:shd w:val="clear" w:color="auto" w:fill="auto"/>
        <w:jc w:val="left"/>
        <w:rPr>
          <w:rFonts w:hint="eastAsia" w:ascii="仿宋" w:hAnsi="仿宋" w:eastAsia="仿宋" w:cs="仿宋"/>
          <w:color w:val="auto"/>
          <w:sz w:val="28"/>
          <w:szCs w:val="44"/>
          <w:highlight w:val="none"/>
        </w:rPr>
      </w:pPr>
    </w:p>
    <w:p w14:paraId="16F4D00F">
      <w:pPr>
        <w:shd w:val="clear" w:color="auto" w:fill="auto"/>
        <w:jc w:val="left"/>
        <w:rPr>
          <w:rFonts w:hint="eastAsia" w:ascii="仿宋" w:hAnsi="仿宋" w:eastAsia="仿宋" w:cs="仿宋"/>
          <w:color w:val="auto"/>
          <w:sz w:val="28"/>
          <w:szCs w:val="44"/>
          <w:highlight w:val="none"/>
        </w:rPr>
      </w:pPr>
    </w:p>
    <w:p w14:paraId="312426A0">
      <w:pPr>
        <w:shd w:val="clear" w:color="auto" w:fill="auto"/>
        <w:jc w:val="left"/>
        <w:rPr>
          <w:rFonts w:hint="eastAsia" w:ascii="仿宋" w:hAnsi="仿宋" w:eastAsia="仿宋" w:cs="仿宋"/>
          <w:color w:val="auto"/>
          <w:sz w:val="28"/>
          <w:szCs w:val="44"/>
          <w:highlight w:val="none"/>
        </w:rPr>
      </w:pPr>
    </w:p>
    <w:p w14:paraId="3C8FC55B">
      <w:pPr>
        <w:shd w:val="clear" w:color="auto" w:fill="auto"/>
        <w:jc w:val="left"/>
        <w:rPr>
          <w:rFonts w:hint="eastAsia" w:ascii="仿宋" w:hAnsi="仿宋" w:eastAsia="仿宋" w:cs="仿宋"/>
          <w:color w:val="auto"/>
          <w:sz w:val="28"/>
          <w:szCs w:val="44"/>
          <w:highlight w:val="none"/>
        </w:rPr>
      </w:pPr>
    </w:p>
    <w:p w14:paraId="5624378A">
      <w:pPr>
        <w:shd w:val="clear" w:color="auto" w:fill="auto"/>
        <w:jc w:val="left"/>
        <w:rPr>
          <w:rFonts w:hint="eastAsia" w:ascii="仿宋" w:hAnsi="仿宋" w:eastAsia="仿宋" w:cs="仿宋"/>
          <w:color w:val="auto"/>
          <w:sz w:val="28"/>
          <w:szCs w:val="44"/>
          <w:highlight w:val="none"/>
        </w:rPr>
      </w:pPr>
    </w:p>
    <w:p w14:paraId="304BD5C8">
      <w:pPr>
        <w:shd w:val="clear" w:color="auto" w:fill="auto"/>
        <w:jc w:val="left"/>
        <w:rPr>
          <w:rFonts w:hint="eastAsia" w:ascii="仿宋" w:hAnsi="仿宋" w:eastAsia="仿宋" w:cs="仿宋"/>
          <w:color w:val="auto"/>
          <w:sz w:val="28"/>
          <w:szCs w:val="44"/>
          <w:highlight w:val="none"/>
        </w:rPr>
      </w:pPr>
    </w:p>
    <w:p w14:paraId="433993AB">
      <w:pPr>
        <w:shd w:val="clear" w:color="auto" w:fill="auto"/>
        <w:jc w:val="left"/>
        <w:rPr>
          <w:rFonts w:hint="eastAsia" w:ascii="仿宋" w:hAnsi="仿宋" w:eastAsia="仿宋" w:cs="仿宋"/>
          <w:color w:val="auto"/>
          <w:sz w:val="28"/>
          <w:szCs w:val="44"/>
          <w:highlight w:val="none"/>
        </w:rPr>
      </w:pPr>
    </w:p>
    <w:p w14:paraId="1457CB29">
      <w:pPr>
        <w:shd w:val="clear" w:color="auto" w:fill="auto"/>
        <w:jc w:val="left"/>
        <w:rPr>
          <w:rFonts w:hint="eastAsia" w:ascii="仿宋" w:hAnsi="仿宋" w:eastAsia="仿宋" w:cs="仿宋"/>
          <w:color w:val="auto"/>
          <w:sz w:val="28"/>
          <w:szCs w:val="44"/>
          <w:highlight w:val="none"/>
        </w:rPr>
      </w:pPr>
    </w:p>
    <w:p w14:paraId="75D3E375">
      <w:pPr>
        <w:shd w:val="clear" w:color="auto" w:fill="auto"/>
        <w:jc w:val="left"/>
        <w:rPr>
          <w:rFonts w:hint="eastAsia" w:ascii="仿宋" w:hAnsi="仿宋" w:eastAsia="仿宋" w:cs="仿宋"/>
          <w:color w:val="auto"/>
          <w:sz w:val="28"/>
          <w:szCs w:val="44"/>
          <w:highlight w:val="none"/>
        </w:rPr>
      </w:pPr>
    </w:p>
    <w:p w14:paraId="2CADD01D">
      <w:pPr>
        <w:shd w:val="clear" w:color="auto" w:fill="auto"/>
        <w:jc w:val="left"/>
        <w:rPr>
          <w:rFonts w:hint="eastAsia" w:ascii="仿宋" w:hAnsi="仿宋" w:eastAsia="仿宋" w:cs="仿宋"/>
          <w:color w:val="auto"/>
          <w:sz w:val="28"/>
          <w:szCs w:val="44"/>
          <w:highlight w:val="none"/>
        </w:rPr>
      </w:pPr>
    </w:p>
    <w:p w14:paraId="19D47442">
      <w:pPr>
        <w:shd w:val="clear" w:color="auto" w:fill="auto"/>
        <w:jc w:val="left"/>
        <w:rPr>
          <w:rFonts w:hint="eastAsia" w:ascii="仿宋" w:hAnsi="仿宋" w:eastAsia="仿宋" w:cs="仿宋"/>
          <w:color w:val="auto"/>
          <w:sz w:val="28"/>
          <w:szCs w:val="44"/>
          <w:highlight w:val="none"/>
        </w:rPr>
      </w:pPr>
    </w:p>
    <w:p w14:paraId="45E632AD">
      <w:pPr>
        <w:shd w:val="clear" w:color="auto" w:fill="auto"/>
        <w:jc w:val="left"/>
        <w:rPr>
          <w:rFonts w:hint="eastAsia" w:ascii="仿宋" w:hAnsi="仿宋" w:eastAsia="仿宋" w:cs="仿宋"/>
          <w:color w:val="auto"/>
          <w:sz w:val="28"/>
          <w:szCs w:val="44"/>
          <w:highlight w:val="none"/>
        </w:rPr>
      </w:pPr>
    </w:p>
    <w:p w14:paraId="00ABBC55">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附件1：</w:t>
      </w:r>
    </w:p>
    <w:p w14:paraId="628D83B9">
      <w:pPr>
        <w:shd w:val="clear" w:color="auto" w:fill="auto"/>
        <w:jc w:val="center"/>
        <w:rPr>
          <w:rFonts w:hint="eastAsia" w:ascii="仿宋" w:hAnsi="仿宋" w:eastAsia="仿宋" w:cs="仿宋"/>
          <w:b/>
          <w:bCs/>
          <w:color w:val="auto"/>
          <w:sz w:val="40"/>
          <w:szCs w:val="56"/>
          <w:highlight w:val="none"/>
        </w:rPr>
      </w:pPr>
      <w:r>
        <w:rPr>
          <w:rFonts w:hint="eastAsia" w:ascii="仿宋" w:hAnsi="仿宋" w:eastAsia="仿宋" w:cs="仿宋"/>
          <w:b/>
          <w:bCs/>
          <w:color w:val="auto"/>
          <w:sz w:val="40"/>
          <w:szCs w:val="56"/>
          <w:highlight w:val="none"/>
        </w:rPr>
        <w:t>阳光合作协议</w:t>
      </w:r>
    </w:p>
    <w:p w14:paraId="1DB59D07">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 </w:t>
      </w:r>
    </w:p>
    <w:p w14:paraId="2036404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甲方：</w:t>
      </w:r>
      <w:r>
        <w:rPr>
          <w:rFonts w:hint="eastAsia" w:ascii="仿宋" w:hAnsi="仿宋" w:eastAsia="仿宋" w:cs="仿宋"/>
          <w:color w:val="auto"/>
          <w:sz w:val="28"/>
          <w:szCs w:val="44"/>
          <w:highlight w:val="none"/>
          <w:u w:val="single"/>
        </w:rPr>
        <w:t>东莞市东寮安居建设有限公司</w:t>
      </w:r>
      <w:r>
        <w:rPr>
          <w:rFonts w:hint="eastAsia" w:ascii="仿宋" w:hAnsi="仿宋" w:eastAsia="仿宋" w:cs="仿宋"/>
          <w:color w:val="auto"/>
          <w:sz w:val="28"/>
          <w:szCs w:val="44"/>
          <w:highlight w:val="none"/>
        </w:rPr>
        <w:t xml:space="preserve">    </w:t>
      </w:r>
    </w:p>
    <w:p w14:paraId="3DD884C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乙方：</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rPr>
        <w:t xml:space="preserve">           </w:t>
      </w:r>
    </w:p>
    <w:p w14:paraId="4DAA2A8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甲乙双方于</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rPr>
        <w:t>年</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rPr>
        <w:t>月</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rPr>
        <w:t>日签署了《</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rPr>
        <w:t>》（以下简称原合同），为加强双方阳光合作，保证职员职业安全，甲乙双方经协商签订本协议并作为双方共同遵守的阳光合作行为准则。</w:t>
      </w:r>
    </w:p>
    <w:p w14:paraId="4F9D07F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一、甲方责任</w:t>
      </w:r>
    </w:p>
    <w:p w14:paraId="5BBF1F4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1.甲方有责任向乙方介绍本单位有关采购管理通用原则和本协议的规定。</w:t>
      </w:r>
    </w:p>
    <w:p w14:paraId="0EAD80B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2.甲方有责任对本单位相关人员进行阳光合作教育。</w:t>
      </w:r>
    </w:p>
    <w:p w14:paraId="40D585D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671CB5B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4.甲方人员如违反阳光合作管理制度及本协议规定，甲方视情节轻重、影响大小给予行政及经济处罚。</w:t>
      </w:r>
    </w:p>
    <w:p w14:paraId="2F3CF0C1">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5．对于乙方举报甲方人员违反阳光合作规定的情况，甲方应及时进行调查，根据调查情况进行处理，并将调查结果向乙方反馈。</w:t>
      </w:r>
    </w:p>
    <w:p w14:paraId="750B927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6.接受举报的一方应为举报方保密，不得对举报方进行报复，对举报属实和严格遵守《阳光合作协议》的合作方，在同等条件下给予后续合作的优先权。</w:t>
      </w:r>
    </w:p>
    <w:p w14:paraId="6615AEB7">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二、乙方责任</w:t>
      </w:r>
    </w:p>
    <w:p w14:paraId="0BB017B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1.乙方应保证乙方人员了解甲方有关采购管理通用原则和及本协议的规定，并遵照执行。</w:t>
      </w:r>
    </w:p>
    <w:p w14:paraId="37CDC23A">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2.乙方不得以任何形式给予甲方人员回扣、赠送实物、现金、有价证券、礼券等有价物品或提供旅游等其他可能影响职务行为公正履行的活动（以下统称“财物”）。</w:t>
      </w:r>
    </w:p>
    <w:p w14:paraId="46F96A5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3.乙方有责任接受甲方对乙方在合作期间阳光合作管理执行情况的监督，并对甲方相关调查工作主动配合。</w:t>
      </w:r>
    </w:p>
    <w:p w14:paraId="0AC86D8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乙方有义务就甲方人员任何形式的索取或收受财物行为及时向甲方（直接联系人为东莞实业投资控股集团有限公司风控法务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A62F9B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5．甲方接受乙方实名或匿名举报，保证为举报者的信息保密，常设举报部门及电话： </w:t>
      </w:r>
    </w:p>
    <w:p w14:paraId="317E6F35">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举报受理部门：东莞实业投资控股集团有限公司风控法务部</w:t>
      </w:r>
    </w:p>
    <w:p w14:paraId="24D0F74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东实集团举报邮箱：dgsyxf@163.com</w:t>
      </w:r>
    </w:p>
    <w:p w14:paraId="6CB4DF9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东实集团举报电话：0769-28820703（周一至周五9:00-12:00和14:00-18:00）</w:t>
      </w:r>
    </w:p>
    <w:p w14:paraId="5DBC09D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邮寄地址：东莞市东城区八一路1号机关二号大院9号楼，东莞实业投资控股集团有限公司风控法务部收，邮编523000。</w:t>
      </w:r>
    </w:p>
    <w:p w14:paraId="64D06DCA">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三、其他</w:t>
      </w:r>
    </w:p>
    <w:p w14:paraId="7A9572F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1.本协议是原合同的补充协议，与原合同有同等法律效力。</w:t>
      </w:r>
    </w:p>
    <w:p w14:paraId="5329495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2.本协议一式</w:t>
      </w:r>
      <w:r>
        <w:rPr>
          <w:rFonts w:hint="eastAsia" w:ascii="仿宋" w:hAnsi="仿宋" w:eastAsia="仿宋" w:cs="仿宋"/>
          <w:color w:val="auto"/>
          <w:sz w:val="28"/>
          <w:szCs w:val="44"/>
          <w:highlight w:val="none"/>
          <w:u w:val="single"/>
        </w:rPr>
        <w:t xml:space="preserve"> 伍 </w:t>
      </w:r>
      <w:r>
        <w:rPr>
          <w:rFonts w:hint="eastAsia" w:ascii="仿宋" w:hAnsi="仿宋" w:eastAsia="仿宋" w:cs="仿宋"/>
          <w:color w:val="auto"/>
          <w:sz w:val="28"/>
          <w:szCs w:val="44"/>
          <w:highlight w:val="none"/>
        </w:rPr>
        <w:t>份，甲方执</w:t>
      </w:r>
      <w:r>
        <w:rPr>
          <w:rFonts w:hint="eastAsia" w:ascii="仿宋" w:hAnsi="仿宋" w:eastAsia="仿宋" w:cs="仿宋"/>
          <w:color w:val="auto"/>
          <w:sz w:val="28"/>
          <w:szCs w:val="44"/>
          <w:highlight w:val="none"/>
          <w:u w:val="single"/>
        </w:rPr>
        <w:t xml:space="preserve"> 叁 </w:t>
      </w:r>
      <w:r>
        <w:rPr>
          <w:rFonts w:hint="eastAsia" w:ascii="仿宋" w:hAnsi="仿宋" w:eastAsia="仿宋" w:cs="仿宋"/>
          <w:color w:val="auto"/>
          <w:sz w:val="28"/>
          <w:szCs w:val="44"/>
          <w:highlight w:val="none"/>
        </w:rPr>
        <w:t>份，乙方执</w:t>
      </w:r>
      <w:r>
        <w:rPr>
          <w:rFonts w:hint="eastAsia" w:ascii="仿宋" w:hAnsi="仿宋" w:eastAsia="仿宋" w:cs="仿宋"/>
          <w:color w:val="auto"/>
          <w:sz w:val="28"/>
          <w:szCs w:val="44"/>
          <w:highlight w:val="none"/>
          <w:u w:val="single"/>
        </w:rPr>
        <w:t xml:space="preserve"> 贰 </w:t>
      </w:r>
      <w:r>
        <w:rPr>
          <w:rFonts w:hint="eastAsia" w:ascii="仿宋" w:hAnsi="仿宋" w:eastAsia="仿宋" w:cs="仿宋"/>
          <w:color w:val="auto"/>
          <w:sz w:val="28"/>
          <w:szCs w:val="44"/>
          <w:highlight w:val="none"/>
        </w:rPr>
        <w:t>份,具有同等法律效力。</w:t>
      </w:r>
    </w:p>
    <w:p w14:paraId="219557F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3.本协议经双方签署后生效。</w:t>
      </w:r>
    </w:p>
    <w:p w14:paraId="532A530D">
      <w:pPr>
        <w:shd w:val="clear" w:color="auto" w:fill="auto"/>
        <w:jc w:val="left"/>
        <w:rPr>
          <w:rFonts w:hint="eastAsia" w:ascii="仿宋" w:hAnsi="仿宋" w:eastAsia="仿宋" w:cs="仿宋"/>
          <w:color w:val="auto"/>
          <w:sz w:val="28"/>
          <w:szCs w:val="44"/>
          <w:highlight w:val="none"/>
        </w:rPr>
      </w:pPr>
    </w:p>
    <w:p w14:paraId="2B94E919">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甲方（盖章）：                      乙方（盖章）： </w:t>
      </w:r>
    </w:p>
    <w:p w14:paraId="7C6F29DB">
      <w:pPr>
        <w:shd w:val="clear" w:color="auto" w:fill="auto"/>
        <w:jc w:val="left"/>
        <w:rPr>
          <w:rFonts w:hint="eastAsia" w:ascii="仿宋" w:hAnsi="仿宋" w:eastAsia="仿宋" w:cs="仿宋"/>
          <w:color w:val="auto"/>
          <w:sz w:val="28"/>
          <w:szCs w:val="44"/>
          <w:highlight w:val="none"/>
        </w:rPr>
      </w:pPr>
    </w:p>
    <w:p w14:paraId="68ACCB81">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法定代表人（授权代表）：</w:t>
      </w:r>
      <w:r>
        <w:rPr>
          <w:rFonts w:hint="eastAsia" w:ascii="仿宋" w:hAnsi="仿宋" w:eastAsia="仿宋" w:cs="仿宋"/>
          <w:color w:val="auto"/>
          <w:sz w:val="28"/>
          <w:szCs w:val="44"/>
          <w:highlight w:val="none"/>
        </w:rPr>
        <w:tab/>
      </w:r>
      <w:r>
        <w:rPr>
          <w:rFonts w:hint="eastAsia" w:ascii="仿宋" w:hAnsi="仿宋" w:eastAsia="仿宋" w:cs="仿宋"/>
          <w:color w:val="auto"/>
          <w:sz w:val="28"/>
          <w:szCs w:val="44"/>
          <w:highlight w:val="none"/>
        </w:rPr>
        <w:tab/>
      </w:r>
      <w:r>
        <w:rPr>
          <w:rFonts w:hint="eastAsia" w:ascii="仿宋" w:hAnsi="仿宋" w:eastAsia="仿宋" w:cs="仿宋"/>
          <w:color w:val="auto"/>
          <w:sz w:val="28"/>
          <w:szCs w:val="44"/>
          <w:highlight w:val="none"/>
        </w:rPr>
        <w:t xml:space="preserve">  </w:t>
      </w:r>
      <w:r>
        <w:rPr>
          <w:rFonts w:hint="eastAsia" w:ascii="仿宋" w:hAnsi="仿宋" w:eastAsia="仿宋" w:cs="仿宋"/>
          <w:color w:val="auto"/>
          <w:sz w:val="28"/>
          <w:szCs w:val="44"/>
          <w:highlight w:val="none"/>
        </w:rPr>
        <w:tab/>
      </w:r>
      <w:r>
        <w:rPr>
          <w:rFonts w:hint="eastAsia" w:ascii="仿宋" w:hAnsi="仿宋" w:eastAsia="仿宋" w:cs="仿宋"/>
          <w:color w:val="auto"/>
          <w:sz w:val="28"/>
          <w:szCs w:val="44"/>
          <w:highlight w:val="none"/>
        </w:rPr>
        <w:t xml:space="preserve">   法定代表人（授权代表）：</w:t>
      </w:r>
    </w:p>
    <w:p w14:paraId="4BC4F3A8">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签约日期：   年   月   日</w:t>
      </w:r>
      <w:r>
        <w:rPr>
          <w:rFonts w:hint="eastAsia" w:ascii="仿宋" w:hAnsi="仿宋" w:eastAsia="仿宋" w:cs="仿宋"/>
          <w:color w:val="auto"/>
          <w:sz w:val="28"/>
          <w:szCs w:val="44"/>
          <w:highlight w:val="none"/>
        </w:rPr>
        <w:tab/>
      </w:r>
      <w:r>
        <w:rPr>
          <w:rFonts w:hint="eastAsia" w:ascii="仿宋" w:hAnsi="仿宋" w:eastAsia="仿宋" w:cs="仿宋"/>
          <w:color w:val="auto"/>
          <w:sz w:val="28"/>
          <w:szCs w:val="44"/>
          <w:highlight w:val="none"/>
        </w:rPr>
        <w:t xml:space="preserve">           签约日期：   年   月   日</w:t>
      </w:r>
    </w:p>
    <w:p w14:paraId="5915789D">
      <w:pPr>
        <w:pStyle w:val="2"/>
        <w:rPr>
          <w:rFonts w:hint="eastAsia"/>
          <w:color w:val="000000"/>
          <w:highlight w:val="none"/>
          <w:lang w:val="en-US" w:eastAsia="zh-CN"/>
        </w:rPr>
      </w:pPr>
      <w:r>
        <w:rPr>
          <w:rFonts w:hint="default" w:ascii="Times New Roman" w:hAnsi="Times New Roman" w:eastAsia="宋体" w:cs="Times New Roman"/>
          <w:kern w:val="0"/>
          <w:sz w:val="21"/>
          <w:szCs w:val="21"/>
        </w:rPr>
        <w:t xml:space="preserve"> </w:t>
      </w:r>
      <w:r>
        <w:rPr>
          <w:rFonts w:hint="eastAsia"/>
          <w:color w:val="000000"/>
          <w:highlight w:val="none"/>
          <w:lang w:val="en-US" w:eastAsia="zh-CN"/>
        </w:rPr>
        <w:t>附件A</w:t>
      </w:r>
    </w:p>
    <w:p w14:paraId="5952EB3A">
      <w:pPr>
        <w:numPr>
          <w:ilvl w:val="0"/>
          <w:numId w:val="4"/>
        </w:numPr>
        <w:ind w:left="160"/>
        <w:rPr>
          <w:rFonts w:hint="eastAsia"/>
          <w:color w:val="000000"/>
          <w:sz w:val="30"/>
          <w:szCs w:val="30"/>
          <w:highlight w:val="none"/>
          <w:lang w:val="en-US" w:eastAsia="zh-CN"/>
        </w:rPr>
      </w:pPr>
      <w:r>
        <w:rPr>
          <w:rFonts w:hint="eastAsia"/>
          <w:color w:val="000000"/>
          <w:sz w:val="30"/>
          <w:szCs w:val="30"/>
          <w:highlight w:val="none"/>
          <w:lang w:val="en-US" w:eastAsia="zh-CN"/>
        </w:rPr>
        <w:t>谈判规则与流程</w:t>
      </w:r>
    </w:p>
    <w:p w14:paraId="1348E01B">
      <w:pPr>
        <w:numPr>
          <w:ilvl w:val="0"/>
          <w:numId w:val="5"/>
        </w:numPr>
        <w:spacing w:line="600" w:lineRule="exact"/>
        <w:ind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当本项目有效供应商不足3家</w:t>
      </w:r>
      <w:r>
        <w:rPr>
          <w:rFonts w:hint="eastAsia" w:ascii="宋体" w:hAnsi="宋体" w:cs="宋体"/>
          <w:color w:val="000000"/>
          <w:sz w:val="24"/>
          <w:szCs w:val="24"/>
          <w:highlight w:val="none"/>
          <w:u w:val="none"/>
          <w:lang w:val="en-US" w:eastAsia="zh-CN"/>
        </w:rPr>
        <w:t>（有1家或2家）</w:t>
      </w:r>
      <w:r>
        <w:rPr>
          <w:rFonts w:hint="eastAsia" w:ascii="宋体" w:hAnsi="宋体" w:eastAsia="宋体" w:cs="宋体"/>
          <w:color w:val="000000"/>
          <w:sz w:val="24"/>
          <w:szCs w:val="24"/>
          <w:highlight w:val="none"/>
          <w:u w:val="none"/>
          <w:lang w:val="en-US" w:eastAsia="zh-CN"/>
        </w:rPr>
        <w:t>时，则</w:t>
      </w:r>
      <w:r>
        <w:rPr>
          <w:rFonts w:hint="eastAsia" w:ascii="宋体" w:hAnsi="宋体" w:eastAsia="宋体" w:cs="宋体"/>
          <w:color w:val="000000"/>
          <w:sz w:val="24"/>
          <w:szCs w:val="24"/>
          <w:highlight w:val="none"/>
          <w:u w:val="none"/>
        </w:rPr>
        <w:t>采用</w:t>
      </w:r>
      <w:r>
        <w:rPr>
          <w:rFonts w:hint="eastAsia" w:ascii="宋体" w:hAnsi="宋体" w:eastAsia="宋体" w:cs="宋体"/>
          <w:color w:val="000000"/>
          <w:sz w:val="24"/>
          <w:szCs w:val="24"/>
          <w:highlight w:val="none"/>
          <w:u w:val="none"/>
          <w:lang w:val="en-US" w:eastAsia="zh-CN"/>
        </w:rPr>
        <w:t>谈判</w:t>
      </w:r>
      <w:r>
        <w:rPr>
          <w:rFonts w:hint="eastAsia" w:ascii="宋体" w:hAnsi="宋体" w:eastAsia="宋体" w:cs="宋体"/>
          <w:color w:val="000000"/>
          <w:sz w:val="24"/>
          <w:szCs w:val="24"/>
          <w:highlight w:val="none"/>
          <w:u w:val="none"/>
        </w:rPr>
        <w:t>方式进行采购</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highlight w:val="none"/>
        </w:rPr>
        <w:t>谈判小组</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即本项目的评标委员会</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将根据</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文件的规定，对</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文件进行</w:t>
      </w:r>
      <w:r>
        <w:rPr>
          <w:rFonts w:hint="eastAsia" w:ascii="宋体" w:hAnsi="宋体" w:eastAsia="宋体" w:cs="宋体"/>
          <w:color w:val="000000"/>
          <w:sz w:val="24"/>
          <w:highlight w:val="none"/>
          <w:lang w:val="en-US" w:eastAsia="zh-CN"/>
        </w:rPr>
        <w:t>有效性</w:t>
      </w:r>
      <w:r>
        <w:rPr>
          <w:rFonts w:hint="eastAsia" w:ascii="宋体" w:hAnsi="宋体" w:eastAsia="宋体" w:cs="宋体"/>
          <w:color w:val="000000"/>
          <w:sz w:val="24"/>
          <w:highlight w:val="none"/>
        </w:rPr>
        <w:t>评审</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如转为谈判方式前已进行，则省略此步骤</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，具体条款详见</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文件</w:t>
      </w:r>
      <w:r>
        <w:rPr>
          <w:rFonts w:hint="eastAsia" w:ascii="宋体" w:hAnsi="宋体" w:cs="宋体"/>
          <w:color w:val="000000"/>
          <w:sz w:val="24"/>
          <w:highlight w:val="none"/>
          <w:lang w:val="en-US" w:eastAsia="zh-CN"/>
        </w:rPr>
        <w:t>要求</w:t>
      </w:r>
      <w:r>
        <w:rPr>
          <w:rFonts w:hint="eastAsia" w:ascii="宋体" w:hAnsi="宋体" w:eastAsia="宋体" w:cs="宋体"/>
          <w:color w:val="000000"/>
          <w:sz w:val="24"/>
          <w:highlight w:val="none"/>
        </w:rPr>
        <w:t>。只有全部满足</w:t>
      </w:r>
      <w:r>
        <w:rPr>
          <w:rFonts w:hint="eastAsia" w:ascii="宋体" w:hAnsi="宋体" w:cs="宋体"/>
          <w:color w:val="000000"/>
          <w:sz w:val="24"/>
          <w:highlight w:val="none"/>
          <w:lang w:val="en-US" w:eastAsia="zh-CN"/>
        </w:rPr>
        <w:t>采购文件</w:t>
      </w:r>
      <w:r>
        <w:rPr>
          <w:rFonts w:hint="eastAsia" w:ascii="宋体" w:hAnsi="宋体" w:eastAsia="宋体" w:cs="宋体"/>
          <w:color w:val="000000"/>
          <w:sz w:val="24"/>
          <w:highlight w:val="none"/>
        </w:rPr>
        <w:t>所列各项要求的投标才是有效投标</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对投标有效性认定意见不一致的，谈判小组按照少数服从多数的原则确定。</w:t>
      </w:r>
    </w:p>
    <w:p w14:paraId="48942B54">
      <w:pPr>
        <w:numPr>
          <w:ilvl w:val="0"/>
          <w:numId w:val="5"/>
        </w:numPr>
        <w:spacing w:line="600" w:lineRule="exact"/>
        <w:ind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谈判报价共两轮</w:t>
      </w:r>
      <w:r>
        <w:rPr>
          <w:rFonts w:hint="eastAsia" w:ascii="宋体" w:hAnsi="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或多轮）</w:t>
      </w:r>
      <w:r>
        <w:rPr>
          <w:rFonts w:hint="eastAsia" w:ascii="宋体" w:hAnsi="宋体" w:eastAsia="宋体" w:cs="宋体"/>
          <w:color w:val="000000"/>
          <w:sz w:val="24"/>
          <w:szCs w:val="24"/>
          <w:highlight w:val="none"/>
          <w:u w:val="none"/>
          <w:lang w:eastAsia="zh-CN"/>
        </w:rPr>
        <w:t>报价（含唱标报价）,</w:t>
      </w:r>
      <w:r>
        <w:rPr>
          <w:rFonts w:hint="eastAsia" w:ascii="宋体" w:hAnsi="宋体" w:cs="宋体"/>
          <w:color w:val="000000"/>
          <w:sz w:val="24"/>
          <w:szCs w:val="24"/>
          <w:highlight w:val="none"/>
          <w:u w:val="none"/>
          <w:lang w:val="en-US" w:eastAsia="zh-CN"/>
        </w:rPr>
        <w:t>其中第一次报价为本项目截止时间前投标单位递交的投标报价，第二次报价为谈判后的最终报价。</w:t>
      </w:r>
      <w:r>
        <w:rPr>
          <w:rFonts w:hint="eastAsia" w:ascii="宋体" w:hAnsi="宋体" w:eastAsia="宋体" w:cs="宋体"/>
          <w:color w:val="000000"/>
          <w:sz w:val="24"/>
          <w:szCs w:val="24"/>
          <w:highlight w:val="none"/>
          <w:u w:val="none"/>
        </w:rPr>
        <w:t>谈判小组应</w:t>
      </w:r>
      <w:r>
        <w:rPr>
          <w:rFonts w:hint="eastAsia" w:ascii="宋体" w:hAnsi="宋体" w:eastAsia="宋体" w:cs="宋体"/>
          <w:color w:val="000000"/>
          <w:sz w:val="24"/>
          <w:highlight w:val="none"/>
        </w:rPr>
        <w:t>当集中与单一</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（以</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签到顺序为准）分别进行谈判，</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szCs w:val="24"/>
          <w:highlight w:val="none"/>
          <w:u w:val="none"/>
        </w:rPr>
        <w:t>要求所有参加最后一轮谈判的</w:t>
      </w:r>
      <w:r>
        <w:rPr>
          <w:rFonts w:hint="eastAsia" w:ascii="宋体" w:hAnsi="宋体" w:eastAsia="宋体" w:cs="宋体"/>
          <w:color w:val="000000"/>
          <w:sz w:val="24"/>
          <w:szCs w:val="24"/>
          <w:highlight w:val="none"/>
          <w:u w:val="none"/>
          <w:lang w:val="en-US" w:eastAsia="zh-CN"/>
        </w:rPr>
        <w:t>供应商</w:t>
      </w:r>
      <w:r>
        <w:rPr>
          <w:rFonts w:hint="eastAsia" w:ascii="宋体" w:hAnsi="宋体" w:eastAsia="宋体" w:cs="宋体"/>
          <w:color w:val="000000"/>
          <w:sz w:val="24"/>
          <w:szCs w:val="24"/>
          <w:highlight w:val="none"/>
          <w:u w:val="none"/>
        </w:rPr>
        <w:t>在规定的统一截止时间前提交最终密封报价。</w:t>
      </w:r>
      <w:r>
        <w:rPr>
          <w:rFonts w:hint="eastAsia" w:ascii="宋体" w:hAnsi="宋体" w:eastAsia="宋体" w:cs="宋体"/>
          <w:color w:val="000000"/>
          <w:sz w:val="24"/>
          <w:highlight w:val="none"/>
        </w:rPr>
        <w:t>如在谈判中谈判小组没有对谈判文件作实质性变动增加新的需求，最后报价不得高于上一次报价，否则该</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不被推荐为</w:t>
      </w:r>
      <w:r>
        <w:rPr>
          <w:rFonts w:hint="eastAsia" w:ascii="宋体" w:hAnsi="宋体" w:eastAsia="宋体" w:cs="宋体"/>
          <w:color w:val="000000"/>
          <w:sz w:val="24"/>
          <w:szCs w:val="24"/>
          <w:highlight w:val="none"/>
          <w:u w:val="none"/>
        </w:rPr>
        <w:t>候选供应商</w:t>
      </w:r>
      <w:r>
        <w:rPr>
          <w:rFonts w:hint="eastAsia" w:ascii="宋体" w:hAnsi="宋体" w:eastAsia="宋体" w:cs="宋体"/>
          <w:color w:val="000000"/>
          <w:sz w:val="24"/>
          <w:highlight w:val="none"/>
        </w:rPr>
        <w:t>。</w:t>
      </w:r>
    </w:p>
    <w:p w14:paraId="4FA4FC9F">
      <w:pPr>
        <w:spacing w:line="600" w:lineRule="exact"/>
        <w:ind w:firstLine="480" w:firstLineChars="200"/>
        <w:rPr>
          <w:rFonts w:hint="eastAsia" w:ascii="宋体" w:hAnsi="宋体" w:eastAsia="宋体" w:cs="宋体"/>
          <w:color w:val="000000"/>
          <w:sz w:val="24"/>
          <w:szCs w:val="24"/>
          <w:highlight w:val="none"/>
          <w:u w:val="none"/>
        </w:rPr>
      </w:pPr>
      <w:r>
        <w:rPr>
          <w:rFonts w:hint="eastAsia" w:ascii="宋体" w:hAnsi="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rPr>
        <w:t>谈判文件有实质性变动的，谈判小组应以书面形式通知所有参加谈判的</w:t>
      </w:r>
      <w:r>
        <w:rPr>
          <w:rFonts w:hint="eastAsia" w:ascii="宋体" w:hAnsi="宋体" w:eastAsia="宋体" w:cs="宋体"/>
          <w:color w:val="000000"/>
          <w:sz w:val="24"/>
          <w:szCs w:val="24"/>
          <w:highlight w:val="none"/>
          <w:u w:val="none"/>
          <w:lang w:val="en-US" w:eastAsia="zh-CN"/>
        </w:rPr>
        <w:t>供应商</w:t>
      </w:r>
      <w:r>
        <w:rPr>
          <w:rFonts w:hint="eastAsia" w:ascii="宋体" w:hAnsi="宋体" w:eastAsia="宋体" w:cs="宋体"/>
          <w:color w:val="000000"/>
          <w:sz w:val="24"/>
          <w:szCs w:val="24"/>
          <w:highlight w:val="none"/>
          <w:u w:val="none"/>
        </w:rPr>
        <w:t>。供应商应当按照采购文件的变动情况和谈判小组的要求重新提交响应文件（或补充书面材料），并由其法定代表人或授权代表签字或者加盖公章。</w:t>
      </w:r>
    </w:p>
    <w:p w14:paraId="6323ECFB">
      <w:pPr>
        <w:spacing w:line="600" w:lineRule="exact"/>
        <w:ind w:firstLine="480" w:firstLineChars="200"/>
      </w:pPr>
      <w:r>
        <w:rPr>
          <w:rFonts w:hint="eastAsia" w:ascii="宋体" w:hAnsi="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rPr>
        <w:t>经谈判确定最终采购需求和提交最后报价的供应商后，谈判小组应当根据符合采购需求、质量和服务均能满足招标文件实质性响应要求的原则推荐成交候选人。谈判供应商为2家的，最终报价最低的推荐为第一成交候选人，次低的推荐为第二成交候选人；如出现两个或以上的相同最低价，</w:t>
      </w:r>
      <w:r>
        <w:rPr>
          <w:rFonts w:hint="eastAsia" w:ascii="宋体" w:hAnsi="宋体" w:cs="宋体"/>
          <w:color w:val="000000"/>
          <w:sz w:val="24"/>
          <w:szCs w:val="24"/>
          <w:highlight w:val="none"/>
          <w:u w:val="none"/>
          <w:lang w:val="en-US" w:eastAsia="zh-CN"/>
        </w:rPr>
        <w:t>则继续进行下一轮谈判</w:t>
      </w:r>
      <w:r>
        <w:rPr>
          <w:rFonts w:hint="eastAsia" w:ascii="宋体" w:hAnsi="宋体" w:eastAsia="宋体" w:cs="宋体"/>
          <w:color w:val="000000"/>
          <w:sz w:val="24"/>
          <w:szCs w:val="24"/>
          <w:highlight w:val="none"/>
          <w:u w:val="none"/>
        </w:rPr>
        <w:t>，以此类推，直至出现唯一最低价为止，最低价者中标。</w:t>
      </w:r>
    </w:p>
    <w:p w14:paraId="00494D87">
      <w:pPr>
        <w:shd w:val="clear" w:color="auto" w:fill="auto"/>
        <w:jc w:val="left"/>
        <w:rPr>
          <w:rFonts w:hint="eastAsia" w:ascii="仿宋" w:hAnsi="仿宋" w:eastAsia="仿宋" w:cs="仿宋"/>
          <w:highlight w:val="none"/>
        </w:rPr>
      </w:pPr>
    </w:p>
    <w:sectPr>
      <w:headerReference r:id="rId3" w:type="default"/>
      <w:footerReference r:id="rId4" w:type="default"/>
      <w:pgSz w:w="11907" w:h="16840"/>
      <w:pgMar w:top="1531" w:right="1588" w:bottom="1418" w:left="1418" w:header="851"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CFA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9ADA0">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19ADA0">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566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0"/>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0E4E10CF"/>
    <w:multiLevelType w:val="singleLevel"/>
    <w:tmpl w:val="0E4E10CF"/>
    <w:lvl w:ilvl="0" w:tentative="0">
      <w:start w:val="1"/>
      <w:numFmt w:val="chineseCounting"/>
      <w:suff w:val="nothing"/>
      <w:lvlText w:val="%1、"/>
      <w:lvlJc w:val="left"/>
      <w:pPr>
        <w:ind w:left="160" w:firstLine="0"/>
      </w:pPr>
      <w:rPr>
        <w:rFonts w:hint="eastAsia"/>
      </w:rPr>
    </w:lvl>
  </w:abstractNum>
  <w:abstractNum w:abstractNumId="2">
    <w:nsid w:val="5AD22714"/>
    <w:multiLevelType w:val="singleLevel"/>
    <w:tmpl w:val="5AD22714"/>
    <w:lvl w:ilvl="0" w:tentative="0">
      <w:start w:val="1"/>
      <w:numFmt w:val="decimal"/>
      <w:suff w:val="nothing"/>
      <w:lvlText w:val="%1、"/>
      <w:lvlJc w:val="left"/>
    </w:lvl>
  </w:abstractNum>
  <w:abstractNum w:abstractNumId="3">
    <w:nsid w:val="6099A159"/>
    <w:multiLevelType w:val="singleLevel"/>
    <w:tmpl w:val="6099A159"/>
    <w:lvl w:ilvl="0" w:tentative="0">
      <w:start w:val="1"/>
      <w:numFmt w:val="decimal"/>
      <w:suff w:val="nothing"/>
      <w:lvlText w:val="%1、"/>
      <w:lvlJc w:val="left"/>
      <w:rPr>
        <w:rFonts w:cs="Times New Roman"/>
      </w:rPr>
    </w:lvl>
  </w:abstractNum>
  <w:abstractNum w:abstractNumId="4">
    <w:nsid w:val="68B40337"/>
    <w:multiLevelType w:val="multilevel"/>
    <w:tmpl w:val="68B40337"/>
    <w:lvl w:ilvl="0" w:tentative="0">
      <w:start w:val="1"/>
      <w:numFmt w:val="japaneseCounting"/>
      <w:pStyle w:val="53"/>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dit="readOnly" w:formatting="1" w:enforcement="0"/>
  <w:defaultTabStop w:val="420"/>
  <w:hyphenationZone w:val="36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NjQ0YWRiMWY4M2NiNWY5YjQ4YWI3NzFjMzFlNTIifQ=="/>
  </w:docVars>
  <w:rsids>
    <w:rsidRoot w:val="00BD5ED0"/>
    <w:rsid w:val="00005B73"/>
    <w:rsid w:val="00012BFA"/>
    <w:rsid w:val="00033C09"/>
    <w:rsid w:val="00045122"/>
    <w:rsid w:val="00045EB3"/>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679F0"/>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05D1"/>
    <w:rsid w:val="00231A8A"/>
    <w:rsid w:val="00234A4A"/>
    <w:rsid w:val="002355B4"/>
    <w:rsid w:val="00235976"/>
    <w:rsid w:val="002368CE"/>
    <w:rsid w:val="00236E54"/>
    <w:rsid w:val="00237233"/>
    <w:rsid w:val="002415A4"/>
    <w:rsid w:val="00243458"/>
    <w:rsid w:val="00244C63"/>
    <w:rsid w:val="002502B9"/>
    <w:rsid w:val="0025172C"/>
    <w:rsid w:val="00251A1B"/>
    <w:rsid w:val="002549B7"/>
    <w:rsid w:val="00254E0E"/>
    <w:rsid w:val="002555B6"/>
    <w:rsid w:val="002621CA"/>
    <w:rsid w:val="0026670C"/>
    <w:rsid w:val="00272C17"/>
    <w:rsid w:val="0027714D"/>
    <w:rsid w:val="002905F7"/>
    <w:rsid w:val="002A05DD"/>
    <w:rsid w:val="002A1D9A"/>
    <w:rsid w:val="002A1DD0"/>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37184"/>
    <w:rsid w:val="003432FF"/>
    <w:rsid w:val="003440B1"/>
    <w:rsid w:val="003467AD"/>
    <w:rsid w:val="00352F0E"/>
    <w:rsid w:val="003542F4"/>
    <w:rsid w:val="00354C22"/>
    <w:rsid w:val="00356D07"/>
    <w:rsid w:val="00361D13"/>
    <w:rsid w:val="00363811"/>
    <w:rsid w:val="003776A2"/>
    <w:rsid w:val="003815A3"/>
    <w:rsid w:val="00393456"/>
    <w:rsid w:val="00393F27"/>
    <w:rsid w:val="003965F4"/>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71B66"/>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866"/>
    <w:rsid w:val="004B1044"/>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088B"/>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B8F"/>
    <w:rsid w:val="005B7F8E"/>
    <w:rsid w:val="005C161C"/>
    <w:rsid w:val="005C320D"/>
    <w:rsid w:val="005C50F4"/>
    <w:rsid w:val="005C6227"/>
    <w:rsid w:val="005E2D48"/>
    <w:rsid w:val="005E3228"/>
    <w:rsid w:val="005F1911"/>
    <w:rsid w:val="005F3328"/>
    <w:rsid w:val="00602061"/>
    <w:rsid w:val="00605737"/>
    <w:rsid w:val="0060686C"/>
    <w:rsid w:val="00610E99"/>
    <w:rsid w:val="00611986"/>
    <w:rsid w:val="006155F4"/>
    <w:rsid w:val="00620131"/>
    <w:rsid w:val="0063300F"/>
    <w:rsid w:val="00633DF9"/>
    <w:rsid w:val="00635B18"/>
    <w:rsid w:val="00640CD1"/>
    <w:rsid w:val="00650FBF"/>
    <w:rsid w:val="0065355D"/>
    <w:rsid w:val="006778F7"/>
    <w:rsid w:val="00677B79"/>
    <w:rsid w:val="00681EC9"/>
    <w:rsid w:val="006868A7"/>
    <w:rsid w:val="006942F8"/>
    <w:rsid w:val="0069444D"/>
    <w:rsid w:val="006A260A"/>
    <w:rsid w:val="006A33C7"/>
    <w:rsid w:val="006A736D"/>
    <w:rsid w:val="006B507A"/>
    <w:rsid w:val="006C19C7"/>
    <w:rsid w:val="006C1DD0"/>
    <w:rsid w:val="006C65B6"/>
    <w:rsid w:val="006D0445"/>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40D8"/>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0550"/>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264"/>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02B2"/>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77651"/>
    <w:rsid w:val="00984E18"/>
    <w:rsid w:val="00985E72"/>
    <w:rsid w:val="0099786D"/>
    <w:rsid w:val="009A2CEC"/>
    <w:rsid w:val="009B38A1"/>
    <w:rsid w:val="009B3D46"/>
    <w:rsid w:val="009C6F7D"/>
    <w:rsid w:val="009D2A2D"/>
    <w:rsid w:val="009F03D0"/>
    <w:rsid w:val="009F05E5"/>
    <w:rsid w:val="009F34D1"/>
    <w:rsid w:val="009F67E6"/>
    <w:rsid w:val="009F7302"/>
    <w:rsid w:val="00A05F19"/>
    <w:rsid w:val="00A07214"/>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183E"/>
    <w:rsid w:val="00A63294"/>
    <w:rsid w:val="00A71EF2"/>
    <w:rsid w:val="00A72D1C"/>
    <w:rsid w:val="00A74482"/>
    <w:rsid w:val="00A74EE0"/>
    <w:rsid w:val="00A76643"/>
    <w:rsid w:val="00A7749C"/>
    <w:rsid w:val="00A7786F"/>
    <w:rsid w:val="00A861CA"/>
    <w:rsid w:val="00A87C81"/>
    <w:rsid w:val="00A93653"/>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37E50"/>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03A31"/>
    <w:rsid w:val="00C11DC8"/>
    <w:rsid w:val="00C139AD"/>
    <w:rsid w:val="00C1766C"/>
    <w:rsid w:val="00C26BEC"/>
    <w:rsid w:val="00C36E31"/>
    <w:rsid w:val="00C4146E"/>
    <w:rsid w:val="00C4375C"/>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CF7BA0"/>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5A00"/>
    <w:rsid w:val="00D76D4E"/>
    <w:rsid w:val="00D806A3"/>
    <w:rsid w:val="00D814B6"/>
    <w:rsid w:val="00D8399F"/>
    <w:rsid w:val="00D84FE2"/>
    <w:rsid w:val="00D95914"/>
    <w:rsid w:val="00DA1560"/>
    <w:rsid w:val="00DA1A8A"/>
    <w:rsid w:val="00DA5E27"/>
    <w:rsid w:val="00DA65EE"/>
    <w:rsid w:val="00DA7E5B"/>
    <w:rsid w:val="00DB0309"/>
    <w:rsid w:val="00DB5EA2"/>
    <w:rsid w:val="00DB6E4E"/>
    <w:rsid w:val="00DC5744"/>
    <w:rsid w:val="00DC619A"/>
    <w:rsid w:val="00DC7FC2"/>
    <w:rsid w:val="00DD1355"/>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2E88"/>
    <w:rsid w:val="00E144A1"/>
    <w:rsid w:val="00E21013"/>
    <w:rsid w:val="00E21941"/>
    <w:rsid w:val="00E30D18"/>
    <w:rsid w:val="00E37D03"/>
    <w:rsid w:val="00E444B2"/>
    <w:rsid w:val="00E47A51"/>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4EC4"/>
    <w:rsid w:val="00F06DF3"/>
    <w:rsid w:val="00F10281"/>
    <w:rsid w:val="00F12122"/>
    <w:rsid w:val="00F13805"/>
    <w:rsid w:val="00F15584"/>
    <w:rsid w:val="00F163D7"/>
    <w:rsid w:val="00F236A2"/>
    <w:rsid w:val="00F25AA0"/>
    <w:rsid w:val="00F27EC3"/>
    <w:rsid w:val="00F301A1"/>
    <w:rsid w:val="00F30F8C"/>
    <w:rsid w:val="00F339D0"/>
    <w:rsid w:val="00F35D52"/>
    <w:rsid w:val="00F363B7"/>
    <w:rsid w:val="00F37CA6"/>
    <w:rsid w:val="00F43489"/>
    <w:rsid w:val="00F46A70"/>
    <w:rsid w:val="00F51913"/>
    <w:rsid w:val="00F55724"/>
    <w:rsid w:val="00F608BD"/>
    <w:rsid w:val="00F666EF"/>
    <w:rsid w:val="00F67143"/>
    <w:rsid w:val="00F7194D"/>
    <w:rsid w:val="00F74868"/>
    <w:rsid w:val="00F803E4"/>
    <w:rsid w:val="00F81417"/>
    <w:rsid w:val="00F854B9"/>
    <w:rsid w:val="00F877C0"/>
    <w:rsid w:val="00F938F5"/>
    <w:rsid w:val="00F94850"/>
    <w:rsid w:val="00F94EA1"/>
    <w:rsid w:val="00F97E28"/>
    <w:rsid w:val="00FA6653"/>
    <w:rsid w:val="00FB1DFB"/>
    <w:rsid w:val="00FB50A2"/>
    <w:rsid w:val="00FB569F"/>
    <w:rsid w:val="00FB74E0"/>
    <w:rsid w:val="00FC3BFD"/>
    <w:rsid w:val="00FC7D84"/>
    <w:rsid w:val="00FD24E2"/>
    <w:rsid w:val="00FD50D4"/>
    <w:rsid w:val="00FD6E74"/>
    <w:rsid w:val="00FE0424"/>
    <w:rsid w:val="00FF2CE6"/>
    <w:rsid w:val="00FF40A5"/>
    <w:rsid w:val="00FF64ED"/>
    <w:rsid w:val="01020C12"/>
    <w:rsid w:val="013E61E2"/>
    <w:rsid w:val="01B4716E"/>
    <w:rsid w:val="022F2B2F"/>
    <w:rsid w:val="02A323F9"/>
    <w:rsid w:val="02E16000"/>
    <w:rsid w:val="035D4211"/>
    <w:rsid w:val="037D5EE3"/>
    <w:rsid w:val="03C02233"/>
    <w:rsid w:val="03C0601C"/>
    <w:rsid w:val="047F723D"/>
    <w:rsid w:val="048043FB"/>
    <w:rsid w:val="04CF6E29"/>
    <w:rsid w:val="05704DD6"/>
    <w:rsid w:val="05832708"/>
    <w:rsid w:val="059366CF"/>
    <w:rsid w:val="05D00163"/>
    <w:rsid w:val="05D0364D"/>
    <w:rsid w:val="077C34B8"/>
    <w:rsid w:val="07A209C4"/>
    <w:rsid w:val="07C4682E"/>
    <w:rsid w:val="07F43557"/>
    <w:rsid w:val="080D26DA"/>
    <w:rsid w:val="081029B2"/>
    <w:rsid w:val="08284245"/>
    <w:rsid w:val="082F07AA"/>
    <w:rsid w:val="086F1260"/>
    <w:rsid w:val="0880226D"/>
    <w:rsid w:val="089F2BDE"/>
    <w:rsid w:val="08BB2505"/>
    <w:rsid w:val="08DC6217"/>
    <w:rsid w:val="092C4503"/>
    <w:rsid w:val="099A07E1"/>
    <w:rsid w:val="09E93456"/>
    <w:rsid w:val="0A9B4FED"/>
    <w:rsid w:val="0ACF33A9"/>
    <w:rsid w:val="0B0C0A79"/>
    <w:rsid w:val="0B451F6A"/>
    <w:rsid w:val="0B8974C7"/>
    <w:rsid w:val="0C6F4C8D"/>
    <w:rsid w:val="0CE20630"/>
    <w:rsid w:val="0D0E0EB6"/>
    <w:rsid w:val="0D3012F9"/>
    <w:rsid w:val="0D4844F0"/>
    <w:rsid w:val="0D8F422F"/>
    <w:rsid w:val="0DCE1532"/>
    <w:rsid w:val="0DE142CB"/>
    <w:rsid w:val="0E4610F4"/>
    <w:rsid w:val="0EE6266B"/>
    <w:rsid w:val="0EF408D1"/>
    <w:rsid w:val="0FDC1CDC"/>
    <w:rsid w:val="10205842"/>
    <w:rsid w:val="10223C48"/>
    <w:rsid w:val="105317B9"/>
    <w:rsid w:val="110756DA"/>
    <w:rsid w:val="111D3FC9"/>
    <w:rsid w:val="11561B32"/>
    <w:rsid w:val="11675BA5"/>
    <w:rsid w:val="117A1A38"/>
    <w:rsid w:val="11D03E84"/>
    <w:rsid w:val="11EE2305"/>
    <w:rsid w:val="12115D12"/>
    <w:rsid w:val="1213007E"/>
    <w:rsid w:val="12475EA9"/>
    <w:rsid w:val="133360BD"/>
    <w:rsid w:val="146E4633"/>
    <w:rsid w:val="148C575E"/>
    <w:rsid w:val="14B00C14"/>
    <w:rsid w:val="14C139AC"/>
    <w:rsid w:val="14EA066A"/>
    <w:rsid w:val="150412EA"/>
    <w:rsid w:val="157C6CC6"/>
    <w:rsid w:val="15853531"/>
    <w:rsid w:val="15B6787F"/>
    <w:rsid w:val="16093789"/>
    <w:rsid w:val="171438BA"/>
    <w:rsid w:val="17230955"/>
    <w:rsid w:val="17EF70DB"/>
    <w:rsid w:val="182770BA"/>
    <w:rsid w:val="18592A91"/>
    <w:rsid w:val="1877480D"/>
    <w:rsid w:val="18863017"/>
    <w:rsid w:val="188A37E9"/>
    <w:rsid w:val="18951367"/>
    <w:rsid w:val="18AC6D73"/>
    <w:rsid w:val="18C67314"/>
    <w:rsid w:val="18D96653"/>
    <w:rsid w:val="19840523"/>
    <w:rsid w:val="19B4779A"/>
    <w:rsid w:val="19EA3462"/>
    <w:rsid w:val="1A2B77F4"/>
    <w:rsid w:val="1A3230AA"/>
    <w:rsid w:val="1A5204BD"/>
    <w:rsid w:val="1B4716B4"/>
    <w:rsid w:val="1BC021B0"/>
    <w:rsid w:val="1BD22841"/>
    <w:rsid w:val="1BEB799E"/>
    <w:rsid w:val="1C08419D"/>
    <w:rsid w:val="1C9C0651"/>
    <w:rsid w:val="1D4D5FFD"/>
    <w:rsid w:val="1E2B5D68"/>
    <w:rsid w:val="1EDD6FEC"/>
    <w:rsid w:val="1F3A103E"/>
    <w:rsid w:val="1F7A0970"/>
    <w:rsid w:val="1FC52931"/>
    <w:rsid w:val="209E2C67"/>
    <w:rsid w:val="213709DE"/>
    <w:rsid w:val="216F32CA"/>
    <w:rsid w:val="21F90D3B"/>
    <w:rsid w:val="22124112"/>
    <w:rsid w:val="223D21C1"/>
    <w:rsid w:val="224B54C2"/>
    <w:rsid w:val="233C22E0"/>
    <w:rsid w:val="23DC09E4"/>
    <w:rsid w:val="23F57352"/>
    <w:rsid w:val="24183FC4"/>
    <w:rsid w:val="24930F22"/>
    <w:rsid w:val="249A7996"/>
    <w:rsid w:val="25331CC9"/>
    <w:rsid w:val="254F5057"/>
    <w:rsid w:val="26146A3C"/>
    <w:rsid w:val="267E2359"/>
    <w:rsid w:val="26A97E20"/>
    <w:rsid w:val="26BB1FF1"/>
    <w:rsid w:val="26BC7CBC"/>
    <w:rsid w:val="2719462F"/>
    <w:rsid w:val="273159FB"/>
    <w:rsid w:val="27447ED5"/>
    <w:rsid w:val="275703AF"/>
    <w:rsid w:val="275F3A77"/>
    <w:rsid w:val="27EF7BD3"/>
    <w:rsid w:val="284F0253"/>
    <w:rsid w:val="28644870"/>
    <w:rsid w:val="28C90CC3"/>
    <w:rsid w:val="28FA0047"/>
    <w:rsid w:val="2A07054D"/>
    <w:rsid w:val="2A816BC9"/>
    <w:rsid w:val="2AC53C54"/>
    <w:rsid w:val="2AE949DF"/>
    <w:rsid w:val="2B3B474B"/>
    <w:rsid w:val="2B82225D"/>
    <w:rsid w:val="2B8D044E"/>
    <w:rsid w:val="2BE46021"/>
    <w:rsid w:val="2BF9199F"/>
    <w:rsid w:val="2BFB5B18"/>
    <w:rsid w:val="2C016BB8"/>
    <w:rsid w:val="2C1C5E51"/>
    <w:rsid w:val="2C2105DB"/>
    <w:rsid w:val="2CDB1527"/>
    <w:rsid w:val="2D77461B"/>
    <w:rsid w:val="2DBE0C47"/>
    <w:rsid w:val="2DCF5868"/>
    <w:rsid w:val="2E400C5F"/>
    <w:rsid w:val="2E5209E3"/>
    <w:rsid w:val="2EAE2349"/>
    <w:rsid w:val="2EB01AFE"/>
    <w:rsid w:val="3000360C"/>
    <w:rsid w:val="30155FE8"/>
    <w:rsid w:val="30592C7B"/>
    <w:rsid w:val="30D1119A"/>
    <w:rsid w:val="30F12F4C"/>
    <w:rsid w:val="3112402E"/>
    <w:rsid w:val="313D3E38"/>
    <w:rsid w:val="31576B78"/>
    <w:rsid w:val="31865A40"/>
    <w:rsid w:val="318D64E9"/>
    <w:rsid w:val="319E4C4D"/>
    <w:rsid w:val="31CB400F"/>
    <w:rsid w:val="31CD6282"/>
    <w:rsid w:val="31D411FD"/>
    <w:rsid w:val="31E531F8"/>
    <w:rsid w:val="32611BF0"/>
    <w:rsid w:val="329069AE"/>
    <w:rsid w:val="33826244"/>
    <w:rsid w:val="33A83294"/>
    <w:rsid w:val="34011E26"/>
    <w:rsid w:val="341B4D23"/>
    <w:rsid w:val="34516DAF"/>
    <w:rsid w:val="351A297A"/>
    <w:rsid w:val="359F7EC8"/>
    <w:rsid w:val="35EB29C8"/>
    <w:rsid w:val="36A81FB2"/>
    <w:rsid w:val="36D54BC9"/>
    <w:rsid w:val="3722158D"/>
    <w:rsid w:val="375E09FC"/>
    <w:rsid w:val="38525FA9"/>
    <w:rsid w:val="386C20C4"/>
    <w:rsid w:val="38812B75"/>
    <w:rsid w:val="38864C77"/>
    <w:rsid w:val="38F343C7"/>
    <w:rsid w:val="39003F1D"/>
    <w:rsid w:val="39276876"/>
    <w:rsid w:val="392B2930"/>
    <w:rsid w:val="39612ED5"/>
    <w:rsid w:val="39B11F43"/>
    <w:rsid w:val="3AC853CC"/>
    <w:rsid w:val="3B3C6B72"/>
    <w:rsid w:val="3B564F8E"/>
    <w:rsid w:val="3B9A16D9"/>
    <w:rsid w:val="3BCC3CE4"/>
    <w:rsid w:val="3C3D57E4"/>
    <w:rsid w:val="3C582CD8"/>
    <w:rsid w:val="3E094E14"/>
    <w:rsid w:val="3E2546CD"/>
    <w:rsid w:val="3E6A177E"/>
    <w:rsid w:val="3F6F1F50"/>
    <w:rsid w:val="40531C58"/>
    <w:rsid w:val="405A7E3B"/>
    <w:rsid w:val="40A24DF3"/>
    <w:rsid w:val="411023A3"/>
    <w:rsid w:val="41192D98"/>
    <w:rsid w:val="41251DF1"/>
    <w:rsid w:val="413E5CD9"/>
    <w:rsid w:val="41CA716A"/>
    <w:rsid w:val="41CC6917"/>
    <w:rsid w:val="42291FBB"/>
    <w:rsid w:val="426D68F1"/>
    <w:rsid w:val="42D207E0"/>
    <w:rsid w:val="42DF013D"/>
    <w:rsid w:val="42DF6521"/>
    <w:rsid w:val="42FC720E"/>
    <w:rsid w:val="43425F9D"/>
    <w:rsid w:val="43B83A3B"/>
    <w:rsid w:val="43D74149"/>
    <w:rsid w:val="43F465D0"/>
    <w:rsid w:val="442A053D"/>
    <w:rsid w:val="44440739"/>
    <w:rsid w:val="444B7526"/>
    <w:rsid w:val="446F65B8"/>
    <w:rsid w:val="44C737E2"/>
    <w:rsid w:val="44DF3D8B"/>
    <w:rsid w:val="44F057A6"/>
    <w:rsid w:val="45412981"/>
    <w:rsid w:val="4543393B"/>
    <w:rsid w:val="45456FB2"/>
    <w:rsid w:val="45A95346"/>
    <w:rsid w:val="45AC2B72"/>
    <w:rsid w:val="46416F41"/>
    <w:rsid w:val="46BC26E6"/>
    <w:rsid w:val="46C4203A"/>
    <w:rsid w:val="46E70FEA"/>
    <w:rsid w:val="470E29AE"/>
    <w:rsid w:val="473A59AF"/>
    <w:rsid w:val="474F5801"/>
    <w:rsid w:val="48E17FAD"/>
    <w:rsid w:val="49CB0CCD"/>
    <w:rsid w:val="4AA610D6"/>
    <w:rsid w:val="4AE2698A"/>
    <w:rsid w:val="4AEA3F49"/>
    <w:rsid w:val="4B0C055A"/>
    <w:rsid w:val="4B664B11"/>
    <w:rsid w:val="4C4F0870"/>
    <w:rsid w:val="4C7277D3"/>
    <w:rsid w:val="4C8B4A7C"/>
    <w:rsid w:val="4C8C769D"/>
    <w:rsid w:val="4CA52331"/>
    <w:rsid w:val="4CFC368B"/>
    <w:rsid w:val="4D2B7689"/>
    <w:rsid w:val="4D805671"/>
    <w:rsid w:val="4D910525"/>
    <w:rsid w:val="4DD82698"/>
    <w:rsid w:val="4E3063B0"/>
    <w:rsid w:val="4E3B1CE6"/>
    <w:rsid w:val="4E6C21D7"/>
    <w:rsid w:val="4E7D412D"/>
    <w:rsid w:val="4F015EB2"/>
    <w:rsid w:val="4F086AAF"/>
    <w:rsid w:val="4F3A75B6"/>
    <w:rsid w:val="4FCF46E5"/>
    <w:rsid w:val="50175F44"/>
    <w:rsid w:val="5069668A"/>
    <w:rsid w:val="50A83CB2"/>
    <w:rsid w:val="50AD46FB"/>
    <w:rsid w:val="512B42F2"/>
    <w:rsid w:val="517813A0"/>
    <w:rsid w:val="5179137D"/>
    <w:rsid w:val="51C5396B"/>
    <w:rsid w:val="51D74DFD"/>
    <w:rsid w:val="523E1A18"/>
    <w:rsid w:val="525C7B37"/>
    <w:rsid w:val="538E5DEC"/>
    <w:rsid w:val="53B23BCF"/>
    <w:rsid w:val="53BF368B"/>
    <w:rsid w:val="53EB5322"/>
    <w:rsid w:val="548A5822"/>
    <w:rsid w:val="55087120"/>
    <w:rsid w:val="552A7481"/>
    <w:rsid w:val="5555113B"/>
    <w:rsid w:val="55862427"/>
    <w:rsid w:val="55CB6A29"/>
    <w:rsid w:val="55FD2E92"/>
    <w:rsid w:val="562628FE"/>
    <w:rsid w:val="56D076DF"/>
    <w:rsid w:val="56E34736"/>
    <w:rsid w:val="56FB15A3"/>
    <w:rsid w:val="57031D1A"/>
    <w:rsid w:val="572500AE"/>
    <w:rsid w:val="572C3C94"/>
    <w:rsid w:val="57806BBC"/>
    <w:rsid w:val="57A5458A"/>
    <w:rsid w:val="57DF71B7"/>
    <w:rsid w:val="57E4719C"/>
    <w:rsid w:val="58684797"/>
    <w:rsid w:val="586E1095"/>
    <w:rsid w:val="587C0E65"/>
    <w:rsid w:val="588D2CB8"/>
    <w:rsid w:val="58963DA7"/>
    <w:rsid w:val="592C3305"/>
    <w:rsid w:val="596F1AED"/>
    <w:rsid w:val="59E54C88"/>
    <w:rsid w:val="5A2C7551"/>
    <w:rsid w:val="5A400720"/>
    <w:rsid w:val="5A537605"/>
    <w:rsid w:val="5AE353A3"/>
    <w:rsid w:val="5B2F5F59"/>
    <w:rsid w:val="5BB018EF"/>
    <w:rsid w:val="5C0172BD"/>
    <w:rsid w:val="5CF24153"/>
    <w:rsid w:val="5CF4139A"/>
    <w:rsid w:val="5D0559D4"/>
    <w:rsid w:val="5D662FC7"/>
    <w:rsid w:val="5D693C9C"/>
    <w:rsid w:val="5D696C0B"/>
    <w:rsid w:val="5DE973D6"/>
    <w:rsid w:val="5E126DF6"/>
    <w:rsid w:val="5E3A35CC"/>
    <w:rsid w:val="5E5169D9"/>
    <w:rsid w:val="5E8D2D21"/>
    <w:rsid w:val="5EAB7682"/>
    <w:rsid w:val="5EBD1212"/>
    <w:rsid w:val="5F1D2186"/>
    <w:rsid w:val="5FEF067B"/>
    <w:rsid w:val="606D1A33"/>
    <w:rsid w:val="60D10A25"/>
    <w:rsid w:val="60D45A6D"/>
    <w:rsid w:val="61457168"/>
    <w:rsid w:val="61743AC2"/>
    <w:rsid w:val="61FF00C2"/>
    <w:rsid w:val="623F329A"/>
    <w:rsid w:val="62695E27"/>
    <w:rsid w:val="628242DE"/>
    <w:rsid w:val="62952E2B"/>
    <w:rsid w:val="629921B3"/>
    <w:rsid w:val="634509A7"/>
    <w:rsid w:val="636127C3"/>
    <w:rsid w:val="64166749"/>
    <w:rsid w:val="64217388"/>
    <w:rsid w:val="6541100E"/>
    <w:rsid w:val="654C0BA8"/>
    <w:rsid w:val="658177D0"/>
    <w:rsid w:val="659A0030"/>
    <w:rsid w:val="659E4262"/>
    <w:rsid w:val="664352EB"/>
    <w:rsid w:val="6647254B"/>
    <w:rsid w:val="665C20B0"/>
    <w:rsid w:val="672079BD"/>
    <w:rsid w:val="672C2F24"/>
    <w:rsid w:val="67C74781"/>
    <w:rsid w:val="68341F86"/>
    <w:rsid w:val="683E7EE4"/>
    <w:rsid w:val="68A178FC"/>
    <w:rsid w:val="6916122A"/>
    <w:rsid w:val="69300582"/>
    <w:rsid w:val="69571A29"/>
    <w:rsid w:val="695902C7"/>
    <w:rsid w:val="696610E4"/>
    <w:rsid w:val="696D33AE"/>
    <w:rsid w:val="69926FF3"/>
    <w:rsid w:val="69AD24B7"/>
    <w:rsid w:val="6A7B4EF9"/>
    <w:rsid w:val="6A83721D"/>
    <w:rsid w:val="6AD47713"/>
    <w:rsid w:val="6AE21101"/>
    <w:rsid w:val="6AE9022E"/>
    <w:rsid w:val="6AF4575B"/>
    <w:rsid w:val="6B4F3B9E"/>
    <w:rsid w:val="6B8F154B"/>
    <w:rsid w:val="6BB0229D"/>
    <w:rsid w:val="6BD63153"/>
    <w:rsid w:val="6BED0B95"/>
    <w:rsid w:val="6C2A507B"/>
    <w:rsid w:val="6C4D49A8"/>
    <w:rsid w:val="6C5B55DC"/>
    <w:rsid w:val="6CAE03DD"/>
    <w:rsid w:val="6CE56E6B"/>
    <w:rsid w:val="6D032DAA"/>
    <w:rsid w:val="6D0450A0"/>
    <w:rsid w:val="6D362F0F"/>
    <w:rsid w:val="6D501E09"/>
    <w:rsid w:val="6D846BF3"/>
    <w:rsid w:val="6D8812EC"/>
    <w:rsid w:val="6DF62BB1"/>
    <w:rsid w:val="6E005A26"/>
    <w:rsid w:val="6E6329C5"/>
    <w:rsid w:val="6EE819E4"/>
    <w:rsid w:val="6EF140FA"/>
    <w:rsid w:val="6EF831AB"/>
    <w:rsid w:val="6EFF345A"/>
    <w:rsid w:val="6F0E41D6"/>
    <w:rsid w:val="6F97320C"/>
    <w:rsid w:val="6FB4540B"/>
    <w:rsid w:val="6FBB77F7"/>
    <w:rsid w:val="6FDC3CE8"/>
    <w:rsid w:val="70092FDF"/>
    <w:rsid w:val="70766740"/>
    <w:rsid w:val="70C73255"/>
    <w:rsid w:val="714B29D9"/>
    <w:rsid w:val="71610FBE"/>
    <w:rsid w:val="716E5C39"/>
    <w:rsid w:val="725008FF"/>
    <w:rsid w:val="72760778"/>
    <w:rsid w:val="731F4D1F"/>
    <w:rsid w:val="733B519B"/>
    <w:rsid w:val="7388747A"/>
    <w:rsid w:val="73CA649B"/>
    <w:rsid w:val="73DB308B"/>
    <w:rsid w:val="743104E3"/>
    <w:rsid w:val="74320C3C"/>
    <w:rsid w:val="74513162"/>
    <w:rsid w:val="74770078"/>
    <w:rsid w:val="74AD59E5"/>
    <w:rsid w:val="74D844A9"/>
    <w:rsid w:val="753035CF"/>
    <w:rsid w:val="75431AF8"/>
    <w:rsid w:val="75720099"/>
    <w:rsid w:val="757B75BC"/>
    <w:rsid w:val="76563002"/>
    <w:rsid w:val="766076C8"/>
    <w:rsid w:val="76A665D3"/>
    <w:rsid w:val="76BD312A"/>
    <w:rsid w:val="76DF65A3"/>
    <w:rsid w:val="77451A0F"/>
    <w:rsid w:val="77743816"/>
    <w:rsid w:val="78BD1F9D"/>
    <w:rsid w:val="78FC4545"/>
    <w:rsid w:val="79201CE1"/>
    <w:rsid w:val="796C2E18"/>
    <w:rsid w:val="79A46C4C"/>
    <w:rsid w:val="79B14724"/>
    <w:rsid w:val="7A8B3072"/>
    <w:rsid w:val="7B142369"/>
    <w:rsid w:val="7B2B5E5C"/>
    <w:rsid w:val="7B3E0A41"/>
    <w:rsid w:val="7BF42052"/>
    <w:rsid w:val="7C323980"/>
    <w:rsid w:val="7D8A4186"/>
    <w:rsid w:val="7E2555D1"/>
    <w:rsid w:val="7F413C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2"/>
    <w:qFormat/>
    <w:uiPriority w:val="99"/>
    <w:pPr>
      <w:keepNext/>
      <w:keepLines/>
      <w:spacing w:before="280" w:after="290" w:line="376" w:lineRule="auto"/>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4"/>
    <w:qFormat/>
    <w:uiPriority w:val="99"/>
    <w:rPr>
      <w:rFonts w:ascii="宋体"/>
      <w:sz w:val="18"/>
      <w:szCs w:val="18"/>
    </w:rPr>
  </w:style>
  <w:style w:type="paragraph" w:styleId="8">
    <w:name w:val="annotation text"/>
    <w:basedOn w:val="1"/>
    <w:link w:val="35"/>
    <w:qFormat/>
    <w:uiPriority w:val="99"/>
    <w:pPr>
      <w:jc w:val="left"/>
    </w:pPr>
  </w:style>
  <w:style w:type="paragraph" w:styleId="9">
    <w:name w:val="Body Text"/>
    <w:basedOn w:val="1"/>
    <w:next w:val="10"/>
    <w:link w:val="36"/>
    <w:qFormat/>
    <w:uiPriority w:val="99"/>
    <w:pPr>
      <w:spacing w:after="120"/>
    </w:pPr>
  </w:style>
  <w:style w:type="paragraph" w:styleId="10">
    <w:name w:val="Body Text First Indent"/>
    <w:basedOn w:val="9"/>
    <w:next w:val="11"/>
    <w:link w:val="37"/>
    <w:qFormat/>
    <w:uiPriority w:val="99"/>
    <w:pPr>
      <w:widowControl/>
      <w:ind w:firstLine="420" w:firstLineChars="100"/>
    </w:pPr>
    <w:rPr>
      <w:rFonts w:ascii="Calibri" w:hAnsi="Calibri" w:cs="宋体"/>
      <w:szCs w:val="22"/>
    </w:rPr>
  </w:style>
  <w:style w:type="paragraph" w:customStyle="1" w:styleId="11">
    <w:name w:val="样式 正文首行缩进 + 首行缩进:  1 字符"/>
    <w:basedOn w:val="1"/>
    <w:next w:val="1"/>
    <w:qFormat/>
    <w:uiPriority w:val="0"/>
    <w:pPr>
      <w:adjustRightInd w:val="0"/>
      <w:snapToGrid w:val="0"/>
      <w:spacing w:line="360" w:lineRule="auto"/>
      <w:ind w:firstLine="200" w:firstLineChars="200"/>
    </w:pPr>
    <w:rPr>
      <w:rFonts w:cs="宋体"/>
      <w:sz w:val="24"/>
      <w:szCs w:val="20"/>
    </w:rPr>
  </w:style>
  <w:style w:type="paragraph" w:styleId="12">
    <w:name w:val="Body Text Indent"/>
    <w:basedOn w:val="1"/>
    <w:next w:val="13"/>
    <w:qFormat/>
    <w:uiPriority w:val="0"/>
    <w:pPr>
      <w:autoSpaceDE/>
      <w:autoSpaceDN/>
      <w:adjustRightInd/>
      <w:ind w:left="567" w:leftChars="270"/>
      <w:jc w:val="both"/>
    </w:pPr>
    <w:rPr>
      <w:rFonts w:ascii="Times New Roman" w:hAnsi="Calibri" w:eastAsia="宋体" w:cs="Times New Roman"/>
      <w:kern w:val="2"/>
      <w:sz w:val="21"/>
      <w:szCs w:val="20"/>
    </w:rPr>
  </w:style>
  <w:style w:type="paragraph" w:styleId="13">
    <w:name w:val="envelope return"/>
    <w:basedOn w:val="1"/>
    <w:unhideWhenUsed/>
    <w:qFormat/>
    <w:uiPriority w:val="99"/>
  </w:style>
  <w:style w:type="paragraph" w:styleId="14">
    <w:name w:val="Plain Text"/>
    <w:basedOn w:val="1"/>
    <w:link w:val="38"/>
    <w:qFormat/>
    <w:uiPriority w:val="99"/>
    <w:pPr>
      <w:tabs>
        <w:tab w:val="left" w:pos="-105"/>
      </w:tabs>
      <w:spacing w:line="440" w:lineRule="exact"/>
      <w:ind w:right="-147" w:rightChars="-70"/>
      <w:outlineLvl w:val="2"/>
    </w:pPr>
    <w:rPr>
      <w:rFonts w:ascii="宋体" w:hAnsi="Courier New"/>
      <w:sz w:val="24"/>
      <w:szCs w:val="21"/>
    </w:rPr>
  </w:style>
  <w:style w:type="paragraph" w:styleId="15">
    <w:name w:val="Balloon Text"/>
    <w:basedOn w:val="1"/>
    <w:link w:val="39"/>
    <w:qFormat/>
    <w:uiPriority w:val="99"/>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9">
    <w:name w:val="toc 2"/>
    <w:basedOn w:val="1"/>
    <w:next w:val="1"/>
    <w:unhideWhenUsed/>
    <w:qFormat/>
    <w:locked/>
    <w:uiPriority w:val="39"/>
    <w:pPr>
      <w:widowControl/>
      <w:tabs>
        <w:tab w:val="left" w:pos="1134"/>
        <w:tab w:val="right" w:leader="dot" w:pos="8296"/>
      </w:tabs>
      <w:spacing w:after="100" w:line="276" w:lineRule="auto"/>
      <w:ind w:left="220"/>
      <w:jc w:val="left"/>
    </w:pPr>
    <w:rPr>
      <w:rFonts w:ascii="Calibri" w:hAnsi="Calibri" w:eastAsia="宋体" w:cs="Times New Roman"/>
      <w:kern w:val="0"/>
      <w:sz w:val="22"/>
      <w:szCs w:val="22"/>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8"/>
    <w:next w:val="8"/>
    <w:link w:val="42"/>
    <w:semiHidden/>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99"/>
    <w:rPr>
      <w:rFonts w:cs="Times New Roman"/>
      <w:color w:val="0000FF"/>
      <w:u w:val="single"/>
    </w:rPr>
  </w:style>
  <w:style w:type="character" w:styleId="28">
    <w:name w:val="annotation reference"/>
    <w:basedOn w:val="25"/>
    <w:qFormat/>
    <w:uiPriority w:val="99"/>
    <w:rPr>
      <w:rFonts w:cs="Times New Roman"/>
      <w:sz w:val="21"/>
      <w:szCs w:val="21"/>
    </w:rPr>
  </w:style>
  <w:style w:type="character" w:customStyle="1" w:styleId="29">
    <w:name w:val="标题 2 Char"/>
    <w:basedOn w:val="25"/>
    <w:link w:val="3"/>
    <w:qFormat/>
    <w:locked/>
    <w:uiPriority w:val="99"/>
    <w:rPr>
      <w:rFonts w:ascii="Cambria" w:hAnsi="Cambria" w:eastAsia="宋体" w:cs="Times New Roman"/>
      <w:b/>
      <w:bCs/>
      <w:kern w:val="2"/>
      <w:sz w:val="32"/>
      <w:szCs w:val="32"/>
    </w:rPr>
  </w:style>
  <w:style w:type="character" w:customStyle="1" w:styleId="30">
    <w:name w:val="标题 1 Char"/>
    <w:basedOn w:val="25"/>
    <w:link w:val="2"/>
    <w:qFormat/>
    <w:locked/>
    <w:uiPriority w:val="99"/>
    <w:rPr>
      <w:rFonts w:ascii="Times New Roman" w:hAnsi="Times New Roman" w:eastAsia="宋体" w:cs="Times New Roman"/>
      <w:b/>
      <w:bCs/>
      <w:kern w:val="44"/>
      <w:sz w:val="44"/>
      <w:szCs w:val="44"/>
    </w:rPr>
  </w:style>
  <w:style w:type="character" w:customStyle="1" w:styleId="31">
    <w:name w:val="标题 3 Char"/>
    <w:basedOn w:val="25"/>
    <w:link w:val="4"/>
    <w:qFormat/>
    <w:locked/>
    <w:uiPriority w:val="99"/>
    <w:rPr>
      <w:rFonts w:eastAsia="宋体" w:cs="Times New Roman"/>
      <w:b/>
      <w:sz w:val="32"/>
    </w:rPr>
  </w:style>
  <w:style w:type="character" w:customStyle="1" w:styleId="32">
    <w:name w:val="标题 4 Char"/>
    <w:basedOn w:val="25"/>
    <w:link w:val="5"/>
    <w:qFormat/>
    <w:locked/>
    <w:uiPriority w:val="99"/>
    <w:rPr>
      <w:rFonts w:ascii="Arial" w:hAnsi="Arial" w:eastAsia="黑体" w:cs="Times New Roman"/>
      <w:b/>
      <w:bCs/>
      <w:kern w:val="2"/>
      <w:sz w:val="28"/>
      <w:szCs w:val="28"/>
    </w:rPr>
  </w:style>
  <w:style w:type="character" w:customStyle="1" w:styleId="33">
    <w:name w:val="正文缩进 Char"/>
    <w:link w:val="6"/>
    <w:qFormat/>
    <w:locked/>
    <w:uiPriority w:val="99"/>
    <w:rPr>
      <w:sz w:val="24"/>
    </w:rPr>
  </w:style>
  <w:style w:type="character" w:customStyle="1" w:styleId="34">
    <w:name w:val="文档结构图 Char"/>
    <w:basedOn w:val="25"/>
    <w:link w:val="7"/>
    <w:qFormat/>
    <w:locked/>
    <w:uiPriority w:val="99"/>
    <w:rPr>
      <w:rFonts w:ascii="宋体" w:hAnsi="Times New Roman" w:eastAsia="宋体" w:cs="Times New Roman"/>
      <w:kern w:val="2"/>
      <w:sz w:val="18"/>
      <w:szCs w:val="18"/>
    </w:rPr>
  </w:style>
  <w:style w:type="character" w:customStyle="1" w:styleId="35">
    <w:name w:val="批注文字 Char"/>
    <w:basedOn w:val="25"/>
    <w:link w:val="8"/>
    <w:qFormat/>
    <w:locked/>
    <w:uiPriority w:val="99"/>
    <w:rPr>
      <w:rFonts w:ascii="Times New Roman" w:hAnsi="Times New Roman" w:cs="Times New Roman"/>
      <w:kern w:val="2"/>
      <w:sz w:val="21"/>
    </w:rPr>
  </w:style>
  <w:style w:type="character" w:customStyle="1" w:styleId="36">
    <w:name w:val="正文文本 Char"/>
    <w:basedOn w:val="25"/>
    <w:link w:val="9"/>
    <w:qFormat/>
    <w:locked/>
    <w:uiPriority w:val="99"/>
    <w:rPr>
      <w:rFonts w:ascii="Times New Roman" w:hAnsi="Times New Roman" w:eastAsia="宋体" w:cs="Times New Roman"/>
      <w:sz w:val="20"/>
      <w:szCs w:val="20"/>
    </w:rPr>
  </w:style>
  <w:style w:type="character" w:customStyle="1" w:styleId="37">
    <w:name w:val="正文首行缩进 Char"/>
    <w:basedOn w:val="36"/>
    <w:link w:val="10"/>
    <w:qFormat/>
    <w:locked/>
    <w:uiPriority w:val="99"/>
    <w:rPr>
      <w:rFonts w:ascii="Times New Roman" w:hAnsi="Times New Roman" w:eastAsia="宋体" w:cs="Times New Roman"/>
      <w:sz w:val="20"/>
      <w:szCs w:val="20"/>
    </w:rPr>
  </w:style>
  <w:style w:type="character" w:customStyle="1" w:styleId="38">
    <w:name w:val="纯文本 Char"/>
    <w:basedOn w:val="25"/>
    <w:link w:val="14"/>
    <w:qFormat/>
    <w:locked/>
    <w:uiPriority w:val="99"/>
    <w:rPr>
      <w:rFonts w:ascii="宋体" w:hAnsi="Courier New" w:eastAsia="宋体" w:cs="Times New Roman"/>
      <w:kern w:val="2"/>
      <w:sz w:val="21"/>
      <w:szCs w:val="21"/>
    </w:rPr>
  </w:style>
  <w:style w:type="character" w:customStyle="1" w:styleId="39">
    <w:name w:val="批注框文本 Char"/>
    <w:basedOn w:val="25"/>
    <w:link w:val="15"/>
    <w:qFormat/>
    <w:locked/>
    <w:uiPriority w:val="99"/>
    <w:rPr>
      <w:rFonts w:ascii="Times New Roman" w:hAnsi="Times New Roman" w:eastAsia="宋体" w:cs="Times New Roman"/>
      <w:kern w:val="2"/>
      <w:sz w:val="18"/>
      <w:szCs w:val="18"/>
    </w:rPr>
  </w:style>
  <w:style w:type="character" w:customStyle="1" w:styleId="40">
    <w:name w:val="页脚 Char"/>
    <w:basedOn w:val="25"/>
    <w:link w:val="16"/>
    <w:qFormat/>
    <w:locked/>
    <w:uiPriority w:val="99"/>
    <w:rPr>
      <w:rFonts w:ascii="Times New Roman" w:hAnsi="Times New Roman" w:eastAsia="宋体" w:cs="Times New Roman"/>
      <w:sz w:val="18"/>
      <w:szCs w:val="18"/>
    </w:rPr>
  </w:style>
  <w:style w:type="character" w:customStyle="1" w:styleId="41">
    <w:name w:val="页眉 Char"/>
    <w:basedOn w:val="25"/>
    <w:link w:val="17"/>
    <w:qFormat/>
    <w:locked/>
    <w:uiPriority w:val="99"/>
    <w:rPr>
      <w:rFonts w:ascii="Times New Roman" w:hAnsi="Times New Roman" w:eastAsia="宋体" w:cs="Times New Roman"/>
      <w:sz w:val="18"/>
      <w:szCs w:val="18"/>
    </w:rPr>
  </w:style>
  <w:style w:type="character" w:customStyle="1" w:styleId="42">
    <w:name w:val="批注主题 Char"/>
    <w:basedOn w:val="35"/>
    <w:link w:val="22"/>
    <w:semiHidden/>
    <w:qFormat/>
    <w:locked/>
    <w:uiPriority w:val="99"/>
    <w:rPr>
      <w:rFonts w:ascii="Times New Roman" w:hAnsi="Times New Roman" w:eastAsia="宋体" w:cs="Times New Roman"/>
      <w:b/>
      <w:bCs/>
      <w:kern w:val="2"/>
      <w:sz w:val="21"/>
    </w:rPr>
  </w:style>
  <w:style w:type="paragraph" w:customStyle="1" w:styleId="43">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44">
    <w:name w:val="正文缩进2格 Char"/>
    <w:link w:val="45"/>
    <w:qFormat/>
    <w:locked/>
    <w:uiPriority w:val="99"/>
    <w:rPr>
      <w:rFonts w:ascii="仿宋_GB2312" w:hAnsi="宋体" w:eastAsia="仿宋_GB2312"/>
      <w:sz w:val="31"/>
    </w:rPr>
  </w:style>
  <w:style w:type="paragraph" w:customStyle="1" w:styleId="45">
    <w:name w:val="正文缩进2格"/>
    <w:basedOn w:val="1"/>
    <w:link w:val="44"/>
    <w:qFormat/>
    <w:uiPriority w:val="99"/>
    <w:pPr>
      <w:spacing w:line="600" w:lineRule="exact"/>
      <w:ind w:firstLine="639" w:firstLineChars="206"/>
    </w:pPr>
    <w:rPr>
      <w:rFonts w:ascii="仿宋_GB2312" w:hAnsi="宋体" w:eastAsia="仿宋_GB2312"/>
      <w:kern w:val="0"/>
      <w:sz w:val="31"/>
      <w:szCs w:val="31"/>
    </w:rPr>
  </w:style>
  <w:style w:type="paragraph" w:customStyle="1" w:styleId="46">
    <w:name w:val="列出段落1"/>
    <w:basedOn w:val="1"/>
    <w:qFormat/>
    <w:uiPriority w:val="99"/>
    <w:pPr>
      <w:ind w:firstLine="420" w:firstLineChars="200"/>
    </w:pPr>
  </w:style>
  <w:style w:type="paragraph" w:customStyle="1" w:styleId="47">
    <w:name w:val="列出段落2"/>
    <w:basedOn w:val="1"/>
    <w:qFormat/>
    <w:uiPriority w:val="99"/>
    <w:pPr>
      <w:ind w:firstLine="420" w:firstLineChars="200"/>
    </w:pPr>
  </w:style>
  <w:style w:type="paragraph" w:styleId="48">
    <w:name w:val="List Paragraph"/>
    <w:basedOn w:val="1"/>
    <w:qFormat/>
    <w:uiPriority w:val="99"/>
    <w:pPr>
      <w:ind w:firstLine="420" w:firstLineChars="200"/>
    </w:pPr>
  </w:style>
  <w:style w:type="character" w:customStyle="1" w:styleId="49">
    <w:name w:val="fontstyle01"/>
    <w:basedOn w:val="25"/>
    <w:qFormat/>
    <w:uiPriority w:val="99"/>
    <w:rPr>
      <w:rFonts w:ascii="仿宋" w:hAnsi="仿宋" w:eastAsia="仿宋" w:cs="Times New Roman"/>
      <w:color w:val="000000"/>
      <w:sz w:val="28"/>
      <w:szCs w:val="28"/>
    </w:rPr>
  </w:style>
  <w:style w:type="character" w:customStyle="1" w:styleId="50">
    <w:name w:val="！正文 Char"/>
    <w:link w:val="51"/>
    <w:qFormat/>
    <w:locked/>
    <w:uiPriority w:val="99"/>
    <w:rPr>
      <w:rFonts w:ascii="Arial" w:hAnsi="Arial"/>
      <w:sz w:val="24"/>
    </w:rPr>
  </w:style>
  <w:style w:type="paragraph" w:customStyle="1" w:styleId="51">
    <w:name w:val="！正文"/>
    <w:basedOn w:val="1"/>
    <w:link w:val="50"/>
    <w:qFormat/>
    <w:uiPriority w:val="99"/>
    <w:pPr>
      <w:spacing w:line="360" w:lineRule="auto"/>
      <w:ind w:firstLine="200" w:firstLineChars="200"/>
    </w:pPr>
    <w:rPr>
      <w:rFonts w:ascii="Arial" w:hAnsi="Arial" w:eastAsia="等线"/>
      <w:kern w:val="0"/>
      <w:sz w:val="24"/>
      <w:szCs w:val="24"/>
    </w:rPr>
  </w:style>
  <w:style w:type="paragraph" w:customStyle="1" w:styleId="52">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paragraph" w:customStyle="1" w:styleId="53">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4">
    <w:name w:val="未处理的提及1"/>
    <w:basedOn w:val="25"/>
    <w:semiHidden/>
    <w:qFormat/>
    <w:uiPriority w:val="99"/>
    <w:rPr>
      <w:rFonts w:cs="Times New Roman"/>
      <w:color w:val="605E5C"/>
      <w:shd w:val="clear" w:color="auto" w:fill="E1DFDD"/>
    </w:rPr>
  </w:style>
  <w:style w:type="paragraph" w:customStyle="1" w:styleId="55">
    <w:name w:val="样式"/>
    <w:basedOn w:val="1"/>
    <w:next w:val="48"/>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标题 4 字符"/>
    <w:basedOn w:val="25"/>
    <w:semiHidden/>
    <w:qFormat/>
    <w:uiPriority w:val="99"/>
    <w:rPr>
      <w:rFonts w:ascii="Cambria" w:hAnsi="Cambria" w:eastAsia="宋体" w:cs="Times New Roman"/>
      <w:b/>
      <w:bCs/>
      <w:kern w:val="2"/>
      <w:sz w:val="28"/>
      <w:szCs w:val="28"/>
    </w:rPr>
  </w:style>
  <w:style w:type="paragraph" w:customStyle="1" w:styleId="59">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0">
    <w:name w:val="致远要点"/>
    <w:basedOn w:val="48"/>
    <w:link w:val="61"/>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1">
    <w:name w:val="致远要点 字符"/>
    <w:basedOn w:val="25"/>
    <w:link w:val="60"/>
    <w:qFormat/>
    <w:locked/>
    <w:uiPriority w:val="99"/>
    <w:rPr>
      <w:rFonts w:ascii="黑体" w:hAnsi="黑体" w:eastAsia="黑体" w:cs="宋体"/>
      <w:kern w:val="2"/>
      <w:sz w:val="22"/>
      <w:szCs w:val="22"/>
    </w:rPr>
  </w:style>
  <w:style w:type="paragraph" w:customStyle="1" w:styleId="62">
    <w:name w:val="SANGFOR_6_正文"/>
    <w:basedOn w:val="1"/>
    <w:qFormat/>
    <w:uiPriority w:val="99"/>
    <w:pPr>
      <w:spacing w:line="360" w:lineRule="auto"/>
    </w:pPr>
    <w:rPr>
      <w:szCs w:val="24"/>
    </w:rPr>
  </w:style>
  <w:style w:type="paragraph" w:customStyle="1" w:styleId="63">
    <w:name w:val="p0"/>
    <w:basedOn w:val="1"/>
    <w:qFormat/>
    <w:uiPriority w:val="0"/>
    <w:pPr>
      <w:widowControl/>
    </w:pPr>
    <w:rPr>
      <w:szCs w:val="21"/>
    </w:rPr>
  </w:style>
  <w:style w:type="paragraph" w:customStyle="1" w:styleId="64">
    <w:name w:val="首行缩进"/>
    <w:basedOn w:val="1"/>
    <w:qFormat/>
    <w:uiPriority w:val="0"/>
    <w:pPr>
      <w:ind w:firstLine="480" w:firstLineChars="200"/>
    </w:pPr>
    <w:rPr>
      <w:lang w:val="zh-CN"/>
    </w:rPr>
  </w:style>
  <w:style w:type="paragraph" w:customStyle="1" w:styleId="65">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66">
    <w:name w:val="正文2"/>
    <w:basedOn w:val="6"/>
    <w:qFormat/>
    <w:uiPriority w:val="0"/>
    <w:pPr>
      <w:ind w:firstLine="570"/>
    </w:pPr>
    <w:rPr>
      <w:rFonts w:ascii="仿宋" w:hAnsi="仿宋" w:eastAsia="仿宋" w:cs="仿宋"/>
    </w:rPr>
  </w:style>
  <w:style w:type="character" w:customStyle="1" w:styleId="67">
    <w:name w:val="charchar1"/>
    <w:basedOn w:val="25"/>
    <w:qFormat/>
    <w:uiPriority w:val="0"/>
  </w:style>
  <w:style w:type="paragraph" w:customStyle="1" w:styleId="68">
    <w:name w:val="Table Text"/>
    <w:basedOn w:val="1"/>
    <w:semiHidden/>
    <w:qFormat/>
    <w:uiPriority w:val="0"/>
    <w:rPr>
      <w:rFonts w:ascii="宋体" w:hAnsi="宋体" w:eastAsia="宋体" w:cs="宋体"/>
      <w:sz w:val="15"/>
      <w:szCs w:val="15"/>
      <w:lang w:val="en-US" w:eastAsia="en-US" w:bidi="ar-SA"/>
    </w:rPr>
  </w:style>
  <w:style w:type="table" w:customStyle="1" w:styleId="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31</Pages>
  <Words>11561</Words>
  <Characters>12228</Characters>
  <Lines>60</Lines>
  <Paragraphs>17</Paragraphs>
  <TotalTime>2</TotalTime>
  <ScaleCrop>false</ScaleCrop>
  <LinksUpToDate>false</LinksUpToDate>
  <CharactersWithSpaces>13017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2022-04-12T09:16:00Z</dcterms:created>
  <dc:creator>CBD</dc:creator>
  <cp:lastModifiedBy> wyb</cp:lastModifiedBy>
  <cp:lastPrinted>2024-04-17T06:19:00Z</cp:lastPrinted>
  <dcterms:modified xsi:type="dcterms:W3CDTF">2026-05-08T06:30:08Z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D833FA413B474144888A8EDCC015EAE2_13</vt:lpwstr>
  </property>
  <property fmtid="{D5CDD505-2E9C-101B-9397-08002B2CF9AE}" pid="4" name="KSOTemplateDocerSaveRecord">
    <vt:lpwstr>eyJoZGlkIjoiZjE4MDNlN2Y2ZjMxODAzNjY1MzNlMzE3OTE1ZTNkMGUiLCJ1c2VySWQiOiIzNzYyNjA2MjgifQ==</vt:lpwstr>
  </property>
</Properties>
</file>