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jc w:val="right"/>
        <w:rPr>
          <w:rFonts w:ascii="黑体" w:eastAsia="黑体"/>
          <w:color w:val="auto"/>
          <w:szCs w:val="21"/>
          <w:highlight w:val="none"/>
        </w:rPr>
      </w:pPr>
    </w:p>
    <w:p>
      <w:pPr>
        <w:pStyle w:val="42"/>
        <w:shd w:val="clear"/>
        <w:ind w:firstLine="400"/>
        <w:rPr>
          <w:color w:val="auto"/>
          <w:highlight w:val="none"/>
        </w:rPr>
      </w:pPr>
    </w:p>
    <w:p>
      <w:pPr>
        <w:shd w:val="clear"/>
        <w:rPr>
          <w:color w:val="auto"/>
          <w:highlight w:val="none"/>
        </w:rPr>
      </w:pPr>
    </w:p>
    <w:p>
      <w:pPr>
        <w:shd w:val="clear"/>
        <w:rPr>
          <w:rFonts w:hint="eastAsia" w:eastAsia="宋体"/>
          <w:color w:val="auto"/>
          <w:highlight w:val="none"/>
          <w:lang w:eastAsia="zh-CN"/>
        </w:rPr>
      </w:pPr>
    </w:p>
    <w:p>
      <w:pPr>
        <w:shd w:val="clear"/>
        <w:rPr>
          <w:rFonts w:hint="default" w:eastAsia="宋体"/>
          <w:color w:val="auto"/>
          <w:highlight w:val="none"/>
          <w:lang w:val="en-US" w:eastAsia="zh-CN"/>
        </w:rPr>
      </w:pPr>
      <w:r>
        <w:rPr>
          <w:rFonts w:hint="eastAsia"/>
          <w:color w:val="auto"/>
          <w:highlight w:val="none"/>
          <w:lang w:val="en-US" w:eastAsia="zh-CN"/>
        </w:rPr>
        <w:t xml:space="preserve"> </w:t>
      </w:r>
      <w:r>
        <w:rPr>
          <w:rFonts w:hint="eastAsia"/>
          <w:color w:val="auto"/>
          <w:highlight w:val="none"/>
          <w:lang w:val="en-US" w:eastAsia="zh-CN"/>
        </w:rPr>
        <w:tab/>
      </w:r>
    </w:p>
    <w:p>
      <w:pPr>
        <w:shd w:val="clea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pPr>
        <w:shd w:val="clear"/>
        <w:rPr>
          <w:color w:val="auto"/>
          <w:highlight w:val="none"/>
        </w:rPr>
      </w:pPr>
    </w:p>
    <w:p>
      <w:pPr>
        <w:pStyle w:val="2"/>
        <w:shd w:val="clear"/>
        <w:rPr>
          <w:color w:val="auto"/>
          <w:highlight w:val="none"/>
        </w:rPr>
      </w:pPr>
    </w:p>
    <w:p>
      <w:pPr>
        <w:shd w:val="clear"/>
        <w:rPr>
          <w:color w:val="auto"/>
          <w:highlight w:val="none"/>
        </w:rPr>
      </w:pPr>
    </w:p>
    <w:tbl>
      <w:tblPr>
        <w:tblStyle w:val="39"/>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95"/>
        <w:gridCol w:w="63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67" w:hRule="atLeast"/>
        </w:trPr>
        <w:tc>
          <w:tcPr>
            <w:tcW w:w="2495" w:type="dxa"/>
            <w:shd w:val="clear" w:color="auto" w:fill="auto"/>
            <w:noWrap/>
            <w:vAlign w:val="center"/>
          </w:tcPr>
          <w:p>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321" w:type="dxa"/>
            <w:shd w:val="clear" w:color="auto" w:fill="auto"/>
            <w:noWrap/>
            <w:vAlign w:val="center"/>
          </w:tcPr>
          <w:p>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嘉安达环保科技研发项目1号研发楼改造为保障性租赁住房项目窗帘采购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5" w:hRule="atLeast"/>
        </w:trPr>
        <w:tc>
          <w:tcPr>
            <w:tcW w:w="2495" w:type="dxa"/>
            <w:shd w:val="clear" w:color="auto" w:fill="auto"/>
            <w:noWrap/>
            <w:vAlign w:val="center"/>
          </w:tcPr>
          <w:p>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321" w:type="dxa"/>
            <w:shd w:val="clear" w:color="auto" w:fill="auto"/>
            <w:noWrap/>
            <w:vAlign w:val="center"/>
          </w:tcPr>
          <w:p>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AJJS-LC-05-01-02(2026)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9" w:hRule="atLeast"/>
        </w:trPr>
        <w:tc>
          <w:tcPr>
            <w:tcW w:w="2495" w:type="dxa"/>
            <w:noWrap/>
            <w:vAlign w:val="center"/>
          </w:tcPr>
          <w:p>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321" w:type="dxa"/>
            <w:noWrap/>
            <w:vAlign w:val="center"/>
          </w:tcPr>
          <w:p>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东莞市安居建设投资有限公司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49" w:hRule="atLeast"/>
        </w:trPr>
        <w:tc>
          <w:tcPr>
            <w:tcW w:w="2495" w:type="dxa"/>
            <w:noWrap/>
            <w:vAlign w:val="center"/>
          </w:tcPr>
          <w:p>
            <w:pPr>
              <w:shd w:val="clea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321" w:type="dxa"/>
            <w:noWrap/>
            <w:vAlign w:val="center"/>
          </w:tcPr>
          <w:p>
            <w:pPr>
              <w:shd w:val="clear"/>
              <w:spacing w:before="20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广西同泽工程项目管理股份有限公司</w:t>
            </w:r>
          </w:p>
        </w:tc>
      </w:tr>
    </w:tbl>
    <w:p>
      <w:pPr>
        <w:shd w:val="clear"/>
        <w:jc w:val="center"/>
        <w:rPr>
          <w:rFonts w:ascii="黑体" w:eastAsia="黑体"/>
          <w:color w:val="auto"/>
          <w:szCs w:val="21"/>
          <w:highlight w:val="none"/>
        </w:rPr>
      </w:pPr>
    </w:p>
    <w:p>
      <w:pPr>
        <w:shd w:val="clear"/>
        <w:jc w:val="center"/>
        <w:rPr>
          <w:rFonts w:ascii="黑体" w:eastAsia="黑体"/>
          <w:color w:val="auto"/>
          <w:szCs w:val="21"/>
          <w:highlight w:val="none"/>
        </w:rPr>
      </w:pPr>
    </w:p>
    <w:p>
      <w:pPr>
        <w:shd w:val="clear"/>
        <w:jc w:val="center"/>
        <w:rPr>
          <w:rFonts w:ascii="黑体" w:eastAsia="黑体"/>
          <w:color w:val="auto"/>
          <w:szCs w:val="21"/>
          <w:highlight w:val="none"/>
        </w:rPr>
      </w:pPr>
    </w:p>
    <w:p>
      <w:pPr>
        <w:pStyle w:val="42"/>
        <w:shd w:val="clear"/>
        <w:ind w:firstLine="400"/>
        <w:rPr>
          <w:color w:val="auto"/>
          <w:highlight w:val="none"/>
        </w:rPr>
      </w:pPr>
    </w:p>
    <w:p>
      <w:pPr>
        <w:shd w:val="clear"/>
        <w:jc w:val="center"/>
        <w:rPr>
          <w:rFonts w:ascii="黑体" w:eastAsia="黑体"/>
          <w:color w:val="auto"/>
          <w:szCs w:val="21"/>
          <w:highlight w:val="none"/>
        </w:rPr>
      </w:pPr>
    </w:p>
    <w:p>
      <w:pPr>
        <w:shd w:val="clear"/>
        <w:jc w:val="center"/>
        <w:rPr>
          <w:rFonts w:ascii="黑体" w:eastAsia="黑体"/>
          <w:color w:val="auto"/>
          <w:szCs w:val="21"/>
          <w:highlight w:val="none"/>
        </w:rPr>
      </w:pPr>
    </w:p>
    <w:p>
      <w:pPr>
        <w:shd w:val="clear"/>
        <w:spacing w:before="200"/>
        <w:jc w:val="center"/>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w:t>
      </w:r>
      <w:r>
        <w:rPr>
          <w:rFonts w:hint="eastAsia" w:ascii="黑体" w:hAnsi="黑体" w:eastAsia="黑体" w:cs="黑体"/>
          <w:bCs/>
          <w:color w:val="auto"/>
          <w:sz w:val="32"/>
          <w:szCs w:val="24"/>
          <w:highlight w:val="none"/>
          <w:lang w:val="en-US" w:eastAsia="zh-CN"/>
        </w:rPr>
        <w:t>26</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 xml:space="preserve"> 3 </w:t>
      </w:r>
      <w:r>
        <w:rPr>
          <w:rFonts w:hint="eastAsia" w:ascii="黑体" w:hAnsi="黑体" w:eastAsia="黑体" w:cs="黑体"/>
          <w:bCs/>
          <w:color w:val="auto"/>
          <w:sz w:val="32"/>
          <w:szCs w:val="24"/>
          <w:highlight w:val="none"/>
        </w:rPr>
        <w:t>月</w:t>
      </w:r>
    </w:p>
    <w:p>
      <w:pPr>
        <w:shd w:val="clear"/>
        <w:rPr>
          <w:color w:val="auto"/>
          <w:highlight w:val="none"/>
        </w:rPr>
        <w:sectPr>
          <w:footerReference r:id="rId5" w:type="first"/>
          <w:headerReference r:id="rId3" w:type="even"/>
          <w:footerReference r:id="rId4" w:type="even"/>
          <w:pgSz w:w="11906" w:h="16838"/>
          <w:pgMar w:top="1440" w:right="1800" w:bottom="1440" w:left="1800" w:header="708" w:footer="708" w:gutter="0"/>
          <w:pgNumType w:fmt="decimal" w:start="1"/>
          <w:cols w:space="708" w:num="1"/>
          <w:titlePg/>
          <w:docGrid w:type="lines" w:linePitch="360" w:charSpace="0"/>
        </w:sectPr>
      </w:pPr>
    </w:p>
    <w:p>
      <w:pPr>
        <w:pStyle w:val="27"/>
        <w:shd w:val="clear"/>
        <w:ind w:left="0" w:leftChars="0"/>
        <w:rPr>
          <w:b/>
          <w:bCs/>
          <w:color w:val="auto"/>
          <w:sz w:val="32"/>
          <w:szCs w:val="32"/>
          <w:highlight w:val="none"/>
        </w:rPr>
      </w:pPr>
      <w:r>
        <w:rPr>
          <w:rFonts w:hint="eastAsia"/>
          <w:b/>
          <w:bCs/>
          <w:color w:val="auto"/>
          <w:sz w:val="32"/>
          <w:szCs w:val="32"/>
          <w:highlight w:val="none"/>
        </w:rPr>
        <w:t>目</w:t>
      </w:r>
      <w:r>
        <w:rPr>
          <w:rFonts w:hint="eastAsia"/>
          <w:b/>
          <w:bCs/>
          <w:color w:val="auto"/>
          <w:sz w:val="32"/>
          <w:szCs w:val="32"/>
          <w:highlight w:val="none"/>
          <w:lang w:val="en-US" w:eastAsia="zh-CN"/>
        </w:rPr>
        <w:t xml:space="preserve"> </w:t>
      </w:r>
      <w:r>
        <w:rPr>
          <w:rFonts w:hint="eastAsia"/>
          <w:b/>
          <w:bCs/>
          <w:color w:val="auto"/>
          <w:sz w:val="32"/>
          <w:szCs w:val="32"/>
          <w:highlight w:val="none"/>
        </w:rPr>
        <w:t>录</w:t>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TOC \o "1-4" \h \z \u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_Toc9030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第一部分投标邀请</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_Toc9030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_Toc6535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投标邀请书</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_Toc6535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_Toc17610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第二部分相关资料表格</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_Toc17610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_Toc4509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附表一：投标资料表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_Toc4509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_Toc5437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附表二：商务技术评分及价格权重表（满分100分）</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_Toc5437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_Toc2624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第三部分用户需求书</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_Toc2624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_Toc12544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第一章 商务需求书</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_Toc12544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_Toc23319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第二章 技术需求书</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_Toc23319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_Toc12989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第四部分投标人须知</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_Toc12989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_Toc22334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一、 说明</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_Toc22334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_Toc8145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 适用范围</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_Toc8145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_Toc14981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 定义</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_Toc14981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_Toc2319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 货物和服务</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_Toc2319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_Toc3506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 投标费用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_Toc3506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_Toc2679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 知识产权</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_Toc2679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_Toc8650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 关于联合体投标</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_Toc8650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_Toc27102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7. 关于分支机构投标</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_Toc27102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_Toc684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8. 踏勘现场</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_Toc684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_Toc21399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二、 采购文件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_Toc21399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_Toc901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9. 采购文件的组成</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_Toc901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_Toc28058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10. 采购文件的澄清或修改</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_Toc28058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_Toc23529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三、 投标文件的编制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_Toc23529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_Toc31942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11. 投标文件的语言及度量衡单位</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_Toc31942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_Toc17033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12. 投标文件的组成</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_Toc17033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_Toc29983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13. 投标文件编制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_Toc29983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_Toc6891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14. 投标报价说明</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_Toc6891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_Toc21835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15. 投标人所提供的服务或货物的证明文件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_Toc21835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_Toc13710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16. 投标有效期</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_Toc13710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_Toc28306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17. 投标保证金</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_Toc28306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_Toc24143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四、 投标文件的递交</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_Toc24143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_Toc1574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18. 投标文件的装订，签署，密封和标记</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_Toc1574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_Toc4902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19. 迟交的投标文件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_Toc4902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_Toc24972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20. 投标样品（如需提交）</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_Toc24972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_Toc19804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21. 投标截止期</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_Toc19804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_Toc8018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22. 投标文件的补充、修改与撤回</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_Toc8018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_Toc23026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五、 开标与评标</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_Toc23026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_Toc1659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23. 开标</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_Toc1659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_Toc25048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24. 评标委员会及评标方法</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_Toc25048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_Toc2632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25. 评审原则及评标过程的保密</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_Toc2632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_Toc2325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26. 评标程序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_Toc2325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_Toc27973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27. 商务、技术、价格评审（具体评审项目详见投标资料表）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_Toc27973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_Toc1055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28. 纪律和保密事项</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_Toc1055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_Toc1476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六、 授予合同</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_Toc1476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_Toc15593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29. 合同授予标准</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_Toc15593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_Toc30510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30. 发布中标结果</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_Toc30510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_Toc11638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31. 资格后审</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_Toc11638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_Toc3787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32. 合同的签订与履行</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_Toc3787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_Toc1009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33. 履约担保</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_Toc1009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_Toc10235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34. 预付款保函（适用于预付款支付）</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_Toc10235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_Toc1180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七、 异议</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_Toc1180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_Toc23277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35. 异议</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_Toc23277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16"/>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八、 其他</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_Toc4695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36. 采购文件的解释权</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_Toc4695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_Toc10402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第五部分  合同条款格式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_Toc10402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38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_Toc18376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第六部分</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rPr>
        <w:t>投标文件格式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_Toc18376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_Toc10231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投标文件目录</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_Toc10231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_Toc25463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附件1.评分标准索引表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_Toc25463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_Toc7677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价格文件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_Toc7677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_Toc25549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附件2.开标一览表格式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_Toc25549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_Toc15588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.报价明细表格式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_Toc15588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49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_Toc20986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商务文件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_Toc20986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_Toc4570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rPr>
        <w:t>.投标书格式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_Toc4570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_Toc29767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rPr>
        <w:t>.法定代表人证明书格式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_Toc29767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_Toc18570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6</w:t>
      </w:r>
      <w:r>
        <w:rPr>
          <w:rFonts w:hint="eastAsia" w:ascii="宋体" w:hAnsi="宋体" w:eastAsia="宋体" w:cs="宋体"/>
          <w:color w:val="auto"/>
          <w:sz w:val="22"/>
          <w:szCs w:val="22"/>
          <w:highlight w:val="none"/>
        </w:rPr>
        <w:t>.法定代表人授权书格式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_Toc18570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_Toc29715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7</w:t>
      </w:r>
      <w:r>
        <w:rPr>
          <w:rFonts w:hint="eastAsia" w:ascii="宋体" w:hAnsi="宋体" w:eastAsia="宋体" w:cs="宋体"/>
          <w:color w:val="auto"/>
          <w:sz w:val="22"/>
          <w:szCs w:val="22"/>
          <w:highlight w:val="none"/>
        </w:rPr>
        <w:t>.资格申明</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_Toc29715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_Toc26545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8</w:t>
      </w:r>
      <w:r>
        <w:rPr>
          <w:rFonts w:hint="eastAsia" w:ascii="宋体" w:hAnsi="宋体" w:eastAsia="宋体" w:cs="宋体"/>
          <w:color w:val="auto"/>
          <w:sz w:val="22"/>
          <w:szCs w:val="22"/>
          <w:highlight w:val="none"/>
        </w:rPr>
        <w:t>.营业执照</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_Toc26545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_Toc7320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9</w:t>
      </w:r>
      <w:r>
        <w:rPr>
          <w:rFonts w:hint="eastAsia" w:ascii="宋体" w:hAnsi="宋体" w:eastAsia="宋体" w:cs="宋体"/>
          <w:color w:val="auto"/>
          <w:sz w:val="22"/>
          <w:szCs w:val="22"/>
          <w:highlight w:val="none"/>
        </w:rPr>
        <w:t>.相关资质证明文件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_Toc7320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_Toc14155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0</w:t>
      </w:r>
      <w:r>
        <w:rPr>
          <w:rFonts w:hint="eastAsia" w:ascii="宋体" w:hAnsi="宋体" w:eastAsia="宋体" w:cs="宋体"/>
          <w:color w:val="auto"/>
          <w:sz w:val="22"/>
          <w:szCs w:val="22"/>
          <w:highlight w:val="none"/>
        </w:rPr>
        <w:t>.在经营活动中没有重大违法记录的书面声明格式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_Toc14155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_Toc16617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.承诺书格式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_Toc16617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58</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_Toc17693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.商务需求条款偏离表格式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_Toc17693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59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_Toc2758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.业绩表</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_Toc2758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_Toc25261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4</w:t>
      </w:r>
      <w:r>
        <w:rPr>
          <w:rFonts w:hint="eastAsia" w:ascii="宋体" w:hAnsi="宋体" w:eastAsia="宋体" w:cs="宋体"/>
          <w:color w:val="auto"/>
          <w:sz w:val="22"/>
          <w:szCs w:val="22"/>
          <w:highlight w:val="none"/>
        </w:rPr>
        <w:t>.联合体协议书（如有）</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_Toc25261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_Toc16702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技术文件</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_Toc16702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63</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_Toc4075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rPr>
        <w:t>技术规格偏离表格式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_Toc4075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64</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_Toc19767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6</w:t>
      </w:r>
      <w:r>
        <w:rPr>
          <w:rFonts w:hint="eastAsia" w:ascii="宋体" w:hAnsi="宋体" w:eastAsia="宋体" w:cs="宋体"/>
          <w:color w:val="auto"/>
          <w:sz w:val="22"/>
          <w:szCs w:val="22"/>
          <w:highlight w:val="none"/>
        </w:rPr>
        <w:t>.项目实施方案格式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_Toc19767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65</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_Toc8204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17</w:t>
      </w:r>
      <w:r>
        <w:rPr>
          <w:rFonts w:hint="eastAsia" w:ascii="宋体" w:hAnsi="宋体" w:eastAsia="宋体" w:cs="宋体"/>
          <w:color w:val="auto"/>
          <w:sz w:val="22"/>
          <w:szCs w:val="22"/>
          <w:highlight w:val="none"/>
        </w:rPr>
        <w:t>.实施本项目的有关人员资料表格式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_Toc8204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66</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_Toc13135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eastAsia="宋体" w:cs="宋体"/>
          <w:color w:val="auto"/>
          <w:sz w:val="22"/>
          <w:szCs w:val="22"/>
          <w:highlight w:val="none"/>
          <w:lang w:val="en-US" w:eastAsia="zh-CN"/>
        </w:rPr>
        <w:t>8</w:t>
      </w:r>
      <w:r>
        <w:rPr>
          <w:rFonts w:hint="eastAsia" w:ascii="宋体" w:hAnsi="宋体" w:eastAsia="宋体" w:cs="宋体"/>
          <w:color w:val="auto"/>
          <w:sz w:val="22"/>
          <w:szCs w:val="22"/>
          <w:highlight w:val="none"/>
        </w:rPr>
        <w:t>.投标保证金汇入情况说明格式</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_Toc13135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67</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_Toc4720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eastAsia="宋体" w:cs="宋体"/>
          <w:color w:val="auto"/>
          <w:sz w:val="22"/>
          <w:szCs w:val="22"/>
          <w:highlight w:val="none"/>
          <w:lang w:val="en-US" w:eastAsia="zh-CN"/>
        </w:rPr>
        <w:t>19</w:t>
      </w:r>
      <w:r>
        <w:rPr>
          <w:rFonts w:hint="eastAsia" w:ascii="宋体" w:hAnsi="宋体" w:eastAsia="宋体" w:cs="宋体"/>
          <w:color w:val="auto"/>
          <w:sz w:val="22"/>
          <w:szCs w:val="22"/>
          <w:highlight w:val="none"/>
        </w:rPr>
        <w:t>.不可撤销履约保函</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_Toc4720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69</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_Toc13753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附件2</w:t>
      </w:r>
      <w:r>
        <w:rPr>
          <w:rFonts w:hint="eastAsia" w:ascii="宋体" w:hAnsi="宋体" w:eastAsia="宋体" w:cs="宋体"/>
          <w:color w:val="auto"/>
          <w:sz w:val="22"/>
          <w:szCs w:val="22"/>
          <w:highlight w:val="none"/>
          <w:lang w:val="en-US" w:eastAsia="zh-CN"/>
        </w:rPr>
        <w:t>0</w:t>
      </w:r>
      <w:r>
        <w:rPr>
          <w:rFonts w:hint="eastAsia" w:ascii="宋体" w:hAnsi="宋体" w:eastAsia="宋体" w:cs="宋体"/>
          <w:color w:val="auto"/>
          <w:sz w:val="22"/>
          <w:szCs w:val="22"/>
          <w:highlight w:val="none"/>
        </w:rPr>
        <w:t>.预付款保函（适用于预付款支付）</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_Toc13753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70</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_Toc10124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唱标信封</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_Toc10124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71</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3"/>
        <w:keepNext w:val="0"/>
        <w:keepLines w:val="0"/>
        <w:pageBreakBefore w:val="0"/>
        <w:widowControl/>
        <w:tabs>
          <w:tab w:val="right" w:leader="dot" w:pos="8306"/>
          <w:tab w:val="clear" w:pos="8296"/>
        </w:tabs>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\l _Toc9724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附件2</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.唱标信封内装（内容务必与投标文件正本一致）</w:t>
      </w:r>
      <w:r>
        <w:rPr>
          <w:rFonts w:hint="eastAsia" w:ascii="宋体" w:hAnsi="宋体" w:eastAsia="宋体" w:cs="宋体"/>
          <w:color w:val="auto"/>
          <w:sz w:val="22"/>
          <w:szCs w:val="22"/>
          <w:highlight w:val="none"/>
        </w:rPr>
        <w:tab/>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PAGEREF _Toc9724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72</w: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fldChar w:fldCharType="end"/>
      </w:r>
    </w:p>
    <w:p>
      <w:pPr>
        <w:pStyle w:val="27"/>
        <w:keepNext w:val="0"/>
        <w:keepLines w:val="0"/>
        <w:pageBreakBefore w:val="0"/>
        <w:widowControl/>
        <w:shd w:val="clear"/>
        <w:tabs>
          <w:tab w:val="right" w:leader="dot" w:pos="8306"/>
          <w:tab w:val="clear" w:pos="8296"/>
        </w:tabs>
        <w:kinsoku/>
        <w:wordWrap/>
        <w:overflowPunct/>
        <w:topLinePunct w:val="0"/>
        <w:autoSpaceDE/>
        <w:autoSpaceDN/>
        <w:bidi w:val="0"/>
        <w:adjustRightInd w:val="0"/>
        <w:snapToGrid w:val="0"/>
        <w:spacing w:line="360" w:lineRule="auto"/>
        <w:ind w:left="0" w:leftChars="0"/>
        <w:textAlignment w:val="auto"/>
        <w:rPr>
          <w:rFonts w:cs="宋体"/>
          <w:color w:val="auto"/>
          <w:sz w:val="21"/>
          <w:szCs w:val="21"/>
          <w:highlight w:val="none"/>
        </w:rPr>
      </w:pPr>
      <w:r>
        <w:rPr>
          <w:rFonts w:hint="eastAsia" w:ascii="宋体" w:hAnsi="宋体" w:eastAsia="宋体" w:cs="宋体"/>
          <w:color w:val="auto"/>
          <w:sz w:val="22"/>
          <w:szCs w:val="22"/>
          <w:highlight w:val="none"/>
        </w:rPr>
        <w:fldChar w:fldCharType="end"/>
      </w:r>
    </w:p>
    <w:p>
      <w:pPr>
        <w:shd w:val="clear"/>
        <w:rPr>
          <w:rFonts w:ascii="宋体" w:hAnsi="宋体" w:cs="宋体"/>
          <w:color w:val="auto"/>
          <w:szCs w:val="21"/>
          <w:highlight w:val="none"/>
        </w:rPr>
      </w:pPr>
      <w:r>
        <w:rPr>
          <w:rFonts w:hint="eastAsia" w:ascii="宋体" w:hAnsi="宋体" w:cs="宋体"/>
          <w:color w:val="auto"/>
          <w:szCs w:val="21"/>
          <w:highlight w:val="none"/>
        </w:rPr>
        <w:br w:type="page"/>
      </w:r>
      <w:bookmarkStart w:id="171" w:name="_GoBack"/>
      <w:bookmarkEnd w:id="171"/>
    </w:p>
    <w:p>
      <w:pPr>
        <w:pStyle w:val="6"/>
        <w:shd w:val="clear"/>
        <w:spacing w:before="0" w:after="0" w:line="240" w:lineRule="auto"/>
        <w:rPr>
          <w:color w:val="auto"/>
          <w:sz w:val="28"/>
          <w:szCs w:val="28"/>
          <w:highlight w:val="none"/>
        </w:rPr>
      </w:pPr>
      <w:bookmarkStart w:id="0" w:name="_Toc9030"/>
      <w:r>
        <w:rPr>
          <w:rFonts w:hint="eastAsia"/>
          <w:color w:val="auto"/>
          <w:sz w:val="28"/>
          <w:szCs w:val="28"/>
          <w:highlight w:val="none"/>
        </w:rPr>
        <w:t>第一部分投标邀请</w:t>
      </w:r>
      <w:bookmarkEnd w:id="0"/>
    </w:p>
    <w:p>
      <w:pPr>
        <w:pStyle w:val="7"/>
        <w:shd w:val="clear"/>
        <w:spacing w:before="0" w:after="0" w:line="360" w:lineRule="auto"/>
        <w:jc w:val="center"/>
        <w:rPr>
          <w:rFonts w:ascii="宋体" w:hAnsi="宋体" w:cs="宋体"/>
          <w:color w:val="auto"/>
          <w:highlight w:val="none"/>
        </w:rPr>
      </w:pPr>
      <w:bookmarkStart w:id="1" w:name="_Toc6535"/>
      <w:r>
        <w:rPr>
          <w:rFonts w:hint="eastAsia" w:ascii="宋体" w:hAnsi="宋体" w:cs="宋体"/>
          <w:color w:val="auto"/>
          <w:highlight w:val="none"/>
        </w:rPr>
        <w:t>投标邀请书</w:t>
      </w:r>
      <w:bookmarkEnd w:id="1"/>
    </w:p>
    <w:p>
      <w:pPr>
        <w:shd w:val="clear"/>
        <w:ind w:firstLine="422" w:firstLineChars="200"/>
        <w:rPr>
          <w:rFonts w:ascii="宋体" w:hAnsi="宋体"/>
          <w:color w:val="auto"/>
          <w:szCs w:val="21"/>
          <w:highlight w:val="none"/>
        </w:rPr>
      </w:pPr>
      <w:r>
        <w:rPr>
          <w:rFonts w:hint="eastAsia" w:ascii="宋体" w:hAnsi="宋体"/>
          <w:b/>
          <w:bCs/>
          <w:color w:val="auto"/>
          <w:szCs w:val="21"/>
          <w:highlight w:val="none"/>
          <w:u w:val="single"/>
          <w:lang w:eastAsia="zh-CN"/>
        </w:rPr>
        <w:t>广西同</w:t>
      </w:r>
      <w:r>
        <w:rPr>
          <w:rFonts w:hint="eastAsia" w:ascii="宋体" w:hAnsi="宋体"/>
          <w:b/>
          <w:bCs/>
          <w:color w:val="auto"/>
          <w:szCs w:val="21"/>
          <w:highlight w:val="none"/>
          <w:u w:val="single"/>
          <w:shd w:val="clear"/>
          <w:lang w:eastAsia="zh-CN"/>
        </w:rPr>
        <w:t>泽工程项目管理股份有限公司</w:t>
      </w:r>
      <w:r>
        <w:rPr>
          <w:rFonts w:ascii="宋体" w:hAnsi="宋体"/>
          <w:color w:val="auto"/>
          <w:szCs w:val="21"/>
          <w:highlight w:val="none"/>
          <w:shd w:val="clear"/>
        </w:rPr>
        <w:t>（以下简称</w:t>
      </w:r>
      <w:r>
        <w:rPr>
          <w:rFonts w:hint="eastAsia" w:ascii="宋体" w:hAnsi="宋体"/>
          <w:color w:val="auto"/>
          <w:szCs w:val="21"/>
          <w:highlight w:val="none"/>
          <w:shd w:val="clear"/>
        </w:rPr>
        <w:t>“采购代理机构”</w:t>
      </w:r>
      <w:r>
        <w:rPr>
          <w:rFonts w:ascii="宋体" w:hAnsi="宋体"/>
          <w:color w:val="auto"/>
          <w:szCs w:val="21"/>
          <w:highlight w:val="none"/>
          <w:shd w:val="clear"/>
        </w:rPr>
        <w:t>）受</w:t>
      </w:r>
      <w:r>
        <w:rPr>
          <w:rFonts w:hint="eastAsia" w:ascii="宋体" w:hAnsi="宋体"/>
          <w:b/>
          <w:color w:val="auto"/>
          <w:szCs w:val="21"/>
          <w:highlight w:val="none"/>
          <w:u w:val="single"/>
          <w:shd w:val="clear"/>
          <w:lang w:eastAsia="zh-CN"/>
        </w:rPr>
        <w:t>东莞市安居建设投资有限公司</w:t>
      </w:r>
      <w:r>
        <w:rPr>
          <w:rFonts w:ascii="宋体" w:hAnsi="宋体"/>
          <w:color w:val="auto"/>
          <w:szCs w:val="21"/>
          <w:highlight w:val="none"/>
          <w:shd w:val="clear"/>
        </w:rPr>
        <w:t>（以下简称</w:t>
      </w:r>
      <w:r>
        <w:rPr>
          <w:rFonts w:hint="eastAsia" w:ascii="宋体" w:hAnsi="宋体"/>
          <w:color w:val="auto"/>
          <w:szCs w:val="21"/>
          <w:highlight w:val="none"/>
          <w:shd w:val="clear"/>
        </w:rPr>
        <w:t>“采购人”</w:t>
      </w:r>
      <w:r>
        <w:rPr>
          <w:rFonts w:ascii="宋体" w:hAnsi="宋体"/>
          <w:color w:val="auto"/>
          <w:szCs w:val="21"/>
          <w:highlight w:val="none"/>
          <w:shd w:val="clear"/>
        </w:rPr>
        <w:t>）委托，</w:t>
      </w:r>
      <w:r>
        <w:rPr>
          <w:rFonts w:hint="eastAsia" w:ascii="宋体" w:hAnsi="宋体"/>
          <w:color w:val="auto"/>
          <w:szCs w:val="21"/>
          <w:highlight w:val="none"/>
          <w:shd w:val="clear"/>
        </w:rPr>
        <w:t>现</w:t>
      </w:r>
      <w:r>
        <w:rPr>
          <w:rFonts w:ascii="宋体" w:hAnsi="宋体"/>
          <w:color w:val="auto"/>
          <w:szCs w:val="21"/>
          <w:highlight w:val="none"/>
          <w:shd w:val="clear"/>
        </w:rPr>
        <w:t>就</w:t>
      </w:r>
      <w:r>
        <w:rPr>
          <w:rFonts w:hint="eastAsia" w:ascii="宋体" w:hAnsi="宋体"/>
          <w:b/>
          <w:color w:val="auto"/>
          <w:szCs w:val="21"/>
          <w:highlight w:val="none"/>
          <w:u w:val="single"/>
          <w:shd w:val="clear"/>
          <w:lang w:eastAsia="zh-CN"/>
        </w:rPr>
        <w:t>嘉安达环保科技研发项目1号研发楼改造为保障性租赁住房项目窗帘采购</w:t>
      </w:r>
      <w:r>
        <w:rPr>
          <w:rFonts w:hint="eastAsia" w:ascii="宋体" w:hAnsi="宋体"/>
          <w:color w:val="auto"/>
          <w:szCs w:val="21"/>
          <w:highlight w:val="none"/>
          <w:shd w:val="clear"/>
        </w:rPr>
        <w:t>（项目编号：</w:t>
      </w:r>
      <w:r>
        <w:rPr>
          <w:rFonts w:hint="eastAsia" w:ascii="宋体" w:hAnsi="宋体"/>
          <w:b/>
          <w:bCs/>
          <w:color w:val="auto"/>
          <w:szCs w:val="21"/>
          <w:highlight w:val="none"/>
          <w:shd w:val="clear"/>
          <w:lang w:val="en-US" w:eastAsia="zh-CN"/>
        </w:rPr>
        <w:t xml:space="preserve">AJJS-LC-05-01-02(2026) </w:t>
      </w:r>
      <w:r>
        <w:rPr>
          <w:rFonts w:hint="eastAsia" w:ascii="宋体" w:hAnsi="宋体"/>
          <w:color w:val="auto"/>
          <w:szCs w:val="21"/>
          <w:highlight w:val="none"/>
          <w:shd w:val="clear"/>
        </w:rPr>
        <w:t>）</w:t>
      </w:r>
      <w:r>
        <w:rPr>
          <w:rFonts w:hint="eastAsia" w:ascii="宋体" w:hAnsi="宋体" w:cs="Times New Roman"/>
          <w:color w:val="auto"/>
          <w:szCs w:val="21"/>
          <w:highlight w:val="none"/>
          <w:shd w:val="clear"/>
        </w:rPr>
        <w:t>进行</w:t>
      </w:r>
      <w:r>
        <w:rPr>
          <w:rFonts w:hint="eastAsia" w:ascii="宋体" w:hAnsi="宋体" w:cs="Times New Roman"/>
          <w:color w:val="auto"/>
          <w:szCs w:val="21"/>
          <w:highlight w:val="none"/>
        </w:rPr>
        <w:t>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pPr>
        <w:shd w:val="clear"/>
        <w:ind w:firstLine="413" w:firstLineChars="196"/>
        <w:rPr>
          <w:rFonts w:ascii="宋体" w:hAnsi="宋体"/>
          <w:b/>
          <w:color w:val="auto"/>
          <w:szCs w:val="21"/>
          <w:highlight w:val="none"/>
        </w:rPr>
      </w:pPr>
    </w:p>
    <w:p>
      <w:pPr>
        <w:shd w:val="clear"/>
        <w:rPr>
          <w:rFonts w:ascii="宋体" w:hAnsi="宋体"/>
          <w:b/>
          <w:color w:val="auto"/>
          <w:szCs w:val="21"/>
          <w:highlight w:val="none"/>
        </w:rPr>
      </w:pPr>
      <w:r>
        <w:rPr>
          <w:rFonts w:hint="eastAsia" w:ascii="宋体" w:hAnsi="宋体"/>
          <w:b/>
          <w:color w:val="auto"/>
          <w:szCs w:val="21"/>
          <w:highlight w:val="none"/>
        </w:rPr>
        <w:t>一、采购项目概况</w:t>
      </w:r>
    </w:p>
    <w:p>
      <w:pPr>
        <w:shd w:val="clear"/>
        <w:ind w:firstLine="420" w:firstLineChars="200"/>
        <w:rPr>
          <w:rFonts w:hint="eastAsia" w:ascii="宋体" w:hAnsi="宋体" w:eastAsia="宋体"/>
          <w:color w:val="auto"/>
          <w:szCs w:val="21"/>
          <w:highlight w:val="none"/>
          <w:lang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b/>
          <w:color w:val="auto"/>
          <w:szCs w:val="21"/>
          <w:highlight w:val="none"/>
          <w:u w:val="single"/>
          <w:lang w:eastAsia="zh-CN"/>
        </w:rPr>
        <w:t>嘉安达环保科技研发项目1号研发楼改造为保障性租赁住房项目窗帘采购</w:t>
      </w:r>
    </w:p>
    <w:p>
      <w:pPr>
        <w:shd w:val="clear"/>
        <w:ind w:firstLine="420" w:firstLineChars="200"/>
        <w:rPr>
          <w:rFonts w:hint="default" w:ascii="宋体" w:hAnsi="宋体"/>
          <w:color w:val="auto"/>
          <w:szCs w:val="21"/>
          <w:highlight w:val="none"/>
          <w:lang w:val="en-US"/>
        </w:rPr>
      </w:pPr>
      <w:r>
        <w:rPr>
          <w:rFonts w:hint="eastAsia" w:ascii="宋体" w:hAnsi="宋体"/>
          <w:color w:val="auto"/>
          <w:szCs w:val="21"/>
          <w:highlight w:val="none"/>
        </w:rPr>
        <w:t>2、</w:t>
      </w:r>
      <w:r>
        <w:rPr>
          <w:rFonts w:ascii="宋体" w:hAnsi="宋体"/>
          <w:color w:val="auto"/>
          <w:szCs w:val="21"/>
          <w:highlight w:val="none"/>
        </w:rPr>
        <w:t>预算金额（</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w:t>
      </w:r>
      <w:r>
        <w:rPr>
          <w:rFonts w:hint="eastAsia" w:ascii="宋体" w:hAnsi="宋体"/>
          <w:color w:val="auto"/>
          <w:szCs w:val="21"/>
          <w:highlight w:val="none"/>
          <w:u w:val="single"/>
        </w:rPr>
        <w:t>¥448</w:t>
      </w:r>
      <w:r>
        <w:rPr>
          <w:rFonts w:hint="eastAsia" w:ascii="宋体" w:hAnsi="宋体"/>
          <w:color w:val="auto"/>
          <w:szCs w:val="21"/>
          <w:highlight w:val="none"/>
          <w:u w:val="single"/>
          <w:lang w:val="en-US" w:eastAsia="zh-CN"/>
        </w:rPr>
        <w:t>,</w:t>
      </w:r>
      <w:r>
        <w:rPr>
          <w:rFonts w:hint="eastAsia" w:ascii="宋体" w:hAnsi="宋体"/>
          <w:color w:val="auto"/>
          <w:szCs w:val="21"/>
          <w:highlight w:val="none"/>
          <w:u w:val="single"/>
        </w:rPr>
        <w:t>742.40元</w:t>
      </w: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3、最高</w:t>
      </w:r>
      <w:r>
        <w:rPr>
          <w:rFonts w:ascii="宋体" w:hAnsi="宋体"/>
          <w:color w:val="auto"/>
          <w:szCs w:val="21"/>
          <w:highlight w:val="none"/>
        </w:rPr>
        <w:t>限价</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u w:val="single"/>
        </w:rPr>
        <w:t>¥448</w:t>
      </w:r>
      <w:r>
        <w:rPr>
          <w:rFonts w:hint="eastAsia" w:ascii="宋体" w:hAnsi="宋体"/>
          <w:color w:val="auto"/>
          <w:szCs w:val="21"/>
          <w:highlight w:val="none"/>
          <w:u w:val="single"/>
          <w:lang w:val="en-US" w:eastAsia="zh-CN"/>
        </w:rPr>
        <w:t>,</w:t>
      </w:r>
      <w:r>
        <w:rPr>
          <w:rFonts w:hint="eastAsia" w:ascii="宋体" w:hAnsi="宋体"/>
          <w:color w:val="auto"/>
          <w:szCs w:val="21"/>
          <w:highlight w:val="none"/>
          <w:u w:val="single"/>
        </w:rPr>
        <w:t>742.40元</w:t>
      </w:r>
    </w:p>
    <w:p>
      <w:pPr>
        <w:shd w:val="clear"/>
        <w:ind w:firstLine="420" w:firstLineChars="200"/>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4、本项目</w:t>
      </w:r>
      <w:r>
        <w:rPr>
          <w:rFonts w:hint="eastAsia" w:ascii="宋体" w:hAnsi="宋体"/>
          <w:b/>
          <w:bCs/>
          <w:color w:val="auto"/>
          <w:szCs w:val="21"/>
          <w:highlight w:val="none"/>
          <w:lang w:val="en-US" w:eastAsia="zh-CN"/>
        </w:rPr>
        <w:t>不</w:t>
      </w:r>
      <w:r>
        <w:rPr>
          <w:rFonts w:hint="eastAsia" w:ascii="宋体" w:hAnsi="宋体" w:eastAsia="宋体"/>
          <w:b/>
          <w:bCs/>
          <w:color w:val="auto"/>
          <w:szCs w:val="21"/>
          <w:highlight w:val="none"/>
          <w:lang w:val="en-US" w:eastAsia="zh-CN"/>
        </w:rPr>
        <w:t>接受</w:t>
      </w:r>
      <w:r>
        <w:rPr>
          <w:rFonts w:hint="eastAsia" w:ascii="宋体" w:hAnsi="宋体" w:eastAsia="宋体"/>
          <w:color w:val="auto"/>
          <w:szCs w:val="21"/>
          <w:highlight w:val="none"/>
          <w:lang w:val="en-US" w:eastAsia="zh-CN"/>
        </w:rPr>
        <w:t>联合体投标。</w:t>
      </w:r>
    </w:p>
    <w:p>
      <w:pPr>
        <w:shd w:val="clear"/>
        <w:ind w:firstLine="420" w:firstLineChars="200"/>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、项目内容</w:t>
      </w:r>
    </w:p>
    <w:tbl>
      <w:tblPr>
        <w:tblStyle w:val="3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227"/>
        <w:gridCol w:w="1200"/>
        <w:gridCol w:w="4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796" w:type="dxa"/>
            <w:vAlign w:val="center"/>
          </w:tcPr>
          <w:p>
            <w:pPr>
              <w:shd w:val="clear"/>
              <w:spacing w:line="36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2227" w:type="dxa"/>
            <w:vAlign w:val="center"/>
          </w:tcPr>
          <w:p>
            <w:pPr>
              <w:shd w:val="clear"/>
              <w:spacing w:line="36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1200" w:type="dxa"/>
            <w:vAlign w:val="center"/>
          </w:tcPr>
          <w:p>
            <w:pPr>
              <w:jc w:val="center"/>
              <w:rPr>
                <w:rFonts w:hint="eastAsia" w:ascii="宋体" w:hAnsi="宋体" w:cs="宋体"/>
                <w:color w:val="auto"/>
                <w:kern w:val="28"/>
                <w:szCs w:val="21"/>
                <w:highlight w:val="none"/>
                <w:lang w:val="en-US" w:eastAsia="zh-CN"/>
              </w:rPr>
            </w:pPr>
            <w:r>
              <w:rPr>
                <w:rFonts w:hint="eastAsia" w:ascii="宋体" w:hAnsi="宋体" w:cs="宋体"/>
                <w:color w:val="auto"/>
                <w:kern w:val="28"/>
                <w:szCs w:val="21"/>
                <w:highlight w:val="none"/>
              </w:rPr>
              <w:t>采购供货单位数量</w:t>
            </w:r>
          </w:p>
        </w:tc>
        <w:tc>
          <w:tcPr>
            <w:tcW w:w="4299" w:type="dxa"/>
            <w:vAlign w:val="center"/>
          </w:tcPr>
          <w:p>
            <w:pPr>
              <w:shd w:val="clear"/>
              <w:spacing w:line="360" w:lineRule="auto"/>
              <w:jc w:val="center"/>
              <w:rPr>
                <w:rFonts w:hint="eastAsia" w:ascii="宋体" w:hAnsi="宋体" w:eastAsia="宋体" w:cs="宋体"/>
                <w:color w:val="auto"/>
                <w:kern w:val="28"/>
                <w:szCs w:val="21"/>
                <w:highlight w:val="none"/>
                <w:lang w:eastAsia="zh-CN"/>
              </w:rPr>
            </w:pPr>
            <w:r>
              <w:rPr>
                <w:rFonts w:hint="eastAsia" w:ascii="宋体" w:hAnsi="宋体" w:eastAsia="宋体" w:cs="宋体"/>
                <w:color w:val="auto"/>
                <w:kern w:val="0"/>
                <w:szCs w:val="21"/>
                <w:highlight w:val="none"/>
              </w:rPr>
              <w:t>供货</w:t>
            </w:r>
            <w:r>
              <w:rPr>
                <w:rFonts w:hint="eastAsia" w:ascii="宋体" w:hAnsi="宋体" w:cs="宋体"/>
                <w:color w:val="auto"/>
                <w:kern w:val="0"/>
                <w:szCs w:val="21"/>
                <w:highlight w:val="none"/>
                <w:lang w:val="en-US" w:eastAsia="zh-CN"/>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796" w:type="dxa"/>
            <w:vAlign w:val="center"/>
          </w:tcPr>
          <w:p>
            <w:pPr>
              <w:shd w:val="clear"/>
              <w:spacing w:line="360" w:lineRule="auto"/>
              <w:jc w:val="center"/>
              <w:rPr>
                <w:rFonts w:ascii="宋体" w:hAnsi="宋体" w:cs="宋体"/>
                <w:color w:val="auto"/>
                <w:szCs w:val="21"/>
                <w:highlight w:val="none"/>
              </w:rPr>
            </w:pPr>
            <w:r>
              <w:rPr>
                <w:rFonts w:hint="eastAsia" w:ascii="宋体" w:hAnsi="宋体" w:cs="宋体"/>
                <w:color w:val="auto"/>
                <w:szCs w:val="21"/>
                <w:highlight w:val="none"/>
              </w:rPr>
              <w:t>A</w:t>
            </w:r>
          </w:p>
        </w:tc>
        <w:tc>
          <w:tcPr>
            <w:tcW w:w="2227" w:type="dxa"/>
            <w:vAlign w:val="center"/>
          </w:tcPr>
          <w:p>
            <w:pPr>
              <w:shd w:val="clear"/>
              <w:spacing w:line="360" w:lineRule="auto"/>
              <w:jc w:val="center"/>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嘉安达环保科技研发项目1号研发楼改造为保障性租赁住房项目窗帘采购</w:t>
            </w:r>
          </w:p>
        </w:tc>
        <w:tc>
          <w:tcPr>
            <w:tcW w:w="1200" w:type="dxa"/>
            <w:vAlign w:val="center"/>
          </w:tcPr>
          <w:p>
            <w:pPr>
              <w:jc w:val="center"/>
              <w:rPr>
                <w:rFonts w:hint="eastAsia" w:ascii="宋体" w:hAnsi="宋体" w:cs="宋体"/>
                <w:color w:val="auto"/>
                <w:szCs w:val="21"/>
                <w:highlight w:val="none"/>
                <w:lang w:val="en-US" w:eastAsia="zh-CN"/>
              </w:rPr>
            </w:pPr>
            <w:r>
              <w:rPr>
                <w:rFonts w:ascii="宋体" w:hAnsi="宋体" w:cs="宋体"/>
                <w:color w:val="auto"/>
                <w:szCs w:val="21"/>
                <w:highlight w:val="none"/>
              </w:rPr>
              <w:t>1</w:t>
            </w:r>
          </w:p>
        </w:tc>
        <w:tc>
          <w:tcPr>
            <w:tcW w:w="4299" w:type="dxa"/>
            <w:vAlign w:val="center"/>
          </w:tcPr>
          <w:p>
            <w:pPr>
              <w:widowControl/>
              <w:adjustRightInd w:val="0"/>
              <w:snapToGrid w:val="0"/>
              <w:spacing w:line="360" w:lineRule="auto"/>
              <w:jc w:val="center"/>
              <w:rPr>
                <w:rFonts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1.</w:t>
            </w:r>
            <w:r>
              <w:rPr>
                <w:rFonts w:hint="eastAsia" w:ascii="宋体" w:hAnsi="宋体" w:eastAsia="宋体" w:cs="宋体"/>
                <w:color w:val="auto"/>
                <w:kern w:val="0"/>
                <w:szCs w:val="21"/>
                <w:highlight w:val="none"/>
              </w:rPr>
              <w:t>样板房供货要求：</w:t>
            </w:r>
            <w:r>
              <w:rPr>
                <w:rFonts w:ascii="宋体" w:hAnsi="宋体" w:eastAsia="宋体" w:cs="宋体"/>
                <w:color w:val="auto"/>
                <w:kern w:val="0"/>
                <w:szCs w:val="21"/>
                <w:highlight w:val="none"/>
              </w:rPr>
              <w:t>中标人须在合同签订后</w:t>
            </w:r>
            <w:r>
              <w:rPr>
                <w:rFonts w:hint="eastAsia" w:ascii="宋体" w:hAnsi="宋体" w:eastAsia="宋体" w:cs="宋体"/>
                <w:color w:val="auto"/>
                <w:kern w:val="0"/>
                <w:szCs w:val="21"/>
                <w:highlight w:val="none"/>
              </w:rPr>
              <w:t>接到采购人通知</w:t>
            </w:r>
            <w:r>
              <w:rPr>
                <w:rFonts w:ascii="宋体" w:hAnsi="宋体" w:eastAsia="宋体" w:cs="宋体"/>
                <w:color w:val="auto"/>
                <w:kern w:val="0"/>
                <w:szCs w:val="21"/>
                <w:highlight w:val="none"/>
              </w:rPr>
              <w:t>10</w:t>
            </w:r>
            <w:r>
              <w:rPr>
                <w:rFonts w:hint="eastAsia" w:ascii="宋体" w:hAnsi="宋体" w:eastAsia="宋体" w:cs="宋体"/>
                <w:color w:val="auto"/>
                <w:kern w:val="0"/>
                <w:szCs w:val="21"/>
                <w:highlight w:val="none"/>
              </w:rPr>
              <w:t>日内</w:t>
            </w:r>
            <w:r>
              <w:rPr>
                <w:rFonts w:ascii="宋体" w:hAnsi="宋体" w:eastAsia="宋体" w:cs="宋体"/>
                <w:color w:val="auto"/>
                <w:kern w:val="0"/>
                <w:szCs w:val="21"/>
                <w:highlight w:val="none"/>
              </w:rPr>
              <w:t>完成3个户型精装样板房</w:t>
            </w:r>
            <w:r>
              <w:rPr>
                <w:rFonts w:hint="eastAsia" w:ascii="宋体" w:hAnsi="宋体" w:eastAsia="宋体" w:cs="宋体"/>
                <w:color w:val="auto"/>
                <w:kern w:val="0"/>
                <w:szCs w:val="21"/>
                <w:highlight w:val="none"/>
              </w:rPr>
              <w:t>窗帘</w:t>
            </w:r>
            <w:r>
              <w:rPr>
                <w:rFonts w:ascii="宋体" w:hAnsi="宋体" w:eastAsia="宋体" w:cs="宋体"/>
                <w:color w:val="auto"/>
                <w:kern w:val="0"/>
                <w:szCs w:val="21"/>
                <w:highlight w:val="none"/>
              </w:rPr>
              <w:t>的供货、安装及调试工作，并经采购人验收合格</w:t>
            </w:r>
            <w:r>
              <w:rPr>
                <w:rFonts w:hint="eastAsia" w:ascii="宋体" w:hAnsi="宋体" w:eastAsia="宋体" w:cs="宋体"/>
                <w:color w:val="auto"/>
                <w:kern w:val="0"/>
                <w:szCs w:val="21"/>
                <w:highlight w:val="none"/>
              </w:rPr>
              <w:t>。</w:t>
            </w:r>
          </w:p>
          <w:p>
            <w:pPr>
              <w:widowControl/>
              <w:adjustRightInd w:val="0"/>
              <w:snapToGrid w:val="0"/>
              <w:spacing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kern w:val="0"/>
                <w:szCs w:val="21"/>
                <w:highlight w:val="none"/>
                <w:lang w:val="en-US" w:eastAsia="zh-CN"/>
              </w:rPr>
              <w:t>2.</w:t>
            </w:r>
            <w:r>
              <w:rPr>
                <w:rFonts w:hint="eastAsia" w:ascii="宋体" w:hAnsi="宋体" w:eastAsia="宋体" w:cs="宋体"/>
                <w:color w:val="auto"/>
                <w:kern w:val="0"/>
                <w:szCs w:val="21"/>
                <w:highlight w:val="none"/>
              </w:rPr>
              <w:t>整体供货要求：</w:t>
            </w:r>
            <w:r>
              <w:rPr>
                <w:rFonts w:ascii="宋体" w:hAnsi="宋体" w:eastAsia="宋体" w:cs="宋体"/>
                <w:color w:val="auto"/>
                <w:kern w:val="0"/>
                <w:szCs w:val="21"/>
                <w:highlight w:val="none"/>
              </w:rPr>
              <w:t>中标人须根据项目现场整体施工进度，配合采购人书面通知的要求，分批次完成全部货物的进场、安装、调试及验收工作。</w:t>
            </w:r>
          </w:p>
        </w:tc>
      </w:tr>
    </w:tbl>
    <w:p>
      <w:pPr>
        <w:shd w:val="clear"/>
        <w:ind w:firstLine="420" w:firstLineChars="200"/>
        <w:rPr>
          <w:rFonts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、项目需求</w:t>
      </w:r>
      <w:r>
        <w:rPr>
          <w:rFonts w:hint="eastAsia" w:ascii="宋体" w:hAnsi="宋体"/>
          <w:color w:val="auto"/>
          <w:szCs w:val="21"/>
          <w:highlight w:val="none"/>
          <w:lang w:eastAsia="zh-CN"/>
        </w:rPr>
        <w:t>：</w:t>
      </w:r>
      <w:r>
        <w:rPr>
          <w:rFonts w:hint="eastAsia" w:ascii="宋体" w:hAnsi="宋体"/>
          <w:color w:val="auto"/>
          <w:szCs w:val="21"/>
          <w:highlight w:val="none"/>
        </w:rPr>
        <w:t>详细内容请参阅采购文件第三部分《用户需求书》。</w:t>
      </w:r>
    </w:p>
    <w:p>
      <w:pPr>
        <w:shd w:val="clear"/>
        <w:ind w:firstLine="413" w:firstLineChars="196"/>
        <w:rPr>
          <w:rFonts w:ascii="宋体" w:hAnsi="宋体"/>
          <w:b/>
          <w:color w:val="auto"/>
          <w:szCs w:val="21"/>
          <w:highlight w:val="none"/>
        </w:rPr>
      </w:pPr>
    </w:p>
    <w:p>
      <w:pPr>
        <w:shd w:val="clear"/>
        <w:rPr>
          <w:rFonts w:ascii="宋体" w:hAnsi="宋体"/>
          <w:b/>
          <w:color w:val="auto"/>
          <w:szCs w:val="21"/>
          <w:highlight w:val="none"/>
        </w:rPr>
      </w:pPr>
      <w:r>
        <w:rPr>
          <w:rFonts w:hint="eastAsia" w:ascii="宋体" w:hAnsi="宋体"/>
          <w:b/>
          <w:color w:val="auto"/>
          <w:szCs w:val="21"/>
          <w:highlight w:val="none"/>
        </w:rPr>
        <w:t>二、投标人资格要求</w:t>
      </w:r>
    </w:p>
    <w:p>
      <w:pPr>
        <w:shd w:val="clear"/>
        <w:ind w:firstLine="411" w:firstLineChars="196"/>
        <w:rPr>
          <w:rFonts w:ascii="宋体" w:hAnsi="宋体"/>
          <w:color w:val="auto"/>
          <w:szCs w:val="21"/>
          <w:highlight w:val="none"/>
        </w:rPr>
      </w:pPr>
      <w:r>
        <w:rPr>
          <w:rFonts w:hint="eastAsia" w:ascii="宋体" w:hAnsi="宋体"/>
          <w:color w:val="auto"/>
          <w:szCs w:val="21"/>
          <w:highlight w:val="none"/>
        </w:rPr>
        <w:t>1、一般要求：</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pPr>
        <w:shd w:val="clear"/>
        <w:ind w:firstLine="420" w:firstLineChars="200"/>
        <w:rPr>
          <w:rFonts w:hint="eastAsia" w:ascii="宋体" w:hAnsi="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（5）未被列入东实集团及下属企业相关领域黑名单。【以</w:t>
      </w:r>
      <w:r>
        <w:rPr>
          <w:rFonts w:hint="eastAsia" w:hAnsi="宋体" w:cs="宋体"/>
          <w:color w:val="auto"/>
          <w:kern w:val="2"/>
          <w:szCs w:val="21"/>
          <w:highlight w:val="none"/>
          <w:lang w:val="zh-CN"/>
        </w:rPr>
        <w:t>东莞实业投资控股集团有限公司</w:t>
      </w:r>
      <w:r>
        <w:rPr>
          <w:rFonts w:hint="eastAsia" w:ascii="宋体" w:hAnsi="宋体"/>
          <w:color w:val="auto"/>
          <w:szCs w:val="21"/>
          <w:highlight w:val="none"/>
        </w:rPr>
        <w:t>发文（东实通〔2021〕44号）、（东实通〔2021〕98号）、</w:t>
      </w:r>
      <w:r>
        <w:rPr>
          <w:rFonts w:ascii="宋体" w:hAnsi="宋体"/>
          <w:color w:val="auto"/>
          <w:szCs w:val="21"/>
          <w:highlight w:val="none"/>
        </w:rPr>
        <w:t>（东实通〔2022〕75号）</w:t>
      </w:r>
      <w:r>
        <w:rPr>
          <w:rFonts w:hint="eastAsia" w:ascii="宋体" w:hAnsi="宋体"/>
          <w:color w:val="auto"/>
          <w:szCs w:val="21"/>
          <w:highlight w:val="none"/>
        </w:rPr>
        <w:t>、（东实通〔2023〕37号）</w:t>
      </w:r>
      <w:r>
        <w:rPr>
          <w:rFonts w:hint="eastAsia" w:ascii="宋体" w:hAnsi="宋体"/>
          <w:color w:val="auto"/>
          <w:szCs w:val="21"/>
          <w:highlight w:val="none"/>
          <w:lang w:eastAsia="zh-CN"/>
        </w:rPr>
        <w:t>、（东实通〔2024〕163号）、（东实通〔2024〕195号）、（东实通〔2025〕157号）</w:t>
      </w:r>
      <w:r>
        <w:rPr>
          <w:rFonts w:hint="eastAsia" w:ascii="宋体" w:hAnsi="宋体"/>
          <w:color w:val="auto"/>
          <w:szCs w:val="21"/>
          <w:highlight w:val="none"/>
        </w:rPr>
        <w:t>为准，如有最新发文通知，按最新文件执行。】</w:t>
      </w:r>
    </w:p>
    <w:p>
      <w:pPr>
        <w:shd w:val="clear"/>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rPr>
        <w:t>2、其他要求</w:t>
      </w:r>
      <w:r>
        <w:rPr>
          <w:rFonts w:hint="eastAsia" w:ascii="宋体" w:hAnsi="宋体"/>
          <w:color w:val="auto"/>
          <w:szCs w:val="21"/>
          <w:highlight w:val="none"/>
          <w:lang w:val="en-US" w:eastAsia="zh-CN"/>
        </w:rPr>
        <w:t>:</w:t>
      </w:r>
    </w:p>
    <w:p>
      <w:pPr>
        <w:shd w:val="clear"/>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lang w:val="en-US" w:eastAsia="zh-CN"/>
        </w:rPr>
        <w:t>无</w:t>
      </w:r>
      <w:r>
        <w:rPr>
          <w:rFonts w:hint="eastAsia" w:ascii="宋体" w:hAnsi="宋体"/>
          <w:b w:val="0"/>
          <w:bCs/>
          <w:color w:val="auto"/>
          <w:szCs w:val="21"/>
          <w:highlight w:val="none"/>
        </w:rPr>
        <w:t>。</w:t>
      </w:r>
    </w:p>
    <w:p>
      <w:pPr>
        <w:shd w:val="clear"/>
        <w:rPr>
          <w:rFonts w:hint="eastAsia" w:ascii="宋体" w:hAnsi="宋体"/>
          <w:b/>
          <w:color w:val="auto"/>
          <w:szCs w:val="21"/>
          <w:highlight w:val="none"/>
        </w:rPr>
      </w:pPr>
    </w:p>
    <w:p>
      <w:pPr>
        <w:shd w:val="clear"/>
        <w:rPr>
          <w:rFonts w:ascii="宋体" w:hAnsi="宋体"/>
          <w:b/>
          <w:color w:val="auto"/>
          <w:szCs w:val="21"/>
          <w:highlight w:val="none"/>
        </w:rPr>
      </w:pPr>
      <w:r>
        <w:rPr>
          <w:rFonts w:hint="eastAsia" w:ascii="宋体" w:hAnsi="宋体"/>
          <w:b/>
          <w:color w:val="auto"/>
          <w:szCs w:val="21"/>
          <w:highlight w:val="none"/>
        </w:rPr>
        <w:t>三、获取采购文件方式及要求</w:t>
      </w:r>
    </w:p>
    <w:p>
      <w:pPr>
        <w:shd w:val="clear"/>
        <w:wordWrap w:val="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本项目不进行实名登记报名，拟参加投标的投标人可于投标截止时间前自行网上下载采购文件。采购文件下载地址中国招标投标公共服务平台（http://www.cebpubservice.com/）、东莞实业投资控股集团有限公司-招标采购栏目（http://www.dgsy.com.cn/）、东莞市安居建设投资有限公司网站（https://www.0769anju.com/）、广西同泽工程项目管理股份有限公司网（http://www.gxtzfz.cn/）。</w:t>
      </w:r>
    </w:p>
    <w:p>
      <w:pPr>
        <w:shd w:val="clear"/>
        <w:rPr>
          <w:color w:val="auto"/>
          <w:highlight w:val="none"/>
        </w:rPr>
      </w:pPr>
    </w:p>
    <w:p>
      <w:pPr>
        <w:shd w:val="clear"/>
        <w:rPr>
          <w:rFonts w:ascii="宋体" w:hAnsi="宋体"/>
          <w:b/>
          <w:color w:val="auto"/>
          <w:szCs w:val="21"/>
          <w:highlight w:val="none"/>
        </w:rPr>
      </w:pPr>
      <w:r>
        <w:rPr>
          <w:rFonts w:hint="eastAsia" w:ascii="宋体" w:hAnsi="宋体"/>
          <w:b/>
          <w:color w:val="auto"/>
          <w:szCs w:val="21"/>
          <w:highlight w:val="none"/>
        </w:rPr>
        <w:t>四、投标文件的递交</w:t>
      </w:r>
    </w:p>
    <w:p>
      <w:pPr>
        <w:shd w:val="clear"/>
        <w:ind w:firstLine="420" w:firstLineChars="200"/>
        <w:rPr>
          <w:rFonts w:ascii="宋体" w:hAnsi="宋体"/>
          <w:color w:val="auto"/>
          <w:szCs w:val="21"/>
          <w:highlight w:val="none"/>
          <w:u w:val="none"/>
        </w:rPr>
      </w:pPr>
      <w:r>
        <w:rPr>
          <w:rFonts w:hint="eastAsia" w:ascii="宋体" w:hAnsi="宋体"/>
          <w:color w:val="auto"/>
          <w:szCs w:val="21"/>
          <w:highlight w:val="none"/>
        </w:rPr>
        <w:t>1、递交投标文件时间：</w:t>
      </w:r>
      <w:r>
        <w:rPr>
          <w:rFonts w:hint="eastAsia" w:ascii="宋体" w:hAnsi="宋体" w:cs="宋体"/>
          <w:color w:val="auto"/>
          <w:szCs w:val="21"/>
          <w:highlight w:val="none"/>
          <w:u w:val="none"/>
        </w:rPr>
        <w:t>20</w:t>
      </w:r>
      <w:r>
        <w:rPr>
          <w:rFonts w:hint="eastAsia" w:ascii="宋体" w:hAnsi="宋体" w:cs="宋体"/>
          <w:color w:val="auto"/>
          <w:szCs w:val="21"/>
          <w:highlight w:val="none"/>
          <w:u w:val="none"/>
          <w:lang w:val="en-US" w:eastAsia="zh-CN"/>
        </w:rPr>
        <w:t>26</w:t>
      </w:r>
      <w:r>
        <w:rPr>
          <w:rFonts w:hint="eastAsia" w:ascii="宋体" w:hAnsi="宋体" w:cs="宋体"/>
          <w:color w:val="auto"/>
          <w:szCs w:val="21"/>
          <w:highlight w:val="none"/>
          <w:u w:val="none"/>
        </w:rPr>
        <w:t>年</w:t>
      </w:r>
      <w:r>
        <w:rPr>
          <w:rFonts w:hint="eastAsia" w:ascii="宋体" w:hAnsi="宋体" w:cs="宋体"/>
          <w:color w:val="auto"/>
          <w:szCs w:val="21"/>
          <w:highlight w:val="none"/>
          <w:u w:val="none"/>
          <w:lang w:val="en-US" w:eastAsia="zh-CN"/>
        </w:rPr>
        <w:t xml:space="preserve"> 03 </w:t>
      </w:r>
      <w:r>
        <w:rPr>
          <w:rFonts w:hint="eastAsia" w:ascii="宋体" w:hAnsi="宋体" w:cs="宋体"/>
          <w:color w:val="auto"/>
          <w:szCs w:val="21"/>
          <w:highlight w:val="none"/>
          <w:u w:val="none"/>
        </w:rPr>
        <w:t>月</w:t>
      </w:r>
      <w:r>
        <w:rPr>
          <w:rFonts w:hint="eastAsia" w:ascii="宋体" w:hAnsi="宋体" w:cs="宋体"/>
          <w:color w:val="auto"/>
          <w:szCs w:val="21"/>
          <w:highlight w:val="none"/>
          <w:u w:val="none"/>
          <w:lang w:val="en-US" w:eastAsia="zh-CN"/>
        </w:rPr>
        <w:t xml:space="preserve"> 31 </w:t>
      </w:r>
      <w:r>
        <w:rPr>
          <w:rFonts w:hint="eastAsia" w:ascii="宋体" w:hAnsi="宋体" w:cs="宋体"/>
          <w:color w:val="auto"/>
          <w:szCs w:val="21"/>
          <w:highlight w:val="none"/>
          <w:u w:val="none"/>
        </w:rPr>
        <w:t>日（</w:t>
      </w:r>
      <w:r>
        <w:rPr>
          <w:rFonts w:hint="eastAsia" w:ascii="宋体" w:hAnsi="宋体"/>
          <w:color w:val="auto"/>
          <w:szCs w:val="21"/>
          <w:highlight w:val="none"/>
          <w:u w:val="none"/>
        </w:rPr>
        <w:t>北京时间）</w:t>
      </w:r>
      <w:r>
        <w:rPr>
          <w:rFonts w:hint="eastAsia" w:ascii="宋体" w:hAnsi="宋体"/>
          <w:color w:val="auto"/>
          <w:szCs w:val="21"/>
          <w:highlight w:val="none"/>
          <w:u w:val="none"/>
          <w:lang w:val="en-US" w:eastAsia="zh-CN"/>
        </w:rPr>
        <w:t>09</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00</w:t>
      </w:r>
      <w:r>
        <w:rPr>
          <w:rFonts w:ascii="宋体" w:hAnsi="宋体"/>
          <w:color w:val="auto"/>
          <w:szCs w:val="21"/>
          <w:highlight w:val="none"/>
          <w:u w:val="none"/>
        </w:rPr>
        <w:t>-</w:t>
      </w:r>
      <w:r>
        <w:rPr>
          <w:rFonts w:hint="eastAsia" w:ascii="宋体" w:hAnsi="宋体"/>
          <w:color w:val="auto"/>
          <w:szCs w:val="21"/>
          <w:highlight w:val="none"/>
          <w:u w:val="none"/>
          <w:lang w:val="en-US" w:eastAsia="zh-CN"/>
        </w:rPr>
        <w:t>09</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30</w:t>
      </w:r>
      <w:r>
        <w:rPr>
          <w:rFonts w:hint="eastAsia" w:ascii="宋体" w:hAnsi="宋体"/>
          <w:color w:val="auto"/>
          <w:szCs w:val="21"/>
          <w:highlight w:val="none"/>
          <w:u w:val="none"/>
        </w:rPr>
        <w:t>。</w:t>
      </w:r>
    </w:p>
    <w:p>
      <w:pPr>
        <w:shd w:val="clear"/>
        <w:ind w:firstLine="420" w:firstLineChars="200"/>
        <w:rPr>
          <w:rFonts w:ascii="宋体" w:hAnsi="宋体"/>
          <w:b/>
          <w:color w:val="auto"/>
          <w:szCs w:val="21"/>
          <w:highlight w:val="none"/>
        </w:rPr>
      </w:pPr>
      <w:r>
        <w:rPr>
          <w:rFonts w:hint="eastAsia" w:ascii="宋体" w:hAnsi="宋体"/>
          <w:color w:val="auto"/>
          <w:szCs w:val="21"/>
          <w:highlight w:val="none"/>
          <w:u w:val="none"/>
        </w:rPr>
        <w:t>2、递交投标文件</w:t>
      </w:r>
      <w:r>
        <w:rPr>
          <w:rFonts w:ascii="宋体" w:hAnsi="宋体"/>
          <w:color w:val="auto"/>
          <w:szCs w:val="21"/>
          <w:highlight w:val="none"/>
          <w:u w:val="none"/>
        </w:rPr>
        <w:t>截止</w:t>
      </w:r>
      <w:r>
        <w:rPr>
          <w:rFonts w:hint="eastAsia" w:ascii="宋体" w:hAnsi="宋体"/>
          <w:color w:val="auto"/>
          <w:szCs w:val="21"/>
          <w:highlight w:val="none"/>
          <w:u w:val="none"/>
        </w:rPr>
        <w:t>及开标时间：</w:t>
      </w:r>
      <w:r>
        <w:rPr>
          <w:rFonts w:hint="eastAsia" w:ascii="宋体" w:hAnsi="宋体" w:cs="宋体"/>
          <w:color w:val="auto"/>
          <w:szCs w:val="21"/>
          <w:highlight w:val="none"/>
          <w:u w:val="none"/>
        </w:rPr>
        <w:t>20</w:t>
      </w:r>
      <w:r>
        <w:rPr>
          <w:rFonts w:hint="eastAsia" w:ascii="宋体" w:hAnsi="宋体" w:cs="宋体"/>
          <w:color w:val="auto"/>
          <w:szCs w:val="21"/>
          <w:highlight w:val="none"/>
          <w:u w:val="none"/>
          <w:lang w:val="en-US" w:eastAsia="zh-CN"/>
        </w:rPr>
        <w:t>26</w:t>
      </w:r>
      <w:r>
        <w:rPr>
          <w:rFonts w:hint="eastAsia" w:ascii="宋体" w:hAnsi="宋体" w:cs="宋体"/>
          <w:color w:val="auto"/>
          <w:szCs w:val="21"/>
          <w:highlight w:val="none"/>
          <w:u w:val="none"/>
        </w:rPr>
        <w:t>年</w:t>
      </w:r>
      <w:r>
        <w:rPr>
          <w:rFonts w:hint="eastAsia" w:ascii="宋体" w:hAnsi="宋体" w:cs="宋体"/>
          <w:color w:val="auto"/>
          <w:szCs w:val="21"/>
          <w:highlight w:val="none"/>
          <w:u w:val="none"/>
          <w:lang w:val="en-US" w:eastAsia="zh-CN"/>
        </w:rPr>
        <w:t xml:space="preserve"> 03 </w:t>
      </w:r>
      <w:r>
        <w:rPr>
          <w:rFonts w:hint="eastAsia" w:ascii="宋体" w:hAnsi="宋体" w:cs="宋体"/>
          <w:color w:val="auto"/>
          <w:szCs w:val="21"/>
          <w:highlight w:val="none"/>
          <w:u w:val="none"/>
        </w:rPr>
        <w:t>月</w:t>
      </w:r>
      <w:r>
        <w:rPr>
          <w:rFonts w:hint="eastAsia" w:ascii="宋体" w:hAnsi="宋体" w:cs="宋体"/>
          <w:color w:val="auto"/>
          <w:szCs w:val="21"/>
          <w:highlight w:val="none"/>
          <w:u w:val="none"/>
          <w:lang w:val="en-US" w:eastAsia="zh-CN"/>
        </w:rPr>
        <w:t xml:space="preserve"> 31 </w:t>
      </w:r>
      <w:r>
        <w:rPr>
          <w:rFonts w:hint="eastAsia" w:ascii="宋体" w:hAnsi="宋体" w:cs="宋体"/>
          <w:color w:val="auto"/>
          <w:szCs w:val="21"/>
          <w:highlight w:val="none"/>
          <w:u w:val="none"/>
        </w:rPr>
        <w:t>日</w:t>
      </w:r>
      <w:r>
        <w:rPr>
          <w:rFonts w:hint="eastAsia" w:ascii="宋体" w:hAnsi="宋体" w:cs="宋体"/>
          <w:color w:val="auto"/>
          <w:szCs w:val="21"/>
          <w:highlight w:val="none"/>
          <w:u w:val="none"/>
          <w:lang w:val="en-US" w:eastAsia="zh-CN"/>
        </w:rPr>
        <w:t>09</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30</w:t>
      </w:r>
      <w:r>
        <w:rPr>
          <w:rFonts w:hint="eastAsia" w:ascii="宋体" w:hAnsi="宋体"/>
          <w:color w:val="auto"/>
          <w:szCs w:val="21"/>
          <w:highlight w:val="none"/>
          <w:u w:val="none"/>
        </w:rPr>
        <w:t>（北京时间）</w:t>
      </w:r>
      <w:r>
        <w:rPr>
          <w:rFonts w:hint="eastAsia" w:ascii="宋体" w:hAnsi="宋体"/>
          <w:color w:val="auto"/>
          <w:szCs w:val="21"/>
          <w:highlight w:val="none"/>
        </w:rPr>
        <w:t>，所有投标文件应于截止时间之前递交，迟交或以电报、传真形式的投标文件将拒绝接收。</w:t>
      </w: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w:t>
      </w:r>
      <w:r>
        <w:rPr>
          <w:rFonts w:hint="eastAsia" w:ascii="宋体" w:hAnsi="宋体" w:cs="宋体"/>
          <w:bCs/>
          <w:color w:val="auto"/>
          <w:sz w:val="21"/>
          <w:szCs w:val="21"/>
          <w:highlight w:val="none"/>
          <w:u w:val="single"/>
          <w:lang w:eastAsia="zh-CN"/>
        </w:rPr>
        <w:t>东莞市南城区塘贝北路福特大厦A区811</w:t>
      </w:r>
      <w:r>
        <w:rPr>
          <w:rFonts w:hint="eastAsia" w:ascii="宋体" w:hAnsi="宋体"/>
          <w:color w:val="auto"/>
          <w:szCs w:val="21"/>
          <w:highlight w:val="none"/>
          <w:u w:val="single"/>
          <w:lang w:eastAsia="zh-CN"/>
        </w:rPr>
        <w:t>。</w:t>
      </w:r>
    </w:p>
    <w:p>
      <w:pPr>
        <w:shd w:val="clear"/>
        <w:ind w:firstLine="411" w:firstLineChars="196"/>
        <w:rPr>
          <w:rFonts w:hint="eastAsia" w:ascii="宋体" w:hAnsi="宋体" w:eastAsia="宋体" w:cs="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w:t>
      </w:r>
      <w:r>
        <w:rPr>
          <w:rFonts w:hint="eastAsia" w:ascii="宋体" w:hAnsi="宋体" w:eastAsia="宋体" w:cs="宋体"/>
          <w:b/>
          <w:bCs/>
          <w:color w:val="auto"/>
          <w:szCs w:val="21"/>
          <w:highlight w:val="none"/>
        </w:rPr>
        <w:t>开标会</w:t>
      </w:r>
      <w:r>
        <w:rPr>
          <w:rFonts w:hint="eastAsia" w:ascii="宋体" w:hAnsi="宋体" w:eastAsia="宋体" w:cs="宋体"/>
          <w:bCs/>
          <w:color w:val="auto"/>
          <w:szCs w:val="21"/>
          <w:highlight w:val="none"/>
        </w:rPr>
        <w:t>。</w:t>
      </w:r>
    </w:p>
    <w:p>
      <w:pPr>
        <w:pStyle w:val="42"/>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lang w:val="en-US" w:eastAsia="zh-CN" w:bidi="ar-SA"/>
        </w:rPr>
        <w:t>5、出现以</w:t>
      </w:r>
      <w:r>
        <w:rPr>
          <w:rFonts w:hint="eastAsia" w:ascii="宋体" w:hAnsi="宋体" w:eastAsia="宋体" w:cs="宋体"/>
          <w:color w:val="auto"/>
          <w:sz w:val="21"/>
          <w:szCs w:val="21"/>
          <w:highlight w:val="none"/>
        </w:rPr>
        <w:t>下情形时，采购代理机构不予接收投标（响应）文件：</w:t>
      </w:r>
    </w:p>
    <w:p>
      <w:pPr>
        <w:pStyle w:val="42"/>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（1）逾期送达或者未送达指定地点的；</w:t>
      </w:r>
    </w:p>
    <w:p>
      <w:pPr>
        <w:pStyle w:val="42"/>
        <w:shd w:val="clea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（2）未按采购文件要求密封的。</w:t>
      </w:r>
    </w:p>
    <w:p>
      <w:pPr>
        <w:pStyle w:val="42"/>
        <w:shd w:val="clear"/>
        <w:ind w:firstLine="400"/>
        <w:rPr>
          <w:color w:val="auto"/>
          <w:highlight w:val="none"/>
        </w:rPr>
      </w:pPr>
    </w:p>
    <w:p>
      <w:pPr>
        <w:shd w:val="clear"/>
        <w:rPr>
          <w:rFonts w:hint="eastAsia" w:ascii="宋体" w:hAnsi="宋体" w:eastAsia="宋体"/>
          <w:b/>
          <w:color w:val="auto"/>
          <w:szCs w:val="21"/>
          <w:highlight w:val="none"/>
        </w:rPr>
      </w:pPr>
      <w:r>
        <w:rPr>
          <w:rFonts w:hint="eastAsia" w:ascii="宋体" w:hAnsi="宋体" w:eastAsia="宋体"/>
          <w:b/>
          <w:color w:val="auto"/>
          <w:szCs w:val="21"/>
          <w:highlight w:val="none"/>
        </w:rPr>
        <w:t>五、发布公告的媒介</w:t>
      </w:r>
    </w:p>
    <w:p>
      <w:pPr>
        <w:pStyle w:val="42"/>
        <w:shd w:val="clear"/>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采购公告发布媒介：</w:t>
      </w:r>
    </w:p>
    <w:p>
      <w:pPr>
        <w:pStyle w:val="42"/>
        <w:shd w:val="clear"/>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（1）</w:t>
      </w:r>
      <w:r>
        <w:rPr>
          <w:rFonts w:hint="eastAsia" w:ascii="宋体" w:hAnsi="宋体" w:eastAsia="宋体" w:cs="宋体"/>
          <w:color w:val="auto"/>
          <w:sz w:val="21"/>
          <w:szCs w:val="21"/>
          <w:highlight w:val="none"/>
          <w:u w:val="none"/>
        </w:rPr>
        <w:t>中国招标投标公共服务平台（http://www.cebpubservice.com/）</w:t>
      </w:r>
    </w:p>
    <w:p>
      <w:pPr>
        <w:pStyle w:val="42"/>
        <w:shd w:val="clear"/>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（2）东莞实业投资控股集团有限公司-招标采购栏目（http://www.dgsy.com.cn/）</w:t>
      </w:r>
    </w:p>
    <w:p>
      <w:pPr>
        <w:pStyle w:val="42"/>
        <w:shd w:val="clear"/>
        <w:spacing w:line="360" w:lineRule="auto"/>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（3）东莞市安居建设投资有限公司（https://www.0769anju.com/）</w:t>
      </w:r>
    </w:p>
    <w:p>
      <w:pPr>
        <w:pStyle w:val="42"/>
        <w:shd w:val="clear"/>
        <w:spacing w:line="360" w:lineRule="auto"/>
        <w:rPr>
          <w:color w:val="auto"/>
          <w:highlight w:val="none"/>
        </w:rPr>
      </w:pPr>
      <w:r>
        <w:rPr>
          <w:rFonts w:hint="eastAsia" w:ascii="宋体" w:hAnsi="宋体" w:eastAsia="宋体" w:cs="宋体"/>
          <w:color w:val="auto"/>
          <w:sz w:val="21"/>
          <w:szCs w:val="21"/>
          <w:highlight w:val="none"/>
          <w:u w:val="none"/>
          <w:lang w:val="en-US" w:eastAsia="zh-CN"/>
        </w:rPr>
        <w:t>（4）广西同泽工程项目管理股份有限公司</w:t>
      </w:r>
      <w:r>
        <w:rPr>
          <w:rFonts w:hint="eastAsia" w:ascii="宋体" w:hAnsi="宋体" w:eastAsia="宋体" w:cs="宋体"/>
          <w:color w:val="auto"/>
          <w:sz w:val="21"/>
          <w:szCs w:val="21"/>
          <w:highlight w:val="none"/>
          <w:u w:val="none"/>
        </w:rPr>
        <w:t>网（http://www.gxtzfz.cn/）</w:t>
      </w:r>
    </w:p>
    <w:p>
      <w:pPr>
        <w:pStyle w:val="42"/>
        <w:shd w:val="clear"/>
        <w:spacing w:line="360" w:lineRule="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2、结果公告发布媒介：</w:t>
      </w:r>
    </w:p>
    <w:p>
      <w:pPr>
        <w:pStyle w:val="42"/>
        <w:shd w:val="clear"/>
        <w:spacing w:line="360" w:lineRule="auto"/>
        <w:rPr>
          <w:color w:val="auto"/>
          <w:highlight w:val="none"/>
        </w:rPr>
      </w:pPr>
      <w:r>
        <w:rPr>
          <w:rFonts w:hint="eastAsia" w:ascii="宋体" w:hAnsi="宋体" w:eastAsia="宋体" w:cs="宋体"/>
          <w:color w:val="auto"/>
          <w:sz w:val="21"/>
          <w:szCs w:val="21"/>
          <w:highlight w:val="none"/>
        </w:rPr>
        <w:t>东莞实业投资控股集团有限公司-招标采购栏目（http://www.dgsy.com.cn/）</w:t>
      </w:r>
    </w:p>
    <w:p>
      <w:pPr>
        <w:shd w:val="clear"/>
        <w:ind w:firstLine="413" w:firstLineChars="196"/>
        <w:rPr>
          <w:rFonts w:hint="eastAsia" w:ascii="宋体" w:hAnsi="宋体"/>
          <w:b/>
          <w:color w:val="auto"/>
          <w:szCs w:val="21"/>
          <w:highlight w:val="none"/>
        </w:rPr>
      </w:pPr>
    </w:p>
    <w:p>
      <w:pPr>
        <w:shd w:val="clear"/>
        <w:rPr>
          <w:rFonts w:hint="eastAsia" w:ascii="宋体" w:hAnsi="宋体" w:eastAsia="宋体"/>
          <w:b/>
          <w:color w:val="auto"/>
          <w:szCs w:val="21"/>
          <w:highlight w:val="none"/>
        </w:rPr>
      </w:pPr>
      <w:r>
        <w:rPr>
          <w:rFonts w:hint="eastAsia" w:ascii="宋体" w:hAnsi="宋体" w:eastAsia="宋体"/>
          <w:b/>
          <w:color w:val="auto"/>
          <w:szCs w:val="21"/>
          <w:highlight w:val="none"/>
        </w:rPr>
        <w:t>六、采购人及采购代理机构的名称、地址和联系方法</w:t>
      </w:r>
    </w:p>
    <w:p>
      <w:pPr>
        <w:shd w:val="clear"/>
        <w:ind w:firstLine="420" w:firstLineChars="200"/>
        <w:rPr>
          <w:rFonts w:ascii="宋体" w:hAnsi="宋体"/>
          <w:bCs/>
          <w:color w:val="auto"/>
          <w:szCs w:val="21"/>
          <w:highlight w:val="none"/>
        </w:rPr>
      </w:pPr>
      <w:r>
        <w:rPr>
          <w:rFonts w:hint="eastAsia" w:ascii="宋体" w:hAnsi="宋体"/>
          <w:bCs/>
          <w:color w:val="auto"/>
          <w:szCs w:val="21"/>
          <w:highlight w:val="none"/>
        </w:rPr>
        <w:t>采购人</w:t>
      </w:r>
      <w:r>
        <w:rPr>
          <w:rFonts w:ascii="宋体" w:hAnsi="宋体"/>
          <w:bCs/>
          <w:color w:val="auto"/>
          <w:szCs w:val="21"/>
          <w:highlight w:val="none"/>
        </w:rPr>
        <w:t>名称</w:t>
      </w:r>
      <w:r>
        <w:rPr>
          <w:rFonts w:hint="eastAsia" w:ascii="宋体" w:hAnsi="宋体"/>
          <w:bCs/>
          <w:color w:val="auto"/>
          <w:szCs w:val="21"/>
          <w:highlight w:val="none"/>
        </w:rPr>
        <w:t>：</w:t>
      </w:r>
      <w:r>
        <w:rPr>
          <w:rFonts w:hint="eastAsia" w:ascii="宋体" w:hAnsi="宋体"/>
          <w:bCs/>
          <w:color w:val="auto"/>
          <w:szCs w:val="21"/>
          <w:highlight w:val="none"/>
          <w:lang w:eastAsia="zh-CN"/>
        </w:rPr>
        <w:t>东莞市安居建设投资有限公司</w:t>
      </w:r>
    </w:p>
    <w:p>
      <w:pPr>
        <w:shd w:val="clear"/>
        <w:ind w:firstLine="420" w:firstLineChars="200"/>
        <w:rPr>
          <w:rFonts w:hint="eastAsia" w:ascii="宋体" w:hAnsi="宋体" w:eastAsia="宋体"/>
          <w:bCs/>
          <w:color w:val="auto"/>
          <w:szCs w:val="21"/>
          <w:highlight w:val="none"/>
          <w:lang w:val="en-US" w:eastAsia="zh-CN"/>
        </w:rPr>
      </w:pPr>
      <w:r>
        <w:rPr>
          <w:rFonts w:hint="eastAsia" w:ascii="宋体" w:hAnsi="宋体"/>
          <w:bCs/>
          <w:color w:val="auto"/>
          <w:szCs w:val="21"/>
          <w:highlight w:val="none"/>
        </w:rPr>
        <w:t>采购人联系人：</w:t>
      </w:r>
      <w:r>
        <w:rPr>
          <w:rFonts w:hint="eastAsia"/>
          <w:color w:val="auto"/>
          <w:highlight w:val="none"/>
        </w:rPr>
        <w:t xml:space="preserve">江先生 </w:t>
      </w:r>
    </w:p>
    <w:p>
      <w:pPr>
        <w:shd w:val="clear"/>
        <w:ind w:firstLine="420" w:firstLineChars="200"/>
        <w:rPr>
          <w:rFonts w:hint="eastAsia" w:ascii="宋体" w:hAnsi="宋体"/>
          <w:bCs/>
          <w:color w:val="auto"/>
          <w:szCs w:val="21"/>
          <w:highlight w:val="none"/>
        </w:rPr>
      </w:pPr>
      <w:r>
        <w:rPr>
          <w:rFonts w:hint="eastAsia" w:ascii="宋体" w:hAnsi="宋体"/>
          <w:bCs/>
          <w:color w:val="auto"/>
          <w:szCs w:val="21"/>
          <w:highlight w:val="none"/>
        </w:rPr>
        <w:t>采购人地址：广东省东莞市东城街道莞长路东城段27号6栋101室</w:t>
      </w:r>
    </w:p>
    <w:p>
      <w:pPr>
        <w:shd w:val="clear"/>
        <w:ind w:firstLine="420" w:firstLineChars="200"/>
        <w:rPr>
          <w:rFonts w:ascii="宋体" w:hAnsi="宋体"/>
          <w:bCs/>
          <w:color w:val="auto"/>
          <w:szCs w:val="21"/>
          <w:highlight w:val="none"/>
        </w:rPr>
      </w:pPr>
      <w:r>
        <w:rPr>
          <w:rFonts w:hint="eastAsia" w:ascii="宋体" w:hAnsi="宋体"/>
          <w:bCs/>
          <w:color w:val="auto"/>
          <w:szCs w:val="21"/>
          <w:highlight w:val="none"/>
        </w:rPr>
        <w:t>采购人联系电话：0769-22226146</w:t>
      </w:r>
    </w:p>
    <w:p>
      <w:pPr>
        <w:shd w:val="clear"/>
        <w:ind w:firstLine="420" w:firstLineChars="200"/>
        <w:rPr>
          <w:rFonts w:ascii="宋体" w:hAnsi="宋体"/>
          <w:color w:val="auto"/>
          <w:szCs w:val="21"/>
          <w:highlight w:val="none"/>
        </w:rPr>
      </w:pP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采购代理机构名称：</w:t>
      </w:r>
      <w:r>
        <w:rPr>
          <w:rFonts w:hint="eastAsia" w:ascii="宋体" w:hAnsi="宋体"/>
          <w:color w:val="auto"/>
          <w:szCs w:val="21"/>
          <w:highlight w:val="none"/>
          <w:lang w:eastAsia="zh-CN"/>
        </w:rPr>
        <w:t>广西同泽工程项目管理股份有限公司</w:t>
      </w: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采购代理机构地址：</w:t>
      </w:r>
      <w:r>
        <w:rPr>
          <w:rFonts w:hint="eastAsia" w:ascii="宋体" w:hAnsi="宋体"/>
          <w:color w:val="auto"/>
          <w:szCs w:val="21"/>
          <w:highlight w:val="none"/>
          <w:lang w:eastAsia="zh-CN"/>
        </w:rPr>
        <w:t>东莞市南城区塘贝北路福特大厦A区811</w:t>
      </w:r>
    </w:p>
    <w:p>
      <w:pPr>
        <w:shd w:val="clea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张先生</w:t>
      </w:r>
    </w:p>
    <w:p>
      <w:pPr>
        <w:shd w:val="clea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采购代理机构联系电话：0769-</w:t>
      </w:r>
      <w:r>
        <w:rPr>
          <w:rFonts w:hint="eastAsia" w:ascii="宋体" w:hAnsi="宋体"/>
          <w:color w:val="auto"/>
          <w:szCs w:val="21"/>
          <w:highlight w:val="none"/>
          <w:lang w:val="en-US" w:eastAsia="zh-CN"/>
        </w:rPr>
        <w:t>21688191</w:t>
      </w:r>
    </w:p>
    <w:p>
      <w:pPr>
        <w:shd w:val="clear"/>
        <w:ind w:firstLine="420" w:firstLineChars="200"/>
        <w:rPr>
          <w:color w:val="auto"/>
          <w:highlight w:val="none"/>
        </w:rPr>
      </w:pPr>
      <w:r>
        <w:rPr>
          <w:rFonts w:hint="eastAsia" w:ascii="宋体" w:hAnsi="宋体"/>
          <w:color w:val="auto"/>
          <w:szCs w:val="21"/>
          <w:highlight w:val="none"/>
        </w:rPr>
        <w:t>采购代理机构邮箱：2195953904@qq.com</w:t>
      </w:r>
    </w:p>
    <w:p>
      <w:pPr>
        <w:shd w:val="clear"/>
        <w:ind w:firstLine="420" w:firstLineChars="200"/>
        <w:rPr>
          <w:color w:val="auto"/>
          <w:highlight w:val="none"/>
        </w:rPr>
      </w:pPr>
    </w:p>
    <w:p>
      <w:pPr>
        <w:shd w:val="clear"/>
        <w:ind w:right="752" w:rightChars="358"/>
        <w:jc w:val="right"/>
        <w:rPr>
          <w:color w:val="auto"/>
          <w:highlight w:val="none"/>
        </w:rPr>
      </w:pPr>
    </w:p>
    <w:p>
      <w:pPr>
        <w:keepNext w:val="0"/>
        <w:keepLines w:val="0"/>
        <w:pageBreakBefore w:val="0"/>
        <w:widowControl/>
        <w:shd w:val="clear"/>
        <w:kinsoku/>
        <w:wordWrap/>
        <w:overflowPunct/>
        <w:topLinePunct w:val="0"/>
        <w:autoSpaceDE/>
        <w:autoSpaceDN/>
        <w:bidi w:val="0"/>
        <w:adjustRightInd/>
        <w:snapToGrid/>
        <w:spacing w:line="400" w:lineRule="exact"/>
        <w:ind w:right="752" w:rightChars="358"/>
        <w:jc w:val="right"/>
        <w:textAlignment w:val="auto"/>
        <w:rPr>
          <w:rFonts w:hint="eastAsia" w:ascii="宋体" w:hAnsi="宋体" w:eastAsia="宋体" w:cs="宋体"/>
          <w:color w:val="auto"/>
          <w:sz w:val="21"/>
          <w:szCs w:val="21"/>
          <w:highlight w:val="none"/>
        </w:rPr>
      </w:pPr>
    </w:p>
    <w:p>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eastAsia" w:ascii="宋体" w:hAnsi="宋体" w:cs="宋体"/>
          <w:color w:val="auto"/>
          <w:sz w:val="21"/>
          <w:szCs w:val="21"/>
          <w:highlight w:val="none"/>
          <w:lang w:eastAsia="zh-CN"/>
        </w:rPr>
      </w:pPr>
      <w:r>
        <w:rPr>
          <w:rFonts w:hint="eastAsia" w:ascii="宋体" w:hAnsi="宋体"/>
          <w:bCs/>
          <w:color w:val="auto"/>
          <w:szCs w:val="21"/>
          <w:highlight w:val="none"/>
          <w:lang w:eastAsia="zh-CN"/>
        </w:rPr>
        <w:t>东莞市安居建设投资有限公司</w:t>
      </w:r>
    </w:p>
    <w:p>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eastAsia" w:ascii="宋体" w:hAnsi="宋体" w:cs="宋体"/>
          <w:color w:val="auto"/>
          <w:sz w:val="21"/>
          <w:szCs w:val="21"/>
          <w:highlight w:val="none"/>
          <w:lang w:eastAsia="zh-CN"/>
        </w:rPr>
      </w:pPr>
    </w:p>
    <w:p>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eastAsia" w:ascii="宋体" w:hAnsi="宋体" w:cs="宋体"/>
          <w:color w:val="auto"/>
          <w:sz w:val="21"/>
          <w:szCs w:val="21"/>
          <w:highlight w:val="none"/>
          <w:lang w:eastAsia="zh-CN"/>
        </w:rPr>
      </w:pPr>
    </w:p>
    <w:p>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eastAsia" w:ascii="宋体" w:hAnsi="宋体" w:cs="宋体"/>
          <w:color w:val="auto"/>
          <w:sz w:val="21"/>
          <w:szCs w:val="21"/>
          <w:highlight w:val="none"/>
          <w:lang w:eastAsia="zh-CN"/>
        </w:rPr>
      </w:pPr>
    </w:p>
    <w:p>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eastAsia" w:ascii="宋体" w:hAnsi="宋体" w:cs="宋体"/>
          <w:color w:val="auto"/>
          <w:sz w:val="21"/>
          <w:szCs w:val="21"/>
          <w:highlight w:val="none"/>
          <w:lang w:eastAsia="zh-CN"/>
        </w:rPr>
      </w:pPr>
    </w:p>
    <w:p>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广西同泽</w:t>
      </w:r>
      <w:r>
        <w:rPr>
          <w:rFonts w:hint="eastAsia" w:ascii="宋体" w:hAnsi="宋体" w:eastAsia="宋体" w:cs="宋体"/>
          <w:color w:val="auto"/>
          <w:sz w:val="21"/>
          <w:szCs w:val="21"/>
          <w:highlight w:val="none"/>
          <w:lang w:eastAsia="zh-CN"/>
        </w:rPr>
        <w:t>工程</w:t>
      </w:r>
      <w:r>
        <w:rPr>
          <w:rFonts w:hint="eastAsia" w:ascii="宋体" w:hAnsi="宋体" w:cs="宋体"/>
          <w:color w:val="auto"/>
          <w:sz w:val="21"/>
          <w:szCs w:val="21"/>
          <w:highlight w:val="none"/>
          <w:lang w:eastAsia="zh-CN"/>
        </w:rPr>
        <w:t>项目管理股份有限公司</w:t>
      </w:r>
    </w:p>
    <w:p>
      <w:pPr>
        <w:keepNext w:val="0"/>
        <w:keepLines w:val="0"/>
        <w:pageBreakBefore w:val="0"/>
        <w:widowControl/>
        <w:shd w:val="clear"/>
        <w:kinsoku/>
        <w:wordWrap/>
        <w:overflowPunct/>
        <w:topLinePunct w:val="0"/>
        <w:autoSpaceDE/>
        <w:autoSpaceDN/>
        <w:bidi w:val="0"/>
        <w:adjustRightInd/>
        <w:snapToGrid/>
        <w:spacing w:line="400" w:lineRule="exact"/>
        <w:jc w:val="right"/>
        <w:textAlignment w:val="auto"/>
        <w:rPr>
          <w:rFonts w:hint="default"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202</w:t>
      </w:r>
      <w:r>
        <w:rPr>
          <w:rFonts w:hint="eastAsia" w:ascii="宋体" w:hAnsi="宋体" w:cs="宋体"/>
          <w:color w:val="auto"/>
          <w:sz w:val="21"/>
          <w:szCs w:val="21"/>
          <w:highlight w:val="none"/>
          <w:lang w:val="en-US" w:eastAsia="zh-CN"/>
        </w:rPr>
        <w:t xml:space="preserve">6 </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 xml:space="preserve"> 03 </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 xml:space="preserve"> 10 日</w:t>
      </w:r>
    </w:p>
    <w:p>
      <w:pPr>
        <w:shd w:val="clea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pPr>
        <w:pStyle w:val="6"/>
        <w:shd w:val="clear"/>
        <w:spacing w:before="0" w:after="0" w:line="240" w:lineRule="auto"/>
        <w:rPr>
          <w:color w:val="auto"/>
          <w:sz w:val="28"/>
          <w:szCs w:val="28"/>
          <w:highlight w:val="none"/>
        </w:rPr>
      </w:pPr>
      <w:bookmarkStart w:id="2" w:name="_Toc17610"/>
      <w:r>
        <w:rPr>
          <w:rFonts w:hint="eastAsia"/>
          <w:color w:val="auto"/>
          <w:sz w:val="28"/>
          <w:szCs w:val="28"/>
          <w:highlight w:val="none"/>
        </w:rPr>
        <w:t>第二部分相关资料表格</w:t>
      </w:r>
      <w:bookmarkEnd w:id="2"/>
    </w:p>
    <w:p>
      <w:pPr>
        <w:pStyle w:val="7"/>
        <w:shd w:val="clear"/>
        <w:spacing w:before="0" w:after="0" w:line="240" w:lineRule="auto"/>
        <w:jc w:val="center"/>
        <w:rPr>
          <w:rFonts w:ascii="宋体" w:hAnsi="宋体" w:cs="宋体"/>
          <w:color w:val="auto"/>
          <w:sz w:val="24"/>
          <w:szCs w:val="24"/>
          <w:highlight w:val="none"/>
        </w:rPr>
      </w:pPr>
      <w:bookmarkStart w:id="3" w:name="_Toc4509"/>
      <w:r>
        <w:rPr>
          <w:rFonts w:hint="eastAsia" w:ascii="宋体" w:hAnsi="宋体" w:cs="宋体"/>
          <w:color w:val="auto"/>
          <w:sz w:val="24"/>
          <w:szCs w:val="24"/>
          <w:highlight w:val="none"/>
        </w:rPr>
        <w:t>附表一：投标资料表</w:t>
      </w:r>
      <w:bookmarkEnd w:id="3"/>
    </w:p>
    <w:tbl>
      <w:tblPr>
        <w:tblStyle w:val="38"/>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01"/>
        <w:gridCol w:w="2250"/>
        <w:gridCol w:w="535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00" w:hRule="atLeast"/>
        </w:trPr>
        <w:tc>
          <w:tcPr>
            <w:tcW w:w="801" w:type="dxa"/>
            <w:tcBorders>
              <w:tl2br w:val="nil"/>
              <w:tr2bl w:val="nil"/>
            </w:tcBorders>
            <w:vAlign w:val="center"/>
          </w:tcPr>
          <w:p>
            <w:pPr>
              <w:shd w:val="clear"/>
              <w:jc w:val="center"/>
              <w:rPr>
                <w:rFonts w:ascii="宋体" w:hAnsi="宋体"/>
                <w:color w:val="auto"/>
                <w:sz w:val="21"/>
                <w:szCs w:val="21"/>
                <w:highlight w:val="none"/>
              </w:rPr>
            </w:pPr>
            <w:r>
              <w:rPr>
                <w:rFonts w:hint="eastAsia" w:ascii="宋体" w:hAnsi="宋体"/>
                <w:color w:val="auto"/>
                <w:sz w:val="21"/>
                <w:szCs w:val="21"/>
                <w:highlight w:val="none"/>
              </w:rPr>
              <w:t>序号</w:t>
            </w:r>
          </w:p>
        </w:tc>
        <w:tc>
          <w:tcPr>
            <w:tcW w:w="7609" w:type="dxa"/>
            <w:gridSpan w:val="2"/>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内容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一、说明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ascii="宋体" w:hAnsi="宋体"/>
                <w:color w:val="auto"/>
                <w:sz w:val="21"/>
                <w:szCs w:val="21"/>
                <w:highlight w:val="none"/>
              </w:rPr>
            </w:pPr>
            <w:r>
              <w:rPr>
                <w:rFonts w:hint="eastAsia" w:ascii="宋体" w:hAnsi="宋体"/>
                <w:color w:val="auto"/>
                <w:sz w:val="21"/>
                <w:szCs w:val="21"/>
                <w:highlight w:val="none"/>
              </w:rPr>
              <w:t>1</w:t>
            </w:r>
          </w:p>
        </w:tc>
        <w:tc>
          <w:tcPr>
            <w:tcW w:w="7609" w:type="dxa"/>
            <w:gridSpan w:val="2"/>
            <w:tcBorders>
              <w:tl2br w:val="nil"/>
              <w:tr2bl w:val="nil"/>
            </w:tcBorders>
            <w:vAlign w:val="center"/>
          </w:tcPr>
          <w:p>
            <w:pPr>
              <w:shd w:val="clear"/>
              <w:rPr>
                <w:rFonts w:ascii="宋体" w:hAnsi="宋体"/>
                <w:b/>
                <w:bCs/>
                <w:color w:val="auto"/>
                <w:sz w:val="21"/>
                <w:szCs w:val="21"/>
                <w:highlight w:val="none"/>
              </w:rPr>
            </w:pPr>
            <w:r>
              <w:rPr>
                <w:rFonts w:hint="eastAsia" w:ascii="宋体" w:hAnsi="宋体"/>
                <w:b/>
                <w:bCs/>
                <w:color w:val="auto"/>
                <w:sz w:val="21"/>
                <w:szCs w:val="21"/>
                <w:highlight w:val="none"/>
              </w:rPr>
              <w:t>项目最高限价（</w:t>
            </w:r>
            <w:r>
              <w:rPr>
                <w:rFonts w:hint="eastAsia" w:ascii="宋体" w:hAnsi="宋体"/>
                <w:b/>
                <w:bCs/>
                <w:color w:val="auto"/>
                <w:sz w:val="21"/>
                <w:szCs w:val="21"/>
                <w:highlight w:val="none"/>
                <w:u w:val="single"/>
              </w:rPr>
              <w:t>单位：元</w:t>
            </w:r>
            <w:r>
              <w:rPr>
                <w:rFonts w:hint="eastAsia" w:ascii="宋体" w:hAnsi="宋体"/>
                <w:b/>
                <w:bCs/>
                <w:color w:val="auto"/>
                <w:sz w:val="21"/>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rPr>
                <w:rFonts w:hint="eastAsia" w:ascii="宋体" w:hAnsi="宋体" w:eastAsia="宋体"/>
                <w:b/>
                <w:bCs/>
                <w:color w:val="auto"/>
                <w:sz w:val="21"/>
                <w:szCs w:val="21"/>
                <w:highlight w:val="none"/>
                <w:lang w:eastAsia="zh-CN"/>
              </w:rPr>
            </w:pPr>
            <w:r>
              <w:rPr>
                <w:rFonts w:hint="eastAsia" w:ascii="宋体" w:hAnsi="宋体"/>
                <w:b w:val="0"/>
                <w:bCs w:val="0"/>
                <w:color w:val="auto"/>
                <w:sz w:val="21"/>
                <w:szCs w:val="21"/>
                <w:highlight w:val="none"/>
              </w:rPr>
              <w:t>与项目预算一致</w:t>
            </w:r>
            <w:r>
              <w:rPr>
                <w:rFonts w:hint="eastAsia" w:ascii="宋体" w:hAnsi="宋体"/>
                <w:b w:val="0"/>
                <w:bCs w:val="0"/>
                <w:color w:val="auto"/>
                <w:sz w:val="21"/>
                <w:szCs w:val="21"/>
                <w:highlight w:val="none"/>
                <w:lang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restart"/>
            <w:tcBorders>
              <w:tl2br w:val="nil"/>
              <w:tr2bl w:val="nil"/>
            </w:tcBorders>
            <w:vAlign w:val="center"/>
          </w:tcPr>
          <w:p>
            <w:pPr>
              <w:shd w:val="clear"/>
              <w:jc w:val="center"/>
              <w:rPr>
                <w:rFonts w:ascii="宋体" w:hAnsi="宋体"/>
                <w:color w:val="auto"/>
                <w:sz w:val="21"/>
                <w:szCs w:val="21"/>
                <w:highlight w:val="none"/>
              </w:rPr>
            </w:pPr>
            <w:r>
              <w:rPr>
                <w:rFonts w:hint="eastAsia" w:ascii="宋体" w:hAnsi="宋体"/>
                <w:color w:val="auto"/>
                <w:sz w:val="21"/>
                <w:szCs w:val="21"/>
                <w:highlight w:val="none"/>
              </w:rPr>
              <w:t>2</w:t>
            </w:r>
          </w:p>
        </w:tc>
        <w:tc>
          <w:tcPr>
            <w:tcW w:w="7609" w:type="dxa"/>
            <w:gridSpan w:val="2"/>
            <w:tcBorders>
              <w:tl2br w:val="nil"/>
              <w:tr2bl w:val="nil"/>
            </w:tcBorders>
            <w:vAlign w:val="center"/>
          </w:tcPr>
          <w:p>
            <w:pPr>
              <w:shd w:val="clear"/>
              <w:rPr>
                <w:rFonts w:ascii="宋体" w:hAnsi="宋体"/>
                <w:b/>
                <w:bCs/>
                <w:color w:val="auto"/>
                <w:sz w:val="21"/>
                <w:szCs w:val="21"/>
                <w:highlight w:val="none"/>
              </w:rPr>
            </w:pPr>
            <w:r>
              <w:rPr>
                <w:rFonts w:hint="eastAsia" w:ascii="宋体" w:hAnsi="宋体"/>
                <w:b/>
                <w:bCs/>
                <w:color w:val="auto"/>
                <w:sz w:val="21"/>
                <w:szCs w:val="21"/>
                <w:highlight w:val="none"/>
              </w:rPr>
              <w:t>发包方式</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rPr>
                <w:rFonts w:ascii="宋体" w:hAnsi="宋体"/>
                <w:b/>
                <w:bCs/>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b/>
                <w:bCs/>
                <w:color w:val="auto"/>
                <w:sz w:val="21"/>
                <w:szCs w:val="21"/>
                <w:highlight w:val="none"/>
              </w:rPr>
              <w:t>固定总价包干；</w:t>
            </w:r>
          </w:p>
          <w:p>
            <w:pPr>
              <w:shd w:val="clear"/>
              <w:rPr>
                <w:rFonts w:ascii="宋体" w:hAnsi="宋体"/>
                <w:b/>
                <w:bCs/>
                <w:color w:val="auto"/>
                <w:sz w:val="21"/>
                <w:szCs w:val="21"/>
                <w:highlight w:val="none"/>
              </w:rPr>
            </w:pPr>
            <w:r>
              <w:rPr>
                <w:rFonts w:hint="eastAsia" w:ascii="宋体" w:hAnsi="宋体"/>
                <w:b/>
                <w:bCs/>
                <w:color w:val="auto"/>
                <w:sz w:val="21"/>
                <w:szCs w:val="21"/>
                <w:highlight w:val="none"/>
              </w:rPr>
              <w:sym w:font="Wingdings" w:char="00A8"/>
            </w:r>
            <w:r>
              <w:rPr>
                <w:rFonts w:hint="eastAsia" w:ascii="宋体" w:hAnsi="宋体"/>
                <w:b/>
                <w:bCs/>
                <w:color w:val="auto"/>
                <w:sz w:val="21"/>
                <w:szCs w:val="21"/>
                <w:highlight w:val="none"/>
              </w:rPr>
              <w:t>固定单价暂定总价包干；</w:t>
            </w:r>
          </w:p>
          <w:p>
            <w:pPr>
              <w:shd w:val="clear"/>
              <w:rPr>
                <w:rFonts w:ascii="宋体" w:hAnsi="宋体"/>
                <w:b/>
                <w:bCs/>
                <w:color w:val="auto"/>
                <w:sz w:val="21"/>
                <w:szCs w:val="21"/>
                <w:highlight w:val="none"/>
                <w:u w:val="single"/>
              </w:rPr>
            </w:pPr>
            <w:r>
              <w:rPr>
                <w:rFonts w:hint="eastAsia" w:ascii="宋体" w:hAnsi="宋体"/>
                <w:b/>
                <w:bCs/>
                <w:color w:val="auto"/>
                <w:sz w:val="21"/>
                <w:szCs w:val="21"/>
                <w:highlight w:val="none"/>
              </w:rPr>
              <w:sym w:font="Wingdings" w:char="00A8"/>
            </w:r>
            <w:r>
              <w:rPr>
                <w:rFonts w:hint="eastAsia" w:ascii="宋体" w:hAnsi="宋体"/>
                <w:b/>
                <w:bCs/>
                <w:color w:val="auto"/>
                <w:sz w:val="21"/>
                <w:szCs w:val="21"/>
                <w:highlight w:val="none"/>
              </w:rPr>
              <w:t>费率</w:t>
            </w:r>
            <w:r>
              <w:rPr>
                <w:rFonts w:hint="eastAsia" w:ascii="宋体" w:hAnsi="宋体"/>
                <w:b/>
                <w:bCs/>
                <w:color w:val="auto"/>
                <w:sz w:val="21"/>
                <w:szCs w:val="21"/>
                <w:highlight w:val="none"/>
                <w:u w:val="single"/>
              </w:rPr>
              <w:t xml:space="preserve">         ；</w:t>
            </w:r>
          </w:p>
          <w:p>
            <w:pPr>
              <w:shd w:val="clear"/>
              <w:rPr>
                <w:rFonts w:ascii="宋体" w:hAnsi="宋体"/>
                <w:b/>
                <w:bCs/>
                <w:color w:val="auto"/>
                <w:sz w:val="21"/>
                <w:szCs w:val="21"/>
                <w:highlight w:val="none"/>
              </w:rPr>
            </w:pPr>
            <w:r>
              <w:rPr>
                <w:rFonts w:hint="eastAsia" w:ascii="宋体" w:hAnsi="宋体"/>
                <w:b/>
                <w:bCs/>
                <w:color w:val="auto"/>
                <w:sz w:val="21"/>
                <w:szCs w:val="21"/>
                <w:highlight w:val="none"/>
              </w:rPr>
              <w:sym w:font="Wingdings" w:char="00A8"/>
            </w:r>
            <w:r>
              <w:rPr>
                <w:rFonts w:hint="eastAsia" w:ascii="宋体" w:hAnsi="宋体"/>
                <w:b/>
                <w:bCs/>
                <w:color w:val="auto"/>
                <w:sz w:val="21"/>
                <w:szCs w:val="21"/>
                <w:highlight w:val="none"/>
              </w:rPr>
              <w:t>其他</w:t>
            </w:r>
            <w:r>
              <w:rPr>
                <w:rFonts w:hint="eastAsia" w:ascii="宋体" w:hAnsi="宋体"/>
                <w:b/>
                <w:bCs/>
                <w:color w:val="auto"/>
                <w:sz w:val="21"/>
                <w:szCs w:val="21"/>
                <w:highlight w:val="none"/>
                <w:u w:val="single"/>
              </w:rPr>
              <w:t xml:space="preserve">           </w:t>
            </w:r>
            <w:r>
              <w:rPr>
                <w:rFonts w:hint="eastAsia" w:ascii="宋体" w:hAnsi="宋体"/>
                <w:b/>
                <w:bCs/>
                <w:color w:val="auto"/>
                <w:sz w:val="21"/>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val="en-US" w:eastAsia="zh-CN"/>
              </w:rPr>
            </w:pPr>
            <w:r>
              <w:rPr>
                <w:rFonts w:hint="eastAsia" w:ascii="宋体" w:hAnsi="宋体"/>
                <w:color w:val="auto"/>
                <w:szCs w:val="21"/>
                <w:highlight w:val="none"/>
              </w:rPr>
              <w:t>3</w:t>
            </w:r>
          </w:p>
        </w:tc>
        <w:tc>
          <w:tcPr>
            <w:tcW w:w="7609" w:type="dxa"/>
            <w:gridSpan w:val="2"/>
            <w:tcBorders>
              <w:tl2br w:val="nil"/>
              <w:tr2bl w:val="nil"/>
            </w:tcBorders>
            <w:vAlign w:val="center"/>
          </w:tcPr>
          <w:p>
            <w:pPr>
              <w:shd w:val="clear"/>
              <w:rPr>
                <w:rFonts w:hint="eastAsia" w:ascii="宋体" w:hAnsi="宋体"/>
                <w:b/>
                <w:bCs/>
                <w:color w:val="auto"/>
                <w:sz w:val="21"/>
                <w:szCs w:val="21"/>
                <w:highlight w:val="none"/>
              </w:rPr>
            </w:pPr>
            <w:r>
              <w:rPr>
                <w:rFonts w:hint="eastAsia" w:ascii="宋体" w:hAnsi="宋体"/>
                <w:b/>
                <w:bCs/>
                <w:color w:val="auto"/>
                <w:szCs w:val="21"/>
                <w:highlight w:val="none"/>
              </w:rPr>
              <w:t>是否接受联合体投标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right w:val="single" w:color="auto" w:sz="4" w:space="0"/>
              <w:tl2br w:val="nil"/>
              <w:tr2bl w:val="nil"/>
            </w:tcBorders>
            <w:shd w:val="clear" w:color="auto" w:fill="auto"/>
            <w:vAlign w:val="center"/>
          </w:tcPr>
          <w:p>
            <w:pPr>
              <w:pStyle w:val="45"/>
              <w:shd w:val="clear"/>
              <w:ind w:firstLine="0" w:firstLineChars="0"/>
              <w:rPr>
                <w:rFonts w:ascii="宋体" w:hAnsi="宋体" w:cs="宋体"/>
                <w:color w:val="auto"/>
                <w:szCs w:val="21"/>
                <w:highlight w:val="none"/>
              </w:rPr>
            </w:pPr>
            <w:r>
              <w:rPr>
                <w:rFonts w:hint="eastAsia" w:ascii="宋体" w:hAnsi="宋体"/>
                <w:b/>
                <w:bCs/>
                <w:color w:val="auto"/>
                <w:sz w:val="21"/>
                <w:szCs w:val="21"/>
                <w:highlight w:val="none"/>
              </w:rPr>
              <w:sym w:font="Wingdings" w:char="00A8"/>
            </w:r>
            <w:r>
              <w:rPr>
                <w:rFonts w:hint="eastAsia" w:ascii="宋体" w:hAnsi="宋体" w:cs="宋体"/>
                <w:color w:val="auto"/>
                <w:szCs w:val="21"/>
                <w:highlight w:val="none"/>
              </w:rPr>
              <w:t>是，</w:t>
            </w:r>
            <w:r>
              <w:rPr>
                <w:rFonts w:hint="eastAsia" w:ascii="宋体" w:hAnsi="宋体"/>
                <w:color w:val="auto"/>
                <w:szCs w:val="21"/>
                <w:highlight w:val="none"/>
              </w:rPr>
              <w:t>联合体投标的，应满足下列要求：</w:t>
            </w:r>
            <w:r>
              <w:rPr>
                <w:rFonts w:ascii="宋体" w:hAnsi="宋体"/>
                <w:color w:val="auto"/>
                <w:szCs w:val="21"/>
                <w:highlight w:val="none"/>
                <w:u w:val="single"/>
              </w:rPr>
              <w:t xml:space="preserve">         </w:t>
            </w:r>
            <w:r>
              <w:rPr>
                <w:rFonts w:hint="eastAsia" w:ascii="宋体" w:hAnsi="宋体" w:cs="宋体"/>
                <w:color w:val="auto"/>
                <w:szCs w:val="21"/>
                <w:highlight w:val="none"/>
              </w:rPr>
              <w:t>；</w:t>
            </w:r>
          </w:p>
          <w:p>
            <w:pPr>
              <w:shd w:val="clear"/>
              <w:rPr>
                <w:rFonts w:hint="eastAsia" w:ascii="宋体" w:hAnsi="宋体"/>
                <w:b/>
                <w:bCs/>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cs="宋体"/>
                <w:color w:val="auto"/>
                <w:szCs w:val="21"/>
                <w:highlight w:val="none"/>
              </w:rPr>
              <w:t>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4</w:t>
            </w:r>
          </w:p>
        </w:tc>
        <w:tc>
          <w:tcPr>
            <w:tcW w:w="7609" w:type="dxa"/>
            <w:gridSpan w:val="2"/>
            <w:tcBorders>
              <w:right w:val="single" w:color="auto" w:sz="4" w:space="0"/>
              <w:tl2br w:val="nil"/>
              <w:tr2bl w:val="nil"/>
            </w:tcBorders>
            <w:shd w:val="clear" w:color="auto" w:fill="auto"/>
            <w:vAlign w:val="center"/>
          </w:tcPr>
          <w:p>
            <w:pPr>
              <w:shd w:val="clear"/>
              <w:rPr>
                <w:rFonts w:ascii="宋体" w:hAnsi="宋体"/>
                <w:b/>
                <w:bCs/>
                <w:color w:val="auto"/>
                <w:sz w:val="21"/>
                <w:szCs w:val="21"/>
                <w:highlight w:val="none"/>
              </w:rPr>
            </w:pPr>
            <w:r>
              <w:rPr>
                <w:rFonts w:hint="eastAsia" w:ascii="宋体" w:hAnsi="宋体"/>
                <w:b/>
                <w:bCs/>
                <w:color w:val="auto"/>
                <w:sz w:val="21"/>
                <w:szCs w:val="21"/>
                <w:highlight w:val="none"/>
              </w:rPr>
              <w:t>资金来源</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both"/>
              <w:rPr>
                <w:rFonts w:ascii="宋体" w:hAnsi="宋体"/>
                <w:color w:val="auto"/>
                <w:sz w:val="21"/>
                <w:szCs w:val="21"/>
                <w:highlight w:val="none"/>
              </w:rPr>
            </w:pPr>
          </w:p>
        </w:tc>
        <w:tc>
          <w:tcPr>
            <w:tcW w:w="7609" w:type="dxa"/>
            <w:gridSpan w:val="2"/>
            <w:tcBorders>
              <w:right w:val="single" w:color="auto" w:sz="4" w:space="0"/>
              <w:tl2br w:val="nil"/>
              <w:tr2bl w:val="nil"/>
            </w:tcBorders>
            <w:shd w:val="clear" w:color="auto" w:fill="auto"/>
            <w:vAlign w:val="center"/>
          </w:tcPr>
          <w:p>
            <w:pPr>
              <w:shd w:val="clear"/>
              <w:rPr>
                <w:rFonts w:hint="eastAsia" w:ascii="宋体" w:hAnsi="宋体" w:eastAsia="宋体"/>
                <w:b/>
                <w:bCs/>
                <w:color w:val="auto"/>
                <w:sz w:val="21"/>
                <w:szCs w:val="21"/>
                <w:highlight w:val="none"/>
                <w:lang w:eastAsia="zh-CN"/>
              </w:rPr>
            </w:pPr>
            <w:r>
              <w:rPr>
                <w:rFonts w:hint="eastAsia" w:ascii="宋体" w:hAnsi="宋体" w:eastAsia="宋体" w:cstheme="minorBidi"/>
                <w:color w:val="auto"/>
                <w:sz w:val="21"/>
                <w:szCs w:val="21"/>
                <w:highlight w:val="none"/>
                <w:u w:val="none"/>
                <w:lang w:val="en-US" w:eastAsia="zh-CN" w:bidi="ar-SA"/>
              </w:rPr>
              <w:t>自筹资金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5</w:t>
            </w:r>
          </w:p>
        </w:tc>
        <w:tc>
          <w:tcPr>
            <w:tcW w:w="7609" w:type="dxa"/>
            <w:gridSpan w:val="2"/>
            <w:tcBorders>
              <w:right w:val="single" w:color="auto" w:sz="4" w:space="0"/>
              <w:tl2br w:val="nil"/>
              <w:tr2bl w:val="nil"/>
            </w:tcBorders>
            <w:shd w:val="clear" w:color="auto" w:fill="auto"/>
            <w:vAlign w:val="center"/>
          </w:tcPr>
          <w:p>
            <w:pPr>
              <w:shd w:val="clear"/>
              <w:rPr>
                <w:rFonts w:ascii="宋体" w:hAnsi="宋体"/>
                <w:b/>
                <w:color w:val="auto"/>
                <w:sz w:val="21"/>
                <w:szCs w:val="21"/>
                <w:highlight w:val="none"/>
              </w:rPr>
            </w:pPr>
            <w:r>
              <w:rPr>
                <w:rFonts w:hint="eastAsia" w:ascii="宋体" w:hAnsi="宋体"/>
                <w:b/>
                <w:color w:val="auto"/>
                <w:sz w:val="21"/>
                <w:szCs w:val="21"/>
                <w:highlight w:val="none"/>
              </w:rPr>
              <w:t>踏勘现场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right w:val="single" w:color="auto" w:sz="4" w:space="0"/>
              <w:tl2br w:val="nil"/>
              <w:tr2bl w:val="nil"/>
            </w:tcBorders>
            <w:shd w:val="clear" w:color="auto" w:fill="auto"/>
            <w:vAlign w:val="center"/>
          </w:tcPr>
          <w:p>
            <w:pPr>
              <w:shd w:val="clear"/>
              <w:rPr>
                <w:rFonts w:ascii="宋体" w:hAnsi="宋体"/>
                <w:bCs/>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bCs/>
                <w:color w:val="auto"/>
                <w:sz w:val="21"/>
                <w:szCs w:val="21"/>
                <w:highlight w:val="none"/>
              </w:rPr>
              <w:t>不组织 。</w:t>
            </w:r>
          </w:p>
          <w:p>
            <w:pPr>
              <w:shd w:val="clear"/>
              <w:rPr>
                <w:rFonts w:hint="default" w:ascii="宋体" w:hAnsi="宋体" w:eastAsia="宋体"/>
                <w:bCs/>
                <w:color w:val="auto"/>
                <w:sz w:val="21"/>
                <w:szCs w:val="21"/>
                <w:highlight w:val="none"/>
                <w:lang w:val="en-US" w:eastAsia="zh-CN"/>
              </w:rPr>
            </w:pPr>
            <w:r>
              <w:rPr>
                <w:rFonts w:hint="eastAsia" w:ascii="宋体" w:hAnsi="宋体"/>
                <w:b/>
                <w:bCs/>
                <w:color w:val="auto"/>
                <w:sz w:val="21"/>
                <w:szCs w:val="21"/>
                <w:highlight w:val="none"/>
              </w:rPr>
              <w:sym w:font="Wingdings" w:char="00A8"/>
            </w:r>
            <w:r>
              <w:rPr>
                <w:rFonts w:hint="eastAsia" w:ascii="宋体" w:hAnsi="宋体"/>
                <w:bCs/>
                <w:color w:val="auto"/>
                <w:sz w:val="21"/>
                <w:szCs w:val="21"/>
                <w:highlight w:val="none"/>
              </w:rPr>
              <w:t>组织，踏勘现场时间、地点：</w:t>
            </w:r>
            <w:r>
              <w:rPr>
                <w:rFonts w:ascii="宋体" w:hAnsi="宋体"/>
                <w:color w:val="auto"/>
                <w:szCs w:val="21"/>
                <w:highlight w:val="none"/>
                <w:u w:val="single"/>
              </w:rPr>
              <w:t xml:space="preserve">         </w:t>
            </w:r>
            <w:r>
              <w:rPr>
                <w:rFonts w:hint="eastAsia" w:ascii="宋体" w:hAnsi="宋体" w:cs="宋体"/>
                <w:color w:val="auto"/>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二、投标文件的编制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6</w:t>
            </w:r>
          </w:p>
        </w:tc>
        <w:tc>
          <w:tcPr>
            <w:tcW w:w="7609" w:type="dxa"/>
            <w:gridSpan w:val="2"/>
            <w:tcBorders>
              <w:tl2br w:val="nil"/>
              <w:tr2bl w:val="nil"/>
            </w:tcBorders>
            <w:vAlign w:val="center"/>
          </w:tcPr>
          <w:p>
            <w:pPr>
              <w:shd w:val="clear"/>
              <w:rPr>
                <w:rFonts w:ascii="宋体" w:hAnsi="宋体"/>
                <w:b/>
                <w:color w:val="auto"/>
                <w:sz w:val="21"/>
                <w:szCs w:val="21"/>
                <w:highlight w:val="none"/>
              </w:rPr>
            </w:pPr>
            <w:r>
              <w:rPr>
                <w:rFonts w:hint="eastAsia" w:ascii="宋体" w:hAnsi="宋体"/>
                <w:b/>
                <w:color w:val="auto"/>
                <w:sz w:val="21"/>
                <w:szCs w:val="21"/>
                <w:highlight w:val="none"/>
              </w:rPr>
              <w:t>投标语言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rPr>
                <w:rFonts w:ascii="宋体" w:hAnsi="宋体"/>
                <w:b/>
                <w:color w:val="auto"/>
                <w:sz w:val="21"/>
                <w:szCs w:val="21"/>
                <w:highlight w:val="none"/>
              </w:rPr>
            </w:pPr>
            <w:r>
              <w:rPr>
                <w:rFonts w:hint="eastAsia" w:ascii="宋体" w:hAnsi="宋体"/>
                <w:color w:val="auto"/>
                <w:sz w:val="21"/>
                <w:szCs w:val="21"/>
                <w:highlight w:val="none"/>
              </w:rPr>
              <w:t>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7</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投标报价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color w:val="auto"/>
                <w:sz w:val="21"/>
                <w:szCs w:val="21"/>
                <w:highlight w:val="none"/>
              </w:rPr>
              <w:t>详见投标人须知。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0"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0"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color w:val="auto"/>
                <w:sz w:val="21"/>
                <w:szCs w:val="21"/>
                <w:highlight w:val="none"/>
              </w:rPr>
              <w:t>（1）投标保证金金额：</w:t>
            </w:r>
            <w:r>
              <w:rPr>
                <w:rFonts w:hint="eastAsia" w:ascii="宋体" w:hAnsi="宋体" w:eastAsia="宋体"/>
                <w:color w:val="auto"/>
                <w:sz w:val="21"/>
                <w:szCs w:val="21"/>
                <w:highlight w:val="none"/>
              </w:rPr>
              <w:t>人民币</w:t>
            </w:r>
            <w:r>
              <w:rPr>
                <w:rFonts w:hint="eastAsia" w:ascii="宋体" w:hAnsi="宋体"/>
                <w:b/>
                <w:bCs/>
                <w:color w:val="auto"/>
                <w:sz w:val="21"/>
                <w:szCs w:val="21"/>
                <w:highlight w:val="none"/>
                <w:lang w:val="en-US" w:eastAsia="zh-CN"/>
              </w:rPr>
              <w:t>捌仟元整</w:t>
            </w:r>
            <w:r>
              <w:rPr>
                <w:rFonts w:hint="eastAsia" w:ascii="宋体" w:hAnsi="宋体" w:eastAsia="宋体"/>
                <w:color w:val="auto"/>
                <w:sz w:val="21"/>
                <w:szCs w:val="21"/>
                <w:highlight w:val="none"/>
              </w:rPr>
              <w:t>（</w:t>
            </w:r>
            <w:r>
              <w:rPr>
                <w:rFonts w:hint="eastAsia" w:ascii="宋体" w:hAnsi="宋体"/>
                <w:b/>
                <w:bCs/>
                <w:color w:val="auto"/>
                <w:sz w:val="21"/>
                <w:szCs w:val="21"/>
                <w:highlight w:val="none"/>
                <w:lang w:val="en-US" w:eastAsia="zh-CN"/>
              </w:rPr>
              <w:t>¥8</w:t>
            </w:r>
            <w:r>
              <w:rPr>
                <w:rFonts w:hint="eastAsia" w:ascii="宋体" w:hAnsi="宋体" w:eastAsia="宋体"/>
                <w:b/>
                <w:bCs/>
                <w:color w:val="auto"/>
                <w:sz w:val="21"/>
                <w:szCs w:val="21"/>
                <w:highlight w:val="none"/>
                <w:lang w:val="en-US" w:eastAsia="zh-CN"/>
              </w:rPr>
              <w:t>,000.00</w:t>
            </w:r>
            <w:r>
              <w:rPr>
                <w:rFonts w:hint="eastAsia" w:ascii="宋体" w:hAnsi="宋体"/>
                <w:b/>
                <w:bCs/>
                <w:color w:val="auto"/>
                <w:sz w:val="21"/>
                <w:szCs w:val="21"/>
                <w:highlight w:val="none"/>
                <w:lang w:val="en-US" w:eastAsia="zh-CN"/>
              </w:rPr>
              <w:t>元</w:t>
            </w:r>
            <w:r>
              <w:rPr>
                <w:rFonts w:hint="eastAsia" w:ascii="宋体" w:hAnsi="宋体" w:eastAsia="宋体"/>
                <w:color w:val="auto"/>
                <w:sz w:val="21"/>
                <w:szCs w:val="21"/>
                <w:highlight w:val="none"/>
              </w:rPr>
              <w:t>）</w:t>
            </w:r>
            <w:r>
              <w:rPr>
                <w:rFonts w:hint="eastAsia" w:ascii="宋体" w:hAnsi="宋体"/>
                <w:color w:val="auto"/>
                <w:sz w:val="21"/>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73"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tabs>
                <w:tab w:val="left" w:pos="567"/>
              </w:tabs>
              <w:jc w:val="both"/>
              <w:rPr>
                <w:rFonts w:hAnsi="宋体"/>
                <w:color w:val="auto"/>
                <w:kern w:val="2"/>
                <w:sz w:val="21"/>
                <w:szCs w:val="21"/>
                <w:highlight w:val="none"/>
                <w:lang w:val="zh-CN"/>
              </w:rPr>
            </w:pPr>
            <w:r>
              <w:rPr>
                <w:rFonts w:hint="eastAsia" w:ascii="宋体" w:hAnsi="宋体"/>
                <w:color w:val="auto"/>
                <w:sz w:val="21"/>
                <w:szCs w:val="21"/>
                <w:highlight w:val="none"/>
              </w:rPr>
              <w:t>（2）</w:t>
            </w:r>
            <w:r>
              <w:rPr>
                <w:rFonts w:hint="eastAsia" w:hAnsi="宋体"/>
                <w:color w:val="auto"/>
                <w:kern w:val="2"/>
                <w:sz w:val="21"/>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pPr>
              <w:shd w:val="clear"/>
              <w:tabs>
                <w:tab w:val="left" w:pos="567"/>
              </w:tabs>
              <w:ind w:left="567" w:hanging="567"/>
              <w:jc w:val="both"/>
              <w:rPr>
                <w:rFonts w:hAnsi="宋体"/>
                <w:color w:val="auto"/>
                <w:kern w:val="2"/>
                <w:sz w:val="21"/>
                <w:szCs w:val="21"/>
                <w:highlight w:val="none"/>
                <w:lang w:val="zh-CN"/>
              </w:rPr>
            </w:pPr>
            <w:r>
              <w:rPr>
                <w:rFonts w:hint="eastAsia" w:hAnsi="宋体"/>
                <w:color w:val="auto"/>
                <w:kern w:val="2"/>
                <w:sz w:val="21"/>
                <w:szCs w:val="21"/>
                <w:highlight w:val="none"/>
                <w:lang w:val="zh-CN"/>
              </w:rPr>
              <w:t>投标保证金专用账户如下：</w:t>
            </w:r>
          </w:p>
          <w:p>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帐户名称： </w:t>
            </w:r>
            <w:r>
              <w:rPr>
                <w:rFonts w:hint="eastAsia" w:hAnsi="宋体" w:cs="宋体"/>
                <w:color w:val="auto"/>
                <w:kern w:val="2"/>
                <w:sz w:val="21"/>
                <w:szCs w:val="21"/>
                <w:highlight w:val="none"/>
                <w:u w:val="single"/>
              </w:rPr>
              <w:t xml:space="preserve"> </w:t>
            </w:r>
            <w:r>
              <w:rPr>
                <w:rFonts w:hint="eastAsia" w:ascii="宋体" w:hAnsi="宋体" w:cs="宋体"/>
                <w:color w:val="auto"/>
                <w:sz w:val="21"/>
                <w:szCs w:val="21"/>
                <w:highlight w:val="none"/>
                <w:u w:val="single"/>
              </w:rPr>
              <w:t>广西同泽工程项目管理股份有限公司东莞分公司</w:t>
            </w:r>
            <w:r>
              <w:rPr>
                <w:rFonts w:hint="eastAsia" w:hAnsi="宋体" w:cs="宋体"/>
                <w:color w:val="auto"/>
                <w:kern w:val="2"/>
                <w:sz w:val="21"/>
                <w:szCs w:val="21"/>
                <w:highlight w:val="none"/>
                <w:u w:val="single"/>
              </w:rPr>
              <w:t xml:space="preserve">  </w:t>
            </w:r>
            <w:r>
              <w:rPr>
                <w:rFonts w:hint="eastAsia" w:hAnsi="宋体" w:cs="宋体"/>
                <w:color w:val="auto"/>
                <w:kern w:val="2"/>
                <w:sz w:val="21"/>
                <w:szCs w:val="21"/>
                <w:highlight w:val="none"/>
                <w:u w:val="single"/>
                <w:lang w:val="zh-CN"/>
              </w:rPr>
              <w:t>；</w:t>
            </w:r>
          </w:p>
          <w:p>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开户银行： </w:t>
            </w:r>
            <w:r>
              <w:rPr>
                <w:rFonts w:hint="eastAsia" w:hAnsi="宋体" w:cs="宋体"/>
                <w:color w:val="auto"/>
                <w:kern w:val="2"/>
                <w:sz w:val="21"/>
                <w:szCs w:val="21"/>
                <w:highlight w:val="none"/>
                <w:u w:val="single"/>
              </w:rPr>
              <w:t xml:space="preserve">  中国民生银行东莞松山湖支行  </w:t>
            </w:r>
            <w:r>
              <w:rPr>
                <w:rFonts w:hint="eastAsia" w:hAnsi="宋体" w:cs="宋体"/>
                <w:color w:val="auto"/>
                <w:kern w:val="2"/>
                <w:sz w:val="21"/>
                <w:szCs w:val="21"/>
                <w:highlight w:val="none"/>
                <w:lang w:val="zh-CN"/>
              </w:rPr>
              <w:t>；</w:t>
            </w:r>
          </w:p>
          <w:p>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 w:val="21"/>
                <w:szCs w:val="21"/>
                <w:highlight w:val="none"/>
                <w:lang w:val="zh-CN"/>
              </w:rPr>
              <w:t xml:space="preserve">银行帐号： </w:t>
            </w:r>
            <w:r>
              <w:rPr>
                <w:rFonts w:hint="eastAsia" w:hAnsi="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w:t>
            </w:r>
            <w:r>
              <w:rPr>
                <w:rFonts w:hint="eastAsia" w:ascii="宋体" w:hAnsi="宋体" w:cs="宋体"/>
                <w:color w:val="auto"/>
                <w:sz w:val="21"/>
                <w:szCs w:val="21"/>
                <w:highlight w:val="none"/>
                <w:u w:val="single"/>
              </w:rPr>
              <w:t>641169654</w:t>
            </w:r>
            <w:r>
              <w:rPr>
                <w:rFonts w:hint="eastAsia" w:ascii="宋体" w:hAnsi="宋体" w:eastAsia="宋体" w:cs="宋体"/>
                <w:color w:val="auto"/>
                <w:kern w:val="2"/>
                <w:sz w:val="21"/>
                <w:szCs w:val="21"/>
                <w:highlight w:val="none"/>
                <w:u w:val="single"/>
                <w:lang w:val="en-US" w:eastAsia="zh-CN"/>
              </w:rPr>
              <w:t xml:space="preserve"> </w:t>
            </w:r>
            <w:r>
              <w:rPr>
                <w:rFonts w:hint="eastAsia" w:hAnsi="宋体" w:cs="宋体"/>
                <w:color w:val="auto"/>
                <w:kern w:val="2"/>
                <w:sz w:val="21"/>
                <w:szCs w:val="21"/>
                <w:highlight w:val="none"/>
                <w:u w:val="single"/>
                <w:lang w:val="en-US" w:eastAsia="zh-CN"/>
              </w:rPr>
              <w:t xml:space="preserve"> </w:t>
            </w:r>
            <w:r>
              <w:rPr>
                <w:rFonts w:hint="eastAsia" w:hAnsi="宋体" w:cs="宋体"/>
                <w:color w:val="auto"/>
                <w:kern w:val="2"/>
                <w:sz w:val="21"/>
                <w:szCs w:val="21"/>
                <w:highlight w:val="none"/>
                <w:u w:val="single"/>
                <w:lang w:val="zh-CN"/>
              </w:rPr>
              <w:t>；</w:t>
            </w:r>
            <w:r>
              <w:rPr>
                <w:rFonts w:hint="eastAsia" w:hAnsi="宋体" w:cs="宋体"/>
                <w:color w:val="auto"/>
                <w:kern w:val="2"/>
                <w:sz w:val="21"/>
                <w:szCs w:val="21"/>
                <w:highlight w:val="none"/>
                <w:u w:val="single"/>
              </w:rPr>
              <w:t xml:space="preserve">  </w:t>
            </w:r>
          </w:p>
          <w:p>
            <w:pPr>
              <w:shd w:val="clear"/>
              <w:tabs>
                <w:tab w:val="left" w:pos="567"/>
              </w:tabs>
              <w:ind w:firstLine="422" w:firstLineChars="200"/>
              <w:jc w:val="both"/>
              <w:rPr>
                <w:rFonts w:ascii="宋体" w:hAnsi="宋体"/>
                <w:b/>
                <w:color w:val="auto"/>
                <w:sz w:val="21"/>
                <w:szCs w:val="21"/>
                <w:highlight w:val="none"/>
              </w:rPr>
            </w:pPr>
            <w:r>
              <w:rPr>
                <w:rFonts w:hint="eastAsia" w:hAnsi="宋体" w:cs="宋体"/>
                <w:b/>
                <w:color w:val="auto"/>
                <w:sz w:val="21"/>
                <w:szCs w:val="21"/>
                <w:highlight w:val="none"/>
              </w:rPr>
              <w:t>（注：各投标人在转帐或电汇时须在用途栏上备注项目编号，及项目名称，如有字数限制项目名称可简写。）</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0" w:hRule="atLeast"/>
        </w:trPr>
        <w:tc>
          <w:tcPr>
            <w:tcW w:w="801" w:type="dxa"/>
            <w:vMerge w:val="restart"/>
            <w:tcBorders>
              <w:tl2br w:val="nil"/>
              <w:tr2bl w:val="nil"/>
            </w:tcBorders>
            <w:vAlign w:val="center"/>
          </w:tcPr>
          <w:p>
            <w:pPr>
              <w:shd w:val="clear"/>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9</w:t>
            </w:r>
          </w:p>
        </w:tc>
        <w:tc>
          <w:tcPr>
            <w:tcW w:w="7609" w:type="dxa"/>
            <w:gridSpan w:val="2"/>
            <w:tcBorders>
              <w:tl2br w:val="nil"/>
              <w:tr2bl w:val="nil"/>
            </w:tcBorders>
            <w:vAlign w:val="center"/>
          </w:tcPr>
          <w:p>
            <w:pPr>
              <w:shd w:val="clear"/>
              <w:jc w:val="both"/>
              <w:rPr>
                <w:rFonts w:ascii="宋体" w:hAnsi="宋体"/>
                <w:b/>
                <w:bCs/>
                <w:color w:val="auto"/>
                <w:sz w:val="21"/>
                <w:szCs w:val="21"/>
                <w:highlight w:val="none"/>
                <w:lang w:val="zh-CN"/>
              </w:rPr>
            </w:pPr>
            <w:r>
              <w:rPr>
                <w:rFonts w:hint="eastAsia" w:ascii="宋体" w:hAnsi="宋体"/>
                <w:b/>
                <w:bCs/>
                <w:color w:val="auto"/>
                <w:sz w:val="21"/>
                <w:szCs w:val="21"/>
                <w:highlight w:val="none"/>
                <w:lang w:val="zh-CN"/>
              </w:rPr>
              <w:t>投标保证金退还</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70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color w:val="auto"/>
                <w:sz w:val="21"/>
                <w:szCs w:val="21"/>
                <w:highlight w:val="none"/>
                <w:lang w:val="zh-CN"/>
              </w:rPr>
            </w:pPr>
            <w:r>
              <w:rPr>
                <w:rFonts w:hint="eastAsia" w:ascii="宋体" w:hAnsi="宋体"/>
                <w:color w:val="auto"/>
                <w:sz w:val="21"/>
                <w:szCs w:val="21"/>
                <w:highlight w:val="none"/>
                <w:lang w:val="zh-CN"/>
              </w:rPr>
              <w:t>（</w:t>
            </w:r>
            <w:r>
              <w:rPr>
                <w:rFonts w:hint="eastAsia" w:ascii="宋体" w:hAnsi="宋体"/>
                <w:color w:val="auto"/>
                <w:sz w:val="21"/>
                <w:szCs w:val="21"/>
                <w:highlight w:val="none"/>
              </w:rPr>
              <w:t>1</w:t>
            </w:r>
            <w:r>
              <w:rPr>
                <w:rFonts w:hint="eastAsia" w:ascii="宋体" w:hAnsi="宋体"/>
                <w:color w:val="auto"/>
                <w:sz w:val="21"/>
                <w:szCs w:val="21"/>
                <w:highlight w:val="none"/>
                <w:lang w:val="zh-CN"/>
              </w:rPr>
              <w:t>）未中标的投标人的保证金应当在中标通知书发出后退还，中标</w:t>
            </w:r>
            <w:r>
              <w:rPr>
                <w:rFonts w:hint="eastAsia" w:ascii="宋体" w:hAnsi="宋体"/>
                <w:color w:val="auto"/>
                <w:sz w:val="21"/>
                <w:szCs w:val="21"/>
                <w:highlight w:val="none"/>
              </w:rPr>
              <w:t>的</w:t>
            </w:r>
            <w:r>
              <w:rPr>
                <w:rFonts w:hint="eastAsia" w:ascii="宋体" w:hAnsi="宋体"/>
                <w:color w:val="auto"/>
                <w:sz w:val="21"/>
                <w:szCs w:val="21"/>
                <w:highlight w:val="none"/>
                <w:lang w:val="zh-CN"/>
              </w:rPr>
              <w:t>投标人的保证金应当在采购合同签订</w:t>
            </w:r>
            <w:r>
              <w:rPr>
                <w:rFonts w:hint="eastAsia" w:ascii="宋体" w:hAnsi="宋体"/>
                <w:color w:val="auto"/>
                <w:sz w:val="21"/>
                <w:szCs w:val="21"/>
                <w:highlight w:val="none"/>
              </w:rPr>
              <w:t>并缴纳履约保证金</w:t>
            </w:r>
            <w:r>
              <w:rPr>
                <w:rFonts w:hint="eastAsia" w:ascii="宋体" w:hAnsi="宋体"/>
                <w:color w:val="auto"/>
                <w:sz w:val="21"/>
                <w:szCs w:val="21"/>
                <w:highlight w:val="none"/>
                <w:lang w:val="zh-CN"/>
              </w:rPr>
              <w:t>后退还。</w:t>
            </w:r>
          </w:p>
          <w:p>
            <w:pPr>
              <w:shd w:val="clear"/>
              <w:jc w:val="both"/>
              <w:rPr>
                <w:color w:val="auto"/>
                <w:sz w:val="21"/>
                <w:szCs w:val="21"/>
                <w:highlight w:val="none"/>
              </w:rPr>
            </w:pPr>
            <w:r>
              <w:rPr>
                <w:rFonts w:hint="eastAsia" w:ascii="宋体" w:hAnsi="宋体"/>
                <w:color w:val="auto"/>
                <w:sz w:val="21"/>
                <w:szCs w:val="21"/>
                <w:highlight w:val="none"/>
                <w:lang w:val="zh-CN"/>
              </w:rPr>
              <w:t>（</w:t>
            </w:r>
            <w:r>
              <w:rPr>
                <w:rFonts w:hint="eastAsia" w:ascii="宋体" w:hAnsi="宋体"/>
                <w:color w:val="auto"/>
                <w:sz w:val="21"/>
                <w:szCs w:val="21"/>
                <w:highlight w:val="none"/>
              </w:rPr>
              <w:t>2</w:t>
            </w:r>
            <w:r>
              <w:rPr>
                <w:rFonts w:hint="eastAsia" w:ascii="宋体" w:hAnsi="宋体"/>
                <w:color w:val="auto"/>
                <w:sz w:val="21"/>
                <w:szCs w:val="21"/>
                <w:highlight w:val="none"/>
                <w:lang w:val="zh-CN"/>
              </w:rPr>
              <w:t>）为方便退还未中标的投标人的保证金，投标人应制作《投标保证金汇入情况说明》随唱标信封一并递交。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10</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投标有效期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color w:val="auto"/>
                <w:sz w:val="21"/>
                <w:szCs w:val="21"/>
                <w:highlight w:val="none"/>
              </w:rPr>
              <w:t>九十天。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11</w:t>
            </w:r>
          </w:p>
        </w:tc>
        <w:tc>
          <w:tcPr>
            <w:tcW w:w="7609" w:type="dxa"/>
            <w:gridSpan w:val="2"/>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投标文件类型</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份数</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唱标信封</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投标文件正本</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37"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投标文件副本</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bCs/>
                <w:color w:val="auto"/>
                <w:sz w:val="21"/>
                <w:szCs w:val="21"/>
                <w:highlight w:val="none"/>
              </w:rPr>
              <w:sym w:font="Wingdings" w:char="00FE"/>
            </w:r>
            <w:r>
              <w:rPr>
                <w:rFonts w:hint="eastAsia" w:ascii="宋体" w:hAnsi="宋体"/>
                <w:b/>
                <w:color w:val="auto"/>
                <w:sz w:val="21"/>
                <w:szCs w:val="21"/>
                <w:highlight w:val="none"/>
              </w:rPr>
              <w:t xml:space="preserve">5  </w:t>
            </w:r>
            <w:r>
              <w:rPr>
                <w:rFonts w:hint="eastAsia" w:ascii="宋体" w:hAnsi="宋体"/>
                <w:b/>
                <w:bCs/>
                <w:color w:val="auto"/>
                <w:sz w:val="21"/>
                <w:szCs w:val="21"/>
                <w:highlight w:val="none"/>
              </w:rPr>
              <w:sym w:font="Wingdings" w:char="00A8"/>
            </w:r>
            <w:r>
              <w:rPr>
                <w:rFonts w:hint="eastAsia" w:ascii="宋体" w:hAnsi="宋体"/>
                <w:b/>
                <w:color w:val="auto"/>
                <w:sz w:val="21"/>
                <w:szCs w:val="21"/>
                <w:highlight w:val="none"/>
              </w:rPr>
              <w:t>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vMerge w:val="restart"/>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电子文档</w:t>
            </w: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2250" w:type="dxa"/>
            <w:vMerge w:val="continue"/>
            <w:tcBorders>
              <w:tl2br w:val="nil"/>
              <w:tr2bl w:val="nil"/>
            </w:tcBorders>
            <w:vAlign w:val="center"/>
          </w:tcPr>
          <w:p>
            <w:pPr>
              <w:shd w:val="clear"/>
              <w:jc w:val="center"/>
              <w:rPr>
                <w:rFonts w:ascii="宋体" w:hAnsi="宋体"/>
                <w:b/>
                <w:color w:val="auto"/>
                <w:sz w:val="21"/>
                <w:szCs w:val="21"/>
                <w:highlight w:val="none"/>
              </w:rPr>
            </w:pPr>
          </w:p>
        </w:tc>
        <w:tc>
          <w:tcPr>
            <w:tcW w:w="5359" w:type="dxa"/>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cs="Times New Roman"/>
                <w:b/>
                <w:color w:val="auto"/>
                <w:sz w:val="21"/>
                <w:szCs w:val="21"/>
                <w:highlight w:val="none"/>
              </w:rPr>
              <w:t>U盘，须含盖章版PDF投标文件和WORD版投标文件各一版，文字采用WORD文档，计算表格采用 EXCEL文档。</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三、开标与评标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12</w:t>
            </w: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b/>
                <w:color w:val="auto"/>
                <w:sz w:val="21"/>
                <w:szCs w:val="21"/>
                <w:highlight w:val="none"/>
              </w:rPr>
              <w:t>本项目评标方法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color w:val="auto"/>
                <w:sz w:val="21"/>
                <w:szCs w:val="21"/>
                <w:highlight w:val="none"/>
              </w:rPr>
              <w:t>综合评分法。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13</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综合评分法评分因素和权重分值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color w:val="auto"/>
                <w:sz w:val="21"/>
                <w:szCs w:val="21"/>
                <w:highlight w:val="none"/>
              </w:rPr>
              <w:t>见附表二。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14</w:t>
            </w: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b/>
                <w:color w:val="auto"/>
                <w:sz w:val="21"/>
                <w:szCs w:val="21"/>
                <w:highlight w:val="none"/>
              </w:rPr>
              <w:t>评标委员会</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shd w:val="clear"/>
              <w:jc w:val="both"/>
              <w:rPr>
                <w:rFonts w:ascii="宋体" w:hAnsi="宋体"/>
                <w:color w:val="auto"/>
                <w:sz w:val="21"/>
                <w:szCs w:val="21"/>
                <w:highlight w:val="none"/>
              </w:rPr>
            </w:pPr>
            <w:r>
              <w:rPr>
                <w:rFonts w:hint="eastAsia" w:ascii="宋体" w:hAnsi="宋体"/>
                <w:color w:val="auto"/>
                <w:sz w:val="21"/>
                <w:szCs w:val="21"/>
                <w:highlight w:val="none"/>
              </w:rPr>
              <w:t>评标委员会成员共</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五</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人：</w:t>
            </w:r>
            <w:r>
              <w:rPr>
                <w:rFonts w:hint="eastAsia" w:ascii="宋体" w:hAnsi="宋体"/>
                <w:color w:val="auto"/>
                <w:sz w:val="21"/>
                <w:szCs w:val="21"/>
                <w:highlight w:val="none"/>
                <w:lang w:val="zh-CN"/>
              </w:rPr>
              <w:t>评标委员会由采购人</w:t>
            </w:r>
            <w:r>
              <w:rPr>
                <w:rFonts w:hint="eastAsia" w:ascii="宋体" w:hAnsi="宋体"/>
                <w:color w:val="auto"/>
                <w:sz w:val="21"/>
                <w:szCs w:val="21"/>
                <w:highlight w:val="none"/>
              </w:rPr>
              <w:t>的</w:t>
            </w:r>
            <w:r>
              <w:rPr>
                <w:rFonts w:hint="eastAsia" w:ascii="宋体" w:hAnsi="宋体"/>
                <w:color w:val="auto"/>
                <w:sz w:val="21"/>
                <w:szCs w:val="21"/>
                <w:highlight w:val="none"/>
                <w:lang w:val="zh-CN"/>
              </w:rPr>
              <w:t>代表（</w:t>
            </w:r>
            <w:r>
              <w:rPr>
                <w:rFonts w:hint="eastAsia" w:ascii="宋体" w:hAnsi="宋体"/>
                <w:color w:val="auto"/>
                <w:sz w:val="21"/>
                <w:szCs w:val="21"/>
                <w:highlight w:val="none"/>
                <w:lang w:val="en-US" w:eastAsia="zh-CN"/>
              </w:rPr>
              <w:t>如有</w:t>
            </w:r>
            <w:r>
              <w:rPr>
                <w:rFonts w:hint="eastAsia" w:ascii="宋体" w:hAnsi="宋体"/>
                <w:color w:val="auto"/>
                <w:sz w:val="21"/>
                <w:szCs w:val="21"/>
                <w:highlight w:val="none"/>
                <w:lang w:val="zh-CN"/>
              </w:rPr>
              <w:t>）和</w:t>
            </w:r>
            <w:r>
              <w:rPr>
                <w:rFonts w:hint="eastAsia" w:ascii="宋体" w:hAnsi="宋体"/>
                <w:color w:val="auto"/>
                <w:sz w:val="21"/>
                <w:szCs w:val="21"/>
                <w:highlight w:val="none"/>
              </w:rPr>
              <w:t>有关方面的</w:t>
            </w:r>
            <w:r>
              <w:rPr>
                <w:rFonts w:hint="eastAsia" w:ascii="宋体" w:hAnsi="宋体"/>
                <w:color w:val="auto"/>
                <w:sz w:val="21"/>
                <w:szCs w:val="21"/>
                <w:highlight w:val="none"/>
                <w:lang w:val="zh-CN"/>
              </w:rPr>
              <w:t>专家组成，</w:t>
            </w:r>
            <w:r>
              <w:rPr>
                <w:rFonts w:hint="eastAsia" w:ascii="宋体" w:hAnsi="宋体"/>
                <w:color w:val="auto"/>
                <w:sz w:val="21"/>
                <w:szCs w:val="21"/>
                <w:highlight w:val="none"/>
              </w:rPr>
              <w:t>成员人数为五人或五人以上单数</w:t>
            </w:r>
            <w:r>
              <w:rPr>
                <w:rFonts w:hint="eastAsia" w:ascii="宋体" w:hAnsi="宋体"/>
                <w:color w:val="auto"/>
                <w:sz w:val="21"/>
                <w:szCs w:val="21"/>
                <w:highlight w:val="none"/>
                <w:lang w:val="zh-CN"/>
              </w:rPr>
              <w:t>，其中专家不得少于成员总数的三分之二；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pPr>
              <w:shd w:val="clear"/>
              <w:jc w:val="center"/>
              <w:rPr>
                <w:rFonts w:ascii="宋体" w:hAnsi="宋体"/>
                <w:b/>
                <w:color w:val="auto"/>
                <w:sz w:val="21"/>
                <w:szCs w:val="21"/>
                <w:highlight w:val="none"/>
              </w:rPr>
            </w:pPr>
            <w:r>
              <w:rPr>
                <w:rFonts w:hint="eastAsia" w:ascii="宋体" w:hAnsi="宋体"/>
                <w:b/>
                <w:color w:val="auto"/>
                <w:sz w:val="21"/>
                <w:szCs w:val="21"/>
                <w:highlight w:val="none"/>
              </w:rPr>
              <w:t>四、授予合同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39"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15</w:t>
            </w:r>
          </w:p>
        </w:tc>
        <w:tc>
          <w:tcPr>
            <w:tcW w:w="7609" w:type="dxa"/>
            <w:gridSpan w:val="2"/>
            <w:tcBorders>
              <w:tl2br w:val="nil"/>
              <w:tr2bl w:val="nil"/>
            </w:tcBorders>
            <w:shd w:val="clear" w:color="auto" w:fill="auto"/>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履约担保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40"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shd w:val="clear" w:color="auto" w:fill="auto"/>
            <w:vAlign w:val="center"/>
          </w:tcPr>
          <w:p>
            <w:pPr>
              <w:shd w:val="clear"/>
              <w:jc w:val="both"/>
              <w:rPr>
                <w:rFonts w:ascii="宋体" w:hAnsi="宋体"/>
                <w:color w:val="auto"/>
                <w:sz w:val="21"/>
                <w:szCs w:val="21"/>
                <w:highlight w:val="none"/>
              </w:rPr>
            </w:pPr>
            <w:r>
              <w:rPr>
                <w:rFonts w:hint="eastAsia" w:ascii="宋体" w:hAnsi="宋体"/>
                <w:color w:val="auto"/>
                <w:sz w:val="21"/>
                <w:szCs w:val="21"/>
                <w:highlight w:val="none"/>
              </w:rPr>
              <w:t>1.履约担保金额为：</w:t>
            </w:r>
            <w:r>
              <w:rPr>
                <w:rFonts w:hint="eastAsia" w:ascii="宋体" w:hAnsi="宋体"/>
                <w:color w:val="auto"/>
                <w:sz w:val="21"/>
                <w:szCs w:val="21"/>
                <w:highlight w:val="none"/>
                <w:u w:val="single"/>
              </w:rPr>
              <w:t xml:space="preserve"> 合同金额的</w:t>
            </w:r>
            <w:r>
              <w:rPr>
                <w:rFonts w:hint="eastAsia" w:ascii="宋体" w:hAnsi="宋体"/>
                <w:color w:val="auto"/>
                <w:sz w:val="21"/>
                <w:szCs w:val="21"/>
                <w:highlight w:val="none"/>
                <w:u w:val="single"/>
                <w:lang w:val="en-US" w:eastAsia="zh-CN"/>
              </w:rPr>
              <w:t>5</w:t>
            </w:r>
            <w:r>
              <w:rPr>
                <w:rFonts w:hint="eastAsia" w:ascii="宋体" w:hAnsi="宋体"/>
                <w:color w:val="auto"/>
                <w:sz w:val="21"/>
                <w:szCs w:val="21"/>
                <w:highlight w:val="none"/>
                <w:u w:val="single"/>
              </w:rPr>
              <w:t>%。</w:t>
            </w:r>
          </w:p>
          <w:p>
            <w:pPr>
              <w:shd w:val="clear"/>
              <w:jc w:val="both"/>
              <w:rPr>
                <w:rFonts w:hint="eastAsia" w:ascii="宋体" w:hAnsi="宋体"/>
                <w:color w:val="auto"/>
                <w:sz w:val="21"/>
                <w:szCs w:val="21"/>
                <w:highlight w:val="none"/>
                <w:lang w:eastAsia="zh-CN"/>
              </w:rPr>
            </w:pPr>
            <w:r>
              <w:rPr>
                <w:rFonts w:hint="eastAsia" w:ascii="宋体" w:hAnsi="宋体"/>
                <w:color w:val="auto"/>
                <w:sz w:val="21"/>
                <w:szCs w:val="21"/>
                <w:highlight w:val="none"/>
              </w:rPr>
              <w:t>2</w:t>
            </w:r>
            <w:r>
              <w:rPr>
                <w:rFonts w:ascii="宋体" w:hAnsi="宋体"/>
                <w:color w:val="auto"/>
                <w:sz w:val="21"/>
                <w:szCs w:val="21"/>
                <w:highlight w:val="none"/>
              </w:rPr>
              <w:t>.</w:t>
            </w:r>
            <w:r>
              <w:rPr>
                <w:rFonts w:hint="eastAsia" w:ascii="宋体" w:hAnsi="宋体"/>
                <w:color w:val="auto"/>
                <w:sz w:val="21"/>
                <w:szCs w:val="21"/>
                <w:highlight w:val="none"/>
              </w:rPr>
              <w:t>履约保证金账户信息</w:t>
            </w:r>
            <w:r>
              <w:rPr>
                <w:rFonts w:hint="eastAsia" w:ascii="宋体" w:hAnsi="宋体"/>
                <w:color w:val="auto"/>
                <w:sz w:val="21"/>
                <w:szCs w:val="21"/>
                <w:highlight w:val="none"/>
                <w:lang w:eastAsia="zh-CN"/>
              </w:rPr>
              <w:t>：</w:t>
            </w:r>
          </w:p>
          <w:p>
            <w:pPr>
              <w:shd w:val="clear"/>
              <w:jc w:val="both"/>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账户名称：东莞市安居建设投资有限公司；</w:t>
            </w:r>
          </w:p>
          <w:p>
            <w:pPr>
              <w:shd w:val="clear"/>
              <w:jc w:val="both"/>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开户银行：中国建设银行东莞愉景支行；</w:t>
            </w:r>
          </w:p>
          <w:p>
            <w:pPr>
              <w:shd w:val="clear"/>
              <w:jc w:val="both"/>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eastAsia="zh-CN"/>
              </w:rPr>
              <w:t>银行账号：4405 0177 5937 0000 0219。</w:t>
            </w:r>
          </w:p>
          <w:p>
            <w:pPr>
              <w:shd w:val="clear"/>
              <w:jc w:val="both"/>
              <w:rPr>
                <w:rFonts w:ascii="宋体" w:hAnsi="宋体"/>
                <w:color w:val="auto"/>
                <w:sz w:val="21"/>
                <w:szCs w:val="21"/>
                <w:highlight w:val="none"/>
              </w:rPr>
            </w:pPr>
            <w:r>
              <w:rPr>
                <w:rFonts w:hint="eastAsia" w:ascii="宋体" w:hAnsi="宋体"/>
                <w:color w:val="auto"/>
                <w:sz w:val="21"/>
                <w:szCs w:val="21"/>
                <w:highlight w:val="none"/>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pPr>
              <w:shd w:val="clear"/>
              <w:jc w:val="both"/>
              <w:rPr>
                <w:rFonts w:ascii="宋体" w:hAnsi="宋体"/>
                <w:color w:val="auto"/>
                <w:sz w:val="21"/>
                <w:szCs w:val="21"/>
                <w:highlight w:val="none"/>
              </w:rPr>
            </w:pPr>
            <w:r>
              <w:rPr>
                <w:rFonts w:hint="eastAsia" w:ascii="宋体" w:hAnsi="宋体"/>
                <w:color w:val="auto"/>
                <w:sz w:val="21"/>
                <w:szCs w:val="21"/>
                <w:highlight w:val="none"/>
              </w:rPr>
              <w:t>4.履约担保期限从合同签订之日起至项目完工验收合格并结算完毕后，经双方签字</w:t>
            </w:r>
            <w:r>
              <w:rPr>
                <w:rFonts w:hint="eastAsia" w:ascii="宋体" w:hAnsi="宋体"/>
                <w:color w:val="auto"/>
                <w:sz w:val="21"/>
                <w:szCs w:val="21"/>
                <w:highlight w:val="none"/>
                <w:u w:val="single"/>
              </w:rPr>
              <w:t xml:space="preserve"> 7 </w:t>
            </w:r>
            <w:r>
              <w:rPr>
                <w:rFonts w:hint="eastAsia" w:ascii="宋体" w:hAnsi="宋体"/>
                <w:color w:val="auto"/>
                <w:sz w:val="21"/>
                <w:szCs w:val="21"/>
                <w:highlight w:val="none"/>
              </w:rPr>
              <w:t>天内保持有效。</w:t>
            </w:r>
          </w:p>
          <w:p>
            <w:pPr>
              <w:shd w:val="clear"/>
              <w:jc w:val="both"/>
              <w:rPr>
                <w:rFonts w:ascii="宋体" w:hAnsi="宋体"/>
                <w:color w:val="auto"/>
                <w:sz w:val="21"/>
                <w:szCs w:val="21"/>
                <w:highlight w:val="none"/>
              </w:rPr>
            </w:pPr>
            <w:r>
              <w:rPr>
                <w:rFonts w:hint="eastAsia" w:ascii="宋体" w:hAnsi="宋体"/>
                <w:color w:val="auto"/>
                <w:sz w:val="21"/>
                <w:szCs w:val="21"/>
                <w:highlight w:val="none"/>
              </w:rPr>
              <w:t>5、履约担保要求：</w:t>
            </w:r>
          </w:p>
          <w:p>
            <w:pPr>
              <w:shd w:val="clear"/>
              <w:jc w:val="both"/>
              <w:rPr>
                <w:rFonts w:ascii="宋体" w:hAnsi="宋体"/>
                <w:color w:val="auto"/>
                <w:sz w:val="21"/>
                <w:szCs w:val="21"/>
                <w:highlight w:val="none"/>
              </w:rPr>
            </w:pPr>
            <w:r>
              <w:rPr>
                <w:rFonts w:hint="eastAsia" w:ascii="宋体" w:hAnsi="宋体"/>
                <w:color w:val="auto"/>
                <w:sz w:val="21"/>
                <w:szCs w:val="21"/>
                <w:highlight w:val="none"/>
              </w:rPr>
              <w:t>（1）履约保函。如果中标人的履约担保是以银行保函形式提供的，则该银行保函应：</w:t>
            </w:r>
          </w:p>
          <w:p>
            <w:pPr>
              <w:shd w:val="clear"/>
              <w:jc w:val="both"/>
              <w:rPr>
                <w:rFonts w:ascii="宋体" w:hAnsi="宋体"/>
                <w:color w:val="auto"/>
                <w:sz w:val="21"/>
                <w:szCs w:val="21"/>
                <w:highlight w:val="none"/>
              </w:rPr>
            </w:pPr>
            <w:r>
              <w:rPr>
                <w:rFonts w:hint="eastAsia" w:ascii="宋体" w:hAnsi="宋体"/>
                <w:color w:val="auto"/>
                <w:sz w:val="21"/>
                <w:szCs w:val="21"/>
                <w:highlight w:val="none"/>
              </w:rPr>
              <w:t>①保函应由银行支行或以上银行机构开具，非东莞市行政区内的银行开具的保函要由银行所在地公证部门出具的公证书。</w:t>
            </w:r>
          </w:p>
          <w:p>
            <w:pPr>
              <w:shd w:val="clear"/>
              <w:jc w:val="both"/>
              <w:rPr>
                <w:rFonts w:ascii="宋体" w:hAnsi="宋体"/>
                <w:color w:val="auto"/>
                <w:sz w:val="21"/>
                <w:szCs w:val="21"/>
                <w:highlight w:val="none"/>
              </w:rPr>
            </w:pPr>
            <w:r>
              <w:rPr>
                <w:rFonts w:hint="eastAsia" w:ascii="宋体" w:hAnsi="宋体"/>
                <w:color w:val="auto"/>
                <w:sz w:val="21"/>
                <w:szCs w:val="21"/>
                <w:highlight w:val="none"/>
              </w:rPr>
              <w:t>②保函的格式参考投标文件附件中提供的无条件不可撤销履约保函格式，保函担保期内若项目未能按期竣工，保函必须延期，办理延期手续时在银行方面所产生费用由中标人负责。</w:t>
            </w:r>
          </w:p>
          <w:p>
            <w:pPr>
              <w:shd w:val="clear"/>
              <w:jc w:val="both"/>
              <w:rPr>
                <w:rFonts w:ascii="宋体" w:hAnsi="宋体"/>
                <w:color w:val="auto"/>
                <w:sz w:val="21"/>
                <w:szCs w:val="21"/>
                <w:highlight w:val="none"/>
              </w:rPr>
            </w:pPr>
            <w:r>
              <w:rPr>
                <w:rFonts w:hint="eastAsia" w:ascii="宋体" w:hAnsi="宋体"/>
                <w:color w:val="auto"/>
                <w:sz w:val="21"/>
                <w:szCs w:val="21"/>
                <w:highlight w:val="none"/>
              </w:rPr>
              <w:t>③履约保函必须打印，手写、涂改无效。</w:t>
            </w:r>
          </w:p>
          <w:p>
            <w:pPr>
              <w:shd w:val="clear"/>
              <w:jc w:val="both"/>
              <w:rPr>
                <w:rFonts w:ascii="宋体" w:hAnsi="宋体"/>
                <w:color w:val="auto"/>
                <w:sz w:val="21"/>
                <w:szCs w:val="21"/>
                <w:highlight w:val="none"/>
              </w:rPr>
            </w:pPr>
            <w:r>
              <w:rPr>
                <w:rFonts w:hint="eastAsia" w:ascii="宋体" w:hAnsi="宋体"/>
                <w:color w:val="auto"/>
                <w:sz w:val="21"/>
                <w:szCs w:val="21"/>
                <w:highlight w:val="none"/>
              </w:rPr>
              <w:t>（2）履约保证金。可采用电汇、银行汇票等银行转帐方式提交，但不可以采用现金方式提交。中标人必须保证履约保证金以中标人名称在签订合同前提交至采购人指定账户。</w:t>
            </w:r>
          </w:p>
          <w:p>
            <w:pPr>
              <w:shd w:val="clear"/>
              <w:jc w:val="both"/>
              <w:rPr>
                <w:rFonts w:ascii="宋体" w:hAnsi="宋体"/>
                <w:color w:val="auto"/>
                <w:sz w:val="21"/>
                <w:szCs w:val="21"/>
                <w:highlight w:val="none"/>
              </w:rPr>
            </w:pPr>
            <w:r>
              <w:rPr>
                <w:rFonts w:hint="eastAsia" w:ascii="宋体" w:hAnsi="宋体"/>
                <w:color w:val="auto"/>
                <w:sz w:val="21"/>
                <w:szCs w:val="21"/>
                <w:highlight w:val="none"/>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pPr>
              <w:shd w:val="clear"/>
              <w:jc w:val="both"/>
              <w:rPr>
                <w:rFonts w:ascii="宋体" w:hAnsi="宋体"/>
                <w:color w:val="auto"/>
                <w:sz w:val="21"/>
                <w:szCs w:val="21"/>
                <w:highlight w:val="none"/>
              </w:rPr>
            </w:pPr>
            <w:r>
              <w:rPr>
                <w:rFonts w:hint="eastAsia" w:ascii="宋体" w:hAnsi="宋体"/>
                <w:color w:val="auto"/>
                <w:sz w:val="21"/>
                <w:szCs w:val="21"/>
                <w:highlight w:val="none"/>
              </w:rPr>
              <w:t>（4）为取得履约担保所需的费用，由中标人承担；若工期延误，履约担保时间延长，延长费用由中标人承担。</w:t>
            </w:r>
          </w:p>
          <w:p>
            <w:pPr>
              <w:shd w:val="clear"/>
              <w:jc w:val="both"/>
              <w:rPr>
                <w:rFonts w:ascii="宋体" w:hAnsi="宋体"/>
                <w:color w:val="auto"/>
                <w:sz w:val="21"/>
                <w:szCs w:val="21"/>
                <w:highlight w:val="none"/>
              </w:rPr>
            </w:pPr>
            <w:r>
              <w:rPr>
                <w:rFonts w:hint="eastAsia" w:ascii="宋体" w:hAnsi="宋体"/>
                <w:color w:val="auto"/>
                <w:sz w:val="21"/>
                <w:szCs w:val="21"/>
                <w:highlight w:val="none"/>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pPr>
              <w:shd w:val="clear"/>
              <w:jc w:val="both"/>
              <w:rPr>
                <w:rFonts w:ascii="宋体" w:hAnsi="宋体"/>
                <w:color w:val="auto"/>
                <w:sz w:val="21"/>
                <w:szCs w:val="21"/>
                <w:highlight w:val="none"/>
              </w:rPr>
            </w:pPr>
            <w:r>
              <w:rPr>
                <w:rFonts w:hint="eastAsia" w:ascii="宋体" w:hAnsi="宋体"/>
                <w:color w:val="auto"/>
                <w:sz w:val="21"/>
                <w:szCs w:val="21"/>
                <w:highlight w:val="none"/>
              </w:rPr>
              <w:t>（6）下列任何情况发生时，采购人有权行使享有的担保权利：</w:t>
            </w:r>
          </w:p>
          <w:p>
            <w:pPr>
              <w:shd w:val="clear"/>
              <w:jc w:val="both"/>
              <w:rPr>
                <w:rFonts w:ascii="宋体" w:hAnsi="宋体"/>
                <w:color w:val="auto"/>
                <w:sz w:val="21"/>
                <w:szCs w:val="21"/>
                <w:highlight w:val="none"/>
              </w:rPr>
            </w:pPr>
            <w:r>
              <w:rPr>
                <w:rFonts w:hint="eastAsia" w:ascii="宋体" w:hAnsi="宋体"/>
                <w:color w:val="auto"/>
                <w:sz w:val="21"/>
                <w:szCs w:val="21"/>
                <w:highlight w:val="none"/>
              </w:rPr>
              <w:t>①中标人将本项目转让给他人，或者在投标文件中未说明，且未经采购人同意，将中标项目分包给他人的；</w:t>
            </w:r>
          </w:p>
          <w:p>
            <w:pPr>
              <w:shd w:val="clear"/>
              <w:jc w:val="both"/>
              <w:rPr>
                <w:rFonts w:ascii="宋体" w:hAnsi="宋体"/>
                <w:color w:val="auto"/>
                <w:sz w:val="21"/>
                <w:szCs w:val="21"/>
                <w:highlight w:val="none"/>
              </w:rPr>
            </w:pPr>
            <w:r>
              <w:rPr>
                <w:rFonts w:hint="eastAsia" w:ascii="宋体" w:hAnsi="宋体"/>
                <w:color w:val="auto"/>
                <w:sz w:val="21"/>
                <w:szCs w:val="21"/>
                <w:highlight w:val="none"/>
              </w:rPr>
              <w:t>②中标人在履行采购合同期间，违反有关法律法规的规定及合同约定的条款，损害了采购人的利益。</w:t>
            </w:r>
          </w:p>
          <w:p>
            <w:pPr>
              <w:shd w:val="clear"/>
              <w:jc w:val="both"/>
              <w:rPr>
                <w:rFonts w:ascii="宋体" w:hAnsi="宋体"/>
                <w:b/>
                <w:color w:val="auto"/>
                <w:sz w:val="21"/>
                <w:szCs w:val="21"/>
                <w:highlight w:val="none"/>
              </w:rPr>
            </w:pPr>
            <w:r>
              <w:rPr>
                <w:rFonts w:hint="eastAsia" w:ascii="宋体" w:hAnsi="宋体"/>
                <w:color w:val="auto"/>
                <w:sz w:val="21"/>
                <w:szCs w:val="21"/>
                <w:highlight w:val="none"/>
              </w:rPr>
              <w:t>（7）在整个项目验收合格后，中标人向采购人提交退回履约担保的申请，采购人办理履约担保退还手续。</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42" w:hRule="atLeast"/>
        </w:trPr>
        <w:tc>
          <w:tcPr>
            <w:tcW w:w="801" w:type="dxa"/>
            <w:vMerge w:val="restart"/>
            <w:tcBorders>
              <w:tl2br w:val="nil"/>
              <w:tr2bl w:val="nil"/>
            </w:tcBorders>
            <w:vAlign w:val="center"/>
          </w:tcPr>
          <w:p>
            <w:pPr>
              <w:shd w:val="clear"/>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16</w:t>
            </w:r>
          </w:p>
        </w:tc>
        <w:tc>
          <w:tcPr>
            <w:tcW w:w="7609" w:type="dxa"/>
            <w:gridSpan w:val="2"/>
            <w:tcBorders>
              <w:tl2br w:val="nil"/>
              <w:tr2bl w:val="nil"/>
            </w:tcBorders>
            <w:vAlign w:val="center"/>
          </w:tcPr>
          <w:p>
            <w:pPr>
              <w:shd w:val="clear"/>
              <w:jc w:val="both"/>
              <w:rPr>
                <w:rFonts w:ascii="宋体" w:hAnsi="宋体"/>
                <w:b/>
                <w:color w:val="auto"/>
                <w:sz w:val="21"/>
                <w:szCs w:val="21"/>
                <w:highlight w:val="none"/>
              </w:rPr>
            </w:pPr>
            <w:r>
              <w:rPr>
                <w:rFonts w:hint="eastAsia" w:ascii="宋体" w:hAnsi="宋体"/>
                <w:b/>
                <w:color w:val="auto"/>
                <w:sz w:val="21"/>
                <w:szCs w:val="21"/>
                <w:highlight w:val="none"/>
              </w:rPr>
              <w:t>中标服务费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0" w:hRule="atLeast"/>
        </w:trPr>
        <w:tc>
          <w:tcPr>
            <w:tcW w:w="801" w:type="dxa"/>
            <w:vMerge w:val="continue"/>
            <w:tcBorders>
              <w:tl2br w:val="nil"/>
              <w:tr2bl w:val="nil"/>
            </w:tcBorders>
            <w:vAlign w:val="center"/>
          </w:tcPr>
          <w:p>
            <w:pPr>
              <w:shd w:val="clear"/>
              <w:jc w:val="center"/>
              <w:rPr>
                <w:rFonts w:ascii="宋体" w:hAnsi="宋体"/>
                <w:color w:val="auto"/>
                <w:sz w:val="21"/>
                <w:szCs w:val="21"/>
                <w:highlight w:val="none"/>
              </w:rPr>
            </w:pPr>
          </w:p>
        </w:tc>
        <w:tc>
          <w:tcPr>
            <w:tcW w:w="7609" w:type="dxa"/>
            <w:gridSpan w:val="2"/>
            <w:tcBorders>
              <w:tl2br w:val="nil"/>
              <w:tr2bl w:val="nil"/>
            </w:tcBorders>
            <w:vAlign w:val="center"/>
          </w:tcPr>
          <w:p>
            <w:pPr>
              <w:keepNext w:val="0"/>
              <w:keepLines w:val="0"/>
              <w:pageBreakBefore w:val="0"/>
              <w:widowControl w:val="0"/>
              <w:shd w:val="clear"/>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stheme="minorBidi"/>
                <w:color w:val="auto"/>
                <w:sz w:val="21"/>
                <w:szCs w:val="21"/>
                <w:highlight w:val="none"/>
                <w:lang w:val="en-US" w:eastAsia="zh-CN" w:bidi="ar-SA"/>
              </w:rPr>
            </w:pPr>
            <w:r>
              <w:rPr>
                <w:rFonts w:hint="eastAsia" w:ascii="宋体" w:hAnsi="宋体" w:eastAsia="宋体" w:cstheme="minorBidi"/>
                <w:color w:val="auto"/>
                <w:sz w:val="21"/>
                <w:szCs w:val="21"/>
                <w:highlight w:val="none"/>
                <w:lang w:val="en-US" w:eastAsia="zh-CN" w:bidi="ar-SA"/>
              </w:rPr>
              <w:t>本项目中标服务费由采购人支付。</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087" w:hRule="atLeast"/>
        </w:trPr>
        <w:tc>
          <w:tcPr>
            <w:tcW w:w="8410" w:type="dxa"/>
            <w:gridSpan w:val="3"/>
            <w:tcBorders>
              <w:tl2br w:val="nil"/>
              <w:tr2bl w:val="nil"/>
            </w:tcBorders>
            <w:vAlign w:val="center"/>
          </w:tcPr>
          <w:p>
            <w:pPr>
              <w:widowControl w:val="0"/>
              <w:shd w:val="clear"/>
              <w:tabs>
                <w:tab w:val="left" w:pos="907"/>
              </w:tabs>
              <w:adjustRightInd/>
              <w:snapToGrid/>
              <w:ind w:firstLine="420" w:firstLineChars="200"/>
              <w:jc w:val="both"/>
              <w:rPr>
                <w:rFonts w:ascii="宋体" w:hAnsi="宋体"/>
                <w:color w:val="auto"/>
                <w:sz w:val="21"/>
                <w:szCs w:val="21"/>
                <w:highlight w:val="none"/>
              </w:rPr>
            </w:pPr>
            <w:r>
              <w:rPr>
                <w:rFonts w:hint="eastAsia" w:ascii="宋体" w:hAnsi="宋体"/>
                <w:color w:val="auto"/>
                <w:sz w:val="21"/>
                <w:szCs w:val="21"/>
                <w:highlight w:val="none"/>
              </w:rPr>
              <w:t>注：本表关于要采购项目的具体资料，是对投标人须知的具体补充和修改，如有矛盾，应以本资料表为准。不满足采购文件中 “★”条款的投标文件将作无效投标处理。</w:t>
            </w:r>
          </w:p>
        </w:tc>
      </w:tr>
    </w:tbl>
    <w:p>
      <w:pPr>
        <w:shd w:val="clear"/>
        <w:jc w:val="center"/>
        <w:rPr>
          <w:color w:val="auto"/>
          <w:highlight w:val="none"/>
        </w:rPr>
      </w:pPr>
      <w:r>
        <w:rPr>
          <w:rFonts w:hint="eastAsia"/>
          <w:color w:val="auto"/>
          <w:highlight w:val="none"/>
        </w:rPr>
        <w:br w:type="page"/>
      </w:r>
    </w:p>
    <w:p>
      <w:pPr>
        <w:pStyle w:val="7"/>
        <w:shd w:val="clear"/>
        <w:spacing w:before="0" w:after="0" w:line="240" w:lineRule="auto"/>
        <w:jc w:val="center"/>
        <w:rPr>
          <w:rFonts w:hAnsi="宋体" w:cs="宋体"/>
          <w:color w:val="auto"/>
          <w:sz w:val="21"/>
          <w:szCs w:val="21"/>
          <w:highlight w:val="none"/>
        </w:rPr>
      </w:pPr>
      <w:bookmarkStart w:id="4" w:name="_Toc31223"/>
      <w:bookmarkStart w:id="5" w:name="_Toc5437"/>
      <w:r>
        <w:rPr>
          <w:rFonts w:hint="eastAsia" w:ascii="宋体" w:hAnsi="宋体" w:cs="宋体"/>
          <w:color w:val="auto"/>
          <w:sz w:val="24"/>
          <w:szCs w:val="24"/>
          <w:highlight w:val="none"/>
        </w:rPr>
        <w:t>附表二：商务技术评分权重表（满分100分）</w:t>
      </w:r>
      <w:bookmarkEnd w:id="4"/>
      <w:bookmarkEnd w:id="5"/>
    </w:p>
    <w:tbl>
      <w:tblPr>
        <w:tblStyle w:val="3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90"/>
        <w:gridCol w:w="1060"/>
        <w:gridCol w:w="734"/>
        <w:gridCol w:w="6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603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852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20</w:t>
            </w:r>
            <w:r>
              <w:rPr>
                <w:rFonts w:hint="eastAsia" w:ascii="宋体" w:eastAsia="宋体" w:cs="宋体"/>
                <w:b/>
                <w:bCs/>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060" w:type="dxa"/>
            <w:tcBorders>
              <w:top w:val="single" w:color="auto" w:sz="4" w:space="0"/>
              <w:left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企业管理体系</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hint="eastAsia"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6分</w:t>
            </w:r>
          </w:p>
        </w:tc>
        <w:tc>
          <w:tcPr>
            <w:tcW w:w="6038"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360"/>
              </w:tabs>
              <w:rPr>
                <w:rFonts w:ascii="宋体" w:hAnsi="宋体" w:cs="宋体"/>
                <w:color w:val="auto"/>
                <w:szCs w:val="21"/>
                <w:highlight w:val="none"/>
              </w:rPr>
            </w:pPr>
            <w:r>
              <w:rPr>
                <w:rFonts w:hint="eastAsia" w:ascii="宋体" w:hAnsi="宋体" w:cs="宋体"/>
                <w:color w:val="auto"/>
                <w:szCs w:val="21"/>
                <w:highlight w:val="none"/>
              </w:rPr>
              <w:t>投标人具有ISO9001质量管理体系认证证书、ISO14001环境管理体系认证证书、职业健康安全管理体系认证证书每个证书得</w:t>
            </w:r>
            <w:r>
              <w:rPr>
                <w:rFonts w:ascii="宋体" w:hAnsi="宋体" w:cs="宋体"/>
                <w:color w:val="auto"/>
                <w:szCs w:val="21"/>
                <w:highlight w:val="none"/>
              </w:rPr>
              <w:t>2</w:t>
            </w:r>
            <w:r>
              <w:rPr>
                <w:rFonts w:hint="eastAsia" w:ascii="宋体" w:hAnsi="宋体" w:cs="宋体"/>
                <w:color w:val="auto"/>
                <w:szCs w:val="21"/>
                <w:highlight w:val="none"/>
              </w:rPr>
              <w:t>分，满分得</w:t>
            </w:r>
            <w:r>
              <w:rPr>
                <w:rFonts w:ascii="宋体" w:hAnsi="宋体" w:cs="宋体"/>
                <w:color w:val="auto"/>
                <w:szCs w:val="21"/>
                <w:highlight w:val="none"/>
              </w:rPr>
              <w:t>6</w:t>
            </w:r>
            <w:r>
              <w:rPr>
                <w:rFonts w:hint="eastAsia" w:ascii="宋体" w:hAnsi="宋体" w:cs="宋体"/>
                <w:color w:val="auto"/>
                <w:szCs w:val="21"/>
                <w:highlight w:val="none"/>
              </w:rPr>
              <w:t>分，无不得分。</w:t>
            </w:r>
          </w:p>
          <w:p>
            <w:pPr>
              <w:tabs>
                <w:tab w:val="left" w:pos="360"/>
              </w:tabs>
              <w:rPr>
                <w:rFonts w:ascii="宋体" w:eastAsia="宋体" w:cs="宋体"/>
                <w:bCs/>
                <w:color w:val="auto"/>
                <w:sz w:val="21"/>
                <w:szCs w:val="21"/>
                <w:highlight w:val="none"/>
                <w:u w:val="none"/>
                <w:lang w:val="zh-CN"/>
              </w:rPr>
            </w:pPr>
            <w:r>
              <w:rPr>
                <w:rFonts w:hint="eastAsia" w:ascii="宋体" w:hAnsi="宋体" w:cs="宋体"/>
                <w:b/>
                <w:bCs/>
                <w:color w:val="auto"/>
                <w:szCs w:val="21"/>
                <w:highlight w:val="none"/>
              </w:rPr>
              <w:t>注：证书必须在有效期内，且须提供在中国国家认证认可监督管理委员会的认证认可业务信息统一查询平台的查询页面截图（网址：http://cx.cnca.cn/）并加盖公章。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2005" w:hRule="atLeast"/>
          <w:jc w:val="center"/>
        </w:trPr>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2</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hint="eastAsia"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2分</w:t>
            </w:r>
          </w:p>
        </w:tc>
        <w:tc>
          <w:tcPr>
            <w:tcW w:w="603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auto"/>
                <w:szCs w:val="21"/>
                <w:highlight w:val="none"/>
              </w:rPr>
            </w:pPr>
            <w:r>
              <w:rPr>
                <w:rFonts w:hint="eastAsia" w:ascii="宋体" w:hAnsi="宋体" w:cs="宋体"/>
                <w:color w:val="auto"/>
                <w:szCs w:val="21"/>
                <w:highlight w:val="none"/>
              </w:rPr>
              <w:t>投标人提供202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年至今第三方会计事务所审计报告，净利润连续三年为正数的得</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分，连续两年为正数得</w:t>
            </w:r>
            <w:r>
              <w:rPr>
                <w:rFonts w:hint="eastAsia" w:ascii="宋体" w:hAnsi="宋体" w:cs="宋体"/>
                <w:color w:val="auto"/>
                <w:szCs w:val="21"/>
                <w:highlight w:val="none"/>
                <w:lang w:val="en-US" w:eastAsia="zh-CN"/>
              </w:rPr>
              <w:t>1.5</w:t>
            </w:r>
            <w:r>
              <w:rPr>
                <w:rFonts w:hint="eastAsia" w:ascii="宋体" w:hAnsi="宋体" w:cs="宋体"/>
                <w:color w:val="auto"/>
                <w:szCs w:val="21"/>
                <w:highlight w:val="none"/>
              </w:rPr>
              <w:t>分，一年为正数得1分，未提供不得分。</w:t>
            </w:r>
          </w:p>
          <w:p>
            <w:pPr>
              <w:rPr>
                <w:rFonts w:hint="eastAsia" w:eastAsia="宋体"/>
                <w:color w:val="auto"/>
                <w:highlight w:val="none"/>
                <w:u w:val="none"/>
                <w:lang w:eastAsia="zh-CN"/>
              </w:rPr>
            </w:pPr>
            <w:r>
              <w:rPr>
                <w:rFonts w:hint="eastAsia" w:ascii="宋体" w:hAnsi="宋体" w:cs="宋体"/>
                <w:b/>
                <w:bCs/>
                <w:color w:val="auto"/>
                <w:szCs w:val="21"/>
                <w:highlight w:val="none"/>
              </w:rPr>
              <w:t>注：以供应商提供的经独立第三方审计的财务审计报告及附表复印件的统计数据作为评审依据，须提供完整资料并加盖投标人公章。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690" w:type="dxa"/>
            <w:tcBorders>
              <w:top w:val="single" w:color="auto" w:sz="4" w:space="0"/>
              <w:left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3</w:t>
            </w:r>
          </w:p>
        </w:tc>
        <w:tc>
          <w:tcPr>
            <w:tcW w:w="1060" w:type="dxa"/>
            <w:tcBorders>
              <w:top w:val="single" w:color="auto" w:sz="4" w:space="0"/>
              <w:left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业绩</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hint="default"/>
                <w:color w:val="auto"/>
                <w:highlight w:val="none"/>
                <w:u w:val="none"/>
                <w:lang w:val="en-US"/>
              </w:rPr>
            </w:pPr>
            <w:r>
              <w:rPr>
                <w:rFonts w:hint="eastAsia" w:ascii="宋体" w:eastAsia="宋体" w:cs="宋体"/>
                <w:color w:val="auto"/>
                <w:sz w:val="21"/>
                <w:szCs w:val="21"/>
                <w:highlight w:val="none"/>
                <w:u w:val="none"/>
                <w:lang w:val="en-US" w:eastAsia="zh-CN"/>
              </w:rPr>
              <w:t>12分</w:t>
            </w:r>
          </w:p>
        </w:tc>
        <w:tc>
          <w:tcPr>
            <w:tcW w:w="6038"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360"/>
              </w:tabs>
              <w:rPr>
                <w:rFonts w:hint="eastAsia" w:ascii="宋体" w:hAnsi="宋体" w:cs="宋体"/>
                <w:color w:val="auto"/>
                <w:szCs w:val="21"/>
                <w:highlight w:val="none"/>
              </w:rPr>
            </w:pPr>
            <w:r>
              <w:rPr>
                <w:rFonts w:hint="eastAsia" w:ascii="宋体" w:hAnsi="宋体" w:cs="宋体"/>
                <w:color w:val="auto"/>
                <w:szCs w:val="21"/>
                <w:highlight w:val="none"/>
              </w:rPr>
              <w:t>投标人2023年</w:t>
            </w:r>
            <w:r>
              <w:rPr>
                <w:rFonts w:hint="eastAsia" w:ascii="宋体" w:hAnsi="宋体" w:cs="宋体"/>
                <w:color w:val="auto"/>
                <w:szCs w:val="21"/>
                <w:highlight w:val="none"/>
                <w:lang w:val="en-US" w:eastAsia="zh-CN"/>
              </w:rPr>
              <w:t>1月1日至</w:t>
            </w:r>
            <w:r>
              <w:rPr>
                <w:rFonts w:hint="eastAsia" w:ascii="宋体" w:hAnsi="宋体" w:cs="宋体"/>
                <w:color w:val="auto"/>
                <w:szCs w:val="21"/>
                <w:highlight w:val="none"/>
              </w:rPr>
              <w:t>今（以合同签订时间为准）已完成的单个合同金额2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万或以上的窗帘销售合同，每提供一个有效的合同得</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分，满分1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分。</w:t>
            </w:r>
          </w:p>
          <w:p>
            <w:pPr>
              <w:tabs>
                <w:tab w:val="left" w:pos="360"/>
              </w:tabs>
              <w:rPr>
                <w:rFonts w:ascii="宋体" w:eastAsia="宋体" w:cs="宋体"/>
                <w:bCs/>
                <w:color w:val="auto"/>
                <w:sz w:val="21"/>
                <w:szCs w:val="21"/>
                <w:highlight w:val="none"/>
                <w:u w:val="none"/>
                <w:lang w:val="zh-CN"/>
              </w:rPr>
            </w:pPr>
            <w:r>
              <w:rPr>
                <w:rFonts w:hint="eastAsia" w:ascii="宋体" w:hAnsi="宋体" w:cs="宋体"/>
                <w:b/>
                <w:bCs/>
                <w:color w:val="auto"/>
                <w:szCs w:val="21"/>
                <w:highlight w:val="none"/>
              </w:rPr>
              <w:t>注：投标人提供的合同须体现合同签订时间、合同金额，且须提供合同</w:t>
            </w:r>
            <w:r>
              <w:rPr>
                <w:rFonts w:hint="eastAsia" w:ascii="宋体" w:hAnsi="宋体" w:cs="宋体"/>
                <w:b/>
                <w:bCs/>
                <w:color w:val="auto"/>
                <w:szCs w:val="21"/>
                <w:highlight w:val="none"/>
                <w:lang w:val="en-US" w:eastAsia="zh-CN"/>
              </w:rPr>
              <w:t>全额</w:t>
            </w:r>
            <w:r>
              <w:rPr>
                <w:rFonts w:hint="eastAsia" w:ascii="宋体" w:hAnsi="宋体" w:cs="宋体"/>
                <w:b/>
                <w:bCs/>
                <w:color w:val="auto"/>
                <w:szCs w:val="21"/>
                <w:highlight w:val="none"/>
              </w:rPr>
              <w:t>发票作为证明材料，如框架合同须提供订单及发票。以上资料不提供或提供不齐全或模糊不清无法辨认不得分。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30</w:t>
            </w:r>
            <w:r>
              <w:rPr>
                <w:rFonts w:hint="eastAsia" w:ascii="宋体" w:eastAsia="宋体" w:cs="宋体"/>
                <w:b/>
                <w:bCs/>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1</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hd w:val="clear"/>
              <w:adjustRightInd/>
              <w:snapToGrid/>
              <w:spacing w:line="360" w:lineRule="auto"/>
              <w:jc w:val="center"/>
              <w:rPr>
                <w:rFonts w:hint="eastAsia" w:ascii="宋体" w:hAnsi="宋体" w:cs="宋体"/>
                <w:color w:val="auto"/>
                <w:szCs w:val="21"/>
                <w:highlight w:val="none"/>
                <w:u w:val="none"/>
              </w:rPr>
            </w:pPr>
            <w:r>
              <w:rPr>
                <w:rFonts w:hint="eastAsia" w:ascii="宋体" w:hAnsi="宋体" w:cs="宋体"/>
                <w:color w:val="auto"/>
                <w:szCs w:val="21"/>
                <w:highlight w:val="none"/>
                <w:u w:val="none"/>
              </w:rPr>
              <w:t>施工组织方案</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cs="宋体"/>
                <w:color w:val="auto"/>
                <w:szCs w:val="21"/>
                <w:highlight w:val="none"/>
                <w:u w:val="none"/>
                <w:lang w:val="en-US" w:eastAsia="zh-CN"/>
              </w:rPr>
            </w:pPr>
            <w:r>
              <w:rPr>
                <w:rFonts w:hint="eastAsia" w:ascii="宋体" w:hAnsi="宋体" w:cs="宋体"/>
                <w:color w:val="auto"/>
                <w:w w:val="101"/>
                <w:szCs w:val="21"/>
                <w:highlight w:val="none"/>
              </w:rPr>
              <w:t>8分</w:t>
            </w:r>
          </w:p>
        </w:tc>
        <w:tc>
          <w:tcPr>
            <w:tcW w:w="6038" w:type="dxa"/>
            <w:tcBorders>
              <w:top w:val="single" w:color="auto" w:sz="4" w:space="0"/>
              <w:left w:val="single" w:color="auto" w:sz="4" w:space="0"/>
              <w:bottom w:val="single" w:color="auto" w:sz="4" w:space="0"/>
              <w:right w:val="single" w:color="auto" w:sz="4" w:space="0"/>
            </w:tcBorders>
            <w:shd w:val="clear" w:color="auto" w:fill="auto"/>
            <w:vAlign w:val="top"/>
          </w:tcPr>
          <w:p>
            <w:pPr>
              <w:tabs>
                <w:tab w:val="left" w:pos="360"/>
              </w:tabs>
              <w:rPr>
                <w:rFonts w:hint="eastAsia" w:ascii="宋体" w:hAnsi="宋体" w:cs="宋体"/>
                <w:color w:val="auto"/>
                <w:szCs w:val="21"/>
                <w:highlight w:val="none"/>
              </w:rPr>
            </w:pPr>
            <w:r>
              <w:rPr>
                <w:rFonts w:hint="eastAsia" w:ascii="宋体" w:hAnsi="宋体" w:cs="宋体"/>
                <w:color w:val="auto"/>
                <w:szCs w:val="21"/>
                <w:highlight w:val="none"/>
              </w:rPr>
              <w:t xml:space="preserve">根据投标人针对本项目提出的项目实施方案（包括但不限于：①生产流程计划；②质量保障措施；③生产工艺控制措施等）进行评审： </w:t>
            </w:r>
          </w:p>
          <w:p>
            <w:pPr>
              <w:tabs>
                <w:tab w:val="left" w:pos="360"/>
              </w:tabs>
              <w:rPr>
                <w:rFonts w:hint="eastAsia" w:ascii="宋体" w:hAnsi="宋体" w:cs="宋体"/>
                <w:color w:val="auto"/>
                <w:szCs w:val="21"/>
                <w:highlight w:val="none"/>
              </w:rPr>
            </w:pPr>
            <w:r>
              <w:rPr>
                <w:rFonts w:hint="eastAsia" w:ascii="宋体" w:hAnsi="宋体" w:cs="宋体"/>
                <w:color w:val="auto"/>
                <w:szCs w:val="21"/>
                <w:highlight w:val="none"/>
              </w:rPr>
              <w:t xml:space="preserve">1、方案合理，内容详细，符合本项目生产计划目标、质量保障措施及生产工艺控制措施要求，满足项目需求的，得8分； </w:t>
            </w:r>
          </w:p>
          <w:p>
            <w:pPr>
              <w:tabs>
                <w:tab w:val="left" w:pos="360"/>
              </w:tabs>
              <w:rPr>
                <w:rFonts w:hint="eastAsia" w:ascii="宋体" w:hAnsi="宋体" w:cs="宋体"/>
                <w:color w:val="auto"/>
                <w:szCs w:val="21"/>
                <w:highlight w:val="none"/>
              </w:rPr>
            </w:pPr>
            <w:r>
              <w:rPr>
                <w:rFonts w:hint="eastAsia" w:ascii="宋体" w:hAnsi="宋体" w:cs="宋体"/>
                <w:color w:val="auto"/>
                <w:szCs w:val="21"/>
                <w:highlight w:val="none"/>
              </w:rPr>
              <w:t>2、方案较合理，内容较详细，较符合本项目生产计划目标、质量保障措施及生产工艺控制措施要求，较满足项目需求的，得5分；</w:t>
            </w:r>
          </w:p>
          <w:p>
            <w:pPr>
              <w:tabs>
                <w:tab w:val="left" w:pos="360"/>
              </w:tabs>
              <w:rPr>
                <w:rFonts w:hint="eastAsia" w:ascii="宋体" w:hAnsi="宋体" w:cs="宋体"/>
                <w:color w:val="auto"/>
                <w:szCs w:val="21"/>
                <w:highlight w:val="none"/>
              </w:rPr>
            </w:pPr>
            <w:r>
              <w:rPr>
                <w:rFonts w:hint="eastAsia" w:ascii="宋体" w:hAnsi="宋体" w:cs="宋体"/>
                <w:color w:val="auto"/>
                <w:szCs w:val="21"/>
                <w:highlight w:val="none"/>
              </w:rPr>
              <w:t>3、方案不合理，内容简单，不完全符合生产计划目标、质量保障措施及生产工艺控制措施要求，不完全满足项目需求的，得2分；</w:t>
            </w:r>
          </w:p>
          <w:p>
            <w:pPr>
              <w:tabs>
                <w:tab w:val="left" w:pos="360"/>
              </w:tabs>
              <w:rPr>
                <w:rFonts w:hint="eastAsia" w:ascii="宋体" w:hAnsi="宋体" w:cs="宋体"/>
                <w:color w:val="auto"/>
                <w:kern w:val="2"/>
                <w:szCs w:val="21"/>
                <w:highlight w:val="none"/>
                <w:lang w:val="zh-CN" w:eastAsia="zh-CN"/>
              </w:rPr>
            </w:pPr>
            <w:r>
              <w:rPr>
                <w:rFonts w:hint="eastAsia" w:ascii="宋体" w:hAnsi="宋体" w:cs="宋体"/>
                <w:color w:val="auto"/>
                <w:szCs w:val="21"/>
                <w:highlight w:val="none"/>
              </w:rPr>
              <w:t>4、未提供上述相关内容或其他情形，不得分。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2</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cs="宋体"/>
                <w:b w:val="0"/>
                <w:bCs/>
                <w:color w:val="auto"/>
                <w:szCs w:val="21"/>
                <w:highlight w:val="none"/>
              </w:rPr>
            </w:pPr>
            <w:r>
              <w:rPr>
                <w:rFonts w:hint="eastAsia" w:ascii="宋体" w:hAnsi="宋体" w:cs="宋体"/>
                <w:b w:val="0"/>
                <w:bCs/>
                <w:color w:val="auto"/>
                <w:szCs w:val="21"/>
                <w:highlight w:val="none"/>
              </w:rPr>
              <w:t>售后服务</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hd w:val="clear"/>
              <w:adjustRightInd/>
              <w:snapToGrid/>
              <w:spacing w:line="360" w:lineRule="auto"/>
              <w:jc w:val="center"/>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7分</w:t>
            </w:r>
          </w:p>
        </w:tc>
        <w:tc>
          <w:tcPr>
            <w:tcW w:w="6038" w:type="dxa"/>
            <w:tcBorders>
              <w:top w:val="single" w:color="auto" w:sz="4" w:space="0"/>
              <w:left w:val="single" w:color="auto" w:sz="4" w:space="0"/>
              <w:bottom w:val="single" w:color="auto" w:sz="4" w:space="0"/>
              <w:right w:val="single" w:color="auto" w:sz="4" w:space="0"/>
            </w:tcBorders>
            <w:shd w:val="clear" w:color="auto" w:fill="auto"/>
            <w:vAlign w:val="center"/>
          </w:tcPr>
          <w:p>
            <w:pPr>
              <w:tabs>
                <w:tab w:val="left" w:pos="360"/>
              </w:tabs>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根据各投标人提供的售后服务承诺（包括但不限于保修期、保修范围、应急维修时间安排、售后服务技术力量、质保期外的维修服务收费标准、其它服务承诺）进行</w:t>
            </w:r>
            <w:r>
              <w:rPr>
                <w:rFonts w:hint="eastAsia" w:ascii="宋体" w:eastAsia="宋体" w:cs="宋体"/>
                <w:color w:val="auto"/>
                <w:w w:val="101"/>
                <w:sz w:val="21"/>
                <w:szCs w:val="21"/>
                <w:highlight w:val="none"/>
                <w:lang w:val="en-US" w:eastAsia="zh-CN"/>
              </w:rPr>
              <w:t>评审</w:t>
            </w:r>
            <w:r>
              <w:rPr>
                <w:rFonts w:hint="eastAsia" w:ascii="宋体" w:hAnsi="宋体" w:cs="宋体"/>
                <w:color w:val="auto"/>
                <w:kern w:val="2"/>
                <w:szCs w:val="21"/>
                <w:highlight w:val="none"/>
                <w:lang w:val="zh-CN"/>
              </w:rPr>
              <w:t>：</w:t>
            </w:r>
          </w:p>
          <w:p>
            <w:pPr>
              <w:tabs>
                <w:tab w:val="left" w:pos="360"/>
              </w:tabs>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1、售后服务承诺、应急措施、保修期、培训方案完整性和效果等情况措施得力，实施方法可行，手段科学，得</w:t>
            </w:r>
            <w:r>
              <w:rPr>
                <w:rFonts w:hint="eastAsia" w:ascii="宋体" w:hAnsi="宋体" w:cs="宋体"/>
                <w:color w:val="auto"/>
                <w:kern w:val="2"/>
                <w:szCs w:val="21"/>
                <w:highlight w:val="none"/>
                <w:lang w:val="en-US" w:eastAsia="zh-CN"/>
              </w:rPr>
              <w:t>7</w:t>
            </w:r>
            <w:r>
              <w:rPr>
                <w:rFonts w:hint="eastAsia" w:ascii="宋体" w:hAnsi="宋体" w:cs="宋体"/>
                <w:color w:val="auto"/>
                <w:kern w:val="2"/>
                <w:szCs w:val="21"/>
                <w:highlight w:val="none"/>
                <w:lang w:val="zh-CN"/>
              </w:rPr>
              <w:t>分；</w:t>
            </w:r>
          </w:p>
          <w:p>
            <w:pPr>
              <w:tabs>
                <w:tab w:val="left" w:pos="360"/>
              </w:tabs>
              <w:rPr>
                <w:rFonts w:hint="eastAsia" w:ascii="宋体" w:hAnsi="宋体" w:cs="宋体"/>
                <w:color w:val="auto"/>
                <w:kern w:val="2"/>
                <w:szCs w:val="21"/>
                <w:highlight w:val="none"/>
                <w:lang w:val="zh-CN"/>
              </w:rPr>
            </w:pPr>
            <w:r>
              <w:rPr>
                <w:rFonts w:hint="eastAsia" w:ascii="宋体" w:hAnsi="宋体" w:cs="宋体"/>
                <w:color w:val="auto"/>
                <w:kern w:val="2"/>
                <w:szCs w:val="21"/>
                <w:highlight w:val="none"/>
                <w:lang w:val="zh-CN"/>
              </w:rPr>
              <w:t>2、售后服务承诺、应急措施、保修期、培训方案完整性和效果等情况较合理，实施方法较合理。得</w:t>
            </w:r>
            <w:r>
              <w:rPr>
                <w:rFonts w:hint="eastAsia" w:ascii="宋体" w:hAnsi="宋体" w:cs="宋体"/>
                <w:color w:val="auto"/>
                <w:kern w:val="2"/>
                <w:szCs w:val="21"/>
                <w:highlight w:val="none"/>
                <w:lang w:val="en-US" w:eastAsia="zh-CN"/>
              </w:rPr>
              <w:t>4</w:t>
            </w:r>
            <w:r>
              <w:rPr>
                <w:rFonts w:hint="eastAsia" w:ascii="宋体" w:hAnsi="宋体" w:cs="宋体"/>
                <w:color w:val="auto"/>
                <w:kern w:val="2"/>
                <w:szCs w:val="21"/>
                <w:highlight w:val="none"/>
                <w:lang w:val="zh-CN"/>
              </w:rPr>
              <w:t>分；</w:t>
            </w:r>
          </w:p>
          <w:p>
            <w:pPr>
              <w:tabs>
                <w:tab w:val="left" w:pos="360"/>
              </w:tabs>
              <w:rPr>
                <w:rFonts w:hint="eastAsia" w:ascii="宋体" w:hAnsi="宋体" w:cs="宋体"/>
                <w:color w:val="auto"/>
                <w:kern w:val="2"/>
                <w:szCs w:val="21"/>
                <w:highlight w:val="none"/>
                <w:lang w:val="zh-CN"/>
              </w:rPr>
            </w:pPr>
            <w:r>
              <w:rPr>
                <w:rFonts w:hint="eastAsia" w:ascii="宋体" w:hAnsi="宋体" w:cs="宋体"/>
                <w:color w:val="auto"/>
                <w:kern w:val="2"/>
                <w:szCs w:val="21"/>
                <w:highlight w:val="none"/>
                <w:lang w:val="zh-CN"/>
              </w:rPr>
              <w:t>3、售后服务承诺、应急措施、保修期、培训方案完整性和效果等情况不可行，实施方法不当，得</w:t>
            </w:r>
            <w:r>
              <w:rPr>
                <w:rFonts w:hint="eastAsia" w:ascii="宋体" w:hAnsi="宋体" w:cs="宋体"/>
                <w:color w:val="auto"/>
                <w:kern w:val="2"/>
                <w:szCs w:val="21"/>
                <w:highlight w:val="none"/>
                <w:lang w:val="en-US" w:eastAsia="zh-CN"/>
              </w:rPr>
              <w:t>1</w:t>
            </w:r>
            <w:r>
              <w:rPr>
                <w:rFonts w:hint="eastAsia" w:ascii="宋体" w:hAnsi="宋体" w:cs="宋体"/>
                <w:color w:val="auto"/>
                <w:kern w:val="2"/>
                <w:szCs w:val="21"/>
                <w:highlight w:val="none"/>
                <w:lang w:val="zh-CN"/>
              </w:rPr>
              <w:t>分；</w:t>
            </w:r>
          </w:p>
          <w:p>
            <w:pPr>
              <w:tabs>
                <w:tab w:val="left" w:pos="360"/>
              </w:tabs>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4、无提供不得分。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556" w:hRule="atLeast"/>
          <w:jc w:val="center"/>
        </w:trPr>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3</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cs="宋体"/>
                <w:b w:val="0"/>
                <w:bCs/>
                <w:color w:val="auto"/>
                <w:szCs w:val="21"/>
                <w:highlight w:val="none"/>
                <w:u w:val="none"/>
              </w:rPr>
            </w:pPr>
            <w:r>
              <w:rPr>
                <w:rFonts w:hint="eastAsia" w:ascii="宋体" w:hAnsi="宋体" w:cs="宋体"/>
                <w:b w:val="0"/>
                <w:bCs/>
                <w:color w:val="auto"/>
                <w:szCs w:val="21"/>
                <w:highlight w:val="none"/>
              </w:rPr>
              <w:t>窗帘、导轨样品</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hd w:val="clear"/>
              <w:adjustRightInd/>
              <w:snapToGrid/>
              <w:spacing w:line="360" w:lineRule="auto"/>
              <w:jc w:val="center"/>
              <w:rPr>
                <w:rFonts w:hint="default"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15分</w:t>
            </w:r>
          </w:p>
        </w:tc>
        <w:tc>
          <w:tcPr>
            <w:tcW w:w="603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bCs/>
                <w:color w:val="auto"/>
                <w:szCs w:val="21"/>
                <w:highlight w:val="none"/>
              </w:rPr>
            </w:pPr>
            <w:r>
              <w:rPr>
                <w:rFonts w:ascii="宋体" w:hAnsi="宋体" w:cs="宋体"/>
                <w:bCs/>
                <w:color w:val="auto"/>
                <w:szCs w:val="21"/>
                <w:highlight w:val="none"/>
              </w:rPr>
              <w:t>根据投标人提供的</w:t>
            </w:r>
            <w:r>
              <w:rPr>
                <w:rFonts w:hint="eastAsia" w:ascii="宋体" w:hAnsi="宋体" w:cs="宋体"/>
                <w:bCs/>
                <w:color w:val="auto"/>
                <w:szCs w:val="21"/>
                <w:highlight w:val="none"/>
              </w:rPr>
              <w:t>布帘布料</w:t>
            </w:r>
            <w:r>
              <w:rPr>
                <w:rFonts w:ascii="宋体" w:hAnsi="宋体" w:cs="宋体"/>
                <w:bCs/>
                <w:color w:val="auto"/>
                <w:szCs w:val="21"/>
                <w:highlight w:val="none"/>
              </w:rPr>
              <w:t>及导轨样品进行现场评审：</w:t>
            </w:r>
            <w:r>
              <w:rPr>
                <w:rFonts w:ascii="宋体" w:hAnsi="宋体" w:cs="宋体"/>
                <w:bCs/>
                <w:color w:val="auto"/>
                <w:szCs w:val="21"/>
                <w:highlight w:val="none"/>
              </w:rPr>
              <w:br w:type="textWrapping"/>
            </w:r>
            <w:r>
              <w:rPr>
                <w:rFonts w:ascii="宋体" w:hAnsi="宋体" w:cs="宋体"/>
                <w:b/>
                <w:color w:val="auto"/>
                <w:szCs w:val="21"/>
                <w:highlight w:val="none"/>
              </w:rPr>
              <w:t>（1）面料外观与手感（3分）：</w:t>
            </w:r>
            <w:r>
              <w:rPr>
                <w:rFonts w:ascii="宋体" w:hAnsi="宋体" w:cs="宋体"/>
                <w:bCs/>
                <w:color w:val="auto"/>
                <w:szCs w:val="21"/>
                <w:highlight w:val="none"/>
              </w:rPr>
              <w:t>表面平整、纹路清晰、色泽均匀、手感柔软细腻，得3分；基本平整、无明显瑕疵，得1.5分；粗糙不平、色差明显，不得分。</w:t>
            </w:r>
            <w:r>
              <w:rPr>
                <w:rFonts w:ascii="宋体" w:hAnsi="宋体" w:cs="宋体"/>
                <w:bCs/>
                <w:color w:val="auto"/>
                <w:szCs w:val="21"/>
                <w:highlight w:val="none"/>
              </w:rPr>
              <w:br w:type="textWrapping"/>
            </w:r>
            <w:r>
              <w:rPr>
                <w:rFonts w:ascii="宋体" w:hAnsi="宋体" w:cs="宋体"/>
                <w:b/>
                <w:color w:val="auto"/>
                <w:szCs w:val="21"/>
                <w:highlight w:val="none"/>
              </w:rPr>
              <w:t>（2）工艺质量（3分）：</w:t>
            </w:r>
            <w:r>
              <w:rPr>
                <w:rFonts w:ascii="宋体" w:hAnsi="宋体" w:cs="宋体"/>
                <w:bCs/>
                <w:color w:val="auto"/>
                <w:szCs w:val="21"/>
                <w:highlight w:val="none"/>
              </w:rPr>
              <w:t>车缝线迹均匀、无跳针、无线头，折边整齐，布带缝合牢固，得3分；基本符合要求，得1.5分；有明显缺陷，不得分。</w:t>
            </w:r>
          </w:p>
          <w:p>
            <w:pPr>
              <w:rPr>
                <w:rFonts w:ascii="宋体" w:hAnsi="宋体" w:cs="宋体"/>
                <w:bCs/>
                <w:color w:val="auto"/>
                <w:szCs w:val="21"/>
                <w:highlight w:val="none"/>
              </w:rPr>
            </w:pPr>
            <w:r>
              <w:rPr>
                <w:rFonts w:ascii="宋体" w:hAnsi="宋体" w:cs="宋体"/>
                <w:b/>
                <w:color w:val="auto"/>
                <w:szCs w:val="21"/>
                <w:highlight w:val="none"/>
              </w:rPr>
              <w:t>（3）遮光与阻燃性能（3分）：</w:t>
            </w:r>
            <w:r>
              <w:rPr>
                <w:rFonts w:ascii="宋体" w:hAnsi="宋体" w:cs="宋体"/>
                <w:bCs/>
                <w:color w:val="auto"/>
                <w:szCs w:val="21"/>
                <w:highlight w:val="none"/>
              </w:rPr>
              <w:t>现场简易遮光测试（自然光下观察）无明显漏光；阻燃性能符合B1级要求</w:t>
            </w:r>
            <w:r>
              <w:rPr>
                <w:rFonts w:ascii="宋体" w:hAnsi="宋体" w:cs="宋体"/>
                <w:b/>
                <w:bCs w:val="0"/>
                <w:color w:val="auto"/>
                <w:szCs w:val="21"/>
                <w:highlight w:val="none"/>
              </w:rPr>
              <w:t>（提供检测报告佐证</w:t>
            </w:r>
            <w:r>
              <w:rPr>
                <w:rFonts w:hint="eastAsia" w:ascii="宋体" w:hAnsi="宋体" w:cs="宋体"/>
                <w:b/>
                <w:bCs w:val="0"/>
                <w:color w:val="auto"/>
                <w:szCs w:val="21"/>
                <w:highlight w:val="none"/>
                <w:lang w:val="en-US" w:eastAsia="zh-CN"/>
              </w:rPr>
              <w:t>材料复印件，与样品一并密封提交</w:t>
            </w:r>
            <w:r>
              <w:rPr>
                <w:rFonts w:hint="eastAsia" w:ascii="宋体" w:hAnsi="宋体" w:cs="宋体"/>
                <w:b/>
                <w:bCs w:val="0"/>
                <w:color w:val="auto"/>
                <w:szCs w:val="21"/>
                <w:highlight w:val="none"/>
                <w:lang w:eastAsia="zh-CN"/>
              </w:rPr>
              <w:t>。检测报告须由具有CMA/CNAS资质的第三方检测机构出具，报告需带CMA/CNAS标识，检测报告出具时间须在投标截止时间前一年内，报告需包含封面、检测依据、检测结果、检测结论等完整内容，复印件加盖投标人公章</w:t>
            </w:r>
            <w:r>
              <w:rPr>
                <w:rFonts w:ascii="宋体" w:hAnsi="宋体" w:cs="宋体"/>
                <w:b/>
                <w:bCs w:val="0"/>
                <w:color w:val="auto"/>
                <w:szCs w:val="21"/>
                <w:highlight w:val="none"/>
              </w:rPr>
              <w:t>）</w:t>
            </w:r>
            <w:r>
              <w:rPr>
                <w:rFonts w:ascii="宋体" w:hAnsi="宋体" w:cs="宋体"/>
                <w:bCs/>
                <w:color w:val="auto"/>
                <w:szCs w:val="21"/>
                <w:highlight w:val="none"/>
              </w:rPr>
              <w:t>，得3分；遮光效果一般或阻燃佐证不足，得1.5分；不符合要求，不得分。</w:t>
            </w:r>
          </w:p>
          <w:p>
            <w:pPr>
              <w:rPr>
                <w:rFonts w:ascii="宋体" w:hAnsi="宋体" w:cs="宋体"/>
                <w:bCs/>
                <w:color w:val="auto"/>
                <w:szCs w:val="21"/>
                <w:highlight w:val="none"/>
              </w:rPr>
            </w:pPr>
            <w:r>
              <w:rPr>
                <w:rFonts w:ascii="宋体" w:hAnsi="宋体" w:cs="宋体"/>
                <w:b/>
                <w:color w:val="auto"/>
                <w:szCs w:val="21"/>
                <w:highlight w:val="none"/>
              </w:rPr>
              <w:t>（4）导轨材质与结构（3分）：</w:t>
            </w:r>
            <w:r>
              <w:rPr>
                <w:rFonts w:ascii="宋体" w:hAnsi="宋体" w:cs="宋体"/>
                <w:bCs/>
                <w:color w:val="auto"/>
                <w:szCs w:val="21"/>
                <w:highlight w:val="none"/>
              </w:rPr>
              <w:t>壁厚实测≥1.4mm，表面阳极氧化均匀，内壁带加强筋，滑轮顺滑静音，得3分；基本符合，得1.5分；不符合，不得分。</w:t>
            </w:r>
          </w:p>
          <w:p>
            <w:pPr>
              <w:rPr>
                <w:rFonts w:hint="eastAsia" w:ascii="宋体" w:hAnsi="宋体" w:cs="宋体"/>
                <w:color w:val="auto"/>
                <w:kern w:val="2"/>
                <w:szCs w:val="21"/>
                <w:highlight w:val="none"/>
                <w:lang w:val="zh-CN"/>
              </w:rPr>
            </w:pPr>
            <w:r>
              <w:rPr>
                <w:rFonts w:ascii="宋体" w:hAnsi="宋体" w:cs="宋体"/>
                <w:b/>
                <w:color w:val="auto"/>
                <w:szCs w:val="21"/>
                <w:highlight w:val="none"/>
              </w:rPr>
              <w:t>（5）配件与安装可靠性（3分）：</w:t>
            </w:r>
            <w:r>
              <w:rPr>
                <w:rFonts w:ascii="宋体" w:hAnsi="宋体" w:cs="宋体"/>
                <w:bCs/>
                <w:color w:val="auto"/>
                <w:szCs w:val="21"/>
                <w:highlight w:val="none"/>
              </w:rPr>
              <w:t>安装码壁厚≥1.5mm，带防滑卡扣；滑轮承重标记清晰；封口牢固；整体组装测试无晃动，得3分；基本符合，得1.5分；不符合，不得分。</w:t>
            </w:r>
            <w:r>
              <w:rPr>
                <w:rFonts w:ascii="宋体" w:hAnsi="宋体" w:cs="宋体"/>
                <w:bCs/>
                <w:color w:val="auto"/>
                <w:szCs w:val="21"/>
                <w:highlight w:val="none"/>
              </w:rPr>
              <w:br w:type="textWrapping"/>
            </w:r>
            <w:r>
              <w:rPr>
                <w:rFonts w:ascii="宋体" w:hAnsi="宋体" w:cs="宋体"/>
                <w:b/>
                <w:bCs w:val="0"/>
                <w:color w:val="auto"/>
                <w:szCs w:val="21"/>
                <w:highlight w:val="none"/>
              </w:rPr>
              <w:t>注：样品须与投标文件技术参数一致，否则样品项不得分。未提供样品不得分。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hd w:val="clear"/>
              <w:tabs>
                <w:tab w:val="left" w:pos="907"/>
              </w:tabs>
              <w:adjustRightInd/>
              <w:snapToGrid/>
              <w:spacing w:line="360" w:lineRule="auto"/>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pPr>
              <w:widowControl w:val="0"/>
              <w:shd w:val="clear"/>
              <w:tabs>
                <w:tab w:val="left" w:pos="907"/>
              </w:tabs>
              <w:adjustRightInd/>
              <w:snapToGrid/>
              <w:spacing w:line="360" w:lineRule="auto"/>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pPr>
              <w:widowControl w:val="0"/>
              <w:shd w:val="clear"/>
              <w:tabs>
                <w:tab w:val="left" w:pos="907"/>
              </w:tabs>
              <w:adjustRightInd/>
              <w:snapToGrid/>
              <w:spacing w:line="360" w:lineRule="auto"/>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color w:val="auto"/>
                <w:sz w:val="21"/>
                <w:szCs w:val="21"/>
                <w:highlight w:val="none"/>
                <w:lang w:val="zh-CN"/>
              </w:rPr>
            </w:pPr>
            <w:r>
              <w:rPr>
                <w:rFonts w:hint="eastAsia" w:ascii="宋体" w:hAnsi="宋体" w:eastAsia="宋体" w:cs="宋体"/>
                <w:b/>
                <w:bCs/>
                <w:color w:val="auto"/>
                <w:kern w:val="2"/>
                <w:sz w:val="21"/>
                <w:szCs w:val="21"/>
                <w:highlight w:val="none"/>
                <w:lang w:val="en-US" w:eastAsia="zh-CN" w:bidi="ar-SA"/>
              </w:rPr>
              <w:t>价格评审（</w:t>
            </w:r>
            <w:r>
              <w:rPr>
                <w:rFonts w:hint="eastAsia" w:ascii="宋体" w:eastAsia="宋体" w:cs="宋体"/>
                <w:b/>
                <w:bCs/>
                <w:color w:val="auto"/>
                <w:kern w:val="2"/>
                <w:sz w:val="21"/>
                <w:szCs w:val="21"/>
                <w:highlight w:val="none"/>
                <w:lang w:val="en-US" w:eastAsia="zh-CN" w:bidi="ar-SA"/>
              </w:rPr>
              <w:t>5</w:t>
            </w:r>
            <w:r>
              <w:rPr>
                <w:rFonts w:hint="eastAsia" w:ascii="宋体" w:hAnsi="宋体" w:eastAsia="宋体" w:cs="宋体"/>
                <w:b/>
                <w:bCs/>
                <w:color w:val="auto"/>
                <w:kern w:val="2"/>
                <w:sz w:val="21"/>
                <w:szCs w:val="21"/>
                <w:highlight w:val="none"/>
                <w:lang w:val="en-US" w:eastAsia="zh-CN" w:bidi="ar-SA"/>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1900" w:hRule="atLeast"/>
          <w:jc w:val="center"/>
        </w:trPr>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8"/>
              <w:shd w:val="clear"/>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hd w:val="clear"/>
              <w:adjustRightInd/>
              <w:snapToGrid/>
              <w:spacing w:line="360" w:lineRule="auto"/>
              <w:jc w:val="center"/>
              <w:rPr>
                <w:rFonts w:hint="eastAsia"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hd w:val="clear"/>
              <w:adjustRightInd/>
              <w:snapToGrid/>
              <w:spacing w:line="360" w:lineRule="auto"/>
              <w:jc w:val="center"/>
              <w:rPr>
                <w:rFonts w:hint="default" w:ascii="宋体" w:hAnsi="宋体" w:cs="宋体"/>
                <w:color w:val="auto"/>
                <w:kern w:val="2"/>
                <w:szCs w:val="21"/>
                <w:highlight w:val="none"/>
                <w:lang w:val="en-US"/>
              </w:rPr>
            </w:pPr>
            <w:r>
              <w:rPr>
                <w:rFonts w:hint="eastAsia" w:ascii="宋体" w:hAnsi="宋体" w:cs="宋体"/>
                <w:color w:val="auto"/>
                <w:kern w:val="2"/>
                <w:szCs w:val="21"/>
                <w:highlight w:val="none"/>
                <w:lang w:val="en-US" w:eastAsia="zh-CN"/>
              </w:rPr>
              <w:t>50分</w:t>
            </w:r>
          </w:p>
        </w:tc>
        <w:tc>
          <w:tcPr>
            <w:tcW w:w="603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hd w:val="clear"/>
              <w:adjustRightInd/>
              <w:snapToGrid/>
              <w:spacing w:line="360" w:lineRule="auto"/>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价格分计算方法：满足采购文件要求且投标价格最低的投标报价为评标基准价，其价格分为满分。其他投标人的价格分统一按照下列公式计算：</w:t>
            </w:r>
          </w:p>
          <w:p>
            <w:pPr>
              <w:widowControl w:val="0"/>
              <w:shd w:val="clear"/>
              <w:adjustRightInd/>
              <w:snapToGrid/>
              <w:spacing w:line="360" w:lineRule="auto"/>
              <w:ind w:firstLine="420" w:firstLineChars="200"/>
              <w:rPr>
                <w:rFonts w:ascii="宋体" w:hAnsi="宋体" w:cs="宋体"/>
                <w:color w:val="auto"/>
                <w:kern w:val="2"/>
                <w:szCs w:val="21"/>
                <w:highlight w:val="none"/>
              </w:rPr>
            </w:pPr>
            <w:r>
              <w:rPr>
                <w:rFonts w:hint="eastAsia" w:ascii="宋体" w:hAnsi="宋体" w:cs="宋体"/>
                <w:color w:val="auto"/>
                <w:kern w:val="2"/>
                <w:szCs w:val="21"/>
                <w:highlight w:val="none"/>
                <w:lang w:val="zh-CN"/>
              </w:rPr>
              <w:t>投标报价得分=(评标基准价／投标报价)×价格权</w:t>
            </w:r>
            <w:r>
              <w:rPr>
                <w:rFonts w:hint="eastAsia" w:ascii="宋体" w:hAnsi="宋体" w:cs="宋体"/>
                <w:color w:val="auto"/>
                <w:kern w:val="2"/>
                <w:szCs w:val="21"/>
                <w:highlight w:val="none"/>
              </w:rPr>
              <w:t>重</w:t>
            </w:r>
          </w:p>
        </w:tc>
      </w:tr>
    </w:tbl>
    <w:p>
      <w:pPr>
        <w:shd w:val="clear"/>
        <w:ind w:firstLine="420" w:firstLineChars="200"/>
        <w:rPr>
          <w:rFonts w:hint="eastAsia"/>
          <w:color w:val="auto"/>
          <w:highlight w:val="none"/>
        </w:rPr>
      </w:pPr>
      <w:r>
        <w:rPr>
          <w:rFonts w:hint="eastAsia"/>
          <w:color w:val="auto"/>
          <w:highlight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p>
    <w:p>
      <w:pPr>
        <w:shd w:val="clear"/>
        <w:rPr>
          <w:rFonts w:hint="eastAsia"/>
          <w:color w:val="auto"/>
          <w:sz w:val="28"/>
          <w:szCs w:val="28"/>
          <w:highlight w:val="none"/>
        </w:rPr>
      </w:pPr>
      <w:r>
        <w:rPr>
          <w:rFonts w:hint="eastAsia"/>
          <w:color w:val="auto"/>
          <w:sz w:val="28"/>
          <w:szCs w:val="28"/>
          <w:highlight w:val="none"/>
        </w:rPr>
        <w:br w:type="page"/>
      </w:r>
    </w:p>
    <w:p>
      <w:pPr>
        <w:pStyle w:val="6"/>
        <w:shd w:val="clear"/>
        <w:spacing w:before="0" w:after="0" w:line="240" w:lineRule="auto"/>
        <w:rPr>
          <w:color w:val="auto"/>
          <w:sz w:val="36"/>
          <w:szCs w:val="36"/>
          <w:highlight w:val="none"/>
        </w:rPr>
      </w:pPr>
      <w:bookmarkStart w:id="6" w:name="_Toc2624"/>
      <w:r>
        <w:rPr>
          <w:rFonts w:hint="eastAsia"/>
          <w:color w:val="auto"/>
          <w:sz w:val="28"/>
          <w:szCs w:val="28"/>
          <w:highlight w:val="none"/>
        </w:rPr>
        <w:t>第三部分用户需求书</w:t>
      </w:r>
      <w:bookmarkEnd w:id="6"/>
    </w:p>
    <w:p>
      <w:pPr>
        <w:pStyle w:val="7"/>
        <w:shd w:val="clear"/>
        <w:spacing w:before="0" w:after="0" w:line="360" w:lineRule="auto"/>
        <w:jc w:val="center"/>
        <w:rPr>
          <w:rFonts w:ascii="宋体" w:hAnsi="宋体"/>
          <w:color w:val="auto"/>
          <w:highlight w:val="none"/>
        </w:rPr>
      </w:pPr>
      <w:bookmarkStart w:id="7" w:name="_Toc1593"/>
      <w:bookmarkStart w:id="8" w:name="_Toc12544"/>
      <w:bookmarkStart w:id="9" w:name="_Toc31278"/>
      <w:bookmarkStart w:id="10" w:name="_Toc13112"/>
      <w:bookmarkStart w:id="11" w:name="_Toc14462"/>
      <w:bookmarkStart w:id="12" w:name="_Toc308786492"/>
      <w:bookmarkStart w:id="13" w:name="_Toc24679"/>
      <w:r>
        <w:rPr>
          <w:rFonts w:hint="eastAsia" w:ascii="宋体" w:hAnsi="宋体"/>
          <w:color w:val="auto"/>
          <w:highlight w:val="none"/>
        </w:rPr>
        <w:t>第一章 商务需求书</w:t>
      </w:r>
      <w:bookmarkEnd w:id="7"/>
      <w:bookmarkEnd w:id="8"/>
    </w:p>
    <w:tbl>
      <w:tblPr>
        <w:tblStyle w:val="38"/>
        <w:tblW w:w="8685"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718" w:type="dxa"/>
            <w:vAlign w:val="center"/>
          </w:tcPr>
          <w:p>
            <w:pPr>
              <w:jc w:val="center"/>
              <w:rPr>
                <w:rFonts w:ascii="宋体" w:hAnsi="宋体" w:cs="宋体"/>
                <w:color w:val="auto"/>
                <w:szCs w:val="21"/>
                <w:highlight w:val="none"/>
              </w:rPr>
            </w:pPr>
            <w:bookmarkStart w:id="14" w:name="_Toc19316"/>
            <w:r>
              <w:rPr>
                <w:rFonts w:hint="eastAsia" w:ascii="宋体" w:hAnsi="宋体" w:cs="宋体"/>
                <w:color w:val="auto"/>
                <w:szCs w:val="21"/>
                <w:highlight w:val="none"/>
              </w:rPr>
              <w:t>序号</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01"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pPr>
              <w:pStyle w:val="45"/>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2"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shd w:val="clear" w:color="auto" w:fill="auto"/>
            <w:vAlign w:val="center"/>
          </w:tcPr>
          <w:p>
            <w:pPr>
              <w:jc w:val="center"/>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期</w:t>
            </w:r>
          </w:p>
        </w:tc>
        <w:tc>
          <w:tcPr>
            <w:tcW w:w="6466"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1.样板房供货要求：</w:t>
            </w:r>
            <w:r>
              <w:rPr>
                <w:rFonts w:ascii="宋体" w:hAnsi="宋体" w:eastAsia="宋体" w:cs="宋体"/>
                <w:color w:val="auto"/>
                <w:kern w:val="0"/>
                <w:szCs w:val="21"/>
                <w:highlight w:val="none"/>
              </w:rPr>
              <w:t>中标人须在合同签订后</w:t>
            </w:r>
            <w:r>
              <w:rPr>
                <w:rFonts w:hint="eastAsia" w:ascii="宋体" w:hAnsi="宋体" w:eastAsia="宋体" w:cs="宋体"/>
                <w:color w:val="auto"/>
                <w:kern w:val="0"/>
                <w:szCs w:val="21"/>
                <w:highlight w:val="none"/>
              </w:rPr>
              <w:t>接到采购人通知</w:t>
            </w:r>
            <w:r>
              <w:rPr>
                <w:rFonts w:ascii="宋体" w:hAnsi="宋体" w:eastAsia="宋体" w:cs="宋体"/>
                <w:color w:val="auto"/>
                <w:kern w:val="0"/>
                <w:szCs w:val="21"/>
                <w:highlight w:val="none"/>
              </w:rPr>
              <w:t>10</w:t>
            </w:r>
            <w:r>
              <w:rPr>
                <w:rFonts w:hint="eastAsia" w:ascii="宋体" w:hAnsi="宋体" w:eastAsia="宋体" w:cs="宋体"/>
                <w:color w:val="auto"/>
                <w:kern w:val="0"/>
                <w:szCs w:val="21"/>
                <w:highlight w:val="none"/>
              </w:rPr>
              <w:t>日内</w:t>
            </w:r>
            <w:r>
              <w:rPr>
                <w:rFonts w:ascii="宋体" w:hAnsi="宋体" w:eastAsia="宋体" w:cs="宋体"/>
                <w:color w:val="auto"/>
                <w:kern w:val="0"/>
                <w:szCs w:val="21"/>
                <w:highlight w:val="none"/>
              </w:rPr>
              <w:t>完成3个户型精装样板房</w:t>
            </w:r>
            <w:r>
              <w:rPr>
                <w:rFonts w:hint="eastAsia" w:ascii="宋体" w:hAnsi="宋体" w:eastAsia="宋体" w:cs="宋体"/>
                <w:color w:val="auto"/>
                <w:kern w:val="0"/>
                <w:szCs w:val="21"/>
                <w:highlight w:val="none"/>
              </w:rPr>
              <w:t>窗帘</w:t>
            </w:r>
            <w:r>
              <w:rPr>
                <w:rFonts w:ascii="宋体" w:hAnsi="宋体" w:eastAsia="宋体" w:cs="宋体"/>
                <w:color w:val="auto"/>
                <w:kern w:val="0"/>
                <w:szCs w:val="21"/>
                <w:highlight w:val="none"/>
              </w:rPr>
              <w:t>的供货、安装及调试工作，并经采购人验收合格</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sz w:val="21"/>
                <w:szCs w:val="21"/>
                <w:highlight w:val="none"/>
              </w:rPr>
            </w:pPr>
            <w:r>
              <w:rPr>
                <w:rFonts w:ascii="宋体" w:hAnsi="宋体" w:eastAsia="宋体" w:cs="宋体"/>
                <w:color w:val="auto"/>
                <w:kern w:val="0"/>
                <w:szCs w:val="21"/>
                <w:highlight w:val="none"/>
              </w:rPr>
              <w:t>2</w:t>
            </w:r>
            <w:r>
              <w:rPr>
                <w:rFonts w:hint="eastAsia" w:ascii="宋体" w:hAnsi="宋体" w:eastAsia="宋体" w:cs="宋体"/>
                <w:color w:val="auto"/>
                <w:kern w:val="0"/>
                <w:szCs w:val="21"/>
                <w:highlight w:val="none"/>
              </w:rPr>
              <w:t>.整体供货要求：</w:t>
            </w:r>
            <w:r>
              <w:rPr>
                <w:rFonts w:ascii="宋体" w:hAnsi="宋体" w:eastAsia="宋体" w:cs="宋体"/>
                <w:color w:val="auto"/>
                <w:kern w:val="0"/>
                <w:szCs w:val="21"/>
                <w:highlight w:val="none"/>
              </w:rPr>
              <w:t>中标人须根据项目现场整体施工进度，配合采购人书面通知的要求，分批次完成全部货物的进场、安装、调试及验收工作。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18"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pPr>
              <w:jc w:val="center"/>
              <w:rPr>
                <w:rFonts w:ascii="宋体" w:hAnsi="宋体" w:cs="宋体"/>
                <w:color w:val="auto"/>
                <w:szCs w:val="21"/>
                <w:highlight w:val="none"/>
              </w:rPr>
            </w:pPr>
            <w:r>
              <w:rPr>
                <w:rFonts w:hint="eastAsia" w:ascii="宋体" w:hAnsi="宋体" w:cs="宋体"/>
                <w:bCs/>
                <w:color w:val="auto"/>
                <w:szCs w:val="21"/>
                <w:highlight w:val="none"/>
              </w:rPr>
              <w:t>★付款方法和条件</w:t>
            </w:r>
          </w:p>
        </w:tc>
        <w:tc>
          <w:tcPr>
            <w:tcW w:w="6466" w:type="dxa"/>
            <w:vAlign w:val="center"/>
          </w:tcPr>
          <w:p>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中标人按照采购人要求将货物分批运至采购人指定地点，开箱验收合格后，提交请款资料，经采购人审核无误，支付该批货物总价款的60%；项目完成并验收合格后，中标人提交请款资料，经采购人审核无误，支付至合同总价款的97%，结算价余款3%作为质保金，自结算之日起保修期满，如无质量服务问题无息支付3%给中标人。</w:t>
            </w:r>
          </w:p>
          <w:p>
            <w:pPr>
              <w:ind w:firstLine="420" w:firstLineChars="200"/>
              <w:rPr>
                <w:rFonts w:ascii="宋体" w:hAnsi="宋体" w:cs="宋体"/>
                <w:color w:val="auto"/>
                <w:szCs w:val="21"/>
                <w:highlight w:val="none"/>
              </w:rPr>
            </w:pPr>
            <w:r>
              <w:rPr>
                <w:rFonts w:hint="eastAsia" w:ascii="宋体" w:hAnsi="宋体" w:cs="宋体"/>
                <w:color w:val="auto"/>
                <w:szCs w:val="21"/>
                <w:highlight w:val="none"/>
              </w:rPr>
              <w:t>2.每次付款前，中标人必须提供合法有效、与合同条款中增值税税率一致的增值税专用发票给采购人，否则采购人有权拒绝付款且不构成违约；在采购人除支付保修金外的最后一期款项前，中标方须连同当期支付款项发票和保修金一并提交采购人；若后续出现保修问题，按照保修责任和条款，部分或全部扣除保修金的，不退还相应金额的发票。若合同执行期间，遇国家税务政策调整引起的合同价格变化，按照不含税价格调整结算价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8"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81"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501" w:type="dxa"/>
            <w:vAlign w:val="center"/>
          </w:tcPr>
          <w:p>
            <w:pPr>
              <w:jc w:val="center"/>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报价要求</w:t>
            </w:r>
          </w:p>
        </w:tc>
        <w:tc>
          <w:tcPr>
            <w:tcW w:w="6466" w:type="dxa"/>
            <w:vAlign w:val="center"/>
          </w:tcPr>
          <w:p>
            <w:pPr>
              <w:pStyle w:val="11"/>
              <w:wordWrap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1.投标报价为总价包干，应包括本次采购所有服务内容的费用，包括但不限于：</w:t>
            </w:r>
            <w:r>
              <w:rPr>
                <w:rFonts w:hint="eastAsia" w:ascii="宋体" w:hAnsi="宋体" w:cs="宋体"/>
                <w:color w:val="auto"/>
                <w:szCs w:val="21"/>
                <w:highlight w:val="none"/>
                <w:lang w:val="en-US" w:eastAsia="zh-CN"/>
              </w:rPr>
              <w:t>布</w:t>
            </w:r>
            <w:r>
              <w:rPr>
                <w:rFonts w:hint="eastAsia" w:ascii="宋体" w:hAnsi="宋体" w:cs="宋体"/>
                <w:color w:val="auto"/>
                <w:szCs w:val="21"/>
                <w:highlight w:val="none"/>
              </w:rPr>
              <w:t>帘面料、导轨及所有配件的制造、采购、包装、运输、二次搬运、装卸、仓储、现场保管、检测、税费、管理费、利润、市场价格变化风险、保修期内维修等完成本项目直至验收合格投入使用所需的所有费用。采购人无需再额外支付任何费用。</w:t>
            </w:r>
          </w:p>
          <w:p>
            <w:pPr>
              <w:pStyle w:val="11"/>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2.采购人有权根据项目实际需求情况调整采购数量，最终按实际供货数量结算，合同内中标综合单价不因任何原因调整。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07"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4"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57" w:hRule="atLeast"/>
          <w:jc w:val="center"/>
        </w:trPr>
        <w:tc>
          <w:tcPr>
            <w:tcW w:w="718"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8</w:t>
            </w:r>
          </w:p>
        </w:tc>
        <w:tc>
          <w:tcPr>
            <w:tcW w:w="1501" w:type="dxa"/>
            <w:vAlign w:val="center"/>
          </w:tcPr>
          <w:p>
            <w:pPr>
              <w:jc w:val="center"/>
              <w:rPr>
                <w:rFonts w:ascii="宋体" w:hAnsi="宋体" w:cs="宋体"/>
                <w:color w:val="auto"/>
                <w:szCs w:val="21"/>
                <w:highlight w:val="none"/>
              </w:rPr>
            </w:pPr>
            <w:r>
              <w:rPr>
                <w:rFonts w:hint="eastAsia" w:ascii="宋体" w:hAnsi="宋体" w:cs="宋体"/>
                <w:color w:val="auto"/>
                <w:szCs w:val="21"/>
                <w:highlight w:val="none"/>
              </w:rPr>
              <w:t>其他</w:t>
            </w:r>
          </w:p>
        </w:tc>
        <w:tc>
          <w:tcPr>
            <w:tcW w:w="6466" w:type="dxa"/>
            <w:vAlign w:val="center"/>
          </w:tcPr>
          <w:p>
            <w:pPr>
              <w:ind w:firstLine="420" w:firstLineChars="200"/>
              <w:rPr>
                <w:rFonts w:ascii="宋体" w:hAnsi="宋体" w:cs="宋体"/>
                <w:color w:val="auto"/>
                <w:szCs w:val="21"/>
                <w:highlight w:val="none"/>
              </w:rPr>
            </w:pPr>
            <w:r>
              <w:rPr>
                <w:rFonts w:hint="eastAsia" w:ascii="宋体" w:hAnsi="宋体" w:cs="宋体"/>
                <w:bCs/>
                <w:color w:val="auto"/>
                <w:szCs w:val="21"/>
                <w:highlight w:val="none"/>
              </w:rPr>
              <w:t>无。</w:t>
            </w:r>
          </w:p>
        </w:tc>
      </w:tr>
    </w:tbl>
    <w:p>
      <w:pPr>
        <w:shd w:val="clear"/>
        <w:rPr>
          <w:rFonts w:ascii="宋体" w:hAnsi="宋体"/>
          <w:color w:val="auto"/>
          <w:highlight w:val="none"/>
        </w:rPr>
      </w:pPr>
      <w:r>
        <w:rPr>
          <w:rFonts w:hint="eastAsia" w:ascii="宋体" w:hAnsi="宋体"/>
          <w:color w:val="auto"/>
          <w:highlight w:val="none"/>
        </w:rPr>
        <w:br w:type="page"/>
      </w:r>
    </w:p>
    <w:p>
      <w:pPr>
        <w:pStyle w:val="7"/>
        <w:shd w:val="clear"/>
        <w:spacing w:before="0" w:after="0" w:line="360" w:lineRule="auto"/>
        <w:jc w:val="center"/>
        <w:rPr>
          <w:color w:val="auto"/>
          <w:highlight w:val="none"/>
        </w:rPr>
      </w:pPr>
      <w:bookmarkStart w:id="15" w:name="_Toc23319"/>
      <w:r>
        <w:rPr>
          <w:rFonts w:hint="eastAsia" w:ascii="宋体" w:hAnsi="宋体"/>
          <w:color w:val="auto"/>
          <w:highlight w:val="none"/>
        </w:rPr>
        <w:t>第二章 技术需求书</w:t>
      </w:r>
      <w:bookmarkEnd w:id="14"/>
      <w:bookmarkEnd w:id="15"/>
    </w:p>
    <w:bookmarkEnd w:id="9"/>
    <w:bookmarkEnd w:id="10"/>
    <w:bookmarkEnd w:id="11"/>
    <w:bookmarkEnd w:id="12"/>
    <w:bookmarkEnd w:id="13"/>
    <w:p>
      <w:pPr>
        <w:rPr>
          <w:rFonts w:hint="eastAsia" w:ascii="宋体" w:hAnsi="宋体" w:cs="宋体"/>
          <w:b/>
          <w:bCs/>
          <w:color w:val="auto"/>
          <w:szCs w:val="21"/>
          <w:highlight w:val="none"/>
          <w:lang w:val="zh-TW"/>
        </w:rPr>
      </w:pPr>
      <w:bookmarkStart w:id="16" w:name="_Toc26369910"/>
      <w:bookmarkStart w:id="17" w:name="_Toc94368493"/>
      <w:bookmarkStart w:id="18" w:name="_Toc505020182"/>
      <w:r>
        <w:rPr>
          <w:rFonts w:hint="eastAsia" w:ascii="宋体" w:hAnsi="宋体" w:cs="宋体"/>
          <w:b/>
          <w:bCs/>
          <w:color w:val="auto"/>
          <w:szCs w:val="21"/>
          <w:highlight w:val="none"/>
          <w:lang w:val="zh-TW"/>
        </w:rPr>
        <w:t>一、</w:t>
      </w:r>
      <w:bookmarkEnd w:id="16"/>
      <w:r>
        <w:rPr>
          <w:rFonts w:hint="eastAsia" w:ascii="宋体" w:hAnsi="宋体" w:cs="宋体"/>
          <w:b/>
          <w:bCs/>
          <w:color w:val="auto"/>
          <w:szCs w:val="21"/>
          <w:highlight w:val="none"/>
          <w:lang w:val="en-US" w:eastAsia="zh-CN"/>
        </w:rPr>
        <w:t>采购清单</w:t>
      </w:r>
    </w:p>
    <w:bookmarkEnd w:id="17"/>
    <w:bookmarkEnd w:id="18"/>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1.投标人所投货物的技术参数不得低于以下要求，可优于下表要求。</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2.投标报价应包含完成货物安装至投入使用所需的全部辅材</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3.异形窗处理</w:t>
      </w:r>
      <w:r>
        <w:rPr>
          <w:rFonts w:hint="eastAsia" w:ascii="宋体" w:hAnsi="宋体" w:eastAsia="宋体" w:cs="宋体"/>
          <w:color w:val="auto"/>
          <w:kern w:val="0"/>
          <w:szCs w:val="21"/>
          <w:highlight w:val="none"/>
        </w:rPr>
        <w:t>：</w:t>
      </w:r>
      <w:r>
        <w:rPr>
          <w:rFonts w:ascii="宋体" w:hAnsi="宋体" w:eastAsia="宋体" w:cs="宋体"/>
          <w:color w:val="auto"/>
          <w:kern w:val="0"/>
          <w:szCs w:val="21"/>
          <w:highlight w:val="none"/>
        </w:rPr>
        <w:t>若现场窗户存在斜顶、异形，中标人须根据现场实测尺寸进行定制切割或拼接，保证美观，不得以异形为由拒接安装或</w:t>
      </w:r>
      <w:r>
        <w:rPr>
          <w:rFonts w:hint="eastAsia" w:ascii="宋体" w:hAnsi="宋体" w:eastAsia="宋体" w:cs="宋体"/>
          <w:color w:val="auto"/>
          <w:kern w:val="0"/>
          <w:szCs w:val="21"/>
          <w:highlight w:val="none"/>
        </w:rPr>
        <w:t>增加费用。</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4.避让原则</w:t>
      </w:r>
      <w:r>
        <w:rPr>
          <w:rFonts w:hint="eastAsia" w:ascii="宋体" w:hAnsi="宋体" w:eastAsia="宋体" w:cs="宋体"/>
          <w:color w:val="auto"/>
          <w:kern w:val="0"/>
          <w:szCs w:val="21"/>
          <w:highlight w:val="none"/>
        </w:rPr>
        <w:t>：</w:t>
      </w:r>
      <w:r>
        <w:rPr>
          <w:rFonts w:ascii="宋体" w:hAnsi="宋体" w:eastAsia="宋体" w:cs="宋体"/>
          <w:color w:val="auto"/>
          <w:kern w:val="0"/>
          <w:szCs w:val="21"/>
          <w:highlight w:val="none"/>
        </w:rPr>
        <w:t>安装时需避让空调管道、消防喷头、灯具等设施，如遇导轨长度需裁切，切口须打磨光滑并涂防锈漆。</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hint="eastAsia" w:ascii="宋体" w:hAnsi="宋体" w:cs="宋体"/>
          <w:bCs/>
          <w:color w:val="auto"/>
          <w:szCs w:val="21"/>
          <w:highlight w:val="none"/>
        </w:rPr>
        <w:t>★</w:t>
      </w:r>
      <w:r>
        <w:rPr>
          <w:rFonts w:hint="eastAsia" w:ascii="宋体" w:hAnsi="宋体" w:eastAsia="宋体" w:cs="宋体"/>
          <w:b/>
          <w:bCs/>
          <w:color w:val="auto"/>
          <w:kern w:val="0"/>
          <w:szCs w:val="21"/>
          <w:highlight w:val="none"/>
        </w:rPr>
        <w:t>5</w:t>
      </w:r>
      <w:r>
        <w:rPr>
          <w:rFonts w:ascii="宋体" w:hAnsi="宋体" w:eastAsia="宋体" w:cs="宋体"/>
          <w:b/>
          <w:bCs/>
          <w:color w:val="auto"/>
          <w:kern w:val="0"/>
          <w:szCs w:val="21"/>
          <w:highlight w:val="none"/>
        </w:rPr>
        <w:t>.</w:t>
      </w:r>
      <w:r>
        <w:rPr>
          <w:rFonts w:ascii="Segoe UI" w:hAnsi="Segoe UI" w:cs="Segoe UI"/>
          <w:b/>
          <w:bCs/>
          <w:color w:val="auto"/>
          <w:highlight w:val="none"/>
          <w:shd w:val="clear" w:color="auto" w:fill="FFFFFF"/>
        </w:rPr>
        <w:t xml:space="preserve"> </w:t>
      </w:r>
      <w:r>
        <w:rPr>
          <w:rFonts w:ascii="宋体" w:hAnsi="宋体" w:eastAsia="宋体" w:cs="宋体"/>
          <w:b/>
          <w:bCs/>
          <w:color w:val="auto"/>
          <w:kern w:val="0"/>
          <w:szCs w:val="21"/>
          <w:highlight w:val="none"/>
        </w:rPr>
        <w:t>现场复尺义务：</w:t>
      </w:r>
      <w:r>
        <w:rPr>
          <w:rFonts w:ascii="宋体" w:hAnsi="宋体" w:eastAsia="宋体" w:cs="宋体"/>
          <w:color w:val="auto"/>
          <w:kern w:val="0"/>
          <w:szCs w:val="21"/>
          <w:highlight w:val="none"/>
        </w:rPr>
        <w:t>改造项目因原建筑结构偏差较大（如梁底不平、墙面垂直度误差、窗洞尺寸不一致等），中标人在批量生产前必须逐户进行现场复尺，并根据实际复尺数据下单生产。因中标人未复尺或复尺错误导致的尺寸不符、无法安装等问题，由中标人免费重新制作并承担工期延误责任。</w:t>
      </w:r>
    </w:p>
    <w:tbl>
      <w:tblPr>
        <w:tblStyle w:val="39"/>
        <w:tblW w:w="84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385"/>
        <w:gridCol w:w="1076"/>
        <w:gridCol w:w="1128"/>
        <w:gridCol w:w="3528"/>
        <w:gridCol w:w="1059"/>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trHeight w:val="634" w:hRule="atLeast"/>
          <w:jc w:val="center"/>
        </w:trPr>
        <w:tc>
          <w:tcPr>
            <w:tcW w:w="385" w:type="dxa"/>
            <w:vAlign w:val="center"/>
          </w:tcPr>
          <w:p>
            <w:pPr>
              <w:jc w:val="center"/>
              <w:rPr>
                <w:rFonts w:ascii="宋体" w:hAnsi="宋体" w:eastAsia="宋体" w:cs="宋体"/>
                <w:b/>
                <w:bCs/>
                <w:color w:val="auto"/>
                <w:kern w:val="0"/>
                <w:sz w:val="21"/>
                <w:szCs w:val="22"/>
                <w:highlight w:val="none"/>
              </w:rPr>
            </w:pPr>
            <w:r>
              <w:rPr>
                <w:rFonts w:hint="eastAsia" w:ascii="宋体" w:hAnsi="宋体" w:eastAsia="宋体" w:cs="宋体"/>
                <w:b/>
                <w:bCs/>
                <w:color w:val="auto"/>
                <w:kern w:val="0"/>
                <w:sz w:val="21"/>
                <w:szCs w:val="22"/>
                <w:highlight w:val="none"/>
              </w:rPr>
              <w:t>序号</w:t>
            </w:r>
          </w:p>
        </w:tc>
        <w:tc>
          <w:tcPr>
            <w:tcW w:w="1076" w:type="dxa"/>
            <w:vAlign w:val="center"/>
          </w:tcPr>
          <w:p>
            <w:pPr>
              <w:jc w:val="center"/>
              <w:rPr>
                <w:rFonts w:ascii="宋体" w:hAnsi="宋体" w:eastAsia="宋体" w:cs="宋体"/>
                <w:b/>
                <w:bCs/>
                <w:color w:val="auto"/>
                <w:kern w:val="0"/>
                <w:sz w:val="21"/>
                <w:szCs w:val="22"/>
                <w:highlight w:val="none"/>
              </w:rPr>
            </w:pPr>
            <w:r>
              <w:rPr>
                <w:rFonts w:hint="eastAsia" w:ascii="宋体" w:hAnsi="宋体" w:eastAsia="宋体" w:cs="宋体"/>
                <w:b/>
                <w:bCs/>
                <w:color w:val="auto"/>
                <w:kern w:val="0"/>
                <w:sz w:val="21"/>
                <w:szCs w:val="22"/>
                <w:highlight w:val="none"/>
              </w:rPr>
              <w:t>采购内容</w:t>
            </w:r>
          </w:p>
        </w:tc>
        <w:tc>
          <w:tcPr>
            <w:tcW w:w="1128" w:type="dxa"/>
            <w:vAlign w:val="center"/>
          </w:tcPr>
          <w:p>
            <w:pPr>
              <w:jc w:val="center"/>
              <w:rPr>
                <w:rFonts w:ascii="宋体" w:hAnsi="宋体" w:eastAsia="宋体" w:cs="宋体"/>
                <w:b/>
                <w:bCs/>
                <w:color w:val="auto"/>
                <w:kern w:val="0"/>
                <w:sz w:val="21"/>
                <w:szCs w:val="22"/>
                <w:highlight w:val="none"/>
              </w:rPr>
            </w:pPr>
            <w:r>
              <w:rPr>
                <w:rFonts w:hint="eastAsia" w:ascii="宋体" w:hAnsi="宋体" w:eastAsia="宋体" w:cs="宋体"/>
                <w:b/>
                <w:bCs/>
                <w:color w:val="auto"/>
                <w:kern w:val="0"/>
                <w:sz w:val="21"/>
                <w:szCs w:val="22"/>
                <w:highlight w:val="none"/>
              </w:rPr>
              <w:t>规格/尺寸</w:t>
            </w:r>
          </w:p>
        </w:tc>
        <w:tc>
          <w:tcPr>
            <w:tcW w:w="3528" w:type="dxa"/>
            <w:vAlign w:val="center"/>
          </w:tcPr>
          <w:p>
            <w:pPr>
              <w:jc w:val="center"/>
              <w:rPr>
                <w:rFonts w:ascii="宋体" w:hAnsi="宋体" w:eastAsia="宋体" w:cs="宋体"/>
                <w:b/>
                <w:bCs/>
                <w:color w:val="auto"/>
                <w:kern w:val="0"/>
                <w:sz w:val="21"/>
                <w:szCs w:val="22"/>
                <w:highlight w:val="none"/>
              </w:rPr>
            </w:pPr>
            <w:r>
              <w:rPr>
                <w:rFonts w:hint="eastAsia" w:ascii="宋体" w:hAnsi="宋体" w:eastAsia="宋体" w:cs="宋体"/>
                <w:b/>
                <w:bCs/>
                <w:color w:val="auto"/>
                <w:kern w:val="0"/>
                <w:sz w:val="21"/>
                <w:szCs w:val="22"/>
                <w:highlight w:val="none"/>
              </w:rPr>
              <w:t>技术参数要求</w:t>
            </w:r>
          </w:p>
        </w:tc>
        <w:tc>
          <w:tcPr>
            <w:tcW w:w="1059" w:type="dxa"/>
            <w:vAlign w:val="center"/>
          </w:tcPr>
          <w:p>
            <w:pPr>
              <w:jc w:val="center"/>
              <w:rPr>
                <w:rFonts w:ascii="宋体" w:hAnsi="宋体" w:eastAsia="宋体" w:cs="宋体"/>
                <w:b/>
                <w:bCs/>
                <w:color w:val="auto"/>
                <w:kern w:val="0"/>
                <w:sz w:val="21"/>
                <w:szCs w:val="22"/>
                <w:highlight w:val="none"/>
              </w:rPr>
            </w:pPr>
            <w:r>
              <w:rPr>
                <w:rFonts w:hint="eastAsia" w:ascii="宋体" w:hAnsi="宋体" w:eastAsia="宋体" w:cs="宋体"/>
                <w:b/>
                <w:bCs/>
                <w:color w:val="auto"/>
                <w:kern w:val="0"/>
                <w:sz w:val="21"/>
                <w:szCs w:val="22"/>
                <w:highlight w:val="none"/>
              </w:rPr>
              <w:t>数量/单位</w:t>
            </w:r>
          </w:p>
        </w:tc>
        <w:tc>
          <w:tcPr>
            <w:tcW w:w="1244" w:type="dxa"/>
            <w:vAlign w:val="center"/>
          </w:tcPr>
          <w:p>
            <w:pPr>
              <w:jc w:val="center"/>
              <w:rPr>
                <w:rFonts w:ascii="宋体" w:hAnsi="宋体" w:eastAsia="宋体" w:cs="宋体"/>
                <w:b/>
                <w:bCs/>
                <w:color w:val="auto"/>
                <w:kern w:val="0"/>
                <w:sz w:val="21"/>
                <w:szCs w:val="22"/>
                <w:highlight w:val="none"/>
              </w:rPr>
            </w:pPr>
            <w:r>
              <w:rPr>
                <w:rFonts w:hint="eastAsia" w:ascii="宋体" w:hAnsi="宋体" w:eastAsia="宋体" w:cs="宋体"/>
                <w:b/>
                <w:bCs/>
                <w:color w:val="auto"/>
                <w:kern w:val="0"/>
                <w:sz w:val="21"/>
                <w:szCs w:val="22"/>
                <w:highlight w:val="none"/>
              </w:rPr>
              <w:t>最高限价单价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jc w:val="center"/>
        </w:trPr>
        <w:tc>
          <w:tcPr>
            <w:tcW w:w="385" w:type="dxa"/>
            <w:vAlign w:val="center"/>
          </w:tcPr>
          <w:p>
            <w:pPr>
              <w:jc w:val="center"/>
              <w:rPr>
                <w:rFonts w:ascii="宋体" w:hAnsi="宋体" w:eastAsia="宋体" w:cs="宋体"/>
                <w:color w:val="auto"/>
                <w:kern w:val="0"/>
                <w:sz w:val="21"/>
                <w:szCs w:val="22"/>
                <w:highlight w:val="none"/>
              </w:rPr>
            </w:pPr>
            <w:r>
              <w:rPr>
                <w:rFonts w:hint="eastAsia" w:ascii="宋体" w:hAnsi="宋体" w:eastAsia="宋体" w:cs="宋体"/>
                <w:color w:val="auto"/>
                <w:kern w:val="0"/>
                <w:sz w:val="21"/>
                <w:szCs w:val="22"/>
                <w:highlight w:val="none"/>
              </w:rPr>
              <w:t>1</w:t>
            </w:r>
          </w:p>
        </w:tc>
        <w:tc>
          <w:tcPr>
            <w:tcW w:w="1076" w:type="dxa"/>
            <w:vAlign w:val="center"/>
          </w:tcPr>
          <w:p>
            <w:pPr>
              <w:jc w:val="center"/>
              <w:rPr>
                <w:rFonts w:ascii="宋体" w:hAnsi="宋体" w:eastAsia="宋体" w:cs="宋体"/>
                <w:color w:val="auto"/>
                <w:kern w:val="0"/>
                <w:sz w:val="21"/>
                <w:szCs w:val="22"/>
                <w:highlight w:val="none"/>
              </w:rPr>
            </w:pPr>
            <w:r>
              <w:rPr>
                <w:rFonts w:hint="eastAsia" w:ascii="宋体" w:hAnsi="宋体" w:eastAsia="宋体" w:cs="宋体"/>
                <w:b/>
                <w:bCs/>
                <w:color w:val="auto"/>
                <w:kern w:val="0"/>
                <w:sz w:val="21"/>
                <w:szCs w:val="22"/>
                <w:highlight w:val="none"/>
              </w:rPr>
              <w:t>布帘布料</w:t>
            </w:r>
          </w:p>
        </w:tc>
        <w:tc>
          <w:tcPr>
            <w:tcW w:w="1128" w:type="dxa"/>
            <w:vAlign w:val="center"/>
          </w:tcPr>
          <w:p>
            <w:pPr>
              <w:jc w:val="center"/>
              <w:rPr>
                <w:rFonts w:ascii="宋体" w:hAnsi="宋体" w:eastAsia="宋体" w:cs="宋体"/>
                <w:color w:val="auto"/>
                <w:kern w:val="0"/>
                <w:sz w:val="21"/>
                <w:szCs w:val="22"/>
                <w:highlight w:val="none"/>
              </w:rPr>
            </w:pPr>
            <w:r>
              <w:rPr>
                <w:rFonts w:hint="eastAsia" w:ascii="宋体" w:hAnsi="宋体" w:eastAsia="宋体" w:cs="宋体"/>
                <w:color w:val="auto"/>
                <w:kern w:val="0"/>
                <w:sz w:val="21"/>
                <w:szCs w:val="22"/>
                <w:highlight w:val="none"/>
              </w:rPr>
              <w:t>门幅（宽）：房</w:t>
            </w:r>
            <w:r>
              <w:rPr>
                <w:rFonts w:ascii="宋体" w:hAnsi="宋体" w:eastAsia="宋体" w:cs="宋体"/>
                <w:color w:val="auto"/>
                <w:kern w:val="0"/>
                <w:sz w:val="21"/>
                <w:szCs w:val="22"/>
                <w:highlight w:val="none"/>
              </w:rPr>
              <w:t>200CM、厅250CM；高度：2-4楼270CM，5-13楼400CM</w:t>
            </w:r>
          </w:p>
        </w:tc>
        <w:tc>
          <w:tcPr>
            <w:tcW w:w="3528" w:type="dxa"/>
            <w:vAlign w:val="center"/>
          </w:tcPr>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★1.成分：100%聚酯纤维</w:t>
            </w:r>
            <w:r>
              <w:rPr>
                <w:rFonts w:hint="eastAsia" w:ascii="宋体" w:hAnsi="宋体" w:eastAsia="宋体" w:cs="宋体"/>
                <w:color w:val="auto"/>
                <w:kern w:val="0"/>
                <w:sz w:val="21"/>
                <w:szCs w:val="22"/>
                <w:highlight w:val="none"/>
              </w:rPr>
              <w:t>。</w:t>
            </w:r>
          </w:p>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★2.环保标准：符合GB 18401-2010《国家纺织产品基本安全技术规范》B类（直接接触皮肤）要求，甲醛含量≤75mg/kg，PH值4.0-8.5，无可分解致癌芳香胺染料。</w:t>
            </w:r>
            <w:r>
              <w:rPr>
                <w:rFonts w:ascii="宋体" w:hAnsi="宋体" w:eastAsia="宋体" w:cs="宋体"/>
                <w:color w:val="auto"/>
                <w:kern w:val="0"/>
                <w:sz w:val="21"/>
                <w:szCs w:val="22"/>
                <w:highlight w:val="none"/>
              </w:rPr>
              <w:br w:type="textWrapping"/>
            </w:r>
            <w:r>
              <w:rPr>
                <w:rFonts w:ascii="宋体" w:hAnsi="宋体" w:eastAsia="宋体" w:cs="宋体"/>
                <w:color w:val="auto"/>
                <w:kern w:val="0"/>
                <w:sz w:val="21"/>
                <w:szCs w:val="22"/>
                <w:highlight w:val="none"/>
              </w:rPr>
              <w:t>3.物理性能：</w:t>
            </w:r>
          </w:p>
          <w:p>
            <w:pPr>
              <w:rPr>
                <w:rFonts w:ascii="宋体" w:hAnsi="宋体" w:eastAsia="宋体" w:cs="宋体"/>
                <w:color w:val="auto"/>
                <w:kern w:val="0"/>
                <w:sz w:val="21"/>
                <w:szCs w:val="22"/>
                <w:highlight w:val="none"/>
              </w:rPr>
            </w:pPr>
            <w:r>
              <w:rPr>
                <w:rFonts w:hint="eastAsia" w:ascii="宋体" w:hAnsi="宋体" w:eastAsia="宋体" w:cs="宋体"/>
                <w:color w:val="auto"/>
                <w:kern w:val="0"/>
                <w:sz w:val="21"/>
                <w:szCs w:val="22"/>
                <w:highlight w:val="none"/>
              </w:rPr>
              <w:t>3</w:t>
            </w:r>
            <w:r>
              <w:rPr>
                <w:rFonts w:ascii="宋体" w:hAnsi="宋体" w:eastAsia="宋体" w:cs="宋体"/>
                <w:color w:val="auto"/>
                <w:kern w:val="0"/>
                <w:sz w:val="21"/>
                <w:szCs w:val="22"/>
                <w:highlight w:val="none"/>
              </w:rPr>
              <w:t>.1克重：≥780克/米（门幅280cm计）。</w:t>
            </w:r>
          </w:p>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★3.2遮光率：≥90%（检测方法：GB/T 5450-2014）。</w:t>
            </w:r>
          </w:p>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★3.3阻燃性能：达GB 8624-2012 B1级（难燃）标准，离火自熄，无熔滴。</w:t>
            </w:r>
          </w:p>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3.4色牢度：耐光色牢度≥4级，耐摩擦色牢度≥4级。</w:t>
            </w:r>
          </w:p>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3.5水洗尺寸变化率：经向、纬向水洗缩率≤1.0%。</w:t>
            </w:r>
          </w:p>
          <w:p>
            <w:pPr>
              <w:rPr>
                <w:rFonts w:ascii="宋体" w:hAnsi="宋体" w:eastAsia="宋体" w:cs="宋体"/>
                <w:color w:val="auto"/>
                <w:kern w:val="0"/>
                <w:sz w:val="21"/>
                <w:szCs w:val="22"/>
                <w:highlight w:val="none"/>
              </w:rPr>
            </w:pPr>
            <w:r>
              <w:rPr>
                <w:rFonts w:ascii="宋体" w:hAnsi="宋体" w:eastAsia="宋体" w:cs="宋体"/>
                <w:b/>
                <w:bCs/>
                <w:color w:val="auto"/>
                <w:kern w:val="0"/>
                <w:sz w:val="21"/>
                <w:szCs w:val="22"/>
                <w:highlight w:val="none"/>
              </w:rPr>
              <w:t>4. 工艺要求：</w:t>
            </w:r>
          </w:p>
          <w:p>
            <w:pPr>
              <w:rPr>
                <w:rFonts w:ascii="宋体" w:hAnsi="宋体" w:eastAsia="宋体" w:cs="宋体"/>
                <w:color w:val="auto"/>
                <w:kern w:val="0"/>
                <w:sz w:val="21"/>
                <w:szCs w:val="22"/>
                <w:highlight w:val="none"/>
              </w:rPr>
            </w:pPr>
            <w:r>
              <w:rPr>
                <w:rFonts w:hint="eastAsia" w:ascii="宋体" w:hAnsi="宋体" w:eastAsia="宋体" w:cs="宋体"/>
                <w:color w:val="auto"/>
                <w:kern w:val="0"/>
                <w:sz w:val="21"/>
                <w:szCs w:val="22"/>
                <w:highlight w:val="none"/>
              </w:rPr>
              <w:t>4</w:t>
            </w:r>
            <w:r>
              <w:rPr>
                <w:rFonts w:ascii="宋体" w:hAnsi="宋体" w:eastAsia="宋体" w:cs="宋体"/>
                <w:color w:val="auto"/>
                <w:kern w:val="0"/>
                <w:sz w:val="21"/>
                <w:szCs w:val="22"/>
                <w:highlight w:val="none"/>
              </w:rPr>
              <w:t>.1褶皱比：2倍褶皱（双开）。</w:t>
            </w:r>
          </w:p>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4.2布带：80g有纺布带，抗氧化、抗紫外线，每米承重≥20KG，配套S钩或A字叉（不锈钢材质防锈）。</w:t>
            </w:r>
          </w:p>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4.3加工：下摆折边2cm，两侧折边1cm，针脚均匀，无跳线。</w:t>
            </w:r>
          </w:p>
        </w:tc>
        <w:tc>
          <w:tcPr>
            <w:tcW w:w="1059" w:type="dxa"/>
            <w:vAlign w:val="center"/>
          </w:tcPr>
          <w:p>
            <w:pPr>
              <w:jc w:val="cente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5815.2</w:t>
            </w:r>
            <w:r>
              <w:rPr>
                <w:rFonts w:hint="eastAsia" w:ascii="宋体" w:hAnsi="宋体" w:eastAsia="宋体" w:cs="宋体"/>
                <w:color w:val="auto"/>
                <w:kern w:val="0"/>
                <w:sz w:val="21"/>
                <w:szCs w:val="22"/>
                <w:highlight w:val="none"/>
              </w:rPr>
              <w:t>0米</w:t>
            </w:r>
          </w:p>
        </w:tc>
        <w:tc>
          <w:tcPr>
            <w:tcW w:w="1244" w:type="dxa"/>
            <w:vAlign w:val="center"/>
          </w:tcPr>
          <w:p>
            <w:pPr>
              <w:jc w:val="center"/>
              <w:rPr>
                <w:rFonts w:ascii="宋体" w:hAnsi="宋体" w:eastAsia="宋体" w:cs="宋体"/>
                <w:color w:val="auto"/>
                <w:kern w:val="0"/>
                <w:sz w:val="21"/>
                <w:szCs w:val="22"/>
                <w:highlight w:val="none"/>
              </w:rPr>
            </w:pPr>
            <w:r>
              <w:rPr>
                <w:rFonts w:hint="eastAsia" w:ascii="宋体" w:hAnsi="宋体" w:eastAsia="宋体" w:cs="宋体"/>
                <w:color w:val="auto"/>
                <w:kern w:val="0"/>
                <w:sz w:val="21"/>
                <w:szCs w:val="22"/>
                <w:highlight w:val="none"/>
              </w:rPr>
              <w:t>7</w:t>
            </w:r>
            <w:r>
              <w:rPr>
                <w:rFonts w:ascii="宋体" w:hAnsi="宋体" w:eastAsia="宋体" w:cs="宋体"/>
                <w:color w:val="auto"/>
                <w:kern w:val="0"/>
                <w:sz w:val="21"/>
                <w:szCs w:val="22"/>
                <w:highlight w:val="none"/>
              </w:rPr>
              <w:t>2.00</w:t>
            </w:r>
            <w:r>
              <w:rPr>
                <w:rFonts w:hint="eastAsia" w:ascii="宋体" w:hAnsi="宋体" w:eastAsia="宋体" w:cs="宋体"/>
                <w:color w:val="auto"/>
                <w:kern w:val="0"/>
                <w:sz w:val="21"/>
                <w:szCs w:val="22"/>
                <w:highlight w:val="none"/>
              </w:rPr>
              <w:t>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Ex>
        <w:trPr>
          <w:jc w:val="center"/>
        </w:trPr>
        <w:tc>
          <w:tcPr>
            <w:tcW w:w="385" w:type="dxa"/>
            <w:vAlign w:val="center"/>
          </w:tcPr>
          <w:p>
            <w:pPr>
              <w:jc w:val="center"/>
              <w:rPr>
                <w:rFonts w:ascii="宋体" w:hAnsi="宋体" w:eastAsia="宋体" w:cs="宋体"/>
                <w:color w:val="auto"/>
                <w:kern w:val="0"/>
                <w:sz w:val="21"/>
                <w:szCs w:val="22"/>
                <w:highlight w:val="none"/>
              </w:rPr>
            </w:pPr>
            <w:r>
              <w:rPr>
                <w:rFonts w:hint="eastAsia" w:ascii="宋体" w:hAnsi="宋体" w:eastAsia="宋体" w:cs="宋体"/>
                <w:color w:val="auto"/>
                <w:kern w:val="0"/>
                <w:sz w:val="21"/>
                <w:szCs w:val="22"/>
                <w:highlight w:val="none"/>
              </w:rPr>
              <w:t>2</w:t>
            </w:r>
          </w:p>
        </w:tc>
        <w:tc>
          <w:tcPr>
            <w:tcW w:w="1076" w:type="dxa"/>
            <w:vAlign w:val="center"/>
          </w:tcPr>
          <w:p>
            <w:pPr>
              <w:jc w:val="center"/>
              <w:rPr>
                <w:rFonts w:ascii="宋体" w:hAnsi="宋体" w:eastAsia="宋体" w:cs="宋体"/>
                <w:color w:val="auto"/>
                <w:kern w:val="0"/>
                <w:sz w:val="21"/>
                <w:szCs w:val="22"/>
                <w:highlight w:val="none"/>
              </w:rPr>
            </w:pPr>
            <w:r>
              <w:rPr>
                <w:rFonts w:ascii="宋体" w:hAnsi="宋体" w:eastAsia="宋体" w:cs="宋体"/>
                <w:b/>
                <w:bCs/>
                <w:color w:val="auto"/>
                <w:kern w:val="0"/>
                <w:sz w:val="21"/>
                <w:szCs w:val="22"/>
                <w:highlight w:val="none"/>
              </w:rPr>
              <w:t>铝合金导轨</w:t>
            </w:r>
          </w:p>
        </w:tc>
        <w:tc>
          <w:tcPr>
            <w:tcW w:w="1128" w:type="dxa"/>
            <w:vAlign w:val="center"/>
          </w:tcPr>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25mm*27.5mm</w:t>
            </w:r>
          </w:p>
        </w:tc>
        <w:tc>
          <w:tcPr>
            <w:tcW w:w="3528" w:type="dxa"/>
            <w:vAlign w:val="center"/>
          </w:tcPr>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w:t>
            </w:r>
            <w:r>
              <w:rPr>
                <w:rFonts w:ascii="宋体" w:hAnsi="宋体" w:eastAsia="宋体" w:cs="宋体"/>
                <w:b/>
                <w:bCs/>
                <w:color w:val="auto"/>
                <w:kern w:val="0"/>
                <w:sz w:val="21"/>
                <w:szCs w:val="22"/>
                <w:highlight w:val="none"/>
              </w:rPr>
              <w:t>1.材质</w:t>
            </w:r>
            <w:r>
              <w:rPr>
                <w:rFonts w:ascii="宋体" w:hAnsi="宋体" w:eastAsia="宋体" w:cs="宋体"/>
                <w:color w:val="auto"/>
                <w:kern w:val="0"/>
                <w:sz w:val="21"/>
                <w:szCs w:val="22"/>
                <w:highlight w:val="none"/>
              </w:rPr>
              <w:t>：6063-T5铝合金，表面阳极氧化处理（膜厚≥10μm），颜色为哑光白。</w:t>
            </w:r>
          </w:p>
          <w:p>
            <w:pPr>
              <w:rPr>
                <w:rFonts w:ascii="宋体" w:hAnsi="宋体" w:eastAsia="宋体" w:cs="宋体"/>
                <w:color w:val="auto"/>
                <w:kern w:val="0"/>
                <w:sz w:val="21"/>
                <w:szCs w:val="22"/>
                <w:highlight w:val="none"/>
              </w:rPr>
            </w:pPr>
            <w:r>
              <w:rPr>
                <w:rFonts w:ascii="宋体" w:hAnsi="宋体" w:eastAsia="宋体" w:cs="宋体"/>
                <w:color w:val="auto"/>
                <w:kern w:val="0"/>
                <w:sz w:val="21"/>
                <w:szCs w:val="22"/>
                <w:highlight w:val="none"/>
              </w:rPr>
              <w:t>★</w:t>
            </w:r>
            <w:r>
              <w:rPr>
                <w:rFonts w:ascii="宋体" w:hAnsi="宋体" w:eastAsia="宋体" w:cs="宋体"/>
                <w:b/>
                <w:bCs/>
                <w:color w:val="auto"/>
                <w:kern w:val="0"/>
                <w:sz w:val="21"/>
                <w:szCs w:val="22"/>
                <w:highlight w:val="none"/>
              </w:rPr>
              <w:t>2.规格</w:t>
            </w:r>
            <w:r>
              <w:rPr>
                <w:rFonts w:ascii="宋体" w:hAnsi="宋体" w:eastAsia="宋体" w:cs="宋体"/>
                <w:color w:val="auto"/>
                <w:kern w:val="0"/>
                <w:sz w:val="21"/>
                <w:szCs w:val="22"/>
                <w:highlight w:val="none"/>
              </w:rPr>
              <w:t>：25mm*27.5mm（允许±0.5mm偏差），壁厚≥1.4mm（不含氧化膜）。</w:t>
            </w:r>
          </w:p>
          <w:p>
            <w:pPr>
              <w:rPr>
                <w:rFonts w:ascii="宋体" w:hAnsi="宋体" w:eastAsia="宋体" w:cs="宋体"/>
                <w:color w:val="auto"/>
                <w:kern w:val="0"/>
                <w:sz w:val="21"/>
                <w:szCs w:val="22"/>
                <w:highlight w:val="none"/>
              </w:rPr>
            </w:pPr>
            <w:r>
              <w:rPr>
                <w:rFonts w:ascii="宋体" w:hAnsi="宋体" w:eastAsia="宋体" w:cs="宋体"/>
                <w:b/>
                <w:bCs/>
                <w:color w:val="auto"/>
                <w:kern w:val="0"/>
                <w:sz w:val="21"/>
                <w:szCs w:val="22"/>
                <w:highlight w:val="none"/>
              </w:rPr>
              <w:t>3.结构</w:t>
            </w:r>
            <w:r>
              <w:rPr>
                <w:rFonts w:ascii="宋体" w:hAnsi="宋体" w:eastAsia="宋体" w:cs="宋体"/>
                <w:color w:val="auto"/>
                <w:kern w:val="0"/>
                <w:sz w:val="21"/>
                <w:szCs w:val="22"/>
                <w:highlight w:val="none"/>
              </w:rPr>
              <w:t>：内壁带凹槽加强筋，增加抗弯强度。</w:t>
            </w:r>
          </w:p>
          <w:p>
            <w:pPr>
              <w:rPr>
                <w:rFonts w:ascii="宋体" w:hAnsi="宋体" w:eastAsia="宋体" w:cs="宋体"/>
                <w:color w:val="auto"/>
                <w:kern w:val="0"/>
                <w:sz w:val="21"/>
                <w:szCs w:val="22"/>
                <w:highlight w:val="none"/>
              </w:rPr>
            </w:pPr>
            <w:r>
              <w:rPr>
                <w:rFonts w:ascii="宋体" w:hAnsi="宋体" w:eastAsia="宋体" w:cs="宋体"/>
                <w:b/>
                <w:bCs/>
                <w:color w:val="auto"/>
                <w:kern w:val="0"/>
                <w:sz w:val="21"/>
                <w:szCs w:val="22"/>
                <w:highlight w:val="none"/>
              </w:rPr>
              <w:t>4.性能</w:t>
            </w:r>
            <w:r>
              <w:rPr>
                <w:rFonts w:ascii="宋体" w:hAnsi="宋体" w:eastAsia="宋体" w:cs="宋体"/>
                <w:color w:val="auto"/>
                <w:kern w:val="0"/>
                <w:sz w:val="21"/>
                <w:szCs w:val="22"/>
                <w:highlight w:val="none"/>
              </w:rPr>
              <w:t>：</w:t>
            </w:r>
          </w:p>
          <w:p>
            <w:pPr>
              <w:rPr>
                <w:rFonts w:hint="eastAsia" w:ascii="宋体" w:hAnsi="宋体" w:eastAsia="宋体" w:cs="宋体"/>
                <w:color w:val="auto"/>
                <w:kern w:val="0"/>
                <w:sz w:val="21"/>
                <w:szCs w:val="22"/>
                <w:highlight w:val="none"/>
                <w:lang w:eastAsia="zh-CN"/>
              </w:rPr>
            </w:pPr>
            <w:r>
              <w:rPr>
                <w:rFonts w:ascii="宋体" w:hAnsi="宋体" w:eastAsia="宋体" w:cs="宋体"/>
                <w:color w:val="auto"/>
                <w:kern w:val="0"/>
                <w:sz w:val="21"/>
                <w:szCs w:val="22"/>
                <w:highlight w:val="none"/>
              </w:rPr>
              <w:t>★</w:t>
            </w:r>
            <w:r>
              <w:rPr>
                <w:rFonts w:hint="eastAsia" w:ascii="宋体" w:hAnsi="宋体" w:eastAsia="宋体" w:cs="宋体"/>
                <w:b/>
                <w:bCs/>
                <w:color w:val="auto"/>
                <w:kern w:val="0"/>
                <w:sz w:val="21"/>
                <w:szCs w:val="22"/>
                <w:highlight w:val="none"/>
              </w:rPr>
              <w:t>4</w:t>
            </w:r>
            <w:r>
              <w:rPr>
                <w:rFonts w:ascii="宋体" w:hAnsi="宋体" w:eastAsia="宋体" w:cs="宋体"/>
                <w:b/>
                <w:bCs/>
                <w:color w:val="auto"/>
                <w:kern w:val="0"/>
                <w:sz w:val="21"/>
                <w:szCs w:val="22"/>
                <w:highlight w:val="none"/>
              </w:rPr>
              <w:t>.1承重</w:t>
            </w:r>
            <w:r>
              <w:rPr>
                <w:rFonts w:ascii="宋体" w:hAnsi="宋体" w:eastAsia="宋体" w:cs="宋体"/>
                <w:color w:val="auto"/>
                <w:kern w:val="0"/>
                <w:sz w:val="21"/>
                <w:szCs w:val="22"/>
                <w:highlight w:val="none"/>
              </w:rPr>
              <w:t>：导轨成品每米承重≥25KG</w:t>
            </w:r>
            <w:r>
              <w:rPr>
                <w:rFonts w:hint="eastAsia" w:ascii="宋体" w:hAnsi="宋体" w:cs="宋体"/>
                <w:color w:val="auto"/>
                <w:kern w:val="0"/>
                <w:sz w:val="21"/>
                <w:szCs w:val="22"/>
                <w:highlight w:val="none"/>
                <w:lang w:eastAsia="zh-CN"/>
              </w:rPr>
              <w:t>。</w:t>
            </w:r>
          </w:p>
          <w:p>
            <w:pPr>
              <w:rPr>
                <w:rFonts w:ascii="宋体" w:hAnsi="宋体" w:eastAsia="宋体" w:cs="宋体"/>
                <w:color w:val="auto"/>
                <w:kern w:val="0"/>
                <w:sz w:val="21"/>
                <w:szCs w:val="22"/>
                <w:highlight w:val="none"/>
              </w:rPr>
            </w:pPr>
            <w:r>
              <w:rPr>
                <w:rFonts w:hint="eastAsia" w:ascii="宋体" w:hAnsi="宋体" w:eastAsia="宋体" w:cs="宋体"/>
                <w:b/>
                <w:bCs/>
                <w:color w:val="auto"/>
                <w:kern w:val="0"/>
                <w:sz w:val="21"/>
                <w:szCs w:val="22"/>
                <w:highlight w:val="none"/>
              </w:rPr>
              <w:t>4</w:t>
            </w:r>
            <w:r>
              <w:rPr>
                <w:rFonts w:ascii="宋体" w:hAnsi="宋体" w:eastAsia="宋体" w:cs="宋体"/>
                <w:b/>
                <w:bCs/>
                <w:color w:val="auto"/>
                <w:kern w:val="0"/>
                <w:sz w:val="21"/>
                <w:szCs w:val="22"/>
                <w:highlight w:val="none"/>
              </w:rPr>
              <w:t>.2滑轮</w:t>
            </w:r>
            <w:r>
              <w:rPr>
                <w:rFonts w:ascii="宋体" w:hAnsi="宋体" w:eastAsia="宋体" w:cs="宋体"/>
                <w:color w:val="auto"/>
                <w:kern w:val="0"/>
                <w:sz w:val="21"/>
                <w:szCs w:val="22"/>
                <w:highlight w:val="none"/>
              </w:rPr>
              <w:t>：静音顺滑尼龙轮/不锈钢轮，内含轴承，拉动10万次无卡顿，单个吊轮承重≥5KG。</w:t>
            </w:r>
          </w:p>
          <w:p>
            <w:pPr>
              <w:rPr>
                <w:rFonts w:ascii="宋体" w:hAnsi="宋体" w:eastAsia="宋体" w:cs="宋体"/>
                <w:color w:val="auto"/>
                <w:kern w:val="0"/>
                <w:sz w:val="21"/>
                <w:szCs w:val="22"/>
                <w:highlight w:val="none"/>
              </w:rPr>
            </w:pPr>
            <w:r>
              <w:rPr>
                <w:rFonts w:hint="eastAsia" w:ascii="宋体" w:hAnsi="宋体" w:eastAsia="宋体" w:cs="宋体"/>
                <w:b/>
                <w:bCs/>
                <w:color w:val="auto"/>
                <w:kern w:val="0"/>
                <w:sz w:val="21"/>
                <w:szCs w:val="22"/>
                <w:highlight w:val="none"/>
              </w:rPr>
              <w:t>4</w:t>
            </w:r>
            <w:r>
              <w:rPr>
                <w:rFonts w:ascii="宋体" w:hAnsi="宋体" w:eastAsia="宋体" w:cs="宋体"/>
                <w:b/>
                <w:bCs/>
                <w:color w:val="auto"/>
                <w:kern w:val="0"/>
                <w:sz w:val="21"/>
                <w:szCs w:val="22"/>
                <w:highlight w:val="none"/>
              </w:rPr>
              <w:t>.3倾斜测试</w:t>
            </w:r>
            <w:r>
              <w:rPr>
                <w:rFonts w:ascii="宋体" w:hAnsi="宋体" w:eastAsia="宋体" w:cs="宋体"/>
                <w:color w:val="auto"/>
                <w:kern w:val="0"/>
                <w:sz w:val="21"/>
                <w:szCs w:val="22"/>
                <w:highlight w:val="none"/>
              </w:rPr>
              <w:t>：导轨倾斜15°时，吊轮应能自行顺畅滑落。</w:t>
            </w:r>
          </w:p>
          <w:p>
            <w:pPr>
              <w:rPr>
                <w:rFonts w:ascii="宋体" w:hAnsi="宋体" w:eastAsia="宋体" w:cs="宋体"/>
                <w:color w:val="auto"/>
                <w:kern w:val="0"/>
                <w:sz w:val="21"/>
                <w:szCs w:val="22"/>
                <w:highlight w:val="none"/>
              </w:rPr>
            </w:pPr>
            <w:r>
              <w:rPr>
                <w:rFonts w:ascii="宋体" w:hAnsi="宋体" w:eastAsia="宋体" w:cs="宋体"/>
                <w:b/>
                <w:bCs/>
                <w:color w:val="auto"/>
                <w:kern w:val="0"/>
                <w:sz w:val="21"/>
                <w:szCs w:val="22"/>
                <w:highlight w:val="none"/>
              </w:rPr>
              <w:t>5.配件</w:t>
            </w:r>
            <w:r>
              <w:rPr>
                <w:rFonts w:ascii="宋体" w:hAnsi="宋体" w:eastAsia="宋体" w:cs="宋体"/>
                <w:color w:val="auto"/>
                <w:kern w:val="0"/>
                <w:sz w:val="21"/>
                <w:szCs w:val="22"/>
                <w:highlight w:val="none"/>
              </w:rPr>
              <w:t>：</w:t>
            </w:r>
          </w:p>
          <w:p>
            <w:pPr>
              <w:rPr>
                <w:rFonts w:ascii="宋体" w:hAnsi="宋体" w:eastAsia="宋体" w:cs="宋体"/>
                <w:color w:val="auto"/>
                <w:kern w:val="0"/>
                <w:sz w:val="21"/>
                <w:szCs w:val="22"/>
                <w:highlight w:val="none"/>
              </w:rPr>
            </w:pPr>
            <w:r>
              <w:rPr>
                <w:rFonts w:ascii="宋体" w:hAnsi="宋体" w:eastAsia="宋体" w:cs="宋体"/>
                <w:b/>
                <w:bCs/>
                <w:color w:val="auto"/>
                <w:kern w:val="0"/>
                <w:sz w:val="21"/>
                <w:szCs w:val="22"/>
                <w:highlight w:val="none"/>
              </w:rPr>
              <w:t>5.1安装码</w:t>
            </w:r>
            <w:r>
              <w:rPr>
                <w:rFonts w:ascii="宋体" w:hAnsi="宋体" w:eastAsia="宋体" w:cs="宋体"/>
                <w:color w:val="auto"/>
                <w:kern w:val="0"/>
                <w:sz w:val="21"/>
                <w:szCs w:val="22"/>
                <w:highlight w:val="none"/>
              </w:rPr>
              <w:t>：配套铁质镀锌冲压安装码，壁厚≥1.5mm，带塑料防滑卡扣，间距≤600mm一个。</w:t>
            </w:r>
          </w:p>
          <w:p>
            <w:pPr>
              <w:rPr>
                <w:rFonts w:ascii="宋体" w:hAnsi="宋体" w:eastAsia="宋体" w:cs="宋体"/>
                <w:color w:val="auto"/>
                <w:kern w:val="0"/>
                <w:sz w:val="21"/>
                <w:szCs w:val="22"/>
                <w:highlight w:val="none"/>
              </w:rPr>
            </w:pPr>
            <w:r>
              <w:rPr>
                <w:rFonts w:hint="eastAsia" w:ascii="宋体" w:hAnsi="宋体" w:eastAsia="宋体" w:cs="宋体"/>
                <w:b/>
                <w:bCs/>
                <w:color w:val="auto"/>
                <w:kern w:val="0"/>
                <w:sz w:val="21"/>
                <w:szCs w:val="22"/>
                <w:highlight w:val="none"/>
              </w:rPr>
              <w:t>5</w:t>
            </w:r>
            <w:r>
              <w:rPr>
                <w:rFonts w:ascii="宋体" w:hAnsi="宋体" w:eastAsia="宋体" w:cs="宋体"/>
                <w:b/>
                <w:bCs/>
                <w:color w:val="auto"/>
                <w:kern w:val="0"/>
                <w:sz w:val="21"/>
                <w:szCs w:val="22"/>
                <w:highlight w:val="none"/>
              </w:rPr>
              <w:t>.2封口</w:t>
            </w:r>
            <w:r>
              <w:rPr>
                <w:rFonts w:ascii="宋体" w:hAnsi="宋体" w:eastAsia="宋体" w:cs="宋体"/>
                <w:color w:val="auto"/>
                <w:kern w:val="0"/>
                <w:sz w:val="21"/>
                <w:szCs w:val="22"/>
                <w:highlight w:val="none"/>
              </w:rPr>
              <w:t>：两端配塑料或金属封口，防止脱轨。</w:t>
            </w:r>
          </w:p>
          <w:p>
            <w:pPr>
              <w:rPr>
                <w:rFonts w:ascii="宋体" w:hAnsi="宋体" w:eastAsia="宋体" w:cs="宋体"/>
                <w:color w:val="auto"/>
                <w:kern w:val="0"/>
                <w:sz w:val="21"/>
                <w:szCs w:val="22"/>
                <w:highlight w:val="none"/>
              </w:rPr>
            </w:pPr>
            <w:r>
              <w:rPr>
                <w:rFonts w:ascii="宋体" w:hAnsi="宋体" w:eastAsia="宋体" w:cs="宋体"/>
                <w:b/>
                <w:bCs/>
                <w:color w:val="auto"/>
                <w:kern w:val="0"/>
                <w:sz w:val="21"/>
                <w:szCs w:val="22"/>
                <w:highlight w:val="none"/>
              </w:rPr>
              <w:t>6.安装要求</w:t>
            </w:r>
            <w:r>
              <w:rPr>
                <w:rFonts w:ascii="宋体" w:hAnsi="宋体" w:eastAsia="宋体" w:cs="宋体"/>
                <w:color w:val="auto"/>
                <w:kern w:val="0"/>
                <w:sz w:val="21"/>
                <w:szCs w:val="22"/>
                <w:highlight w:val="none"/>
              </w:rPr>
              <w:t>：必须使用Φ8mm以上膨胀管配合不锈钢自攻螺丝固定于实体结构上。若为空心砖墙体，需中标人提供穿墙螺杆或背板加固方案，费用包含在报价中。</w:t>
            </w:r>
          </w:p>
        </w:tc>
        <w:tc>
          <w:tcPr>
            <w:tcW w:w="1059" w:type="dxa"/>
            <w:vAlign w:val="center"/>
          </w:tcPr>
          <w:p>
            <w:pPr>
              <w:jc w:val="center"/>
              <w:rPr>
                <w:rFonts w:ascii="宋体" w:hAnsi="宋体" w:eastAsia="宋体" w:cs="宋体"/>
                <w:color w:val="auto"/>
                <w:kern w:val="0"/>
                <w:sz w:val="21"/>
                <w:szCs w:val="22"/>
                <w:highlight w:val="none"/>
              </w:rPr>
            </w:pPr>
            <w:r>
              <w:rPr>
                <w:rFonts w:hint="eastAsia" w:ascii="宋体" w:hAnsi="宋体" w:eastAsia="宋体" w:cs="宋体"/>
                <w:color w:val="auto"/>
                <w:kern w:val="0"/>
                <w:sz w:val="21"/>
                <w:szCs w:val="22"/>
                <w:highlight w:val="none"/>
              </w:rPr>
              <w:t>1</w:t>
            </w:r>
            <w:r>
              <w:rPr>
                <w:rFonts w:ascii="宋体" w:hAnsi="宋体" w:eastAsia="宋体" w:cs="宋体"/>
                <w:color w:val="auto"/>
                <w:kern w:val="0"/>
                <w:sz w:val="21"/>
                <w:szCs w:val="22"/>
                <w:highlight w:val="none"/>
              </w:rPr>
              <w:t>878.00</w:t>
            </w:r>
            <w:r>
              <w:rPr>
                <w:rFonts w:hint="eastAsia" w:ascii="宋体" w:hAnsi="宋体" w:eastAsia="宋体" w:cs="宋体"/>
                <w:color w:val="auto"/>
                <w:kern w:val="0"/>
                <w:sz w:val="21"/>
                <w:szCs w:val="22"/>
                <w:highlight w:val="none"/>
              </w:rPr>
              <w:t>米</w:t>
            </w:r>
          </w:p>
        </w:tc>
        <w:tc>
          <w:tcPr>
            <w:tcW w:w="1244" w:type="dxa"/>
            <w:vAlign w:val="center"/>
          </w:tcPr>
          <w:p>
            <w:pPr>
              <w:jc w:val="center"/>
              <w:rPr>
                <w:rFonts w:ascii="宋体" w:hAnsi="宋体" w:eastAsia="宋体" w:cs="宋体"/>
                <w:color w:val="auto"/>
                <w:kern w:val="0"/>
                <w:sz w:val="21"/>
                <w:szCs w:val="22"/>
                <w:highlight w:val="none"/>
              </w:rPr>
            </w:pPr>
            <w:r>
              <w:rPr>
                <w:rFonts w:hint="eastAsia" w:ascii="宋体" w:hAnsi="宋体" w:eastAsia="宋体" w:cs="宋体"/>
                <w:color w:val="auto"/>
                <w:kern w:val="0"/>
                <w:sz w:val="21"/>
                <w:szCs w:val="22"/>
                <w:highlight w:val="none"/>
              </w:rPr>
              <w:t>1</w:t>
            </w:r>
            <w:r>
              <w:rPr>
                <w:rFonts w:ascii="宋体" w:hAnsi="宋体" w:eastAsia="宋体" w:cs="宋体"/>
                <w:color w:val="auto"/>
                <w:kern w:val="0"/>
                <w:sz w:val="21"/>
                <w:szCs w:val="22"/>
                <w:highlight w:val="none"/>
              </w:rPr>
              <w:t>6.00</w:t>
            </w:r>
            <w:r>
              <w:rPr>
                <w:rFonts w:hint="eastAsia" w:ascii="宋体" w:hAnsi="宋体" w:eastAsia="宋体" w:cs="宋体"/>
                <w:color w:val="auto"/>
                <w:kern w:val="0"/>
                <w:sz w:val="21"/>
                <w:szCs w:val="22"/>
                <w:highlight w:val="none"/>
              </w:rPr>
              <w:t>元/米</w:t>
            </w:r>
          </w:p>
        </w:tc>
      </w:tr>
    </w:tbl>
    <w:p>
      <w:pPr>
        <w:widowControl/>
        <w:adjustRightInd w:val="0"/>
        <w:snapToGrid w:val="0"/>
        <w:spacing w:line="360" w:lineRule="auto"/>
        <w:jc w:val="left"/>
        <w:rPr>
          <w:rFonts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val="en-US" w:eastAsia="zh-CN"/>
        </w:rPr>
        <w:t>二</w:t>
      </w:r>
      <w:r>
        <w:rPr>
          <w:rFonts w:hint="eastAsia" w:ascii="宋体" w:hAnsi="宋体" w:eastAsia="宋体" w:cs="宋体"/>
          <w:b/>
          <w:bCs/>
          <w:color w:val="auto"/>
          <w:kern w:val="0"/>
          <w:szCs w:val="21"/>
          <w:highlight w:val="none"/>
        </w:rPr>
        <w:t>、供货要求</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1.样板房供货要求：</w:t>
      </w:r>
      <w:r>
        <w:rPr>
          <w:rFonts w:ascii="宋体" w:hAnsi="宋体" w:eastAsia="宋体" w:cs="宋体"/>
          <w:color w:val="auto"/>
          <w:kern w:val="0"/>
          <w:szCs w:val="21"/>
          <w:highlight w:val="none"/>
        </w:rPr>
        <w:t>中标人须在合同签订后</w:t>
      </w:r>
      <w:r>
        <w:rPr>
          <w:rFonts w:hint="eastAsia" w:ascii="宋体" w:hAnsi="宋体" w:eastAsia="宋体" w:cs="宋体"/>
          <w:color w:val="auto"/>
          <w:kern w:val="0"/>
          <w:szCs w:val="21"/>
          <w:highlight w:val="none"/>
        </w:rPr>
        <w:t>接到采购人通知</w:t>
      </w:r>
      <w:r>
        <w:rPr>
          <w:rFonts w:ascii="宋体" w:hAnsi="宋体" w:eastAsia="宋体" w:cs="宋体"/>
          <w:color w:val="auto"/>
          <w:kern w:val="0"/>
          <w:szCs w:val="21"/>
          <w:highlight w:val="none"/>
        </w:rPr>
        <w:t>10</w:t>
      </w:r>
      <w:r>
        <w:rPr>
          <w:rFonts w:hint="eastAsia" w:ascii="宋体" w:hAnsi="宋体" w:eastAsia="宋体" w:cs="宋体"/>
          <w:color w:val="auto"/>
          <w:kern w:val="0"/>
          <w:szCs w:val="21"/>
          <w:highlight w:val="none"/>
        </w:rPr>
        <w:t>日内</w:t>
      </w:r>
      <w:r>
        <w:rPr>
          <w:rFonts w:ascii="宋体" w:hAnsi="宋体" w:eastAsia="宋体" w:cs="宋体"/>
          <w:color w:val="auto"/>
          <w:kern w:val="0"/>
          <w:szCs w:val="21"/>
          <w:highlight w:val="none"/>
        </w:rPr>
        <w:t>完成3个户型精装样板房</w:t>
      </w:r>
      <w:r>
        <w:rPr>
          <w:rFonts w:hint="eastAsia" w:ascii="宋体" w:hAnsi="宋体" w:eastAsia="宋体" w:cs="宋体"/>
          <w:color w:val="auto"/>
          <w:kern w:val="0"/>
          <w:szCs w:val="21"/>
          <w:highlight w:val="none"/>
        </w:rPr>
        <w:t>窗帘</w:t>
      </w:r>
      <w:r>
        <w:rPr>
          <w:rFonts w:ascii="宋体" w:hAnsi="宋体" w:eastAsia="宋体" w:cs="宋体"/>
          <w:color w:val="auto"/>
          <w:kern w:val="0"/>
          <w:szCs w:val="21"/>
          <w:highlight w:val="none"/>
        </w:rPr>
        <w:t>的供货、安装及调试工作，并经采购人验收合格</w:t>
      </w:r>
      <w:r>
        <w:rPr>
          <w:rFonts w:hint="eastAsia" w:ascii="宋体" w:hAnsi="宋体" w:eastAsia="宋体" w:cs="宋体"/>
          <w:color w:val="auto"/>
          <w:kern w:val="0"/>
          <w:szCs w:val="21"/>
          <w:highlight w:val="none"/>
        </w:rPr>
        <w:t>。</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2</w:t>
      </w:r>
      <w:r>
        <w:rPr>
          <w:rFonts w:hint="eastAsia" w:ascii="宋体" w:hAnsi="宋体" w:eastAsia="宋体" w:cs="宋体"/>
          <w:color w:val="auto"/>
          <w:kern w:val="0"/>
          <w:szCs w:val="21"/>
          <w:highlight w:val="none"/>
        </w:rPr>
        <w:t>.整体供货要求：</w:t>
      </w:r>
      <w:r>
        <w:rPr>
          <w:rFonts w:ascii="宋体" w:hAnsi="宋体" w:eastAsia="宋体" w:cs="宋体"/>
          <w:color w:val="auto"/>
          <w:kern w:val="0"/>
          <w:szCs w:val="21"/>
          <w:highlight w:val="none"/>
        </w:rPr>
        <w:t>中标人须根据项目现场整体施工进度，配合采购人书面通知的要求，分批次完成全部货物的进场、安装、调试及验收工作。</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3</w:t>
      </w:r>
      <w:r>
        <w:rPr>
          <w:rFonts w:hint="eastAsia" w:ascii="宋体" w:hAnsi="宋体" w:eastAsia="宋体" w:cs="宋体"/>
          <w:color w:val="auto"/>
          <w:kern w:val="0"/>
          <w:szCs w:val="21"/>
          <w:highlight w:val="none"/>
        </w:rPr>
        <w:t>.</w:t>
      </w:r>
      <w:r>
        <w:rPr>
          <w:rFonts w:ascii="宋体" w:hAnsi="宋体" w:eastAsia="宋体" w:cs="宋体"/>
          <w:color w:val="auto"/>
          <w:kern w:val="0"/>
          <w:szCs w:val="21"/>
          <w:highlight w:val="none"/>
        </w:rPr>
        <w:t>采购人负责协调落实货物在建设工地的临时存放场地，中标人须自行负责货物的保管、看管工作，期间发生的货物毁损、灭失风险由中标人承担</w:t>
      </w:r>
      <w:r>
        <w:rPr>
          <w:rFonts w:hint="eastAsia" w:ascii="宋体" w:hAnsi="宋体" w:eastAsia="宋体" w:cs="宋体"/>
          <w:color w:val="auto"/>
          <w:kern w:val="0"/>
          <w:szCs w:val="21"/>
          <w:highlight w:val="none"/>
        </w:rPr>
        <w:t>。</w:t>
      </w:r>
      <w:r>
        <w:rPr>
          <w:rFonts w:ascii="宋体" w:hAnsi="宋体" w:eastAsia="宋体" w:cs="宋体"/>
          <w:color w:val="auto"/>
          <w:kern w:val="0"/>
          <w:szCs w:val="21"/>
          <w:highlight w:val="none"/>
        </w:rPr>
        <w:t>中标人须自行负责货物的防潮、防污、防盗工作。改造项目现场环境复杂（可能存在粉尘、其他施工单位交叉作业），中标人须采用防水防尘包装，若因包装不当或保管不善造成货物受损，由中标人自行承担。</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4</w:t>
      </w:r>
      <w:r>
        <w:rPr>
          <w:rFonts w:hint="eastAsia" w:ascii="宋体" w:hAnsi="宋体" w:eastAsia="宋体" w:cs="宋体"/>
          <w:color w:val="auto"/>
          <w:kern w:val="0"/>
          <w:szCs w:val="21"/>
          <w:highlight w:val="none"/>
        </w:rPr>
        <w:t>.成品保护：</w:t>
      </w:r>
      <w:r>
        <w:rPr>
          <w:rFonts w:ascii="宋体" w:hAnsi="宋体" w:eastAsia="宋体" w:cs="宋体"/>
          <w:color w:val="auto"/>
          <w:kern w:val="0"/>
          <w:szCs w:val="21"/>
          <w:highlight w:val="none"/>
        </w:rPr>
        <w:t>自货物运抵现场至最终验收合格并交付使用前，中标人须负责全部货物的成品保护工作。安装过程中，中标人须对现场已完成的装修面（墙面、地面、天花）采取保护措施（如铺设保护膜、使用梯脚套等）。若因安装导致墙体开裂、涂料污染、地砖刮花，中标人须负责原样修复并承担相关费用，且工期不予顺延</w:t>
      </w:r>
      <w:r>
        <w:rPr>
          <w:rFonts w:hint="eastAsia" w:ascii="宋体" w:hAnsi="宋体" w:eastAsia="宋体" w:cs="宋体"/>
          <w:color w:val="auto"/>
          <w:kern w:val="0"/>
          <w:szCs w:val="21"/>
          <w:highlight w:val="none"/>
        </w:rPr>
        <w:t>。</w:t>
      </w:r>
    </w:p>
    <w:p>
      <w:pPr>
        <w:widowControl/>
        <w:adjustRightInd w:val="0"/>
        <w:snapToGrid w:val="0"/>
        <w:spacing w:line="360" w:lineRule="auto"/>
        <w:jc w:val="left"/>
        <w:rPr>
          <w:rFonts w:ascii="宋体" w:hAnsi="宋体" w:eastAsia="宋体" w:cs="宋体"/>
          <w:b/>
          <w:bCs/>
          <w:color w:val="auto"/>
          <w:kern w:val="0"/>
          <w:szCs w:val="21"/>
          <w:highlight w:val="none"/>
        </w:rPr>
      </w:pPr>
      <w:r>
        <w:rPr>
          <w:rFonts w:hint="eastAsia" w:ascii="宋体" w:hAnsi="宋体" w:cs="宋体"/>
          <w:bCs/>
          <w:color w:val="auto"/>
          <w:szCs w:val="21"/>
          <w:highlight w:val="none"/>
        </w:rPr>
        <w:t>★</w:t>
      </w:r>
      <w:r>
        <w:rPr>
          <w:rFonts w:hint="eastAsia" w:ascii="宋体" w:hAnsi="宋体" w:eastAsia="宋体" w:cs="宋体"/>
          <w:b/>
          <w:bCs/>
          <w:color w:val="auto"/>
          <w:kern w:val="0"/>
          <w:szCs w:val="21"/>
          <w:highlight w:val="none"/>
          <w:lang w:val="en-US" w:eastAsia="zh-CN"/>
        </w:rPr>
        <w:t>三</w:t>
      </w:r>
      <w:r>
        <w:rPr>
          <w:rFonts w:hint="eastAsia" w:ascii="宋体" w:hAnsi="宋体" w:eastAsia="宋体" w:cs="宋体"/>
          <w:b/>
          <w:bCs/>
          <w:color w:val="auto"/>
          <w:kern w:val="0"/>
          <w:szCs w:val="21"/>
          <w:highlight w:val="none"/>
        </w:rPr>
        <w:t>、保修期</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1.</w:t>
      </w:r>
      <w:r>
        <w:rPr>
          <w:rFonts w:hint="eastAsia" w:ascii="宋体" w:hAnsi="宋体" w:eastAsia="宋体" w:cs="宋体"/>
          <w:color w:val="auto"/>
          <w:kern w:val="0"/>
          <w:szCs w:val="21"/>
          <w:highlight w:val="none"/>
        </w:rPr>
        <w:t>保修期限：</w:t>
      </w:r>
      <w:r>
        <w:rPr>
          <w:rFonts w:ascii="宋体" w:hAnsi="宋体" w:eastAsia="宋体" w:cs="宋体"/>
          <w:color w:val="auto"/>
          <w:kern w:val="0"/>
          <w:szCs w:val="21"/>
          <w:highlight w:val="none"/>
        </w:rPr>
        <w:t>免费保修期自全部货物安装调试验收合格之日起计算，</w:t>
      </w:r>
      <w:r>
        <w:rPr>
          <w:rFonts w:hint="eastAsia" w:ascii="宋体" w:hAnsi="宋体" w:eastAsia="宋体" w:cs="宋体"/>
          <w:color w:val="auto"/>
          <w:kern w:val="0"/>
          <w:szCs w:val="21"/>
          <w:highlight w:val="none"/>
        </w:rPr>
        <w:t>整体保修3年。</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2.</w:t>
      </w:r>
      <w:r>
        <w:rPr>
          <w:rFonts w:hint="eastAsia" w:ascii="宋体" w:hAnsi="宋体" w:eastAsia="宋体" w:cs="宋体"/>
          <w:color w:val="auto"/>
          <w:kern w:val="0"/>
          <w:szCs w:val="21"/>
          <w:highlight w:val="none"/>
        </w:rPr>
        <w:t>保修期</w:t>
      </w:r>
      <w:r>
        <w:rPr>
          <w:rFonts w:ascii="宋体" w:hAnsi="宋体" w:eastAsia="宋体" w:cs="宋体"/>
          <w:color w:val="auto"/>
          <w:kern w:val="0"/>
          <w:szCs w:val="21"/>
          <w:highlight w:val="none"/>
        </w:rPr>
        <w:t>服务：保修期内，产品出现脱钩、拉不动、面料破损（非人为）等问题，中标人须在接到通知后2小时内响应，24小时内派员抵达现场处理。48小时内无法修复的，须无条件更换同规格新品。</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3.逾期响应处理：若中标人未在规定时限内响应或完成维修、更换，采购人有权自行或委托第三方进行维修、更换，所产生的一切费用由中标人承担。</w:t>
      </w:r>
    </w:p>
    <w:p>
      <w:pPr>
        <w:widowControl/>
        <w:adjustRightInd w:val="0"/>
        <w:snapToGrid w:val="0"/>
        <w:spacing w:line="360" w:lineRule="auto"/>
        <w:jc w:val="left"/>
        <w:rPr>
          <w:rFonts w:ascii="宋体" w:hAnsi="宋体" w:eastAsia="宋体" w:cs="宋体"/>
          <w:b/>
          <w:bCs/>
          <w:color w:val="auto"/>
          <w:kern w:val="0"/>
          <w:szCs w:val="21"/>
          <w:highlight w:val="none"/>
        </w:rPr>
      </w:pPr>
      <w:r>
        <w:rPr>
          <w:rFonts w:hint="eastAsia" w:ascii="宋体" w:hAnsi="宋体" w:cs="宋体"/>
          <w:bCs/>
          <w:color w:val="auto"/>
          <w:szCs w:val="21"/>
          <w:highlight w:val="none"/>
        </w:rPr>
        <w:t>★</w:t>
      </w:r>
      <w:r>
        <w:rPr>
          <w:rFonts w:hint="eastAsia" w:ascii="宋体" w:hAnsi="宋体" w:eastAsia="宋体" w:cs="宋体"/>
          <w:b/>
          <w:bCs/>
          <w:color w:val="auto"/>
          <w:kern w:val="0"/>
          <w:szCs w:val="21"/>
          <w:highlight w:val="none"/>
          <w:lang w:val="en-US" w:eastAsia="zh-CN"/>
        </w:rPr>
        <w:t>四</w:t>
      </w:r>
      <w:r>
        <w:rPr>
          <w:rFonts w:hint="eastAsia" w:ascii="宋体" w:hAnsi="宋体" w:eastAsia="宋体" w:cs="宋体"/>
          <w:b/>
          <w:bCs/>
          <w:color w:val="auto"/>
          <w:kern w:val="0"/>
          <w:szCs w:val="21"/>
          <w:highlight w:val="none"/>
        </w:rPr>
        <w:t>、保险</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r>
        <w:rPr>
          <w:rFonts w:ascii="宋体" w:hAnsi="宋体" w:eastAsia="宋体" w:cs="宋体"/>
          <w:color w:val="auto"/>
          <w:kern w:val="0"/>
          <w:szCs w:val="21"/>
          <w:highlight w:val="none"/>
        </w:rPr>
        <w:t>.中标人须在合同签订后10个工作日内，为本项目现场作业人员办理意外伤害保险并支付保险费，保险期限自合同签订之日起至本项目最终验收合格之日止。在合同履行期间，中标人对其派出的人员安全负全</w:t>
      </w:r>
      <w:r>
        <w:rPr>
          <w:rFonts w:hint="eastAsia" w:ascii="宋体" w:hAnsi="宋体" w:eastAsia="宋体" w:cs="宋体"/>
          <w:color w:val="auto"/>
          <w:kern w:val="0"/>
          <w:szCs w:val="21"/>
          <w:highlight w:val="none"/>
        </w:rPr>
        <w:t>。</w:t>
      </w:r>
      <w:r>
        <w:rPr>
          <w:rFonts w:hint="eastAsia" w:ascii="宋体" w:hAnsi="宋体" w:eastAsia="宋体" w:cs="宋体"/>
          <w:b/>
          <w:bCs/>
          <w:color w:val="auto"/>
          <w:kern w:val="0"/>
          <w:szCs w:val="21"/>
          <w:highlight w:val="none"/>
        </w:rPr>
        <w:t>（须提供承诺函，格式自拟）</w:t>
      </w:r>
    </w:p>
    <w:p>
      <w:pPr>
        <w:widowControl/>
        <w:adjustRightInd w:val="0"/>
        <w:snapToGrid w:val="0"/>
        <w:spacing w:line="360" w:lineRule="auto"/>
        <w:jc w:val="left"/>
        <w:rPr>
          <w:rFonts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val="en-US" w:eastAsia="zh-CN"/>
        </w:rPr>
        <w:t>五</w:t>
      </w:r>
      <w:r>
        <w:rPr>
          <w:rFonts w:hint="eastAsia" w:ascii="宋体" w:hAnsi="宋体" w:eastAsia="宋体" w:cs="宋体"/>
          <w:b/>
          <w:bCs/>
          <w:color w:val="auto"/>
          <w:kern w:val="0"/>
          <w:szCs w:val="21"/>
          <w:highlight w:val="none"/>
        </w:rPr>
        <w:t>、验收标准</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1.验收依据</w:t>
      </w:r>
      <w:r>
        <w:rPr>
          <w:rFonts w:hint="eastAsia" w:ascii="宋体" w:hAnsi="宋体" w:eastAsia="宋体" w:cs="宋体"/>
          <w:b/>
          <w:bCs/>
          <w:color w:val="auto"/>
          <w:kern w:val="0"/>
          <w:szCs w:val="21"/>
          <w:highlight w:val="none"/>
        </w:rPr>
        <w:t>：</w:t>
      </w:r>
      <w:r>
        <w:rPr>
          <w:rFonts w:ascii="宋体" w:hAnsi="宋体" w:eastAsia="宋体" w:cs="宋体"/>
          <w:color w:val="auto"/>
          <w:kern w:val="0"/>
          <w:szCs w:val="21"/>
          <w:highlight w:val="none"/>
        </w:rPr>
        <w:t>所有货物及服务质量须符合国家现行强制性标准、行业标准及本用户需求书的技术参数要求。主要遵循的标准包括但不限于：GB 18401-2010《国家纺织产品基本安全技术规范》、GB/T 5450-2014《纺织品 遮光性能的测定》、GB 8624-2012《建筑材料及制品燃烧性能分级》等。</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ascii="宋体" w:hAnsi="宋体" w:eastAsia="宋体" w:cs="宋体"/>
          <w:b/>
          <w:bCs/>
          <w:color w:val="auto"/>
          <w:kern w:val="0"/>
          <w:szCs w:val="21"/>
          <w:highlight w:val="none"/>
        </w:rPr>
        <w:t>.验收程序</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2.1开箱验收</w:t>
      </w:r>
      <w:r>
        <w:rPr>
          <w:rFonts w:hint="eastAsia" w:ascii="宋体" w:hAnsi="宋体" w:eastAsia="宋体" w:cs="宋体"/>
          <w:color w:val="auto"/>
          <w:kern w:val="0"/>
          <w:szCs w:val="21"/>
          <w:highlight w:val="none"/>
        </w:rPr>
        <w:t>：</w:t>
      </w:r>
      <w:r>
        <w:rPr>
          <w:rFonts w:ascii="宋体" w:hAnsi="宋体" w:eastAsia="宋体" w:cs="宋体"/>
          <w:color w:val="auto"/>
          <w:kern w:val="0"/>
          <w:szCs w:val="21"/>
          <w:highlight w:val="none"/>
        </w:rPr>
        <w:t>货物到达现场后，采购人、监理单位（如有）、中标人共同开箱检验，核对品牌、型号、规格、数量、色差、外观质量及随机备件。如发现破损、受潮、色差明显等问题，当场记录并限期更换。</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2.2 安装过程监督</w:t>
      </w:r>
      <w:r>
        <w:rPr>
          <w:rFonts w:hint="eastAsia" w:ascii="宋体" w:hAnsi="宋体" w:eastAsia="宋体" w:cs="宋体"/>
          <w:color w:val="auto"/>
          <w:kern w:val="0"/>
          <w:szCs w:val="21"/>
          <w:highlight w:val="none"/>
        </w:rPr>
        <w:t>：</w:t>
      </w:r>
      <w:r>
        <w:rPr>
          <w:rFonts w:ascii="宋体" w:hAnsi="宋体" w:eastAsia="宋体" w:cs="宋体"/>
          <w:color w:val="auto"/>
          <w:kern w:val="0"/>
          <w:szCs w:val="21"/>
          <w:highlight w:val="none"/>
        </w:rPr>
        <w:t>采购人或监理有权对安装过程进行抽查，重点检查：导轨安装码间距是否≤600mm；膨胀螺栓是否打入实体结构，锚固深度是否足够；空心砖墙体是否采取加固措施（如穿墙螺杆、对穿螺丝加垫片等）；安装过程是否对墙面、地面造成污染或损坏。</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2.3 竣工验收</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全部货物安装调试完毕后，由采购人组织监理、总包单位进行综合验收。验收内容包括：</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（1）导轨安装质量</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牢固度</w:t>
      </w:r>
      <w:r>
        <w:rPr>
          <w:rFonts w:ascii="宋体" w:hAnsi="宋体" w:eastAsia="宋体" w:cs="宋体"/>
          <w:color w:val="auto"/>
          <w:kern w:val="0"/>
          <w:szCs w:val="21"/>
          <w:highlight w:val="none"/>
        </w:rPr>
        <w:t>：用手扳动导轨无明显晃动，单个安装码承受20kg拉力无松动；</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水平度</w:t>
      </w:r>
      <w:r>
        <w:rPr>
          <w:rFonts w:ascii="宋体" w:hAnsi="宋体" w:eastAsia="宋体" w:cs="宋体"/>
          <w:color w:val="auto"/>
          <w:kern w:val="0"/>
          <w:szCs w:val="21"/>
          <w:highlight w:val="none"/>
        </w:rPr>
        <w:t>：使用水平尺检查，每米偏差≤2mm；</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直线度</w:t>
      </w:r>
      <w:r>
        <w:rPr>
          <w:rFonts w:ascii="宋体" w:hAnsi="宋体" w:eastAsia="宋体" w:cs="宋体"/>
          <w:color w:val="auto"/>
          <w:kern w:val="0"/>
          <w:szCs w:val="21"/>
          <w:highlight w:val="none"/>
        </w:rPr>
        <w:t>：目测无明显弯曲，拉线检查每米偏差≤3mm；</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与墙面贴合度</w:t>
      </w:r>
      <w:r>
        <w:rPr>
          <w:rFonts w:ascii="宋体" w:hAnsi="宋体" w:eastAsia="宋体" w:cs="宋体"/>
          <w:color w:val="auto"/>
          <w:kern w:val="0"/>
          <w:szCs w:val="21"/>
          <w:highlight w:val="none"/>
        </w:rPr>
        <w:t>：明装导轨背部应与墙面紧密贴合，局部缝隙≤2mm（因墙面不平整导致的缝隙需用密封胶或装饰条处理）；</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装饰盖</w:t>
      </w:r>
      <w:r>
        <w:rPr>
          <w:rFonts w:ascii="宋体" w:hAnsi="宋体" w:eastAsia="宋体" w:cs="宋体"/>
          <w:color w:val="auto"/>
          <w:kern w:val="0"/>
          <w:szCs w:val="21"/>
          <w:highlight w:val="none"/>
        </w:rPr>
        <w:t>：所有安装码螺丝必须安装装饰盖，外观整洁。</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（2）窗帘安装质量</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褶皱均匀度</w:t>
      </w:r>
      <w:r>
        <w:rPr>
          <w:rFonts w:ascii="宋体" w:hAnsi="宋体" w:eastAsia="宋体" w:cs="宋体"/>
          <w:color w:val="auto"/>
          <w:kern w:val="0"/>
          <w:szCs w:val="21"/>
          <w:highlight w:val="none"/>
        </w:rPr>
        <w:t>：2倍褶皱，褶皱间距一致，自然下垂无扭曲；</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离地高度</w:t>
      </w:r>
      <w:r>
        <w:rPr>
          <w:rFonts w:ascii="宋体" w:hAnsi="宋体" w:eastAsia="宋体" w:cs="宋体"/>
          <w:color w:val="auto"/>
          <w:kern w:val="0"/>
          <w:szCs w:val="21"/>
          <w:highlight w:val="none"/>
        </w:rPr>
        <w:t>：窗帘下摆离地高度一致，误差≤5mm；</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拉伸顺滑度</w:t>
      </w:r>
      <w:r>
        <w:rPr>
          <w:rFonts w:ascii="宋体" w:hAnsi="宋体" w:eastAsia="宋体" w:cs="宋体"/>
          <w:color w:val="auto"/>
          <w:kern w:val="0"/>
          <w:szCs w:val="21"/>
          <w:highlight w:val="none"/>
        </w:rPr>
        <w:t>：手动开合顺畅，无卡顿、无脱轨；</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拼接外观</w:t>
      </w:r>
      <w:r>
        <w:rPr>
          <w:rFonts w:ascii="宋体" w:hAnsi="宋体" w:eastAsia="宋体" w:cs="宋体"/>
          <w:color w:val="auto"/>
          <w:kern w:val="0"/>
          <w:szCs w:val="21"/>
          <w:highlight w:val="none"/>
        </w:rPr>
        <w:t>：多幅拼接的窗帘，拼缝处图案对齐，无明显色差。</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ascii="宋体" w:hAnsi="宋体" w:eastAsia="宋体" w:cs="宋体"/>
          <w:b/>
          <w:bCs/>
          <w:color w:val="auto"/>
          <w:kern w:val="0"/>
          <w:szCs w:val="21"/>
          <w:highlight w:val="none"/>
        </w:rPr>
        <w:t>（3）功能与性能</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遮光率测试：随机抽取窗帘在自然光下观察，无明显漏光点；</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ascii="宋体" w:hAnsi="宋体" w:eastAsia="宋体" w:cs="宋体"/>
          <w:color w:val="auto"/>
          <w:kern w:val="0"/>
          <w:szCs w:val="21"/>
          <w:highlight w:val="none"/>
        </w:rPr>
      </w:pPr>
      <w:r>
        <w:rPr>
          <w:rFonts w:ascii="宋体" w:hAnsi="宋体" w:eastAsia="宋体" w:cs="宋体"/>
          <w:color w:val="auto"/>
          <w:kern w:val="0"/>
          <w:szCs w:val="21"/>
          <w:highlight w:val="none"/>
        </w:rPr>
        <w:t>导轨承重测试：在导轨上均匀悬挂额定重量（每米25kg），静置24小时，导轨无明显变形，滑轮仍能顺畅滑动。</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ascii="宋体" w:hAnsi="宋体" w:eastAsia="宋体" w:cs="宋体"/>
          <w:b/>
          <w:bCs/>
          <w:color w:val="auto"/>
          <w:kern w:val="0"/>
          <w:szCs w:val="21"/>
          <w:highlight w:val="none"/>
        </w:rPr>
        <w:t>.第三方抽检</w:t>
      </w:r>
      <w:r>
        <w:rPr>
          <w:rFonts w:hint="eastAsia" w:ascii="宋体" w:hAnsi="宋体" w:eastAsia="宋体" w:cs="宋体"/>
          <w:color w:val="auto"/>
          <w:kern w:val="0"/>
          <w:szCs w:val="21"/>
          <w:highlight w:val="none"/>
        </w:rPr>
        <w:t>：</w:t>
      </w:r>
      <w:r>
        <w:rPr>
          <w:rFonts w:ascii="宋体" w:hAnsi="宋体" w:eastAsia="宋体" w:cs="宋体"/>
          <w:color w:val="auto"/>
          <w:kern w:val="0"/>
          <w:szCs w:val="21"/>
          <w:highlight w:val="none"/>
        </w:rPr>
        <w:t>采购人有权委托具有资质的第三方检测机构对货物进行随机抽样检测，检测项目包括但不限于：甲醛含量、PH值、耐光色牢度、阻燃性能、遮光率、导轨壁厚及承重能力。若检测结果不合格，中标人须承担检测费、退换货费用、工期延误损失，并接受采购人根据合同条款进行的处罚。</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4.知识产权保证：</w:t>
      </w:r>
      <w:r>
        <w:rPr>
          <w:rFonts w:hint="eastAsia" w:ascii="宋体" w:hAnsi="宋体" w:eastAsia="宋体" w:cs="宋体"/>
          <w:color w:val="auto"/>
          <w:kern w:val="0"/>
          <w:sz w:val="21"/>
          <w:szCs w:val="21"/>
          <w:highlight w:val="none"/>
        </w:rPr>
        <w:t>中标人应保证，在提供本项目的货物、服务或其任何一部分不会产生因第三方依法享有的专利权、商标权或其他知识产权侵权之诉。如因第三方提出侵权之诉，一切法律责任及由此产生的费用由中标人承担。</w:t>
      </w:r>
    </w:p>
    <w:p>
      <w:pPr>
        <w:widowControl/>
        <w:adjustRightInd w:val="0"/>
        <w:snapToGrid w:val="0"/>
        <w:spacing w:line="360" w:lineRule="auto"/>
        <w:jc w:val="left"/>
        <w:rPr>
          <w:color w:val="auto"/>
          <w:highlight w:val="none"/>
        </w:rPr>
      </w:pPr>
      <w:r>
        <w:rPr>
          <w:rFonts w:hint="eastAsia" w:ascii="宋体" w:hAnsi="宋体" w:eastAsia="宋体" w:cs="宋体"/>
          <w:b/>
          <w:bCs/>
          <w:color w:val="auto"/>
          <w:kern w:val="0"/>
          <w:sz w:val="21"/>
          <w:szCs w:val="21"/>
          <w:highlight w:val="none"/>
          <w:lang w:val="en-US" w:eastAsia="zh-CN"/>
        </w:rPr>
        <w:t>六、</w:t>
      </w:r>
      <w:r>
        <w:rPr>
          <w:rFonts w:hint="eastAsia" w:ascii="宋体" w:hAnsi="宋体" w:eastAsia="宋体" w:cs="宋体"/>
          <w:b/>
          <w:bCs/>
          <w:color w:val="auto"/>
          <w:kern w:val="0"/>
          <w:sz w:val="21"/>
          <w:szCs w:val="21"/>
          <w:highlight w:val="none"/>
        </w:rPr>
        <w:t>投标样品</w:t>
      </w:r>
    </w:p>
    <w:p>
      <w:pPr>
        <w:keepNext w:val="0"/>
        <w:keepLines w:val="0"/>
        <w:pageBreakBefore w:val="0"/>
        <w:widowControl/>
        <w:kinsoku/>
        <w:wordWrap/>
        <w:overflowPunct/>
        <w:topLinePunct w:val="0"/>
        <w:autoSpaceDE/>
        <w:autoSpaceDN/>
        <w:bidi w:val="0"/>
        <w:adjustRightInd w:val="0"/>
        <w:snapToGrid w:val="0"/>
        <w:spacing w:line="360" w:lineRule="auto"/>
        <w:ind w:firstLine="210" w:firstLineChars="100"/>
        <w:jc w:val="left"/>
        <w:textAlignment w:val="auto"/>
        <w:rPr>
          <w:rFonts w:hint="eastAsia" w:ascii="宋体" w:hAnsi="宋体" w:eastAsia="宋体" w:cs="宋体"/>
          <w:b/>
          <w:bCs/>
          <w:color w:val="auto"/>
          <w:kern w:val="0"/>
          <w:szCs w:val="21"/>
          <w:highlight w:val="none"/>
          <w:lang w:val="en-US" w:eastAsia="zh-CN"/>
        </w:rPr>
      </w:pPr>
      <w:r>
        <w:rPr>
          <w:rFonts w:hint="eastAsia" w:ascii="宋体" w:hAnsi="宋体" w:cs="宋体"/>
          <w:bCs/>
          <w:color w:val="auto"/>
          <w:szCs w:val="21"/>
          <w:highlight w:val="none"/>
        </w:rPr>
        <w:t>★</w:t>
      </w:r>
      <w:r>
        <w:rPr>
          <w:rFonts w:hint="eastAsia" w:ascii="宋体" w:hAnsi="宋体" w:cs="宋体"/>
          <w:b/>
          <w:bCs w:val="0"/>
          <w:color w:val="auto"/>
          <w:szCs w:val="21"/>
          <w:highlight w:val="none"/>
          <w:lang w:val="en-US" w:eastAsia="zh-CN"/>
        </w:rPr>
        <w:t>1.</w:t>
      </w:r>
      <w:r>
        <w:rPr>
          <w:rFonts w:hint="eastAsia" w:ascii="宋体" w:hAnsi="宋体" w:eastAsia="宋体" w:cs="宋体"/>
          <w:b/>
          <w:bCs w:val="0"/>
          <w:color w:val="auto"/>
          <w:kern w:val="0"/>
          <w:szCs w:val="21"/>
          <w:highlight w:val="none"/>
        </w:rPr>
        <w:t>投</w:t>
      </w:r>
      <w:r>
        <w:rPr>
          <w:rFonts w:hint="eastAsia" w:ascii="宋体" w:hAnsi="宋体" w:eastAsia="宋体" w:cs="宋体"/>
          <w:b/>
          <w:bCs/>
          <w:color w:val="auto"/>
          <w:kern w:val="0"/>
          <w:szCs w:val="21"/>
          <w:highlight w:val="none"/>
        </w:rPr>
        <w:t>标人</w:t>
      </w:r>
      <w:r>
        <w:rPr>
          <w:rFonts w:hint="eastAsia" w:ascii="宋体" w:hAnsi="宋体" w:eastAsia="宋体" w:cs="宋体"/>
          <w:b/>
          <w:bCs/>
          <w:color w:val="auto"/>
          <w:kern w:val="0"/>
          <w:szCs w:val="21"/>
          <w:highlight w:val="none"/>
          <w:lang w:val="en-US" w:eastAsia="zh-CN"/>
        </w:rPr>
        <w:t>递交投标文件时</w:t>
      </w:r>
      <w:r>
        <w:rPr>
          <w:rFonts w:hint="eastAsia" w:ascii="宋体" w:hAnsi="宋体" w:eastAsia="宋体" w:cs="宋体"/>
          <w:b/>
          <w:bCs/>
          <w:color w:val="auto"/>
          <w:kern w:val="0"/>
          <w:szCs w:val="21"/>
          <w:highlight w:val="none"/>
        </w:rPr>
        <w:t>须</w:t>
      </w:r>
      <w:r>
        <w:rPr>
          <w:rFonts w:hint="eastAsia" w:ascii="宋体" w:hAnsi="宋体" w:eastAsia="宋体" w:cs="宋体"/>
          <w:b/>
          <w:bCs/>
          <w:color w:val="auto"/>
          <w:kern w:val="0"/>
          <w:szCs w:val="21"/>
          <w:highlight w:val="none"/>
          <w:lang w:val="en-US" w:eastAsia="zh-CN"/>
        </w:rPr>
        <w:t>同时递交投标样品，否则视为无效投标。</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left"/>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val="en-US" w:eastAsia="zh-CN"/>
        </w:rPr>
        <w:t>2</w:t>
      </w:r>
      <w:r>
        <w:rPr>
          <w:rFonts w:hint="eastAsia" w:ascii="宋体" w:hAnsi="宋体" w:cs="宋体"/>
          <w:b/>
          <w:bCs/>
          <w:color w:val="auto"/>
          <w:kern w:val="0"/>
          <w:szCs w:val="21"/>
          <w:highlight w:val="none"/>
          <w:lang w:val="en-US" w:eastAsia="zh-CN"/>
        </w:rPr>
        <w:t>.</w:t>
      </w:r>
      <w:r>
        <w:rPr>
          <w:rFonts w:hint="eastAsia" w:ascii="宋体" w:hAnsi="宋体" w:eastAsia="宋体" w:cs="宋体"/>
          <w:b/>
          <w:bCs/>
          <w:color w:val="auto"/>
          <w:kern w:val="0"/>
          <w:szCs w:val="21"/>
          <w:highlight w:val="none"/>
        </w:rPr>
        <w:t>投标样品规格要求</w:t>
      </w:r>
    </w:p>
    <w:p>
      <w:pPr>
        <w:pStyle w:val="2"/>
        <w:rPr>
          <w:rFonts w:hint="eastAsia"/>
          <w:color w:val="auto"/>
          <w:highlight w:val="none"/>
          <w:lang w:eastAsia="zh-CN"/>
        </w:rPr>
      </w:pPr>
    </w:p>
    <w:tbl>
      <w:tblPr>
        <w:tblStyle w:val="38"/>
        <w:tblW w:w="8516"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853"/>
        <w:gridCol w:w="2447"/>
        <w:gridCol w:w="900"/>
        <w:gridCol w:w="2620"/>
        <w:gridCol w:w="1696"/>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Ex>
        <w:trPr>
          <w:trHeight w:val="518" w:hRule="atLeast"/>
        </w:trPr>
        <w:tc>
          <w:tcPr>
            <w:tcW w:w="853"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447"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样品名称</w:t>
            </w:r>
          </w:p>
        </w:tc>
        <w:tc>
          <w:tcPr>
            <w:tcW w:w="90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数量</w:t>
            </w:r>
          </w:p>
        </w:tc>
        <w:tc>
          <w:tcPr>
            <w:tcW w:w="2620"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样品规格（宽×高）</w:t>
            </w:r>
          </w:p>
        </w:tc>
        <w:tc>
          <w:tcPr>
            <w:tcW w:w="169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做工要求</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Ex>
        <w:tc>
          <w:tcPr>
            <w:tcW w:w="853"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447" w:type="dxa"/>
            <w:tcBorders>
              <w:top w:val="nil"/>
              <w:left w:val="nil"/>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窗帘</w:t>
            </w:r>
          </w:p>
        </w:tc>
        <w:tc>
          <w:tcPr>
            <w:tcW w:w="900" w:type="dxa"/>
            <w:tcBorders>
              <w:top w:val="nil"/>
              <w:left w:val="nil"/>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幅</w:t>
            </w:r>
          </w:p>
        </w:tc>
        <w:tc>
          <w:tcPr>
            <w:tcW w:w="2620" w:type="dxa"/>
            <w:tcBorders>
              <w:top w:val="nil"/>
              <w:left w:val="nil"/>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米×</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米</w:t>
            </w:r>
          </w:p>
        </w:tc>
        <w:tc>
          <w:tcPr>
            <w:tcW w:w="1696" w:type="dxa"/>
            <w:tcBorders>
              <w:top w:val="nil"/>
              <w:left w:val="nil"/>
              <w:bottom w:val="single" w:color="000000" w:sz="4" w:space="0"/>
              <w:right w:val="single" w:color="000000" w:sz="4" w:space="0"/>
            </w:tcBorders>
            <w:tcMar>
              <w:top w:w="0" w:type="dxa"/>
              <w:left w:w="105" w:type="dxa"/>
              <w:bottom w:w="0" w:type="dxa"/>
              <w:right w:w="105" w:type="dxa"/>
            </w:tcMar>
            <w:vAlign w:val="center"/>
          </w:tcPr>
          <w:p>
            <w:pPr>
              <w:pStyle w:val="92"/>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成品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含铝合金导轨及配件</w:t>
            </w:r>
            <w:r>
              <w:rPr>
                <w:rFonts w:hint="eastAsia" w:ascii="宋体" w:hAnsi="宋体" w:eastAsia="宋体" w:cs="宋体"/>
                <w:color w:val="auto"/>
                <w:sz w:val="21"/>
                <w:szCs w:val="21"/>
                <w:highlight w:val="none"/>
                <w:lang w:eastAsia="zh-CN"/>
              </w:rPr>
              <w:t>）</w:t>
            </w:r>
          </w:p>
        </w:tc>
      </w:tr>
    </w:tbl>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（1）投标人应提供满足或优于招标文件样品规格、材质要求的产品，否则可能影响评委对其的评价得分。</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Cs w:val="21"/>
          <w:highlight w:val="none"/>
        </w:rPr>
        <w:t>（2）投标样品必须密封，并在密封封面与封口处加盖投标人公章，密封封面必须有“公司名称”、“项目名称”和“项目编号”。在开标当天的投标截止时间前递交给招标代理机构，并对其投标样品按以下标签要求</w:t>
      </w:r>
      <w:r>
        <w:rPr>
          <w:rFonts w:hint="eastAsia" w:ascii="宋体" w:hAnsi="宋体" w:eastAsia="宋体" w:cs="宋体"/>
          <w:color w:val="auto"/>
          <w:sz w:val="21"/>
          <w:szCs w:val="21"/>
          <w:highlight w:val="none"/>
        </w:rPr>
        <w:t>进行标注。</w:t>
      </w:r>
    </w:p>
    <w:tbl>
      <w:tblPr>
        <w:tblStyle w:val="38"/>
        <w:tblW w:w="8516"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
      <w:tblGrid>
        <w:gridCol w:w="2129"/>
        <w:gridCol w:w="2129"/>
        <w:gridCol w:w="2129"/>
        <w:gridCol w:w="2129"/>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Ex>
        <w:tc>
          <w:tcPr>
            <w:tcW w:w="8516" w:type="dxa"/>
            <w:gridSpan w:val="4"/>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92"/>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样品标签</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Ex>
        <w:tc>
          <w:tcPr>
            <w:tcW w:w="212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92"/>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产品名称</w:t>
            </w:r>
          </w:p>
        </w:tc>
        <w:tc>
          <w:tcPr>
            <w:tcW w:w="212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pPr>
              <w:pStyle w:val="92"/>
              <w:spacing w:line="360" w:lineRule="auto"/>
              <w:jc w:val="left"/>
              <w:rPr>
                <w:rFonts w:hint="eastAsia" w:ascii="宋体" w:hAnsi="宋体" w:eastAsia="宋体" w:cs="宋体"/>
                <w:color w:val="auto"/>
                <w:sz w:val="21"/>
                <w:szCs w:val="21"/>
                <w:highlight w:val="none"/>
              </w:rPr>
            </w:pPr>
          </w:p>
        </w:tc>
        <w:tc>
          <w:tcPr>
            <w:tcW w:w="212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pPr>
              <w:pStyle w:val="92"/>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规格</w:t>
            </w:r>
          </w:p>
        </w:tc>
        <w:tc>
          <w:tcPr>
            <w:tcW w:w="212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pPr>
              <w:pStyle w:val="92"/>
              <w:spacing w:line="360" w:lineRule="auto"/>
              <w:jc w:val="left"/>
              <w:rPr>
                <w:rFonts w:hint="eastAsia" w:ascii="宋体" w:hAnsi="宋体" w:eastAsia="宋体" w:cs="宋体"/>
                <w:color w:val="auto"/>
                <w:sz w:val="21"/>
                <w:szCs w:val="21"/>
                <w:highlight w:val="none"/>
              </w:rPr>
            </w:p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fixed"/>
          <w:tblCellMar>
            <w:top w:w="0" w:type="dxa"/>
            <w:left w:w="108" w:type="dxa"/>
            <w:bottom w:w="0" w:type="dxa"/>
            <w:right w:w="108" w:type="dxa"/>
          </w:tblCellMar>
        </w:tblPrEx>
        <w:tc>
          <w:tcPr>
            <w:tcW w:w="212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92"/>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w:t>
            </w:r>
          </w:p>
        </w:tc>
        <w:tc>
          <w:tcPr>
            <w:tcW w:w="6387" w:type="dxa"/>
            <w:gridSpan w:val="3"/>
            <w:tcBorders>
              <w:top w:val="nil"/>
              <w:left w:val="nil"/>
              <w:bottom w:val="single" w:color="000000" w:sz="4" w:space="0"/>
              <w:right w:val="single" w:color="000000" w:sz="4" w:space="0"/>
            </w:tcBorders>
            <w:tcMar>
              <w:top w:w="0" w:type="dxa"/>
              <w:left w:w="105" w:type="dxa"/>
              <w:bottom w:w="0" w:type="dxa"/>
              <w:right w:w="105" w:type="dxa"/>
            </w:tcMar>
            <w:vAlign w:val="top"/>
          </w:tcPr>
          <w:p>
            <w:pPr>
              <w:pStyle w:val="92"/>
              <w:spacing w:line="360" w:lineRule="auto"/>
              <w:jc w:val="left"/>
              <w:rPr>
                <w:rFonts w:hint="eastAsia" w:ascii="宋体" w:hAnsi="宋体" w:eastAsia="宋体" w:cs="宋体"/>
                <w:color w:val="auto"/>
                <w:sz w:val="21"/>
                <w:szCs w:val="21"/>
                <w:highlight w:val="none"/>
              </w:rPr>
            </w:pPr>
          </w:p>
        </w:tc>
      </w:tr>
    </w:tbl>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（3）投标人未在开标当天的投标截止时间前按要求提供投标样品，则为逾期提供投标样品，招标代理机构有权拒绝接收。</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中标结果公告发布后，</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样品将封存于采购人单位，作为实物样品。采购人及采购代理机构对各投标人所递交样品的破损或质量不负任何责任。未中标投标人的样品于中标结果公告发布之日起五个工作日内由投标人自行领回，如需办理邮寄的出具授权函后由采购代理机构办理邮寄，邮费由投标人到付，逾期不取的，将则视为自动放弃样品的所有权，采购人或采购代理机构有权自行处置相关样品。</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的样品在采购人单位留样备查。</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应交付不低于样品质量的产品，否则予以退货处理，如此类情况出现超过3次（含），视为严重违约并追究相关责任。</w:t>
      </w:r>
    </w:p>
    <w:p>
      <w:pPr>
        <w:shd w:val="clear"/>
        <w:rPr>
          <w:rFonts w:hint="eastAsia" w:eastAsia="宋体"/>
          <w:color w:val="auto"/>
          <w:sz w:val="28"/>
          <w:szCs w:val="28"/>
          <w:highlight w:val="none"/>
          <w:lang w:val="en-US" w:eastAsia="zh-CN"/>
        </w:rPr>
      </w:pPr>
      <w:r>
        <w:rPr>
          <w:rFonts w:hint="eastAsia"/>
          <w:color w:val="auto"/>
          <w:sz w:val="28"/>
          <w:szCs w:val="28"/>
          <w:highlight w:val="none"/>
        </w:rPr>
        <w:br w:type="page"/>
      </w:r>
    </w:p>
    <w:p>
      <w:pPr>
        <w:pStyle w:val="6"/>
        <w:shd w:val="clear"/>
        <w:spacing w:before="0" w:after="0" w:line="240" w:lineRule="auto"/>
        <w:rPr>
          <w:color w:val="auto"/>
          <w:sz w:val="24"/>
          <w:szCs w:val="24"/>
          <w:highlight w:val="none"/>
        </w:rPr>
      </w:pPr>
      <w:bookmarkStart w:id="19" w:name="_Toc12989"/>
      <w:r>
        <w:rPr>
          <w:rFonts w:hint="eastAsia"/>
          <w:color w:val="auto"/>
          <w:sz w:val="28"/>
          <w:szCs w:val="28"/>
          <w:highlight w:val="none"/>
        </w:rPr>
        <w:t>第四部分投标人须知</w:t>
      </w:r>
      <w:bookmarkEnd w:id="19"/>
    </w:p>
    <w:p>
      <w:pPr>
        <w:pStyle w:val="7"/>
        <w:numPr>
          <w:ilvl w:val="0"/>
          <w:numId w:val="1"/>
        </w:numPr>
        <w:shd w:val="clear"/>
        <w:spacing w:before="0" w:after="0" w:line="480" w:lineRule="auto"/>
        <w:jc w:val="center"/>
        <w:rPr>
          <w:rFonts w:ascii="宋体" w:hAnsi="宋体"/>
          <w:color w:val="auto"/>
          <w:highlight w:val="none"/>
        </w:rPr>
      </w:pPr>
      <w:bookmarkStart w:id="20" w:name="_Toc22334"/>
      <w:r>
        <w:rPr>
          <w:rFonts w:hint="eastAsia" w:ascii="宋体" w:hAnsi="宋体"/>
          <w:color w:val="auto"/>
          <w:highlight w:val="none"/>
        </w:rPr>
        <w:t>说明</w:t>
      </w:r>
      <w:bookmarkEnd w:id="20"/>
    </w:p>
    <w:p>
      <w:pPr>
        <w:pStyle w:val="8"/>
        <w:widowControl w:val="0"/>
        <w:numPr>
          <w:ilvl w:val="0"/>
          <w:numId w:val="2"/>
        </w:numPr>
        <w:shd w:val="clear"/>
        <w:overflowPunct w:val="0"/>
        <w:rPr>
          <w:rFonts w:ascii="宋体" w:hAnsi="宋体" w:cs="宋体"/>
          <w:color w:val="auto"/>
          <w:sz w:val="21"/>
          <w:szCs w:val="21"/>
          <w:highlight w:val="none"/>
        </w:rPr>
      </w:pPr>
      <w:bookmarkStart w:id="21" w:name="_Toc8145"/>
      <w:r>
        <w:rPr>
          <w:rFonts w:hint="eastAsia" w:ascii="宋体" w:hAnsi="宋体" w:cs="宋体"/>
          <w:color w:val="auto"/>
          <w:sz w:val="21"/>
          <w:szCs w:val="21"/>
          <w:highlight w:val="none"/>
        </w:rPr>
        <w:t>适用范围</w:t>
      </w:r>
      <w:bookmarkEnd w:id="21"/>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22" w:name="_Toc382049092"/>
      <w:bookmarkStart w:id="23" w:name="_Toc298847174"/>
      <w:bookmarkStart w:id="24" w:name="_Toc14981"/>
      <w:bookmarkStart w:id="25" w:name="_Toc303084246"/>
      <w:bookmarkStart w:id="26" w:name="_Toc1530"/>
      <w:r>
        <w:rPr>
          <w:rFonts w:hint="eastAsia" w:ascii="宋体" w:hAnsi="宋体" w:cs="宋体"/>
          <w:color w:val="auto"/>
          <w:sz w:val="21"/>
          <w:szCs w:val="21"/>
          <w:highlight w:val="none"/>
        </w:rPr>
        <w:t>定义</w:t>
      </w:r>
      <w:bookmarkEnd w:id="22"/>
      <w:bookmarkEnd w:id="23"/>
      <w:bookmarkEnd w:id="24"/>
      <w:bookmarkEnd w:id="25"/>
      <w:bookmarkEnd w:id="26"/>
    </w:p>
    <w:p>
      <w:pPr>
        <w:pStyle w:val="45"/>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27" w:name="_Toc2319"/>
      <w:r>
        <w:rPr>
          <w:rFonts w:hint="eastAsia" w:ascii="宋体" w:hAnsi="宋体" w:cs="宋体"/>
          <w:color w:val="auto"/>
          <w:sz w:val="21"/>
          <w:szCs w:val="21"/>
          <w:highlight w:val="none"/>
        </w:rPr>
        <w:t>货物和服务</w:t>
      </w:r>
      <w:bookmarkEnd w:id="27"/>
    </w:p>
    <w:p>
      <w:pPr>
        <w:pStyle w:val="45"/>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28" w:name="_Toc3506"/>
      <w:r>
        <w:rPr>
          <w:rFonts w:hint="eastAsia" w:ascii="宋体" w:hAnsi="宋体" w:cs="宋体"/>
          <w:color w:val="auto"/>
          <w:sz w:val="21"/>
          <w:szCs w:val="21"/>
          <w:highlight w:val="none"/>
        </w:rPr>
        <w:t>投标费用</w:t>
      </w:r>
      <w:bookmarkEnd w:id="28"/>
    </w:p>
    <w:p>
      <w:pPr>
        <w:pStyle w:val="45"/>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pPr>
        <w:widowControl w:val="0"/>
        <w:shd w:val="clear"/>
        <w:adjustRightInd/>
        <w:snapToGrid/>
        <w:jc w:val="both"/>
        <w:rPr>
          <w:rFonts w:ascii="宋体" w:hAnsi="宋体" w:cs="宋体"/>
          <w:color w:val="auto"/>
          <w:szCs w:val="21"/>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29" w:name="_Toc2679"/>
      <w:r>
        <w:rPr>
          <w:rFonts w:hint="eastAsia" w:ascii="宋体" w:hAnsi="宋体" w:cs="宋体"/>
          <w:color w:val="auto"/>
          <w:sz w:val="21"/>
          <w:szCs w:val="21"/>
          <w:highlight w:val="none"/>
        </w:rPr>
        <w:t>知识产权</w:t>
      </w:r>
      <w:bookmarkEnd w:id="29"/>
    </w:p>
    <w:p>
      <w:pPr>
        <w:pStyle w:val="45"/>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pPr>
        <w:widowControl w:val="0"/>
        <w:shd w:val="clear"/>
        <w:adjustRightInd/>
        <w:snapToGrid/>
        <w:ind w:left="567"/>
        <w:jc w:val="both"/>
        <w:rPr>
          <w:rFonts w:ascii="宋体" w:hAnsi="宋体" w:cs="宋体"/>
          <w:color w:val="auto"/>
          <w:szCs w:val="21"/>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30" w:name="_Toc8650"/>
      <w:r>
        <w:rPr>
          <w:rFonts w:hint="eastAsia" w:ascii="宋体" w:hAnsi="宋体" w:cs="宋体"/>
          <w:color w:val="auto"/>
          <w:sz w:val="21"/>
          <w:szCs w:val="21"/>
          <w:highlight w:val="none"/>
        </w:rPr>
        <w:t>关于联合体投标</w:t>
      </w:r>
      <w:bookmarkEnd w:id="30"/>
    </w:p>
    <w:p>
      <w:pPr>
        <w:pStyle w:val="45"/>
        <w:widowControl w:val="0"/>
        <w:shd w:val="clear"/>
        <w:adjustRightInd/>
        <w:snapToGrid/>
        <w:ind w:left="425"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pPr>
        <w:widowControl w:val="0"/>
        <w:shd w:val="clear"/>
        <w:adjustRightInd/>
        <w:snapToGrid/>
        <w:ind w:left="567"/>
        <w:jc w:val="both"/>
        <w:rPr>
          <w:rFonts w:ascii="宋体" w:hAnsi="宋体" w:cs="宋体"/>
          <w:color w:val="auto"/>
          <w:szCs w:val="21"/>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31" w:name="_Toc27102"/>
      <w:r>
        <w:rPr>
          <w:rFonts w:hint="eastAsia" w:ascii="宋体" w:hAnsi="宋体" w:cs="宋体"/>
          <w:color w:val="auto"/>
          <w:sz w:val="21"/>
          <w:szCs w:val="21"/>
          <w:highlight w:val="none"/>
        </w:rPr>
        <w:t>关于分支机构投标</w:t>
      </w:r>
      <w:bookmarkEnd w:id="31"/>
    </w:p>
    <w:p>
      <w:pPr>
        <w:pStyle w:val="45"/>
        <w:widowControl w:val="0"/>
        <w:shd w:val="clear"/>
        <w:adjustRightInd/>
        <w:snapToGrid/>
        <w:ind w:left="425" w:firstLineChars="0"/>
        <w:jc w:val="both"/>
        <w:rPr>
          <w:rFonts w:ascii="宋体" w:hAnsi="宋体" w:cs="宋体"/>
          <w:vanish/>
          <w:color w:val="auto"/>
          <w:szCs w:val="21"/>
          <w:highlight w:val="none"/>
        </w:rPr>
      </w:pPr>
      <w:bookmarkStart w:id="32" w:name="EB389f116341dd4693875bc7987e7327f3"/>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2"/>
    </w:p>
    <w:p>
      <w:pPr>
        <w:widowControl w:val="0"/>
        <w:shd w:val="clear"/>
        <w:adjustRightInd/>
        <w:snapToGrid/>
        <w:ind w:left="567"/>
        <w:jc w:val="both"/>
        <w:rPr>
          <w:rFonts w:ascii="宋体" w:hAnsi="宋体" w:cs="宋体"/>
          <w:color w:val="auto"/>
          <w:szCs w:val="21"/>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33" w:name="_Toc684"/>
      <w:r>
        <w:rPr>
          <w:rFonts w:hint="eastAsia" w:ascii="宋体" w:hAnsi="宋体" w:cs="宋体"/>
          <w:color w:val="auto"/>
          <w:sz w:val="21"/>
          <w:szCs w:val="21"/>
          <w:highlight w:val="none"/>
        </w:rPr>
        <w:t>踏勘现场</w:t>
      </w:r>
      <w:bookmarkEnd w:id="33"/>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pPr>
        <w:shd w:val="clear"/>
        <w:rPr>
          <w:rFonts w:ascii="宋体" w:hAnsi="宋体" w:cs="宋体"/>
          <w:color w:val="auto"/>
          <w:highlight w:val="none"/>
        </w:rPr>
      </w:pPr>
    </w:p>
    <w:p>
      <w:pPr>
        <w:pStyle w:val="7"/>
        <w:numPr>
          <w:ilvl w:val="0"/>
          <w:numId w:val="1"/>
        </w:numPr>
        <w:shd w:val="clear"/>
        <w:spacing w:before="0" w:after="0" w:line="360" w:lineRule="auto"/>
        <w:jc w:val="center"/>
        <w:rPr>
          <w:rFonts w:ascii="宋体" w:hAnsi="宋体" w:cs="宋体"/>
          <w:color w:val="auto"/>
          <w:highlight w:val="none"/>
        </w:rPr>
      </w:pPr>
      <w:bookmarkStart w:id="34" w:name="_Toc21399"/>
      <w:r>
        <w:rPr>
          <w:rFonts w:hint="eastAsia" w:ascii="宋体" w:hAnsi="宋体" w:cs="宋体"/>
          <w:color w:val="auto"/>
          <w:highlight w:val="none"/>
        </w:rPr>
        <w:t>采购文件</w:t>
      </w:r>
      <w:bookmarkEnd w:id="34"/>
    </w:p>
    <w:p>
      <w:pPr>
        <w:pStyle w:val="8"/>
        <w:widowControl w:val="0"/>
        <w:numPr>
          <w:ilvl w:val="0"/>
          <w:numId w:val="2"/>
        </w:numPr>
        <w:shd w:val="clear"/>
        <w:overflowPunct w:val="0"/>
        <w:rPr>
          <w:rFonts w:ascii="宋体" w:hAnsi="宋体" w:cs="宋体"/>
          <w:color w:val="auto"/>
          <w:sz w:val="21"/>
          <w:szCs w:val="21"/>
          <w:highlight w:val="none"/>
        </w:rPr>
      </w:pPr>
      <w:bookmarkStart w:id="35" w:name="_Toc901"/>
      <w:r>
        <w:rPr>
          <w:rFonts w:hint="eastAsia" w:ascii="宋体" w:hAnsi="宋体" w:cs="宋体"/>
          <w:color w:val="auto"/>
          <w:sz w:val="21"/>
          <w:szCs w:val="21"/>
          <w:highlight w:val="none"/>
        </w:rPr>
        <w:t>采购文件的组成</w:t>
      </w:r>
      <w:bookmarkEnd w:id="35"/>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（1）投标邀请书；</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（2）投标资料表；</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（3）用户需求书；</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（4）投标人须知；</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（5）拟签订的合同文本；</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（6）投标文件格式；</w:t>
      </w:r>
    </w:p>
    <w:p>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36" w:name="_Toc28058"/>
      <w:r>
        <w:rPr>
          <w:rFonts w:hint="eastAsia" w:ascii="宋体" w:hAnsi="宋体" w:cs="宋体"/>
          <w:color w:val="auto"/>
          <w:sz w:val="21"/>
          <w:szCs w:val="21"/>
          <w:highlight w:val="none"/>
        </w:rPr>
        <w:t>采购文件的澄清或修改</w:t>
      </w:r>
      <w:bookmarkEnd w:id="36"/>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pPr>
        <w:widowControl w:val="0"/>
        <w:shd w:val="clear"/>
        <w:adjustRightInd/>
        <w:snapToGrid/>
        <w:ind w:left="567"/>
        <w:jc w:val="both"/>
        <w:rPr>
          <w:rFonts w:ascii="宋体" w:hAnsi="宋体" w:cs="宋体"/>
          <w:color w:val="auto"/>
          <w:szCs w:val="21"/>
          <w:highlight w:val="none"/>
        </w:rPr>
      </w:pPr>
    </w:p>
    <w:p>
      <w:pPr>
        <w:pStyle w:val="7"/>
        <w:numPr>
          <w:ilvl w:val="0"/>
          <w:numId w:val="1"/>
        </w:numPr>
        <w:shd w:val="clear"/>
        <w:spacing w:before="0" w:after="0" w:line="360" w:lineRule="auto"/>
        <w:jc w:val="center"/>
        <w:rPr>
          <w:rFonts w:ascii="宋体" w:hAnsi="宋体" w:cs="宋体"/>
          <w:color w:val="auto"/>
          <w:highlight w:val="none"/>
        </w:rPr>
      </w:pPr>
      <w:bookmarkStart w:id="37" w:name="_Toc23529"/>
      <w:r>
        <w:rPr>
          <w:rFonts w:hint="eastAsia" w:ascii="宋体" w:hAnsi="宋体" w:cs="宋体"/>
          <w:color w:val="auto"/>
          <w:highlight w:val="none"/>
        </w:rPr>
        <w:t>投标文件的编制</w:t>
      </w:r>
      <w:bookmarkEnd w:id="37"/>
    </w:p>
    <w:p>
      <w:pPr>
        <w:pStyle w:val="8"/>
        <w:widowControl w:val="0"/>
        <w:numPr>
          <w:ilvl w:val="0"/>
          <w:numId w:val="2"/>
        </w:numPr>
        <w:shd w:val="clear"/>
        <w:overflowPunct w:val="0"/>
        <w:rPr>
          <w:rFonts w:ascii="宋体" w:hAnsi="宋体" w:cs="宋体"/>
          <w:color w:val="auto"/>
          <w:sz w:val="21"/>
          <w:szCs w:val="21"/>
          <w:highlight w:val="none"/>
        </w:rPr>
      </w:pPr>
      <w:bookmarkStart w:id="38" w:name="_Toc31942"/>
      <w:r>
        <w:rPr>
          <w:rFonts w:hint="eastAsia" w:ascii="宋体" w:hAnsi="宋体" w:cs="宋体"/>
          <w:color w:val="auto"/>
          <w:sz w:val="21"/>
          <w:szCs w:val="21"/>
          <w:highlight w:val="none"/>
        </w:rPr>
        <w:t>投标文件的语言及度量衡单位</w:t>
      </w:r>
      <w:bookmarkEnd w:id="38"/>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pPr>
        <w:widowControl w:val="0"/>
        <w:shd w:val="clear"/>
        <w:adjustRightInd/>
        <w:snapToGrid/>
        <w:ind w:left="567"/>
        <w:jc w:val="both"/>
        <w:rPr>
          <w:rFonts w:ascii="宋体" w:hAnsi="宋体" w:cs="宋体"/>
          <w:color w:val="auto"/>
          <w:szCs w:val="21"/>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39" w:name="_Toc307934854"/>
      <w:bookmarkStart w:id="40" w:name="_Toc17033"/>
      <w:bookmarkStart w:id="41" w:name="_Toc28866"/>
      <w:bookmarkStart w:id="42" w:name="_Toc382049103"/>
      <w:bookmarkStart w:id="43" w:name="_Toc303084256"/>
      <w:r>
        <w:rPr>
          <w:rFonts w:hint="eastAsia" w:ascii="宋体" w:hAnsi="宋体" w:cs="宋体"/>
          <w:color w:val="auto"/>
          <w:sz w:val="21"/>
          <w:szCs w:val="21"/>
          <w:highlight w:val="none"/>
        </w:rPr>
        <w:t>投标文件的组成</w:t>
      </w:r>
      <w:bookmarkEnd w:id="39"/>
      <w:bookmarkEnd w:id="40"/>
      <w:bookmarkEnd w:id="41"/>
      <w:bookmarkEnd w:id="42"/>
      <w:bookmarkEnd w:id="43"/>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44" w:name="_Toc29983"/>
      <w:r>
        <w:rPr>
          <w:rFonts w:hint="eastAsia" w:ascii="宋体" w:hAnsi="宋体" w:cs="宋体"/>
          <w:color w:val="auto"/>
          <w:sz w:val="21"/>
          <w:szCs w:val="21"/>
          <w:highlight w:val="none"/>
        </w:rPr>
        <w:t>投标文件编制</w:t>
      </w:r>
      <w:bookmarkEnd w:id="44"/>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bookmarkStart w:id="45" w:name="_Toc303084258"/>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投标文件内出现无官方证明文件的行业地域排名或使用“国家级”、“最高级”、“最佳”等用语字眼的。</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投标文件内出现恶意诋毁、贬低其他生产经营者的商品或者服务的内容。</w:t>
      </w:r>
    </w:p>
    <w:p>
      <w:pPr>
        <w:keepNext w:val="0"/>
        <w:keepLines w:val="0"/>
        <w:pageBreakBefore w:val="0"/>
        <w:widowControl w:val="0"/>
        <w:numPr>
          <w:ilvl w:val="1"/>
          <w:numId w:val="2"/>
        </w:numPr>
        <w:shd w:val="clear"/>
        <w:kinsoku/>
        <w:wordWrap/>
        <w:overflowPunct w:val="0"/>
        <w:topLinePunct w:val="0"/>
        <w:autoSpaceDE/>
        <w:autoSpaceDN/>
        <w:bidi w:val="0"/>
        <w:spacing w:line="264" w:lineRule="auto"/>
        <w:textAlignment w:val="auto"/>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5"/>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46" w:name="_Toc6891"/>
      <w:r>
        <w:rPr>
          <w:rFonts w:hint="eastAsia" w:ascii="宋体" w:hAnsi="宋体" w:cs="宋体"/>
          <w:color w:val="auto"/>
          <w:sz w:val="21"/>
          <w:szCs w:val="21"/>
          <w:highlight w:val="none"/>
        </w:rPr>
        <w:t>投标报价说明</w:t>
      </w:r>
      <w:bookmarkEnd w:id="46"/>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47" w:name="_Toc21835"/>
      <w:r>
        <w:rPr>
          <w:rFonts w:hint="eastAsia" w:ascii="宋体" w:hAnsi="宋体" w:cs="宋体"/>
          <w:color w:val="auto"/>
          <w:sz w:val="21"/>
          <w:szCs w:val="21"/>
          <w:highlight w:val="none"/>
        </w:rPr>
        <w:t>投标人所提供的服务或货物的证明文件</w:t>
      </w:r>
      <w:bookmarkEnd w:id="47"/>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bookmarkStart w:id="48" w:name="_Hlt107925668"/>
      <w:bookmarkEnd w:id="48"/>
      <w:bookmarkStart w:id="49" w:name="_Hlt107925638"/>
      <w:bookmarkEnd w:id="49"/>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（1）使用伪造、变造的许可证件；</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（2）提供虚假的财务状况或者业绩；</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（4）提供虚假的信用状况；</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（5）其他弄虚作假的行为。</w:t>
      </w:r>
    </w:p>
    <w:p>
      <w:pPr>
        <w:pStyle w:val="8"/>
        <w:widowControl w:val="0"/>
        <w:numPr>
          <w:ilvl w:val="0"/>
          <w:numId w:val="2"/>
        </w:numPr>
        <w:shd w:val="clear"/>
        <w:overflowPunct w:val="0"/>
        <w:rPr>
          <w:rFonts w:ascii="宋体" w:hAnsi="宋体" w:cs="宋体"/>
          <w:color w:val="auto"/>
          <w:sz w:val="21"/>
          <w:szCs w:val="21"/>
          <w:highlight w:val="none"/>
        </w:rPr>
      </w:pPr>
      <w:bookmarkStart w:id="50" w:name="_Toc13710"/>
      <w:r>
        <w:rPr>
          <w:rFonts w:hint="eastAsia" w:ascii="宋体" w:hAnsi="宋体" w:cs="宋体"/>
          <w:color w:val="auto"/>
          <w:sz w:val="21"/>
          <w:szCs w:val="21"/>
          <w:highlight w:val="none"/>
        </w:rPr>
        <w:t>投标有效期</w:t>
      </w:r>
      <w:bookmarkEnd w:id="50"/>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pPr>
        <w:widowControl w:val="0"/>
        <w:shd w:val="clear"/>
        <w:adjustRightInd/>
        <w:snapToGrid/>
        <w:ind w:left="567"/>
        <w:jc w:val="both"/>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51" w:name="_Toc28306"/>
      <w:r>
        <w:rPr>
          <w:rFonts w:hint="eastAsia" w:ascii="宋体" w:hAnsi="宋体" w:cs="宋体"/>
          <w:color w:val="auto"/>
          <w:sz w:val="21"/>
          <w:szCs w:val="21"/>
          <w:highlight w:val="none"/>
        </w:rPr>
        <w:t>投标保证金</w:t>
      </w:r>
      <w:bookmarkEnd w:id="51"/>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bookmarkStart w:id="52" w:name="_Ref179619405"/>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52"/>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pPr>
        <w:shd w:val="clear"/>
        <w:rPr>
          <w:rFonts w:ascii="宋体" w:hAnsi="宋体" w:cs="宋体"/>
          <w:color w:val="auto"/>
          <w:highlight w:val="none"/>
        </w:rPr>
      </w:pPr>
    </w:p>
    <w:p>
      <w:pPr>
        <w:pStyle w:val="7"/>
        <w:numPr>
          <w:ilvl w:val="0"/>
          <w:numId w:val="1"/>
        </w:numPr>
        <w:shd w:val="clear"/>
        <w:spacing w:before="0" w:after="0" w:line="360" w:lineRule="auto"/>
        <w:jc w:val="center"/>
        <w:rPr>
          <w:rFonts w:ascii="宋体" w:hAnsi="宋体" w:cs="宋体"/>
          <w:color w:val="auto"/>
          <w:highlight w:val="none"/>
        </w:rPr>
      </w:pPr>
      <w:bookmarkStart w:id="53" w:name="_Toc24143"/>
      <w:r>
        <w:rPr>
          <w:rFonts w:hint="eastAsia" w:ascii="宋体" w:hAnsi="宋体" w:cs="宋体"/>
          <w:color w:val="auto"/>
          <w:highlight w:val="none"/>
        </w:rPr>
        <w:t>投标文件的递交</w:t>
      </w:r>
      <w:bookmarkEnd w:id="53"/>
    </w:p>
    <w:p>
      <w:pPr>
        <w:pStyle w:val="8"/>
        <w:widowControl w:val="0"/>
        <w:numPr>
          <w:ilvl w:val="0"/>
          <w:numId w:val="2"/>
        </w:numPr>
        <w:shd w:val="clear"/>
        <w:overflowPunct w:val="0"/>
        <w:rPr>
          <w:rFonts w:ascii="宋体" w:hAnsi="宋体" w:cs="宋体"/>
          <w:color w:val="auto"/>
          <w:sz w:val="21"/>
          <w:szCs w:val="21"/>
          <w:highlight w:val="none"/>
        </w:rPr>
      </w:pPr>
      <w:bookmarkStart w:id="54" w:name="_Toc24997"/>
      <w:bookmarkStart w:id="55" w:name="_Toc303084264"/>
      <w:bookmarkStart w:id="56" w:name="_Toc382049111"/>
      <w:bookmarkStart w:id="57" w:name="_Toc1574"/>
      <w:r>
        <w:rPr>
          <w:rFonts w:hint="eastAsia" w:ascii="宋体" w:hAnsi="宋体" w:cs="宋体"/>
          <w:color w:val="auto"/>
          <w:sz w:val="21"/>
          <w:szCs w:val="21"/>
          <w:highlight w:val="none"/>
        </w:rPr>
        <w:t>投标文件的装订，签署，密封和标记</w:t>
      </w:r>
      <w:bookmarkEnd w:id="54"/>
      <w:bookmarkEnd w:id="55"/>
      <w:bookmarkEnd w:id="56"/>
      <w:bookmarkEnd w:id="57"/>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 xml:space="preserve">收件人： </w:t>
      </w:r>
    </w:p>
    <w:p>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投标单位名称：</w:t>
      </w:r>
    </w:p>
    <w:p>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项目名称：</w:t>
      </w:r>
    </w:p>
    <w:p>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项目采购项目编号：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58" w:name="_Toc4902"/>
      <w:r>
        <w:rPr>
          <w:rFonts w:hint="eastAsia" w:ascii="宋体" w:hAnsi="宋体" w:cs="宋体"/>
          <w:color w:val="auto"/>
          <w:sz w:val="21"/>
          <w:szCs w:val="21"/>
          <w:highlight w:val="none"/>
        </w:rPr>
        <w:t>迟交的投标文件</w:t>
      </w:r>
      <w:bookmarkEnd w:id="58"/>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59" w:name="_Toc24972"/>
      <w:r>
        <w:rPr>
          <w:rFonts w:hint="eastAsia" w:ascii="宋体" w:hAnsi="宋体" w:cs="宋体"/>
          <w:color w:val="auto"/>
          <w:sz w:val="21"/>
          <w:szCs w:val="21"/>
          <w:highlight w:val="none"/>
        </w:rPr>
        <w:t>投标样品（如需提交）</w:t>
      </w:r>
      <w:bookmarkEnd w:id="59"/>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60" w:name="_Toc9777"/>
      <w:bookmarkStart w:id="61" w:name="_Toc19804"/>
      <w:bookmarkStart w:id="62" w:name="_Toc382049112"/>
      <w:bookmarkStart w:id="63" w:name="_Toc303084265"/>
      <w:r>
        <w:rPr>
          <w:rFonts w:hint="eastAsia" w:ascii="宋体" w:hAnsi="宋体" w:cs="宋体"/>
          <w:color w:val="auto"/>
          <w:sz w:val="21"/>
          <w:szCs w:val="21"/>
          <w:highlight w:val="none"/>
        </w:rPr>
        <w:t>投标截止期</w:t>
      </w:r>
      <w:bookmarkEnd w:id="60"/>
      <w:bookmarkEnd w:id="61"/>
      <w:bookmarkEnd w:id="62"/>
      <w:bookmarkEnd w:id="63"/>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64" w:name="_Toc8018"/>
      <w:r>
        <w:rPr>
          <w:rFonts w:hint="eastAsia" w:ascii="宋体" w:hAnsi="宋体" w:cs="宋体"/>
          <w:color w:val="auto"/>
          <w:sz w:val="21"/>
          <w:szCs w:val="21"/>
          <w:highlight w:val="none"/>
        </w:rPr>
        <w:t>投标文件的补充、修改与撤回</w:t>
      </w:r>
      <w:bookmarkEnd w:id="64"/>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pPr>
        <w:pStyle w:val="2"/>
        <w:shd w:val="clear"/>
        <w:rPr>
          <w:color w:val="auto"/>
          <w:highlight w:val="none"/>
        </w:rPr>
      </w:pPr>
    </w:p>
    <w:p>
      <w:pPr>
        <w:pStyle w:val="7"/>
        <w:numPr>
          <w:ilvl w:val="0"/>
          <w:numId w:val="1"/>
        </w:numPr>
        <w:shd w:val="clear"/>
        <w:spacing w:before="0" w:after="0" w:line="360" w:lineRule="auto"/>
        <w:jc w:val="center"/>
        <w:rPr>
          <w:rFonts w:ascii="宋体" w:hAnsi="宋体" w:cs="宋体"/>
          <w:color w:val="auto"/>
          <w:highlight w:val="none"/>
        </w:rPr>
      </w:pPr>
      <w:bookmarkStart w:id="65" w:name="_Toc23026"/>
      <w:r>
        <w:rPr>
          <w:rFonts w:hint="eastAsia" w:ascii="宋体" w:hAnsi="宋体" w:cs="宋体"/>
          <w:color w:val="auto"/>
          <w:highlight w:val="none"/>
        </w:rPr>
        <w:t>开标与评标</w:t>
      </w:r>
      <w:bookmarkEnd w:id="65"/>
    </w:p>
    <w:p>
      <w:pPr>
        <w:pStyle w:val="8"/>
        <w:widowControl w:val="0"/>
        <w:numPr>
          <w:ilvl w:val="0"/>
          <w:numId w:val="2"/>
        </w:numPr>
        <w:shd w:val="clear"/>
        <w:overflowPunct w:val="0"/>
        <w:rPr>
          <w:rFonts w:ascii="宋体" w:hAnsi="宋体" w:cs="宋体"/>
          <w:color w:val="auto"/>
          <w:sz w:val="21"/>
          <w:szCs w:val="21"/>
          <w:highlight w:val="none"/>
        </w:rPr>
      </w:pPr>
      <w:bookmarkStart w:id="66" w:name="_Toc1659"/>
      <w:r>
        <w:rPr>
          <w:rFonts w:hint="eastAsia" w:ascii="宋体" w:hAnsi="宋体" w:cs="宋体"/>
          <w:color w:val="auto"/>
          <w:sz w:val="21"/>
          <w:szCs w:val="21"/>
          <w:highlight w:val="none"/>
        </w:rPr>
        <w:t>开标</w:t>
      </w:r>
      <w:bookmarkEnd w:id="66"/>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开标程序：</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pPr>
        <w:widowControl w:val="0"/>
        <w:numPr>
          <w:ilvl w:val="1"/>
          <w:numId w:val="2"/>
        </w:numPr>
        <w:shd w:val="clear"/>
        <w:overflowPunct w:val="0"/>
        <w:rPr>
          <w:rFonts w:hint="eastAsia" w:ascii="宋体" w:hAnsi="宋体" w:eastAsia="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w:t>
      </w:r>
      <w:r>
        <w:rPr>
          <w:rFonts w:hint="eastAsia" w:ascii="宋体" w:hAnsi="宋体" w:eastAsia="宋体" w:cs="宋体"/>
          <w:color w:val="auto"/>
          <w:szCs w:val="21"/>
          <w:highlight w:val="none"/>
        </w:rPr>
        <w:t>件规定的需要宣布的其他内容；</w:t>
      </w:r>
    </w:p>
    <w:p>
      <w:pPr>
        <w:widowControl w:val="0"/>
        <w:numPr>
          <w:ilvl w:val="1"/>
          <w:numId w:val="2"/>
        </w:numPr>
        <w:shd w:val="clea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pPr>
        <w:widowControl w:val="0"/>
        <w:numPr>
          <w:ilvl w:val="1"/>
          <w:numId w:val="2"/>
        </w:numPr>
        <w:shd w:val="clear"/>
        <w:overflowPunct w:val="0"/>
        <w:rPr>
          <w:rFonts w:hint="eastAsia" w:ascii="宋体" w:hAnsi="宋体" w:eastAsia="宋体" w:cs="宋体"/>
          <w:color w:val="auto"/>
          <w:highlight w:val="none"/>
        </w:rPr>
      </w:pPr>
      <w:r>
        <w:rPr>
          <w:rFonts w:hint="eastAsia" w:ascii="宋体" w:hAnsi="宋体" w:eastAsia="宋体" w:cs="宋体"/>
          <w:color w:val="auto"/>
          <w:szCs w:val="21"/>
          <w:highlight w:val="none"/>
        </w:rPr>
        <w:t>投标人未参加开标的，视同认可开标结果。</w:t>
      </w:r>
    </w:p>
    <w:p>
      <w:pPr>
        <w:widowControl w:val="0"/>
        <w:numPr>
          <w:ilvl w:val="1"/>
          <w:numId w:val="2"/>
        </w:numPr>
        <w:shd w:val="clear"/>
        <w:overflowPunct w:val="0"/>
        <w:rPr>
          <w:rFonts w:hint="eastAsia" w:ascii="宋体" w:hAnsi="宋体" w:eastAsia="宋体" w:cs="宋体"/>
          <w:color w:val="auto"/>
          <w:highlight w:val="none"/>
        </w:rPr>
      </w:pPr>
      <w:r>
        <w:rPr>
          <w:rFonts w:hint="eastAsia" w:ascii="宋体" w:hAnsi="宋体" w:eastAsia="宋体" w:cs="宋体"/>
          <w:color w:val="auto"/>
          <w:szCs w:val="21"/>
          <w:highlight w:val="none"/>
        </w:rPr>
        <w:t>合格投标人不足3家的，不得开标；</w:t>
      </w:r>
    </w:p>
    <w:p>
      <w:pPr>
        <w:widowControl w:val="0"/>
        <w:numPr>
          <w:ilvl w:val="1"/>
          <w:numId w:val="2"/>
        </w:numPr>
        <w:shd w:val="clear"/>
        <w:overflowPunct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开标过程应当由采购人或者采购代理机构负责记录，由参加开标的各投标人代表和相关工作人员签字确认。</w:t>
      </w:r>
    </w:p>
    <w:p>
      <w:pPr>
        <w:widowControl w:val="0"/>
        <w:shd w:val="clear"/>
        <w:adjustRightInd/>
        <w:snapToGrid/>
        <w:ind w:left="567"/>
        <w:jc w:val="both"/>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67" w:name="_Toc25048"/>
      <w:r>
        <w:rPr>
          <w:rFonts w:hint="eastAsia" w:ascii="宋体" w:hAnsi="宋体" w:cs="宋体"/>
          <w:color w:val="auto"/>
          <w:sz w:val="21"/>
          <w:szCs w:val="21"/>
          <w:highlight w:val="none"/>
        </w:rPr>
        <w:t>评标委员会及评标方法</w:t>
      </w:r>
      <w:bookmarkEnd w:id="67"/>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68" w:name="_Toc2632"/>
      <w:r>
        <w:rPr>
          <w:rFonts w:hint="eastAsia" w:ascii="宋体" w:hAnsi="宋体" w:cs="宋体"/>
          <w:color w:val="auto"/>
          <w:sz w:val="21"/>
          <w:szCs w:val="21"/>
          <w:highlight w:val="none"/>
        </w:rPr>
        <w:t>评审原则及评标过程的保密</w:t>
      </w:r>
      <w:bookmarkEnd w:id="68"/>
    </w:p>
    <w:p>
      <w:pPr>
        <w:pStyle w:val="45"/>
        <w:widowControl w:val="0"/>
        <w:numPr>
          <w:ilvl w:val="0"/>
          <w:numId w:val="3"/>
        </w:numPr>
        <w:shd w:val="clear"/>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69" w:name="_Toc2325"/>
      <w:bookmarkStart w:id="70" w:name="_Toc7361"/>
      <w:r>
        <w:rPr>
          <w:rFonts w:hint="eastAsia" w:ascii="宋体" w:hAnsi="宋体" w:cs="宋体"/>
          <w:color w:val="auto"/>
          <w:sz w:val="21"/>
          <w:szCs w:val="21"/>
          <w:highlight w:val="none"/>
        </w:rPr>
        <w:t>评标程序</w:t>
      </w:r>
      <w:bookmarkEnd w:id="69"/>
    </w:p>
    <w:p>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pPr>
        <w:widowControl w:val="0"/>
        <w:shd w:val="clear"/>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pPr>
        <w:shd w:val="clea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shd w:val="clea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pPr>
              <w:numPr>
                <w:ilvl w:val="0"/>
                <w:numId w:val="5"/>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（5）未被列入东实集团及下属企业相关领域黑名单。【以</w:t>
            </w:r>
            <w:r>
              <w:rPr>
                <w:rFonts w:hint="eastAsia" w:ascii="宋体" w:hAnsi="宋体" w:cs="宋体"/>
                <w:color w:val="auto"/>
                <w:szCs w:val="21"/>
                <w:highlight w:val="none"/>
                <w:lang w:val="zh-CN"/>
              </w:rPr>
              <w:t>东莞实业投资控股集团有限公司</w:t>
            </w:r>
            <w:r>
              <w:rPr>
                <w:rFonts w:hint="eastAsia" w:ascii="宋体" w:hAnsi="宋体" w:cs="宋体"/>
                <w:color w:val="auto"/>
                <w:szCs w:val="21"/>
                <w:highlight w:val="none"/>
              </w:rPr>
              <w:t>发文（东实通〔2021〕44号）、（东实通〔2021〕98号）、（东实通〔2022〕75号）、（东实通〔2023〕37号）</w:t>
            </w:r>
            <w:r>
              <w:rPr>
                <w:rFonts w:hint="eastAsia" w:ascii="宋体" w:hAnsi="宋体"/>
                <w:color w:val="auto"/>
                <w:szCs w:val="21"/>
                <w:highlight w:val="none"/>
                <w:lang w:eastAsia="zh-CN"/>
              </w:rPr>
              <w:t>、（东实通〔2024〕163号）、（东实通〔2024〕195号）、（东实通〔2025〕157号）</w:t>
            </w:r>
            <w:r>
              <w:rPr>
                <w:rFonts w:hint="eastAsia" w:ascii="宋体" w:hAnsi="宋体" w:cs="宋体"/>
                <w:color w:val="auto"/>
                <w:szCs w:val="21"/>
                <w:highlight w:val="none"/>
              </w:rPr>
              <w:t>为准，如有最新发文通知，按最新文件执行。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pPr>
              <w:shd w:val="clear"/>
              <w:tabs>
                <w:tab w:val="left" w:pos="176"/>
                <w:tab w:val="left" w:pos="420"/>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612"/>
              </w:tabs>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）符合投标人资格要求中其他要求（如有）。（提供《附件9.相关资质证明文件》中对应证明文件。）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numPr>
                <w:ilvl w:val="0"/>
                <w:numId w:val="5"/>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numPr>
                <w:ilvl w:val="0"/>
                <w:numId w:val="5"/>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numPr>
                <w:ilvl w:val="0"/>
                <w:numId w:val="5"/>
              </w:numPr>
              <w:shd w:val="clear"/>
              <w:tabs>
                <w:tab w:val="left" w:pos="176"/>
                <w:tab w:val="left" w:pos="612"/>
              </w:tabs>
              <w:jc w:val="center"/>
              <w:rPr>
                <w:rFonts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pPr>
              <w:shd w:val="clea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pPr>
              <w:shd w:val="clea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法律、法规和招标文件规定的其他无效情形。</w:t>
            </w:r>
          </w:p>
        </w:tc>
      </w:tr>
      <w:bookmarkEnd w:id="70"/>
    </w:tbl>
    <w:p>
      <w:pPr>
        <w:widowControl w:val="0"/>
        <w:shd w:val="clear"/>
        <w:overflowPunct w:val="0"/>
        <w:ind w:firstLine="420" w:firstLineChars="200"/>
        <w:rPr>
          <w:rFonts w:hint="eastAsia" w:ascii="宋体" w:hAnsi="宋体"/>
          <w:color w:val="auto"/>
          <w:szCs w:val="21"/>
          <w:highlight w:val="none"/>
        </w:rPr>
      </w:pPr>
      <w:r>
        <w:rPr>
          <w:rFonts w:hint="eastAsia" w:ascii="宋体" w:hAnsi="宋体" w:cs="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w:t>
      </w:r>
      <w:r>
        <w:rPr>
          <w:rFonts w:hint="eastAsia" w:ascii="宋体" w:hAnsi="宋体" w:cs="宋体"/>
          <w:color w:val="auto"/>
          <w:szCs w:val="21"/>
          <w:highlight w:val="none"/>
          <w:lang w:val="en-US" w:eastAsia="zh-CN"/>
        </w:rPr>
        <w:t>购</w:t>
      </w:r>
      <w:r>
        <w:rPr>
          <w:rFonts w:hint="eastAsia" w:ascii="宋体" w:hAnsi="宋体"/>
          <w:color w:val="auto"/>
          <w:szCs w:val="21"/>
          <w:highlight w:val="none"/>
        </w:rPr>
        <w:t>。</w:t>
      </w:r>
    </w:p>
    <w:p>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投标文件中开标一览表（报价表）内容与投标文件中相应内容不一致的，以开标一览表（报价表）为准；</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大写金额和小写金额不一致的，以大写金额为准；</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单价金额小数点或者百分比有明显错位的，以开标一览表的总价为准，并修改单价；</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lang w:eastAsia="zh-CN"/>
        </w:rPr>
        <w:t>）</w:t>
      </w:r>
      <w:r>
        <w:rPr>
          <w:rFonts w:hint="eastAsia" w:ascii="宋体" w:hAnsi="宋体" w:cs="宋体"/>
          <w:color w:val="auto"/>
          <w:szCs w:val="21"/>
          <w:highlight w:val="none"/>
        </w:rPr>
        <w:t>总价</w:t>
      </w:r>
      <w:r>
        <w:rPr>
          <w:rFonts w:hint="eastAsia" w:ascii="宋体" w:hAnsi="宋体" w:cs="宋体"/>
          <w:color w:val="auto"/>
          <w:highlight w:val="none"/>
        </w:rPr>
        <w:t>金额</w:t>
      </w:r>
      <w:r>
        <w:rPr>
          <w:rFonts w:hint="eastAsia" w:ascii="宋体" w:hAnsi="宋体" w:cs="宋体"/>
          <w:color w:val="auto"/>
          <w:szCs w:val="21"/>
          <w:highlight w:val="none"/>
        </w:rPr>
        <w:t>与按单价汇总金额不一致的，以单价金额计算结果为准。</w:t>
      </w:r>
    </w:p>
    <w:p>
      <w:pPr>
        <w:pStyle w:val="45"/>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w:t>
      </w:r>
      <w:r>
        <w:rPr>
          <w:rFonts w:hint="eastAsia" w:ascii="宋体" w:hAnsi="宋体" w:cs="宋体"/>
          <w:color w:val="auto"/>
          <w:szCs w:val="21"/>
          <w:highlight w:val="none"/>
        </w:rPr>
        <w:t>同时</w:t>
      </w:r>
      <w:r>
        <w:rPr>
          <w:rFonts w:hint="eastAsia" w:ascii="宋体" w:hAnsi="宋体" w:cs="宋体"/>
          <w:color w:val="auto"/>
          <w:highlight w:val="none"/>
        </w:rPr>
        <w:t>出现</w:t>
      </w:r>
      <w:r>
        <w:rPr>
          <w:rFonts w:hint="eastAsia" w:ascii="宋体" w:hAnsi="宋体" w:cs="宋体"/>
          <w:color w:val="auto"/>
          <w:szCs w:val="21"/>
          <w:highlight w:val="none"/>
        </w:rPr>
        <w:t>两种以上不一致的，按照前款规定的顺序修正。修正后的报价按照经投标人确认后产生约束力，投标人不确认的，其投标无效。</w:t>
      </w:r>
    </w:p>
    <w:p>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pPr>
        <w:pStyle w:val="2"/>
        <w:shd w:val="clear"/>
        <w:rPr>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71" w:name="_Toc27973"/>
      <w:r>
        <w:rPr>
          <w:rFonts w:hint="eastAsia" w:ascii="宋体" w:hAnsi="宋体" w:cs="宋体"/>
          <w:color w:val="auto"/>
          <w:sz w:val="21"/>
          <w:szCs w:val="21"/>
          <w:highlight w:val="none"/>
        </w:rPr>
        <w:t>商务、技术、价格评审（具体评审项目详见投标资料表）</w:t>
      </w:r>
      <w:bookmarkEnd w:id="71"/>
    </w:p>
    <w:p>
      <w:pPr>
        <w:pStyle w:val="45"/>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pPr>
        <w:widowControl w:val="0"/>
        <w:shd w:val="clear"/>
        <w:tabs>
          <w:tab w:val="left" w:pos="907"/>
        </w:tabs>
        <w:adjustRightInd/>
        <w:snapToGrid/>
        <w:ind w:left="567"/>
        <w:jc w:val="both"/>
        <w:rPr>
          <w:rFonts w:ascii="宋体" w:hAnsi="宋体" w:cs="宋体"/>
          <w:color w:val="auto"/>
          <w:szCs w:val="21"/>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72" w:name="_Toc316375620"/>
      <w:bookmarkStart w:id="73" w:name="_Toc382049120"/>
      <w:bookmarkStart w:id="74" w:name="_Toc20328"/>
      <w:bookmarkStart w:id="75" w:name="_Toc1055"/>
      <w:r>
        <w:rPr>
          <w:rFonts w:hint="eastAsia" w:ascii="宋体" w:hAnsi="宋体" w:cs="宋体"/>
          <w:color w:val="auto"/>
          <w:sz w:val="21"/>
          <w:szCs w:val="21"/>
          <w:highlight w:val="none"/>
        </w:rPr>
        <w:t>纪律和保密</w:t>
      </w:r>
      <w:bookmarkEnd w:id="72"/>
      <w:r>
        <w:rPr>
          <w:rFonts w:hint="eastAsia" w:ascii="宋体" w:hAnsi="宋体" w:cs="宋体"/>
          <w:color w:val="auto"/>
          <w:sz w:val="21"/>
          <w:szCs w:val="21"/>
          <w:highlight w:val="none"/>
        </w:rPr>
        <w:t>事项</w:t>
      </w:r>
      <w:bookmarkEnd w:id="73"/>
      <w:bookmarkEnd w:id="74"/>
      <w:bookmarkEnd w:id="75"/>
    </w:p>
    <w:p>
      <w:pPr>
        <w:pStyle w:val="45"/>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pPr>
        <w:shd w:val="clear"/>
        <w:rPr>
          <w:rFonts w:ascii="宋体" w:hAnsi="宋体" w:cs="宋体"/>
          <w:color w:val="auto"/>
          <w:highlight w:val="none"/>
        </w:rPr>
      </w:pPr>
    </w:p>
    <w:p>
      <w:pPr>
        <w:pStyle w:val="7"/>
        <w:numPr>
          <w:ilvl w:val="0"/>
          <w:numId w:val="1"/>
        </w:numPr>
        <w:shd w:val="clear"/>
        <w:spacing w:before="0" w:after="0" w:line="360" w:lineRule="auto"/>
        <w:jc w:val="center"/>
        <w:rPr>
          <w:rFonts w:ascii="宋体" w:hAnsi="宋体" w:cs="宋体"/>
          <w:color w:val="auto"/>
          <w:highlight w:val="none"/>
        </w:rPr>
      </w:pPr>
      <w:bookmarkStart w:id="76" w:name="_Toc1476"/>
      <w:r>
        <w:rPr>
          <w:rFonts w:hint="eastAsia" w:ascii="宋体" w:hAnsi="宋体" w:cs="宋体"/>
          <w:color w:val="auto"/>
          <w:highlight w:val="none"/>
        </w:rPr>
        <w:t>授予合同</w:t>
      </w:r>
      <w:bookmarkEnd w:id="76"/>
    </w:p>
    <w:p>
      <w:pPr>
        <w:pStyle w:val="8"/>
        <w:widowControl w:val="0"/>
        <w:numPr>
          <w:ilvl w:val="0"/>
          <w:numId w:val="2"/>
        </w:numPr>
        <w:shd w:val="clear"/>
        <w:overflowPunct w:val="0"/>
        <w:rPr>
          <w:rFonts w:ascii="宋体" w:hAnsi="宋体" w:cs="宋体"/>
          <w:color w:val="auto"/>
          <w:sz w:val="21"/>
          <w:szCs w:val="21"/>
          <w:highlight w:val="none"/>
        </w:rPr>
      </w:pPr>
      <w:bookmarkStart w:id="77" w:name="_Toc508284011"/>
      <w:bookmarkStart w:id="78" w:name="_Toc15593"/>
      <w:r>
        <w:rPr>
          <w:rFonts w:hint="eastAsia" w:ascii="宋体" w:hAnsi="宋体" w:cs="宋体"/>
          <w:color w:val="auto"/>
          <w:sz w:val="21"/>
          <w:szCs w:val="21"/>
          <w:highlight w:val="none"/>
        </w:rPr>
        <w:t>合同授予标准</w:t>
      </w:r>
      <w:bookmarkEnd w:id="77"/>
      <w:bookmarkEnd w:id="78"/>
    </w:p>
    <w:p>
      <w:pPr>
        <w:pStyle w:val="45"/>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79" w:name="_Toc30510"/>
      <w:bookmarkStart w:id="80" w:name="_Toc508284013"/>
      <w:r>
        <w:rPr>
          <w:rFonts w:hint="eastAsia" w:ascii="宋体" w:hAnsi="宋体" w:cs="宋体"/>
          <w:color w:val="auto"/>
          <w:sz w:val="21"/>
          <w:szCs w:val="21"/>
          <w:highlight w:val="none"/>
        </w:rPr>
        <w:t>发布中标结果</w:t>
      </w:r>
      <w:bookmarkEnd w:id="79"/>
      <w:bookmarkEnd w:id="80"/>
    </w:p>
    <w:p>
      <w:pPr>
        <w:pStyle w:val="45"/>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pPr>
        <w:widowControl w:val="0"/>
        <w:shd w:val="clear"/>
        <w:tabs>
          <w:tab w:val="left" w:pos="907"/>
        </w:tabs>
        <w:adjustRightInd/>
        <w:snapToGrid/>
        <w:jc w:val="both"/>
        <w:rPr>
          <w:rFonts w:ascii="宋体" w:hAnsi="宋体" w:cs="宋体"/>
          <w:color w:val="auto"/>
          <w:szCs w:val="21"/>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81" w:name="_Toc11638"/>
      <w:r>
        <w:rPr>
          <w:rFonts w:hint="eastAsia" w:ascii="宋体" w:hAnsi="宋体" w:cs="宋体"/>
          <w:color w:val="auto"/>
          <w:sz w:val="21"/>
          <w:szCs w:val="21"/>
          <w:highlight w:val="none"/>
        </w:rPr>
        <w:t>资格后审</w:t>
      </w:r>
      <w:bookmarkEnd w:id="81"/>
    </w:p>
    <w:p>
      <w:pPr>
        <w:pStyle w:val="45"/>
        <w:widowControl w:val="0"/>
        <w:numPr>
          <w:ilvl w:val="0"/>
          <w:numId w:val="3"/>
        </w:numPr>
        <w:shd w:val="clear"/>
        <w:tabs>
          <w:tab w:val="left" w:pos="567"/>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采购人将</w:t>
      </w:r>
      <w:r>
        <w:rPr>
          <w:rFonts w:hint="eastAsia" w:ascii="宋体" w:hAnsi="宋体" w:cs="宋体"/>
          <w:b/>
          <w:bCs/>
          <w:color w:val="auto"/>
          <w:szCs w:val="21"/>
          <w:highlight w:val="none"/>
        </w:rPr>
        <w:t>有权</w:t>
      </w:r>
      <w:r>
        <w:rPr>
          <w:rFonts w:hint="eastAsia" w:ascii="宋体" w:hAnsi="宋体" w:cs="宋体"/>
          <w:color w:val="auto"/>
          <w:szCs w:val="21"/>
          <w:highlight w:val="none"/>
        </w:rPr>
        <w:t>根据本文件中的要求，对评委会推荐的中标候选人进行资格后审。</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pPr>
        <w:shd w:val="clear"/>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82" w:name="_Toc3787"/>
      <w:r>
        <w:rPr>
          <w:rFonts w:hint="eastAsia" w:ascii="宋体" w:hAnsi="宋体" w:cs="宋体"/>
          <w:color w:val="auto"/>
          <w:sz w:val="21"/>
          <w:szCs w:val="21"/>
          <w:highlight w:val="none"/>
        </w:rPr>
        <w:t>合同的签订与履行</w:t>
      </w:r>
      <w:bookmarkEnd w:id="82"/>
    </w:p>
    <w:p>
      <w:pPr>
        <w:pStyle w:val="45"/>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pPr>
        <w:widowControl w:val="0"/>
        <w:shd w:val="clear"/>
        <w:tabs>
          <w:tab w:val="left" w:pos="907"/>
        </w:tabs>
        <w:adjustRightInd/>
        <w:snapToGrid/>
        <w:jc w:val="both"/>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83" w:name="_Toc29009"/>
      <w:bookmarkStart w:id="84" w:name="_Toc303084277"/>
      <w:bookmarkStart w:id="85" w:name="_Toc382049124"/>
      <w:bookmarkStart w:id="86" w:name="_Toc1009"/>
      <w:r>
        <w:rPr>
          <w:rFonts w:hint="eastAsia" w:ascii="宋体" w:hAnsi="宋体" w:cs="宋体"/>
          <w:color w:val="auto"/>
          <w:sz w:val="21"/>
          <w:szCs w:val="21"/>
          <w:highlight w:val="none"/>
        </w:rPr>
        <w:t>履约</w:t>
      </w:r>
      <w:bookmarkEnd w:id="83"/>
      <w:bookmarkEnd w:id="84"/>
      <w:bookmarkEnd w:id="85"/>
      <w:r>
        <w:rPr>
          <w:rFonts w:hint="eastAsia" w:ascii="宋体" w:hAnsi="宋体" w:cs="宋体"/>
          <w:color w:val="auto"/>
          <w:sz w:val="21"/>
          <w:szCs w:val="21"/>
          <w:highlight w:val="none"/>
        </w:rPr>
        <w:t>担保</w:t>
      </w:r>
      <w:bookmarkEnd w:id="86"/>
    </w:p>
    <w:p>
      <w:pPr>
        <w:pStyle w:val="45"/>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③履约保函必须打印，手写、涂改无效。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pPr>
        <w:widowControl w:val="0"/>
        <w:shd w:val="clear"/>
        <w:tabs>
          <w:tab w:val="left" w:pos="907"/>
        </w:tabs>
        <w:adjustRightInd/>
        <w:snapToGrid/>
        <w:jc w:val="both"/>
        <w:rPr>
          <w:rFonts w:ascii="宋体" w:hAnsi="宋体" w:cs="宋体"/>
          <w:color w:val="auto"/>
          <w:highlight w:val="none"/>
        </w:rPr>
      </w:pPr>
    </w:p>
    <w:p>
      <w:pPr>
        <w:pStyle w:val="8"/>
        <w:widowControl w:val="0"/>
        <w:numPr>
          <w:ilvl w:val="0"/>
          <w:numId w:val="2"/>
        </w:numPr>
        <w:shd w:val="clear"/>
        <w:overflowPunct w:val="0"/>
        <w:rPr>
          <w:rFonts w:ascii="宋体" w:hAnsi="宋体" w:cs="宋体"/>
          <w:color w:val="auto"/>
          <w:sz w:val="21"/>
          <w:szCs w:val="21"/>
          <w:highlight w:val="none"/>
        </w:rPr>
      </w:pPr>
      <w:bookmarkStart w:id="87" w:name="_Toc10235"/>
      <w:r>
        <w:rPr>
          <w:rFonts w:hint="eastAsia" w:ascii="宋体" w:hAnsi="宋体" w:cs="宋体"/>
          <w:color w:val="auto"/>
          <w:sz w:val="21"/>
          <w:szCs w:val="21"/>
          <w:highlight w:val="none"/>
        </w:rPr>
        <w:t>预付款保函（适用于预付款支付）</w:t>
      </w:r>
      <w:bookmarkEnd w:id="87"/>
    </w:p>
    <w:p>
      <w:pPr>
        <w:pStyle w:val="45"/>
        <w:widowControl w:val="0"/>
        <w:numPr>
          <w:ilvl w:val="0"/>
          <w:numId w:val="3"/>
        </w:numPr>
        <w:shd w:val="clear"/>
        <w:tabs>
          <w:tab w:val="left" w:pos="567"/>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pPr>
        <w:keepNext w:val="0"/>
        <w:keepLines w:val="0"/>
        <w:pageBreakBefore w:val="0"/>
        <w:widowControl w:val="0"/>
        <w:shd w:val="clear"/>
        <w:tabs>
          <w:tab w:val="left" w:pos="907"/>
        </w:tabs>
        <w:kinsoku/>
        <w:wordWrap/>
        <w:overflowPunct/>
        <w:topLinePunct w:val="0"/>
        <w:autoSpaceDE/>
        <w:autoSpaceDN/>
        <w:bidi w:val="0"/>
        <w:adjustRightInd/>
        <w:snapToGrid/>
        <w:spacing w:line="264"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pPr>
        <w:keepNext w:val="0"/>
        <w:keepLines w:val="0"/>
        <w:pageBreakBefore w:val="0"/>
        <w:widowControl w:val="0"/>
        <w:shd w:val="clear"/>
        <w:tabs>
          <w:tab w:val="left" w:pos="907"/>
        </w:tabs>
        <w:kinsoku/>
        <w:wordWrap/>
        <w:overflowPunct/>
        <w:topLinePunct w:val="0"/>
        <w:autoSpaceDE/>
        <w:autoSpaceDN/>
        <w:bidi w:val="0"/>
        <w:adjustRightInd/>
        <w:snapToGrid/>
        <w:spacing w:line="264"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（2）必须打印，手写、涂改无效</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pPr>
        <w:shd w:val="clear"/>
        <w:rPr>
          <w:rFonts w:ascii="宋体" w:hAnsi="宋体" w:cs="宋体"/>
          <w:color w:val="auto"/>
          <w:highlight w:val="none"/>
        </w:rPr>
      </w:pPr>
    </w:p>
    <w:p>
      <w:pPr>
        <w:pStyle w:val="7"/>
        <w:numPr>
          <w:ilvl w:val="0"/>
          <w:numId w:val="1"/>
        </w:numPr>
        <w:shd w:val="clear"/>
        <w:spacing w:before="0" w:after="0" w:line="360" w:lineRule="auto"/>
        <w:jc w:val="center"/>
        <w:rPr>
          <w:rFonts w:ascii="宋体" w:hAnsi="宋体" w:cs="宋体"/>
          <w:color w:val="auto"/>
          <w:highlight w:val="none"/>
        </w:rPr>
      </w:pPr>
      <w:bookmarkStart w:id="88" w:name="_Toc1180"/>
      <w:r>
        <w:rPr>
          <w:rFonts w:hint="eastAsia" w:ascii="宋体" w:hAnsi="宋体" w:cs="宋体"/>
          <w:color w:val="auto"/>
          <w:highlight w:val="none"/>
        </w:rPr>
        <w:t>异议</w:t>
      </w:r>
      <w:bookmarkEnd w:id="88"/>
    </w:p>
    <w:p>
      <w:pPr>
        <w:pStyle w:val="8"/>
        <w:widowControl w:val="0"/>
        <w:numPr>
          <w:ilvl w:val="0"/>
          <w:numId w:val="2"/>
        </w:numPr>
        <w:shd w:val="clear"/>
        <w:overflowPunct w:val="0"/>
        <w:rPr>
          <w:rFonts w:ascii="宋体" w:hAnsi="宋体" w:cs="宋体"/>
          <w:color w:val="auto"/>
          <w:sz w:val="21"/>
          <w:szCs w:val="21"/>
          <w:highlight w:val="none"/>
        </w:rPr>
      </w:pPr>
      <w:bookmarkStart w:id="89" w:name="_Toc23277"/>
      <w:r>
        <w:rPr>
          <w:rFonts w:hint="eastAsia" w:ascii="宋体" w:hAnsi="宋体" w:cs="宋体"/>
          <w:color w:val="auto"/>
          <w:sz w:val="21"/>
          <w:szCs w:val="21"/>
          <w:highlight w:val="none"/>
        </w:rPr>
        <w:t>异议</w:t>
      </w:r>
      <w:bookmarkEnd w:id="89"/>
    </w:p>
    <w:p>
      <w:pPr>
        <w:pStyle w:val="45"/>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spacing w:line="360" w:lineRule="auto"/>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pPr>
        <w:widowControl w:val="0"/>
        <w:numPr>
          <w:ilvl w:val="1"/>
          <w:numId w:val="2"/>
        </w:numPr>
        <w:shd w:val="clear"/>
        <w:overflowPunct w:val="0"/>
        <w:spacing w:line="360" w:lineRule="auto"/>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pPr>
        <w:widowControl w:val="0"/>
        <w:numPr>
          <w:ilvl w:val="1"/>
          <w:numId w:val="2"/>
        </w:numPr>
        <w:shd w:val="clear"/>
        <w:overflowPunct w:val="0"/>
        <w:rPr>
          <w:rFonts w:hint="eastAsia" w:ascii="宋体" w:hAnsi="宋体" w:eastAsia="宋体" w:cs="宋体"/>
          <w:bCs/>
          <w:color w:val="auto"/>
          <w:kern w:val="2"/>
          <w:szCs w:val="21"/>
          <w:highlight w:val="none"/>
          <w:lang w:val="zh-CN"/>
        </w:rPr>
      </w:pPr>
      <w:r>
        <w:rPr>
          <w:rFonts w:hint="eastAsia" w:ascii="宋体" w:hAnsi="宋体" w:eastAsia="宋体" w:cs="宋体"/>
          <w:bCs/>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pPr>
        <w:widowControl w:val="0"/>
        <w:numPr>
          <w:ilvl w:val="1"/>
          <w:numId w:val="2"/>
        </w:numPr>
        <w:shd w:val="clear"/>
        <w:overflowPunct w:val="0"/>
        <w:rPr>
          <w:rFonts w:hint="eastAsia" w:ascii="宋体" w:hAnsi="宋体" w:eastAsia="宋体" w:cs="宋体"/>
          <w:bCs/>
          <w:color w:val="auto"/>
          <w:kern w:val="2"/>
          <w:szCs w:val="21"/>
          <w:highlight w:val="none"/>
          <w:lang w:val="zh-CN"/>
        </w:rPr>
      </w:pPr>
      <w:r>
        <w:rPr>
          <w:rFonts w:hint="eastAsia" w:ascii="宋体" w:hAnsi="宋体" w:eastAsia="宋体" w:cs="宋体"/>
          <w:bCs/>
          <w:color w:val="auto"/>
          <w:kern w:val="2"/>
          <w:szCs w:val="21"/>
          <w:highlight w:val="none"/>
          <w:lang w:val="zh-CN"/>
        </w:rPr>
        <w:t>采购代理机构将拒收未能提供完整异议书面材料的异议，完整的异议书面材料必须同时包含：异议书（</w:t>
      </w:r>
      <w:r>
        <w:rPr>
          <w:rFonts w:hint="eastAsia" w:ascii="宋体" w:hAnsi="宋体" w:cs="宋体"/>
          <w:color w:val="auto"/>
          <w:szCs w:val="21"/>
          <w:highlight w:val="none"/>
          <w:lang w:val="zh-CN"/>
        </w:rPr>
        <w:t>加盖</w:t>
      </w:r>
      <w:r>
        <w:rPr>
          <w:rFonts w:hint="eastAsia" w:ascii="宋体" w:hAnsi="宋体" w:eastAsia="宋体" w:cs="宋体"/>
          <w:bCs/>
          <w:color w:val="auto"/>
          <w:kern w:val="2"/>
          <w:szCs w:val="21"/>
          <w:highlight w:val="none"/>
          <w:lang w:val="zh-CN"/>
        </w:rPr>
        <w:t>法人公章，并注明联系人、联系电话、联系地址）、授权提交异议的法定代表人授权书原件、反映异议人主体资格的营业执照复印件（加盖法人公章）、以及合法来源的证据证明材料。</w:t>
      </w:r>
    </w:p>
    <w:p>
      <w:pPr>
        <w:widowControl w:val="0"/>
        <w:numPr>
          <w:ilvl w:val="1"/>
          <w:numId w:val="2"/>
        </w:numPr>
        <w:shd w:val="clear"/>
        <w:overflowPunct w:val="0"/>
        <w:spacing w:line="360" w:lineRule="auto"/>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pPr>
        <w:shd w:val="clear"/>
        <w:rPr>
          <w:rFonts w:ascii="宋体" w:hAnsi="宋体" w:cs="宋体"/>
          <w:color w:val="auto"/>
          <w:highlight w:val="none"/>
        </w:rPr>
      </w:pPr>
    </w:p>
    <w:p>
      <w:pPr>
        <w:pStyle w:val="7"/>
        <w:numPr>
          <w:ilvl w:val="0"/>
          <w:numId w:val="1"/>
        </w:numPr>
        <w:shd w:val="clear"/>
        <w:spacing w:before="0" w:after="0" w:line="360" w:lineRule="auto"/>
        <w:jc w:val="center"/>
        <w:rPr>
          <w:rFonts w:ascii="宋体" w:hAnsi="宋体" w:cs="宋体"/>
          <w:color w:val="auto"/>
          <w:highlight w:val="none"/>
        </w:rPr>
      </w:pPr>
      <w:bookmarkStart w:id="90" w:name="_Toc15"/>
      <w:r>
        <w:rPr>
          <w:rFonts w:hint="eastAsia" w:ascii="宋体" w:hAnsi="宋体" w:cs="宋体"/>
          <w:color w:val="auto"/>
          <w:highlight w:val="none"/>
        </w:rPr>
        <w:t>其他</w:t>
      </w:r>
      <w:bookmarkEnd w:id="90"/>
    </w:p>
    <w:p>
      <w:pPr>
        <w:pStyle w:val="8"/>
        <w:widowControl w:val="0"/>
        <w:numPr>
          <w:ilvl w:val="0"/>
          <w:numId w:val="2"/>
        </w:numPr>
        <w:shd w:val="clear"/>
        <w:overflowPunct w:val="0"/>
        <w:rPr>
          <w:rFonts w:ascii="宋体" w:hAnsi="宋体" w:cs="宋体"/>
          <w:color w:val="auto"/>
          <w:sz w:val="21"/>
          <w:szCs w:val="21"/>
          <w:highlight w:val="none"/>
        </w:rPr>
      </w:pPr>
      <w:bookmarkStart w:id="91" w:name="_Toc4695"/>
      <w:r>
        <w:rPr>
          <w:rFonts w:hint="eastAsia" w:ascii="宋体" w:hAnsi="宋体" w:cs="宋体"/>
          <w:color w:val="auto"/>
          <w:sz w:val="21"/>
          <w:szCs w:val="21"/>
          <w:highlight w:val="none"/>
        </w:rPr>
        <w:t>采购文件的解释权</w:t>
      </w:r>
      <w:bookmarkEnd w:id="91"/>
    </w:p>
    <w:p>
      <w:pPr>
        <w:pStyle w:val="45"/>
        <w:widowControl w:val="0"/>
        <w:numPr>
          <w:ilvl w:val="0"/>
          <w:numId w:val="3"/>
        </w:numPr>
        <w:shd w:val="clear"/>
        <w:tabs>
          <w:tab w:val="left" w:pos="907"/>
        </w:tabs>
        <w:adjustRightInd/>
        <w:snapToGrid/>
        <w:ind w:firstLineChars="0"/>
        <w:jc w:val="both"/>
        <w:rPr>
          <w:rFonts w:ascii="宋体" w:hAnsi="宋体" w:cs="宋体"/>
          <w:vanish/>
          <w:color w:val="auto"/>
          <w:szCs w:val="21"/>
          <w:highlight w:val="none"/>
        </w:rPr>
      </w:pPr>
    </w:p>
    <w:p>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pPr>
        <w:widowControl w:val="0"/>
        <w:numPr>
          <w:ilvl w:val="1"/>
          <w:numId w:val="3"/>
        </w:numPr>
        <w:shd w:val="clear"/>
        <w:tabs>
          <w:tab w:val="left" w:pos="907"/>
        </w:tabs>
        <w:adjustRightInd/>
        <w:snapToGrid/>
        <w:jc w:val="both"/>
        <w:rPr>
          <w:rFonts w:ascii="宋体" w:hAnsi="宋体" w:cs="宋体"/>
          <w:color w:val="auto"/>
          <w:szCs w:val="21"/>
          <w:highlight w:val="none"/>
        </w:rPr>
      </w:pPr>
      <w:r>
        <w:rPr>
          <w:rFonts w:hint="eastAsia" w:ascii="宋体" w:hAnsi="宋体" w:cs="宋体"/>
          <w:color w:val="auto"/>
          <w:szCs w:val="21"/>
          <w:highlight w:val="none"/>
        </w:rPr>
        <w:br w:type="page"/>
      </w:r>
    </w:p>
    <w:p>
      <w:pPr>
        <w:pStyle w:val="6"/>
        <w:shd w:val="clear"/>
        <w:spacing w:before="0" w:after="0" w:line="240" w:lineRule="auto"/>
        <w:rPr>
          <w:color w:val="auto"/>
          <w:sz w:val="28"/>
          <w:szCs w:val="28"/>
          <w:highlight w:val="none"/>
        </w:rPr>
      </w:pPr>
      <w:bookmarkStart w:id="92" w:name="_Toc10402"/>
      <w:r>
        <w:rPr>
          <w:rFonts w:hint="eastAsia"/>
          <w:color w:val="auto"/>
          <w:sz w:val="28"/>
          <w:szCs w:val="28"/>
          <w:highlight w:val="none"/>
        </w:rPr>
        <w:t>第五部分  合同条款格式</w:t>
      </w:r>
      <w:bookmarkEnd w:id="92"/>
      <w:bookmarkStart w:id="93" w:name="_Toc15636"/>
    </w:p>
    <w:bookmarkEnd w:id="93"/>
    <w:p>
      <w:pPr>
        <w:shd w:val="clear"/>
        <w:spacing w:line="360" w:lineRule="auto"/>
        <w:jc w:val="center"/>
        <w:rPr>
          <w:rFonts w:ascii="宋体" w:hAnsi="宋体" w:cs="宋体"/>
          <w:color w:val="auto"/>
          <w:highlight w:val="none"/>
        </w:rPr>
      </w:pPr>
      <w:bookmarkStart w:id="94" w:name="_Hlt109815959"/>
      <w:bookmarkEnd w:id="94"/>
    </w:p>
    <w:p>
      <w:pPr>
        <w:ind w:right="25" w:rightChars="12"/>
        <w:jc w:val="center"/>
        <w:rPr>
          <w:rFonts w:ascii="宋体" w:hAnsi="宋体" w:cs="宋体"/>
          <w:b/>
          <w:color w:val="auto"/>
          <w:sz w:val="36"/>
          <w:szCs w:val="36"/>
          <w:highlight w:val="none"/>
        </w:rPr>
      </w:pPr>
      <w:r>
        <w:rPr>
          <w:rFonts w:hint="eastAsia" w:ascii="宋体" w:hAnsi="宋体" w:cs="宋体"/>
          <w:b/>
          <w:color w:val="auto"/>
          <w:sz w:val="36"/>
          <w:szCs w:val="36"/>
          <w:highlight w:val="none"/>
        </w:rPr>
        <w:t>嘉安达环保科技研发项目1号研发楼改造为保障性租赁住房项目窗帘采购合同</w:t>
      </w:r>
    </w:p>
    <w:p>
      <w:pPr>
        <w:pStyle w:val="17"/>
        <w:keepNext w:val="0"/>
        <w:keepLines w:val="0"/>
        <w:pageBreakBefore w:val="0"/>
        <w:tabs>
          <w:tab w:val="left" w:pos="540"/>
        </w:tabs>
        <w:kinsoku/>
        <w:wordWrap/>
        <w:overflowPunct/>
        <w:topLinePunct w:val="0"/>
        <w:autoSpaceDE/>
        <w:autoSpaceDN/>
        <w:bidi w:val="0"/>
        <w:spacing w:line="360" w:lineRule="auto"/>
        <w:ind w:firstLine="420"/>
        <w:textAlignment w:val="auto"/>
        <w:rPr>
          <w:rFonts w:hAnsi="宋体"/>
          <w:b w:val="0"/>
          <w:bCs/>
          <w:color w:val="auto"/>
          <w:highlight w:val="none"/>
        </w:rPr>
      </w:pPr>
      <w:r>
        <w:rPr>
          <w:rFonts w:hint="eastAsia" w:hAnsi="宋体"/>
          <w:b w:val="0"/>
          <w:bCs/>
          <w:color w:val="auto"/>
          <w:highlight w:val="none"/>
        </w:rPr>
        <w:t>甲</w:t>
      </w:r>
      <w:r>
        <w:rPr>
          <w:rFonts w:hAnsi="宋体"/>
          <w:b w:val="0"/>
          <w:bCs/>
          <w:color w:val="auto"/>
          <w:highlight w:val="none"/>
        </w:rPr>
        <w:t xml:space="preserve">    </w:t>
      </w:r>
      <w:r>
        <w:rPr>
          <w:rFonts w:hint="eastAsia" w:hAnsi="宋体"/>
          <w:b w:val="0"/>
          <w:bCs/>
          <w:color w:val="auto"/>
          <w:highlight w:val="none"/>
        </w:rPr>
        <w:t>方：</w:t>
      </w:r>
      <w:r>
        <w:rPr>
          <w:rFonts w:hAnsi="宋体"/>
          <w:b w:val="0"/>
          <w:bCs/>
          <w:color w:val="auto"/>
          <w:highlight w:val="none"/>
        </w:rPr>
        <w:t xml:space="preserve"> </w:t>
      </w:r>
    </w:p>
    <w:p>
      <w:pPr>
        <w:pStyle w:val="17"/>
        <w:keepNext w:val="0"/>
        <w:keepLines w:val="0"/>
        <w:pageBreakBefore w:val="0"/>
        <w:tabs>
          <w:tab w:val="left" w:pos="540"/>
        </w:tabs>
        <w:kinsoku/>
        <w:wordWrap/>
        <w:overflowPunct/>
        <w:topLinePunct w:val="0"/>
        <w:autoSpaceDE/>
        <w:autoSpaceDN/>
        <w:bidi w:val="0"/>
        <w:spacing w:line="360" w:lineRule="auto"/>
        <w:ind w:firstLine="420"/>
        <w:textAlignment w:val="auto"/>
        <w:rPr>
          <w:rFonts w:hAnsi="宋体"/>
          <w:b w:val="0"/>
          <w:bCs/>
          <w:color w:val="auto"/>
          <w:highlight w:val="none"/>
        </w:rPr>
      </w:pPr>
      <w:r>
        <w:rPr>
          <w:rFonts w:hint="eastAsia" w:hAnsi="宋体"/>
          <w:b w:val="0"/>
          <w:bCs/>
          <w:color w:val="auto"/>
          <w:highlight w:val="none"/>
        </w:rPr>
        <w:t>统一社会信用代码：</w:t>
      </w:r>
    </w:p>
    <w:p>
      <w:pPr>
        <w:pStyle w:val="17"/>
        <w:keepNext w:val="0"/>
        <w:keepLines w:val="0"/>
        <w:pageBreakBefore w:val="0"/>
        <w:tabs>
          <w:tab w:val="left" w:pos="540"/>
        </w:tabs>
        <w:kinsoku/>
        <w:wordWrap/>
        <w:overflowPunct/>
        <w:topLinePunct w:val="0"/>
        <w:autoSpaceDE/>
        <w:autoSpaceDN/>
        <w:bidi w:val="0"/>
        <w:spacing w:line="360" w:lineRule="auto"/>
        <w:ind w:firstLine="420"/>
        <w:textAlignment w:val="auto"/>
        <w:rPr>
          <w:rFonts w:hAnsi="宋体"/>
          <w:b w:val="0"/>
          <w:bCs/>
          <w:color w:val="auto"/>
          <w:highlight w:val="none"/>
        </w:rPr>
      </w:pPr>
      <w:r>
        <w:rPr>
          <w:rFonts w:hint="eastAsia" w:hAnsi="宋体"/>
          <w:b w:val="0"/>
          <w:bCs/>
          <w:color w:val="auto"/>
          <w:highlight w:val="none"/>
        </w:rPr>
        <w:t>法定代表人：</w:t>
      </w:r>
      <w:r>
        <w:rPr>
          <w:rFonts w:hAnsi="宋体"/>
          <w:b w:val="0"/>
          <w:bCs/>
          <w:color w:val="auto"/>
          <w:highlight w:val="none"/>
        </w:rPr>
        <w:t xml:space="preserve"> </w:t>
      </w:r>
    </w:p>
    <w:p>
      <w:pPr>
        <w:pStyle w:val="17"/>
        <w:keepNext w:val="0"/>
        <w:keepLines w:val="0"/>
        <w:pageBreakBefore w:val="0"/>
        <w:tabs>
          <w:tab w:val="left" w:pos="540"/>
        </w:tabs>
        <w:kinsoku/>
        <w:wordWrap/>
        <w:overflowPunct/>
        <w:topLinePunct w:val="0"/>
        <w:autoSpaceDE/>
        <w:autoSpaceDN/>
        <w:bidi w:val="0"/>
        <w:spacing w:line="360" w:lineRule="auto"/>
        <w:ind w:firstLine="420"/>
        <w:textAlignment w:val="auto"/>
        <w:rPr>
          <w:rFonts w:hAnsi="宋体"/>
          <w:b w:val="0"/>
          <w:bCs/>
          <w:color w:val="auto"/>
          <w:highlight w:val="none"/>
        </w:rPr>
      </w:pPr>
      <w:r>
        <w:rPr>
          <w:rFonts w:hint="eastAsia" w:hAnsi="宋体"/>
          <w:b w:val="0"/>
          <w:bCs/>
          <w:color w:val="auto"/>
          <w:highlight w:val="none"/>
        </w:rPr>
        <w:t>地址：</w:t>
      </w:r>
      <w:r>
        <w:rPr>
          <w:rFonts w:hAnsi="宋体"/>
          <w:b w:val="0"/>
          <w:bCs/>
          <w:color w:val="auto"/>
          <w:highlight w:val="none"/>
        </w:rPr>
        <w:t xml:space="preserve"> </w:t>
      </w:r>
    </w:p>
    <w:p>
      <w:pPr>
        <w:keepNext w:val="0"/>
        <w:keepLines w:val="0"/>
        <w:pageBreakBefore w:val="0"/>
        <w:kinsoku/>
        <w:wordWrap/>
        <w:overflowPunct/>
        <w:topLinePunct w:val="0"/>
        <w:autoSpaceDE/>
        <w:autoSpaceDN/>
        <w:bidi w:val="0"/>
        <w:spacing w:line="360" w:lineRule="auto"/>
        <w:ind w:right="25" w:rightChars="12"/>
        <w:textAlignment w:val="auto"/>
        <w:rPr>
          <w:rFonts w:ascii="宋体" w:hAnsi="宋体"/>
          <w:color w:val="auto"/>
          <w:szCs w:val="21"/>
          <w:highlight w:val="none"/>
        </w:rPr>
      </w:pPr>
    </w:p>
    <w:p>
      <w:pPr>
        <w:pStyle w:val="17"/>
        <w:keepNext w:val="0"/>
        <w:keepLines w:val="0"/>
        <w:pageBreakBefore w:val="0"/>
        <w:tabs>
          <w:tab w:val="left" w:pos="540"/>
        </w:tabs>
        <w:kinsoku/>
        <w:wordWrap/>
        <w:overflowPunct/>
        <w:topLinePunct w:val="0"/>
        <w:autoSpaceDE/>
        <w:autoSpaceDN/>
        <w:bidi w:val="0"/>
        <w:spacing w:line="360" w:lineRule="auto"/>
        <w:ind w:firstLine="420"/>
        <w:textAlignment w:val="auto"/>
        <w:rPr>
          <w:rFonts w:hAnsi="宋体"/>
          <w:b w:val="0"/>
          <w:bCs/>
          <w:color w:val="auto"/>
          <w:highlight w:val="none"/>
        </w:rPr>
      </w:pPr>
      <w:r>
        <w:rPr>
          <w:rFonts w:hint="eastAsia" w:hAnsi="宋体"/>
          <w:b w:val="0"/>
          <w:bCs/>
          <w:color w:val="auto"/>
          <w:highlight w:val="none"/>
        </w:rPr>
        <w:t>乙</w:t>
      </w:r>
      <w:r>
        <w:rPr>
          <w:rFonts w:hAnsi="宋体"/>
          <w:b w:val="0"/>
          <w:bCs/>
          <w:color w:val="auto"/>
          <w:highlight w:val="none"/>
        </w:rPr>
        <w:t xml:space="preserve">    </w:t>
      </w:r>
      <w:r>
        <w:rPr>
          <w:rFonts w:hint="eastAsia" w:hAnsi="宋体"/>
          <w:b w:val="0"/>
          <w:bCs/>
          <w:color w:val="auto"/>
          <w:highlight w:val="none"/>
        </w:rPr>
        <w:t>方：</w:t>
      </w:r>
      <w:r>
        <w:rPr>
          <w:rFonts w:hAnsi="宋体"/>
          <w:b w:val="0"/>
          <w:bCs/>
          <w:color w:val="auto"/>
          <w:highlight w:val="none"/>
        </w:rPr>
        <w:t xml:space="preserve"> </w:t>
      </w:r>
    </w:p>
    <w:p>
      <w:pPr>
        <w:pStyle w:val="17"/>
        <w:keepNext w:val="0"/>
        <w:keepLines w:val="0"/>
        <w:pageBreakBefore w:val="0"/>
        <w:tabs>
          <w:tab w:val="left" w:pos="540"/>
        </w:tabs>
        <w:kinsoku/>
        <w:wordWrap/>
        <w:overflowPunct/>
        <w:topLinePunct w:val="0"/>
        <w:autoSpaceDE/>
        <w:autoSpaceDN/>
        <w:bidi w:val="0"/>
        <w:spacing w:line="360" w:lineRule="auto"/>
        <w:ind w:firstLine="420"/>
        <w:textAlignment w:val="auto"/>
        <w:rPr>
          <w:rFonts w:hAnsi="宋体"/>
          <w:b w:val="0"/>
          <w:bCs/>
          <w:color w:val="auto"/>
          <w:highlight w:val="none"/>
        </w:rPr>
      </w:pPr>
      <w:r>
        <w:rPr>
          <w:rFonts w:hint="eastAsia" w:hAnsi="宋体"/>
          <w:b w:val="0"/>
          <w:bCs/>
          <w:color w:val="auto"/>
          <w:highlight w:val="none"/>
        </w:rPr>
        <w:t>统一社会信用代码：</w:t>
      </w:r>
    </w:p>
    <w:p>
      <w:pPr>
        <w:pStyle w:val="17"/>
        <w:keepNext w:val="0"/>
        <w:keepLines w:val="0"/>
        <w:pageBreakBefore w:val="0"/>
        <w:tabs>
          <w:tab w:val="left" w:pos="540"/>
        </w:tabs>
        <w:kinsoku/>
        <w:wordWrap/>
        <w:overflowPunct/>
        <w:topLinePunct w:val="0"/>
        <w:autoSpaceDE/>
        <w:autoSpaceDN/>
        <w:bidi w:val="0"/>
        <w:spacing w:line="360" w:lineRule="auto"/>
        <w:ind w:firstLine="420"/>
        <w:textAlignment w:val="auto"/>
        <w:rPr>
          <w:rFonts w:hAnsi="宋体"/>
          <w:b w:val="0"/>
          <w:bCs/>
          <w:color w:val="auto"/>
          <w:highlight w:val="none"/>
        </w:rPr>
      </w:pPr>
      <w:r>
        <w:rPr>
          <w:rFonts w:hint="eastAsia" w:hAnsi="宋体"/>
          <w:b w:val="0"/>
          <w:bCs/>
          <w:color w:val="auto"/>
          <w:highlight w:val="none"/>
        </w:rPr>
        <w:t>法定代表人：</w:t>
      </w:r>
      <w:r>
        <w:rPr>
          <w:rFonts w:hAnsi="宋体"/>
          <w:b w:val="0"/>
          <w:bCs/>
          <w:color w:val="auto"/>
          <w:highlight w:val="none"/>
        </w:rPr>
        <w:t xml:space="preserve"> </w:t>
      </w:r>
    </w:p>
    <w:p>
      <w:pPr>
        <w:pStyle w:val="17"/>
        <w:keepNext w:val="0"/>
        <w:keepLines w:val="0"/>
        <w:pageBreakBefore w:val="0"/>
        <w:tabs>
          <w:tab w:val="left" w:pos="540"/>
        </w:tabs>
        <w:kinsoku/>
        <w:wordWrap/>
        <w:overflowPunct/>
        <w:topLinePunct w:val="0"/>
        <w:autoSpaceDE/>
        <w:autoSpaceDN/>
        <w:bidi w:val="0"/>
        <w:spacing w:line="360" w:lineRule="auto"/>
        <w:ind w:firstLine="420"/>
        <w:textAlignment w:val="auto"/>
        <w:rPr>
          <w:rFonts w:hAnsi="宋体"/>
          <w:b w:val="0"/>
          <w:bCs/>
          <w:color w:val="auto"/>
          <w:highlight w:val="none"/>
        </w:rPr>
      </w:pPr>
      <w:r>
        <w:rPr>
          <w:rFonts w:hint="eastAsia" w:hAnsi="宋体"/>
          <w:b w:val="0"/>
          <w:bCs/>
          <w:color w:val="auto"/>
          <w:highlight w:val="none"/>
        </w:rPr>
        <w:t>地址：</w:t>
      </w:r>
      <w:r>
        <w:rPr>
          <w:rFonts w:hAnsi="宋体"/>
          <w:b w:val="0"/>
          <w:bCs/>
          <w:color w:val="auto"/>
          <w:highlight w:val="none"/>
        </w:rPr>
        <w:t xml:space="preserve"> </w:t>
      </w:r>
    </w:p>
    <w:p>
      <w:pPr>
        <w:keepNext w:val="0"/>
        <w:keepLines w:val="0"/>
        <w:pageBreakBefore w:val="0"/>
        <w:kinsoku/>
        <w:wordWrap/>
        <w:overflowPunct/>
        <w:topLinePunct w:val="0"/>
        <w:autoSpaceDE/>
        <w:autoSpaceDN/>
        <w:bidi w:val="0"/>
        <w:spacing w:line="360" w:lineRule="auto"/>
        <w:ind w:right="25" w:rightChars="12" w:firstLine="359" w:firstLineChars="171"/>
        <w:textAlignment w:val="auto"/>
        <w:rPr>
          <w:rFonts w:ascii="宋体" w:hAnsi="宋体" w:cs="宋体"/>
          <w:color w:val="auto"/>
          <w:szCs w:val="21"/>
          <w:highlight w:val="none"/>
        </w:rPr>
      </w:pP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根据《中华人民共和国民法典》及有关法律法规、采购文件、中标通知书等相关资料的要求，经双方协商一致，签订本合同，共同遵守如下条款。</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bCs/>
          <w:color w:val="auto"/>
          <w:szCs w:val="21"/>
          <w:highlight w:val="none"/>
        </w:rPr>
      </w:pPr>
      <w:r>
        <w:rPr>
          <w:rFonts w:hint="eastAsia" w:ascii="宋体" w:hAnsi="宋体" w:cs="宋体"/>
          <w:b/>
          <w:bCs/>
          <w:color w:val="auto"/>
          <w:szCs w:val="21"/>
          <w:highlight w:val="none"/>
        </w:rPr>
        <w:t>一、定义</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（一）“合同”指本合同及其附件。</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合同单价”包括已包含实施过程及安全设施、所有技术人员的工勤费用（包括工资、福利、交通、食宿、通讯等费用）、机械设备费、运输费、人工费、安装调试费、五金配件费、二次搬运费、材料费、管理费、利润、税金等乙方履行本合同所需的所有费用。</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（三）“货物” 指本合同项下乙方须向甲方提供的</w:t>
      </w:r>
      <w:r>
        <w:rPr>
          <w:rFonts w:hint="eastAsia" w:ascii="宋体" w:hAnsi="宋体" w:eastAsia="宋体" w:cs="宋体"/>
          <w:color w:val="auto"/>
          <w:sz w:val="21"/>
          <w:szCs w:val="21"/>
          <w:highlight w:val="none"/>
          <w:u w:val="single"/>
        </w:rPr>
        <w:t>窗帘（详见清单）</w:t>
      </w:r>
      <w:r>
        <w:rPr>
          <w:rFonts w:hint="eastAsia" w:ascii="宋体" w:hAnsi="宋体" w:eastAsia="宋体" w:cs="宋体"/>
          <w:color w:val="auto"/>
          <w:sz w:val="21"/>
          <w:szCs w:val="21"/>
          <w:highlight w:val="none"/>
        </w:rPr>
        <w:t>。</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（四）“服务”指根据合同规定乙方应提供的保证甲方所购货物正常使用所必需的有关运输、交货、安装、调试、技术支持、售后服务等一切服务。</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（五）除有特殊说明外，“天”、“日”均指日历日。</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color w:val="auto"/>
          <w:szCs w:val="21"/>
          <w:highlight w:val="none"/>
        </w:rPr>
      </w:pPr>
      <w:r>
        <w:rPr>
          <w:rFonts w:hint="eastAsia" w:ascii="宋体" w:hAnsi="宋体" w:cs="宋体"/>
          <w:b/>
          <w:color w:val="auto"/>
          <w:szCs w:val="21"/>
          <w:highlight w:val="none"/>
        </w:rPr>
        <w:t>二、合同文件</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以下文件是本合同不可分割的组成部分，如果不同文件的条款之间有冲突，文件之间的优先效力顺序如下：</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（一）本合同及其附件；</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（二）中标通知书（含乙方承诺函等）；</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（三）乙方提供的投标文件（含澄清文件、报价及承诺等）；</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（四）甲方发出的采购文件（含采购补充文件等）。</w:t>
      </w:r>
      <w:bookmarkStart w:id="95" w:name="_Toc250708452"/>
      <w:bookmarkStart w:id="96" w:name="_Toc237831671"/>
      <w:bookmarkStart w:id="97" w:name="_Toc250619424"/>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color w:val="auto"/>
          <w:szCs w:val="21"/>
          <w:highlight w:val="none"/>
        </w:rPr>
      </w:pPr>
      <w:r>
        <w:rPr>
          <w:rFonts w:hint="eastAsia" w:ascii="宋体" w:hAnsi="宋体" w:cs="宋体"/>
          <w:b/>
          <w:color w:val="auto"/>
          <w:szCs w:val="21"/>
          <w:highlight w:val="none"/>
        </w:rPr>
        <w:t>三、</w:t>
      </w:r>
      <w:bookmarkEnd w:id="95"/>
      <w:bookmarkEnd w:id="96"/>
      <w:bookmarkEnd w:id="97"/>
      <w:r>
        <w:rPr>
          <w:rFonts w:hint="eastAsia" w:ascii="宋体" w:hAnsi="宋体" w:cs="宋体"/>
          <w:b/>
          <w:color w:val="auto"/>
          <w:szCs w:val="21"/>
          <w:highlight w:val="none"/>
        </w:rPr>
        <w:t>合同金额及</w:t>
      </w:r>
      <w:r>
        <w:rPr>
          <w:rFonts w:hint="eastAsia" w:ascii="宋体" w:hAnsi="宋体" w:cs="宋体"/>
          <w:b/>
          <w:bCs/>
          <w:color w:val="auto"/>
          <w:szCs w:val="21"/>
          <w:highlight w:val="none"/>
        </w:rPr>
        <w:t>付款</w:t>
      </w:r>
      <w:r>
        <w:rPr>
          <w:rFonts w:hint="eastAsia" w:ascii="宋体" w:hAnsi="宋体" w:cs="宋体"/>
          <w:b/>
          <w:color w:val="auto"/>
          <w:szCs w:val="21"/>
          <w:highlight w:val="none"/>
        </w:rPr>
        <w:t>方式</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（一）合同含税总价款为¥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元（大写人民币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）；其中：增值税税率：</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%，税金金额¥</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元，不含税合同总价款为¥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付款方式：乙方按照甲方要求将货物分批运至甲方指定地点，开箱验收合格后，提交请款资料，经甲方审核无误，支付该批货物总价款的60%；项目完成并验收合格后，乙方提交请款资料，经甲方审核无误，支付至合同总价款的97%，结算价余款 3%作为质保金，自结算之日起保修期满，如无质量服务问题无息支付3%给乙方。</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（三）甲方有权根据项目实际需求情况调整采购数量，最终按实际供货数量结算，合同内中标综合单价不因任何原因调整。</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每次付款前，乙方必须提供等额合法有效、与合同条款中增值税税率一致的增值税专用发票给甲方，否则甲方有权拒绝付款且不构成违约；在甲方除支付质保金外的最后一期款项前，乙方须连同当期支付款项发票和质保金一并提交甲方；若后续出现质保问题，按照质保责任和条款，部分或全部扣除质保金的，不退还相应金额的发票。若合同执行期间，遇国家税务政策调整年引起的合同价格变化，按照不含税价格调整结算价格。若乙方提供的发票不合格的，甲方有权要求乙方重新开具合格发票，给甲方造成损失的，乙方应赔偿甲方全部损失。</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合同价为总价包干，应包括本次采购所有服务内容的费用，包括但不限于：窗帘面料、导轨及所有配件的制造、采购、包装、运输、二次搬运、装卸、仓储、现场保管、检测、税费、管理费、利润、市场价格变化风险、保修期内维修等完成本项目直至验收合格投入使用所需的所有费用。甲方无需再额外支付任何费用。</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（六）本协议项下款项支付至乙方指定的以下帐户：</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开户名称： </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开户银行： </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    号：</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乙方对上述账户信息的准确性和可用性承担全部责任，若上述账户信息发生任何变化，乙方应提前【7】个工作日书面通知甲方，否则甲方不对乙方未能收到或迟延收到任何款项承担责任。</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color w:val="auto"/>
          <w:szCs w:val="21"/>
          <w:highlight w:val="none"/>
        </w:rPr>
      </w:pPr>
      <w:r>
        <w:rPr>
          <w:rFonts w:hint="eastAsia" w:ascii="宋体" w:hAnsi="宋体" w:cs="宋体"/>
          <w:b/>
          <w:color w:val="auto"/>
          <w:szCs w:val="21"/>
          <w:highlight w:val="none"/>
        </w:rPr>
        <w:t>四、</w:t>
      </w:r>
      <w:r>
        <w:rPr>
          <w:rFonts w:hint="eastAsia" w:ascii="宋体" w:hAnsi="宋体" w:cs="宋体"/>
          <w:b/>
          <w:bCs/>
          <w:color w:val="auto"/>
          <w:szCs w:val="21"/>
          <w:highlight w:val="none"/>
        </w:rPr>
        <w:t>质保</w:t>
      </w:r>
      <w:r>
        <w:rPr>
          <w:rFonts w:hint="eastAsia" w:ascii="宋体" w:hAnsi="宋体" w:cs="宋体"/>
          <w:b/>
          <w:color w:val="auto"/>
          <w:szCs w:val="21"/>
          <w:highlight w:val="none"/>
        </w:rPr>
        <w:t>期</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（一）保修期限：免费保修期自全部货物安装调试验收合格之日起计算，整体保修3年。</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（二）保修期服务：保修期内，产品出现脱钩、拉不动、面料破损（非人为）等问题，乙方须在接到通知后2小时内响应，24小时内派员抵达现场处理。48小时内无法修复的，须无条件更换同规格新品。</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（三）逾期响应处理：若乙方未在规定时限内响应或完成维修、更换，甲方有权自行或委托第三方进行维修、更换，所产生的一切费用由乙方承担。</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bCs/>
          <w:color w:val="auto"/>
          <w:szCs w:val="21"/>
          <w:highlight w:val="none"/>
        </w:rPr>
      </w:pPr>
      <w:r>
        <w:rPr>
          <w:rFonts w:hint="eastAsia" w:ascii="宋体" w:hAnsi="宋体" w:cs="宋体"/>
          <w:b/>
          <w:bCs/>
          <w:color w:val="auto"/>
          <w:szCs w:val="21"/>
          <w:highlight w:val="none"/>
        </w:rPr>
        <w:t>五、供货要求</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（一）样板房供货要求：乙方须在合同签订后接到甲方通知10日内完成3个户型精装样板房窗帘的供货、安装及调试工作，并经甲方验收合格。</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（二）整体供货要求：乙方须根据项目现场整体施工进度，配合甲方书面通知的要求，分批次完成全部货物的进场、安装、调试及验收工作。</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（三）现场复尺：乙方在批量生产前必须逐户进行现场复尺，并根据实际复尺数据下单生产。因乙方未复尺或复尺错误导致的尺寸不符、无法安装等问题，由乙方免费重新制作并承担工期延误责任。</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（四）异形窗处理：若现场窗户存在斜顶、异形，乙方须根据现场实测尺寸进行定制切割或拼接，保证美观，不得以异形为由拒绝安装或要求增加费用。</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（五）避让原则：安装时需避让空调管道、消防喷头、灯具等设施，如遇导轨长度需裁切，切口须打磨光滑并涂防锈漆。所有切割作业应在场外完成，严禁在已装修的房间内进行产生大量粉尘的切割作业。</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甲方负责协调落实货物在建设工地的临时存放场地，乙方须自行负责货物的保管、看管工作，期间发生的货物毁损、灭失风险由乙方承担。乙方须自行负责货物的防潮、防污、防盗工作。改造项目现场环境复杂（可能存在粉尘、其他施工单位交叉作业），乙方须采用防水防尘包装，若因包装不当或保管不善造成货物受损，由乙方自行承担。</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成品保护：自货物运抵现场至最终验收合格并交付使用前，乙方须负责全部货物的成品保护工作。安装过程中，乙方须对现场已完成的装修面（墙面、地面、天花）采取保护措施（如铺设保护膜、使用梯脚套等）。若因安装导致墙体开裂、涂料污染、地砖刮花，乙方须负责原样修复并承担相关费用，且工期不予顺延。</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bCs/>
          <w:color w:val="auto"/>
          <w:szCs w:val="21"/>
          <w:highlight w:val="none"/>
        </w:rPr>
      </w:pPr>
      <w:r>
        <w:rPr>
          <w:rFonts w:hint="eastAsia" w:ascii="宋体" w:hAnsi="宋体" w:cs="宋体"/>
          <w:b/>
          <w:bCs/>
          <w:color w:val="auto"/>
          <w:szCs w:val="21"/>
          <w:highlight w:val="none"/>
        </w:rPr>
        <w:t>六、知识产权</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保证其提供的产品及服务不侵犯任何第三方的专利权、商标权、著作权或其他知识产权。如因第三方提出侵权之诉，一切法律责任及由此产生的费用（包括但不限于赔偿金、诉讼费、律师费、差旅费等）均由乙方承担，并赔偿因此给甲方造成的全部损失。</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bCs/>
          <w:color w:val="auto"/>
          <w:szCs w:val="21"/>
          <w:highlight w:val="none"/>
        </w:rPr>
      </w:pPr>
      <w:r>
        <w:rPr>
          <w:rFonts w:hint="eastAsia" w:ascii="宋体" w:hAnsi="宋体" w:cs="宋体"/>
          <w:b/>
          <w:bCs/>
          <w:color w:val="auto"/>
          <w:szCs w:val="21"/>
          <w:highlight w:val="none"/>
        </w:rPr>
        <w:t>七、验收标准</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（一）验收依据：所有货物及服务质量须符合国家现行强制性标准、行业标准及本用户需求书的技术参数要求。主要遵循的标准包括但不限于：GB 18401-2010《国家纺织产品基本安全技术规范》、GB/T 5450-2014《纺织品 遮光性能的测定》、GB 8624-2012《建筑材料及制品燃烧性能分级》等。</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（二）验收程序</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2.1开箱验收：货物到达现场后，采购人、监理单位（如有）、中标人共同开箱检验，核对品牌、型号、规格、数量、色差、外观质量及随机备件。如发现破损、受潮、色差明显等问题，当场记录并限期更换。</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xml:space="preserve">    2.2 安装过程监督：采购人或监理有权对安装过程进行抽查，重点检查：导轨安装码间距是否≤600mm；膨胀螺栓是否打入实体结构，锚固深度是否足够；空心砖墙体是否采取加固措施（如穿墙螺杆、对穿螺丝加垫片等）；安装过程是否对墙面、地面造成污染或损坏。</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rPr>
        <w:t xml:space="preserve">   2.3竣工验收</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全部货物安装调试完毕后，由采购人组织监理、总包单位进行综合验收。验收内容包括：</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（1）导轨安装质量</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牢固度：用手扳动导轨无明显晃动，单个安装码承受20kg拉力无松动；</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水平度：使用水平尺检查，每米偏差≤2mm；</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直线度：目测无明显弯曲，拉线检查每米偏差≤3mm；</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与墙面贴合度：明装导轨背部应与墙面紧密贴合，局部缝隙≤2mm（因墙面不平整导致的缝隙需用密封胶或装饰条处理）；</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装饰盖：所有安装码螺丝必须安装装饰盖，外观整洁。</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（2）窗帘安装质量</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褶皱均匀度：2倍褶皱，褶皱间距一致，自然下垂无扭曲；</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离地高度：窗帘下摆离地高度一致，误差≤5mm；</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拉伸顺滑度：手动开合顺畅，无卡顿、无脱轨；</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拼接外观：多幅拼接的窗帘，拼缝处图案对齐，无明显色差。</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（3）功能与性能</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遮光率测试：随机抽取窗帘在自然光下观察，无明显漏光点；</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导轨承重测试：在导轨上均匀悬挂额定重量（每米25kg），静置24小时，导轨无明显变形，滑轮仍能顺畅滑动。</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（三）第三方抽检</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有权委托具有资质的第三方检测机构对货物进行随机抽样检测，检测项目包括但不限于：甲醛含量、PH值、耐光色牢度、阻燃性能、遮光率、导轨壁厚及承重能力。若检测结果不合格，乙方须承担检测费、退换货费用、工期延误损失，并接受甲方根据合同条款进行的处罚。</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hint="eastAsia" w:ascii="宋体" w:hAnsi="宋体" w:cs="宋体"/>
          <w:b/>
          <w:bCs/>
          <w:color w:val="auto"/>
          <w:szCs w:val="21"/>
          <w:highlight w:val="none"/>
        </w:rPr>
      </w:pPr>
      <w:r>
        <w:rPr>
          <w:rFonts w:hint="eastAsia" w:ascii="宋体" w:hAnsi="宋体" w:cs="宋体"/>
          <w:b/>
          <w:bCs/>
          <w:color w:val="auto"/>
          <w:szCs w:val="21"/>
          <w:highlight w:val="none"/>
        </w:rPr>
        <w:t>八、保险与安全</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乙方须在合同签订后10个工作日内，为本项目现场作业人员办理意外伤害保险并支付保险费，保险期限自合同签订之日起至本项目最终验收合格之日止。</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乙方对其派出人员的安全负全部责任，施工期间应严格遵守施工现场安全管理规定，因乙方原因造成的人员伤亡或财产损失，由乙方承担全部法律责任及经济赔偿。</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hint="eastAsia" w:ascii="宋体" w:hAnsi="宋体" w:cs="宋体"/>
          <w:b/>
          <w:bCs/>
          <w:color w:val="auto"/>
          <w:szCs w:val="21"/>
          <w:highlight w:val="none"/>
        </w:rPr>
      </w:pPr>
      <w:r>
        <w:rPr>
          <w:rFonts w:hint="eastAsia" w:ascii="宋体" w:hAnsi="宋体" w:cs="宋体"/>
          <w:b/>
          <w:bCs/>
          <w:color w:val="auto"/>
          <w:szCs w:val="21"/>
          <w:highlight w:val="none"/>
        </w:rPr>
        <w:t>九、违约责任</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逾期交货或安装的违约责任：每逾期一日，应按逾期交付货物对应价款的千分之五向甲方支付违约金。逾期超过15日的，甲方有权单方解除合同，乙方除支付违约金外，还应退还已收取的全部款项，并赔偿因此给甲方造成的全部损失。</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量不合格的违约责任：若货物质量不符合合同约定，甲方有权要求乙方限期更换或退货，乙方承担由此产生的全部费用及工期延误责任。若同一批次产品出现3次以上（含3次）验收不合格，或经第三方检测不合格，甲方有权解除合同，乙方应退还已收取的全部款项，并按合同总价的20%向甲方支付违约金。</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擅自转包或分包的违约责任：乙方不得将本合同项下义务转包或分包给第三方，否则甲方有权解除合同，乙方应退还已收取的全部款项，并按合同总价的20%向甲方支付违约金。</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甲方逾期付款的违约责任：每逾期一日，应按应付未付款项的万分之五向乙方支付违约金。</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任何一方违反合同约定，给对方造成损失的，违约方应赔偿对方全部损失，包括但不限于直接经济损失、可得利益损失、诉讼费、律师费、保全费、鉴定费等。</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color w:val="auto"/>
          <w:szCs w:val="21"/>
          <w:highlight w:val="none"/>
        </w:rPr>
      </w:pPr>
      <w:r>
        <w:rPr>
          <w:rFonts w:hint="eastAsia" w:ascii="宋体" w:hAnsi="宋体" w:cs="宋体"/>
          <w:b/>
          <w:color w:val="auto"/>
          <w:szCs w:val="21"/>
          <w:highlight w:val="none"/>
        </w:rPr>
        <w:t>十、协议争议的</w:t>
      </w:r>
      <w:r>
        <w:rPr>
          <w:rFonts w:hint="eastAsia" w:ascii="宋体" w:hAnsi="宋体" w:cs="宋体"/>
          <w:b/>
          <w:bCs/>
          <w:color w:val="auto"/>
          <w:szCs w:val="21"/>
          <w:highlight w:val="none"/>
        </w:rPr>
        <w:t>解决</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本协议履行中发生争议，可由双方协商解决，协商不成，可按以下第（二）种方式解决：</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b w:val="0"/>
          <w:bCs/>
          <w:color w:val="auto"/>
          <w:kern w:val="0"/>
          <w:sz w:val="21"/>
          <w:szCs w:val="21"/>
          <w:highlight w:val="none"/>
        </w:rPr>
      </w:pPr>
      <w:r>
        <w:rPr>
          <w:rFonts w:hint="eastAsia" w:ascii="宋体" w:hAnsi="宋体" w:eastAsia="宋体" w:cs="宋体"/>
          <w:color w:val="auto"/>
          <w:sz w:val="21"/>
          <w:szCs w:val="21"/>
          <w:highlight w:val="none"/>
        </w:rPr>
        <w:t>（一）仲裁。</w:t>
      </w:r>
      <w:r>
        <w:rPr>
          <w:rFonts w:hint="eastAsia" w:ascii="宋体" w:hAnsi="宋体" w:cs="宋体"/>
          <w:b w:val="0"/>
          <w:bCs/>
          <w:color w:val="auto"/>
          <w:kern w:val="0"/>
          <w:sz w:val="21"/>
          <w:szCs w:val="21"/>
          <w:highlight w:val="none"/>
        </w:rPr>
        <w:t>提交</w:t>
      </w:r>
      <w:r>
        <w:rPr>
          <w:rFonts w:hint="eastAsia" w:ascii="宋体" w:hAnsi="宋体" w:cs="宋体"/>
          <w:b w:val="0"/>
          <w:bCs/>
          <w:color w:val="auto"/>
          <w:kern w:val="0"/>
          <w:sz w:val="21"/>
          <w:szCs w:val="21"/>
          <w:highlight w:val="none"/>
          <w:u w:val="single"/>
        </w:rPr>
        <w:t xml:space="preserve">           </w:t>
      </w:r>
      <w:r>
        <w:rPr>
          <w:rFonts w:hint="eastAsia" w:ascii="宋体" w:hAnsi="宋体" w:cs="宋体"/>
          <w:b w:val="0"/>
          <w:bCs/>
          <w:color w:val="auto"/>
          <w:kern w:val="0"/>
          <w:sz w:val="21"/>
          <w:szCs w:val="21"/>
          <w:highlight w:val="none"/>
        </w:rPr>
        <w:t>（仲裁机构全称）按其仲裁规则进行仲裁。</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b w:val="0"/>
          <w:bCs/>
          <w:color w:val="auto"/>
          <w:kern w:val="0"/>
          <w:sz w:val="21"/>
          <w:szCs w:val="21"/>
          <w:highlight w:val="none"/>
        </w:rPr>
      </w:pPr>
      <w:r>
        <w:rPr>
          <w:rFonts w:hint="eastAsia" w:ascii="宋体" w:hAnsi="宋体" w:cs="宋体"/>
          <w:b w:val="0"/>
          <w:bCs/>
          <w:color w:val="auto"/>
          <w:kern w:val="0"/>
          <w:sz w:val="21"/>
          <w:szCs w:val="21"/>
          <w:highlight w:val="none"/>
        </w:rPr>
        <w:t>（二）诉讼。由</w:t>
      </w:r>
      <w:r>
        <w:rPr>
          <w:rFonts w:hint="eastAsia" w:ascii="宋体" w:hAnsi="宋体" w:cs="宋体"/>
          <w:b w:val="0"/>
          <w:bCs/>
          <w:color w:val="auto"/>
          <w:kern w:val="0"/>
          <w:sz w:val="21"/>
          <w:szCs w:val="21"/>
          <w:highlight w:val="none"/>
          <w:u w:val="single"/>
        </w:rPr>
        <w:t>甲方所在</w:t>
      </w:r>
      <w:r>
        <w:rPr>
          <w:rFonts w:hint="eastAsia" w:ascii="宋体" w:hAnsi="宋体" w:cs="宋体"/>
          <w:b w:val="0"/>
          <w:bCs/>
          <w:color w:val="auto"/>
          <w:kern w:val="0"/>
          <w:sz w:val="21"/>
          <w:szCs w:val="21"/>
          <w:highlight w:val="none"/>
        </w:rPr>
        <w:t>地人民法院管辖。</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b w:val="0"/>
          <w:bCs/>
          <w:color w:val="auto"/>
          <w:kern w:val="0"/>
          <w:sz w:val="21"/>
          <w:szCs w:val="21"/>
          <w:highlight w:val="none"/>
        </w:rPr>
      </w:pPr>
      <w:r>
        <w:rPr>
          <w:rFonts w:hint="eastAsia" w:ascii="宋体" w:hAnsi="宋体" w:cs="宋体"/>
          <w:b w:val="0"/>
          <w:bCs/>
          <w:color w:val="auto"/>
          <w:kern w:val="0"/>
          <w:sz w:val="21"/>
          <w:szCs w:val="21"/>
          <w:highlight w:val="none"/>
        </w:rPr>
        <w:t>在仲裁或诉讼期间，本协议不涉及争议的条款仍须履行。</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color w:val="auto"/>
          <w:szCs w:val="21"/>
          <w:highlight w:val="none"/>
        </w:rPr>
      </w:pPr>
      <w:r>
        <w:rPr>
          <w:rFonts w:hint="eastAsia" w:ascii="宋体" w:hAnsi="宋体" w:cs="宋体"/>
          <w:b/>
          <w:color w:val="auto"/>
          <w:szCs w:val="21"/>
          <w:highlight w:val="none"/>
        </w:rPr>
        <w:t>十一、不可抗力</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（一）由于发生不能预见、不能避免并不能克服的不可抗力情形，致使直接影响合同的履行或不能按照合同项下之约定履行时，遇有不可抗力的一方应当立即书面通知对方，并在发生不可抗力之日起</w:t>
      </w:r>
      <w:r>
        <w:rPr>
          <w:rFonts w:ascii="宋体" w:hAnsi="宋体" w:cs="宋体"/>
          <w:color w:val="auto"/>
          <w:sz w:val="21"/>
          <w:szCs w:val="21"/>
          <w:highlight w:val="none"/>
          <w:u w:val="single"/>
        </w:rPr>
        <w:t>10</w:t>
      </w:r>
      <w:r>
        <w:rPr>
          <w:rFonts w:hint="eastAsia" w:ascii="宋体" w:hAnsi="宋体" w:cs="宋体"/>
          <w:color w:val="auto"/>
          <w:sz w:val="21"/>
          <w:szCs w:val="21"/>
          <w:highlight w:val="none"/>
          <w:u w:val="single"/>
        </w:rPr>
        <w:t>天内</w:t>
      </w:r>
      <w:r>
        <w:rPr>
          <w:rFonts w:hint="eastAsia" w:ascii="宋体" w:hAnsi="宋体" w:cs="宋体"/>
          <w:color w:val="auto"/>
          <w:sz w:val="21"/>
          <w:szCs w:val="21"/>
          <w:highlight w:val="none"/>
        </w:rPr>
        <w:t>，提供不可抗力详情及协议不能履行或部分不能履行，或需要延期履行理由的有效书面证明，该项证明文件应当由不可抗力发生地的公证机关出具。</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（二）根据不可抗力对协议的影响程度，双方应当协商是否解除本协议或部分、全部免除履行本协议的责任，或延期履行协议。</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ascii="宋体" w:hAnsi="宋体" w:cs="宋体"/>
          <w:b/>
          <w:color w:val="auto"/>
          <w:szCs w:val="21"/>
          <w:highlight w:val="none"/>
        </w:rPr>
      </w:pPr>
      <w:r>
        <w:rPr>
          <w:rFonts w:hint="eastAsia" w:ascii="宋体" w:hAnsi="宋体" w:cs="宋体"/>
          <w:b/>
          <w:color w:val="auto"/>
          <w:szCs w:val="21"/>
          <w:highlight w:val="none"/>
        </w:rPr>
        <w:t>十二、协议的转让、</w:t>
      </w:r>
      <w:r>
        <w:rPr>
          <w:rFonts w:hint="eastAsia" w:ascii="宋体" w:hAnsi="宋体" w:cs="宋体"/>
          <w:b/>
          <w:bCs/>
          <w:color w:val="auto"/>
          <w:szCs w:val="21"/>
          <w:highlight w:val="none"/>
        </w:rPr>
        <w:t>更改</w:t>
      </w:r>
      <w:r>
        <w:rPr>
          <w:rFonts w:hint="eastAsia" w:ascii="宋体" w:hAnsi="宋体" w:cs="宋体"/>
          <w:b/>
          <w:color w:val="auto"/>
          <w:szCs w:val="21"/>
          <w:highlight w:val="none"/>
        </w:rPr>
        <w:t>及终止</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（一）合同双方都不得单方面修改合同内容。拟修改合同内容的一方应当就修改事项列明拟修改条款后以书面形式通知对方，双方协商同意后，应就修改条款签订补充合同。补充合同必须经双方</w:t>
      </w:r>
      <w:r>
        <w:rPr>
          <w:rFonts w:hint="eastAsia" w:ascii="宋体" w:hAnsi="宋体" w:eastAsia="宋体" w:cs="宋体"/>
          <w:color w:val="auto"/>
          <w:sz w:val="21"/>
          <w:szCs w:val="21"/>
          <w:highlight w:val="none"/>
        </w:rPr>
        <w:t>法定</w:t>
      </w:r>
      <w:r>
        <w:rPr>
          <w:rFonts w:hint="eastAsia" w:ascii="宋体" w:hAnsi="宋体" w:cs="宋体"/>
          <w:color w:val="auto"/>
          <w:sz w:val="21"/>
          <w:szCs w:val="21"/>
          <w:highlight w:val="none"/>
        </w:rPr>
        <w:t>代表人或授权代理人签字并加盖公章后方可生效。补充合同为本合同的组成部分，一经签署即具有法律效力，且与本合同具有同等法律效力。</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（二）未经甲方书面</w:t>
      </w:r>
      <w:r>
        <w:rPr>
          <w:rFonts w:hint="eastAsia" w:ascii="宋体" w:hAnsi="宋体" w:eastAsia="宋体" w:cs="宋体"/>
          <w:color w:val="auto"/>
          <w:sz w:val="21"/>
          <w:szCs w:val="21"/>
          <w:highlight w:val="none"/>
        </w:rPr>
        <w:t>同意</w:t>
      </w:r>
      <w:r>
        <w:rPr>
          <w:rFonts w:hint="eastAsia" w:ascii="宋体" w:hAnsi="宋体" w:cs="宋体"/>
          <w:color w:val="auto"/>
          <w:sz w:val="21"/>
          <w:szCs w:val="21"/>
          <w:highlight w:val="none"/>
        </w:rPr>
        <w:t>，乙方不得将本合同规定的权利和义务转让给第三方或委托第三方代理。</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（三）合同有效期内，乙方如发生资产重组、并购等情形时，应在工商变更登记之日前7个工作日内以书面形式通知甲方，并保证上述情形不会影响本合同的正常履行。</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hint="eastAsia" w:ascii="宋体" w:hAnsi="宋体" w:cs="宋体"/>
          <w:b/>
          <w:bCs/>
          <w:color w:val="auto"/>
          <w:szCs w:val="21"/>
          <w:highlight w:val="none"/>
        </w:rPr>
      </w:pPr>
      <w:r>
        <w:rPr>
          <w:rFonts w:hint="eastAsia" w:ascii="宋体" w:hAnsi="宋体" w:cs="宋体"/>
          <w:b/>
          <w:bCs/>
          <w:color w:val="auto"/>
          <w:szCs w:val="21"/>
          <w:highlight w:val="none"/>
        </w:rPr>
        <w:t>十三、其他约定事项</w:t>
      </w:r>
    </w:p>
    <w:p>
      <w:pPr>
        <w:pStyle w:val="14"/>
        <w:keepNext w:val="0"/>
        <w:keepLines w:val="0"/>
        <w:pageBreakBefore w:val="0"/>
        <w:kinsoku/>
        <w:wordWrap/>
        <w:overflowPunct/>
        <w:topLinePunct w:val="0"/>
        <w:autoSpaceDE/>
        <w:autoSpaceDN/>
        <w:bidi w:val="0"/>
        <w:spacing w:line="360" w:lineRule="auto"/>
        <w:ind w:right="2" w:rightChars="1"/>
        <w:textAlignment w:val="auto"/>
        <w:rPr>
          <w:rFonts w:cs="宋体"/>
          <w:color w:val="auto"/>
          <w:szCs w:val="21"/>
          <w:highlight w:val="none"/>
          <w:u w:val="single"/>
        </w:rPr>
      </w:pPr>
      <w:r>
        <w:rPr>
          <w:rFonts w:hint="eastAsia" w:cs="宋体"/>
          <w:color w:val="auto"/>
          <w:szCs w:val="21"/>
          <w:highlight w:val="none"/>
        </w:rPr>
        <w:t>（一）</w:t>
      </w:r>
      <w:r>
        <w:rPr>
          <w:rFonts w:hint="eastAsia" w:cs="宋体"/>
          <w:color w:val="auto"/>
          <w:szCs w:val="21"/>
          <w:highlight w:val="none"/>
          <w:u w:val="single"/>
        </w:rPr>
        <w:t xml:space="preserve">  如有               ；</w:t>
      </w:r>
    </w:p>
    <w:p>
      <w:pPr>
        <w:pStyle w:val="14"/>
        <w:keepNext w:val="0"/>
        <w:keepLines w:val="0"/>
        <w:pageBreakBefore w:val="0"/>
        <w:kinsoku/>
        <w:wordWrap/>
        <w:overflowPunct/>
        <w:topLinePunct w:val="0"/>
        <w:autoSpaceDE/>
        <w:autoSpaceDN/>
        <w:bidi w:val="0"/>
        <w:spacing w:line="360" w:lineRule="auto"/>
        <w:ind w:right="2" w:rightChars="1"/>
        <w:textAlignment w:val="auto"/>
        <w:rPr>
          <w:rFonts w:cs="宋体"/>
          <w:color w:val="auto"/>
          <w:szCs w:val="21"/>
          <w:highlight w:val="none"/>
        </w:rPr>
      </w:pPr>
      <w:r>
        <w:rPr>
          <w:rFonts w:hint="eastAsia" w:cs="宋体"/>
          <w:color w:val="auto"/>
          <w:szCs w:val="21"/>
          <w:highlight w:val="none"/>
        </w:rPr>
        <w:t>（二）</w:t>
      </w:r>
      <w:r>
        <w:rPr>
          <w:rFonts w:hint="eastAsia" w:cs="宋体"/>
          <w:color w:val="auto"/>
          <w:szCs w:val="21"/>
          <w:highlight w:val="none"/>
          <w:u w:val="single"/>
        </w:rPr>
        <w:t xml:space="preserve">    </w:t>
      </w:r>
      <w:r>
        <w:rPr>
          <w:rFonts w:cs="宋体"/>
          <w:color w:val="auto"/>
          <w:szCs w:val="21"/>
          <w:highlight w:val="none"/>
          <w:u w:val="single"/>
        </w:rPr>
        <w:t xml:space="preserve">       </w:t>
      </w:r>
      <w:r>
        <w:rPr>
          <w:rFonts w:hint="eastAsia" w:cs="宋体"/>
          <w:color w:val="auto"/>
          <w:szCs w:val="21"/>
          <w:highlight w:val="none"/>
          <w:u w:val="single"/>
        </w:rPr>
        <w:t xml:space="preserve">          。</w:t>
      </w:r>
    </w:p>
    <w:p>
      <w:pPr>
        <w:keepNext w:val="0"/>
        <w:keepLines w:val="0"/>
        <w:pageBreakBefore w:val="0"/>
        <w:tabs>
          <w:tab w:val="left" w:pos="588"/>
        </w:tabs>
        <w:kinsoku/>
        <w:wordWrap/>
        <w:overflowPunct/>
        <w:topLinePunct w:val="0"/>
        <w:autoSpaceDE/>
        <w:autoSpaceDN/>
        <w:bidi w:val="0"/>
        <w:spacing w:line="360" w:lineRule="auto"/>
        <w:ind w:firstLine="482"/>
        <w:textAlignment w:val="auto"/>
        <w:rPr>
          <w:rFonts w:hint="eastAsia" w:ascii="宋体" w:hAnsi="宋体" w:cs="宋体"/>
          <w:b/>
          <w:bCs/>
          <w:color w:val="auto"/>
          <w:szCs w:val="21"/>
          <w:highlight w:val="none"/>
        </w:rPr>
      </w:pPr>
      <w:r>
        <w:rPr>
          <w:rFonts w:hint="eastAsia" w:ascii="宋体" w:hAnsi="宋体" w:cs="宋体"/>
          <w:b/>
          <w:bCs/>
          <w:color w:val="auto"/>
          <w:szCs w:val="21"/>
          <w:highlight w:val="none"/>
        </w:rPr>
        <w:t>十四、协议的生效及其他</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（一）本合同经双方法定代表人或授权代理人签字并加盖公章后生效，协议一式</w:t>
      </w:r>
      <w:r>
        <w:rPr>
          <w:rFonts w:hint="eastAsia" w:ascii="宋体" w:hAnsi="宋体" w:eastAsia="宋体" w:cs="宋体"/>
          <w:color w:val="auto"/>
          <w:sz w:val="21"/>
          <w:szCs w:val="21"/>
          <w:highlight w:val="none"/>
          <w:u w:val="single"/>
        </w:rPr>
        <w:t>肆</w:t>
      </w:r>
      <w:r>
        <w:rPr>
          <w:rFonts w:hint="eastAsia" w:ascii="宋体" w:hAnsi="宋体" w:eastAsia="宋体" w:cs="宋体"/>
          <w:color w:val="auto"/>
          <w:sz w:val="21"/>
          <w:szCs w:val="21"/>
          <w:highlight w:val="none"/>
        </w:rPr>
        <w:t>份，甲方</w:t>
      </w:r>
      <w:r>
        <w:rPr>
          <w:rFonts w:hint="eastAsia" w:ascii="宋体" w:hAnsi="宋体" w:eastAsia="宋体" w:cs="宋体"/>
          <w:color w:val="auto"/>
          <w:sz w:val="21"/>
          <w:szCs w:val="21"/>
          <w:highlight w:val="none"/>
          <w:u w:val="single"/>
        </w:rPr>
        <w:t>贰</w:t>
      </w:r>
      <w:r>
        <w:rPr>
          <w:rFonts w:hint="eastAsia" w:ascii="宋体" w:hAnsi="宋体" w:eastAsia="宋体" w:cs="宋体"/>
          <w:color w:val="auto"/>
          <w:sz w:val="21"/>
          <w:szCs w:val="21"/>
          <w:highlight w:val="none"/>
        </w:rPr>
        <w:t>份，乙方</w:t>
      </w:r>
      <w:r>
        <w:rPr>
          <w:rFonts w:hint="eastAsia" w:ascii="宋体" w:hAnsi="宋体" w:eastAsia="宋体" w:cs="宋体"/>
          <w:color w:val="auto"/>
          <w:sz w:val="21"/>
          <w:szCs w:val="21"/>
          <w:highlight w:val="none"/>
          <w:u w:val="single"/>
        </w:rPr>
        <w:t>贰</w:t>
      </w:r>
      <w:r>
        <w:rPr>
          <w:rFonts w:hint="eastAsia" w:ascii="宋体" w:hAnsi="宋体" w:eastAsia="宋体" w:cs="宋体"/>
          <w:color w:val="auto"/>
          <w:sz w:val="21"/>
          <w:szCs w:val="21"/>
          <w:highlight w:val="none"/>
        </w:rPr>
        <w:t>份，具有同等法律效力。</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（二）本协议未尽事宜，按中华人民共和国有关法律、法规办理。</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color w:val="auto"/>
          <w:sz w:val="21"/>
          <w:szCs w:val="21"/>
          <w:highlight w:val="none"/>
        </w:rPr>
      </w:pPr>
      <w:r>
        <w:rPr>
          <w:rFonts w:hint="eastAsia" w:ascii="宋体" w:hAnsi="宋体" w:eastAsia="宋体" w:cs="宋体"/>
          <w:color w:val="auto"/>
          <w:sz w:val="21"/>
          <w:szCs w:val="21"/>
          <w:highlight w:val="none"/>
        </w:rPr>
        <w:t>（三）本合同附件为本合同组成部分，与本</w:t>
      </w:r>
      <w:r>
        <w:rPr>
          <w:rFonts w:hint="eastAsia" w:ascii="宋体" w:hAnsi="宋体" w:cs="宋体"/>
          <w:color w:val="auto"/>
          <w:sz w:val="21"/>
          <w:szCs w:val="21"/>
          <w:highlight w:val="none"/>
        </w:rPr>
        <w:t>合同具有同等法律效力。</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四）甲乙双方按照本合同项下列明地址、电话送达通知、文件（含诉讼文书等），如一方变更上述信息，应提前五个工作日书面通知另一方，否则另一方（包括司法机关送达法律文书）按原地址、电话送达的，视为已送达，未及时通知方自行承担不利后果。</w:t>
      </w:r>
    </w:p>
    <w:p>
      <w:pPr>
        <w:pStyle w:val="26"/>
        <w:rPr>
          <w:color w:val="auto"/>
          <w:highlight w:val="none"/>
        </w:rPr>
      </w:pPr>
    </w:p>
    <w:p>
      <w:pPr>
        <w:rPr>
          <w:rFonts w:hint="eastAsia" w:hAnsi="宋体"/>
          <w:color w:val="auto"/>
          <w:sz w:val="21"/>
          <w:szCs w:val="21"/>
          <w:highlight w:val="none"/>
        </w:rPr>
      </w:pPr>
      <w:r>
        <w:rPr>
          <w:rFonts w:hint="eastAsia" w:hAnsi="宋体"/>
          <w:color w:val="auto"/>
          <w:sz w:val="21"/>
          <w:szCs w:val="21"/>
          <w:highlight w:val="none"/>
        </w:rPr>
        <w:br w:type="page"/>
      </w:r>
    </w:p>
    <w:p>
      <w:pPr>
        <w:pStyle w:val="69"/>
        <w:tabs>
          <w:tab w:val="left" w:pos="588"/>
        </w:tabs>
        <w:spacing w:line="360" w:lineRule="auto"/>
        <w:ind w:firstLine="315" w:firstLineChars="150"/>
        <w:jc w:val="center"/>
        <w:rPr>
          <w:rFonts w:hAnsi="宋体"/>
          <w:color w:val="auto"/>
          <w:sz w:val="21"/>
          <w:szCs w:val="21"/>
          <w:highlight w:val="none"/>
        </w:rPr>
      </w:pPr>
      <w:r>
        <w:rPr>
          <w:rFonts w:hint="eastAsia" w:hAnsi="宋体"/>
          <w:color w:val="auto"/>
          <w:sz w:val="21"/>
          <w:szCs w:val="21"/>
          <w:highlight w:val="none"/>
        </w:rPr>
        <w:t>（以下为签署页，无正文）</w:t>
      </w:r>
    </w:p>
    <w:p>
      <w:pPr>
        <w:pStyle w:val="94"/>
        <w:ind w:right="29"/>
        <w:rPr>
          <w:rFonts w:ascii="宋体" w:hAnsi="宋体" w:cs="宋体"/>
          <w:color w:val="auto"/>
          <w:sz w:val="21"/>
          <w:szCs w:val="21"/>
          <w:highlight w:val="none"/>
        </w:rPr>
      </w:pPr>
      <w:r>
        <w:rPr>
          <w:rFonts w:hint="eastAsia" w:ascii="宋体" w:hAnsi="宋体" w:cs="宋体"/>
          <w:color w:val="auto"/>
          <w:sz w:val="21"/>
          <w:szCs w:val="21"/>
          <w:highlight w:val="none"/>
        </w:rPr>
        <w:t>附件</w:t>
      </w:r>
      <w:r>
        <w:rPr>
          <w:rFonts w:ascii="宋体" w:hAnsi="宋体" w:cs="宋体"/>
          <w:color w:val="auto"/>
          <w:sz w:val="21"/>
          <w:szCs w:val="21"/>
          <w:highlight w:val="none"/>
        </w:rPr>
        <w:t>1</w:t>
      </w:r>
      <w:r>
        <w:rPr>
          <w:rFonts w:hint="eastAsia" w:ascii="宋体" w:hAnsi="宋体" w:cs="宋体"/>
          <w:color w:val="auto"/>
          <w:sz w:val="21"/>
          <w:szCs w:val="21"/>
          <w:highlight w:val="none"/>
        </w:rPr>
        <w:t>：营业执照</w:t>
      </w:r>
    </w:p>
    <w:p>
      <w:pPr>
        <w:pStyle w:val="94"/>
        <w:ind w:right="29"/>
        <w:rPr>
          <w:rFonts w:ascii="宋体" w:hAnsi="宋体" w:cs="宋体"/>
          <w:color w:val="auto"/>
          <w:sz w:val="21"/>
          <w:szCs w:val="21"/>
          <w:highlight w:val="none"/>
        </w:rPr>
      </w:pPr>
      <w:r>
        <w:rPr>
          <w:rFonts w:hint="eastAsia" w:ascii="宋体" w:hAnsi="宋体" w:cs="宋体"/>
          <w:color w:val="auto"/>
          <w:sz w:val="21"/>
          <w:szCs w:val="21"/>
          <w:highlight w:val="none"/>
        </w:rPr>
        <w:t>附件</w:t>
      </w:r>
      <w:r>
        <w:rPr>
          <w:rFonts w:ascii="宋体" w:hAnsi="宋体" w:cs="宋体"/>
          <w:color w:val="auto"/>
          <w:sz w:val="21"/>
          <w:szCs w:val="21"/>
          <w:highlight w:val="none"/>
        </w:rPr>
        <w:t>2</w:t>
      </w:r>
      <w:r>
        <w:rPr>
          <w:rFonts w:hint="eastAsia" w:ascii="宋体" w:hAnsi="宋体" w:cs="宋体"/>
          <w:color w:val="auto"/>
          <w:sz w:val="21"/>
          <w:szCs w:val="21"/>
          <w:highlight w:val="none"/>
        </w:rPr>
        <w:t>：法人身份证</w:t>
      </w:r>
    </w:p>
    <w:p>
      <w:pPr>
        <w:pStyle w:val="94"/>
        <w:ind w:right="29"/>
        <w:rPr>
          <w:rFonts w:ascii="宋体" w:hAnsi="宋体" w:cs="宋体"/>
          <w:color w:val="auto"/>
          <w:sz w:val="21"/>
          <w:szCs w:val="21"/>
          <w:highlight w:val="none"/>
        </w:rPr>
      </w:pPr>
      <w:r>
        <w:rPr>
          <w:rFonts w:hint="eastAsia" w:ascii="宋体" w:hAnsi="宋体" w:cs="宋体"/>
          <w:color w:val="auto"/>
          <w:sz w:val="21"/>
          <w:szCs w:val="21"/>
          <w:highlight w:val="none"/>
        </w:rPr>
        <w:t>附件</w:t>
      </w:r>
      <w:r>
        <w:rPr>
          <w:rFonts w:ascii="宋体" w:hAnsi="宋体" w:cs="宋体"/>
          <w:color w:val="auto"/>
          <w:sz w:val="21"/>
          <w:szCs w:val="21"/>
          <w:highlight w:val="none"/>
        </w:rPr>
        <w:t>3</w:t>
      </w:r>
      <w:r>
        <w:rPr>
          <w:rFonts w:hint="eastAsia" w:ascii="宋体" w:hAnsi="宋体" w:cs="宋体"/>
          <w:color w:val="auto"/>
          <w:sz w:val="21"/>
          <w:szCs w:val="21"/>
          <w:highlight w:val="none"/>
        </w:rPr>
        <w:t>：采购清单</w:t>
      </w:r>
    </w:p>
    <w:p>
      <w:pPr>
        <w:pStyle w:val="69"/>
        <w:tabs>
          <w:tab w:val="left" w:pos="588"/>
        </w:tabs>
        <w:spacing w:line="360" w:lineRule="auto"/>
        <w:ind w:firstLine="315" w:firstLineChars="150"/>
        <w:jc w:val="both"/>
        <w:rPr>
          <w:rFonts w:hAnsi="宋体"/>
          <w:color w:val="auto"/>
          <w:sz w:val="21"/>
          <w:szCs w:val="21"/>
          <w:highlight w:val="none"/>
        </w:rPr>
      </w:pP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  方：               (公章）           乙  方：              （公章）</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法定代表人或授权代理人：（签字）         法定代表人或授权代理人：（签字） </w:t>
      </w: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p>
    <w:p>
      <w:pPr>
        <w:pStyle w:val="94"/>
        <w:keepNext w:val="0"/>
        <w:keepLines w:val="0"/>
        <w:pageBreakBefore w:val="0"/>
        <w:kinsoku/>
        <w:wordWrap/>
        <w:overflowPunct/>
        <w:topLinePunct w:val="0"/>
        <w:autoSpaceDE/>
        <w:autoSpaceDN/>
        <w:bidi w:val="0"/>
        <w:spacing w:line="360" w:lineRule="auto"/>
        <w:ind w:right="29"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期：2026年    月   日                日  期：2026 年    月    日</w:t>
      </w:r>
    </w:p>
    <w:p>
      <w:pPr>
        <w:rPr>
          <w:rFonts w:ascii="宋体" w:hAnsi="宋体"/>
          <w:color w:val="auto"/>
          <w:szCs w:val="21"/>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rPr>
          <w:rFonts w:hint="eastAsia"/>
          <w:color w:val="auto"/>
          <w:sz w:val="28"/>
          <w:szCs w:val="28"/>
          <w:highlight w:val="none"/>
        </w:rPr>
      </w:pPr>
      <w:bookmarkStart w:id="98" w:name="_Toc18376"/>
      <w:r>
        <w:rPr>
          <w:rFonts w:hint="eastAsia"/>
          <w:color w:val="auto"/>
          <w:sz w:val="28"/>
          <w:szCs w:val="28"/>
          <w:highlight w:val="none"/>
        </w:rPr>
        <w:br w:type="page"/>
      </w:r>
    </w:p>
    <w:p>
      <w:pPr>
        <w:pStyle w:val="6"/>
        <w:spacing w:before="0" w:after="0" w:line="240" w:lineRule="auto"/>
        <w:rPr>
          <w:color w:val="auto"/>
          <w:sz w:val="28"/>
          <w:szCs w:val="28"/>
          <w:highlight w:val="none"/>
        </w:rPr>
      </w:pPr>
      <w:r>
        <w:rPr>
          <w:rFonts w:hint="eastAsia"/>
          <w:color w:val="auto"/>
          <w:sz w:val="28"/>
          <w:szCs w:val="28"/>
          <w:highlight w:val="none"/>
        </w:rPr>
        <w:t>第六部分</w:t>
      </w:r>
      <w:r>
        <w:rPr>
          <w:rFonts w:hint="eastAsia"/>
          <w:color w:val="auto"/>
          <w:sz w:val="28"/>
          <w:szCs w:val="28"/>
          <w:highlight w:val="none"/>
          <w:lang w:val="en-US" w:eastAsia="zh-CN"/>
        </w:rPr>
        <w:t xml:space="preserve">  </w:t>
      </w:r>
      <w:r>
        <w:rPr>
          <w:rFonts w:hint="eastAsia"/>
          <w:color w:val="auto"/>
          <w:sz w:val="28"/>
          <w:szCs w:val="28"/>
          <w:highlight w:val="none"/>
        </w:rPr>
        <w:t>投标</w:t>
      </w:r>
      <w:r>
        <w:rPr>
          <w:rFonts w:hint="eastAsia" w:ascii="宋体" w:hAnsi="宋体" w:eastAsia="宋体" w:cs="宋体"/>
          <w:color w:val="auto"/>
          <w:sz w:val="28"/>
          <w:szCs w:val="28"/>
          <w:highlight w:val="none"/>
        </w:rPr>
        <w:t>文件</w:t>
      </w:r>
      <w:r>
        <w:rPr>
          <w:rFonts w:hint="eastAsia"/>
          <w:color w:val="auto"/>
          <w:sz w:val="28"/>
          <w:szCs w:val="28"/>
          <w:highlight w:val="none"/>
        </w:rPr>
        <w:t>格式</w:t>
      </w:r>
      <w:bookmarkEnd w:id="98"/>
    </w:p>
    <w:p>
      <w:pPr>
        <w:shd w:val="clear"/>
        <w:rPr>
          <w:color w:val="auto"/>
          <w:highlight w:val="none"/>
        </w:rPr>
      </w:pPr>
    </w:p>
    <w:p>
      <w:pPr>
        <w:pStyle w:val="8"/>
        <w:widowControl w:val="0"/>
        <w:shd w:val="clear"/>
        <w:overflowPunct w:val="0"/>
        <w:spacing w:line="240" w:lineRule="auto"/>
        <w:rPr>
          <w:rFonts w:ascii="宋体" w:hAnsi="宋体"/>
          <w:color w:val="auto"/>
          <w:sz w:val="21"/>
          <w:szCs w:val="21"/>
          <w:highlight w:val="none"/>
        </w:rPr>
      </w:pPr>
      <w:bookmarkStart w:id="99" w:name="_Toc10231"/>
      <w:r>
        <w:rPr>
          <w:rFonts w:hint="eastAsia" w:ascii="宋体" w:hAnsi="宋体"/>
          <w:color w:val="auto"/>
          <w:sz w:val="21"/>
          <w:szCs w:val="21"/>
          <w:highlight w:val="none"/>
        </w:rPr>
        <w:t>投标文件目录</w:t>
      </w:r>
      <w:bookmarkEnd w:id="99"/>
    </w:p>
    <w:p>
      <w:pPr>
        <w:shd w:val="clear"/>
        <w:jc w:val="center"/>
        <w:rPr>
          <w:rFonts w:ascii="黑体" w:eastAsia="黑体"/>
          <w:color w:val="auto"/>
          <w:sz w:val="32"/>
          <w:szCs w:val="32"/>
          <w:highlight w:val="none"/>
        </w:rPr>
      </w:pPr>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目录</w:t>
      </w:r>
    </w:p>
    <w:p>
      <w:pPr>
        <w:shd w:val="clea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pPr>
        <w:shd w:val="clea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pPr>
        <w:pStyle w:val="8"/>
        <w:widowControl w:val="0"/>
        <w:shd w:val="clear"/>
        <w:overflowPunct w:val="0"/>
        <w:spacing w:line="240" w:lineRule="auto"/>
        <w:rPr>
          <w:rFonts w:ascii="宋体" w:hAnsi="宋体"/>
          <w:color w:val="auto"/>
          <w:sz w:val="21"/>
          <w:szCs w:val="21"/>
          <w:highlight w:val="none"/>
        </w:rPr>
      </w:pPr>
      <w:bookmarkStart w:id="100" w:name="_Toc25463"/>
      <w:r>
        <w:rPr>
          <w:rFonts w:hint="eastAsia" w:ascii="宋体" w:hAnsi="宋体"/>
          <w:color w:val="auto"/>
          <w:sz w:val="21"/>
          <w:szCs w:val="21"/>
          <w:highlight w:val="none"/>
        </w:rPr>
        <w:t>附件1.评分标准索引表</w:t>
      </w:r>
      <w:bookmarkEnd w:id="100"/>
    </w:p>
    <w:p>
      <w:pPr>
        <w:shd w:val="clear"/>
        <w:adjustRightInd/>
        <w:snapToGrid/>
        <w:spacing w:line="276" w:lineRule="auto"/>
        <w:rPr>
          <w:rFonts w:ascii="宋体" w:hAnsi="宋体"/>
          <w:color w:val="auto"/>
          <w:szCs w:val="21"/>
          <w:highlight w:val="none"/>
        </w:rPr>
      </w:pPr>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3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trPr>
        <w:tc>
          <w:tcPr>
            <w:tcW w:w="1704" w:type="dxa"/>
            <w:vAlign w:val="center"/>
          </w:tcPr>
          <w:p>
            <w:pPr>
              <w:shd w:val="clea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pPr>
              <w:shd w:val="clea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pPr>
              <w:shd w:val="clea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pPr>
              <w:shd w:val="clea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pPr>
              <w:shd w:val="clear"/>
              <w:jc w:val="center"/>
              <w:rPr>
                <w:rFonts w:ascii="宋体" w:hAnsi="宋体" w:cs="宋体"/>
                <w:color w:val="auto"/>
                <w:highlight w:val="none"/>
              </w:rPr>
            </w:pPr>
            <w:r>
              <w:rPr>
                <w:rFonts w:hint="eastAsia" w:ascii="宋体" w:hAnsi="宋体" w:cs="宋体"/>
                <w:color w:val="auto"/>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8522" w:type="dxa"/>
            <w:gridSpan w:val="5"/>
            <w:vAlign w:val="center"/>
          </w:tcPr>
          <w:p>
            <w:pPr>
              <w:shd w:val="clear"/>
              <w:rPr>
                <w:rFonts w:ascii="宋体" w:hAnsi="宋体" w:cs="宋体"/>
                <w:color w:val="auto"/>
                <w:highlight w:val="none"/>
              </w:rPr>
            </w:pPr>
            <w:r>
              <w:rPr>
                <w:rFonts w:hint="eastAsia" w:ascii="宋体" w:hAnsi="宋体" w:cs="宋体"/>
                <w:color w:val="auto"/>
                <w:highlight w:val="none"/>
              </w:rPr>
              <w:t>商务评审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8522" w:type="dxa"/>
            <w:gridSpan w:val="5"/>
            <w:vAlign w:val="center"/>
          </w:tcPr>
          <w:p>
            <w:pPr>
              <w:shd w:val="clear"/>
              <w:rPr>
                <w:rFonts w:ascii="宋体" w:hAnsi="宋体" w:cs="宋体"/>
                <w:color w:val="auto"/>
                <w:highlight w:val="none"/>
              </w:rPr>
            </w:pPr>
            <w:r>
              <w:rPr>
                <w:rFonts w:hint="eastAsia" w:ascii="宋体" w:hAnsi="宋体" w:cs="宋体"/>
                <w:color w:val="auto"/>
                <w:highlight w:val="none"/>
              </w:rPr>
              <w:t>技术评审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4"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c>
          <w:tcPr>
            <w:tcW w:w="1705" w:type="dxa"/>
            <w:vAlign w:val="center"/>
          </w:tcPr>
          <w:p>
            <w:pPr>
              <w:shd w:val="clear"/>
              <w:jc w:val="center"/>
              <w:rPr>
                <w:rFonts w:ascii="宋体" w:hAnsi="宋体" w:cs="宋体"/>
                <w:color w:val="auto"/>
                <w:highlight w:val="none"/>
              </w:rPr>
            </w:pPr>
          </w:p>
        </w:tc>
      </w:tr>
    </w:tbl>
    <w:p>
      <w:pPr>
        <w:shd w:val="clear"/>
        <w:rPr>
          <w:rFonts w:ascii="宋体" w:hAnsi="宋体"/>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注：</w:t>
      </w:r>
    </w:p>
    <w:p>
      <w:pPr>
        <w:numPr>
          <w:ilvl w:val="0"/>
          <w:numId w:val="6"/>
        </w:numPr>
        <w:shd w:val="clea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pPr>
        <w:pStyle w:val="2"/>
        <w:shd w:val="clear"/>
        <w:spacing w:before="0"/>
        <w:ind w:left="0"/>
        <w:rPr>
          <w:color w:val="auto"/>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p>
    <w:p>
      <w:pPr>
        <w:shd w:val="clea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pPr>
        <w:shd w:val="clear"/>
        <w:jc w:val="center"/>
        <w:rPr>
          <w:rFonts w:ascii="黑体" w:eastAsia="黑体"/>
          <w:color w:val="auto"/>
          <w:sz w:val="52"/>
          <w:szCs w:val="52"/>
          <w:highlight w:val="none"/>
        </w:rPr>
      </w:pPr>
      <w:bookmarkStart w:id="101" w:name="_Toc30918"/>
      <w:bookmarkStart w:id="102" w:name="_Toc18450"/>
      <w:bookmarkStart w:id="103" w:name="_Toc28154"/>
      <w:bookmarkStart w:id="104" w:name="_Toc21746"/>
      <w:bookmarkStart w:id="105" w:name="_Toc20335"/>
    </w:p>
    <w:p>
      <w:pPr>
        <w:pStyle w:val="6"/>
        <w:shd w:val="clear"/>
        <w:spacing w:before="0" w:after="0" w:line="360" w:lineRule="auto"/>
        <w:jc w:val="center"/>
        <w:rPr>
          <w:color w:val="auto"/>
          <w:sz w:val="72"/>
          <w:szCs w:val="72"/>
          <w:highlight w:val="none"/>
        </w:rPr>
      </w:pPr>
      <w:bookmarkStart w:id="106" w:name="_Toc7677"/>
      <w:r>
        <w:rPr>
          <w:rFonts w:hint="eastAsia"/>
          <w:color w:val="auto"/>
          <w:sz w:val="72"/>
          <w:szCs w:val="72"/>
          <w:highlight w:val="none"/>
        </w:rPr>
        <w:t>价格文件</w:t>
      </w:r>
      <w:bookmarkEnd w:id="101"/>
      <w:bookmarkEnd w:id="102"/>
      <w:bookmarkEnd w:id="106"/>
      <w:bookmarkStart w:id="107" w:name="_Hlt10456397"/>
      <w:bookmarkEnd w:id="107"/>
      <w:bookmarkStart w:id="108" w:name="_Hlt10519799"/>
      <w:bookmarkEnd w:id="108"/>
    </w:p>
    <w:p>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03"/>
      <w:bookmarkEnd w:id="104"/>
      <w:bookmarkEnd w:id="105"/>
    </w:p>
    <w:p>
      <w:pPr>
        <w:shd w:val="clear"/>
        <w:rPr>
          <w:color w:val="auto"/>
          <w:highlight w:val="none"/>
        </w:rPr>
      </w:pPr>
    </w:p>
    <w:p>
      <w:pPr>
        <w:pStyle w:val="2"/>
        <w:shd w:val="clear"/>
        <w:rPr>
          <w:color w:val="auto"/>
          <w:highlight w:val="none"/>
        </w:rPr>
      </w:pPr>
    </w:p>
    <w:p>
      <w:pPr>
        <w:shd w:val="clear"/>
        <w:ind w:firstLine="240"/>
        <w:rPr>
          <w:color w:val="auto"/>
          <w:highlight w:val="none"/>
        </w:rPr>
      </w:pPr>
    </w:p>
    <w:p>
      <w:pPr>
        <w:shd w:val="clear"/>
        <w:rPr>
          <w:rFonts w:hint="eastAsia" w:ascii="宋体" w:hAnsi="宋体" w:cs="宋体"/>
          <w:b/>
          <w:bCs/>
          <w:color w:val="auto"/>
          <w:spacing w:val="106"/>
          <w:kern w:val="0"/>
          <w:sz w:val="32"/>
          <w:szCs w:val="32"/>
          <w:highlight w:val="none"/>
          <w:fitText w:val="1600" w:id="0"/>
        </w:rPr>
      </w:pPr>
      <w:r>
        <w:rPr>
          <w:rFonts w:hint="eastAsia" w:ascii="宋体" w:hAnsi="宋体" w:cs="宋体"/>
          <w:b/>
          <w:bCs/>
          <w:color w:val="auto"/>
          <w:spacing w:val="0"/>
          <w:kern w:val="0"/>
          <w:sz w:val="32"/>
          <w:szCs w:val="32"/>
          <w:highlight w:val="none"/>
          <w:fitText w:val="1600" w:id="0"/>
        </w:rPr>
        <w:t>项目名称：</w:t>
      </w:r>
    </w:p>
    <w:p>
      <w:pPr>
        <w:shd w:val="clear"/>
        <w:rPr>
          <w:rFonts w:hint="eastAsia" w:ascii="宋体" w:hAnsi="宋体" w:cs="宋体"/>
          <w:b/>
          <w:bCs/>
          <w:color w:val="auto"/>
          <w:spacing w:val="106"/>
          <w:kern w:val="0"/>
          <w:sz w:val="32"/>
          <w:szCs w:val="32"/>
          <w:highlight w:val="none"/>
          <w:fitText w:val="1600" w:id="1"/>
        </w:rPr>
      </w:pPr>
      <w:r>
        <w:rPr>
          <w:rFonts w:hint="eastAsia" w:ascii="宋体" w:hAnsi="宋体" w:cs="宋体"/>
          <w:b/>
          <w:bCs/>
          <w:color w:val="auto"/>
          <w:spacing w:val="0"/>
          <w:kern w:val="0"/>
          <w:sz w:val="32"/>
          <w:szCs w:val="32"/>
          <w:highlight w:val="none"/>
          <w:fitText w:val="1600" w:id="1"/>
        </w:rPr>
        <w:t>项目编号：</w:t>
      </w:r>
    </w:p>
    <w:p>
      <w:pPr>
        <w:shd w:val="clear"/>
        <w:rPr>
          <w:rFonts w:hint="eastAsia" w:ascii="宋体" w:hAnsi="宋体" w:cs="宋体"/>
          <w:b/>
          <w:bCs/>
          <w:color w:val="auto"/>
          <w:spacing w:val="106"/>
          <w:kern w:val="0"/>
          <w:sz w:val="32"/>
          <w:szCs w:val="32"/>
          <w:highlight w:val="none"/>
          <w:fitText w:val="1600" w:id="2"/>
        </w:rPr>
      </w:pPr>
      <w:r>
        <w:rPr>
          <w:rFonts w:hint="eastAsia" w:ascii="宋体" w:hAnsi="宋体" w:cs="宋体"/>
          <w:b/>
          <w:bCs/>
          <w:color w:val="auto"/>
          <w:spacing w:val="1"/>
          <w:w w:val="62"/>
          <w:kern w:val="0"/>
          <w:sz w:val="32"/>
          <w:szCs w:val="32"/>
          <w:highlight w:val="none"/>
          <w:fitText w:val="1600" w:id="2"/>
        </w:rPr>
        <w:t>包组号（如有）</w:t>
      </w:r>
      <w:r>
        <w:rPr>
          <w:rFonts w:hint="eastAsia" w:ascii="宋体" w:hAnsi="宋体" w:cs="宋体"/>
          <w:b/>
          <w:bCs/>
          <w:color w:val="auto"/>
          <w:spacing w:val="4"/>
          <w:w w:val="62"/>
          <w:kern w:val="0"/>
          <w:sz w:val="32"/>
          <w:szCs w:val="32"/>
          <w:highlight w:val="none"/>
          <w:fitText w:val="1600" w:id="2"/>
        </w:rPr>
        <w:t>：</w:t>
      </w:r>
    </w:p>
    <w:p>
      <w:pPr>
        <w:shd w:val="clear"/>
        <w:rPr>
          <w:rFonts w:hint="eastAsia" w:ascii="宋体" w:hAnsi="宋体" w:cs="宋体"/>
          <w:b/>
          <w:bCs/>
          <w:color w:val="auto"/>
          <w:spacing w:val="106"/>
          <w:kern w:val="0"/>
          <w:sz w:val="32"/>
          <w:szCs w:val="32"/>
          <w:highlight w:val="none"/>
          <w:fitText w:val="1600" w:id="3"/>
        </w:rPr>
      </w:pPr>
      <w:r>
        <w:rPr>
          <w:rFonts w:hint="eastAsia" w:ascii="宋体" w:hAnsi="宋体" w:cs="宋体"/>
          <w:b/>
          <w:bCs/>
          <w:color w:val="auto"/>
          <w:spacing w:val="0"/>
          <w:w w:val="83"/>
          <w:kern w:val="0"/>
          <w:sz w:val="32"/>
          <w:szCs w:val="32"/>
          <w:highlight w:val="none"/>
          <w:fitText w:val="1600" w:id="3"/>
        </w:rPr>
        <w:t>投标人名称：</w:t>
      </w:r>
    </w:p>
    <w:p>
      <w:pPr>
        <w:shd w:val="clear"/>
        <w:rPr>
          <w:rFonts w:hint="eastAsia" w:ascii="宋体" w:hAnsi="宋体" w:cs="宋体"/>
          <w:b/>
          <w:bCs/>
          <w:color w:val="auto"/>
          <w:spacing w:val="106"/>
          <w:kern w:val="0"/>
          <w:sz w:val="32"/>
          <w:szCs w:val="32"/>
          <w:highlight w:val="none"/>
          <w:fitText w:val="1600" w:id="4"/>
        </w:rPr>
      </w:pPr>
      <w:r>
        <w:rPr>
          <w:rFonts w:hint="eastAsia" w:ascii="宋体" w:hAnsi="宋体" w:cs="宋体"/>
          <w:b/>
          <w:bCs/>
          <w:color w:val="auto"/>
          <w:spacing w:val="0"/>
          <w:kern w:val="0"/>
          <w:sz w:val="32"/>
          <w:szCs w:val="32"/>
          <w:highlight w:val="none"/>
          <w:fitText w:val="1600" w:id="4"/>
        </w:rPr>
        <w:t>日    期：</w:t>
      </w:r>
    </w:p>
    <w:p>
      <w:pPr>
        <w:shd w:val="clear"/>
        <w:rPr>
          <w:color w:val="auto"/>
          <w:highlight w:val="none"/>
        </w:rPr>
      </w:pPr>
    </w:p>
    <w:p>
      <w:pPr>
        <w:pStyle w:val="2"/>
        <w:shd w:val="clear"/>
        <w:rPr>
          <w:color w:val="auto"/>
          <w:highlight w:val="none"/>
        </w:rPr>
      </w:pPr>
    </w:p>
    <w:p>
      <w:pPr>
        <w:shd w:val="clear"/>
        <w:ind w:firstLine="240"/>
        <w:rPr>
          <w:color w:val="auto"/>
          <w:highlight w:val="none"/>
        </w:rPr>
      </w:pPr>
    </w:p>
    <w:p>
      <w:pPr>
        <w:pStyle w:val="25"/>
        <w:shd w:val="clear"/>
        <w:rPr>
          <w:color w:val="auto"/>
          <w:highlight w:val="none"/>
        </w:rPr>
      </w:pPr>
    </w:p>
    <w:p>
      <w:pPr>
        <w:shd w:val="clear"/>
        <w:rPr>
          <w:color w:val="auto"/>
          <w:highlight w:val="none"/>
        </w:rPr>
      </w:pPr>
    </w:p>
    <w:p>
      <w:pPr>
        <w:pStyle w:val="2"/>
        <w:shd w:val="clear"/>
        <w:rPr>
          <w:color w:val="auto"/>
          <w:highlight w:val="none"/>
        </w:rPr>
      </w:pPr>
    </w:p>
    <w:p>
      <w:pPr>
        <w:shd w:val="clear"/>
        <w:ind w:firstLine="240"/>
        <w:rPr>
          <w:color w:val="auto"/>
          <w:highlight w:val="none"/>
        </w:rPr>
      </w:pPr>
    </w:p>
    <w:p>
      <w:pPr>
        <w:pStyle w:val="25"/>
        <w:shd w:val="clear"/>
        <w:rPr>
          <w:color w:val="auto"/>
          <w:highlight w:val="none"/>
        </w:rPr>
      </w:pPr>
    </w:p>
    <w:p>
      <w:pPr>
        <w:pStyle w:val="25"/>
        <w:shd w:val="clear"/>
        <w:ind w:left="0"/>
        <w:rPr>
          <w:color w:val="auto"/>
          <w:highlight w:val="none"/>
        </w:rPr>
      </w:pPr>
    </w:p>
    <w:p>
      <w:pPr>
        <w:shd w:val="clear"/>
        <w:rPr>
          <w:rFonts w:ascii="宋体" w:hAnsi="宋体"/>
          <w:color w:val="auto"/>
          <w:szCs w:val="21"/>
          <w:highlight w:val="none"/>
        </w:rPr>
      </w:pPr>
      <w:r>
        <w:rPr>
          <w:rFonts w:hint="eastAsia" w:ascii="宋体" w:hAnsi="宋体"/>
          <w:color w:val="auto"/>
          <w:szCs w:val="21"/>
          <w:highlight w:val="none"/>
        </w:rPr>
        <w:br w:type="page"/>
      </w:r>
    </w:p>
    <w:p>
      <w:pPr>
        <w:pStyle w:val="8"/>
        <w:widowControl w:val="0"/>
        <w:shd w:val="clear"/>
        <w:overflowPunct w:val="0"/>
        <w:spacing w:line="240" w:lineRule="auto"/>
        <w:rPr>
          <w:rFonts w:ascii="宋体" w:hAnsi="宋体"/>
          <w:color w:val="auto"/>
          <w:sz w:val="21"/>
          <w:szCs w:val="21"/>
          <w:highlight w:val="none"/>
        </w:rPr>
      </w:pPr>
      <w:bookmarkStart w:id="109" w:name="_Toc25549"/>
      <w:r>
        <w:rPr>
          <w:rFonts w:hint="eastAsia" w:ascii="宋体" w:hAnsi="宋体"/>
          <w:color w:val="auto"/>
          <w:sz w:val="21"/>
          <w:szCs w:val="21"/>
          <w:highlight w:val="none"/>
        </w:rPr>
        <w:t>附件2.开标一览表格式</w:t>
      </w:r>
      <w:bookmarkEnd w:id="109"/>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pPr>
        <w:shd w:val="clear"/>
        <w:rPr>
          <w:color w:val="auto"/>
          <w:highlight w:val="none"/>
        </w:rPr>
      </w:pPr>
    </w:p>
    <w:p>
      <w:pPr>
        <w:shd w:val="clear"/>
        <w:rPr>
          <w:rFonts w:ascii="宋体" w:hAnsi="宋体"/>
          <w:color w:val="auto"/>
          <w:szCs w:val="21"/>
          <w:highlight w:val="none"/>
        </w:rPr>
      </w:pPr>
      <w:r>
        <w:rPr>
          <w:rFonts w:hint="eastAsia" w:ascii="宋体" w:hAnsi="宋体"/>
          <w:color w:val="auto"/>
          <w:szCs w:val="21"/>
          <w:highlight w:val="none"/>
        </w:rPr>
        <w:t>投标人名称：</w:t>
      </w:r>
    </w:p>
    <w:p>
      <w:pPr>
        <w:shd w:val="clear"/>
        <w:rPr>
          <w:color w:val="auto"/>
          <w:highlight w:val="none"/>
        </w:rPr>
      </w:pPr>
      <w:r>
        <w:rPr>
          <w:rFonts w:hint="eastAsia" w:ascii="宋体" w:hAnsi="宋体"/>
          <w:color w:val="auto"/>
          <w:szCs w:val="21"/>
          <w:highlight w:val="none"/>
        </w:rPr>
        <w:t>采购项目编号：</w:t>
      </w:r>
    </w:p>
    <w:tbl>
      <w:tblPr>
        <w:tblStyle w:val="3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0"/>
        <w:gridCol w:w="2744"/>
        <w:gridCol w:w="1270"/>
        <w:gridCol w:w="2047"/>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1670" w:type="dxa"/>
            <w:vAlign w:val="center"/>
          </w:tcPr>
          <w:p>
            <w:pPr>
              <w:shd w:val="clear"/>
              <w:spacing w:line="240" w:lineRule="auto"/>
              <w:jc w:val="center"/>
              <w:rPr>
                <w:rFonts w:ascii="宋体" w:hAnsi="宋体" w:cs="宋体"/>
                <w:color w:val="auto"/>
                <w:kern w:val="28"/>
                <w:szCs w:val="21"/>
                <w:highlight w:val="none"/>
              </w:rPr>
            </w:pPr>
            <w:r>
              <w:rPr>
                <w:rFonts w:hint="eastAsia" w:ascii="宋体" w:hAnsi="宋体"/>
                <w:color w:val="auto"/>
                <w:szCs w:val="21"/>
                <w:highlight w:val="none"/>
              </w:rPr>
              <w:t>项目名称</w:t>
            </w:r>
          </w:p>
        </w:tc>
        <w:tc>
          <w:tcPr>
            <w:tcW w:w="2744" w:type="dxa"/>
            <w:vAlign w:val="center"/>
          </w:tcPr>
          <w:p>
            <w:pPr>
              <w:shd w:val="clea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含税投标总价（元）</w:t>
            </w:r>
          </w:p>
        </w:tc>
        <w:tc>
          <w:tcPr>
            <w:tcW w:w="1270" w:type="dxa"/>
            <w:vAlign w:val="center"/>
          </w:tcPr>
          <w:p>
            <w:pPr>
              <w:shd w:val="clea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税率</w:t>
            </w:r>
          </w:p>
        </w:tc>
        <w:tc>
          <w:tcPr>
            <w:tcW w:w="2047" w:type="dxa"/>
            <w:shd w:val="clear" w:color="auto" w:fill="auto"/>
            <w:vAlign w:val="center"/>
          </w:tcPr>
          <w:p>
            <w:pPr>
              <w:shd w:val="clear"/>
              <w:spacing w:line="240" w:lineRule="auto"/>
              <w:jc w:val="center"/>
              <w:rPr>
                <w:rFonts w:hint="eastAsia" w:ascii="宋体" w:hAnsi="宋体" w:cs="宋体"/>
                <w:color w:val="auto"/>
                <w:kern w:val="28"/>
                <w:szCs w:val="21"/>
                <w:highlight w:val="none"/>
                <w:lang w:val="en-US" w:eastAsia="zh-CN"/>
              </w:rPr>
            </w:pPr>
            <w:r>
              <w:rPr>
                <w:rFonts w:hint="eastAsia" w:ascii="宋体" w:hAnsi="宋体" w:eastAsia="宋体" w:cs="宋体"/>
                <w:color w:val="auto"/>
                <w:kern w:val="0"/>
                <w:szCs w:val="21"/>
                <w:highlight w:val="none"/>
              </w:rPr>
              <w:t>供货</w:t>
            </w:r>
            <w:r>
              <w:rPr>
                <w:rFonts w:hint="eastAsia" w:ascii="宋体" w:hAnsi="宋体" w:cs="宋体"/>
                <w:color w:val="auto"/>
                <w:kern w:val="0"/>
                <w:szCs w:val="21"/>
                <w:highlight w:val="none"/>
                <w:lang w:val="en-US" w:eastAsia="zh-CN"/>
              </w:rPr>
              <w:t>期</w:t>
            </w:r>
          </w:p>
        </w:tc>
        <w:tc>
          <w:tcPr>
            <w:tcW w:w="791" w:type="dxa"/>
            <w:vAlign w:val="center"/>
          </w:tcPr>
          <w:p>
            <w:pPr>
              <w:shd w:val="clea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7" w:hRule="atLeast"/>
          <w:jc w:val="center"/>
        </w:trPr>
        <w:tc>
          <w:tcPr>
            <w:tcW w:w="1670" w:type="dxa"/>
            <w:vAlign w:val="center"/>
          </w:tcPr>
          <w:p>
            <w:pPr>
              <w:shd w:val="clear"/>
              <w:spacing w:line="240" w:lineRule="auto"/>
              <w:jc w:val="center"/>
              <w:rPr>
                <w:rFonts w:ascii="宋体" w:hAnsi="宋体" w:cs="宋体"/>
                <w:color w:val="auto"/>
                <w:szCs w:val="21"/>
                <w:highlight w:val="none"/>
              </w:rPr>
            </w:pPr>
          </w:p>
        </w:tc>
        <w:tc>
          <w:tcPr>
            <w:tcW w:w="2744" w:type="dxa"/>
            <w:vAlign w:val="center"/>
          </w:tcPr>
          <w:p>
            <w:pPr>
              <w:shd w:val="clear"/>
              <w:spacing w:line="240" w:lineRule="auto"/>
              <w:jc w:val="both"/>
              <w:rPr>
                <w:rFonts w:ascii="宋体" w:hAnsi="宋体" w:cs="宋体"/>
                <w:color w:val="auto"/>
                <w:szCs w:val="21"/>
                <w:highlight w:val="none"/>
                <w:u w:val="singl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p>
          <w:p>
            <w:pPr>
              <w:shd w:val="clear"/>
              <w:spacing w:line="240" w:lineRule="auto"/>
              <w:jc w:val="both"/>
              <w:rPr>
                <w:rFonts w:ascii="宋体" w:hAnsi="宋体" w:cs="宋体"/>
                <w:color w:val="auto"/>
                <w:szCs w:val="21"/>
                <w:highlight w:val="none"/>
              </w:rPr>
            </w:pPr>
            <w:r>
              <w:rPr>
                <w:rFonts w:hint="eastAsia" w:ascii="宋体" w:hAnsi="宋体" w:cs="宋体"/>
                <w:color w:val="auto"/>
                <w:szCs w:val="21"/>
                <w:highlight w:val="none"/>
              </w:rPr>
              <w:t>大写：</w:t>
            </w:r>
          </w:p>
        </w:tc>
        <w:tc>
          <w:tcPr>
            <w:tcW w:w="1270" w:type="dxa"/>
            <w:vAlign w:val="center"/>
          </w:tcPr>
          <w:p>
            <w:pPr>
              <w:pStyle w:val="69"/>
              <w:shd w:val="clear"/>
              <w:jc w:val="center"/>
              <w:rPr>
                <w:rFonts w:hAnsi="宋体"/>
                <w:color w:val="auto"/>
                <w:sz w:val="21"/>
                <w:szCs w:val="21"/>
                <w:highlight w:val="none"/>
              </w:rPr>
            </w:pPr>
          </w:p>
        </w:tc>
        <w:tc>
          <w:tcPr>
            <w:tcW w:w="2047" w:type="dxa"/>
            <w:vAlign w:val="center"/>
          </w:tcPr>
          <w:p>
            <w:pPr>
              <w:pStyle w:val="69"/>
              <w:shd w:val="clear"/>
              <w:jc w:val="center"/>
              <w:rPr>
                <w:rFonts w:hAnsi="宋体"/>
                <w:color w:val="auto"/>
                <w:sz w:val="21"/>
                <w:szCs w:val="21"/>
                <w:highlight w:val="none"/>
              </w:rPr>
            </w:pPr>
            <w:r>
              <w:rPr>
                <w:rFonts w:hint="eastAsia" w:hAnsi="宋体"/>
                <w:color w:val="auto"/>
                <w:sz w:val="21"/>
                <w:szCs w:val="21"/>
                <w:highlight w:val="none"/>
              </w:rPr>
              <w:t xml:space="preserve"> </w:t>
            </w:r>
          </w:p>
        </w:tc>
        <w:tc>
          <w:tcPr>
            <w:tcW w:w="791" w:type="dxa"/>
            <w:vAlign w:val="center"/>
          </w:tcPr>
          <w:p>
            <w:pPr>
              <w:pStyle w:val="69"/>
              <w:shd w:val="clear"/>
              <w:jc w:val="center"/>
              <w:rPr>
                <w:rFonts w:hAnsi="宋体"/>
                <w:color w:val="auto"/>
                <w:sz w:val="21"/>
                <w:szCs w:val="21"/>
                <w:highlight w:val="none"/>
              </w:rPr>
            </w:pPr>
          </w:p>
        </w:tc>
      </w:tr>
    </w:tbl>
    <w:p>
      <w:pPr>
        <w:shd w:val="clear"/>
        <w:rPr>
          <w:rFonts w:ascii="宋体" w:hAnsi="宋体"/>
          <w:color w:val="auto"/>
          <w:szCs w:val="21"/>
          <w:highlight w:val="none"/>
        </w:rPr>
      </w:pPr>
    </w:p>
    <w:p>
      <w:pPr>
        <w:shd w:val="clea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pPr>
        <w:shd w:val="clear"/>
        <w:ind w:firstLine="359" w:firstLineChars="171"/>
        <w:rPr>
          <w:rFonts w:ascii="宋体" w:hAnsi="宋体"/>
          <w:color w:val="auto"/>
          <w:szCs w:val="21"/>
          <w:highlight w:val="none"/>
        </w:rPr>
      </w:pPr>
      <w:r>
        <w:rPr>
          <w:rFonts w:hint="eastAsia" w:ascii="宋体" w:hAnsi="宋体"/>
          <w:color w:val="auto"/>
          <w:szCs w:val="21"/>
          <w:highlight w:val="none"/>
        </w:rPr>
        <w:t>投标人盖章：</w:t>
      </w:r>
    </w:p>
    <w:p>
      <w:pPr>
        <w:shd w:val="clear"/>
        <w:ind w:firstLine="359" w:firstLineChars="171"/>
        <w:rPr>
          <w:rFonts w:ascii="宋体" w:hAnsi="宋体"/>
          <w:color w:val="auto"/>
          <w:szCs w:val="21"/>
          <w:highlight w:val="none"/>
        </w:rPr>
      </w:pPr>
      <w:r>
        <w:rPr>
          <w:rFonts w:hint="eastAsia" w:ascii="宋体" w:hAnsi="宋体"/>
          <w:color w:val="auto"/>
          <w:szCs w:val="21"/>
          <w:highlight w:val="none"/>
        </w:rPr>
        <w:t>日期：</w:t>
      </w:r>
    </w:p>
    <w:p>
      <w:pPr>
        <w:shd w:val="clear"/>
        <w:ind w:firstLine="359" w:firstLineChars="171"/>
        <w:rPr>
          <w:rFonts w:ascii="宋体" w:hAnsi="宋体"/>
          <w:color w:val="auto"/>
          <w:szCs w:val="21"/>
          <w:highlight w:val="none"/>
        </w:rPr>
      </w:pPr>
    </w:p>
    <w:p>
      <w:pPr>
        <w:shd w:val="clear"/>
        <w:spacing w:line="240" w:lineRule="auto"/>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1、投标总价栏须</w:t>
      </w:r>
      <w:r>
        <w:rPr>
          <w:rFonts w:ascii="宋体" w:hAnsi="宋体"/>
          <w:color w:val="auto"/>
          <w:szCs w:val="21"/>
          <w:highlight w:val="none"/>
        </w:rPr>
        <w:t>用</w:t>
      </w:r>
      <w:r>
        <w:rPr>
          <w:rFonts w:hint="eastAsia" w:ascii="宋体" w:hAnsi="宋体"/>
          <w:color w:val="auto"/>
          <w:szCs w:val="21"/>
          <w:highlight w:val="none"/>
        </w:rPr>
        <w:t>大写金额和小写金额两种方式</w:t>
      </w:r>
      <w:r>
        <w:rPr>
          <w:rFonts w:ascii="宋体" w:hAnsi="宋体"/>
          <w:color w:val="auto"/>
          <w:szCs w:val="21"/>
          <w:highlight w:val="none"/>
        </w:rPr>
        <w:t>表示的投标总价</w:t>
      </w:r>
      <w:r>
        <w:rPr>
          <w:rFonts w:hint="eastAsia" w:ascii="宋体" w:hAnsi="宋体"/>
          <w:color w:val="auto"/>
          <w:szCs w:val="21"/>
          <w:highlight w:val="none"/>
        </w:rPr>
        <w:t>，报价保留小数点后两位。投标总价大小写不一致，以大写为准。投标总价必须准确唯一且应包含采购文件要求的所有费用。</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p>
      <w:pPr>
        <w:shd w:val="clear"/>
        <w:ind w:firstLine="359" w:firstLineChars="171"/>
        <w:rPr>
          <w:rFonts w:hint="eastAsia" w:ascii="宋体" w:hAnsi="宋体"/>
          <w:color w:val="auto"/>
          <w:szCs w:val="21"/>
          <w:highlight w:val="none"/>
        </w:rPr>
      </w:pPr>
    </w:p>
    <w:p>
      <w:pPr>
        <w:shd w:val="clear"/>
        <w:ind w:firstLine="359" w:firstLineChars="171"/>
        <w:rPr>
          <w:rFonts w:hint="eastAsia" w:ascii="宋体" w:hAnsi="宋体"/>
          <w:color w:val="auto"/>
          <w:szCs w:val="21"/>
          <w:highlight w:val="none"/>
        </w:rPr>
      </w:pPr>
    </w:p>
    <w:p>
      <w:pPr>
        <w:shd w:val="clea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pPr>
        <w:shd w:val="clear"/>
        <w:ind w:firstLine="359" w:firstLineChars="171"/>
        <w:rPr>
          <w:rFonts w:ascii="宋体" w:hAnsi="宋体"/>
          <w:color w:val="auto"/>
          <w:szCs w:val="21"/>
          <w:highlight w:val="none"/>
        </w:rPr>
      </w:pPr>
      <w:r>
        <w:rPr>
          <w:rFonts w:hint="eastAsia" w:ascii="宋体" w:hAnsi="宋体"/>
          <w:color w:val="auto"/>
          <w:szCs w:val="21"/>
          <w:highlight w:val="none"/>
        </w:rPr>
        <w:t>投标人盖章：</w:t>
      </w:r>
    </w:p>
    <w:p>
      <w:pPr>
        <w:shd w:val="clear"/>
        <w:ind w:firstLine="359" w:firstLineChars="171"/>
        <w:rPr>
          <w:rFonts w:ascii="宋体" w:hAnsi="宋体"/>
          <w:color w:val="auto"/>
          <w:szCs w:val="21"/>
          <w:highlight w:val="none"/>
        </w:rPr>
      </w:pPr>
      <w:r>
        <w:rPr>
          <w:rFonts w:hint="eastAsia" w:ascii="宋体" w:hAnsi="宋体"/>
          <w:color w:val="auto"/>
          <w:szCs w:val="21"/>
          <w:highlight w:val="none"/>
        </w:rPr>
        <w:t>日期：</w:t>
      </w:r>
    </w:p>
    <w:p>
      <w:pPr>
        <w:shd w:val="clear"/>
        <w:rPr>
          <w:rFonts w:hint="eastAsia" w:ascii="宋体" w:hAnsi="宋体"/>
          <w:color w:val="auto"/>
          <w:sz w:val="21"/>
          <w:szCs w:val="21"/>
          <w:highlight w:val="none"/>
        </w:rPr>
      </w:pPr>
      <w:r>
        <w:rPr>
          <w:rFonts w:hint="eastAsia" w:ascii="宋体" w:hAnsi="宋体"/>
          <w:color w:val="auto"/>
          <w:sz w:val="21"/>
          <w:szCs w:val="21"/>
          <w:highlight w:val="none"/>
        </w:rPr>
        <w:br w:type="page"/>
      </w:r>
    </w:p>
    <w:p>
      <w:pPr>
        <w:pStyle w:val="8"/>
        <w:widowControl w:val="0"/>
        <w:shd w:val="clear"/>
        <w:overflowPunct w:val="0"/>
        <w:spacing w:line="240" w:lineRule="auto"/>
        <w:rPr>
          <w:rFonts w:ascii="宋体" w:hAnsi="宋体"/>
          <w:color w:val="auto"/>
          <w:sz w:val="21"/>
          <w:szCs w:val="21"/>
          <w:highlight w:val="none"/>
        </w:rPr>
      </w:pPr>
      <w:bookmarkStart w:id="110" w:name="_Toc15588"/>
      <w:bookmarkStart w:id="111" w:name="_Toc931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.报价明细表格式</w:t>
      </w:r>
      <w:bookmarkEnd w:id="110"/>
      <w:bookmarkEnd w:id="111"/>
    </w:p>
    <w:p>
      <w:pPr>
        <w:jc w:val="center"/>
        <w:rPr>
          <w:rFonts w:ascii="宋体" w:hAnsi="宋体" w:cs="宋体"/>
          <w:color w:val="auto"/>
          <w:sz w:val="32"/>
          <w:szCs w:val="32"/>
          <w:highlight w:val="none"/>
        </w:rPr>
      </w:pPr>
      <w:r>
        <w:rPr>
          <w:rFonts w:hint="eastAsia" w:ascii="宋体" w:hAnsi="宋体" w:cs="宋体"/>
          <w:color w:val="auto"/>
          <w:sz w:val="32"/>
          <w:szCs w:val="32"/>
          <w:highlight w:val="none"/>
        </w:rPr>
        <w:t>报价明细表</w:t>
      </w:r>
    </w:p>
    <w:p>
      <w:pPr>
        <w:pStyle w:val="79"/>
        <w:shd w:val="clear"/>
        <w:spacing w:before="0" w:after="0"/>
        <w:jc w:val="right"/>
        <w:rPr>
          <w:rFonts w:ascii="宋体" w:hAnsi="宋体" w:cs="宋体"/>
          <w:color w:val="auto"/>
          <w:szCs w:val="21"/>
          <w:highlight w:val="none"/>
        </w:rPr>
      </w:pPr>
      <w:r>
        <w:rPr>
          <w:rFonts w:hint="eastAsia" w:ascii="宋体" w:hAnsi="宋体" w:cs="宋体"/>
          <w:color w:val="auto"/>
          <w:szCs w:val="21"/>
          <w:highlight w:val="none"/>
        </w:rPr>
        <w:t>单位：元</w:t>
      </w:r>
    </w:p>
    <w:tbl>
      <w:tblPr>
        <w:tblStyle w:val="38"/>
        <w:tblW w:w="842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772"/>
        <w:gridCol w:w="992"/>
        <w:gridCol w:w="1230"/>
        <w:gridCol w:w="1005"/>
        <w:gridCol w:w="1110"/>
        <w:gridCol w:w="720"/>
        <w:gridCol w:w="9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682"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序号</w:t>
            </w:r>
          </w:p>
        </w:tc>
        <w:tc>
          <w:tcPr>
            <w:tcW w:w="1772"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名称</w:t>
            </w:r>
          </w:p>
        </w:tc>
        <w:tc>
          <w:tcPr>
            <w:tcW w:w="992"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品牌</w:t>
            </w:r>
          </w:p>
        </w:tc>
        <w:tc>
          <w:tcPr>
            <w:tcW w:w="123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规格型号</w:t>
            </w:r>
          </w:p>
        </w:tc>
        <w:tc>
          <w:tcPr>
            <w:tcW w:w="1005"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数量</w:t>
            </w:r>
          </w:p>
        </w:tc>
        <w:tc>
          <w:tcPr>
            <w:tcW w:w="111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单价</w:t>
            </w:r>
          </w:p>
        </w:tc>
        <w:tc>
          <w:tcPr>
            <w:tcW w:w="72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w:t>
            </w:r>
          </w:p>
        </w:tc>
        <w:tc>
          <w:tcPr>
            <w:tcW w:w="915"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shd w:val="clear"/>
              <w:adjustRightInd/>
              <w:snapToGrid/>
              <w:spacing w:before="100" w:beforeAutospacing="1" w:after="100" w:afterAutospacing="1"/>
              <w:jc w:val="center"/>
              <w:rPr>
                <w:rFonts w:hint="eastAsia" w:ascii="宋体" w:hAnsi="宋体" w:eastAsia="宋体"/>
                <w:color w:val="auto"/>
                <w:szCs w:val="21"/>
                <w:highlight w:val="none"/>
                <w:u w:val="none"/>
                <w:lang w:val="en-US" w:eastAsia="zh-CN"/>
              </w:rPr>
            </w:pPr>
            <w:r>
              <w:rPr>
                <w:rFonts w:hint="eastAsia" w:ascii="宋体" w:hAnsi="宋体"/>
                <w:color w:val="auto"/>
                <w:szCs w:val="21"/>
                <w:highlight w:val="none"/>
                <w:u w:val="none"/>
                <w:lang w:val="en-US" w:eastAsia="zh-CN"/>
              </w:rPr>
              <w:t>1</w:t>
            </w:r>
          </w:p>
        </w:tc>
        <w:tc>
          <w:tcPr>
            <w:tcW w:w="1772" w:type="dxa"/>
            <w:tcBorders>
              <w:tl2br w:val="nil"/>
              <w:tr2bl w:val="nil"/>
            </w:tcBorders>
            <w:vAlign w:val="center"/>
          </w:tcPr>
          <w:p>
            <w:pPr>
              <w:shd w:val="clear"/>
              <w:spacing w:line="240" w:lineRule="auto"/>
              <w:jc w:val="center"/>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窗帘面料</w:t>
            </w:r>
          </w:p>
        </w:tc>
        <w:tc>
          <w:tcPr>
            <w:tcW w:w="992"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123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1005"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111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72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915"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shd w:val="clear"/>
              <w:adjustRightInd/>
              <w:snapToGrid/>
              <w:spacing w:before="100" w:beforeAutospacing="1" w:after="100" w:afterAutospacing="1"/>
              <w:jc w:val="center"/>
              <w:rPr>
                <w:rFonts w:hint="eastAsia" w:ascii="宋体" w:hAnsi="宋体" w:eastAsia="宋体"/>
                <w:color w:val="auto"/>
                <w:szCs w:val="21"/>
                <w:highlight w:val="none"/>
                <w:u w:val="none"/>
                <w:lang w:val="en-US" w:eastAsia="zh-CN"/>
              </w:rPr>
            </w:pPr>
            <w:r>
              <w:rPr>
                <w:rFonts w:hint="eastAsia" w:ascii="宋体" w:hAnsi="宋体"/>
                <w:color w:val="auto"/>
                <w:szCs w:val="21"/>
                <w:highlight w:val="none"/>
                <w:u w:val="none"/>
                <w:lang w:val="en-US" w:eastAsia="zh-CN"/>
              </w:rPr>
              <w:t>2</w:t>
            </w:r>
          </w:p>
        </w:tc>
        <w:tc>
          <w:tcPr>
            <w:tcW w:w="1772" w:type="dxa"/>
            <w:tcBorders>
              <w:tl2br w:val="nil"/>
              <w:tr2bl w:val="nil"/>
            </w:tcBorders>
            <w:vAlign w:val="center"/>
          </w:tcPr>
          <w:p>
            <w:pPr>
              <w:shd w:val="clear"/>
              <w:spacing w:line="240" w:lineRule="auto"/>
              <w:jc w:val="center"/>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铝合金导轨</w:t>
            </w:r>
          </w:p>
        </w:tc>
        <w:tc>
          <w:tcPr>
            <w:tcW w:w="992"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123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1005"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111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72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915"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682" w:type="dxa"/>
            <w:tcBorders>
              <w:tl2br w:val="nil"/>
              <w:tr2bl w:val="nil"/>
            </w:tcBorders>
            <w:vAlign w:val="center"/>
          </w:tcPr>
          <w:p>
            <w:pPr>
              <w:widowControl w:val="0"/>
              <w:shd w:val="clear"/>
              <w:adjustRightInd/>
              <w:snapToGrid/>
              <w:spacing w:before="100" w:beforeAutospacing="1" w:after="100" w:afterAutospacing="1"/>
              <w:jc w:val="center"/>
              <w:rPr>
                <w:rFonts w:hint="eastAsia" w:ascii="宋体" w:hAnsi="宋体"/>
                <w:color w:val="auto"/>
                <w:szCs w:val="21"/>
                <w:highlight w:val="none"/>
                <w:u w:val="none"/>
                <w:lang w:val="en-US" w:eastAsia="zh-CN"/>
              </w:rPr>
            </w:pPr>
          </w:p>
        </w:tc>
        <w:tc>
          <w:tcPr>
            <w:tcW w:w="1772" w:type="dxa"/>
            <w:tcBorders>
              <w:tl2br w:val="nil"/>
              <w:tr2bl w:val="nil"/>
            </w:tcBorders>
            <w:vAlign w:val="center"/>
          </w:tcPr>
          <w:p>
            <w:pPr>
              <w:shd w:val="clear"/>
              <w:spacing w:line="240" w:lineRule="auto"/>
              <w:jc w:val="center"/>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 ...</w:t>
            </w:r>
          </w:p>
        </w:tc>
        <w:tc>
          <w:tcPr>
            <w:tcW w:w="992"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123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1005"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111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720"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u w:val="none"/>
              </w:rPr>
            </w:pPr>
          </w:p>
        </w:tc>
        <w:tc>
          <w:tcPr>
            <w:tcW w:w="915" w:type="dxa"/>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trPr>
        <w:tc>
          <w:tcPr>
            <w:tcW w:w="6791" w:type="dxa"/>
            <w:gridSpan w:val="6"/>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r>
              <w:rPr>
                <w:rFonts w:hint="eastAsia" w:ascii="宋体" w:hAnsi="宋体"/>
                <w:color w:val="auto"/>
                <w:szCs w:val="21"/>
                <w:highlight w:val="none"/>
              </w:rPr>
              <w:t>合计总价</w:t>
            </w:r>
          </w:p>
        </w:tc>
        <w:tc>
          <w:tcPr>
            <w:tcW w:w="1635" w:type="dxa"/>
            <w:gridSpan w:val="2"/>
            <w:tcBorders>
              <w:tl2br w:val="nil"/>
              <w:tr2bl w:val="nil"/>
            </w:tcBorders>
            <w:vAlign w:val="center"/>
          </w:tcPr>
          <w:p>
            <w:pPr>
              <w:shd w:val="clear"/>
              <w:spacing w:before="100" w:beforeAutospacing="1" w:after="100" w:afterAutospacing="1"/>
              <w:jc w:val="center"/>
              <w:rPr>
                <w:rFonts w:ascii="宋体" w:hAnsi="宋体"/>
                <w:color w:val="auto"/>
                <w:szCs w:val="21"/>
                <w:highlight w:val="none"/>
              </w:rPr>
            </w:pPr>
          </w:p>
        </w:tc>
      </w:tr>
    </w:tbl>
    <w:p>
      <w:pPr>
        <w:rPr>
          <w:rFonts w:ascii="宋体" w:hAnsi="宋体" w:cs="宋体"/>
          <w:color w:val="auto"/>
          <w:sz w:val="52"/>
          <w:szCs w:val="52"/>
          <w:highlight w:val="none"/>
        </w:rPr>
      </w:pPr>
    </w:p>
    <w:p>
      <w:pPr>
        <w:ind w:firstLine="359" w:firstLineChars="171"/>
        <w:rPr>
          <w:rFonts w:ascii="宋体" w:hAnsi="宋体" w:cs="宋体"/>
          <w:color w:val="auto"/>
          <w:szCs w:val="21"/>
          <w:highlight w:val="none"/>
        </w:rPr>
      </w:pPr>
      <w:r>
        <w:rPr>
          <w:rFonts w:hint="eastAsia" w:ascii="宋体" w:hAnsi="宋体" w:cs="宋体"/>
          <w:color w:val="auto"/>
          <w:szCs w:val="21"/>
          <w:highlight w:val="none"/>
        </w:rPr>
        <w:t>投标人代表签字：</w:t>
      </w:r>
    </w:p>
    <w:p>
      <w:pPr>
        <w:ind w:firstLine="359" w:firstLineChars="171"/>
        <w:rPr>
          <w:rFonts w:ascii="宋体" w:hAnsi="宋体" w:cs="宋体"/>
          <w:color w:val="auto"/>
          <w:szCs w:val="21"/>
          <w:highlight w:val="none"/>
        </w:rPr>
      </w:pPr>
      <w:r>
        <w:rPr>
          <w:rFonts w:hint="eastAsia" w:ascii="宋体" w:hAnsi="宋体" w:cs="宋体"/>
          <w:color w:val="auto"/>
          <w:szCs w:val="21"/>
          <w:highlight w:val="none"/>
        </w:rPr>
        <w:t>投标人盖章：</w:t>
      </w:r>
    </w:p>
    <w:p>
      <w:pPr>
        <w:ind w:firstLine="359" w:firstLineChars="171"/>
        <w:rPr>
          <w:rFonts w:ascii="宋体" w:hAnsi="宋体" w:cs="宋体"/>
          <w:color w:val="auto"/>
          <w:szCs w:val="21"/>
          <w:highlight w:val="none"/>
        </w:rPr>
      </w:pPr>
      <w:r>
        <w:rPr>
          <w:rFonts w:hint="eastAsia" w:ascii="宋体" w:hAnsi="宋体" w:cs="宋体"/>
          <w:color w:val="auto"/>
          <w:szCs w:val="21"/>
          <w:highlight w:val="none"/>
        </w:rPr>
        <w:t>日期：</w:t>
      </w:r>
    </w:p>
    <w:p>
      <w:pPr>
        <w:shd w:val="clear"/>
        <w:rPr>
          <w:rFonts w:ascii="宋体" w:hAnsi="宋体" w:cs="宋体"/>
          <w:b/>
          <w:color w:val="auto"/>
          <w:szCs w:val="21"/>
          <w:highlight w:val="none"/>
        </w:rPr>
      </w:pPr>
    </w:p>
    <w:p>
      <w:pPr>
        <w:shd w:val="clear"/>
        <w:rPr>
          <w:rFonts w:ascii="宋体" w:hAnsi="宋体"/>
          <w:color w:val="auto"/>
          <w:szCs w:val="21"/>
          <w:highlight w:val="none"/>
        </w:rPr>
      </w:pPr>
      <w:bookmarkStart w:id="112" w:name="_Toc12412"/>
    </w:p>
    <w:bookmarkEnd w:id="112"/>
    <w:p>
      <w:pPr>
        <w:shd w:val="clear"/>
        <w:rPr>
          <w:color w:val="auto"/>
          <w:sz w:val="52"/>
          <w:szCs w:val="52"/>
          <w:highlight w:val="none"/>
        </w:rPr>
      </w:pPr>
      <w:r>
        <w:rPr>
          <w:color w:val="auto"/>
          <w:sz w:val="52"/>
          <w:szCs w:val="52"/>
          <w:highlight w:val="none"/>
        </w:rPr>
        <w:br w:type="page"/>
      </w:r>
    </w:p>
    <w:p>
      <w:pPr>
        <w:shd w:val="clear"/>
        <w:spacing w:before="0" w:after="0" w:line="360" w:lineRule="auto"/>
        <w:jc w:val="center"/>
        <w:outlineLvl w:val="9"/>
        <w:rPr>
          <w:rFonts w:hint="eastAsia"/>
          <w:color w:val="auto"/>
          <w:sz w:val="72"/>
          <w:szCs w:val="72"/>
          <w:highlight w:val="none"/>
        </w:rPr>
      </w:pPr>
    </w:p>
    <w:p>
      <w:pPr>
        <w:shd w:val="clear"/>
        <w:spacing w:before="0" w:after="0" w:line="360" w:lineRule="auto"/>
        <w:jc w:val="center"/>
        <w:outlineLvl w:val="9"/>
        <w:rPr>
          <w:rFonts w:hint="eastAsia"/>
          <w:color w:val="auto"/>
          <w:sz w:val="72"/>
          <w:szCs w:val="72"/>
          <w:highlight w:val="none"/>
        </w:rPr>
      </w:pPr>
    </w:p>
    <w:p>
      <w:pPr>
        <w:shd w:val="clear"/>
        <w:spacing w:before="0" w:after="0" w:line="360" w:lineRule="auto"/>
        <w:jc w:val="center"/>
        <w:outlineLvl w:val="9"/>
        <w:rPr>
          <w:rFonts w:hint="eastAsia"/>
          <w:color w:val="auto"/>
          <w:sz w:val="72"/>
          <w:szCs w:val="72"/>
          <w:highlight w:val="none"/>
        </w:rPr>
      </w:pPr>
    </w:p>
    <w:p>
      <w:pPr>
        <w:pStyle w:val="6"/>
        <w:shd w:val="clear"/>
        <w:spacing w:before="0" w:after="0" w:line="360" w:lineRule="auto"/>
        <w:jc w:val="center"/>
        <w:rPr>
          <w:color w:val="auto"/>
          <w:sz w:val="72"/>
          <w:szCs w:val="72"/>
          <w:highlight w:val="none"/>
        </w:rPr>
      </w:pPr>
      <w:bookmarkStart w:id="113" w:name="_Toc20986"/>
      <w:r>
        <w:rPr>
          <w:rFonts w:hint="eastAsia"/>
          <w:color w:val="auto"/>
          <w:sz w:val="72"/>
          <w:szCs w:val="72"/>
          <w:highlight w:val="none"/>
        </w:rPr>
        <w:t>商务文件</w:t>
      </w:r>
      <w:bookmarkEnd w:id="113"/>
    </w:p>
    <w:p>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pPr>
        <w:shd w:val="clear"/>
        <w:rPr>
          <w:color w:val="auto"/>
          <w:highlight w:val="none"/>
        </w:rPr>
      </w:pPr>
    </w:p>
    <w:p>
      <w:pPr>
        <w:pStyle w:val="2"/>
        <w:shd w:val="clear"/>
        <w:rPr>
          <w:color w:val="auto"/>
          <w:highlight w:val="none"/>
        </w:rPr>
      </w:pPr>
    </w:p>
    <w:p>
      <w:pPr>
        <w:shd w:val="clear"/>
        <w:ind w:firstLine="240"/>
        <w:rPr>
          <w:color w:val="auto"/>
          <w:highlight w:val="none"/>
        </w:rPr>
      </w:pPr>
    </w:p>
    <w:p>
      <w:pPr>
        <w:shd w:val="clear"/>
        <w:rPr>
          <w:rFonts w:hint="eastAsia" w:ascii="宋体" w:hAnsi="宋体" w:cs="宋体"/>
          <w:b/>
          <w:bCs/>
          <w:color w:val="auto"/>
          <w:spacing w:val="106"/>
          <w:kern w:val="0"/>
          <w:sz w:val="32"/>
          <w:szCs w:val="32"/>
          <w:highlight w:val="none"/>
          <w:fitText w:val="1600" w:id="5"/>
        </w:rPr>
      </w:pPr>
      <w:r>
        <w:rPr>
          <w:rFonts w:hint="eastAsia" w:ascii="宋体" w:hAnsi="宋体" w:cs="宋体"/>
          <w:b/>
          <w:bCs/>
          <w:color w:val="auto"/>
          <w:spacing w:val="0"/>
          <w:kern w:val="0"/>
          <w:sz w:val="32"/>
          <w:szCs w:val="32"/>
          <w:highlight w:val="none"/>
          <w:fitText w:val="1600" w:id="5"/>
        </w:rPr>
        <w:t>项目名称：</w:t>
      </w:r>
    </w:p>
    <w:p>
      <w:pPr>
        <w:shd w:val="clear"/>
        <w:rPr>
          <w:rFonts w:hint="eastAsia" w:ascii="宋体" w:hAnsi="宋体" w:cs="宋体"/>
          <w:b/>
          <w:bCs/>
          <w:color w:val="auto"/>
          <w:spacing w:val="106"/>
          <w:kern w:val="0"/>
          <w:sz w:val="32"/>
          <w:szCs w:val="32"/>
          <w:highlight w:val="none"/>
          <w:fitText w:val="1600" w:id="6"/>
        </w:rPr>
      </w:pPr>
      <w:r>
        <w:rPr>
          <w:rFonts w:hint="eastAsia" w:ascii="宋体" w:hAnsi="宋体" w:cs="宋体"/>
          <w:b/>
          <w:bCs/>
          <w:color w:val="auto"/>
          <w:spacing w:val="0"/>
          <w:kern w:val="0"/>
          <w:sz w:val="32"/>
          <w:szCs w:val="32"/>
          <w:highlight w:val="none"/>
          <w:fitText w:val="1600" w:id="6"/>
        </w:rPr>
        <w:t>项目编号：</w:t>
      </w:r>
    </w:p>
    <w:p>
      <w:pPr>
        <w:shd w:val="clear"/>
        <w:rPr>
          <w:rFonts w:hint="eastAsia" w:ascii="宋体" w:hAnsi="宋体" w:cs="宋体"/>
          <w:b/>
          <w:bCs/>
          <w:color w:val="auto"/>
          <w:spacing w:val="106"/>
          <w:kern w:val="0"/>
          <w:sz w:val="32"/>
          <w:szCs w:val="32"/>
          <w:highlight w:val="none"/>
          <w:fitText w:val="1600" w:id="7"/>
        </w:rPr>
      </w:pPr>
      <w:r>
        <w:rPr>
          <w:rFonts w:hint="eastAsia" w:ascii="宋体" w:hAnsi="宋体" w:cs="宋体"/>
          <w:b/>
          <w:bCs/>
          <w:color w:val="auto"/>
          <w:spacing w:val="1"/>
          <w:w w:val="62"/>
          <w:kern w:val="0"/>
          <w:sz w:val="32"/>
          <w:szCs w:val="32"/>
          <w:highlight w:val="none"/>
          <w:fitText w:val="1600" w:id="7"/>
          <w:lang w:val="en-US"/>
        </w:rPr>
        <w:t>包组号（如有）</w:t>
      </w:r>
      <w:r>
        <w:rPr>
          <w:rFonts w:hint="eastAsia" w:ascii="宋体" w:hAnsi="宋体" w:cs="宋体"/>
          <w:b/>
          <w:bCs/>
          <w:color w:val="auto"/>
          <w:spacing w:val="4"/>
          <w:w w:val="62"/>
          <w:kern w:val="0"/>
          <w:sz w:val="32"/>
          <w:szCs w:val="32"/>
          <w:highlight w:val="none"/>
          <w:fitText w:val="1600" w:id="7"/>
          <w:lang w:val="en-US"/>
        </w:rPr>
        <w:t>：</w:t>
      </w:r>
    </w:p>
    <w:p>
      <w:pPr>
        <w:shd w:val="clear"/>
        <w:rPr>
          <w:rFonts w:hint="eastAsia" w:ascii="宋体" w:hAnsi="宋体" w:cs="宋体"/>
          <w:b/>
          <w:bCs/>
          <w:color w:val="auto"/>
          <w:spacing w:val="106"/>
          <w:kern w:val="0"/>
          <w:sz w:val="32"/>
          <w:szCs w:val="32"/>
          <w:highlight w:val="none"/>
          <w:fitText w:val="1600" w:id="8"/>
        </w:rPr>
      </w:pPr>
      <w:r>
        <w:rPr>
          <w:rFonts w:hint="eastAsia" w:ascii="宋体" w:hAnsi="宋体" w:cs="宋体"/>
          <w:b/>
          <w:bCs/>
          <w:color w:val="auto"/>
          <w:spacing w:val="0"/>
          <w:w w:val="83"/>
          <w:kern w:val="0"/>
          <w:sz w:val="32"/>
          <w:szCs w:val="32"/>
          <w:highlight w:val="none"/>
          <w:fitText w:val="1600" w:id="8"/>
        </w:rPr>
        <w:t>投标人名称：</w:t>
      </w:r>
    </w:p>
    <w:p>
      <w:pPr>
        <w:shd w:val="clear"/>
        <w:rPr>
          <w:rFonts w:hint="eastAsia" w:ascii="宋体" w:hAnsi="宋体" w:cs="宋体"/>
          <w:b/>
          <w:bCs/>
          <w:color w:val="auto"/>
          <w:spacing w:val="106"/>
          <w:kern w:val="0"/>
          <w:sz w:val="32"/>
          <w:szCs w:val="32"/>
          <w:highlight w:val="none"/>
          <w:fitText w:val="1600" w:id="9"/>
        </w:rPr>
      </w:pPr>
      <w:r>
        <w:rPr>
          <w:rFonts w:hint="eastAsia" w:ascii="宋体" w:hAnsi="宋体" w:cs="宋体"/>
          <w:b/>
          <w:bCs/>
          <w:color w:val="auto"/>
          <w:spacing w:val="0"/>
          <w:kern w:val="0"/>
          <w:sz w:val="32"/>
          <w:szCs w:val="32"/>
          <w:highlight w:val="none"/>
          <w:fitText w:val="1600" w:id="9"/>
        </w:rPr>
        <w:t>日    期：</w:t>
      </w:r>
    </w:p>
    <w:p>
      <w:pPr>
        <w:pStyle w:val="2"/>
        <w:shd w:val="clear"/>
        <w:rPr>
          <w:b/>
          <w:color w:val="auto"/>
          <w:sz w:val="32"/>
          <w:szCs w:val="32"/>
          <w:highlight w:val="none"/>
        </w:rPr>
      </w:pPr>
    </w:p>
    <w:p>
      <w:pPr>
        <w:shd w:val="clear"/>
        <w:ind w:firstLine="321"/>
        <w:rPr>
          <w:b/>
          <w:color w:val="auto"/>
          <w:sz w:val="32"/>
          <w:szCs w:val="32"/>
          <w:highlight w:val="none"/>
        </w:rPr>
      </w:pPr>
    </w:p>
    <w:p>
      <w:pPr>
        <w:pStyle w:val="25"/>
        <w:shd w:val="clear"/>
        <w:rPr>
          <w:rFonts w:ascii="宋体" w:hAnsi="宋体" w:cs="宋体"/>
          <w:b/>
          <w:color w:val="auto"/>
          <w:sz w:val="32"/>
          <w:szCs w:val="32"/>
          <w:highlight w:val="none"/>
        </w:rPr>
      </w:pPr>
    </w:p>
    <w:p>
      <w:pPr>
        <w:shd w:val="clear"/>
        <w:rPr>
          <w:rFonts w:ascii="宋体" w:hAnsi="宋体"/>
          <w:color w:val="auto"/>
          <w:szCs w:val="21"/>
          <w:highlight w:val="none"/>
        </w:rPr>
      </w:pPr>
      <w:r>
        <w:rPr>
          <w:rFonts w:hint="eastAsia" w:ascii="宋体" w:hAnsi="宋体"/>
          <w:color w:val="auto"/>
          <w:szCs w:val="21"/>
          <w:highlight w:val="none"/>
        </w:rPr>
        <w:br w:type="page"/>
      </w:r>
    </w:p>
    <w:p>
      <w:pPr>
        <w:pStyle w:val="8"/>
        <w:widowControl w:val="0"/>
        <w:shd w:val="clear"/>
        <w:overflowPunct w:val="0"/>
        <w:spacing w:line="240" w:lineRule="auto"/>
        <w:rPr>
          <w:color w:val="auto"/>
          <w:highlight w:val="none"/>
        </w:rPr>
      </w:pPr>
      <w:bookmarkStart w:id="114" w:name="_Toc457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.投标书格式</w:t>
      </w:r>
      <w:bookmarkEnd w:id="114"/>
    </w:p>
    <w:p>
      <w:pPr>
        <w:shd w:val="clear"/>
        <w:jc w:val="center"/>
        <w:rPr>
          <w:rFonts w:ascii="宋体" w:hAnsi="宋体"/>
          <w:color w:val="auto"/>
          <w:szCs w:val="21"/>
          <w:highlight w:val="none"/>
        </w:rPr>
      </w:pPr>
      <w:r>
        <w:rPr>
          <w:rFonts w:hint="eastAsia" w:ascii="黑体" w:eastAsia="黑体"/>
          <w:color w:val="auto"/>
          <w:sz w:val="32"/>
          <w:szCs w:val="32"/>
          <w:highlight w:val="none"/>
        </w:rPr>
        <w:t>投标书</w:t>
      </w:r>
    </w:p>
    <w:p>
      <w:pPr>
        <w:shd w:val="clea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广西同泽工程项目管理股份有限公司</w:t>
      </w:r>
      <w:r>
        <w:rPr>
          <w:rFonts w:hint="eastAsia" w:ascii="宋体" w:hAnsi="宋体"/>
          <w:color w:val="auto"/>
          <w:szCs w:val="21"/>
          <w:highlight w:val="none"/>
        </w:rPr>
        <w:t>：</w:t>
      </w:r>
    </w:p>
    <w:p>
      <w:pPr>
        <w:shd w:val="clear"/>
        <w:rPr>
          <w:rFonts w:ascii="宋体" w:hAnsi="宋体"/>
          <w:color w:val="auto"/>
          <w:szCs w:val="21"/>
          <w:highlight w:val="none"/>
        </w:rPr>
      </w:pPr>
    </w:p>
    <w:p>
      <w:pPr>
        <w:shd w:val="clea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pPr>
        <w:widowControl w:val="0"/>
        <w:numPr>
          <w:ilvl w:val="0"/>
          <w:numId w:val="7"/>
        </w:numPr>
        <w:shd w:val="clea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pPr>
        <w:widowControl w:val="0"/>
        <w:numPr>
          <w:ilvl w:val="0"/>
          <w:numId w:val="7"/>
        </w:numPr>
        <w:shd w:val="clea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pPr>
        <w:widowControl w:val="0"/>
        <w:numPr>
          <w:ilvl w:val="0"/>
          <w:numId w:val="7"/>
        </w:numPr>
        <w:shd w:val="clea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pPr>
        <w:widowControl w:val="0"/>
        <w:numPr>
          <w:ilvl w:val="0"/>
          <w:numId w:val="7"/>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pPr>
        <w:widowControl w:val="0"/>
        <w:numPr>
          <w:ilvl w:val="0"/>
          <w:numId w:val="7"/>
        </w:numPr>
        <w:shd w:val="clea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pPr>
        <w:widowControl w:val="0"/>
        <w:numPr>
          <w:ilvl w:val="0"/>
          <w:numId w:val="7"/>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pPr>
        <w:widowControl w:val="0"/>
        <w:numPr>
          <w:ilvl w:val="0"/>
          <w:numId w:val="7"/>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pPr>
        <w:widowControl w:val="0"/>
        <w:numPr>
          <w:ilvl w:val="0"/>
          <w:numId w:val="7"/>
        </w:numPr>
        <w:shd w:val="clea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pPr>
        <w:shd w:val="clear"/>
        <w:rPr>
          <w:rFonts w:hint="eastAsia" w:ascii="宋体" w:hAnsi="宋体"/>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地址：　　　　　　　　　　　　　　　电子邮箱：　　　　</w:t>
      </w:r>
    </w:p>
    <w:p>
      <w:pPr>
        <w:shd w:val="clear"/>
        <w:rPr>
          <w:rFonts w:ascii="宋体" w:hAnsi="宋体"/>
          <w:color w:val="auto"/>
          <w:szCs w:val="21"/>
          <w:highlight w:val="none"/>
        </w:rPr>
      </w:pPr>
      <w:r>
        <w:rPr>
          <w:rFonts w:hint="eastAsia" w:ascii="宋体" w:hAnsi="宋体"/>
          <w:color w:val="auto"/>
          <w:szCs w:val="21"/>
          <w:highlight w:val="none"/>
        </w:rPr>
        <w:t>电话/移动电话：</w:t>
      </w:r>
    </w:p>
    <w:p>
      <w:pPr>
        <w:shd w:val="clear"/>
        <w:rPr>
          <w:rFonts w:ascii="宋体" w:hAnsi="宋体"/>
          <w:color w:val="auto"/>
          <w:szCs w:val="21"/>
          <w:highlight w:val="none"/>
        </w:rPr>
      </w:pPr>
      <w:r>
        <w:rPr>
          <w:rFonts w:hint="eastAsia" w:ascii="宋体" w:hAnsi="宋体"/>
          <w:color w:val="auto"/>
          <w:szCs w:val="21"/>
          <w:highlight w:val="none"/>
        </w:rPr>
        <w:t xml:space="preserve">投标人法定代表人（或其授权代表）签字：                  </w:t>
      </w:r>
    </w:p>
    <w:p>
      <w:pPr>
        <w:shd w:val="clear"/>
        <w:rPr>
          <w:rFonts w:ascii="宋体" w:hAnsi="宋体"/>
          <w:color w:val="auto"/>
          <w:szCs w:val="21"/>
          <w:highlight w:val="none"/>
        </w:rPr>
      </w:pPr>
      <w:r>
        <w:rPr>
          <w:rFonts w:hint="eastAsia" w:ascii="宋体" w:hAnsi="宋体"/>
          <w:color w:val="auto"/>
          <w:szCs w:val="21"/>
          <w:highlight w:val="none"/>
        </w:rPr>
        <w:t xml:space="preserve">投标人名称（全称）： </w:t>
      </w:r>
    </w:p>
    <w:p>
      <w:pPr>
        <w:shd w:val="clear"/>
        <w:rPr>
          <w:rFonts w:ascii="宋体" w:hAnsi="宋体"/>
          <w:color w:val="auto"/>
          <w:szCs w:val="21"/>
          <w:highlight w:val="none"/>
        </w:rPr>
      </w:pPr>
      <w:r>
        <w:rPr>
          <w:rFonts w:hint="eastAsia" w:ascii="宋体" w:hAnsi="宋体"/>
          <w:color w:val="auto"/>
          <w:szCs w:val="21"/>
          <w:highlight w:val="none"/>
        </w:rPr>
        <w:t xml:space="preserve">投标人盖章： </w:t>
      </w:r>
    </w:p>
    <w:p>
      <w:pPr>
        <w:shd w:val="clear"/>
        <w:rPr>
          <w:color w:val="auto"/>
          <w:highlight w:val="none"/>
        </w:rPr>
      </w:pPr>
      <w:r>
        <w:rPr>
          <w:rFonts w:hint="eastAsia" w:ascii="宋体" w:hAnsi="宋体"/>
          <w:color w:val="auto"/>
          <w:szCs w:val="21"/>
          <w:highlight w:val="none"/>
        </w:rPr>
        <w:t>日期：</w:t>
      </w:r>
      <w:r>
        <w:rPr>
          <w:color w:val="auto"/>
          <w:highlight w:val="none"/>
        </w:rPr>
        <w:br w:type="page"/>
      </w:r>
    </w:p>
    <w:p>
      <w:pPr>
        <w:pStyle w:val="8"/>
        <w:widowControl w:val="0"/>
        <w:shd w:val="clear"/>
        <w:overflowPunct w:val="0"/>
        <w:spacing w:line="240" w:lineRule="auto"/>
        <w:rPr>
          <w:rFonts w:ascii="宋体" w:hAnsi="宋体"/>
          <w:color w:val="auto"/>
          <w:sz w:val="21"/>
          <w:szCs w:val="21"/>
          <w:highlight w:val="none"/>
        </w:rPr>
      </w:pPr>
      <w:bookmarkStart w:id="115" w:name="_Toc29767"/>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.法定代表人证明书格式</w:t>
      </w:r>
      <w:bookmarkEnd w:id="115"/>
    </w:p>
    <w:p>
      <w:pPr>
        <w:shd w:val="clear"/>
        <w:rPr>
          <w:color w:val="auto"/>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pPr>
        <w:pStyle w:val="48"/>
        <w:shd w:val="clear"/>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广西同泽工程项目管理股份有限公司</w:t>
      </w:r>
    </w:p>
    <w:p>
      <w:pPr>
        <w:pStyle w:val="48"/>
        <w:shd w:val="clear"/>
        <w:spacing w:line="420" w:lineRule="atLeast"/>
        <w:ind w:firstLine="433"/>
        <w:rPr>
          <w:rFonts w:ascii="宋体" w:eastAsia="宋体"/>
          <w:color w:val="auto"/>
          <w:sz w:val="21"/>
          <w:szCs w:val="21"/>
          <w:highlight w:val="none"/>
        </w:rPr>
      </w:pPr>
    </w:p>
    <w:p>
      <w:pPr>
        <w:pStyle w:val="48"/>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pPr>
        <w:pStyle w:val="48"/>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pPr>
        <w:pStyle w:val="48"/>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pPr>
        <w:pStyle w:val="48"/>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pPr>
        <w:pStyle w:val="48"/>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pPr>
        <w:pStyle w:val="48"/>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性别：</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年龄：</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职务：</w:t>
      </w:r>
    </w:p>
    <w:p>
      <w:pPr>
        <w:pStyle w:val="48"/>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（投标人名称）的法定代表人。</w:t>
      </w:r>
    </w:p>
    <w:p>
      <w:pPr>
        <w:shd w:val="clea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pPr>
        <w:pStyle w:val="48"/>
        <w:shd w:val="clear"/>
        <w:spacing w:line="500" w:lineRule="atLeast"/>
        <w:ind w:firstLine="3517" w:firstLineChars="1675"/>
        <w:rPr>
          <w:rFonts w:ascii="宋体" w:eastAsia="宋体"/>
          <w:color w:val="auto"/>
          <w:sz w:val="21"/>
          <w:szCs w:val="21"/>
          <w:highlight w:val="none"/>
        </w:rPr>
      </w:pPr>
    </w:p>
    <w:p>
      <w:pPr>
        <w:pStyle w:val="48"/>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pPr>
        <w:pStyle w:val="48"/>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pPr>
        <w:pStyle w:val="48"/>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pPr>
        <w:pStyle w:val="48"/>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pPr>
        <w:pStyle w:val="48"/>
        <w:shd w:val="clear"/>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pPr>
        <w:shd w:val="clear"/>
        <w:ind w:firstLine="420" w:firstLineChars="200"/>
        <w:rPr>
          <w:rFonts w:ascii="宋体" w:hAnsi="宋体"/>
          <w:color w:val="auto"/>
          <w:szCs w:val="21"/>
          <w:highlight w:val="none"/>
        </w:rPr>
      </w:pPr>
    </w:p>
    <w:p>
      <w:pPr>
        <w:shd w:val="clea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8"/>
        <w:tblW w:w="8364" w:type="dxa"/>
        <w:jc w:val="center"/>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Ex>
        <w:trPr>
          <w:trHeight w:val="2517" w:hRule="atLeast"/>
          <w:jc w:val="center"/>
        </w:trPr>
        <w:tc>
          <w:tcPr>
            <w:tcW w:w="4182" w:type="dxa"/>
            <w:vAlign w:val="center"/>
          </w:tcPr>
          <w:p>
            <w:pPr>
              <w:pStyle w:val="48"/>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pPr>
              <w:pStyle w:val="48"/>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pPr>
        <w:shd w:val="clear"/>
        <w:rPr>
          <w:color w:val="auto"/>
          <w:highlight w:val="none"/>
        </w:rPr>
      </w:pPr>
    </w:p>
    <w:p>
      <w:pPr>
        <w:shd w:val="clea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pPr>
        <w:pStyle w:val="8"/>
        <w:widowControl w:val="0"/>
        <w:shd w:val="clear"/>
        <w:overflowPunct w:val="0"/>
        <w:spacing w:line="240" w:lineRule="auto"/>
        <w:rPr>
          <w:color w:val="auto"/>
          <w:highlight w:val="none"/>
        </w:rPr>
      </w:pPr>
      <w:bookmarkStart w:id="116" w:name="_Toc1857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.法定代表人授权书格式</w:t>
      </w:r>
      <w:bookmarkEnd w:id="116"/>
    </w:p>
    <w:p>
      <w:pPr>
        <w:shd w:val="clear"/>
        <w:rPr>
          <w:color w:val="auto"/>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pPr>
        <w:pStyle w:val="48"/>
        <w:shd w:val="clear"/>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广西同泽工程项目管理股份有限公司</w:t>
      </w:r>
    </w:p>
    <w:p>
      <w:pPr>
        <w:pStyle w:val="48"/>
        <w:shd w:val="clear"/>
        <w:spacing w:line="420" w:lineRule="atLeast"/>
        <w:ind w:firstLine="433"/>
        <w:rPr>
          <w:rFonts w:ascii="宋体" w:eastAsia="宋体"/>
          <w:color w:val="auto"/>
          <w:sz w:val="21"/>
          <w:szCs w:val="21"/>
          <w:highlight w:val="none"/>
        </w:rPr>
      </w:pPr>
    </w:p>
    <w:p>
      <w:pPr>
        <w:shd w:val="clea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pPr>
        <w:shd w:val="clea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pPr>
        <w:pStyle w:val="48"/>
        <w:shd w:val="clear"/>
        <w:spacing w:line="500" w:lineRule="atLeast"/>
        <w:ind w:firstLine="3517" w:firstLineChars="1675"/>
        <w:rPr>
          <w:rFonts w:ascii="宋体" w:eastAsia="宋体"/>
          <w:color w:val="auto"/>
          <w:sz w:val="21"/>
          <w:szCs w:val="21"/>
          <w:highlight w:val="none"/>
        </w:rPr>
      </w:pPr>
    </w:p>
    <w:p>
      <w:pPr>
        <w:pStyle w:val="48"/>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pPr>
        <w:pStyle w:val="48"/>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pPr>
        <w:pStyle w:val="48"/>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pPr>
        <w:pStyle w:val="48"/>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pPr>
        <w:pStyle w:val="48"/>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pPr>
        <w:pStyle w:val="48"/>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pPr>
        <w:pStyle w:val="48"/>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pPr>
        <w:pStyle w:val="48"/>
        <w:shd w:val="clear"/>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pPr>
        <w:pStyle w:val="48"/>
        <w:shd w:val="clear"/>
        <w:spacing w:line="460" w:lineRule="exact"/>
        <w:ind w:firstLine="433"/>
        <w:rPr>
          <w:rFonts w:ascii="宋体" w:eastAsia="宋体"/>
          <w:color w:val="auto"/>
          <w:sz w:val="21"/>
          <w:szCs w:val="21"/>
          <w:highlight w:val="none"/>
        </w:rPr>
      </w:pPr>
    </w:p>
    <w:p>
      <w:pPr>
        <w:shd w:val="clear"/>
        <w:ind w:firstLine="420" w:firstLineChars="200"/>
        <w:rPr>
          <w:color w:val="auto"/>
          <w:highlight w:val="none"/>
        </w:rPr>
      </w:pPr>
      <w:r>
        <w:rPr>
          <w:rFonts w:hint="eastAsia" w:ascii="宋体" w:hAnsi="宋体"/>
          <w:color w:val="auto"/>
          <w:szCs w:val="21"/>
          <w:highlight w:val="none"/>
        </w:rPr>
        <w:t>须附：被授权人身份证复印件。</w:t>
      </w:r>
    </w:p>
    <w:tbl>
      <w:tblPr>
        <w:tblStyle w:val="38"/>
        <w:tblW w:w="8464" w:type="dxa"/>
        <w:jc w:val="center"/>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Ex>
        <w:trPr>
          <w:trHeight w:val="2661" w:hRule="atLeast"/>
          <w:jc w:val="center"/>
        </w:trPr>
        <w:tc>
          <w:tcPr>
            <w:tcW w:w="4232" w:type="dxa"/>
            <w:vAlign w:val="center"/>
          </w:tcPr>
          <w:p>
            <w:pPr>
              <w:pStyle w:val="48"/>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pPr>
              <w:pStyle w:val="48"/>
              <w:shd w:val="clear"/>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pPr>
        <w:shd w:val="clear"/>
        <w:adjustRightInd/>
        <w:snapToGrid/>
        <w:spacing w:line="276" w:lineRule="auto"/>
        <w:rPr>
          <w:color w:val="auto"/>
          <w:highlight w:val="none"/>
        </w:rPr>
      </w:pPr>
      <w:bookmarkStart w:id="117" w:name="_Toc22486"/>
      <w:r>
        <w:rPr>
          <w:rFonts w:hint="eastAsia" w:ascii="宋体" w:hAnsi="宋体"/>
          <w:color w:val="auto"/>
          <w:szCs w:val="21"/>
          <w:highlight w:val="none"/>
        </w:rPr>
        <w:br w:type="page"/>
      </w:r>
    </w:p>
    <w:p>
      <w:pPr>
        <w:pStyle w:val="8"/>
        <w:widowControl w:val="0"/>
        <w:shd w:val="clear"/>
        <w:overflowPunct w:val="0"/>
        <w:spacing w:line="240" w:lineRule="auto"/>
        <w:rPr>
          <w:rFonts w:ascii="宋体" w:hAnsi="宋体"/>
          <w:color w:val="auto"/>
          <w:sz w:val="21"/>
          <w:szCs w:val="21"/>
          <w:highlight w:val="none"/>
        </w:rPr>
      </w:pPr>
      <w:bookmarkStart w:id="118" w:name="_Toc29715"/>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.资格申明</w:t>
      </w:r>
      <w:bookmarkEnd w:id="118"/>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pPr>
        <w:pStyle w:val="48"/>
        <w:shd w:val="clear"/>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lang w:eastAsia="zh-CN"/>
        </w:rPr>
        <w:t>广西同泽工程项目管理股份有限公司</w:t>
      </w:r>
      <w:r>
        <w:rPr>
          <w:rFonts w:hint="eastAsia" w:ascii="宋体" w:eastAsia="宋体"/>
          <w:color w:val="auto"/>
          <w:sz w:val="21"/>
          <w:szCs w:val="21"/>
          <w:highlight w:val="none"/>
        </w:rPr>
        <w:t>：</w:t>
      </w:r>
    </w:p>
    <w:p>
      <w:pPr>
        <w:shd w:val="clear"/>
        <w:ind w:firstLine="420" w:firstLineChars="200"/>
        <w:rPr>
          <w:rFonts w:ascii="宋体" w:hAnsi="宋体"/>
          <w:color w:val="auto"/>
          <w:szCs w:val="21"/>
          <w:highlight w:val="none"/>
        </w:rPr>
      </w:pPr>
    </w:p>
    <w:p>
      <w:pPr>
        <w:shd w:val="clea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pPr>
        <w:shd w:val="clea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pPr>
        <w:pStyle w:val="48"/>
        <w:shd w:val="clear"/>
        <w:spacing w:line="500" w:lineRule="atLeast"/>
        <w:ind w:firstLine="3517" w:firstLineChars="1675"/>
        <w:rPr>
          <w:rFonts w:ascii="宋体" w:eastAsia="宋体"/>
          <w:color w:val="auto"/>
          <w:sz w:val="21"/>
          <w:szCs w:val="21"/>
          <w:highlight w:val="none"/>
        </w:rPr>
      </w:pPr>
    </w:p>
    <w:p>
      <w:pPr>
        <w:pStyle w:val="48"/>
        <w:shd w:val="clear"/>
        <w:spacing w:line="500" w:lineRule="atLeast"/>
        <w:ind w:firstLine="3517" w:firstLineChars="1675"/>
        <w:rPr>
          <w:rFonts w:ascii="宋体" w:eastAsia="宋体"/>
          <w:color w:val="auto"/>
          <w:sz w:val="21"/>
          <w:szCs w:val="21"/>
          <w:highlight w:val="none"/>
        </w:rPr>
      </w:pPr>
    </w:p>
    <w:p>
      <w:pPr>
        <w:pStyle w:val="48"/>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pPr>
        <w:pStyle w:val="48"/>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法定代表人签字（签名或盖私章）：</w:t>
      </w:r>
    </w:p>
    <w:p>
      <w:pPr>
        <w:pStyle w:val="48"/>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期：年月日</w:t>
      </w:r>
    </w:p>
    <w:p>
      <w:pPr>
        <w:pStyle w:val="48"/>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pPr>
        <w:pStyle w:val="8"/>
        <w:widowControl w:val="0"/>
        <w:shd w:val="clear"/>
        <w:overflowPunct w:val="0"/>
        <w:spacing w:line="240" w:lineRule="auto"/>
        <w:rPr>
          <w:rFonts w:ascii="宋体" w:hAnsi="宋体"/>
          <w:color w:val="auto"/>
          <w:sz w:val="21"/>
          <w:szCs w:val="21"/>
          <w:highlight w:val="none"/>
        </w:rPr>
      </w:pPr>
      <w:bookmarkStart w:id="119" w:name="_Toc26545"/>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.营业执照</w:t>
      </w:r>
      <w:bookmarkEnd w:id="119"/>
    </w:p>
    <w:p>
      <w:pPr>
        <w:shd w:val="clear"/>
        <w:jc w:val="center"/>
        <w:rPr>
          <w:rFonts w:ascii="黑体" w:eastAsia="黑体"/>
          <w:color w:val="auto"/>
          <w:sz w:val="28"/>
          <w:szCs w:val="28"/>
          <w:highlight w:val="none"/>
        </w:rPr>
      </w:pPr>
      <w:bookmarkStart w:id="120" w:name="_Toc17470"/>
      <w:bookmarkStart w:id="121" w:name="_Toc5919"/>
      <w:bookmarkStart w:id="122" w:name="_Toc24210"/>
      <w:bookmarkStart w:id="123" w:name="_Toc4926"/>
      <w:bookmarkStart w:id="124" w:name="_Toc1511"/>
      <w:r>
        <w:rPr>
          <w:rFonts w:hint="eastAsia" w:ascii="黑体" w:eastAsia="黑体"/>
          <w:color w:val="auto"/>
          <w:sz w:val="28"/>
          <w:szCs w:val="28"/>
          <w:highlight w:val="none"/>
        </w:rPr>
        <w:t>营业执照</w:t>
      </w:r>
      <w:bookmarkEnd w:id="120"/>
      <w:bookmarkEnd w:id="121"/>
      <w:bookmarkEnd w:id="122"/>
      <w:bookmarkEnd w:id="123"/>
      <w:bookmarkEnd w:id="124"/>
    </w:p>
    <w:p>
      <w:pPr>
        <w:shd w:val="clear"/>
        <w:jc w:val="center"/>
        <w:rPr>
          <w:rFonts w:ascii="黑体" w:eastAsia="黑体"/>
          <w:color w:val="auto"/>
          <w:sz w:val="28"/>
          <w:szCs w:val="28"/>
          <w:highlight w:val="none"/>
        </w:rPr>
      </w:pPr>
      <w:r>
        <w:rPr>
          <w:rFonts w:hint="eastAsia" w:ascii="黑体" w:eastAsia="黑体"/>
          <w:color w:val="auto"/>
          <w:sz w:val="28"/>
          <w:szCs w:val="28"/>
          <w:highlight w:val="none"/>
        </w:rPr>
        <w:br w:type="page"/>
      </w:r>
    </w:p>
    <w:p>
      <w:pPr>
        <w:pStyle w:val="8"/>
        <w:widowControl w:val="0"/>
        <w:shd w:val="clear"/>
        <w:overflowPunct w:val="0"/>
        <w:spacing w:line="240" w:lineRule="auto"/>
        <w:rPr>
          <w:rFonts w:ascii="宋体" w:hAnsi="宋体"/>
          <w:color w:val="auto"/>
          <w:sz w:val="21"/>
          <w:szCs w:val="21"/>
          <w:highlight w:val="none"/>
        </w:rPr>
      </w:pPr>
      <w:bookmarkStart w:id="125" w:name="_Toc732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.相关资质证明文件</w:t>
      </w:r>
      <w:bookmarkEnd w:id="125"/>
    </w:p>
    <w:p>
      <w:pPr>
        <w:shd w:val="clear"/>
        <w:rPr>
          <w:color w:val="auto"/>
          <w:highlight w:val="none"/>
        </w:rPr>
      </w:pPr>
    </w:p>
    <w:p>
      <w:pPr>
        <w:shd w:val="clear"/>
        <w:jc w:val="center"/>
        <w:rPr>
          <w:rFonts w:ascii="黑体" w:eastAsia="黑体"/>
          <w:color w:val="auto"/>
          <w:sz w:val="28"/>
          <w:szCs w:val="28"/>
          <w:highlight w:val="none"/>
        </w:rPr>
      </w:pPr>
      <w:bookmarkStart w:id="126" w:name="_Toc16698"/>
      <w:bookmarkStart w:id="127" w:name="_Toc13458"/>
      <w:bookmarkStart w:id="128" w:name="_Toc16233"/>
      <w:bookmarkStart w:id="129" w:name="_Toc9592"/>
      <w:bookmarkStart w:id="130" w:name="_Toc30307"/>
      <w:r>
        <w:rPr>
          <w:rFonts w:hint="eastAsia" w:ascii="黑体" w:eastAsia="黑体"/>
          <w:color w:val="auto"/>
          <w:sz w:val="28"/>
          <w:szCs w:val="28"/>
          <w:highlight w:val="none"/>
        </w:rPr>
        <w:t>相关资质证明文件</w:t>
      </w:r>
      <w:bookmarkEnd w:id="117"/>
      <w:bookmarkEnd w:id="126"/>
      <w:bookmarkEnd w:id="127"/>
      <w:bookmarkEnd w:id="128"/>
      <w:bookmarkEnd w:id="129"/>
      <w:bookmarkEnd w:id="130"/>
    </w:p>
    <w:p>
      <w:pPr>
        <w:numPr>
          <w:ilvl w:val="0"/>
          <w:numId w:val="8"/>
        </w:numPr>
        <w:shd w:val="clea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pPr>
        <w:numPr>
          <w:ilvl w:val="0"/>
          <w:numId w:val="8"/>
        </w:numPr>
        <w:shd w:val="clea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pPr>
        <w:pStyle w:val="8"/>
        <w:widowControl w:val="0"/>
        <w:shd w:val="clear"/>
        <w:overflowPunct w:val="0"/>
        <w:spacing w:line="240" w:lineRule="auto"/>
        <w:rPr>
          <w:rFonts w:ascii="楷体_GB2312" w:eastAsia="楷体_GB2312"/>
          <w:color w:val="auto"/>
          <w:highlight w:val="none"/>
        </w:rPr>
      </w:pPr>
      <w:bookmarkStart w:id="131" w:name="_Toc14155"/>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0</w:t>
      </w:r>
      <w:r>
        <w:rPr>
          <w:rFonts w:hint="eastAsia" w:ascii="宋体" w:hAnsi="宋体"/>
          <w:color w:val="auto"/>
          <w:sz w:val="21"/>
          <w:szCs w:val="21"/>
          <w:highlight w:val="none"/>
        </w:rPr>
        <w:t>.在经营活动中没有重大违法记录的书面声明格式</w:t>
      </w:r>
      <w:bookmarkEnd w:id="131"/>
    </w:p>
    <w:p>
      <w:pPr>
        <w:shd w:val="clear"/>
        <w:rPr>
          <w:color w:val="auto"/>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pPr>
        <w:shd w:val="clear"/>
        <w:ind w:firstLine="420" w:firstLineChars="200"/>
        <w:rPr>
          <w:rFonts w:ascii="宋体" w:hAnsi="宋体" w:cs="宋体"/>
          <w:color w:val="auto"/>
          <w:szCs w:val="21"/>
          <w:highlight w:val="none"/>
        </w:rPr>
      </w:pPr>
    </w:p>
    <w:p>
      <w:pPr>
        <w:shd w:val="clear"/>
        <w:spacing w:line="480" w:lineRule="auto"/>
        <w:rPr>
          <w:rFonts w:ascii="宋体" w:hAnsi="宋体" w:cs="宋体"/>
          <w:color w:val="auto"/>
          <w:szCs w:val="21"/>
          <w:highlight w:val="none"/>
        </w:rPr>
      </w:pPr>
      <w:r>
        <w:rPr>
          <w:rFonts w:hint="eastAsia" w:ascii="宋体" w:hAnsi="宋体" w:cs="宋体"/>
          <w:color w:val="auto"/>
          <w:szCs w:val="21"/>
          <w:highlight w:val="none"/>
          <w:lang w:eastAsia="zh-CN"/>
        </w:rPr>
        <w:t>东莞市安居建设投资有限公司、广西同泽工程项目管理股份有限公司</w:t>
      </w:r>
      <w:r>
        <w:rPr>
          <w:rFonts w:hint="eastAsia" w:ascii="宋体" w:hAnsi="宋体" w:cs="宋体"/>
          <w:color w:val="auto"/>
          <w:szCs w:val="21"/>
          <w:highlight w:val="none"/>
        </w:rPr>
        <w:t>：</w:t>
      </w:r>
    </w:p>
    <w:p>
      <w:pPr>
        <w:shd w:val="clea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lang w:val="en-US" w:eastAsia="zh-CN"/>
        </w:rPr>
        <w:t>XX</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pPr>
        <w:shd w:val="clea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pPr>
        <w:shd w:val="clear"/>
        <w:ind w:firstLine="420" w:firstLineChars="200"/>
        <w:rPr>
          <w:rFonts w:ascii="宋体" w:hAnsi="宋体" w:cs="宋体"/>
          <w:color w:val="auto"/>
          <w:szCs w:val="21"/>
          <w:highlight w:val="none"/>
        </w:rPr>
      </w:pPr>
    </w:p>
    <w:p>
      <w:pPr>
        <w:shd w:val="clear"/>
        <w:rPr>
          <w:rFonts w:ascii="宋体" w:hAnsi="宋体" w:cs="宋体"/>
          <w:color w:val="auto"/>
          <w:szCs w:val="21"/>
          <w:highlight w:val="none"/>
        </w:rPr>
      </w:pPr>
    </w:p>
    <w:p>
      <w:pPr>
        <w:shd w:val="clea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pPr>
        <w:shd w:val="clear"/>
        <w:rPr>
          <w:rFonts w:ascii="宋体" w:hAnsi="宋体" w:cs="宋体"/>
          <w:color w:val="auto"/>
          <w:szCs w:val="21"/>
          <w:highlight w:val="none"/>
        </w:rPr>
      </w:pPr>
    </w:p>
    <w:p>
      <w:pPr>
        <w:shd w:val="clea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pPr>
        <w:shd w:val="clear"/>
        <w:rPr>
          <w:color w:val="auto"/>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color w:val="auto"/>
          <w:highlight w:val="none"/>
        </w:rPr>
      </w:pPr>
    </w:p>
    <w:p>
      <w:pPr>
        <w:pStyle w:val="8"/>
        <w:widowControl w:val="0"/>
        <w:shd w:val="clear"/>
        <w:overflowPunct w:val="0"/>
        <w:spacing w:line="240" w:lineRule="auto"/>
        <w:rPr>
          <w:rFonts w:ascii="楷体_GB2312" w:eastAsia="楷体_GB2312"/>
          <w:color w:val="auto"/>
          <w:highlight w:val="none"/>
        </w:rPr>
      </w:pPr>
      <w:bookmarkStart w:id="132" w:name="_Toc1661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.承诺书格式</w:t>
      </w:r>
      <w:bookmarkEnd w:id="132"/>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承诺书</w:t>
      </w:r>
    </w:p>
    <w:p>
      <w:pPr>
        <w:pStyle w:val="48"/>
        <w:shd w:val="clear"/>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广西同泽工程项目管理股份有限公司</w:t>
      </w:r>
      <w:r>
        <w:rPr>
          <w:rFonts w:hint="eastAsia" w:ascii="宋体" w:eastAsia="宋体" w:cs="宋体"/>
          <w:color w:val="auto"/>
          <w:sz w:val="21"/>
          <w:szCs w:val="21"/>
          <w:highlight w:val="none"/>
        </w:rPr>
        <w:t>：</w:t>
      </w:r>
    </w:p>
    <w:p>
      <w:pPr>
        <w:shd w:val="clear"/>
        <w:jc w:val="center"/>
        <w:rPr>
          <w:rFonts w:ascii="宋体" w:hAnsi="宋体" w:cs="宋体"/>
          <w:color w:val="auto"/>
          <w:szCs w:val="21"/>
          <w:highlight w:val="none"/>
        </w:rPr>
      </w:pPr>
    </w:p>
    <w:p>
      <w:pPr>
        <w:pStyle w:val="48"/>
        <w:shd w:val="clear"/>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pPr>
        <w:pStyle w:val="48"/>
        <w:shd w:val="clear"/>
        <w:spacing w:line="420" w:lineRule="exact"/>
        <w:ind w:firstLine="433"/>
        <w:rPr>
          <w:rFonts w:ascii="宋体" w:eastAsia="宋体" w:cs="宋体"/>
          <w:color w:val="auto"/>
          <w:sz w:val="21"/>
          <w:szCs w:val="21"/>
          <w:highlight w:val="none"/>
        </w:rPr>
      </w:pPr>
    </w:p>
    <w:p>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pPr>
        <w:shd w:val="clear"/>
        <w:rPr>
          <w:color w:val="auto"/>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rFonts w:ascii="宋体" w:hAnsi="宋体"/>
          <w:color w:val="auto"/>
          <w:szCs w:val="21"/>
          <w:highlight w:val="none"/>
        </w:rPr>
      </w:pPr>
    </w:p>
    <w:p>
      <w:pPr>
        <w:pStyle w:val="2"/>
        <w:shd w:val="clear"/>
        <w:rPr>
          <w:color w:val="auto"/>
          <w:sz w:val="21"/>
          <w:szCs w:val="21"/>
          <w:highlight w:val="none"/>
        </w:rPr>
      </w:pPr>
    </w:p>
    <w:p>
      <w:pPr>
        <w:shd w:val="clear"/>
        <w:rPr>
          <w:color w:val="auto"/>
          <w:highlight w:val="none"/>
        </w:rPr>
      </w:pPr>
    </w:p>
    <w:p>
      <w:pPr>
        <w:pStyle w:val="8"/>
        <w:widowControl w:val="0"/>
        <w:shd w:val="clear"/>
        <w:overflowPunct w:val="0"/>
        <w:spacing w:line="240" w:lineRule="auto"/>
        <w:rPr>
          <w:rFonts w:ascii="宋体" w:hAnsi="宋体"/>
          <w:color w:val="auto"/>
          <w:sz w:val="21"/>
          <w:szCs w:val="21"/>
          <w:highlight w:val="none"/>
        </w:rPr>
      </w:pPr>
      <w:bookmarkStart w:id="133" w:name="_Toc17693"/>
      <w:bookmarkStart w:id="134" w:name="_Toc8279"/>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.商务需求条款偏离表格式</w:t>
      </w:r>
      <w:bookmarkEnd w:id="133"/>
      <w:bookmarkEnd w:id="134"/>
    </w:p>
    <w:p>
      <w:pPr>
        <w:shd w:val="clear"/>
        <w:jc w:val="center"/>
        <w:rPr>
          <w:rFonts w:ascii="黑体" w:eastAsia="黑体"/>
          <w:color w:val="auto"/>
          <w:sz w:val="28"/>
          <w:szCs w:val="28"/>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8"/>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1008"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vAlign w:val="center"/>
          </w:tcPr>
          <w:p>
            <w:pPr>
              <w:shd w:val="clear"/>
              <w:jc w:val="center"/>
              <w:rPr>
                <w:rFonts w:ascii="宋体" w:hAnsi="宋体"/>
                <w:color w:val="auto"/>
                <w:szCs w:val="21"/>
                <w:highlight w:val="none"/>
              </w:rPr>
            </w:pPr>
          </w:p>
        </w:tc>
        <w:tc>
          <w:tcPr>
            <w:tcW w:w="1620" w:type="dxa"/>
            <w:vAlign w:val="center"/>
          </w:tcPr>
          <w:p>
            <w:pPr>
              <w:shd w:val="clear"/>
              <w:jc w:val="center"/>
              <w:rPr>
                <w:rFonts w:ascii="宋体" w:hAnsi="宋体"/>
                <w:color w:val="auto"/>
                <w:szCs w:val="21"/>
                <w:highlight w:val="none"/>
              </w:rPr>
            </w:pPr>
          </w:p>
        </w:tc>
        <w:tc>
          <w:tcPr>
            <w:tcW w:w="1360" w:type="dxa"/>
            <w:vAlign w:val="center"/>
          </w:tcPr>
          <w:p>
            <w:pPr>
              <w:shd w:val="clear"/>
              <w:jc w:val="center"/>
              <w:rPr>
                <w:rFonts w:ascii="宋体" w:hAnsi="宋体"/>
                <w:color w:val="auto"/>
                <w:szCs w:val="21"/>
                <w:highlight w:val="none"/>
              </w:rPr>
            </w:pPr>
          </w:p>
        </w:tc>
        <w:tc>
          <w:tcPr>
            <w:tcW w:w="1587" w:type="dxa"/>
            <w:vAlign w:val="center"/>
          </w:tcPr>
          <w:p>
            <w:pPr>
              <w:shd w:val="clear"/>
              <w:jc w:val="center"/>
              <w:rPr>
                <w:rFonts w:ascii="宋体" w:hAnsi="宋体"/>
                <w:color w:val="auto"/>
                <w:szCs w:val="21"/>
                <w:highlight w:val="none"/>
              </w:rPr>
            </w:pPr>
          </w:p>
        </w:tc>
        <w:tc>
          <w:tcPr>
            <w:tcW w:w="1133" w:type="dxa"/>
            <w:vAlign w:val="center"/>
          </w:tcPr>
          <w:p>
            <w:pPr>
              <w:shd w:val="clear"/>
              <w:jc w:val="center"/>
              <w:rPr>
                <w:rFonts w:ascii="宋体" w:hAnsi="宋体"/>
                <w:color w:val="auto"/>
                <w:szCs w:val="21"/>
                <w:highlight w:val="none"/>
              </w:rPr>
            </w:pPr>
          </w:p>
        </w:tc>
        <w:tc>
          <w:tcPr>
            <w:tcW w:w="1730" w:type="dxa"/>
            <w:vAlign w:val="center"/>
          </w:tcPr>
          <w:p>
            <w:pPr>
              <w:shd w:val="clear"/>
              <w:jc w:val="center"/>
              <w:rPr>
                <w:rFonts w:ascii="宋体" w:hAnsi="宋体"/>
                <w:color w:val="auto"/>
                <w:szCs w:val="21"/>
                <w:highlight w:val="none"/>
              </w:rPr>
            </w:pPr>
          </w:p>
        </w:tc>
      </w:tr>
    </w:tbl>
    <w:p>
      <w:pPr>
        <w:shd w:val="clear"/>
        <w:rPr>
          <w:rFonts w:ascii="宋体" w:hAnsi="宋体"/>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投标人代表签字：</w:t>
      </w:r>
    </w:p>
    <w:p>
      <w:pPr>
        <w:shd w:val="clear"/>
        <w:rPr>
          <w:rFonts w:ascii="宋体" w:hAnsi="宋体"/>
          <w:color w:val="auto"/>
          <w:szCs w:val="21"/>
          <w:highlight w:val="none"/>
        </w:rPr>
      </w:pPr>
      <w:r>
        <w:rPr>
          <w:rFonts w:hint="eastAsia" w:ascii="宋体" w:hAnsi="宋体"/>
          <w:color w:val="auto"/>
          <w:szCs w:val="21"/>
          <w:highlight w:val="none"/>
        </w:rPr>
        <w:t>投标人盖章：</w:t>
      </w:r>
    </w:p>
    <w:p>
      <w:pPr>
        <w:shd w:val="clear"/>
        <w:rPr>
          <w:rFonts w:ascii="宋体" w:hAnsi="宋体"/>
          <w:color w:val="auto"/>
          <w:szCs w:val="21"/>
          <w:highlight w:val="none"/>
        </w:rPr>
      </w:pPr>
    </w:p>
    <w:p>
      <w:pPr>
        <w:shd w:val="clear"/>
        <w:ind w:left="718" w:hanging="718" w:hangingChars="342"/>
        <w:rPr>
          <w:rFonts w:ascii="宋体" w:hAnsi="宋体"/>
          <w:color w:val="auto"/>
          <w:szCs w:val="21"/>
          <w:highlight w:val="none"/>
        </w:rPr>
      </w:pPr>
      <w:r>
        <w:rPr>
          <w:rFonts w:hint="eastAsia" w:ascii="宋体" w:hAnsi="宋体"/>
          <w:color w:val="auto"/>
          <w:szCs w:val="21"/>
          <w:highlight w:val="none"/>
        </w:rPr>
        <w:t>注：</w:t>
      </w:r>
    </w:p>
    <w:p>
      <w:pPr>
        <w:shd w:val="clea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pPr>
        <w:shd w:val="clea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pPr>
        <w:shd w:val="clea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pPr>
        <w:shd w:val="clea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pPr>
        <w:shd w:val="clea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pPr>
        <w:shd w:val="clear"/>
        <w:rPr>
          <w:rFonts w:ascii="宋体" w:hAnsi="宋体"/>
          <w:color w:val="auto"/>
          <w:szCs w:val="21"/>
          <w:highlight w:val="none"/>
        </w:rPr>
      </w:pPr>
      <w:r>
        <w:rPr>
          <w:rFonts w:hint="eastAsia" w:ascii="宋体" w:hAnsi="宋体"/>
          <w:color w:val="auto"/>
          <w:szCs w:val="21"/>
          <w:highlight w:val="none"/>
        </w:rPr>
        <w:br w:type="page"/>
      </w:r>
    </w:p>
    <w:p>
      <w:pPr>
        <w:pStyle w:val="8"/>
        <w:widowControl w:val="0"/>
        <w:shd w:val="clear"/>
        <w:overflowPunct w:val="0"/>
        <w:spacing w:line="240" w:lineRule="auto"/>
        <w:rPr>
          <w:rFonts w:ascii="宋体" w:hAnsi="宋体"/>
          <w:color w:val="auto"/>
          <w:sz w:val="30"/>
          <w:szCs w:val="30"/>
          <w:highlight w:val="none"/>
        </w:rPr>
      </w:pPr>
      <w:bookmarkStart w:id="135" w:name="_Toc2758"/>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.业绩表</w:t>
      </w:r>
      <w:bookmarkEnd w:id="135"/>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9"/>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vAlign w:val="center"/>
          </w:tcPr>
          <w:p>
            <w:pPr>
              <w:shd w:val="clea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pPr>
              <w:shd w:val="clea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pPr>
              <w:shd w:val="clea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pPr>
              <w:shd w:val="clear"/>
              <w:adjustRightInd/>
              <w:snapToGrid/>
              <w:jc w:val="center"/>
              <w:rPr>
                <w:rFonts w:hint="eastAsia" w:ascii="宋体" w:hAnsi="宋体"/>
                <w:color w:val="auto"/>
                <w:szCs w:val="21"/>
                <w:highlight w:val="none"/>
              </w:rPr>
            </w:pPr>
            <w:r>
              <w:rPr>
                <w:rFonts w:hint="eastAsia" w:ascii="宋体" w:hAnsi="宋体"/>
                <w:color w:val="auto"/>
                <w:szCs w:val="21"/>
                <w:highlight w:val="none"/>
              </w:rPr>
              <w:t>项目合同</w:t>
            </w:r>
          </w:p>
          <w:p>
            <w:pPr>
              <w:shd w:val="clear"/>
              <w:adjustRightInd/>
              <w:snapToGrid/>
              <w:jc w:val="center"/>
              <w:rPr>
                <w:rFonts w:ascii="宋体" w:hAnsi="宋体"/>
                <w:color w:val="auto"/>
                <w:szCs w:val="21"/>
                <w:highlight w:val="none"/>
              </w:rPr>
            </w:pPr>
            <w:r>
              <w:rPr>
                <w:rFonts w:hint="eastAsia" w:ascii="宋体" w:hAnsi="宋体"/>
                <w:color w:val="auto"/>
                <w:szCs w:val="21"/>
                <w:highlight w:val="none"/>
              </w:rPr>
              <w:t>签订时间</w:t>
            </w:r>
          </w:p>
        </w:tc>
        <w:tc>
          <w:tcPr>
            <w:tcW w:w="1697" w:type="dxa"/>
            <w:vAlign w:val="center"/>
          </w:tcPr>
          <w:p>
            <w:pPr>
              <w:shd w:val="clea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vAlign w:val="center"/>
          </w:tcPr>
          <w:p>
            <w:pPr>
              <w:shd w:val="clear"/>
              <w:adjustRightInd/>
              <w:snapToGrid/>
              <w:jc w:val="center"/>
              <w:rPr>
                <w:rFonts w:ascii="宋体" w:hAnsi="宋体"/>
                <w:color w:val="auto"/>
                <w:szCs w:val="21"/>
                <w:highlight w:val="none"/>
              </w:rPr>
            </w:pPr>
          </w:p>
        </w:tc>
        <w:tc>
          <w:tcPr>
            <w:tcW w:w="1705" w:type="dxa"/>
            <w:vAlign w:val="center"/>
          </w:tcPr>
          <w:p>
            <w:pPr>
              <w:shd w:val="clear"/>
              <w:adjustRightInd/>
              <w:snapToGrid/>
              <w:jc w:val="center"/>
              <w:rPr>
                <w:rFonts w:ascii="宋体" w:hAnsi="宋体"/>
                <w:color w:val="auto"/>
                <w:szCs w:val="21"/>
                <w:highlight w:val="none"/>
              </w:rPr>
            </w:pPr>
          </w:p>
        </w:tc>
        <w:tc>
          <w:tcPr>
            <w:tcW w:w="1706" w:type="dxa"/>
            <w:vAlign w:val="center"/>
          </w:tcPr>
          <w:p>
            <w:pPr>
              <w:shd w:val="clear"/>
              <w:adjustRightInd/>
              <w:snapToGrid/>
              <w:jc w:val="center"/>
              <w:rPr>
                <w:rFonts w:ascii="宋体" w:hAnsi="宋体"/>
                <w:color w:val="auto"/>
                <w:szCs w:val="21"/>
                <w:highlight w:val="none"/>
              </w:rPr>
            </w:pPr>
          </w:p>
        </w:tc>
        <w:tc>
          <w:tcPr>
            <w:tcW w:w="1705" w:type="dxa"/>
            <w:vAlign w:val="center"/>
          </w:tcPr>
          <w:p>
            <w:pPr>
              <w:shd w:val="clear"/>
              <w:adjustRightInd/>
              <w:snapToGrid/>
              <w:jc w:val="center"/>
              <w:rPr>
                <w:rFonts w:ascii="宋体" w:hAnsi="宋体"/>
                <w:color w:val="auto"/>
                <w:szCs w:val="21"/>
                <w:highlight w:val="none"/>
              </w:rPr>
            </w:pPr>
          </w:p>
        </w:tc>
        <w:tc>
          <w:tcPr>
            <w:tcW w:w="1697" w:type="dxa"/>
            <w:vAlign w:val="center"/>
          </w:tcPr>
          <w:p>
            <w:pPr>
              <w:shd w:val="clear"/>
              <w:adjustRightInd/>
              <w:snapToGrid/>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trPr>
        <w:tc>
          <w:tcPr>
            <w:tcW w:w="1705"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706" w:type="dxa"/>
          </w:tcPr>
          <w:p>
            <w:pPr>
              <w:shd w:val="clear"/>
              <w:adjustRightInd/>
              <w:snapToGrid/>
              <w:rPr>
                <w:rFonts w:ascii="宋体" w:hAnsi="宋体"/>
                <w:color w:val="auto"/>
                <w:szCs w:val="21"/>
                <w:highlight w:val="none"/>
              </w:rPr>
            </w:pPr>
          </w:p>
        </w:tc>
        <w:tc>
          <w:tcPr>
            <w:tcW w:w="1705" w:type="dxa"/>
          </w:tcPr>
          <w:p>
            <w:pPr>
              <w:shd w:val="clear"/>
              <w:adjustRightInd/>
              <w:snapToGrid/>
              <w:rPr>
                <w:rFonts w:ascii="宋体" w:hAnsi="宋体"/>
                <w:color w:val="auto"/>
                <w:szCs w:val="21"/>
                <w:highlight w:val="none"/>
              </w:rPr>
            </w:pPr>
          </w:p>
        </w:tc>
        <w:tc>
          <w:tcPr>
            <w:tcW w:w="1697" w:type="dxa"/>
          </w:tcPr>
          <w:p>
            <w:pPr>
              <w:shd w:val="clear"/>
              <w:adjustRightInd/>
              <w:snapToGrid/>
              <w:rPr>
                <w:rFonts w:ascii="宋体" w:hAnsi="宋体"/>
                <w:color w:val="auto"/>
                <w:szCs w:val="21"/>
                <w:highlight w:val="none"/>
              </w:rPr>
            </w:pPr>
          </w:p>
        </w:tc>
      </w:tr>
    </w:tbl>
    <w:p>
      <w:pPr>
        <w:pStyle w:val="45"/>
        <w:shd w:val="clear"/>
        <w:rPr>
          <w:rFonts w:ascii="宋体" w:hAnsi="宋体"/>
          <w:color w:val="auto"/>
          <w:szCs w:val="21"/>
          <w:highlight w:val="none"/>
        </w:rPr>
      </w:pPr>
    </w:p>
    <w:p>
      <w:pPr>
        <w:pStyle w:val="45"/>
        <w:shd w:val="clear"/>
        <w:rPr>
          <w:rFonts w:ascii="宋体" w:hAnsi="宋体"/>
          <w:color w:val="auto"/>
          <w:szCs w:val="21"/>
          <w:highlight w:val="none"/>
        </w:rPr>
      </w:pPr>
      <w:r>
        <w:rPr>
          <w:rFonts w:hint="eastAsia" w:ascii="宋体" w:hAnsi="宋体"/>
          <w:color w:val="auto"/>
          <w:szCs w:val="21"/>
          <w:highlight w:val="none"/>
        </w:rPr>
        <w:t>注：</w:t>
      </w:r>
    </w:p>
    <w:p>
      <w:pPr>
        <w:pStyle w:val="45"/>
        <w:numPr>
          <w:ilvl w:val="0"/>
          <w:numId w:val="9"/>
        </w:numPr>
        <w:shd w:val="clea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pPr>
        <w:pStyle w:val="45"/>
        <w:numPr>
          <w:ilvl w:val="0"/>
          <w:numId w:val="9"/>
        </w:numPr>
        <w:shd w:val="clea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pPr>
        <w:shd w:val="clear"/>
        <w:rPr>
          <w:rFonts w:ascii="宋体" w:hAnsi="宋体"/>
          <w:color w:val="auto"/>
          <w:szCs w:val="21"/>
          <w:highlight w:val="none"/>
        </w:rPr>
      </w:pPr>
      <w:r>
        <w:rPr>
          <w:rFonts w:hint="eastAsia" w:ascii="宋体" w:hAnsi="宋体"/>
          <w:color w:val="auto"/>
          <w:szCs w:val="21"/>
          <w:highlight w:val="none"/>
        </w:rPr>
        <w:br w:type="page"/>
      </w:r>
    </w:p>
    <w:p>
      <w:pPr>
        <w:pStyle w:val="8"/>
        <w:widowControl w:val="0"/>
        <w:shd w:val="clear"/>
        <w:overflowPunct w:val="0"/>
        <w:spacing w:line="240" w:lineRule="auto"/>
        <w:rPr>
          <w:color w:val="auto"/>
          <w:highlight w:val="none"/>
        </w:rPr>
      </w:pPr>
      <w:bookmarkStart w:id="136" w:name="_Toc25261"/>
      <w:bookmarkStart w:id="137" w:name="_Toc1959"/>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.联合体协议书</w:t>
      </w:r>
      <w:r>
        <w:rPr>
          <w:rFonts w:hint="eastAsia"/>
          <w:color w:val="auto"/>
          <w:highlight w:val="none"/>
        </w:rPr>
        <w:t>（如有）</w:t>
      </w:r>
      <w:bookmarkEnd w:id="136"/>
      <w:bookmarkEnd w:id="137"/>
    </w:p>
    <w:p>
      <w:pPr>
        <w:shd w:val="clear"/>
        <w:rPr>
          <w:color w:val="auto"/>
          <w:highlight w:val="none"/>
        </w:rPr>
      </w:pPr>
    </w:p>
    <w:p>
      <w:pPr>
        <w:shd w:val="clear"/>
        <w:jc w:val="center"/>
        <w:rPr>
          <w:rFonts w:hAnsi="宋体" w:cs="宋体"/>
          <w:color w:val="auto"/>
          <w:highlight w:val="none"/>
        </w:rPr>
      </w:pPr>
      <w:r>
        <w:rPr>
          <w:rFonts w:hint="eastAsia" w:hAnsi="宋体" w:cs="宋体"/>
          <w:b/>
          <w:bCs/>
          <w:color w:val="auto"/>
          <w:highlight w:val="none"/>
        </w:rPr>
        <w:t>联合体共同投标协议书</w:t>
      </w:r>
    </w:p>
    <w:p>
      <w:pPr>
        <w:shd w:val="clear"/>
        <w:jc w:val="center"/>
        <w:rPr>
          <w:rFonts w:hAnsi="宋体" w:cs="宋体"/>
          <w:color w:val="auto"/>
          <w:highlight w:val="none"/>
        </w:rPr>
      </w:pPr>
    </w:p>
    <w:p>
      <w:pPr>
        <w:shd w:val="clear"/>
        <w:rPr>
          <w:rFonts w:hAnsi="宋体" w:cs="宋体"/>
          <w:color w:val="auto"/>
          <w:szCs w:val="21"/>
          <w:highlight w:val="none"/>
        </w:rPr>
      </w:pPr>
      <w:r>
        <w:rPr>
          <w:rFonts w:hint="eastAsia" w:hAnsi="宋体" w:cs="宋体"/>
          <w:color w:val="auto"/>
          <w:szCs w:val="21"/>
          <w:highlight w:val="none"/>
        </w:rPr>
        <w:t>立约方：（甲公司全称）</w:t>
      </w:r>
    </w:p>
    <w:p>
      <w:pPr>
        <w:shd w:val="clear"/>
        <w:rPr>
          <w:rFonts w:hAnsi="宋体" w:cs="宋体"/>
          <w:color w:val="auto"/>
          <w:szCs w:val="21"/>
          <w:highlight w:val="none"/>
        </w:rPr>
      </w:pPr>
      <w:r>
        <w:rPr>
          <w:rFonts w:hint="eastAsia" w:hAnsi="宋体" w:cs="宋体"/>
          <w:color w:val="auto"/>
          <w:szCs w:val="21"/>
          <w:highlight w:val="none"/>
        </w:rPr>
        <w:t>（乙公司全称）</w:t>
      </w:r>
    </w:p>
    <w:p>
      <w:pPr>
        <w:shd w:val="clear"/>
        <w:rPr>
          <w:rFonts w:hAnsi="宋体" w:cs="宋体"/>
          <w:color w:val="auto"/>
          <w:szCs w:val="21"/>
          <w:highlight w:val="none"/>
        </w:rPr>
      </w:pPr>
      <w:r>
        <w:rPr>
          <w:rFonts w:hint="eastAsia" w:hAnsi="宋体" w:cs="宋体"/>
          <w:color w:val="auto"/>
          <w:szCs w:val="21"/>
          <w:highlight w:val="none"/>
        </w:rPr>
        <w:t>（……公司全称）</w:t>
      </w:r>
    </w:p>
    <w:p>
      <w:pPr>
        <w:shd w:val="clear"/>
        <w:rPr>
          <w:rFonts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 （项目编号：xxxx）</w:t>
      </w:r>
      <w:r>
        <w:rPr>
          <w:rFonts w:hint="eastAsia" w:hAnsi="宋体" w:cs="宋体"/>
          <w:color w:val="auto"/>
          <w:szCs w:val="21"/>
          <w:highlight w:val="none"/>
        </w:rPr>
        <w:t>的招标活动。经各方充分协商一致，就项目的投标和合同实施阶段的有关事务协商一致订立协议如下：</w:t>
      </w:r>
    </w:p>
    <w:p>
      <w:pPr>
        <w:shd w:val="clear"/>
        <w:rPr>
          <w:rFonts w:hAnsi="宋体" w:cs="宋体"/>
          <w:color w:val="auto"/>
          <w:szCs w:val="21"/>
          <w:highlight w:val="none"/>
        </w:rPr>
      </w:pPr>
      <w:r>
        <w:rPr>
          <w:rFonts w:hint="eastAsia" w:hAnsi="宋体" w:cs="宋体"/>
          <w:color w:val="auto"/>
          <w:szCs w:val="21"/>
          <w:highlight w:val="none"/>
        </w:rPr>
        <w:t>一、联合体各方关系</w:t>
      </w:r>
    </w:p>
    <w:p>
      <w:pPr>
        <w:shd w:val="clear"/>
        <w:rPr>
          <w:rFonts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pPr>
        <w:shd w:val="clear"/>
        <w:rPr>
          <w:rFonts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pPr>
        <w:shd w:val="clear"/>
        <w:rPr>
          <w:rFonts w:hAnsi="宋体" w:cs="宋体"/>
          <w:color w:val="auto"/>
          <w:szCs w:val="21"/>
          <w:highlight w:val="none"/>
        </w:rPr>
      </w:pPr>
      <w:r>
        <w:rPr>
          <w:rFonts w:hint="eastAsia" w:hAnsi="宋体" w:cs="宋体"/>
          <w:color w:val="auto"/>
          <w:szCs w:val="21"/>
          <w:highlight w:val="none"/>
        </w:rPr>
        <w:t>二、联合体内部有关事项约定如下：</w:t>
      </w:r>
    </w:p>
    <w:p>
      <w:pPr>
        <w:shd w:val="clear"/>
        <w:rPr>
          <w:rFonts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pPr>
        <w:shd w:val="clear"/>
        <w:rPr>
          <w:rFonts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pPr>
        <w:shd w:val="clear"/>
        <w:rPr>
          <w:rFonts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pPr>
        <w:shd w:val="clear"/>
        <w:rPr>
          <w:rFonts w:hAnsi="宋体" w:cs="宋体"/>
          <w:color w:val="auto"/>
          <w:szCs w:val="21"/>
          <w:highlight w:val="none"/>
        </w:rPr>
      </w:pPr>
      <w:r>
        <w:rPr>
          <w:rFonts w:hint="eastAsia" w:hAnsi="宋体" w:cs="宋体"/>
          <w:color w:val="auto"/>
          <w:szCs w:val="21"/>
          <w:highlight w:val="none"/>
        </w:rPr>
        <w:t>4.联合体各成员单位内部的职责分工如下：</w:t>
      </w:r>
    </w:p>
    <w:p>
      <w:pPr>
        <w:shd w:val="clear"/>
        <w:rPr>
          <w:rFonts w:hAnsi="宋体" w:cs="宋体"/>
          <w:color w:val="auto"/>
          <w:szCs w:val="21"/>
          <w:highlight w:val="none"/>
        </w:rPr>
      </w:pPr>
      <w:r>
        <w:rPr>
          <w:rFonts w:hint="eastAsia" w:hAnsi="宋体" w:cs="宋体"/>
          <w:color w:val="auto"/>
          <w:szCs w:val="21"/>
          <w:highlight w:val="none"/>
        </w:rPr>
        <w:t>（1）</w:t>
      </w:r>
    </w:p>
    <w:p>
      <w:pPr>
        <w:shd w:val="clear"/>
        <w:rPr>
          <w:color w:val="auto"/>
          <w:highlight w:val="none"/>
        </w:rPr>
      </w:pPr>
      <w:r>
        <w:rPr>
          <w:rFonts w:hint="eastAsia" w:hAnsi="宋体" w:cs="宋体"/>
          <w:color w:val="auto"/>
          <w:szCs w:val="21"/>
          <w:highlight w:val="none"/>
        </w:rPr>
        <w:t>（2）</w:t>
      </w:r>
    </w:p>
    <w:p>
      <w:pPr>
        <w:shd w:val="clear"/>
        <w:rPr>
          <w:rFonts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pPr>
        <w:shd w:val="clear"/>
        <w:rPr>
          <w:rFonts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pPr>
        <w:shd w:val="clear"/>
        <w:rPr>
          <w:rFonts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pPr>
        <w:shd w:val="clear"/>
        <w:rPr>
          <w:rFonts w:hAnsi="宋体" w:cs="宋体"/>
          <w:color w:val="auto"/>
          <w:szCs w:val="21"/>
          <w:highlight w:val="none"/>
        </w:rPr>
      </w:pPr>
      <w:r>
        <w:rPr>
          <w:rFonts w:hint="eastAsia" w:hAnsi="宋体" w:cs="宋体"/>
          <w:color w:val="auto"/>
          <w:szCs w:val="21"/>
          <w:highlight w:val="none"/>
        </w:rPr>
        <w:t>六、本协议在自签署之日起生效，投标有效期内有效，如获中标资格，本协议有效期延续至合同履行完毕之日。</w:t>
      </w:r>
    </w:p>
    <w:p>
      <w:pPr>
        <w:shd w:val="clear"/>
        <w:rPr>
          <w:rFonts w:hAnsi="宋体" w:cs="宋体"/>
          <w:color w:val="auto"/>
          <w:szCs w:val="21"/>
          <w:highlight w:val="none"/>
        </w:rPr>
      </w:pPr>
      <w:r>
        <w:rPr>
          <w:rFonts w:hint="eastAsia" w:hAnsi="宋体" w:cs="宋体"/>
          <w:color w:val="auto"/>
          <w:szCs w:val="21"/>
          <w:highlight w:val="none"/>
        </w:rPr>
        <w:t xml:space="preserve">七、本协议书一式____份，联合体成员和采购人各执一份。 </w:t>
      </w:r>
    </w:p>
    <w:p>
      <w:pPr>
        <w:shd w:val="clear"/>
        <w:rPr>
          <w:rFonts w:hAnsi="宋体" w:cs="宋体"/>
          <w:color w:val="auto"/>
          <w:szCs w:val="21"/>
          <w:highlight w:val="none"/>
        </w:rPr>
      </w:pPr>
    </w:p>
    <w:p>
      <w:pPr>
        <w:pStyle w:val="2"/>
        <w:shd w:val="clear"/>
        <w:rPr>
          <w:color w:val="auto"/>
          <w:sz w:val="21"/>
          <w:szCs w:val="21"/>
          <w:highlight w:val="none"/>
        </w:rPr>
      </w:pPr>
      <w:r>
        <w:rPr>
          <w:rFonts w:hint="eastAsia"/>
          <w:color w:val="auto"/>
          <w:sz w:val="21"/>
          <w:szCs w:val="21"/>
          <w:highlight w:val="none"/>
        </w:rPr>
        <w:t>注：本协议书由委托人签字的，应附法定代表人签字的授权委托书。</w:t>
      </w:r>
    </w:p>
    <w:p>
      <w:pPr>
        <w:pStyle w:val="2"/>
        <w:shd w:val="clear"/>
        <w:rPr>
          <w:color w:val="auto"/>
          <w:sz w:val="21"/>
          <w:szCs w:val="21"/>
          <w:highlight w:val="none"/>
        </w:rPr>
      </w:pPr>
      <w:r>
        <w:rPr>
          <w:rFonts w:hint="eastAsia"/>
          <w:color w:val="auto"/>
          <w:sz w:val="21"/>
          <w:szCs w:val="21"/>
          <w:highlight w:val="none"/>
        </w:rPr>
        <w:t>牵头人名称：_______________________（盖单位公章）</w:t>
      </w:r>
    </w:p>
    <w:p>
      <w:pPr>
        <w:pStyle w:val="2"/>
        <w:shd w:val="clear"/>
        <w:rPr>
          <w:color w:val="auto"/>
          <w:sz w:val="21"/>
          <w:szCs w:val="21"/>
          <w:highlight w:val="none"/>
        </w:rPr>
      </w:pPr>
      <w:r>
        <w:rPr>
          <w:rFonts w:hint="eastAsia"/>
          <w:color w:val="auto"/>
          <w:sz w:val="21"/>
          <w:szCs w:val="21"/>
          <w:highlight w:val="none"/>
        </w:rPr>
        <w:t>法定代表人或其委托代理人：_____________（签字）</w:t>
      </w:r>
    </w:p>
    <w:p>
      <w:pPr>
        <w:pStyle w:val="2"/>
        <w:shd w:val="clear"/>
        <w:rPr>
          <w:color w:val="auto"/>
          <w:sz w:val="21"/>
          <w:szCs w:val="21"/>
          <w:highlight w:val="none"/>
        </w:rPr>
      </w:pPr>
    </w:p>
    <w:p>
      <w:pPr>
        <w:pStyle w:val="2"/>
        <w:shd w:val="clear"/>
        <w:rPr>
          <w:color w:val="auto"/>
          <w:sz w:val="21"/>
          <w:szCs w:val="21"/>
          <w:highlight w:val="none"/>
        </w:rPr>
      </w:pPr>
      <w:r>
        <w:rPr>
          <w:rFonts w:hint="eastAsia"/>
          <w:color w:val="auto"/>
          <w:sz w:val="21"/>
          <w:szCs w:val="21"/>
          <w:highlight w:val="none"/>
        </w:rPr>
        <w:t>成员一名称：_______________________（盖单位公章）</w:t>
      </w:r>
    </w:p>
    <w:p>
      <w:pPr>
        <w:pStyle w:val="2"/>
        <w:shd w:val="clear"/>
        <w:rPr>
          <w:color w:val="auto"/>
          <w:sz w:val="21"/>
          <w:szCs w:val="21"/>
          <w:highlight w:val="none"/>
        </w:rPr>
      </w:pPr>
      <w:r>
        <w:rPr>
          <w:rFonts w:hint="eastAsia"/>
          <w:color w:val="auto"/>
          <w:sz w:val="21"/>
          <w:szCs w:val="21"/>
          <w:highlight w:val="none"/>
        </w:rPr>
        <w:t>法定代表人或其委托代理人：_____________（签字）</w:t>
      </w:r>
    </w:p>
    <w:p>
      <w:pPr>
        <w:pStyle w:val="2"/>
        <w:shd w:val="clear"/>
        <w:rPr>
          <w:color w:val="auto"/>
          <w:sz w:val="21"/>
          <w:szCs w:val="21"/>
          <w:highlight w:val="none"/>
        </w:rPr>
      </w:pPr>
    </w:p>
    <w:p>
      <w:pPr>
        <w:pStyle w:val="2"/>
        <w:shd w:val="clear"/>
        <w:rPr>
          <w:color w:val="auto"/>
          <w:sz w:val="21"/>
          <w:szCs w:val="21"/>
          <w:highlight w:val="none"/>
        </w:rPr>
      </w:pPr>
      <w:r>
        <w:rPr>
          <w:rFonts w:hint="eastAsia"/>
          <w:color w:val="auto"/>
          <w:sz w:val="21"/>
          <w:szCs w:val="21"/>
          <w:highlight w:val="none"/>
        </w:rPr>
        <w:t>成员二名称：_______________________（盖单位公章）</w:t>
      </w:r>
    </w:p>
    <w:p>
      <w:pPr>
        <w:pStyle w:val="2"/>
        <w:shd w:val="clear"/>
        <w:rPr>
          <w:color w:val="auto"/>
          <w:sz w:val="21"/>
          <w:szCs w:val="21"/>
          <w:highlight w:val="none"/>
        </w:rPr>
      </w:pPr>
      <w:r>
        <w:rPr>
          <w:rFonts w:hint="eastAsia"/>
          <w:color w:val="auto"/>
          <w:sz w:val="21"/>
          <w:szCs w:val="21"/>
          <w:highlight w:val="none"/>
        </w:rPr>
        <w:t>法定代表人或其委托代理人：_____________（签字）</w:t>
      </w:r>
    </w:p>
    <w:p>
      <w:pPr>
        <w:pStyle w:val="2"/>
        <w:shd w:val="clear"/>
        <w:ind w:firstLine="210" w:firstLineChars="100"/>
        <w:jc w:val="both"/>
        <w:rPr>
          <w:color w:val="auto"/>
          <w:sz w:val="21"/>
          <w:szCs w:val="21"/>
          <w:highlight w:val="none"/>
        </w:rPr>
      </w:pPr>
      <w:r>
        <w:rPr>
          <w:rFonts w:hint="eastAsia"/>
          <w:color w:val="auto"/>
          <w:sz w:val="21"/>
          <w:szCs w:val="21"/>
          <w:highlight w:val="none"/>
        </w:rPr>
        <w:t>……</w:t>
      </w:r>
    </w:p>
    <w:p>
      <w:pPr>
        <w:pStyle w:val="2"/>
        <w:shd w:val="clear"/>
        <w:rPr>
          <w:color w:val="auto"/>
          <w:highlight w:val="none"/>
          <w:lang w:val="en-US"/>
        </w:rPr>
        <w:sectPr>
          <w:headerReference r:id="rId7" w:type="first"/>
          <w:footerReference r:id="rId9" w:type="first"/>
          <w:headerReference r:id="rId6" w:type="default"/>
          <w:footerReference r:id="rId8" w:type="default"/>
          <w:pgSz w:w="11906" w:h="16838"/>
          <w:pgMar w:top="1440" w:right="1800" w:bottom="1440" w:left="1800" w:header="708" w:footer="708" w:gutter="0"/>
          <w:pgNumType w:fmt="decimal"/>
          <w:cols w:space="708" w:num="1"/>
          <w:titlePg/>
          <w:docGrid w:type="lines" w:linePitch="360" w:charSpace="0"/>
        </w:sectPr>
      </w:pPr>
      <w:r>
        <w:rPr>
          <w:rFonts w:hint="eastAsia"/>
          <w:color w:val="auto"/>
          <w:sz w:val="21"/>
          <w:szCs w:val="21"/>
          <w:highlight w:val="none"/>
        </w:rPr>
        <w:t xml:space="preserve">        年     月     日</w:t>
      </w:r>
    </w:p>
    <w:p>
      <w:pPr>
        <w:pStyle w:val="2"/>
        <w:shd w:val="clear"/>
        <w:rPr>
          <w:color w:val="auto"/>
          <w:highlight w:val="none"/>
        </w:rPr>
      </w:pPr>
    </w:p>
    <w:p>
      <w:pPr>
        <w:pStyle w:val="6"/>
        <w:shd w:val="clear"/>
        <w:spacing w:before="0" w:after="0" w:line="360" w:lineRule="auto"/>
        <w:jc w:val="center"/>
        <w:rPr>
          <w:color w:val="auto"/>
          <w:sz w:val="72"/>
          <w:szCs w:val="72"/>
          <w:highlight w:val="none"/>
        </w:rPr>
      </w:pPr>
      <w:bookmarkStart w:id="138" w:name="_Toc16702"/>
      <w:r>
        <w:rPr>
          <w:rFonts w:hint="eastAsia"/>
          <w:color w:val="auto"/>
          <w:sz w:val="72"/>
          <w:szCs w:val="72"/>
          <w:highlight w:val="none"/>
        </w:rPr>
        <w:t>技术文件</w:t>
      </w:r>
      <w:bookmarkEnd w:id="138"/>
    </w:p>
    <w:p>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pPr>
        <w:shd w:val="clear"/>
        <w:rPr>
          <w:color w:val="auto"/>
          <w:highlight w:val="none"/>
        </w:rPr>
      </w:pPr>
    </w:p>
    <w:p>
      <w:pPr>
        <w:pStyle w:val="2"/>
        <w:shd w:val="clear"/>
        <w:rPr>
          <w:color w:val="auto"/>
          <w:highlight w:val="none"/>
        </w:rPr>
      </w:pPr>
    </w:p>
    <w:p>
      <w:pPr>
        <w:shd w:val="clear"/>
        <w:ind w:firstLine="240"/>
        <w:rPr>
          <w:color w:val="auto"/>
          <w:highlight w:val="none"/>
        </w:rPr>
      </w:pPr>
    </w:p>
    <w:p>
      <w:pPr>
        <w:shd w:val="clear"/>
        <w:rPr>
          <w:rFonts w:hint="eastAsia" w:ascii="宋体" w:hAnsi="宋体" w:cs="宋体"/>
          <w:b/>
          <w:bCs/>
          <w:color w:val="auto"/>
          <w:spacing w:val="106"/>
          <w:kern w:val="0"/>
          <w:sz w:val="32"/>
          <w:szCs w:val="32"/>
          <w:highlight w:val="none"/>
          <w:fitText w:val="1600" w:id="10"/>
        </w:rPr>
      </w:pPr>
      <w:r>
        <w:rPr>
          <w:rFonts w:hint="eastAsia" w:ascii="宋体" w:hAnsi="宋体" w:cs="宋体"/>
          <w:b/>
          <w:bCs/>
          <w:color w:val="auto"/>
          <w:spacing w:val="0"/>
          <w:kern w:val="0"/>
          <w:sz w:val="32"/>
          <w:szCs w:val="32"/>
          <w:highlight w:val="none"/>
          <w:fitText w:val="1600" w:id="10"/>
        </w:rPr>
        <w:t>项目名称：</w:t>
      </w:r>
    </w:p>
    <w:p>
      <w:pPr>
        <w:shd w:val="clear"/>
        <w:rPr>
          <w:rFonts w:hint="eastAsia" w:ascii="宋体" w:hAnsi="宋体" w:cs="宋体"/>
          <w:b/>
          <w:bCs/>
          <w:color w:val="auto"/>
          <w:spacing w:val="106"/>
          <w:kern w:val="0"/>
          <w:sz w:val="32"/>
          <w:szCs w:val="32"/>
          <w:highlight w:val="none"/>
          <w:fitText w:val="1600" w:id="11"/>
        </w:rPr>
      </w:pPr>
      <w:r>
        <w:rPr>
          <w:rFonts w:hint="eastAsia" w:ascii="宋体" w:hAnsi="宋体" w:cs="宋体"/>
          <w:b/>
          <w:bCs/>
          <w:color w:val="auto"/>
          <w:spacing w:val="0"/>
          <w:kern w:val="0"/>
          <w:sz w:val="32"/>
          <w:szCs w:val="32"/>
          <w:highlight w:val="none"/>
          <w:fitText w:val="1600" w:id="11"/>
        </w:rPr>
        <w:t>项目编号：</w:t>
      </w:r>
    </w:p>
    <w:p>
      <w:pPr>
        <w:shd w:val="clear"/>
        <w:rPr>
          <w:rFonts w:hint="eastAsia" w:ascii="宋体" w:hAnsi="宋体" w:cs="宋体"/>
          <w:b/>
          <w:bCs/>
          <w:color w:val="auto"/>
          <w:spacing w:val="106"/>
          <w:kern w:val="0"/>
          <w:sz w:val="32"/>
          <w:szCs w:val="32"/>
          <w:highlight w:val="none"/>
          <w:fitText w:val="1600" w:id="12"/>
        </w:rPr>
      </w:pPr>
      <w:r>
        <w:rPr>
          <w:rFonts w:hint="eastAsia" w:ascii="宋体" w:hAnsi="宋体" w:cs="宋体"/>
          <w:b/>
          <w:bCs/>
          <w:color w:val="auto"/>
          <w:spacing w:val="1"/>
          <w:w w:val="62"/>
          <w:kern w:val="0"/>
          <w:sz w:val="32"/>
          <w:szCs w:val="32"/>
          <w:highlight w:val="none"/>
          <w:fitText w:val="1600" w:id="12"/>
          <w:lang w:val="en-US"/>
        </w:rPr>
        <w:t>包组号（如有）</w:t>
      </w:r>
      <w:r>
        <w:rPr>
          <w:rFonts w:hint="eastAsia" w:ascii="宋体" w:hAnsi="宋体" w:cs="宋体"/>
          <w:b/>
          <w:bCs/>
          <w:color w:val="auto"/>
          <w:spacing w:val="4"/>
          <w:w w:val="62"/>
          <w:kern w:val="0"/>
          <w:sz w:val="32"/>
          <w:szCs w:val="32"/>
          <w:highlight w:val="none"/>
          <w:fitText w:val="1600" w:id="12"/>
          <w:lang w:val="en-US"/>
        </w:rPr>
        <w:t>：</w:t>
      </w:r>
    </w:p>
    <w:p>
      <w:pPr>
        <w:shd w:val="clear"/>
        <w:rPr>
          <w:rFonts w:hint="eastAsia" w:ascii="宋体" w:hAnsi="宋体" w:cs="宋体"/>
          <w:b/>
          <w:bCs/>
          <w:color w:val="auto"/>
          <w:spacing w:val="106"/>
          <w:kern w:val="0"/>
          <w:sz w:val="32"/>
          <w:szCs w:val="32"/>
          <w:highlight w:val="none"/>
          <w:fitText w:val="1600" w:id="13"/>
        </w:rPr>
      </w:pPr>
      <w:r>
        <w:rPr>
          <w:rFonts w:hint="eastAsia" w:ascii="宋体" w:hAnsi="宋体" w:cs="宋体"/>
          <w:b/>
          <w:bCs/>
          <w:color w:val="auto"/>
          <w:spacing w:val="0"/>
          <w:w w:val="83"/>
          <w:kern w:val="0"/>
          <w:sz w:val="32"/>
          <w:szCs w:val="32"/>
          <w:highlight w:val="none"/>
          <w:fitText w:val="1600" w:id="13"/>
        </w:rPr>
        <w:t>投标人名称：</w:t>
      </w:r>
    </w:p>
    <w:p>
      <w:pPr>
        <w:shd w:val="clear"/>
        <w:rPr>
          <w:rFonts w:hint="eastAsia" w:ascii="宋体" w:hAnsi="宋体" w:cs="宋体"/>
          <w:b/>
          <w:bCs/>
          <w:color w:val="auto"/>
          <w:spacing w:val="106"/>
          <w:kern w:val="0"/>
          <w:sz w:val="32"/>
          <w:szCs w:val="32"/>
          <w:highlight w:val="none"/>
          <w:fitText w:val="1600" w:id="14"/>
        </w:rPr>
      </w:pPr>
      <w:r>
        <w:rPr>
          <w:rFonts w:hint="eastAsia" w:ascii="宋体" w:hAnsi="宋体" w:cs="宋体"/>
          <w:b/>
          <w:bCs/>
          <w:color w:val="auto"/>
          <w:spacing w:val="0"/>
          <w:kern w:val="0"/>
          <w:sz w:val="32"/>
          <w:szCs w:val="32"/>
          <w:highlight w:val="none"/>
          <w:fitText w:val="1600" w:id="14"/>
        </w:rPr>
        <w:t>日    期：</w:t>
      </w:r>
    </w:p>
    <w:p>
      <w:pPr>
        <w:shd w:val="clear"/>
        <w:rPr>
          <w:rFonts w:ascii="宋体" w:hAnsi="宋体"/>
          <w:color w:val="auto"/>
          <w:szCs w:val="21"/>
          <w:highlight w:val="none"/>
        </w:rPr>
      </w:pPr>
      <w:r>
        <w:rPr>
          <w:rFonts w:hint="eastAsia" w:ascii="宋体" w:hAnsi="宋体"/>
          <w:color w:val="auto"/>
          <w:szCs w:val="21"/>
          <w:highlight w:val="none"/>
        </w:rPr>
        <w:br w:type="page"/>
      </w:r>
    </w:p>
    <w:p>
      <w:pPr>
        <w:pStyle w:val="8"/>
        <w:widowControl w:val="0"/>
        <w:shd w:val="clear"/>
        <w:overflowPunct w:val="0"/>
        <w:spacing w:line="240" w:lineRule="auto"/>
        <w:rPr>
          <w:rFonts w:ascii="宋体" w:hAnsi="宋体"/>
          <w:color w:val="auto"/>
          <w:sz w:val="21"/>
          <w:szCs w:val="21"/>
          <w:highlight w:val="none"/>
        </w:rPr>
      </w:pPr>
      <w:bookmarkStart w:id="139" w:name="_Toc4075"/>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技术规格偏离表格式</w:t>
      </w:r>
      <w:bookmarkEnd w:id="139"/>
    </w:p>
    <w:p>
      <w:pPr>
        <w:shd w:val="clear"/>
        <w:jc w:val="center"/>
        <w:rPr>
          <w:rFonts w:ascii="黑体" w:eastAsia="黑体"/>
          <w:color w:val="auto"/>
          <w:sz w:val="28"/>
          <w:szCs w:val="28"/>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3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trPr>
        <w:tc>
          <w:tcPr>
            <w:tcW w:w="838"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序号</w:t>
            </w:r>
          </w:p>
        </w:tc>
        <w:tc>
          <w:tcPr>
            <w:tcW w:w="19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8" w:type="dxa"/>
            <w:vAlign w:val="center"/>
          </w:tcPr>
          <w:p>
            <w:pPr>
              <w:shd w:val="clear"/>
              <w:jc w:val="center"/>
              <w:rPr>
                <w:rFonts w:ascii="宋体" w:hAnsi="宋体"/>
                <w:color w:val="auto"/>
                <w:szCs w:val="21"/>
                <w:highlight w:val="none"/>
              </w:rPr>
            </w:pPr>
          </w:p>
        </w:tc>
        <w:tc>
          <w:tcPr>
            <w:tcW w:w="1902" w:type="dxa"/>
            <w:vAlign w:val="center"/>
          </w:tcPr>
          <w:p>
            <w:pPr>
              <w:shd w:val="clear"/>
              <w:jc w:val="center"/>
              <w:rPr>
                <w:rFonts w:ascii="宋体" w:hAnsi="宋体"/>
                <w:color w:val="auto"/>
                <w:szCs w:val="21"/>
                <w:highlight w:val="none"/>
              </w:rPr>
            </w:pPr>
          </w:p>
        </w:tc>
        <w:tc>
          <w:tcPr>
            <w:tcW w:w="1370" w:type="dxa"/>
            <w:vAlign w:val="center"/>
          </w:tcPr>
          <w:p>
            <w:pPr>
              <w:shd w:val="clear"/>
              <w:jc w:val="center"/>
              <w:rPr>
                <w:rFonts w:ascii="宋体" w:hAnsi="宋体"/>
                <w:color w:val="auto"/>
                <w:szCs w:val="21"/>
                <w:highlight w:val="none"/>
              </w:rPr>
            </w:pPr>
          </w:p>
        </w:tc>
        <w:tc>
          <w:tcPr>
            <w:tcW w:w="1629" w:type="dxa"/>
            <w:vAlign w:val="center"/>
          </w:tcPr>
          <w:p>
            <w:pPr>
              <w:shd w:val="clear"/>
              <w:jc w:val="center"/>
              <w:rPr>
                <w:rFonts w:ascii="宋体" w:hAnsi="宋体"/>
                <w:color w:val="auto"/>
                <w:szCs w:val="21"/>
                <w:highlight w:val="none"/>
              </w:rPr>
            </w:pPr>
          </w:p>
        </w:tc>
        <w:tc>
          <w:tcPr>
            <w:tcW w:w="1239" w:type="dxa"/>
            <w:vAlign w:val="center"/>
          </w:tcPr>
          <w:p>
            <w:pPr>
              <w:shd w:val="clear"/>
              <w:jc w:val="center"/>
              <w:rPr>
                <w:rFonts w:ascii="宋体" w:hAnsi="宋体"/>
                <w:color w:val="auto"/>
                <w:szCs w:val="21"/>
                <w:highlight w:val="none"/>
              </w:rPr>
            </w:pPr>
          </w:p>
        </w:tc>
        <w:tc>
          <w:tcPr>
            <w:tcW w:w="1544" w:type="dxa"/>
            <w:vAlign w:val="center"/>
          </w:tcPr>
          <w:p>
            <w:pPr>
              <w:shd w:val="clear"/>
              <w:jc w:val="center"/>
              <w:rPr>
                <w:rFonts w:ascii="宋体" w:hAnsi="宋体"/>
                <w:color w:val="auto"/>
                <w:szCs w:val="21"/>
                <w:highlight w:val="none"/>
              </w:rPr>
            </w:pPr>
          </w:p>
        </w:tc>
      </w:tr>
    </w:tbl>
    <w:p>
      <w:pPr>
        <w:shd w:val="clear"/>
        <w:rPr>
          <w:rFonts w:ascii="宋体" w:hAnsi="宋体"/>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投标人代表签字：</w:t>
      </w:r>
    </w:p>
    <w:p>
      <w:pPr>
        <w:shd w:val="clear"/>
        <w:rPr>
          <w:rFonts w:ascii="宋体" w:hAnsi="宋体"/>
          <w:color w:val="auto"/>
          <w:szCs w:val="21"/>
          <w:highlight w:val="none"/>
        </w:rPr>
      </w:pPr>
      <w:r>
        <w:rPr>
          <w:rFonts w:hint="eastAsia" w:ascii="宋体" w:hAnsi="宋体"/>
          <w:color w:val="auto"/>
          <w:szCs w:val="21"/>
          <w:highlight w:val="none"/>
        </w:rPr>
        <w:t>投标人盖章：</w:t>
      </w:r>
    </w:p>
    <w:p>
      <w:pPr>
        <w:shd w:val="clear"/>
        <w:ind w:firstLine="178" w:firstLineChars="85"/>
        <w:rPr>
          <w:rFonts w:ascii="宋体" w:hAnsi="宋体"/>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注：</w:t>
      </w:r>
    </w:p>
    <w:p>
      <w:pPr>
        <w:shd w:val="clea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pPr>
        <w:shd w:val="clea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pPr>
        <w:shd w:val="clea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pPr>
        <w:shd w:val="clea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pPr>
        <w:shd w:val="clea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w:t>
      </w:r>
      <w:r>
        <w:rPr>
          <w:rFonts w:hint="eastAsia" w:hAnsi="宋体" w:cs="宋体"/>
          <w:color w:val="auto"/>
          <w:szCs w:val="21"/>
          <w:highlight w:val="none"/>
          <w:lang w:eastAsia="zh-CN"/>
        </w:rPr>
        <w:t>技术</w:t>
      </w:r>
      <w:r>
        <w:rPr>
          <w:rFonts w:hint="eastAsia" w:hAnsi="宋体" w:cs="宋体"/>
          <w:color w:val="auto"/>
          <w:szCs w:val="21"/>
          <w:highlight w:val="none"/>
        </w:rPr>
        <w:t>要求的条款全部响应的，也可以在表格下面用文字总括性的说明。</w:t>
      </w:r>
    </w:p>
    <w:p>
      <w:pPr>
        <w:shd w:val="clear"/>
        <w:rPr>
          <w:rFonts w:ascii="宋体" w:hAnsi="宋体"/>
          <w:color w:val="auto"/>
          <w:szCs w:val="21"/>
          <w:highlight w:val="none"/>
        </w:rPr>
      </w:pPr>
    </w:p>
    <w:p>
      <w:pPr>
        <w:shd w:val="clear"/>
        <w:adjustRightInd/>
        <w:snapToGrid/>
        <w:spacing w:line="276" w:lineRule="auto"/>
        <w:rPr>
          <w:color w:val="auto"/>
          <w:highlight w:val="none"/>
        </w:rPr>
      </w:pPr>
    </w:p>
    <w:p>
      <w:pPr>
        <w:shd w:val="clear"/>
        <w:rPr>
          <w:rFonts w:ascii="宋体" w:hAnsi="宋体"/>
          <w:color w:val="auto"/>
          <w:szCs w:val="21"/>
          <w:highlight w:val="none"/>
        </w:rPr>
      </w:pPr>
      <w:bookmarkStart w:id="140" w:name="_Toc17691"/>
      <w:r>
        <w:rPr>
          <w:rFonts w:hint="eastAsia" w:ascii="宋体" w:hAnsi="宋体"/>
          <w:color w:val="auto"/>
          <w:szCs w:val="21"/>
          <w:highlight w:val="none"/>
        </w:rPr>
        <w:br w:type="page"/>
      </w:r>
    </w:p>
    <w:bookmarkEnd w:id="140"/>
    <w:p>
      <w:pPr>
        <w:pStyle w:val="8"/>
        <w:widowControl w:val="0"/>
        <w:shd w:val="clear"/>
        <w:overflowPunct w:val="0"/>
        <w:spacing w:line="240" w:lineRule="auto"/>
        <w:rPr>
          <w:rFonts w:ascii="宋体" w:hAnsi="宋体"/>
          <w:color w:val="auto"/>
          <w:sz w:val="21"/>
          <w:szCs w:val="21"/>
          <w:highlight w:val="none"/>
        </w:rPr>
      </w:pPr>
      <w:bookmarkStart w:id="141" w:name="_Toc1976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.项目实施方案格式</w:t>
      </w:r>
      <w:bookmarkEnd w:id="141"/>
    </w:p>
    <w:p>
      <w:pPr>
        <w:shd w:val="clear"/>
        <w:jc w:val="center"/>
        <w:rPr>
          <w:rFonts w:ascii="黑体" w:eastAsia="黑体"/>
          <w:color w:val="auto"/>
          <w:sz w:val="32"/>
          <w:szCs w:val="32"/>
          <w:highlight w:val="none"/>
        </w:rPr>
      </w:pPr>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pPr>
        <w:shd w:val="clear"/>
        <w:jc w:val="center"/>
        <w:rPr>
          <w:rFonts w:ascii="黑体" w:eastAsia="黑体"/>
          <w:color w:val="auto"/>
          <w:sz w:val="32"/>
          <w:szCs w:val="32"/>
          <w:highlight w:val="none"/>
        </w:rPr>
      </w:pP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1、为完成本项目投标人临时投入的设备</w:t>
      </w: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2、为完成本项目投标人投入的人员以及具体工作安排</w:t>
      </w: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3、投标人为本项目制定的具体项目实施方案与项目实施流程</w:t>
      </w: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4、服务方案</w:t>
      </w: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t>5、..........</w:t>
      </w:r>
    </w:p>
    <w:p>
      <w:pPr>
        <w:shd w:val="clear"/>
        <w:ind w:left="718" w:leftChars="200" w:hanging="298" w:hangingChars="142"/>
        <w:rPr>
          <w:rFonts w:ascii="宋体" w:hAnsi="宋体" w:cs="Times New Roman"/>
          <w:color w:val="auto"/>
          <w:szCs w:val="21"/>
          <w:highlight w:val="none"/>
        </w:rPr>
      </w:pPr>
      <w:r>
        <w:rPr>
          <w:rFonts w:hint="eastAsia" w:ascii="宋体" w:hAnsi="宋体"/>
          <w:color w:val="auto"/>
          <w:szCs w:val="21"/>
          <w:highlight w:val="none"/>
        </w:rPr>
        <w:t>自行编写。</w:t>
      </w:r>
    </w:p>
    <w:p>
      <w:pPr>
        <w:shd w:val="clear"/>
        <w:ind w:left="718" w:leftChars="200" w:hanging="298" w:hangingChars="142"/>
        <w:rPr>
          <w:rFonts w:ascii="宋体" w:hAnsi="宋体"/>
          <w:color w:val="auto"/>
          <w:szCs w:val="21"/>
          <w:highlight w:val="none"/>
        </w:rPr>
      </w:pPr>
    </w:p>
    <w:p>
      <w:pPr>
        <w:shd w:val="clear"/>
        <w:ind w:left="718" w:leftChars="200" w:hanging="298" w:hangingChars="142"/>
        <w:rPr>
          <w:rFonts w:ascii="宋体" w:hAnsi="宋体"/>
          <w:color w:val="auto"/>
          <w:szCs w:val="21"/>
          <w:highlight w:val="none"/>
        </w:rPr>
      </w:pPr>
    </w:p>
    <w:p>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pPr>
        <w:pStyle w:val="8"/>
        <w:widowControl w:val="0"/>
        <w:shd w:val="clear"/>
        <w:overflowPunct w:val="0"/>
        <w:spacing w:line="240" w:lineRule="auto"/>
        <w:rPr>
          <w:rFonts w:ascii="宋体" w:hAnsi="宋体"/>
          <w:color w:val="auto"/>
          <w:sz w:val="21"/>
          <w:szCs w:val="21"/>
          <w:highlight w:val="none"/>
        </w:rPr>
      </w:pPr>
      <w:bookmarkStart w:id="142" w:name="_Toc8204"/>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17</w:t>
      </w:r>
      <w:r>
        <w:rPr>
          <w:rFonts w:hint="eastAsia" w:ascii="宋体" w:hAnsi="宋体"/>
          <w:color w:val="auto"/>
          <w:sz w:val="21"/>
          <w:szCs w:val="21"/>
          <w:highlight w:val="none"/>
        </w:rPr>
        <w:t>.实施本项目的有关人员资料表格式</w:t>
      </w:r>
      <w:bookmarkEnd w:id="142"/>
    </w:p>
    <w:p>
      <w:pPr>
        <w:shd w:val="clear"/>
        <w:jc w:val="center"/>
        <w:rPr>
          <w:rFonts w:ascii="宋体" w:hAnsi="宋体"/>
          <w:color w:val="auto"/>
          <w:szCs w:val="21"/>
          <w:highlight w:val="none"/>
        </w:rPr>
      </w:pPr>
    </w:p>
    <w:p>
      <w:pPr>
        <w:shd w:val="clea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38"/>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序号</w:t>
            </w:r>
          </w:p>
        </w:tc>
        <w:tc>
          <w:tcPr>
            <w:tcW w:w="7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姓名</w:t>
            </w:r>
          </w:p>
        </w:tc>
        <w:tc>
          <w:tcPr>
            <w:tcW w:w="1861"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本项目拟任岗位</w:t>
            </w:r>
          </w:p>
        </w:tc>
        <w:tc>
          <w:tcPr>
            <w:tcW w:w="7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性别</w:t>
            </w:r>
          </w:p>
        </w:tc>
        <w:tc>
          <w:tcPr>
            <w:tcW w:w="702"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年龄</w:t>
            </w:r>
          </w:p>
        </w:tc>
        <w:tc>
          <w:tcPr>
            <w:tcW w:w="1164"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技术职称</w:t>
            </w:r>
          </w:p>
        </w:tc>
        <w:tc>
          <w:tcPr>
            <w:tcW w:w="818"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专 业</w:t>
            </w:r>
          </w:p>
        </w:tc>
        <w:tc>
          <w:tcPr>
            <w:tcW w:w="1165" w:type="dxa"/>
            <w:vAlign w:val="center"/>
          </w:tcPr>
          <w:p>
            <w:pPr>
              <w:shd w:val="clear"/>
              <w:jc w:val="center"/>
              <w:rPr>
                <w:rFonts w:ascii="宋体" w:hAnsi="宋体"/>
                <w:color w:val="auto"/>
                <w:szCs w:val="21"/>
                <w:highlight w:val="none"/>
              </w:rPr>
            </w:pPr>
            <w:r>
              <w:rPr>
                <w:rFonts w:hint="eastAsia" w:ascii="宋体" w:hAnsi="宋体"/>
                <w:color w:val="auto"/>
                <w:szCs w:val="21"/>
                <w:highlight w:val="none"/>
              </w:rPr>
              <w:t>资质证书</w:t>
            </w:r>
          </w:p>
        </w:tc>
        <w:tc>
          <w:tcPr>
            <w:tcW w:w="703" w:type="dxa"/>
            <w:tcBorders>
              <w:right w:val="single" w:color="auto" w:sz="6" w:space="0"/>
            </w:tcBorders>
            <w:vAlign w:val="center"/>
          </w:tcPr>
          <w:p>
            <w:pPr>
              <w:shd w:val="clear"/>
              <w:jc w:val="center"/>
              <w:rPr>
                <w:rFonts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861"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702" w:type="dxa"/>
            <w:vAlign w:val="center"/>
          </w:tcPr>
          <w:p>
            <w:pPr>
              <w:shd w:val="clear"/>
              <w:spacing w:line="288" w:lineRule="auto"/>
              <w:jc w:val="center"/>
              <w:rPr>
                <w:rFonts w:ascii="宋体" w:hAnsi="宋体"/>
                <w:color w:val="auto"/>
                <w:szCs w:val="21"/>
                <w:highlight w:val="none"/>
              </w:rPr>
            </w:pPr>
          </w:p>
        </w:tc>
        <w:tc>
          <w:tcPr>
            <w:tcW w:w="1164" w:type="dxa"/>
            <w:vAlign w:val="center"/>
          </w:tcPr>
          <w:p>
            <w:pPr>
              <w:shd w:val="clear"/>
              <w:spacing w:line="288" w:lineRule="auto"/>
              <w:jc w:val="center"/>
              <w:rPr>
                <w:rFonts w:ascii="宋体" w:hAnsi="宋体"/>
                <w:color w:val="auto"/>
                <w:szCs w:val="21"/>
                <w:highlight w:val="none"/>
              </w:rPr>
            </w:pPr>
          </w:p>
        </w:tc>
        <w:tc>
          <w:tcPr>
            <w:tcW w:w="818" w:type="dxa"/>
            <w:vAlign w:val="center"/>
          </w:tcPr>
          <w:p>
            <w:pPr>
              <w:shd w:val="clear"/>
              <w:spacing w:line="288" w:lineRule="auto"/>
              <w:jc w:val="center"/>
              <w:rPr>
                <w:rFonts w:ascii="宋体" w:hAnsi="宋体"/>
                <w:color w:val="auto"/>
                <w:szCs w:val="21"/>
                <w:highlight w:val="none"/>
              </w:rPr>
            </w:pPr>
          </w:p>
        </w:tc>
        <w:tc>
          <w:tcPr>
            <w:tcW w:w="1165" w:type="dxa"/>
            <w:vAlign w:val="center"/>
          </w:tcPr>
          <w:p>
            <w:pPr>
              <w:shd w:val="clear"/>
              <w:spacing w:line="288" w:lineRule="auto"/>
              <w:jc w:val="center"/>
              <w:rPr>
                <w:rFonts w:ascii="宋体" w:hAnsi="宋体"/>
                <w:color w:val="auto"/>
                <w:szCs w:val="21"/>
                <w:highlight w:val="none"/>
              </w:rPr>
            </w:pPr>
          </w:p>
        </w:tc>
        <w:tc>
          <w:tcPr>
            <w:tcW w:w="703" w:type="dxa"/>
            <w:tcBorders>
              <w:right w:val="single" w:color="auto" w:sz="6" w:space="0"/>
            </w:tcBorders>
            <w:vAlign w:val="center"/>
          </w:tcPr>
          <w:p>
            <w:pPr>
              <w:shd w:val="clear"/>
              <w:spacing w:line="288" w:lineRule="auto"/>
              <w:jc w:val="center"/>
              <w:rPr>
                <w:rFonts w:ascii="宋体" w:hAnsi="宋体"/>
                <w:color w:val="auto"/>
                <w:szCs w:val="21"/>
                <w:highlight w:val="none"/>
              </w:rPr>
            </w:pPr>
          </w:p>
        </w:tc>
      </w:tr>
    </w:tbl>
    <w:p>
      <w:pPr>
        <w:shd w:val="clear"/>
        <w:ind w:firstLine="178" w:firstLineChars="85"/>
        <w:rPr>
          <w:rFonts w:ascii="宋体" w:hAnsi="宋体"/>
          <w:color w:val="auto"/>
          <w:szCs w:val="21"/>
          <w:highlight w:val="none"/>
        </w:rPr>
      </w:pPr>
    </w:p>
    <w:p>
      <w:pPr>
        <w:shd w:val="clea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pPr>
        <w:shd w:val="clea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pPr>
        <w:shd w:val="clear"/>
        <w:ind w:firstLine="178" w:firstLineChars="85"/>
        <w:rPr>
          <w:rFonts w:ascii="宋体" w:hAnsi="宋体"/>
          <w:color w:val="auto"/>
          <w:szCs w:val="21"/>
          <w:highlight w:val="none"/>
        </w:rPr>
      </w:pPr>
      <w:r>
        <w:rPr>
          <w:rFonts w:hint="eastAsia" w:ascii="宋体" w:hAnsi="宋体"/>
          <w:color w:val="auto"/>
          <w:szCs w:val="21"/>
          <w:highlight w:val="none"/>
        </w:rPr>
        <w:t>投标人盖章：</w:t>
      </w:r>
    </w:p>
    <w:p>
      <w:pPr>
        <w:shd w:val="clear"/>
        <w:rPr>
          <w:rFonts w:ascii="宋体" w:hAnsi="宋体"/>
          <w:color w:val="auto"/>
          <w:szCs w:val="21"/>
          <w:highlight w:val="none"/>
        </w:rPr>
      </w:pPr>
      <w:r>
        <w:rPr>
          <w:rFonts w:hint="eastAsia" w:ascii="宋体" w:hAnsi="宋体"/>
          <w:color w:val="auto"/>
          <w:szCs w:val="21"/>
          <w:highlight w:val="none"/>
        </w:rPr>
        <w:t>注：</w:t>
      </w:r>
    </w:p>
    <w:p>
      <w:pPr>
        <w:pStyle w:val="45"/>
        <w:numPr>
          <w:ilvl w:val="0"/>
          <w:numId w:val="10"/>
        </w:numPr>
        <w:shd w:val="clea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pPr>
        <w:pStyle w:val="45"/>
        <w:numPr>
          <w:ilvl w:val="0"/>
          <w:numId w:val="10"/>
        </w:numPr>
        <w:shd w:val="clea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pPr>
        <w:shd w:val="clea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pPr>
        <w:pStyle w:val="45"/>
        <w:numPr>
          <w:ilvl w:val="0"/>
          <w:numId w:val="10"/>
        </w:numPr>
        <w:shd w:val="clear"/>
        <w:ind w:firstLineChars="0"/>
        <w:rPr>
          <w:rFonts w:ascii="宋体" w:hAnsi="宋体" w:cs="Times New Roman"/>
          <w:color w:val="auto"/>
          <w:szCs w:val="21"/>
          <w:highlight w:val="none"/>
        </w:rPr>
      </w:pPr>
      <w:r>
        <w:rPr>
          <w:rFonts w:hint="eastAsia" w:ascii="宋体" w:hAnsi="宋体"/>
          <w:color w:val="auto"/>
          <w:szCs w:val="21"/>
          <w:highlight w:val="none"/>
        </w:rPr>
        <w:br w:type="page"/>
      </w:r>
    </w:p>
    <w:p>
      <w:pPr>
        <w:pStyle w:val="8"/>
        <w:widowControl w:val="0"/>
        <w:shd w:val="clear"/>
        <w:overflowPunct w:val="0"/>
        <w:spacing w:line="240" w:lineRule="auto"/>
        <w:rPr>
          <w:color w:val="auto"/>
          <w:highlight w:val="none"/>
        </w:rPr>
      </w:pPr>
      <w:bookmarkStart w:id="143" w:name="_Toc13135"/>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.投标保证金汇入情况说明格式</w:t>
      </w:r>
      <w:bookmarkEnd w:id="143"/>
    </w:p>
    <w:p>
      <w:pPr>
        <w:shd w:val="clear"/>
        <w:rPr>
          <w:color w:val="auto"/>
          <w:highlight w:val="none"/>
        </w:rPr>
      </w:pPr>
    </w:p>
    <w:p>
      <w:pPr>
        <w:shd w:val="clea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pPr>
        <w:shd w:val="clear"/>
        <w:spacing w:line="480" w:lineRule="auto"/>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广西同泽工程项目管理股份有限公司</w:t>
      </w:r>
      <w:r>
        <w:rPr>
          <w:rFonts w:hint="eastAsia" w:ascii="宋体" w:hAnsi="宋体"/>
          <w:color w:val="auto"/>
          <w:szCs w:val="21"/>
          <w:highlight w:val="none"/>
        </w:rPr>
        <w:t>：</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w:t>
      </w:r>
      <w:r>
        <w:rPr>
          <w:rFonts w:hint="eastAsia" w:ascii="宋体" w:hAnsi="宋体"/>
          <w:color w:val="auto"/>
          <w:szCs w:val="21"/>
          <w:highlight w:val="none"/>
        </w:rPr>
        <w:t>，帐号：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pPr>
        <w:shd w:val="clea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pPr>
        <w:shd w:val="clea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pPr>
        <w:shd w:val="clea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pPr>
        <w:shd w:val="clear"/>
        <w:spacing w:line="480" w:lineRule="auto"/>
        <w:rPr>
          <w:rFonts w:ascii="宋体" w:hAnsi="宋体"/>
          <w:color w:val="auto"/>
          <w:szCs w:val="21"/>
          <w:highlight w:val="none"/>
        </w:rPr>
      </w:pPr>
      <w:r>
        <w:rPr>
          <w:rFonts w:hint="eastAsia" w:ascii="宋体" w:hAnsi="宋体"/>
          <w:color w:val="auto"/>
          <w:szCs w:val="21"/>
          <w:highlight w:val="none"/>
        </w:rPr>
        <w:t>单位名称：</w:t>
      </w:r>
    </w:p>
    <w:p>
      <w:pPr>
        <w:shd w:val="clear"/>
        <w:spacing w:line="480" w:lineRule="auto"/>
        <w:rPr>
          <w:rFonts w:ascii="宋体" w:hAnsi="宋体"/>
          <w:color w:val="auto"/>
          <w:szCs w:val="21"/>
          <w:highlight w:val="none"/>
        </w:rPr>
      </w:pPr>
      <w:r>
        <w:rPr>
          <w:rFonts w:hint="eastAsia" w:ascii="宋体" w:hAnsi="宋体"/>
          <w:color w:val="auto"/>
          <w:szCs w:val="21"/>
          <w:highlight w:val="none"/>
        </w:rPr>
        <w:t>单位地址：</w:t>
      </w:r>
    </w:p>
    <w:p>
      <w:pPr>
        <w:shd w:val="clear"/>
        <w:spacing w:line="480" w:lineRule="auto"/>
        <w:rPr>
          <w:rFonts w:ascii="宋体" w:hAnsi="宋体"/>
          <w:color w:val="auto"/>
          <w:szCs w:val="21"/>
          <w:highlight w:val="none"/>
        </w:rPr>
      </w:pPr>
      <w:r>
        <w:rPr>
          <w:rFonts w:hint="eastAsia" w:ascii="宋体" w:hAnsi="宋体"/>
          <w:color w:val="auto"/>
          <w:szCs w:val="21"/>
          <w:highlight w:val="none"/>
        </w:rPr>
        <w:t>联系人：</w:t>
      </w:r>
    </w:p>
    <w:p>
      <w:pPr>
        <w:shd w:val="clear"/>
        <w:spacing w:line="480" w:lineRule="auto"/>
        <w:rPr>
          <w:rFonts w:hint="eastAsia" w:ascii="宋体" w:hAnsi="宋体"/>
          <w:color w:val="auto"/>
          <w:szCs w:val="21"/>
          <w:highlight w:val="none"/>
        </w:rPr>
      </w:pPr>
      <w:r>
        <w:rPr>
          <w:rFonts w:hint="eastAsia" w:ascii="宋体" w:hAnsi="宋体"/>
          <w:color w:val="auto"/>
          <w:szCs w:val="21"/>
          <w:highlight w:val="none"/>
        </w:rPr>
        <w:t xml:space="preserve">单位电话： </w:t>
      </w:r>
    </w:p>
    <w:p>
      <w:pPr>
        <w:shd w:val="clear"/>
        <w:spacing w:line="480" w:lineRule="auto"/>
        <w:rPr>
          <w:rFonts w:ascii="宋体" w:hAnsi="宋体"/>
          <w:color w:val="auto"/>
          <w:szCs w:val="21"/>
          <w:highlight w:val="none"/>
        </w:rPr>
      </w:pPr>
      <w:r>
        <w:rPr>
          <w:rFonts w:hint="eastAsia" w:ascii="宋体" w:hAnsi="宋体"/>
          <w:color w:val="auto"/>
          <w:szCs w:val="21"/>
          <w:highlight w:val="none"/>
        </w:rPr>
        <w:t>联系人手机：</w:t>
      </w:r>
    </w:p>
    <w:p>
      <w:pPr>
        <w:shd w:val="clear"/>
        <w:rPr>
          <w:rFonts w:ascii="宋体" w:hAnsi="宋体"/>
          <w:color w:val="auto"/>
          <w:szCs w:val="21"/>
          <w:highlight w:val="none"/>
        </w:rPr>
      </w:pPr>
    </w:p>
    <w:p>
      <w:pPr>
        <w:shd w:val="clea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pPr>
        <w:shd w:val="clea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3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9" w:hRule="atLeast"/>
        </w:trPr>
        <w:tc>
          <w:tcPr>
            <w:tcW w:w="8522" w:type="dxa"/>
            <w:vAlign w:val="center"/>
          </w:tcPr>
          <w:p>
            <w:pPr>
              <w:shd w:val="clea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shd w:val="clear"/>
        <w:rPr>
          <w:rFonts w:ascii="宋体" w:hAnsi="宋体"/>
          <w:color w:val="auto"/>
          <w:szCs w:val="21"/>
          <w:highlight w:val="none"/>
        </w:rPr>
      </w:pPr>
    </w:p>
    <w:p>
      <w:pPr>
        <w:pStyle w:val="8"/>
        <w:numPr>
          <w:ilvl w:val="255"/>
          <w:numId w:val="0"/>
        </w:numPr>
        <w:shd w:val="clear"/>
        <w:tabs>
          <w:tab w:val="left" w:pos="720"/>
          <w:tab w:val="left" w:pos="3840"/>
        </w:tabs>
        <w:jc w:val="both"/>
        <w:rPr>
          <w:rFonts w:ascii="宋体" w:hAnsi="宋体"/>
          <w:color w:val="auto"/>
          <w:sz w:val="21"/>
          <w:szCs w:val="21"/>
          <w:highlight w:val="none"/>
        </w:rPr>
      </w:pPr>
      <w:bookmarkStart w:id="144" w:name="_Toc19947"/>
      <w:bookmarkStart w:id="145" w:name="_Toc29855"/>
      <w:bookmarkStart w:id="146" w:name="_Toc4720"/>
      <w:bookmarkStart w:id="147" w:name="_Toc18296"/>
      <w:bookmarkStart w:id="148" w:name="_Toc17028"/>
      <w:bookmarkStart w:id="149" w:name="_Toc28623"/>
      <w:bookmarkStart w:id="150" w:name="_Toc4866"/>
      <w:bookmarkStart w:id="151" w:name="_Toc2144"/>
      <w:bookmarkStart w:id="152" w:name="_Toc14605"/>
      <w:bookmarkStart w:id="153" w:name="_Toc25861"/>
      <w:bookmarkStart w:id="154" w:name="_Toc1562"/>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19</w:t>
      </w:r>
      <w:r>
        <w:rPr>
          <w:rFonts w:hint="eastAsia" w:ascii="宋体" w:hAnsi="宋体"/>
          <w:color w:val="auto"/>
          <w:sz w:val="21"/>
          <w:szCs w:val="21"/>
          <w:highlight w:val="none"/>
        </w:rPr>
        <w:t>.不可撤销履约保函</w:t>
      </w:r>
      <w:bookmarkEnd w:id="144"/>
      <w:bookmarkEnd w:id="145"/>
      <w:bookmarkEnd w:id="146"/>
      <w:bookmarkEnd w:id="147"/>
      <w:bookmarkEnd w:id="148"/>
      <w:bookmarkEnd w:id="149"/>
      <w:bookmarkEnd w:id="150"/>
      <w:bookmarkEnd w:id="151"/>
      <w:bookmarkEnd w:id="152"/>
      <w:bookmarkEnd w:id="153"/>
      <w:bookmarkEnd w:id="154"/>
    </w:p>
    <w:p>
      <w:pPr>
        <w:shd w:val="clear"/>
        <w:jc w:val="center"/>
        <w:rPr>
          <w:rFonts w:ascii="宋体" w:hAnsi="宋体"/>
          <w:color w:val="auto"/>
          <w:highlight w:val="none"/>
        </w:rPr>
      </w:pPr>
      <w:r>
        <w:rPr>
          <w:rFonts w:hint="eastAsia" w:ascii="宋体" w:hAnsi="宋体"/>
          <w:color w:val="auto"/>
          <w:highlight w:val="none"/>
        </w:rPr>
        <w:t>银行编号：</w:t>
      </w:r>
    </w:p>
    <w:p>
      <w:pPr>
        <w:shd w:val="clea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pPr>
        <w:shd w:val="clea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pPr>
        <w:shd w:val="clea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pPr>
        <w:shd w:val="clea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pPr>
        <w:shd w:val="clea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pPr>
        <w:shd w:val="clea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pPr>
        <w:shd w:val="clear"/>
        <w:ind w:firstLine="2824" w:firstLineChars="1345"/>
        <w:rPr>
          <w:rFonts w:ascii="宋体" w:hAnsi="宋体"/>
          <w:color w:val="auto"/>
          <w:highlight w:val="none"/>
        </w:rPr>
      </w:pPr>
    </w:p>
    <w:p>
      <w:pPr>
        <w:shd w:val="clea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pPr>
        <w:shd w:val="clea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pPr>
        <w:shd w:val="clea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pPr>
        <w:shd w:val="clea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pPr>
        <w:shd w:val="clea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pPr>
        <w:pStyle w:val="14"/>
        <w:shd w:val="clear"/>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pPr>
        <w:shd w:val="clear"/>
        <w:rPr>
          <w:rFonts w:ascii="宋体" w:hAnsi="宋体"/>
          <w:color w:val="auto"/>
          <w:szCs w:val="21"/>
          <w:highlight w:val="none"/>
        </w:rPr>
      </w:pPr>
    </w:p>
    <w:p>
      <w:pPr>
        <w:shd w:val="clear"/>
        <w:rPr>
          <w:rFonts w:ascii="宋体" w:hAnsi="宋体"/>
          <w:color w:val="auto"/>
          <w:szCs w:val="21"/>
          <w:highlight w:val="none"/>
        </w:rPr>
        <w:sectPr>
          <w:pgSz w:w="11906" w:h="16838"/>
          <w:pgMar w:top="1440" w:right="1800" w:bottom="1440" w:left="1800" w:header="708" w:footer="708" w:gutter="0"/>
          <w:pgNumType w:fmt="decimal"/>
          <w:cols w:space="708" w:num="1"/>
          <w:titlePg/>
          <w:docGrid w:type="lines" w:linePitch="360" w:charSpace="0"/>
        </w:sectPr>
      </w:pPr>
    </w:p>
    <w:p>
      <w:pPr>
        <w:pStyle w:val="8"/>
        <w:numPr>
          <w:ilvl w:val="255"/>
          <w:numId w:val="0"/>
        </w:numPr>
        <w:shd w:val="clear"/>
        <w:tabs>
          <w:tab w:val="left" w:pos="720"/>
          <w:tab w:val="left" w:pos="3840"/>
        </w:tabs>
        <w:ind w:left="283"/>
        <w:jc w:val="both"/>
        <w:rPr>
          <w:rFonts w:ascii="宋体" w:hAnsi="宋体"/>
          <w:color w:val="auto"/>
          <w:sz w:val="21"/>
          <w:szCs w:val="21"/>
          <w:highlight w:val="none"/>
        </w:rPr>
      </w:pPr>
      <w:bookmarkStart w:id="155" w:name="_Toc1313"/>
      <w:bookmarkStart w:id="156" w:name="_Toc13753"/>
      <w:r>
        <w:rPr>
          <w:rFonts w:hint="eastAsia" w:ascii="宋体" w:hAnsi="宋体"/>
          <w:color w:val="auto"/>
          <w:sz w:val="21"/>
          <w:szCs w:val="21"/>
          <w:highlight w:val="none"/>
        </w:rPr>
        <w:t>附件2</w:t>
      </w:r>
      <w:r>
        <w:rPr>
          <w:rFonts w:hint="eastAsia" w:ascii="宋体" w:hAnsi="宋体"/>
          <w:color w:val="auto"/>
          <w:sz w:val="21"/>
          <w:szCs w:val="21"/>
          <w:highlight w:val="none"/>
          <w:lang w:val="en-US" w:eastAsia="zh-CN"/>
        </w:rPr>
        <w:t>0</w:t>
      </w:r>
      <w:r>
        <w:rPr>
          <w:rFonts w:hint="eastAsia" w:ascii="宋体" w:hAnsi="宋体"/>
          <w:color w:val="auto"/>
          <w:sz w:val="21"/>
          <w:szCs w:val="21"/>
          <w:highlight w:val="none"/>
        </w:rPr>
        <w:t>.预付款保函</w:t>
      </w:r>
      <w:bookmarkEnd w:id="155"/>
      <w:r>
        <w:rPr>
          <w:rFonts w:hint="eastAsia" w:ascii="宋体" w:hAnsi="宋体"/>
          <w:color w:val="auto"/>
          <w:sz w:val="21"/>
          <w:szCs w:val="21"/>
          <w:highlight w:val="none"/>
        </w:rPr>
        <w:t>（适用于预付款支付）</w:t>
      </w:r>
      <w:bookmarkEnd w:id="156"/>
    </w:p>
    <w:p>
      <w:pPr>
        <w:pStyle w:val="14"/>
        <w:shd w:val="clear"/>
        <w:rPr>
          <w:color w:val="auto"/>
          <w:szCs w:val="24"/>
          <w:highlight w:val="none"/>
        </w:rPr>
      </w:pPr>
    </w:p>
    <w:p>
      <w:pPr>
        <w:shd w:val="clear"/>
        <w:jc w:val="center"/>
        <w:rPr>
          <w:rFonts w:ascii="黑体" w:eastAsia="黑体"/>
          <w:color w:val="auto"/>
          <w:sz w:val="28"/>
          <w:szCs w:val="28"/>
          <w:highlight w:val="none"/>
        </w:rPr>
      </w:pPr>
      <w:bookmarkStart w:id="157" w:name="_Toc6877"/>
      <w:bookmarkStart w:id="158" w:name="_Toc25494"/>
      <w:bookmarkStart w:id="159" w:name="_Toc10719"/>
      <w:bookmarkStart w:id="160" w:name="_Toc10315"/>
      <w:bookmarkStart w:id="161" w:name="_Toc29054"/>
      <w:bookmarkStart w:id="162" w:name="_Toc20669"/>
      <w:bookmarkStart w:id="163" w:name="_Toc7374"/>
      <w:bookmarkStart w:id="164" w:name="_Toc3295"/>
      <w:bookmarkStart w:id="165" w:name="_Toc31418"/>
      <w:bookmarkStart w:id="166" w:name="_Toc1039"/>
      <w:bookmarkStart w:id="167" w:name="_Toc27545"/>
      <w:bookmarkStart w:id="168" w:name="_Toc29728"/>
      <w:r>
        <w:rPr>
          <w:rFonts w:hint="eastAsia" w:ascii="黑体" w:eastAsia="黑体"/>
          <w:color w:val="auto"/>
          <w:sz w:val="28"/>
          <w:szCs w:val="28"/>
          <w:highlight w:val="none"/>
        </w:rPr>
        <w:t>不可撤销预付款保函</w:t>
      </w:r>
      <w:bookmarkEnd w:id="157"/>
      <w:bookmarkEnd w:id="158"/>
      <w:bookmarkEnd w:id="159"/>
      <w:bookmarkEnd w:id="160"/>
      <w:bookmarkEnd w:id="161"/>
      <w:bookmarkEnd w:id="162"/>
      <w:bookmarkEnd w:id="163"/>
      <w:bookmarkEnd w:id="164"/>
      <w:bookmarkEnd w:id="165"/>
      <w:bookmarkEnd w:id="166"/>
      <w:bookmarkEnd w:id="167"/>
      <w:bookmarkEnd w:id="168"/>
    </w:p>
    <w:p>
      <w:pPr>
        <w:shd w:val="clear"/>
        <w:ind w:firstLine="6300"/>
        <w:rPr>
          <w:color w:val="auto"/>
          <w:szCs w:val="21"/>
          <w:highlight w:val="none"/>
          <w:u w:val="single"/>
        </w:rPr>
      </w:pPr>
      <w:r>
        <w:rPr>
          <w:rFonts w:hint="eastAsia"/>
          <w:color w:val="auto"/>
          <w:szCs w:val="21"/>
          <w:highlight w:val="none"/>
        </w:rPr>
        <w:t>银行编号：</w:t>
      </w:r>
      <w:r>
        <w:rPr>
          <w:rFonts w:hint="eastAsia"/>
          <w:color w:val="auto"/>
          <w:szCs w:val="21"/>
          <w:highlight w:val="none"/>
          <w:u w:val="single"/>
        </w:rPr>
        <w:t xml:space="preserve">             </w:t>
      </w:r>
    </w:p>
    <w:p>
      <w:pPr>
        <w:shd w:val="clear"/>
        <w:ind w:firstLine="6300"/>
        <w:rPr>
          <w:color w:val="auto"/>
          <w:szCs w:val="21"/>
          <w:highlight w:val="none"/>
        </w:rPr>
      </w:pPr>
    </w:p>
    <w:p>
      <w:pPr>
        <w:shd w:val="clea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（下称“采购人”）</w:t>
      </w:r>
    </w:p>
    <w:p>
      <w:pPr>
        <w:shd w:val="clea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4"/>
          <w:highlight w:val="none"/>
          <w:u w:val="single"/>
        </w:rPr>
        <w:t>（地址：          ，下称 “中标人” ）</w:t>
      </w:r>
      <w:r>
        <w:rPr>
          <w:rFonts w:hint="eastAsia" w:ascii="宋体" w:hAnsi="宋体"/>
          <w:color w:val="auto"/>
          <w:szCs w:val="21"/>
          <w:highlight w:val="none"/>
        </w:rPr>
        <w:t>，已保证按</w:t>
      </w:r>
      <w:r>
        <w:rPr>
          <w:rFonts w:hint="eastAsia" w:ascii="宋体" w:hAnsi="宋体"/>
          <w:color w:val="auto"/>
          <w:szCs w:val="21"/>
          <w:highlight w:val="none"/>
          <w:u w:val="single"/>
        </w:rPr>
        <w:t xml:space="preserve">          承包合同书（合同编号：    ）</w:t>
      </w:r>
      <w:r>
        <w:rPr>
          <w:rFonts w:hint="eastAsia" w:ascii="宋体" w:hAnsi="宋体"/>
          <w:color w:val="auto"/>
          <w:szCs w:val="21"/>
          <w:highlight w:val="none"/>
        </w:rPr>
        <w:t>中规定的义务履行合同。</w:t>
      </w:r>
    </w:p>
    <w:p>
      <w:pPr>
        <w:shd w:val="clear"/>
        <w:ind w:firstLine="437"/>
        <w:rPr>
          <w:rFonts w:ascii="宋体" w:hAnsi="宋体"/>
          <w:color w:val="auto"/>
          <w:szCs w:val="21"/>
          <w:highlight w:val="none"/>
        </w:rPr>
      </w:pPr>
      <w:r>
        <w:rPr>
          <w:rFonts w:hint="eastAsia" w:ascii="宋体" w:hAnsi="宋体"/>
          <w:color w:val="auto"/>
          <w:szCs w:val="24"/>
          <w:highlight w:val="none"/>
        </w:rPr>
        <w:t>根据上述合同（招标文件）规定，中标人应向采购人提供一份金额为合同总价的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 即人民币</w:t>
      </w:r>
      <w:r>
        <w:rPr>
          <w:rFonts w:hint="eastAsia" w:ascii="宋体" w:hAnsi="宋体"/>
          <w:color w:val="auto"/>
          <w:szCs w:val="21"/>
          <w:highlight w:val="none"/>
          <w:u w:val="single"/>
        </w:rPr>
        <w:t xml:space="preserve">      （RMB      元）</w:t>
      </w:r>
      <w:r>
        <w:rPr>
          <w:rFonts w:hint="eastAsia" w:ascii="宋体" w:hAnsi="宋体"/>
          <w:color w:val="auto"/>
          <w:szCs w:val="21"/>
          <w:highlight w:val="none"/>
        </w:rPr>
        <w:t>的不可撤销银行预付款保函，以保证中标人履行合同的相关条款。</w:t>
      </w:r>
    </w:p>
    <w:p>
      <w:pPr>
        <w:shd w:val="clea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 xml:space="preserve">  （银行名称）  </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pPr>
        <w:shd w:val="clea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pPr>
        <w:shd w:val="clea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pPr>
        <w:shd w:val="clear"/>
        <w:rPr>
          <w:rFonts w:ascii="宋体" w:hAnsi="宋体"/>
          <w:color w:val="auto"/>
          <w:szCs w:val="21"/>
          <w:highlight w:val="none"/>
        </w:rPr>
      </w:pPr>
    </w:p>
    <w:p>
      <w:pPr>
        <w:shd w:val="clear"/>
        <w:ind w:firstLine="437"/>
        <w:rPr>
          <w:rFonts w:ascii="宋体" w:hAnsi="宋体"/>
          <w:color w:val="auto"/>
          <w:szCs w:val="21"/>
          <w:highlight w:val="none"/>
        </w:rPr>
      </w:pPr>
    </w:p>
    <w:p>
      <w:pPr>
        <w:shd w:val="clear"/>
        <w:ind w:firstLine="4860"/>
        <w:rPr>
          <w:rFonts w:ascii="宋体" w:hAnsi="宋体"/>
          <w:color w:val="auto"/>
          <w:szCs w:val="21"/>
          <w:highlight w:val="none"/>
        </w:rPr>
      </w:pPr>
      <w:r>
        <w:rPr>
          <w:rFonts w:hint="eastAsia" w:ascii="宋体" w:hAnsi="宋体"/>
          <w:color w:val="auto"/>
          <w:szCs w:val="21"/>
          <w:highlight w:val="none"/>
        </w:rPr>
        <w:t>保证人：（公章）</w:t>
      </w:r>
      <w:r>
        <w:rPr>
          <w:rFonts w:hint="eastAsia" w:ascii="宋体" w:hAnsi="宋体"/>
          <w:color w:val="auto"/>
          <w:szCs w:val="21"/>
          <w:highlight w:val="none"/>
          <w:u w:val="single"/>
        </w:rPr>
        <w:t xml:space="preserve">                     </w:t>
      </w:r>
    </w:p>
    <w:p>
      <w:pPr>
        <w:shd w:val="clear"/>
        <w:ind w:firstLine="4860"/>
        <w:rPr>
          <w:rFonts w:ascii="宋体" w:hAnsi="宋体"/>
          <w:color w:val="auto"/>
          <w:szCs w:val="21"/>
          <w:highlight w:val="none"/>
          <w:u w:val="single"/>
        </w:rPr>
      </w:pPr>
      <w:r>
        <w:rPr>
          <w:rFonts w:hint="eastAsia" w:ascii="宋体" w:hAnsi="宋体"/>
          <w:color w:val="auto"/>
          <w:szCs w:val="21"/>
          <w:highlight w:val="none"/>
        </w:rPr>
        <w:t>负责人：（签字）</w:t>
      </w:r>
      <w:r>
        <w:rPr>
          <w:rFonts w:hint="eastAsia" w:ascii="宋体" w:hAnsi="宋体"/>
          <w:color w:val="auto"/>
          <w:szCs w:val="21"/>
          <w:highlight w:val="none"/>
          <w:u w:val="single"/>
        </w:rPr>
        <w:t xml:space="preserve">                     </w:t>
      </w:r>
    </w:p>
    <w:p>
      <w:pPr>
        <w:shd w:val="clear"/>
        <w:ind w:firstLine="4860"/>
        <w:rPr>
          <w:rFonts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p>
    <w:p>
      <w:pPr>
        <w:shd w:val="clear"/>
        <w:ind w:firstLine="486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p>
    <w:p>
      <w:pPr>
        <w:shd w:val="clear"/>
        <w:ind w:firstLine="4860"/>
        <w:rPr>
          <w:rFonts w:ascii="宋体" w:hAnsi="宋体"/>
          <w:color w:val="auto"/>
          <w:szCs w:val="21"/>
          <w:highlight w:val="none"/>
          <w:u w:val="singl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p>
    <w:p>
      <w:pPr>
        <w:pStyle w:val="14"/>
        <w:shd w:val="clear"/>
        <w:rPr>
          <w:color w:val="auto"/>
          <w:szCs w:val="21"/>
          <w:highlight w:val="none"/>
        </w:rPr>
      </w:pPr>
    </w:p>
    <w:p>
      <w:pPr>
        <w:pStyle w:val="14"/>
        <w:shd w:val="clear"/>
        <w:rPr>
          <w:color w:val="auto"/>
          <w:szCs w:val="21"/>
          <w:highlight w:val="none"/>
        </w:rPr>
      </w:pPr>
    </w:p>
    <w:p>
      <w:pPr>
        <w:shd w:val="clea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pPr>
        <w:shd w:val="clear"/>
        <w:rPr>
          <w:rFonts w:ascii="宋体" w:hAnsi="宋体"/>
          <w:color w:val="auto"/>
          <w:szCs w:val="21"/>
          <w:highlight w:val="none"/>
        </w:rPr>
        <w:sectPr>
          <w:pgSz w:w="11906" w:h="16838"/>
          <w:pgMar w:top="1440" w:right="1800" w:bottom="1440" w:left="1800" w:header="708" w:footer="708" w:gutter="0"/>
          <w:pgNumType w:fmt="decimal"/>
          <w:cols w:space="708" w:num="1"/>
          <w:titlePg/>
          <w:docGrid w:type="lines" w:linePitch="360" w:charSpace="0"/>
        </w:sectPr>
      </w:pPr>
    </w:p>
    <w:p>
      <w:pPr>
        <w:shd w:val="clear"/>
        <w:jc w:val="center"/>
        <w:outlineLvl w:val="1"/>
        <w:rPr>
          <w:rFonts w:eastAsia="黑体"/>
          <w:color w:val="auto"/>
          <w:sz w:val="72"/>
          <w:szCs w:val="72"/>
          <w:highlight w:val="none"/>
        </w:rPr>
      </w:pPr>
      <w:bookmarkStart w:id="169" w:name="_Toc10124"/>
      <w:r>
        <w:rPr>
          <w:rFonts w:hint="eastAsia" w:eastAsia="黑体"/>
          <w:color w:val="auto"/>
          <w:sz w:val="72"/>
          <w:szCs w:val="72"/>
          <w:highlight w:val="none"/>
        </w:rPr>
        <w:t>唱标信封</w:t>
      </w:r>
      <w:bookmarkEnd w:id="169"/>
    </w:p>
    <w:p>
      <w:pPr>
        <w:shd w:val="clea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pPr>
        <w:shd w:val="clear"/>
        <w:rPr>
          <w:color w:val="auto"/>
          <w:highlight w:val="none"/>
        </w:rPr>
      </w:pPr>
    </w:p>
    <w:p>
      <w:pPr>
        <w:pStyle w:val="2"/>
        <w:shd w:val="clear"/>
        <w:rPr>
          <w:color w:val="auto"/>
          <w:highlight w:val="none"/>
        </w:rPr>
      </w:pPr>
    </w:p>
    <w:p>
      <w:pPr>
        <w:shd w:val="clear"/>
        <w:ind w:firstLine="240"/>
        <w:rPr>
          <w:color w:val="auto"/>
          <w:highlight w:val="none"/>
        </w:rPr>
      </w:pPr>
    </w:p>
    <w:p>
      <w:pPr>
        <w:shd w:val="clear"/>
        <w:ind w:firstLine="240"/>
        <w:rPr>
          <w:color w:val="auto"/>
          <w:highlight w:val="none"/>
        </w:rPr>
      </w:pPr>
    </w:p>
    <w:p>
      <w:pPr>
        <w:shd w:val="clea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pPr>
        <w:shd w:val="clea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pPr>
        <w:pStyle w:val="2"/>
        <w:shd w:val="clear"/>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pPr>
        <w:shd w:val="clea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pPr>
        <w:shd w:val="clear"/>
        <w:rPr>
          <w:rFonts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w:t>
      </w:r>
    </w:p>
    <w:p>
      <w:pPr>
        <w:shd w:val="clear"/>
        <w:rPr>
          <w:rFonts w:ascii="宋体" w:hAnsi="宋体"/>
          <w:color w:val="auto"/>
          <w:szCs w:val="21"/>
          <w:highlight w:val="none"/>
        </w:rPr>
      </w:pPr>
      <w:r>
        <w:rPr>
          <w:rFonts w:hint="eastAsia" w:ascii="宋体" w:hAnsi="宋体"/>
          <w:color w:val="auto"/>
          <w:szCs w:val="21"/>
          <w:highlight w:val="none"/>
        </w:rPr>
        <w:br w:type="page"/>
      </w:r>
    </w:p>
    <w:p>
      <w:pPr>
        <w:pStyle w:val="8"/>
        <w:numPr>
          <w:ilvl w:val="255"/>
          <w:numId w:val="0"/>
        </w:numPr>
        <w:shd w:val="clear"/>
        <w:tabs>
          <w:tab w:val="left" w:pos="720"/>
          <w:tab w:val="left" w:pos="3840"/>
        </w:tabs>
        <w:ind w:left="283"/>
        <w:jc w:val="both"/>
        <w:rPr>
          <w:rFonts w:ascii="宋体" w:hAnsi="宋体"/>
          <w:color w:val="auto"/>
          <w:sz w:val="21"/>
          <w:szCs w:val="21"/>
          <w:highlight w:val="none"/>
        </w:rPr>
      </w:pPr>
      <w:bookmarkStart w:id="170" w:name="_Toc9724"/>
      <w:r>
        <w:rPr>
          <w:rFonts w:hint="eastAsia" w:ascii="宋体" w:hAnsi="宋体"/>
          <w:color w:val="auto"/>
          <w:sz w:val="21"/>
          <w:szCs w:val="21"/>
          <w:highlight w:val="none"/>
        </w:rPr>
        <w:t>附件2</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.唱标信封内装（内容务必与投标文件正本一致）</w:t>
      </w:r>
      <w:bookmarkEnd w:id="170"/>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一、</w:t>
      </w:r>
      <w:r>
        <w:rPr>
          <w:rFonts w:hint="eastAsia" w:hAnsi="宋体"/>
          <w:color w:val="auto"/>
          <w:szCs w:val="21"/>
          <w:highlight w:val="none"/>
        </w:rPr>
        <w:t>开标一览表加盖公章；</w:t>
      </w:r>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二、</w:t>
      </w:r>
      <w:r>
        <w:rPr>
          <w:rFonts w:hint="eastAsia" w:hAnsi="宋体"/>
          <w:color w:val="auto"/>
          <w:szCs w:val="21"/>
          <w:highlight w:val="none"/>
        </w:rPr>
        <w:t>法定代表人证明书加盖公章；</w:t>
      </w:r>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三、</w:t>
      </w:r>
      <w:r>
        <w:rPr>
          <w:rFonts w:hint="eastAsia" w:hAnsi="宋体"/>
          <w:color w:val="auto"/>
          <w:szCs w:val="21"/>
          <w:highlight w:val="none"/>
        </w:rPr>
        <w:t>法定代表人授权委托书加盖公章（法定代表人投标的除外）；</w:t>
      </w:r>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四、</w:t>
      </w:r>
      <w:r>
        <w:rPr>
          <w:rFonts w:hint="eastAsia" w:hAnsi="宋体"/>
          <w:color w:val="auto"/>
          <w:szCs w:val="21"/>
          <w:highlight w:val="none"/>
        </w:rPr>
        <w:t>投标保证金汇入情况说明（含银行汇款凭证）或投标保函加盖公章；</w:t>
      </w:r>
    </w:p>
    <w:p>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五、</w:t>
      </w:r>
      <w:r>
        <w:rPr>
          <w:rFonts w:hint="eastAsia" w:hAnsi="宋体"/>
          <w:color w:val="auto"/>
          <w:szCs w:val="21"/>
          <w:highlight w:val="none"/>
        </w:rPr>
        <w:t>投标文件电子文件（U盘，须含盖章版PDF投标文件和WORD版投标文件各一版，文字采用WORD文档，计算表格采用 EXCEL文档。）</w:t>
      </w:r>
    </w:p>
    <w:p>
      <w:pPr>
        <w:shd w:val="clear"/>
        <w:rPr>
          <w:rFonts w:ascii="宋体" w:hAnsi="宋体" w:cs="宋体"/>
          <w:color w:val="auto"/>
          <w:szCs w:val="21"/>
          <w:highlight w:val="none"/>
        </w:rPr>
      </w:pPr>
    </w:p>
    <w:p>
      <w:pPr>
        <w:rPr>
          <w:color w:val="auto"/>
          <w:highlight w:val="none"/>
        </w:rPr>
      </w:pPr>
    </w:p>
    <w:sectPr>
      <w:pgSz w:w="11906" w:h="16838"/>
      <w:pgMar w:top="1440" w:right="1800" w:bottom="1440" w:left="1800" w:header="708" w:footer="708" w:gutter="0"/>
      <w:pgNumType w:fmt="decimal"/>
      <w:cols w:space="708" w:num="1"/>
      <w:titlePg/>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方正书宋简体">
    <w:altName w:val="宋体"/>
    <w:panose1 w:val="02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20"/>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pPr>
                            <w:pStyle w:val="20"/>
                            <w:jc w:val="center"/>
                            <w:rPr>
                              <w:rFonts w:hint="eastAsia" w:ascii="宋体" w:hAnsi="宋体" w:eastAsia="宋体" w:cs="宋体"/>
                              <w:lang w:eastAsia="zh-CN"/>
                            </w:rPr>
                          </w:pPr>
                          <w:r>
                            <w:rPr>
                              <w:rFonts w:hint="eastAsia" w:ascii="宋体" w:hAnsi="宋体" w:eastAsia="宋体" w:cs="宋体"/>
                              <w:lang w:eastAsia="zh-CN"/>
                            </w:rPr>
                            <w:t xml:space="preserve">第 </w:t>
                          </w:r>
                          <w:r>
                            <w:rPr>
                              <w:rFonts w:hint="eastAsia" w:ascii="宋体" w:hAnsi="宋体" w:eastAsia="宋体" w:cs="宋体"/>
                              <w:lang w:eastAsia="zh-CN"/>
                            </w:rPr>
                            <w:fldChar w:fldCharType="begin"/>
                          </w:r>
                          <w:r>
                            <w:rPr>
                              <w:rFonts w:hint="eastAsia" w:ascii="宋体" w:hAnsi="宋体" w:eastAsia="宋体" w:cs="宋体"/>
                              <w:lang w:eastAsia="zh-CN"/>
                            </w:rPr>
                            <w:instrText xml:space="preserve"> PAGE  \* MERGEFORMAT </w:instrText>
                          </w:r>
                          <w:r>
                            <w:rPr>
                              <w:rFonts w:hint="eastAsia" w:ascii="宋体" w:hAnsi="宋体" w:eastAsia="宋体" w:cs="宋体"/>
                              <w:lang w:eastAsia="zh-CN"/>
                            </w:rPr>
                            <w:fldChar w:fldCharType="separate"/>
                          </w:r>
                          <w:r>
                            <w:rPr>
                              <w:rFonts w:hint="eastAsia" w:ascii="宋体" w:hAnsi="宋体" w:eastAsia="宋体" w:cs="宋体"/>
                              <w:lang w:eastAsia="zh-CN"/>
                            </w:rPr>
                            <w:t>69</w:t>
                          </w:r>
                          <w:r>
                            <w:rPr>
                              <w:rFonts w:hint="eastAsia" w:ascii="宋体" w:hAnsi="宋体" w:eastAsia="宋体" w:cs="宋体"/>
                              <w:lang w:eastAsia="zh-CN"/>
                            </w:rPr>
                            <w:fldChar w:fldCharType="end"/>
                          </w:r>
                          <w:r>
                            <w:rPr>
                              <w:rFonts w:hint="eastAsia" w:ascii="宋体" w:hAnsi="宋体" w:eastAsia="宋体" w:cs="宋体"/>
                              <w:lang w:eastAsia="zh-CN"/>
                            </w:rPr>
                            <w:t xml:space="preserve"> 页 共 </w:t>
                          </w:r>
                          <w:r>
                            <w:rPr>
                              <w:rFonts w:hint="eastAsia" w:ascii="宋体" w:hAnsi="宋体" w:eastAsia="宋体" w:cs="宋体"/>
                              <w:lang w:eastAsia="zh-CN"/>
                            </w:rPr>
                            <w:fldChar w:fldCharType="begin"/>
                          </w:r>
                          <w:r>
                            <w:rPr>
                              <w:rFonts w:hint="eastAsia" w:ascii="宋体" w:hAnsi="宋体" w:eastAsia="宋体" w:cs="宋体"/>
                              <w:lang w:eastAsia="zh-CN"/>
                            </w:rPr>
                            <w:instrText xml:space="preserve"> NUMPAGES  \* MERGEFORMAT </w:instrText>
                          </w:r>
                          <w:r>
                            <w:rPr>
                              <w:rFonts w:hint="eastAsia" w:ascii="宋体" w:hAnsi="宋体" w:eastAsia="宋体" w:cs="宋体"/>
                              <w:lang w:eastAsia="zh-CN"/>
                            </w:rPr>
                            <w:fldChar w:fldCharType="separate"/>
                          </w:r>
                          <w:r>
                            <w:rPr>
                              <w:rFonts w:hint="eastAsia" w:ascii="宋体" w:hAnsi="宋体" w:eastAsia="宋体" w:cs="宋体"/>
                              <w:lang w:eastAsia="zh-CN"/>
                            </w:rPr>
                            <w:t>108</w:t>
                          </w:r>
                          <w:r>
                            <w:rPr>
                              <w:rFonts w:hint="eastAsia" w:ascii="宋体" w:hAnsi="宋体" w:eastAsia="宋体" w:cs="宋体"/>
                              <w:lang w:eastAsia="zh-CN"/>
                            </w:rPr>
                            <w:fldChar w:fldCharType="end"/>
                          </w:r>
                          <w:r>
                            <w:rPr>
                              <w:rFonts w:hint="eastAsia" w:ascii="宋体" w:hAnsi="宋体" w:eastAsia="宋体" w:cs="宋体"/>
                              <w:lang w:eastAsia="zh-CN"/>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xsfqk0wAAAAUB&#10;AAAPAAAAAAAAAAEAIAAAACIAAABkcnMvZG93bnJldi54bWxQSwECFAAUAAAACACHTuJAwUn3La4B&#10;AABCAwAADgAAAAAAAAABACAAAAAiAQAAZHJzL2Uyb0RvYy54bWxQSwUGAAAAAAYABgBZAQAAQgUA&#10;AAAA&#10;">
              <v:fill on="f" focussize="0,0"/>
              <v:stroke on="f"/>
              <v:imagedata o:title=""/>
              <o:lock v:ext="edit" aspectratio="f"/>
              <v:textbox inset="0mm,0mm,0mm,0mm" style="mso-fit-shape-to-text:t;">
                <w:txbxContent>
                  <w:p>
                    <w:pPr>
                      <w:pStyle w:val="20"/>
                      <w:jc w:val="center"/>
                      <w:rPr>
                        <w:rFonts w:hint="eastAsia" w:ascii="宋体" w:hAnsi="宋体" w:eastAsia="宋体" w:cs="宋体"/>
                        <w:lang w:eastAsia="zh-CN"/>
                      </w:rPr>
                    </w:pPr>
                    <w:r>
                      <w:rPr>
                        <w:rFonts w:hint="eastAsia" w:ascii="宋体" w:hAnsi="宋体" w:eastAsia="宋体" w:cs="宋体"/>
                        <w:lang w:eastAsia="zh-CN"/>
                      </w:rPr>
                      <w:t xml:space="preserve">第 </w:t>
                    </w:r>
                    <w:r>
                      <w:rPr>
                        <w:rFonts w:hint="eastAsia" w:ascii="宋体" w:hAnsi="宋体" w:eastAsia="宋体" w:cs="宋体"/>
                        <w:lang w:eastAsia="zh-CN"/>
                      </w:rPr>
                      <w:fldChar w:fldCharType="begin"/>
                    </w:r>
                    <w:r>
                      <w:rPr>
                        <w:rFonts w:hint="eastAsia" w:ascii="宋体" w:hAnsi="宋体" w:eastAsia="宋体" w:cs="宋体"/>
                        <w:lang w:eastAsia="zh-CN"/>
                      </w:rPr>
                      <w:instrText xml:space="preserve"> PAGE  \* MERGEFORMAT </w:instrText>
                    </w:r>
                    <w:r>
                      <w:rPr>
                        <w:rFonts w:hint="eastAsia" w:ascii="宋体" w:hAnsi="宋体" w:eastAsia="宋体" w:cs="宋体"/>
                        <w:lang w:eastAsia="zh-CN"/>
                      </w:rPr>
                      <w:fldChar w:fldCharType="separate"/>
                    </w:r>
                    <w:r>
                      <w:rPr>
                        <w:rFonts w:hint="eastAsia" w:ascii="宋体" w:hAnsi="宋体" w:eastAsia="宋体" w:cs="宋体"/>
                        <w:lang w:eastAsia="zh-CN"/>
                      </w:rPr>
                      <w:t>69</w:t>
                    </w:r>
                    <w:r>
                      <w:rPr>
                        <w:rFonts w:hint="eastAsia" w:ascii="宋体" w:hAnsi="宋体" w:eastAsia="宋体" w:cs="宋体"/>
                        <w:lang w:eastAsia="zh-CN"/>
                      </w:rPr>
                      <w:fldChar w:fldCharType="end"/>
                    </w:r>
                    <w:r>
                      <w:rPr>
                        <w:rFonts w:hint="eastAsia" w:ascii="宋体" w:hAnsi="宋体" w:eastAsia="宋体" w:cs="宋体"/>
                        <w:lang w:eastAsia="zh-CN"/>
                      </w:rPr>
                      <w:t xml:space="preserve"> 页 共 </w:t>
                    </w:r>
                    <w:r>
                      <w:rPr>
                        <w:rFonts w:hint="eastAsia" w:ascii="宋体" w:hAnsi="宋体" w:eastAsia="宋体" w:cs="宋体"/>
                        <w:lang w:eastAsia="zh-CN"/>
                      </w:rPr>
                      <w:fldChar w:fldCharType="begin"/>
                    </w:r>
                    <w:r>
                      <w:rPr>
                        <w:rFonts w:hint="eastAsia" w:ascii="宋体" w:hAnsi="宋体" w:eastAsia="宋体" w:cs="宋体"/>
                        <w:lang w:eastAsia="zh-CN"/>
                      </w:rPr>
                      <w:instrText xml:space="preserve"> NUMPAGES  \* MERGEFORMAT </w:instrText>
                    </w:r>
                    <w:r>
                      <w:rPr>
                        <w:rFonts w:hint="eastAsia" w:ascii="宋体" w:hAnsi="宋体" w:eastAsia="宋体" w:cs="宋体"/>
                        <w:lang w:eastAsia="zh-CN"/>
                      </w:rPr>
                      <w:fldChar w:fldCharType="separate"/>
                    </w:r>
                    <w:r>
                      <w:rPr>
                        <w:rFonts w:hint="eastAsia" w:ascii="宋体" w:hAnsi="宋体" w:eastAsia="宋体" w:cs="宋体"/>
                        <w:lang w:eastAsia="zh-CN"/>
                      </w:rPr>
                      <w:t>108</w:t>
                    </w:r>
                    <w:r>
                      <w:rPr>
                        <w:rFonts w:hint="eastAsia" w:ascii="宋体" w:hAnsi="宋体" w:eastAsia="宋体" w:cs="宋体"/>
                        <w:lang w:eastAsia="zh-CN"/>
                      </w:rPr>
                      <w:fldChar w:fldCharType="end"/>
                    </w:r>
                    <w:r>
                      <w:rPr>
                        <w:rFonts w:hint="eastAsia" w:ascii="宋体" w:hAnsi="宋体" w:eastAsia="宋体" w:cs="宋体"/>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pPr>
                            <w:pStyle w:val="20"/>
                            <w:jc w:val="center"/>
                            <w:rPr>
                              <w:rFonts w:hint="eastAsia" w:ascii="宋体" w:hAnsi="宋体" w:eastAsia="宋体" w:cs="宋体"/>
                              <w:lang w:eastAsia="zh-CN"/>
                            </w:rPr>
                          </w:pPr>
                          <w:r>
                            <w:rPr>
                              <w:rFonts w:hint="eastAsia" w:ascii="宋体" w:hAnsi="宋体" w:eastAsia="宋体" w:cs="宋体"/>
                              <w:lang w:eastAsia="zh-CN"/>
                            </w:rPr>
                            <w:t xml:space="preserve">第 </w:t>
                          </w:r>
                          <w:r>
                            <w:rPr>
                              <w:rFonts w:hint="eastAsia" w:ascii="宋体" w:hAnsi="宋体" w:eastAsia="宋体" w:cs="宋体"/>
                              <w:lang w:eastAsia="zh-CN"/>
                            </w:rPr>
                            <w:fldChar w:fldCharType="begin"/>
                          </w:r>
                          <w:r>
                            <w:rPr>
                              <w:rFonts w:hint="eastAsia" w:ascii="宋体" w:hAnsi="宋体" w:eastAsia="宋体" w:cs="宋体"/>
                              <w:lang w:eastAsia="zh-CN"/>
                            </w:rPr>
                            <w:instrText xml:space="preserve"> PAGE  \* MERGEFORMAT </w:instrText>
                          </w:r>
                          <w:r>
                            <w:rPr>
                              <w:rFonts w:hint="eastAsia" w:ascii="宋体" w:hAnsi="宋体" w:eastAsia="宋体" w:cs="宋体"/>
                              <w:lang w:eastAsia="zh-CN"/>
                            </w:rPr>
                            <w:fldChar w:fldCharType="separate"/>
                          </w:r>
                          <w:r>
                            <w:rPr>
                              <w:rFonts w:hint="eastAsia" w:ascii="宋体" w:hAnsi="宋体" w:eastAsia="宋体" w:cs="宋体"/>
                              <w:lang w:eastAsia="zh-CN"/>
                            </w:rPr>
                            <w:t>68</w:t>
                          </w:r>
                          <w:r>
                            <w:rPr>
                              <w:rFonts w:hint="eastAsia" w:ascii="宋体" w:hAnsi="宋体" w:eastAsia="宋体" w:cs="宋体"/>
                              <w:lang w:eastAsia="zh-CN"/>
                            </w:rPr>
                            <w:fldChar w:fldCharType="end"/>
                          </w:r>
                          <w:r>
                            <w:rPr>
                              <w:rFonts w:hint="eastAsia" w:ascii="宋体" w:hAnsi="宋体" w:eastAsia="宋体" w:cs="宋体"/>
                              <w:lang w:eastAsia="zh-CN"/>
                            </w:rPr>
                            <w:t xml:space="preserve"> 页 共 </w:t>
                          </w:r>
                          <w:r>
                            <w:rPr>
                              <w:rFonts w:hint="eastAsia" w:ascii="宋体" w:hAnsi="宋体" w:eastAsia="宋体" w:cs="宋体"/>
                              <w:lang w:eastAsia="zh-CN"/>
                            </w:rPr>
                            <w:fldChar w:fldCharType="begin"/>
                          </w:r>
                          <w:r>
                            <w:rPr>
                              <w:rFonts w:hint="eastAsia" w:ascii="宋体" w:hAnsi="宋体" w:eastAsia="宋体" w:cs="宋体"/>
                              <w:lang w:eastAsia="zh-CN"/>
                            </w:rPr>
                            <w:instrText xml:space="preserve"> NUMPAGES  \* MERGEFORMAT </w:instrText>
                          </w:r>
                          <w:r>
                            <w:rPr>
                              <w:rFonts w:hint="eastAsia" w:ascii="宋体" w:hAnsi="宋体" w:eastAsia="宋体" w:cs="宋体"/>
                              <w:lang w:eastAsia="zh-CN"/>
                            </w:rPr>
                            <w:fldChar w:fldCharType="separate"/>
                          </w:r>
                          <w:r>
                            <w:rPr>
                              <w:rFonts w:hint="eastAsia" w:ascii="宋体" w:hAnsi="宋体" w:eastAsia="宋体" w:cs="宋体"/>
                              <w:lang w:eastAsia="zh-CN"/>
                            </w:rPr>
                            <w:t>108</w:t>
                          </w:r>
                          <w:r>
                            <w:rPr>
                              <w:rFonts w:hint="eastAsia" w:ascii="宋体" w:hAnsi="宋体" w:eastAsia="宋体" w:cs="宋体"/>
                              <w:lang w:eastAsia="zh-CN"/>
                            </w:rPr>
                            <w:fldChar w:fldCharType="end"/>
                          </w:r>
                          <w:r>
                            <w:rPr>
                              <w:rFonts w:hint="eastAsia" w:ascii="宋体" w:hAnsi="宋体" w:eastAsia="宋体" w:cs="宋体"/>
                              <w:lang w:eastAsia="zh-CN"/>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RggSLNIAAAAFAQAA&#10;DwAAAAAAAAABACAAAAAiAAAAZHJzL2Rvd25yZXYueG1sUEsBAhQAFAAAAAgAh07iQPzF/Y2tAQAA&#10;QgMAAA4AAAAAAAAAAQAgAAAAIQEAAGRycy9lMm9Eb2MueG1sUEsFBgAAAAAGAAYAWQEAAEAFAAAA&#10;AA==&#10;">
              <v:fill on="f" focussize="0,0"/>
              <v:stroke on="f"/>
              <v:imagedata o:title=""/>
              <o:lock v:ext="edit" aspectratio="f"/>
              <v:textbox inset="0mm,0mm,0mm,0mm" style="mso-fit-shape-to-text:t;">
                <w:txbxContent>
                  <w:p>
                    <w:pPr>
                      <w:pStyle w:val="20"/>
                      <w:jc w:val="center"/>
                      <w:rPr>
                        <w:rFonts w:hint="eastAsia" w:ascii="宋体" w:hAnsi="宋体" w:eastAsia="宋体" w:cs="宋体"/>
                        <w:lang w:eastAsia="zh-CN"/>
                      </w:rPr>
                    </w:pPr>
                    <w:r>
                      <w:rPr>
                        <w:rFonts w:hint="eastAsia" w:ascii="宋体" w:hAnsi="宋体" w:eastAsia="宋体" w:cs="宋体"/>
                        <w:lang w:eastAsia="zh-CN"/>
                      </w:rPr>
                      <w:t xml:space="preserve">第 </w:t>
                    </w:r>
                    <w:r>
                      <w:rPr>
                        <w:rFonts w:hint="eastAsia" w:ascii="宋体" w:hAnsi="宋体" w:eastAsia="宋体" w:cs="宋体"/>
                        <w:lang w:eastAsia="zh-CN"/>
                      </w:rPr>
                      <w:fldChar w:fldCharType="begin"/>
                    </w:r>
                    <w:r>
                      <w:rPr>
                        <w:rFonts w:hint="eastAsia" w:ascii="宋体" w:hAnsi="宋体" w:eastAsia="宋体" w:cs="宋体"/>
                        <w:lang w:eastAsia="zh-CN"/>
                      </w:rPr>
                      <w:instrText xml:space="preserve"> PAGE  \* MERGEFORMAT </w:instrText>
                    </w:r>
                    <w:r>
                      <w:rPr>
                        <w:rFonts w:hint="eastAsia" w:ascii="宋体" w:hAnsi="宋体" w:eastAsia="宋体" w:cs="宋体"/>
                        <w:lang w:eastAsia="zh-CN"/>
                      </w:rPr>
                      <w:fldChar w:fldCharType="separate"/>
                    </w:r>
                    <w:r>
                      <w:rPr>
                        <w:rFonts w:hint="eastAsia" w:ascii="宋体" w:hAnsi="宋体" w:eastAsia="宋体" w:cs="宋体"/>
                        <w:lang w:eastAsia="zh-CN"/>
                      </w:rPr>
                      <w:t>68</w:t>
                    </w:r>
                    <w:r>
                      <w:rPr>
                        <w:rFonts w:hint="eastAsia" w:ascii="宋体" w:hAnsi="宋体" w:eastAsia="宋体" w:cs="宋体"/>
                        <w:lang w:eastAsia="zh-CN"/>
                      </w:rPr>
                      <w:fldChar w:fldCharType="end"/>
                    </w:r>
                    <w:r>
                      <w:rPr>
                        <w:rFonts w:hint="eastAsia" w:ascii="宋体" w:hAnsi="宋体" w:eastAsia="宋体" w:cs="宋体"/>
                        <w:lang w:eastAsia="zh-CN"/>
                      </w:rPr>
                      <w:t xml:space="preserve"> 页 共 </w:t>
                    </w:r>
                    <w:r>
                      <w:rPr>
                        <w:rFonts w:hint="eastAsia" w:ascii="宋体" w:hAnsi="宋体" w:eastAsia="宋体" w:cs="宋体"/>
                        <w:lang w:eastAsia="zh-CN"/>
                      </w:rPr>
                      <w:fldChar w:fldCharType="begin"/>
                    </w:r>
                    <w:r>
                      <w:rPr>
                        <w:rFonts w:hint="eastAsia" w:ascii="宋体" w:hAnsi="宋体" w:eastAsia="宋体" w:cs="宋体"/>
                        <w:lang w:eastAsia="zh-CN"/>
                      </w:rPr>
                      <w:instrText xml:space="preserve"> NUMPAGES  \* MERGEFORMAT </w:instrText>
                    </w:r>
                    <w:r>
                      <w:rPr>
                        <w:rFonts w:hint="eastAsia" w:ascii="宋体" w:hAnsi="宋体" w:eastAsia="宋体" w:cs="宋体"/>
                        <w:lang w:eastAsia="zh-CN"/>
                      </w:rPr>
                      <w:fldChar w:fldCharType="separate"/>
                    </w:r>
                    <w:r>
                      <w:rPr>
                        <w:rFonts w:hint="eastAsia" w:ascii="宋体" w:hAnsi="宋体" w:eastAsia="宋体" w:cs="宋体"/>
                        <w:lang w:eastAsia="zh-CN"/>
                      </w:rPr>
                      <w:t>108</w:t>
                    </w:r>
                    <w:r>
                      <w:rPr>
                        <w:rFonts w:hint="eastAsia" w:ascii="宋体" w:hAnsi="宋体" w:eastAsia="宋体" w:cs="宋体"/>
                        <w:lang w:eastAsia="zh-CN"/>
                      </w:rPr>
                      <w:fldChar w:fldCharType="end"/>
                    </w:r>
                    <w:r>
                      <w:rPr>
                        <w:rFonts w:hint="eastAsia" w:ascii="宋体" w:hAnsi="宋体" w:eastAsia="宋体" w:cs="宋体"/>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CFF174A5"/>
    <w:multiLevelType w:val="singleLevel"/>
    <w:tmpl w:val="CFF174A5"/>
    <w:lvl w:ilvl="0" w:tentative="0">
      <w:start w:val="1"/>
      <w:numFmt w:val="decimal"/>
      <w:suff w:val="nothing"/>
      <w:lvlText w:val="%1、"/>
      <w:lvlJc w:val="left"/>
    </w:lvl>
  </w:abstractNum>
  <w:abstractNum w:abstractNumId="2">
    <w:nsid w:val="D0047B7E"/>
    <w:multiLevelType w:val="singleLevel"/>
    <w:tmpl w:val="D0047B7E"/>
    <w:lvl w:ilvl="0" w:tentative="0">
      <w:start w:val="1"/>
      <w:numFmt w:val="decimal"/>
      <w:suff w:val="nothing"/>
      <w:lvlText w:val="%1、"/>
      <w:lvlJc w:val="left"/>
    </w:lvl>
  </w:abstractNum>
  <w:abstractNum w:abstractNumId="3">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5">
    <w:nsid w:val="20D2348B"/>
    <w:multiLevelType w:val="singleLevel"/>
    <w:tmpl w:val="20D2348B"/>
    <w:lvl w:ilvl="0" w:tentative="0">
      <w:start w:val="1"/>
      <w:numFmt w:val="chineseCounting"/>
      <w:suff w:val="nothing"/>
      <w:lvlText w:val="（%1）"/>
      <w:lvlJc w:val="left"/>
      <w:rPr>
        <w:rFonts w:hint="eastAsia"/>
      </w:rPr>
    </w:lvl>
  </w:abstractNum>
  <w:abstractNum w:abstractNumId="6">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3F88662E"/>
    <w:multiLevelType w:val="singleLevel"/>
    <w:tmpl w:val="3F88662E"/>
    <w:lvl w:ilvl="0" w:tentative="0">
      <w:start w:val="1"/>
      <w:numFmt w:val="decimal"/>
      <w:suff w:val="space"/>
      <w:lvlText w:val="%1)"/>
      <w:lvlJc w:val="left"/>
    </w:lvl>
  </w:abstractNum>
  <w:abstractNum w:abstractNumId="8">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8"/>
  </w:num>
  <w:num w:numId="2">
    <w:abstractNumId w:val="6"/>
  </w:num>
  <w:num w:numId="3">
    <w:abstractNumId w:val="0"/>
  </w:num>
  <w:num w:numId="4">
    <w:abstractNumId w:val="7"/>
  </w:num>
  <w:num w:numId="5">
    <w:abstractNumId w:val="4"/>
  </w:num>
  <w:num w:numId="6">
    <w:abstractNumId w:val="1"/>
  </w:num>
  <w:num w:numId="7">
    <w:abstractNumId w:val="3"/>
  </w:num>
  <w:num w:numId="8">
    <w:abstractNumId w:val="5"/>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xODRmOWQwY2JlNzVlNGZlZDM1ZTI4ZTVmZWUxNTAifQ=="/>
  </w:docVars>
  <w:rsids>
    <w:rsidRoot w:val="00172A27"/>
    <w:rsid w:val="00005A66"/>
    <w:rsid w:val="00006462"/>
    <w:rsid w:val="000300E4"/>
    <w:rsid w:val="0003307E"/>
    <w:rsid w:val="000336BA"/>
    <w:rsid w:val="000359A1"/>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15D6"/>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63ACB"/>
    <w:rsid w:val="00475A80"/>
    <w:rsid w:val="00490B9E"/>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56C"/>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0211"/>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908A7"/>
    <w:rsid w:val="013C51B0"/>
    <w:rsid w:val="01525581"/>
    <w:rsid w:val="016412A2"/>
    <w:rsid w:val="01651C23"/>
    <w:rsid w:val="018023CE"/>
    <w:rsid w:val="01881AD6"/>
    <w:rsid w:val="019127B6"/>
    <w:rsid w:val="01B71A01"/>
    <w:rsid w:val="01DC03CE"/>
    <w:rsid w:val="01E36F4E"/>
    <w:rsid w:val="020C3478"/>
    <w:rsid w:val="023C5F15"/>
    <w:rsid w:val="023F3FA2"/>
    <w:rsid w:val="028B6D36"/>
    <w:rsid w:val="02985CD5"/>
    <w:rsid w:val="02A741FD"/>
    <w:rsid w:val="02B77F75"/>
    <w:rsid w:val="02C16E5D"/>
    <w:rsid w:val="02D51343"/>
    <w:rsid w:val="02D964CF"/>
    <w:rsid w:val="02DE5ECF"/>
    <w:rsid w:val="02E74073"/>
    <w:rsid w:val="02EF6DB1"/>
    <w:rsid w:val="02F713C2"/>
    <w:rsid w:val="03080482"/>
    <w:rsid w:val="0367744E"/>
    <w:rsid w:val="03707410"/>
    <w:rsid w:val="039240A3"/>
    <w:rsid w:val="03A0770F"/>
    <w:rsid w:val="03A448B8"/>
    <w:rsid w:val="03C01631"/>
    <w:rsid w:val="03C656A9"/>
    <w:rsid w:val="03F33148"/>
    <w:rsid w:val="042F3419"/>
    <w:rsid w:val="044566F3"/>
    <w:rsid w:val="044841D6"/>
    <w:rsid w:val="047B4012"/>
    <w:rsid w:val="047F2DDF"/>
    <w:rsid w:val="04815FBF"/>
    <w:rsid w:val="04822497"/>
    <w:rsid w:val="04974587"/>
    <w:rsid w:val="049E5779"/>
    <w:rsid w:val="04B7376F"/>
    <w:rsid w:val="04DF1036"/>
    <w:rsid w:val="05000564"/>
    <w:rsid w:val="0599183C"/>
    <w:rsid w:val="05A97DEC"/>
    <w:rsid w:val="05B23978"/>
    <w:rsid w:val="05C81981"/>
    <w:rsid w:val="060C3203"/>
    <w:rsid w:val="065A6D82"/>
    <w:rsid w:val="06772E9B"/>
    <w:rsid w:val="069B4E4A"/>
    <w:rsid w:val="06BC41F2"/>
    <w:rsid w:val="06F415CC"/>
    <w:rsid w:val="070E26CD"/>
    <w:rsid w:val="07197D08"/>
    <w:rsid w:val="071E5C55"/>
    <w:rsid w:val="075C1FE5"/>
    <w:rsid w:val="076B4CB0"/>
    <w:rsid w:val="077005AB"/>
    <w:rsid w:val="078270C7"/>
    <w:rsid w:val="078F4581"/>
    <w:rsid w:val="079529C6"/>
    <w:rsid w:val="07BF027F"/>
    <w:rsid w:val="07FF48B5"/>
    <w:rsid w:val="08031A31"/>
    <w:rsid w:val="08307C7E"/>
    <w:rsid w:val="08420CAE"/>
    <w:rsid w:val="08574B3D"/>
    <w:rsid w:val="0858198D"/>
    <w:rsid w:val="08D357C5"/>
    <w:rsid w:val="08E0126D"/>
    <w:rsid w:val="08E352B9"/>
    <w:rsid w:val="09061A75"/>
    <w:rsid w:val="09182241"/>
    <w:rsid w:val="091B5EDA"/>
    <w:rsid w:val="095908C6"/>
    <w:rsid w:val="095F1030"/>
    <w:rsid w:val="09855177"/>
    <w:rsid w:val="09EE5125"/>
    <w:rsid w:val="0A2522FD"/>
    <w:rsid w:val="0A327478"/>
    <w:rsid w:val="0A462748"/>
    <w:rsid w:val="0A4D0C81"/>
    <w:rsid w:val="0A723E95"/>
    <w:rsid w:val="0A733243"/>
    <w:rsid w:val="0A846743"/>
    <w:rsid w:val="0A873F23"/>
    <w:rsid w:val="0AA534D5"/>
    <w:rsid w:val="0AA650EB"/>
    <w:rsid w:val="0AA7129C"/>
    <w:rsid w:val="0AE26205"/>
    <w:rsid w:val="0AF47339"/>
    <w:rsid w:val="0B22594B"/>
    <w:rsid w:val="0B27506F"/>
    <w:rsid w:val="0B7724E1"/>
    <w:rsid w:val="0B8C04A6"/>
    <w:rsid w:val="0B9610F4"/>
    <w:rsid w:val="0B99757D"/>
    <w:rsid w:val="0BBF77A4"/>
    <w:rsid w:val="0BD16C8D"/>
    <w:rsid w:val="0BDF26F7"/>
    <w:rsid w:val="0C027DB2"/>
    <w:rsid w:val="0C0A0E7F"/>
    <w:rsid w:val="0C2B4952"/>
    <w:rsid w:val="0C322F8A"/>
    <w:rsid w:val="0C4607E5"/>
    <w:rsid w:val="0C516C55"/>
    <w:rsid w:val="0C560447"/>
    <w:rsid w:val="0C7B2220"/>
    <w:rsid w:val="0C8D493C"/>
    <w:rsid w:val="0CB67D83"/>
    <w:rsid w:val="0CCB3545"/>
    <w:rsid w:val="0CD20599"/>
    <w:rsid w:val="0CE53018"/>
    <w:rsid w:val="0D0B5B12"/>
    <w:rsid w:val="0D133046"/>
    <w:rsid w:val="0D153F28"/>
    <w:rsid w:val="0D1C792E"/>
    <w:rsid w:val="0D3A0F98"/>
    <w:rsid w:val="0D423216"/>
    <w:rsid w:val="0D6A4502"/>
    <w:rsid w:val="0D7415CA"/>
    <w:rsid w:val="0D890E47"/>
    <w:rsid w:val="0D985009"/>
    <w:rsid w:val="0DC64A00"/>
    <w:rsid w:val="0DEB5FFA"/>
    <w:rsid w:val="0DF67134"/>
    <w:rsid w:val="0DF75C46"/>
    <w:rsid w:val="0DFC60BA"/>
    <w:rsid w:val="0E1C06B2"/>
    <w:rsid w:val="0E69691B"/>
    <w:rsid w:val="0EBB5484"/>
    <w:rsid w:val="0EBD5AA3"/>
    <w:rsid w:val="0EFB07FA"/>
    <w:rsid w:val="0F407E8F"/>
    <w:rsid w:val="0F5723EF"/>
    <w:rsid w:val="0F5F5360"/>
    <w:rsid w:val="0F7C5FF6"/>
    <w:rsid w:val="0F7D04FC"/>
    <w:rsid w:val="0FC63FBD"/>
    <w:rsid w:val="0FD54DCA"/>
    <w:rsid w:val="0FD81DA5"/>
    <w:rsid w:val="0FDD003F"/>
    <w:rsid w:val="0FF87EA4"/>
    <w:rsid w:val="0FFF7484"/>
    <w:rsid w:val="10066939"/>
    <w:rsid w:val="100B77ED"/>
    <w:rsid w:val="101D47AD"/>
    <w:rsid w:val="10305890"/>
    <w:rsid w:val="103D5A1A"/>
    <w:rsid w:val="105847E5"/>
    <w:rsid w:val="106C564D"/>
    <w:rsid w:val="106E0AED"/>
    <w:rsid w:val="107B7B8F"/>
    <w:rsid w:val="107C67CE"/>
    <w:rsid w:val="10912D03"/>
    <w:rsid w:val="1092666B"/>
    <w:rsid w:val="109D68CB"/>
    <w:rsid w:val="10A949B8"/>
    <w:rsid w:val="10AB5D61"/>
    <w:rsid w:val="11144AFE"/>
    <w:rsid w:val="11200D07"/>
    <w:rsid w:val="11410632"/>
    <w:rsid w:val="115E03E3"/>
    <w:rsid w:val="11786AB5"/>
    <w:rsid w:val="118049D4"/>
    <w:rsid w:val="118561F8"/>
    <w:rsid w:val="11942D84"/>
    <w:rsid w:val="11B21219"/>
    <w:rsid w:val="11DA73AF"/>
    <w:rsid w:val="11FC1ECD"/>
    <w:rsid w:val="124D097B"/>
    <w:rsid w:val="12511265"/>
    <w:rsid w:val="12695597"/>
    <w:rsid w:val="126D4818"/>
    <w:rsid w:val="1283614B"/>
    <w:rsid w:val="12856FF3"/>
    <w:rsid w:val="129671FB"/>
    <w:rsid w:val="12A576FF"/>
    <w:rsid w:val="12C60D80"/>
    <w:rsid w:val="130523B3"/>
    <w:rsid w:val="131356D4"/>
    <w:rsid w:val="131F7A3A"/>
    <w:rsid w:val="132645D0"/>
    <w:rsid w:val="133D4061"/>
    <w:rsid w:val="13455ABC"/>
    <w:rsid w:val="1370322B"/>
    <w:rsid w:val="13BA0460"/>
    <w:rsid w:val="13BB41AE"/>
    <w:rsid w:val="13C24F9B"/>
    <w:rsid w:val="13C45A18"/>
    <w:rsid w:val="13C9247B"/>
    <w:rsid w:val="13D6515C"/>
    <w:rsid w:val="13F13CC6"/>
    <w:rsid w:val="143B2E0B"/>
    <w:rsid w:val="14671645"/>
    <w:rsid w:val="14725FF6"/>
    <w:rsid w:val="147C1943"/>
    <w:rsid w:val="148054E9"/>
    <w:rsid w:val="14892735"/>
    <w:rsid w:val="14CC769D"/>
    <w:rsid w:val="14D764D5"/>
    <w:rsid w:val="14EF61BF"/>
    <w:rsid w:val="14F43330"/>
    <w:rsid w:val="15004CB2"/>
    <w:rsid w:val="150F7FEC"/>
    <w:rsid w:val="15436F05"/>
    <w:rsid w:val="15691FE3"/>
    <w:rsid w:val="158B5DDD"/>
    <w:rsid w:val="15B11221"/>
    <w:rsid w:val="15C16EB3"/>
    <w:rsid w:val="15CB76C9"/>
    <w:rsid w:val="15D359D7"/>
    <w:rsid w:val="15E77A4F"/>
    <w:rsid w:val="160E7A2C"/>
    <w:rsid w:val="16276202"/>
    <w:rsid w:val="16317A1A"/>
    <w:rsid w:val="163C77BE"/>
    <w:rsid w:val="164A3F23"/>
    <w:rsid w:val="16573587"/>
    <w:rsid w:val="165C5C7C"/>
    <w:rsid w:val="1679588C"/>
    <w:rsid w:val="168C2855"/>
    <w:rsid w:val="16994962"/>
    <w:rsid w:val="16A233CF"/>
    <w:rsid w:val="16A71041"/>
    <w:rsid w:val="16AA24BF"/>
    <w:rsid w:val="16E1154D"/>
    <w:rsid w:val="16F871DC"/>
    <w:rsid w:val="17110A80"/>
    <w:rsid w:val="171D3FE1"/>
    <w:rsid w:val="17680CAB"/>
    <w:rsid w:val="176E4128"/>
    <w:rsid w:val="17725CE9"/>
    <w:rsid w:val="1783371F"/>
    <w:rsid w:val="178E48DA"/>
    <w:rsid w:val="17AD2295"/>
    <w:rsid w:val="17C93012"/>
    <w:rsid w:val="17E62B67"/>
    <w:rsid w:val="180520D1"/>
    <w:rsid w:val="180F4499"/>
    <w:rsid w:val="182201B4"/>
    <w:rsid w:val="18221ECE"/>
    <w:rsid w:val="183C3D90"/>
    <w:rsid w:val="1859036F"/>
    <w:rsid w:val="18681814"/>
    <w:rsid w:val="18B0649B"/>
    <w:rsid w:val="18D418FC"/>
    <w:rsid w:val="18E5143F"/>
    <w:rsid w:val="18E83469"/>
    <w:rsid w:val="18FC7745"/>
    <w:rsid w:val="19117D89"/>
    <w:rsid w:val="192F3B7C"/>
    <w:rsid w:val="19353F17"/>
    <w:rsid w:val="19864975"/>
    <w:rsid w:val="19864EEB"/>
    <w:rsid w:val="19961DFC"/>
    <w:rsid w:val="19D1065C"/>
    <w:rsid w:val="19D27C9B"/>
    <w:rsid w:val="19DD405E"/>
    <w:rsid w:val="1A121864"/>
    <w:rsid w:val="1A2D591D"/>
    <w:rsid w:val="1A460CF5"/>
    <w:rsid w:val="1A7F297D"/>
    <w:rsid w:val="1A9D6244"/>
    <w:rsid w:val="1AB16AC1"/>
    <w:rsid w:val="1ABF1CEA"/>
    <w:rsid w:val="1B014DDE"/>
    <w:rsid w:val="1B0320FB"/>
    <w:rsid w:val="1B034A52"/>
    <w:rsid w:val="1B2640F6"/>
    <w:rsid w:val="1B45344E"/>
    <w:rsid w:val="1B5464AA"/>
    <w:rsid w:val="1B5C148D"/>
    <w:rsid w:val="1B5D76FB"/>
    <w:rsid w:val="1B683578"/>
    <w:rsid w:val="1B8C0040"/>
    <w:rsid w:val="1BDE2F66"/>
    <w:rsid w:val="1C750ECE"/>
    <w:rsid w:val="1CA56AF4"/>
    <w:rsid w:val="1CD667CB"/>
    <w:rsid w:val="1CE25AF9"/>
    <w:rsid w:val="1CE33793"/>
    <w:rsid w:val="1D196139"/>
    <w:rsid w:val="1D372585"/>
    <w:rsid w:val="1D4E4D36"/>
    <w:rsid w:val="1D5E02D1"/>
    <w:rsid w:val="1D7F0ED0"/>
    <w:rsid w:val="1D916A7F"/>
    <w:rsid w:val="1D921938"/>
    <w:rsid w:val="1DBB6100"/>
    <w:rsid w:val="1DBE6816"/>
    <w:rsid w:val="1DCB4FF1"/>
    <w:rsid w:val="1DF20D7E"/>
    <w:rsid w:val="1E010AF7"/>
    <w:rsid w:val="1E1C405A"/>
    <w:rsid w:val="1E2E29E0"/>
    <w:rsid w:val="1E301173"/>
    <w:rsid w:val="1E884D18"/>
    <w:rsid w:val="1ED8781E"/>
    <w:rsid w:val="1ED91DCF"/>
    <w:rsid w:val="1EDD3235"/>
    <w:rsid w:val="1EE02ACA"/>
    <w:rsid w:val="1EE05496"/>
    <w:rsid w:val="1EFB2A87"/>
    <w:rsid w:val="1F1102B0"/>
    <w:rsid w:val="1F2F1047"/>
    <w:rsid w:val="1F2F2B69"/>
    <w:rsid w:val="1F43381C"/>
    <w:rsid w:val="1F6F7149"/>
    <w:rsid w:val="1F781224"/>
    <w:rsid w:val="1FA4148D"/>
    <w:rsid w:val="1FBB4C72"/>
    <w:rsid w:val="1FC10FAB"/>
    <w:rsid w:val="1FC65577"/>
    <w:rsid w:val="1FD82385"/>
    <w:rsid w:val="1FE3669A"/>
    <w:rsid w:val="1FF274ED"/>
    <w:rsid w:val="20121621"/>
    <w:rsid w:val="20147D79"/>
    <w:rsid w:val="201636E2"/>
    <w:rsid w:val="202E3F6D"/>
    <w:rsid w:val="20325F7E"/>
    <w:rsid w:val="204E554F"/>
    <w:rsid w:val="20590035"/>
    <w:rsid w:val="209033C5"/>
    <w:rsid w:val="20E5011E"/>
    <w:rsid w:val="20FC799E"/>
    <w:rsid w:val="21101BAA"/>
    <w:rsid w:val="21286DA7"/>
    <w:rsid w:val="2134683B"/>
    <w:rsid w:val="214B7427"/>
    <w:rsid w:val="21545CAE"/>
    <w:rsid w:val="219068BB"/>
    <w:rsid w:val="21C82E72"/>
    <w:rsid w:val="21DE0801"/>
    <w:rsid w:val="21DE339D"/>
    <w:rsid w:val="21E95CDD"/>
    <w:rsid w:val="2203115E"/>
    <w:rsid w:val="22154DDD"/>
    <w:rsid w:val="22336873"/>
    <w:rsid w:val="22396826"/>
    <w:rsid w:val="22412CD8"/>
    <w:rsid w:val="225471A3"/>
    <w:rsid w:val="225E34DC"/>
    <w:rsid w:val="227D1295"/>
    <w:rsid w:val="229412E0"/>
    <w:rsid w:val="22AB3B7D"/>
    <w:rsid w:val="22AF3A08"/>
    <w:rsid w:val="22F92F75"/>
    <w:rsid w:val="23172FFC"/>
    <w:rsid w:val="23551361"/>
    <w:rsid w:val="23B30CF2"/>
    <w:rsid w:val="23BB4E7D"/>
    <w:rsid w:val="23C172D6"/>
    <w:rsid w:val="23D77537"/>
    <w:rsid w:val="23E6195D"/>
    <w:rsid w:val="23F04F64"/>
    <w:rsid w:val="24087BF9"/>
    <w:rsid w:val="241773D8"/>
    <w:rsid w:val="24814CBE"/>
    <w:rsid w:val="24AC168B"/>
    <w:rsid w:val="24BB6664"/>
    <w:rsid w:val="24BD406A"/>
    <w:rsid w:val="24D23A61"/>
    <w:rsid w:val="24F73430"/>
    <w:rsid w:val="250E1318"/>
    <w:rsid w:val="25467247"/>
    <w:rsid w:val="254D0389"/>
    <w:rsid w:val="25884C5D"/>
    <w:rsid w:val="258C3BEC"/>
    <w:rsid w:val="25A03144"/>
    <w:rsid w:val="25B2479F"/>
    <w:rsid w:val="25C15C5D"/>
    <w:rsid w:val="25C17928"/>
    <w:rsid w:val="25C6124B"/>
    <w:rsid w:val="25D329B9"/>
    <w:rsid w:val="25E5427A"/>
    <w:rsid w:val="26276A31"/>
    <w:rsid w:val="26366F9D"/>
    <w:rsid w:val="263B1230"/>
    <w:rsid w:val="263D5C7E"/>
    <w:rsid w:val="2642752B"/>
    <w:rsid w:val="26485508"/>
    <w:rsid w:val="26554808"/>
    <w:rsid w:val="26607D95"/>
    <w:rsid w:val="26700955"/>
    <w:rsid w:val="268166B9"/>
    <w:rsid w:val="26A16AE9"/>
    <w:rsid w:val="26A27AE1"/>
    <w:rsid w:val="26A57940"/>
    <w:rsid w:val="26A605D9"/>
    <w:rsid w:val="26AD0500"/>
    <w:rsid w:val="26B121A3"/>
    <w:rsid w:val="26E962CF"/>
    <w:rsid w:val="26F34269"/>
    <w:rsid w:val="272E3097"/>
    <w:rsid w:val="272E6F74"/>
    <w:rsid w:val="27501685"/>
    <w:rsid w:val="275167DD"/>
    <w:rsid w:val="277E6655"/>
    <w:rsid w:val="279313E1"/>
    <w:rsid w:val="27933DEA"/>
    <w:rsid w:val="27AF30E6"/>
    <w:rsid w:val="27B36A67"/>
    <w:rsid w:val="27BE6794"/>
    <w:rsid w:val="281E404F"/>
    <w:rsid w:val="28302479"/>
    <w:rsid w:val="2846581F"/>
    <w:rsid w:val="284A5CA4"/>
    <w:rsid w:val="286602C8"/>
    <w:rsid w:val="28665C95"/>
    <w:rsid w:val="28716D1C"/>
    <w:rsid w:val="28736F5F"/>
    <w:rsid w:val="28833BE9"/>
    <w:rsid w:val="28851EB4"/>
    <w:rsid w:val="288F62B2"/>
    <w:rsid w:val="28906FC4"/>
    <w:rsid w:val="28B01D1E"/>
    <w:rsid w:val="28C2628C"/>
    <w:rsid w:val="28CC3373"/>
    <w:rsid w:val="28EE701E"/>
    <w:rsid w:val="28F579BA"/>
    <w:rsid w:val="290B3EB9"/>
    <w:rsid w:val="292728C1"/>
    <w:rsid w:val="292C7FA1"/>
    <w:rsid w:val="2940493E"/>
    <w:rsid w:val="2950768C"/>
    <w:rsid w:val="297A5FC4"/>
    <w:rsid w:val="297B267F"/>
    <w:rsid w:val="29B41DA5"/>
    <w:rsid w:val="29E14657"/>
    <w:rsid w:val="29E474B8"/>
    <w:rsid w:val="29ED574B"/>
    <w:rsid w:val="29FA2D3E"/>
    <w:rsid w:val="29FE5CE6"/>
    <w:rsid w:val="2A1E49FE"/>
    <w:rsid w:val="2A323294"/>
    <w:rsid w:val="2A5C784F"/>
    <w:rsid w:val="2A600C13"/>
    <w:rsid w:val="2A633B90"/>
    <w:rsid w:val="2A68500A"/>
    <w:rsid w:val="2A743AE8"/>
    <w:rsid w:val="2A8D4F8F"/>
    <w:rsid w:val="2A901BEE"/>
    <w:rsid w:val="2A917B34"/>
    <w:rsid w:val="2A9308A8"/>
    <w:rsid w:val="2A9475FF"/>
    <w:rsid w:val="2A9F5AB8"/>
    <w:rsid w:val="2AAA0AA2"/>
    <w:rsid w:val="2AD74E8C"/>
    <w:rsid w:val="2AE3766F"/>
    <w:rsid w:val="2AE74CEF"/>
    <w:rsid w:val="2AEC612E"/>
    <w:rsid w:val="2B0E56AB"/>
    <w:rsid w:val="2B276305"/>
    <w:rsid w:val="2B54704F"/>
    <w:rsid w:val="2B590601"/>
    <w:rsid w:val="2B7E4054"/>
    <w:rsid w:val="2B9B5A44"/>
    <w:rsid w:val="2BA45A85"/>
    <w:rsid w:val="2BAF142F"/>
    <w:rsid w:val="2BB12905"/>
    <w:rsid w:val="2BBA6A76"/>
    <w:rsid w:val="2BCC03D1"/>
    <w:rsid w:val="2C035AE6"/>
    <w:rsid w:val="2C067463"/>
    <w:rsid w:val="2C0C6D59"/>
    <w:rsid w:val="2C787BAC"/>
    <w:rsid w:val="2C7F037B"/>
    <w:rsid w:val="2C8903AA"/>
    <w:rsid w:val="2C8E776E"/>
    <w:rsid w:val="2C8E7BB8"/>
    <w:rsid w:val="2C9814A0"/>
    <w:rsid w:val="2C987C56"/>
    <w:rsid w:val="2CA156F3"/>
    <w:rsid w:val="2CC11460"/>
    <w:rsid w:val="2CC15BAA"/>
    <w:rsid w:val="2CDC3153"/>
    <w:rsid w:val="2CDF621C"/>
    <w:rsid w:val="2CE136D7"/>
    <w:rsid w:val="2CEB6C0D"/>
    <w:rsid w:val="2CFE7A11"/>
    <w:rsid w:val="2CFF149A"/>
    <w:rsid w:val="2D1B6577"/>
    <w:rsid w:val="2D201865"/>
    <w:rsid w:val="2D2F67DA"/>
    <w:rsid w:val="2D4B5CEA"/>
    <w:rsid w:val="2D4C5B4C"/>
    <w:rsid w:val="2D4C6B07"/>
    <w:rsid w:val="2D514661"/>
    <w:rsid w:val="2D6273B2"/>
    <w:rsid w:val="2D652658"/>
    <w:rsid w:val="2D964A56"/>
    <w:rsid w:val="2DC16E0A"/>
    <w:rsid w:val="2DC80C49"/>
    <w:rsid w:val="2DCA6355"/>
    <w:rsid w:val="2DD85F0E"/>
    <w:rsid w:val="2E166748"/>
    <w:rsid w:val="2E2054A0"/>
    <w:rsid w:val="2E482374"/>
    <w:rsid w:val="2E556F01"/>
    <w:rsid w:val="2E8345A7"/>
    <w:rsid w:val="2E8E20B4"/>
    <w:rsid w:val="2EAA7BAE"/>
    <w:rsid w:val="2EC0235F"/>
    <w:rsid w:val="2EC1207D"/>
    <w:rsid w:val="2ECC4D8C"/>
    <w:rsid w:val="2ED06066"/>
    <w:rsid w:val="2ED1223D"/>
    <w:rsid w:val="2F000139"/>
    <w:rsid w:val="2F1B303D"/>
    <w:rsid w:val="2F3925CB"/>
    <w:rsid w:val="2F65799D"/>
    <w:rsid w:val="2F8A2880"/>
    <w:rsid w:val="2F9F42DC"/>
    <w:rsid w:val="2FAC3772"/>
    <w:rsid w:val="2FB401AB"/>
    <w:rsid w:val="2FB62C2F"/>
    <w:rsid w:val="2FBC2844"/>
    <w:rsid w:val="2FBD57BB"/>
    <w:rsid w:val="2FC32F68"/>
    <w:rsid w:val="2FF37AB3"/>
    <w:rsid w:val="30210B8A"/>
    <w:rsid w:val="30224DC7"/>
    <w:rsid w:val="303265F2"/>
    <w:rsid w:val="303B4C3F"/>
    <w:rsid w:val="30476D7A"/>
    <w:rsid w:val="3073310C"/>
    <w:rsid w:val="307C082E"/>
    <w:rsid w:val="309D6BE6"/>
    <w:rsid w:val="30AA1790"/>
    <w:rsid w:val="30EE385E"/>
    <w:rsid w:val="30F85AFE"/>
    <w:rsid w:val="31170995"/>
    <w:rsid w:val="31264A30"/>
    <w:rsid w:val="312651F8"/>
    <w:rsid w:val="31884E67"/>
    <w:rsid w:val="31A0275E"/>
    <w:rsid w:val="31A67308"/>
    <w:rsid w:val="31B91526"/>
    <w:rsid w:val="31EF0041"/>
    <w:rsid w:val="320107F5"/>
    <w:rsid w:val="326A0524"/>
    <w:rsid w:val="32986C45"/>
    <w:rsid w:val="32AB70C5"/>
    <w:rsid w:val="32F50547"/>
    <w:rsid w:val="330E23C2"/>
    <w:rsid w:val="33247607"/>
    <w:rsid w:val="33487C23"/>
    <w:rsid w:val="335D0AF5"/>
    <w:rsid w:val="3370088C"/>
    <w:rsid w:val="33735C77"/>
    <w:rsid w:val="33807C90"/>
    <w:rsid w:val="339A687B"/>
    <w:rsid w:val="33C14594"/>
    <w:rsid w:val="33DC2F78"/>
    <w:rsid w:val="3428227C"/>
    <w:rsid w:val="343230D5"/>
    <w:rsid w:val="34383F23"/>
    <w:rsid w:val="3439428E"/>
    <w:rsid w:val="34452709"/>
    <w:rsid w:val="34516796"/>
    <w:rsid w:val="347918A5"/>
    <w:rsid w:val="349D37D5"/>
    <w:rsid w:val="34A61BDE"/>
    <w:rsid w:val="34BC3BF7"/>
    <w:rsid w:val="3522586C"/>
    <w:rsid w:val="35572473"/>
    <w:rsid w:val="35602226"/>
    <w:rsid w:val="356B72E7"/>
    <w:rsid w:val="356D2AC8"/>
    <w:rsid w:val="3572424F"/>
    <w:rsid w:val="35866014"/>
    <w:rsid w:val="358F11D2"/>
    <w:rsid w:val="359E5CE0"/>
    <w:rsid w:val="360468CD"/>
    <w:rsid w:val="362B215D"/>
    <w:rsid w:val="363E0D05"/>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D7244A"/>
    <w:rsid w:val="37DC54A5"/>
    <w:rsid w:val="37E02B23"/>
    <w:rsid w:val="37E345A6"/>
    <w:rsid w:val="37EA5E6E"/>
    <w:rsid w:val="37FF016F"/>
    <w:rsid w:val="382A6E2D"/>
    <w:rsid w:val="38534B1D"/>
    <w:rsid w:val="386E4145"/>
    <w:rsid w:val="387C5ABE"/>
    <w:rsid w:val="38B66D0C"/>
    <w:rsid w:val="38EB6119"/>
    <w:rsid w:val="38ED3021"/>
    <w:rsid w:val="392D500E"/>
    <w:rsid w:val="396678D9"/>
    <w:rsid w:val="39736669"/>
    <w:rsid w:val="397A0ADB"/>
    <w:rsid w:val="39954B2B"/>
    <w:rsid w:val="39C96696"/>
    <w:rsid w:val="39DA2245"/>
    <w:rsid w:val="39E2719D"/>
    <w:rsid w:val="39E66E3B"/>
    <w:rsid w:val="39E73A61"/>
    <w:rsid w:val="39FD4CC2"/>
    <w:rsid w:val="3A3137C7"/>
    <w:rsid w:val="3A3A7721"/>
    <w:rsid w:val="3A51228C"/>
    <w:rsid w:val="3A545E48"/>
    <w:rsid w:val="3A552E60"/>
    <w:rsid w:val="3A5D642F"/>
    <w:rsid w:val="3A744447"/>
    <w:rsid w:val="3A78219D"/>
    <w:rsid w:val="3A995C5C"/>
    <w:rsid w:val="3A9A2B1E"/>
    <w:rsid w:val="3AB210FC"/>
    <w:rsid w:val="3B043A1D"/>
    <w:rsid w:val="3B212C76"/>
    <w:rsid w:val="3B793A48"/>
    <w:rsid w:val="3B85393E"/>
    <w:rsid w:val="3BCA4B8A"/>
    <w:rsid w:val="3BCD72F7"/>
    <w:rsid w:val="3BF4153E"/>
    <w:rsid w:val="3C37146A"/>
    <w:rsid w:val="3C3D3625"/>
    <w:rsid w:val="3C414142"/>
    <w:rsid w:val="3C576C1B"/>
    <w:rsid w:val="3C5B725E"/>
    <w:rsid w:val="3C88055A"/>
    <w:rsid w:val="3CAF79B9"/>
    <w:rsid w:val="3CB027FE"/>
    <w:rsid w:val="3CB35097"/>
    <w:rsid w:val="3CF737A2"/>
    <w:rsid w:val="3D10295A"/>
    <w:rsid w:val="3D184041"/>
    <w:rsid w:val="3D370C2A"/>
    <w:rsid w:val="3D414FC0"/>
    <w:rsid w:val="3D7D049C"/>
    <w:rsid w:val="3DBB2D2C"/>
    <w:rsid w:val="3DC4250E"/>
    <w:rsid w:val="3DE20EAE"/>
    <w:rsid w:val="3DE83781"/>
    <w:rsid w:val="3DEC2E9F"/>
    <w:rsid w:val="3DEF3701"/>
    <w:rsid w:val="3E0572FD"/>
    <w:rsid w:val="3E0720FE"/>
    <w:rsid w:val="3E2819F6"/>
    <w:rsid w:val="3E287A22"/>
    <w:rsid w:val="3E5A7FE7"/>
    <w:rsid w:val="3E955A6A"/>
    <w:rsid w:val="3E964D81"/>
    <w:rsid w:val="3EBA1F32"/>
    <w:rsid w:val="3EDD0266"/>
    <w:rsid w:val="3EDE741A"/>
    <w:rsid w:val="3EEF6FFF"/>
    <w:rsid w:val="3EF66B2E"/>
    <w:rsid w:val="3EF908D7"/>
    <w:rsid w:val="3F217914"/>
    <w:rsid w:val="3F5D44A8"/>
    <w:rsid w:val="3FD70BB0"/>
    <w:rsid w:val="3FF1740C"/>
    <w:rsid w:val="3FF542A0"/>
    <w:rsid w:val="3FFB55AC"/>
    <w:rsid w:val="40017152"/>
    <w:rsid w:val="400A057C"/>
    <w:rsid w:val="401C5F9D"/>
    <w:rsid w:val="401C690C"/>
    <w:rsid w:val="401D7195"/>
    <w:rsid w:val="402D6138"/>
    <w:rsid w:val="405C1C05"/>
    <w:rsid w:val="407A652F"/>
    <w:rsid w:val="40825D97"/>
    <w:rsid w:val="409928E7"/>
    <w:rsid w:val="40997CFE"/>
    <w:rsid w:val="409C35A8"/>
    <w:rsid w:val="40A06CB8"/>
    <w:rsid w:val="40C45B55"/>
    <w:rsid w:val="40CE3DC0"/>
    <w:rsid w:val="40D7455A"/>
    <w:rsid w:val="40E743E5"/>
    <w:rsid w:val="40EB4012"/>
    <w:rsid w:val="410A1661"/>
    <w:rsid w:val="41246142"/>
    <w:rsid w:val="412D5EA0"/>
    <w:rsid w:val="4138359E"/>
    <w:rsid w:val="416D78C7"/>
    <w:rsid w:val="41734CBA"/>
    <w:rsid w:val="417F4E1A"/>
    <w:rsid w:val="41A82190"/>
    <w:rsid w:val="41DE5999"/>
    <w:rsid w:val="41E1181A"/>
    <w:rsid w:val="41E32A20"/>
    <w:rsid w:val="41FA3241"/>
    <w:rsid w:val="420F7A65"/>
    <w:rsid w:val="4216611A"/>
    <w:rsid w:val="423E300F"/>
    <w:rsid w:val="424A743F"/>
    <w:rsid w:val="425656C8"/>
    <w:rsid w:val="4257273C"/>
    <w:rsid w:val="42687ACE"/>
    <w:rsid w:val="4285733F"/>
    <w:rsid w:val="429E6041"/>
    <w:rsid w:val="42BF4B02"/>
    <w:rsid w:val="42C62B86"/>
    <w:rsid w:val="42C84B75"/>
    <w:rsid w:val="42FD694D"/>
    <w:rsid w:val="43183383"/>
    <w:rsid w:val="43525542"/>
    <w:rsid w:val="4356036C"/>
    <w:rsid w:val="437D6687"/>
    <w:rsid w:val="438351F5"/>
    <w:rsid w:val="43854B77"/>
    <w:rsid w:val="438D35EA"/>
    <w:rsid w:val="43BC1E57"/>
    <w:rsid w:val="43D23F8D"/>
    <w:rsid w:val="43D43F1D"/>
    <w:rsid w:val="43FA5777"/>
    <w:rsid w:val="44023422"/>
    <w:rsid w:val="44184A2D"/>
    <w:rsid w:val="441A5455"/>
    <w:rsid w:val="441C1611"/>
    <w:rsid w:val="443C440B"/>
    <w:rsid w:val="44506DE3"/>
    <w:rsid w:val="44514F52"/>
    <w:rsid w:val="44761C8F"/>
    <w:rsid w:val="449722E3"/>
    <w:rsid w:val="449D7B09"/>
    <w:rsid w:val="44A34DED"/>
    <w:rsid w:val="44AE3FD4"/>
    <w:rsid w:val="44D0586F"/>
    <w:rsid w:val="44FA2D53"/>
    <w:rsid w:val="4504751B"/>
    <w:rsid w:val="450A69C2"/>
    <w:rsid w:val="453C4912"/>
    <w:rsid w:val="45627191"/>
    <w:rsid w:val="45687813"/>
    <w:rsid w:val="456E7B7D"/>
    <w:rsid w:val="4571374F"/>
    <w:rsid w:val="458B1BB0"/>
    <w:rsid w:val="45AD31D6"/>
    <w:rsid w:val="45B93426"/>
    <w:rsid w:val="45E326FD"/>
    <w:rsid w:val="464C6420"/>
    <w:rsid w:val="46552F9B"/>
    <w:rsid w:val="467A0297"/>
    <w:rsid w:val="468B7125"/>
    <w:rsid w:val="46B506EF"/>
    <w:rsid w:val="46BC1F6E"/>
    <w:rsid w:val="46C4691F"/>
    <w:rsid w:val="46CA43E9"/>
    <w:rsid w:val="46CB53EF"/>
    <w:rsid w:val="46CE645F"/>
    <w:rsid w:val="470F5A71"/>
    <w:rsid w:val="472F2690"/>
    <w:rsid w:val="47685427"/>
    <w:rsid w:val="4779499C"/>
    <w:rsid w:val="479C6284"/>
    <w:rsid w:val="479D1D34"/>
    <w:rsid w:val="47B609C0"/>
    <w:rsid w:val="47EC3B04"/>
    <w:rsid w:val="47EC6277"/>
    <w:rsid w:val="481A219B"/>
    <w:rsid w:val="482D31EA"/>
    <w:rsid w:val="48594C7C"/>
    <w:rsid w:val="485970A0"/>
    <w:rsid w:val="48667F79"/>
    <w:rsid w:val="486A6E89"/>
    <w:rsid w:val="48702E73"/>
    <w:rsid w:val="48823516"/>
    <w:rsid w:val="48877686"/>
    <w:rsid w:val="48B176C2"/>
    <w:rsid w:val="48B65C71"/>
    <w:rsid w:val="48C15387"/>
    <w:rsid w:val="48DD391D"/>
    <w:rsid w:val="48FB1909"/>
    <w:rsid w:val="49140AE3"/>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9FF0043"/>
    <w:rsid w:val="4A0030EE"/>
    <w:rsid w:val="4A0568D6"/>
    <w:rsid w:val="4A0C4F3C"/>
    <w:rsid w:val="4A484D41"/>
    <w:rsid w:val="4A6D15F8"/>
    <w:rsid w:val="4A8C4FB8"/>
    <w:rsid w:val="4A9A25BD"/>
    <w:rsid w:val="4A9E0551"/>
    <w:rsid w:val="4AA03D78"/>
    <w:rsid w:val="4AAB17DF"/>
    <w:rsid w:val="4AB542AE"/>
    <w:rsid w:val="4ABA7AB3"/>
    <w:rsid w:val="4AF72FEA"/>
    <w:rsid w:val="4B243D9D"/>
    <w:rsid w:val="4B2C1752"/>
    <w:rsid w:val="4B5B54F0"/>
    <w:rsid w:val="4B645524"/>
    <w:rsid w:val="4B8C2DEB"/>
    <w:rsid w:val="4BC423D3"/>
    <w:rsid w:val="4BE01954"/>
    <w:rsid w:val="4BFA3C9F"/>
    <w:rsid w:val="4C042674"/>
    <w:rsid w:val="4C107F48"/>
    <w:rsid w:val="4C3277BC"/>
    <w:rsid w:val="4C5C442D"/>
    <w:rsid w:val="4C6D42A9"/>
    <w:rsid w:val="4C716A38"/>
    <w:rsid w:val="4CC0351C"/>
    <w:rsid w:val="4CC353EB"/>
    <w:rsid w:val="4CE64E14"/>
    <w:rsid w:val="4CEF14EF"/>
    <w:rsid w:val="4CF36F3C"/>
    <w:rsid w:val="4D00189F"/>
    <w:rsid w:val="4D007BC8"/>
    <w:rsid w:val="4D143EC2"/>
    <w:rsid w:val="4D1470BD"/>
    <w:rsid w:val="4D154882"/>
    <w:rsid w:val="4D1C3C50"/>
    <w:rsid w:val="4D603399"/>
    <w:rsid w:val="4D664F64"/>
    <w:rsid w:val="4D6A7284"/>
    <w:rsid w:val="4D867EE1"/>
    <w:rsid w:val="4DB07591"/>
    <w:rsid w:val="4DBC4C65"/>
    <w:rsid w:val="4DE2009B"/>
    <w:rsid w:val="4E0F235E"/>
    <w:rsid w:val="4E157689"/>
    <w:rsid w:val="4E533FA5"/>
    <w:rsid w:val="4E550010"/>
    <w:rsid w:val="4E5964E9"/>
    <w:rsid w:val="4E5F14CB"/>
    <w:rsid w:val="4E6808B0"/>
    <w:rsid w:val="4EC00DDD"/>
    <w:rsid w:val="4EE334F2"/>
    <w:rsid w:val="4EF265BE"/>
    <w:rsid w:val="4EFB1C45"/>
    <w:rsid w:val="4F0C2A48"/>
    <w:rsid w:val="4F26273B"/>
    <w:rsid w:val="4F2D3A8A"/>
    <w:rsid w:val="4F32478A"/>
    <w:rsid w:val="4F3705F8"/>
    <w:rsid w:val="4F785B69"/>
    <w:rsid w:val="4F9714A0"/>
    <w:rsid w:val="4FAC3540"/>
    <w:rsid w:val="4FC56ABD"/>
    <w:rsid w:val="4FC97CE0"/>
    <w:rsid w:val="4FCF1583"/>
    <w:rsid w:val="4FD23E66"/>
    <w:rsid w:val="4FD44D1B"/>
    <w:rsid w:val="4FDC066D"/>
    <w:rsid w:val="4FFA7625"/>
    <w:rsid w:val="50453E7E"/>
    <w:rsid w:val="50485BA4"/>
    <w:rsid w:val="507D2599"/>
    <w:rsid w:val="508F08E7"/>
    <w:rsid w:val="5096229D"/>
    <w:rsid w:val="509E157D"/>
    <w:rsid w:val="50DA3350"/>
    <w:rsid w:val="50DC4184"/>
    <w:rsid w:val="50FB6146"/>
    <w:rsid w:val="512F4CA0"/>
    <w:rsid w:val="51323DB9"/>
    <w:rsid w:val="51361FFF"/>
    <w:rsid w:val="513723D1"/>
    <w:rsid w:val="514C3EA7"/>
    <w:rsid w:val="51551AFE"/>
    <w:rsid w:val="516D33BA"/>
    <w:rsid w:val="51FF3C99"/>
    <w:rsid w:val="520B4989"/>
    <w:rsid w:val="52363D4D"/>
    <w:rsid w:val="52521A20"/>
    <w:rsid w:val="525261E1"/>
    <w:rsid w:val="52AC4ABC"/>
    <w:rsid w:val="52C201B9"/>
    <w:rsid w:val="52C3633F"/>
    <w:rsid w:val="52E57A12"/>
    <w:rsid w:val="52F20B62"/>
    <w:rsid w:val="538152F3"/>
    <w:rsid w:val="53827E49"/>
    <w:rsid w:val="538A6BB9"/>
    <w:rsid w:val="539964FD"/>
    <w:rsid w:val="539C1B81"/>
    <w:rsid w:val="53A447B1"/>
    <w:rsid w:val="53AE750F"/>
    <w:rsid w:val="53BB2A61"/>
    <w:rsid w:val="53D00C67"/>
    <w:rsid w:val="53D224B3"/>
    <w:rsid w:val="53DF06D8"/>
    <w:rsid w:val="53F81D96"/>
    <w:rsid w:val="544B5214"/>
    <w:rsid w:val="545B1717"/>
    <w:rsid w:val="5467283B"/>
    <w:rsid w:val="546B0405"/>
    <w:rsid w:val="549A6BFA"/>
    <w:rsid w:val="54B36A7C"/>
    <w:rsid w:val="54D933CD"/>
    <w:rsid w:val="55244D7F"/>
    <w:rsid w:val="55362287"/>
    <w:rsid w:val="55432F3C"/>
    <w:rsid w:val="555016D2"/>
    <w:rsid w:val="556D2820"/>
    <w:rsid w:val="5590200F"/>
    <w:rsid w:val="55C3227E"/>
    <w:rsid w:val="55C83E39"/>
    <w:rsid w:val="55D26BB3"/>
    <w:rsid w:val="55FA2961"/>
    <w:rsid w:val="5602250F"/>
    <w:rsid w:val="564220BA"/>
    <w:rsid w:val="565E7F4F"/>
    <w:rsid w:val="565F3DA6"/>
    <w:rsid w:val="56914056"/>
    <w:rsid w:val="56C36589"/>
    <w:rsid w:val="56E1606F"/>
    <w:rsid w:val="570D55B0"/>
    <w:rsid w:val="57293C95"/>
    <w:rsid w:val="572A6381"/>
    <w:rsid w:val="572B41B4"/>
    <w:rsid w:val="572E079D"/>
    <w:rsid w:val="57365868"/>
    <w:rsid w:val="573C1959"/>
    <w:rsid w:val="57A65E71"/>
    <w:rsid w:val="57F12ED6"/>
    <w:rsid w:val="57F65317"/>
    <w:rsid w:val="57FC2169"/>
    <w:rsid w:val="58024015"/>
    <w:rsid w:val="58096275"/>
    <w:rsid w:val="5819544F"/>
    <w:rsid w:val="582E6EF7"/>
    <w:rsid w:val="584E30E6"/>
    <w:rsid w:val="58546EFD"/>
    <w:rsid w:val="58581E37"/>
    <w:rsid w:val="58E26731"/>
    <w:rsid w:val="590E4A97"/>
    <w:rsid w:val="591250FF"/>
    <w:rsid w:val="5920012C"/>
    <w:rsid w:val="592B1244"/>
    <w:rsid w:val="594714AD"/>
    <w:rsid w:val="594D06B4"/>
    <w:rsid w:val="595578DE"/>
    <w:rsid w:val="597B384D"/>
    <w:rsid w:val="59996DA8"/>
    <w:rsid w:val="599C05DE"/>
    <w:rsid w:val="59C30F1B"/>
    <w:rsid w:val="5A7027F6"/>
    <w:rsid w:val="5A8C20D0"/>
    <w:rsid w:val="5AC7121C"/>
    <w:rsid w:val="5AD90B8D"/>
    <w:rsid w:val="5AE12927"/>
    <w:rsid w:val="5AE35472"/>
    <w:rsid w:val="5AF41CF3"/>
    <w:rsid w:val="5AF87CC9"/>
    <w:rsid w:val="5B19477F"/>
    <w:rsid w:val="5B4E1A44"/>
    <w:rsid w:val="5B774ED6"/>
    <w:rsid w:val="5B873201"/>
    <w:rsid w:val="5B967767"/>
    <w:rsid w:val="5B9D1624"/>
    <w:rsid w:val="5BCD25E3"/>
    <w:rsid w:val="5C0C2FF6"/>
    <w:rsid w:val="5C1241CC"/>
    <w:rsid w:val="5C286807"/>
    <w:rsid w:val="5C370E72"/>
    <w:rsid w:val="5C446BC8"/>
    <w:rsid w:val="5C4529E1"/>
    <w:rsid w:val="5C4B56E1"/>
    <w:rsid w:val="5C630689"/>
    <w:rsid w:val="5C7146B1"/>
    <w:rsid w:val="5C7C2768"/>
    <w:rsid w:val="5C7E1834"/>
    <w:rsid w:val="5CB23AE6"/>
    <w:rsid w:val="5CDC0A42"/>
    <w:rsid w:val="5CED5863"/>
    <w:rsid w:val="5D0D6DF5"/>
    <w:rsid w:val="5D580A8A"/>
    <w:rsid w:val="5D893B14"/>
    <w:rsid w:val="5DB42C29"/>
    <w:rsid w:val="5DC24941"/>
    <w:rsid w:val="5DD134F6"/>
    <w:rsid w:val="5E016C35"/>
    <w:rsid w:val="5E190362"/>
    <w:rsid w:val="5E291636"/>
    <w:rsid w:val="5E6F64A1"/>
    <w:rsid w:val="5E7E7421"/>
    <w:rsid w:val="5E8B0770"/>
    <w:rsid w:val="5EA06921"/>
    <w:rsid w:val="5EA902B4"/>
    <w:rsid w:val="5EBA259F"/>
    <w:rsid w:val="5EE97BB4"/>
    <w:rsid w:val="5F085DDA"/>
    <w:rsid w:val="5F2E2D52"/>
    <w:rsid w:val="5F54198B"/>
    <w:rsid w:val="5F546D2C"/>
    <w:rsid w:val="5F9D1350"/>
    <w:rsid w:val="5FBE370A"/>
    <w:rsid w:val="5FC83407"/>
    <w:rsid w:val="5FD56E87"/>
    <w:rsid w:val="5FF0558C"/>
    <w:rsid w:val="601A27F4"/>
    <w:rsid w:val="60292845"/>
    <w:rsid w:val="604D2644"/>
    <w:rsid w:val="605238CF"/>
    <w:rsid w:val="6053694F"/>
    <w:rsid w:val="606B46C2"/>
    <w:rsid w:val="607921FE"/>
    <w:rsid w:val="608F2FAE"/>
    <w:rsid w:val="608F62AE"/>
    <w:rsid w:val="60B9251B"/>
    <w:rsid w:val="60E236C1"/>
    <w:rsid w:val="611911B1"/>
    <w:rsid w:val="61260B6B"/>
    <w:rsid w:val="612B3ABB"/>
    <w:rsid w:val="612E1A5D"/>
    <w:rsid w:val="614E5D7E"/>
    <w:rsid w:val="61560892"/>
    <w:rsid w:val="61770BF8"/>
    <w:rsid w:val="61816046"/>
    <w:rsid w:val="61C81AB1"/>
    <w:rsid w:val="61D417B9"/>
    <w:rsid w:val="620B0059"/>
    <w:rsid w:val="62391564"/>
    <w:rsid w:val="623F0B7F"/>
    <w:rsid w:val="624A22BE"/>
    <w:rsid w:val="626E235A"/>
    <w:rsid w:val="626F60D5"/>
    <w:rsid w:val="62816669"/>
    <w:rsid w:val="6282086D"/>
    <w:rsid w:val="62B36CD7"/>
    <w:rsid w:val="62BA0953"/>
    <w:rsid w:val="62D03A7C"/>
    <w:rsid w:val="62D8790F"/>
    <w:rsid w:val="62F42FAE"/>
    <w:rsid w:val="62F648FE"/>
    <w:rsid w:val="63167A4F"/>
    <w:rsid w:val="631D2BD6"/>
    <w:rsid w:val="635356F3"/>
    <w:rsid w:val="635D6064"/>
    <w:rsid w:val="637D5B70"/>
    <w:rsid w:val="63825E77"/>
    <w:rsid w:val="63A10995"/>
    <w:rsid w:val="63AE4FA3"/>
    <w:rsid w:val="63C23EFA"/>
    <w:rsid w:val="63D255DA"/>
    <w:rsid w:val="64076B79"/>
    <w:rsid w:val="640B7654"/>
    <w:rsid w:val="641A2CD7"/>
    <w:rsid w:val="643A070A"/>
    <w:rsid w:val="64402337"/>
    <w:rsid w:val="64410A96"/>
    <w:rsid w:val="644C573D"/>
    <w:rsid w:val="64507EFB"/>
    <w:rsid w:val="647351B7"/>
    <w:rsid w:val="64B97A50"/>
    <w:rsid w:val="65032F85"/>
    <w:rsid w:val="651304A7"/>
    <w:rsid w:val="65136B50"/>
    <w:rsid w:val="657E2A35"/>
    <w:rsid w:val="65A94E9D"/>
    <w:rsid w:val="65B96B3F"/>
    <w:rsid w:val="65BE1071"/>
    <w:rsid w:val="65C60A92"/>
    <w:rsid w:val="65D35142"/>
    <w:rsid w:val="660451CE"/>
    <w:rsid w:val="660B02F6"/>
    <w:rsid w:val="66124161"/>
    <w:rsid w:val="662D2630"/>
    <w:rsid w:val="665346B7"/>
    <w:rsid w:val="66705A4E"/>
    <w:rsid w:val="667C7CCE"/>
    <w:rsid w:val="669C56BF"/>
    <w:rsid w:val="66A12460"/>
    <w:rsid w:val="66A20C1E"/>
    <w:rsid w:val="66B12C54"/>
    <w:rsid w:val="66BE2423"/>
    <w:rsid w:val="66DD6702"/>
    <w:rsid w:val="671B1623"/>
    <w:rsid w:val="671E6EBA"/>
    <w:rsid w:val="672C0ACD"/>
    <w:rsid w:val="675352AA"/>
    <w:rsid w:val="6759400B"/>
    <w:rsid w:val="675E528D"/>
    <w:rsid w:val="6762218A"/>
    <w:rsid w:val="676C598C"/>
    <w:rsid w:val="67962635"/>
    <w:rsid w:val="67966EFB"/>
    <w:rsid w:val="679E7FA1"/>
    <w:rsid w:val="67A32389"/>
    <w:rsid w:val="67B768D0"/>
    <w:rsid w:val="67C779FD"/>
    <w:rsid w:val="682A2352"/>
    <w:rsid w:val="682E7AFD"/>
    <w:rsid w:val="683E65A5"/>
    <w:rsid w:val="68707071"/>
    <w:rsid w:val="687A4379"/>
    <w:rsid w:val="687B015C"/>
    <w:rsid w:val="687E3889"/>
    <w:rsid w:val="6884222C"/>
    <w:rsid w:val="68AD17BB"/>
    <w:rsid w:val="68BF6330"/>
    <w:rsid w:val="68D94D22"/>
    <w:rsid w:val="692B2E4A"/>
    <w:rsid w:val="696A0B34"/>
    <w:rsid w:val="69821807"/>
    <w:rsid w:val="698D6A17"/>
    <w:rsid w:val="69D37590"/>
    <w:rsid w:val="69F954C1"/>
    <w:rsid w:val="69FA2750"/>
    <w:rsid w:val="6A1E1E73"/>
    <w:rsid w:val="6A2031B6"/>
    <w:rsid w:val="6A26299B"/>
    <w:rsid w:val="6A276275"/>
    <w:rsid w:val="6A2F57D7"/>
    <w:rsid w:val="6A3C1D40"/>
    <w:rsid w:val="6A6432E1"/>
    <w:rsid w:val="6A6A5005"/>
    <w:rsid w:val="6A8D5833"/>
    <w:rsid w:val="6AA23DFF"/>
    <w:rsid w:val="6AC61F6F"/>
    <w:rsid w:val="6AD15A40"/>
    <w:rsid w:val="6AD34E53"/>
    <w:rsid w:val="6AD83EA1"/>
    <w:rsid w:val="6ADE74F0"/>
    <w:rsid w:val="6B090931"/>
    <w:rsid w:val="6B1D62E8"/>
    <w:rsid w:val="6B513AF9"/>
    <w:rsid w:val="6B723594"/>
    <w:rsid w:val="6B805156"/>
    <w:rsid w:val="6B945E48"/>
    <w:rsid w:val="6BD50977"/>
    <w:rsid w:val="6BE450D3"/>
    <w:rsid w:val="6BE60C84"/>
    <w:rsid w:val="6C510363"/>
    <w:rsid w:val="6C587C0E"/>
    <w:rsid w:val="6C6C32E1"/>
    <w:rsid w:val="6C6E3E15"/>
    <w:rsid w:val="6C8B1F5D"/>
    <w:rsid w:val="6CAA3931"/>
    <w:rsid w:val="6CCF3BFB"/>
    <w:rsid w:val="6D325918"/>
    <w:rsid w:val="6D334195"/>
    <w:rsid w:val="6D370B82"/>
    <w:rsid w:val="6D3933CA"/>
    <w:rsid w:val="6D6261FE"/>
    <w:rsid w:val="6D7B61EC"/>
    <w:rsid w:val="6D7E4544"/>
    <w:rsid w:val="6D8E03AA"/>
    <w:rsid w:val="6DBB089F"/>
    <w:rsid w:val="6DC63038"/>
    <w:rsid w:val="6DE30DE0"/>
    <w:rsid w:val="6DE6130A"/>
    <w:rsid w:val="6DE839B9"/>
    <w:rsid w:val="6E09491E"/>
    <w:rsid w:val="6E0D3655"/>
    <w:rsid w:val="6E1A437E"/>
    <w:rsid w:val="6E2B14A0"/>
    <w:rsid w:val="6E3A144E"/>
    <w:rsid w:val="6E5F4465"/>
    <w:rsid w:val="6E8B1663"/>
    <w:rsid w:val="6E8C54DA"/>
    <w:rsid w:val="6EF11E03"/>
    <w:rsid w:val="6EF1241D"/>
    <w:rsid w:val="6EF82916"/>
    <w:rsid w:val="6F0B2DE7"/>
    <w:rsid w:val="6F111C62"/>
    <w:rsid w:val="6F2176E5"/>
    <w:rsid w:val="6F2D79CC"/>
    <w:rsid w:val="6F3A2A5F"/>
    <w:rsid w:val="6F4F7F03"/>
    <w:rsid w:val="6F592303"/>
    <w:rsid w:val="6F5F5B74"/>
    <w:rsid w:val="6F98032D"/>
    <w:rsid w:val="6F9B1C65"/>
    <w:rsid w:val="6FA44937"/>
    <w:rsid w:val="6FE82C9C"/>
    <w:rsid w:val="6FFB146E"/>
    <w:rsid w:val="6FFC3AA6"/>
    <w:rsid w:val="70160742"/>
    <w:rsid w:val="7030610F"/>
    <w:rsid w:val="70612DB4"/>
    <w:rsid w:val="706516C3"/>
    <w:rsid w:val="70896E68"/>
    <w:rsid w:val="708A4844"/>
    <w:rsid w:val="70A060B1"/>
    <w:rsid w:val="70E05E9D"/>
    <w:rsid w:val="71073061"/>
    <w:rsid w:val="711A201F"/>
    <w:rsid w:val="71396ACC"/>
    <w:rsid w:val="71570D45"/>
    <w:rsid w:val="715B60E9"/>
    <w:rsid w:val="716F0EE9"/>
    <w:rsid w:val="7196674D"/>
    <w:rsid w:val="71CD6D08"/>
    <w:rsid w:val="71CF2A5A"/>
    <w:rsid w:val="71E950FE"/>
    <w:rsid w:val="71EA1FED"/>
    <w:rsid w:val="72165C6B"/>
    <w:rsid w:val="722021E3"/>
    <w:rsid w:val="722C6DDA"/>
    <w:rsid w:val="72345748"/>
    <w:rsid w:val="72A64192"/>
    <w:rsid w:val="72B37E1B"/>
    <w:rsid w:val="72C57C3C"/>
    <w:rsid w:val="72E661B1"/>
    <w:rsid w:val="72F90C18"/>
    <w:rsid w:val="730313F6"/>
    <w:rsid w:val="730E4732"/>
    <w:rsid w:val="732A6AD8"/>
    <w:rsid w:val="73370D24"/>
    <w:rsid w:val="73472C84"/>
    <w:rsid w:val="7359268C"/>
    <w:rsid w:val="7366631C"/>
    <w:rsid w:val="736C263C"/>
    <w:rsid w:val="73723640"/>
    <w:rsid w:val="737311F5"/>
    <w:rsid w:val="73761585"/>
    <w:rsid w:val="737711C2"/>
    <w:rsid w:val="739503EB"/>
    <w:rsid w:val="73A05B28"/>
    <w:rsid w:val="73C07D69"/>
    <w:rsid w:val="73DC335B"/>
    <w:rsid w:val="73EF4A19"/>
    <w:rsid w:val="740B60EC"/>
    <w:rsid w:val="744C4A5B"/>
    <w:rsid w:val="74705E47"/>
    <w:rsid w:val="74717AE5"/>
    <w:rsid w:val="749E16A8"/>
    <w:rsid w:val="74B42AE4"/>
    <w:rsid w:val="74C54993"/>
    <w:rsid w:val="750A429D"/>
    <w:rsid w:val="75474B47"/>
    <w:rsid w:val="75614792"/>
    <w:rsid w:val="75761866"/>
    <w:rsid w:val="75784473"/>
    <w:rsid w:val="7582466D"/>
    <w:rsid w:val="75B161B3"/>
    <w:rsid w:val="75C055BD"/>
    <w:rsid w:val="75C46B63"/>
    <w:rsid w:val="75DC6C44"/>
    <w:rsid w:val="762770AC"/>
    <w:rsid w:val="762F6A19"/>
    <w:rsid w:val="76341B33"/>
    <w:rsid w:val="763B602A"/>
    <w:rsid w:val="76736B32"/>
    <w:rsid w:val="768811B6"/>
    <w:rsid w:val="76AF35EE"/>
    <w:rsid w:val="76C27A74"/>
    <w:rsid w:val="76E3765E"/>
    <w:rsid w:val="76F302A9"/>
    <w:rsid w:val="76FC2AFA"/>
    <w:rsid w:val="77527424"/>
    <w:rsid w:val="77653671"/>
    <w:rsid w:val="778546CC"/>
    <w:rsid w:val="778B6B46"/>
    <w:rsid w:val="77A96931"/>
    <w:rsid w:val="77B105D5"/>
    <w:rsid w:val="77B551B3"/>
    <w:rsid w:val="77B56730"/>
    <w:rsid w:val="77B92EBE"/>
    <w:rsid w:val="77BF1E80"/>
    <w:rsid w:val="77C04A8B"/>
    <w:rsid w:val="77D85DB3"/>
    <w:rsid w:val="77EB1B74"/>
    <w:rsid w:val="782A3EA3"/>
    <w:rsid w:val="78A50513"/>
    <w:rsid w:val="78D37FAF"/>
    <w:rsid w:val="78EF7AB5"/>
    <w:rsid w:val="790A4A06"/>
    <w:rsid w:val="790D6849"/>
    <w:rsid w:val="79252148"/>
    <w:rsid w:val="795767E3"/>
    <w:rsid w:val="79586707"/>
    <w:rsid w:val="796518DD"/>
    <w:rsid w:val="79724BEF"/>
    <w:rsid w:val="797264AC"/>
    <w:rsid w:val="799008E5"/>
    <w:rsid w:val="79AA0532"/>
    <w:rsid w:val="79AB2CDA"/>
    <w:rsid w:val="79C370A4"/>
    <w:rsid w:val="79D23A3D"/>
    <w:rsid w:val="79FE1DDD"/>
    <w:rsid w:val="7A075767"/>
    <w:rsid w:val="7A0C15B3"/>
    <w:rsid w:val="7A212062"/>
    <w:rsid w:val="7A2522C9"/>
    <w:rsid w:val="7A282A11"/>
    <w:rsid w:val="7A3A59B8"/>
    <w:rsid w:val="7A5752EE"/>
    <w:rsid w:val="7A5D0F75"/>
    <w:rsid w:val="7A715CD2"/>
    <w:rsid w:val="7A921E9A"/>
    <w:rsid w:val="7ABF2475"/>
    <w:rsid w:val="7AC21562"/>
    <w:rsid w:val="7AD474A4"/>
    <w:rsid w:val="7AD91F5A"/>
    <w:rsid w:val="7AF55544"/>
    <w:rsid w:val="7AFC38DE"/>
    <w:rsid w:val="7B165244"/>
    <w:rsid w:val="7B217A1E"/>
    <w:rsid w:val="7B2965AD"/>
    <w:rsid w:val="7B303E8C"/>
    <w:rsid w:val="7B39121D"/>
    <w:rsid w:val="7B865D50"/>
    <w:rsid w:val="7B87547C"/>
    <w:rsid w:val="7B8D34C3"/>
    <w:rsid w:val="7B971D84"/>
    <w:rsid w:val="7BAB0CB7"/>
    <w:rsid w:val="7BB4028F"/>
    <w:rsid w:val="7BE85BAB"/>
    <w:rsid w:val="7BF32F03"/>
    <w:rsid w:val="7BF50D2C"/>
    <w:rsid w:val="7C066F4E"/>
    <w:rsid w:val="7C1724A5"/>
    <w:rsid w:val="7C1A0DA0"/>
    <w:rsid w:val="7C241E55"/>
    <w:rsid w:val="7C273CFF"/>
    <w:rsid w:val="7C5C0312"/>
    <w:rsid w:val="7CA54112"/>
    <w:rsid w:val="7CA553D9"/>
    <w:rsid w:val="7CAB27F5"/>
    <w:rsid w:val="7CAF438A"/>
    <w:rsid w:val="7CCE726D"/>
    <w:rsid w:val="7CD71EA3"/>
    <w:rsid w:val="7CE50CE4"/>
    <w:rsid w:val="7CF877E9"/>
    <w:rsid w:val="7D134762"/>
    <w:rsid w:val="7D2E5ABF"/>
    <w:rsid w:val="7D4A45B8"/>
    <w:rsid w:val="7D642BD6"/>
    <w:rsid w:val="7D924F14"/>
    <w:rsid w:val="7DFF2241"/>
    <w:rsid w:val="7E007625"/>
    <w:rsid w:val="7E0737C8"/>
    <w:rsid w:val="7E131C51"/>
    <w:rsid w:val="7E176B90"/>
    <w:rsid w:val="7E2142A2"/>
    <w:rsid w:val="7E240411"/>
    <w:rsid w:val="7E5148A6"/>
    <w:rsid w:val="7E6A046F"/>
    <w:rsid w:val="7E797DE5"/>
    <w:rsid w:val="7E7B0BF2"/>
    <w:rsid w:val="7E8D75B6"/>
    <w:rsid w:val="7E8E672B"/>
    <w:rsid w:val="7EB16167"/>
    <w:rsid w:val="7EF760EE"/>
    <w:rsid w:val="7F193E37"/>
    <w:rsid w:val="7F2536B5"/>
    <w:rsid w:val="7F383117"/>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qFormat="1"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5">
    <w:name w:val="heading 1"/>
    <w:basedOn w:val="1"/>
    <w:next w:val="1"/>
    <w:link w:val="77"/>
    <w:qFormat/>
    <w:uiPriority w:val="9"/>
    <w:pPr>
      <w:keepNext/>
      <w:keepLines/>
      <w:spacing w:before="340" w:after="330" w:line="576" w:lineRule="auto"/>
      <w:outlineLvl w:val="0"/>
    </w:pPr>
    <w:rPr>
      <w:b/>
      <w:kern w:val="44"/>
      <w:sz w:val="44"/>
    </w:rPr>
  </w:style>
  <w:style w:type="paragraph" w:styleId="6">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44"/>
    <w:unhideWhenUsed/>
    <w:qFormat/>
    <w:uiPriority w:val="9"/>
    <w:pPr>
      <w:keepNext/>
      <w:keepLines/>
      <w:spacing w:before="260" w:after="260" w:line="416" w:lineRule="auto"/>
      <w:outlineLvl w:val="2"/>
    </w:pPr>
    <w:rPr>
      <w:b/>
      <w:bCs/>
      <w:sz w:val="32"/>
      <w:szCs w:val="32"/>
    </w:rPr>
  </w:style>
  <w:style w:type="paragraph" w:styleId="8">
    <w:name w:val="heading 4"/>
    <w:basedOn w:val="1"/>
    <w:next w:val="1"/>
    <w:link w:val="46"/>
    <w:unhideWhenUsed/>
    <w:qFormat/>
    <w:uiPriority w:val="9"/>
    <w:pPr>
      <w:keepNext/>
      <w:keepLines/>
      <w:outlineLvl w:val="3"/>
    </w:pPr>
    <w:rPr>
      <w:rFonts w:asciiTheme="majorHAnsi" w:hAnsiTheme="majorHAnsi" w:cstheme="majorBidi"/>
      <w:b/>
      <w:bCs/>
      <w:sz w:val="24"/>
      <w:szCs w:val="28"/>
    </w:rPr>
  </w:style>
  <w:style w:type="paragraph" w:styleId="9">
    <w:name w:val="heading 5"/>
    <w:basedOn w:val="1"/>
    <w:next w:val="1"/>
    <w:link w:val="76"/>
    <w:semiHidden/>
    <w:unhideWhenUsed/>
    <w:qFormat/>
    <w:uiPriority w:val="9"/>
    <w:pPr>
      <w:keepNext/>
      <w:keepLines/>
      <w:spacing w:before="280" w:after="290" w:line="372" w:lineRule="auto"/>
      <w:outlineLvl w:val="4"/>
    </w:pPr>
    <w:rPr>
      <w:b/>
      <w:sz w:val="28"/>
    </w:rPr>
  </w:style>
  <w:style w:type="character" w:default="1" w:styleId="32">
    <w:name w:val="Default Paragraph Font"/>
    <w:semiHidden/>
    <w:unhideWhenUsed/>
    <w:qFormat/>
    <w:uiPriority w:val="1"/>
  </w:style>
  <w:style w:type="table" w:default="1" w:styleId="3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3"/>
    <w:link w:val="68"/>
    <w:qFormat/>
    <w:uiPriority w:val="1"/>
    <w:pPr>
      <w:spacing w:before="161"/>
      <w:ind w:left="120"/>
    </w:pPr>
    <w:rPr>
      <w:rFonts w:ascii="宋体" w:hAnsi="宋体" w:cs="宋体"/>
      <w:sz w:val="24"/>
      <w:lang w:val="zh-CN" w:bidi="zh-CN"/>
    </w:rPr>
  </w:style>
  <w:style w:type="paragraph" w:styleId="3">
    <w:name w:val="Body Text First Indent"/>
    <w:basedOn w:val="2"/>
    <w:next w:val="4"/>
    <w:qFormat/>
    <w:uiPriority w:val="0"/>
    <w:pPr>
      <w:spacing w:after="120"/>
      <w:ind w:firstLine="420" w:firstLineChars="100"/>
    </w:pPr>
    <w:rPr>
      <w:bCs/>
      <w:szCs w:val="21"/>
    </w:rPr>
  </w:style>
  <w:style w:type="paragraph" w:customStyle="1" w:styleId="4">
    <w:name w:val="样式 正文首行缩进 + 首行缩进:  1 字符"/>
    <w:basedOn w:val="1"/>
    <w:next w:val="1"/>
    <w:qFormat/>
    <w:uiPriority w:val="0"/>
    <w:pPr>
      <w:ind w:firstLine="200" w:firstLineChars="200"/>
    </w:pPr>
    <w:rPr>
      <w:rFonts w:cs="宋体"/>
      <w:szCs w:val="20"/>
    </w:rPr>
  </w:style>
  <w:style w:type="paragraph" w:styleId="10">
    <w:name w:val="annotation subject"/>
    <w:basedOn w:val="11"/>
    <w:next w:val="11"/>
    <w:link w:val="66"/>
    <w:semiHidden/>
    <w:unhideWhenUsed/>
    <w:qFormat/>
    <w:uiPriority w:val="99"/>
    <w:rPr>
      <w:b/>
      <w:bCs/>
    </w:rPr>
  </w:style>
  <w:style w:type="paragraph" w:styleId="11">
    <w:name w:val="annotation text"/>
    <w:basedOn w:val="1"/>
    <w:link w:val="65"/>
    <w:unhideWhenUsed/>
    <w:qFormat/>
    <w:uiPriority w:val="99"/>
  </w:style>
  <w:style w:type="paragraph" w:styleId="12">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3">
    <w:name w:val="toa heading"/>
    <w:basedOn w:val="1"/>
    <w:next w:val="1"/>
    <w:qFormat/>
    <w:uiPriority w:val="0"/>
    <w:pPr>
      <w:widowControl w:val="0"/>
      <w:spacing w:after="0"/>
      <w:jc w:val="both"/>
    </w:pPr>
    <w:rPr>
      <w:rFonts w:ascii="Arial" w:hAnsi="Arial" w:eastAsia="宋体" w:cs="Times New Roman"/>
      <w:b/>
      <w:bCs/>
      <w:kern w:val="2"/>
      <w:sz w:val="21"/>
      <w:szCs w:val="24"/>
      <w:lang w:val="en-US" w:eastAsia="zh-CN" w:bidi="ar-SA"/>
    </w:rPr>
  </w:style>
  <w:style w:type="paragraph" w:styleId="14">
    <w:name w:val="Body Text Indent"/>
    <w:basedOn w:val="1"/>
    <w:qFormat/>
    <w:uiPriority w:val="0"/>
    <w:pPr>
      <w:ind w:left="359" w:leftChars="171" w:firstLine="179" w:firstLineChars="85"/>
    </w:pPr>
    <w:rPr>
      <w:rFonts w:ascii="宋体" w:hAnsi="宋体"/>
      <w:b/>
      <w:bCs/>
      <w:szCs w:val="26"/>
    </w:rPr>
  </w:style>
  <w:style w:type="paragraph" w:styleId="15">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6">
    <w:name w:val="toc 3"/>
    <w:basedOn w:val="1"/>
    <w:next w:val="1"/>
    <w:unhideWhenUsed/>
    <w:qFormat/>
    <w:uiPriority w:val="39"/>
    <w:pPr>
      <w:tabs>
        <w:tab w:val="right" w:leader="dot" w:pos="8296"/>
      </w:tabs>
      <w:ind w:left="838" w:leftChars="381"/>
    </w:pPr>
    <w:rPr>
      <w:szCs w:val="21"/>
    </w:rPr>
  </w:style>
  <w:style w:type="paragraph" w:styleId="17">
    <w:name w:val="Plain Text"/>
    <w:basedOn w:val="1"/>
    <w:link w:val="57"/>
    <w:qFormat/>
    <w:uiPriority w:val="0"/>
    <w:pPr>
      <w:widowControl w:val="0"/>
      <w:adjustRightInd/>
      <w:snapToGrid/>
      <w:jc w:val="both"/>
    </w:pPr>
    <w:rPr>
      <w:rFonts w:ascii="宋体" w:hAnsi="Courier New" w:cs="Times New Roman"/>
      <w:b/>
      <w:kern w:val="2"/>
      <w:szCs w:val="20"/>
    </w:rPr>
  </w:style>
  <w:style w:type="paragraph" w:styleId="18">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9">
    <w:name w:val="Balloon Text"/>
    <w:basedOn w:val="1"/>
    <w:link w:val="60"/>
    <w:semiHidden/>
    <w:unhideWhenUsed/>
    <w:qFormat/>
    <w:uiPriority w:val="99"/>
    <w:rPr>
      <w:sz w:val="18"/>
      <w:szCs w:val="18"/>
    </w:rPr>
  </w:style>
  <w:style w:type="paragraph" w:styleId="20">
    <w:name w:val="footer"/>
    <w:basedOn w:val="1"/>
    <w:link w:val="59"/>
    <w:unhideWhenUsed/>
    <w:qFormat/>
    <w:uiPriority w:val="99"/>
    <w:pPr>
      <w:tabs>
        <w:tab w:val="center" w:pos="4153"/>
        <w:tab w:val="right" w:pos="8306"/>
      </w:tabs>
    </w:pPr>
    <w:rPr>
      <w:sz w:val="18"/>
      <w:szCs w:val="18"/>
    </w:rPr>
  </w:style>
  <w:style w:type="paragraph" w:styleId="21">
    <w:name w:val="header"/>
    <w:basedOn w:val="1"/>
    <w:link w:val="58"/>
    <w:unhideWhenUsed/>
    <w:qFormat/>
    <w:uiPriority w:val="99"/>
    <w:pPr>
      <w:pBdr>
        <w:bottom w:val="single" w:color="auto" w:sz="6" w:space="1"/>
      </w:pBdr>
      <w:tabs>
        <w:tab w:val="center" w:pos="4153"/>
        <w:tab w:val="right" w:pos="8306"/>
      </w:tabs>
      <w:jc w:val="center"/>
    </w:pPr>
    <w:rPr>
      <w:sz w:val="18"/>
      <w:szCs w:val="18"/>
    </w:rPr>
  </w:style>
  <w:style w:type="paragraph" w:styleId="22">
    <w:name w:val="toc 1"/>
    <w:basedOn w:val="1"/>
    <w:next w:val="1"/>
    <w:unhideWhenUsed/>
    <w:qFormat/>
    <w:uiPriority w:val="39"/>
  </w:style>
  <w:style w:type="paragraph" w:styleId="23">
    <w:name w:val="toc 4"/>
    <w:basedOn w:val="1"/>
    <w:next w:val="1"/>
    <w:unhideWhenUsed/>
    <w:qFormat/>
    <w:uiPriority w:val="39"/>
    <w:pPr>
      <w:tabs>
        <w:tab w:val="right" w:leader="dot" w:pos="8296"/>
      </w:tabs>
      <w:spacing w:after="120"/>
      <w:ind w:left="1320" w:leftChars="600"/>
    </w:pPr>
  </w:style>
  <w:style w:type="paragraph" w:styleId="24">
    <w:name w:val="footnote text"/>
    <w:basedOn w:val="1"/>
    <w:semiHidden/>
    <w:unhideWhenUsed/>
    <w:qFormat/>
    <w:uiPriority w:val="99"/>
    <w:rPr>
      <w:sz w:val="18"/>
    </w:rPr>
  </w:style>
  <w:style w:type="paragraph" w:styleId="25">
    <w:name w:val="toc 6"/>
    <w:basedOn w:val="1"/>
    <w:next w:val="1"/>
    <w:qFormat/>
    <w:uiPriority w:val="39"/>
    <w:pPr>
      <w:ind w:left="1200"/>
    </w:pPr>
    <w:rPr>
      <w:rFonts w:ascii="Calibri" w:cs="Calibri"/>
      <w:sz w:val="18"/>
      <w:szCs w:val="18"/>
    </w:rPr>
  </w:style>
  <w:style w:type="paragraph" w:styleId="26">
    <w:name w:val="Body Text Indent 3"/>
    <w:basedOn w:val="1"/>
    <w:semiHidden/>
    <w:unhideWhenUsed/>
    <w:qFormat/>
    <w:uiPriority w:val="99"/>
    <w:pPr>
      <w:spacing w:after="120"/>
      <w:ind w:left="420" w:leftChars="200"/>
    </w:pPr>
    <w:rPr>
      <w:sz w:val="16"/>
      <w:szCs w:val="16"/>
    </w:rPr>
  </w:style>
  <w:style w:type="paragraph" w:styleId="27">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8">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9">
    <w:name w:val="Body Text 2"/>
    <w:basedOn w:val="1"/>
    <w:semiHidden/>
    <w:unhideWhenUsed/>
    <w:qFormat/>
    <w:uiPriority w:val="99"/>
    <w:pPr>
      <w:spacing w:after="120" w:line="480" w:lineRule="auto"/>
    </w:pPr>
  </w:style>
  <w:style w:type="paragraph" w:styleId="30">
    <w:name w:val="Normal (Web)"/>
    <w:basedOn w:val="1"/>
    <w:link w:val="62"/>
    <w:qFormat/>
    <w:uiPriority w:val="0"/>
    <w:pPr>
      <w:widowControl w:val="0"/>
      <w:adjustRightInd/>
      <w:snapToGrid/>
      <w:jc w:val="both"/>
    </w:pPr>
    <w:rPr>
      <w:rFonts w:asciiTheme="minorHAnsi" w:hAnsiTheme="minorHAnsi"/>
      <w:kern w:val="2"/>
      <w:sz w:val="24"/>
      <w:szCs w:val="24"/>
    </w:rPr>
  </w:style>
  <w:style w:type="paragraph" w:styleId="31">
    <w:name w:val="Title"/>
    <w:basedOn w:val="1"/>
    <w:next w:val="1"/>
    <w:qFormat/>
    <w:uiPriority w:val="0"/>
    <w:pPr>
      <w:spacing w:before="240" w:after="60"/>
      <w:jc w:val="center"/>
      <w:outlineLvl w:val="0"/>
    </w:pPr>
    <w:rPr>
      <w:rFonts w:ascii="Calibri Light" w:hAnsi="Calibri Light" w:eastAsia="宋体" w:cs="Times New Roman"/>
      <w:b/>
      <w:bCs/>
      <w:sz w:val="32"/>
      <w:szCs w:val="32"/>
    </w:rPr>
  </w:style>
  <w:style w:type="character" w:styleId="33">
    <w:name w:val="page number"/>
    <w:basedOn w:val="32"/>
    <w:qFormat/>
    <w:uiPriority w:val="0"/>
  </w:style>
  <w:style w:type="character" w:styleId="34">
    <w:name w:val="Emphasis"/>
    <w:basedOn w:val="32"/>
    <w:qFormat/>
    <w:uiPriority w:val="20"/>
    <w:rPr>
      <w:i/>
      <w:iCs/>
    </w:rPr>
  </w:style>
  <w:style w:type="character" w:styleId="35">
    <w:name w:val="Hyperlink"/>
    <w:qFormat/>
    <w:uiPriority w:val="99"/>
    <w:rPr>
      <w:rFonts w:hint="eastAsia" w:ascii="宋体" w:hAnsi="宋体" w:eastAsia="宋体" w:cs="宋体"/>
      <w:b/>
      <w:color w:val="0031C1"/>
      <w:kern w:val="0"/>
      <w:sz w:val="18"/>
      <w:szCs w:val="18"/>
      <w:u w:val="none"/>
      <w:lang w:eastAsia="en-US"/>
    </w:rPr>
  </w:style>
  <w:style w:type="character" w:styleId="36">
    <w:name w:val="annotation reference"/>
    <w:basedOn w:val="32"/>
    <w:semiHidden/>
    <w:unhideWhenUsed/>
    <w:qFormat/>
    <w:uiPriority w:val="99"/>
    <w:rPr>
      <w:sz w:val="21"/>
      <w:szCs w:val="21"/>
    </w:rPr>
  </w:style>
  <w:style w:type="character" w:styleId="37">
    <w:name w:val="footnote reference"/>
    <w:basedOn w:val="32"/>
    <w:semiHidden/>
    <w:unhideWhenUsed/>
    <w:qFormat/>
    <w:uiPriority w:val="99"/>
    <w:rPr>
      <w:vertAlign w:val="superscript"/>
    </w:rPr>
  </w:style>
  <w:style w:type="table" w:styleId="39">
    <w:name w:val="Table Grid"/>
    <w:basedOn w:val="3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40">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41">
    <w:name w:val="Body Text First Indent1"/>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42">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3">
    <w:name w:val="标题 2 字符"/>
    <w:basedOn w:val="32"/>
    <w:link w:val="6"/>
    <w:qFormat/>
    <w:uiPriority w:val="9"/>
    <w:rPr>
      <w:rFonts w:asciiTheme="majorHAnsi" w:hAnsiTheme="majorHAnsi" w:eastAsiaTheme="majorEastAsia" w:cstheme="majorBidi"/>
      <w:b/>
      <w:bCs/>
      <w:sz w:val="32"/>
      <w:szCs w:val="32"/>
    </w:rPr>
  </w:style>
  <w:style w:type="character" w:customStyle="1" w:styleId="44">
    <w:name w:val="标题 3 字符"/>
    <w:basedOn w:val="32"/>
    <w:link w:val="7"/>
    <w:qFormat/>
    <w:uiPriority w:val="9"/>
    <w:rPr>
      <w:rFonts w:ascii="Tahoma" w:hAnsi="Tahoma"/>
      <w:b/>
      <w:bCs/>
      <w:sz w:val="32"/>
      <w:szCs w:val="32"/>
    </w:rPr>
  </w:style>
  <w:style w:type="paragraph" w:styleId="45">
    <w:name w:val="List Paragraph"/>
    <w:basedOn w:val="1"/>
    <w:link w:val="67"/>
    <w:qFormat/>
    <w:uiPriority w:val="0"/>
    <w:pPr>
      <w:ind w:firstLine="420" w:firstLineChars="200"/>
    </w:pPr>
  </w:style>
  <w:style w:type="character" w:customStyle="1" w:styleId="46">
    <w:name w:val="标题 4 字符"/>
    <w:basedOn w:val="32"/>
    <w:link w:val="8"/>
    <w:qFormat/>
    <w:uiPriority w:val="9"/>
    <w:rPr>
      <w:rFonts w:eastAsia="宋体" w:asciiTheme="majorHAnsi" w:hAnsiTheme="majorHAnsi" w:cstheme="majorBidi"/>
      <w:b/>
      <w:bCs/>
      <w:sz w:val="24"/>
      <w:szCs w:val="28"/>
    </w:rPr>
  </w:style>
  <w:style w:type="character" w:customStyle="1" w:styleId="47">
    <w:name w:val="正文缩进2格 Char"/>
    <w:link w:val="48"/>
    <w:qFormat/>
    <w:uiPriority w:val="0"/>
    <w:rPr>
      <w:rFonts w:ascii="仿宋_GB2312" w:hAnsi="宋体" w:eastAsia="仿宋_GB2312"/>
      <w:kern w:val="2"/>
      <w:sz w:val="31"/>
    </w:rPr>
  </w:style>
  <w:style w:type="paragraph" w:customStyle="1" w:styleId="48">
    <w:name w:val="正文缩进2格"/>
    <w:basedOn w:val="1"/>
    <w:next w:val="1"/>
    <w:link w:val="47"/>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9">
    <w:name w:val="正文缩进4格"/>
    <w:basedOn w:val="48"/>
    <w:qFormat/>
    <w:uiPriority w:val="0"/>
    <w:pPr>
      <w:ind w:left="2" w:firstLine="538" w:firstLineChars="192"/>
    </w:pPr>
    <w:rPr>
      <w:color w:val="0000FF"/>
      <w:sz w:val="28"/>
    </w:rPr>
  </w:style>
  <w:style w:type="character" w:customStyle="1" w:styleId="50">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1">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2">
    <w:name w:val="标题1"/>
    <w:qFormat/>
    <w:uiPriority w:val="0"/>
    <w:rPr>
      <w:rFonts w:ascii="Times New Roman" w:hAnsi="Times New Roman" w:eastAsia="宋体" w:cs="Times New Roman"/>
      <w:b/>
      <w:kern w:val="0"/>
      <w:sz w:val="24"/>
      <w:szCs w:val="20"/>
      <w:lang w:eastAsia="en-US"/>
    </w:rPr>
  </w:style>
  <w:style w:type="character" w:customStyle="1" w:styleId="53">
    <w:name w:val="标题 3.1 Char"/>
    <w:link w:val="54"/>
    <w:qFormat/>
    <w:uiPriority w:val="0"/>
    <w:rPr>
      <w:rFonts w:ascii="宋体" w:hAnsi="宋体" w:eastAsia="宋体"/>
      <w:b/>
      <w:color w:val="FF0000"/>
      <w:kern w:val="2"/>
      <w:sz w:val="32"/>
    </w:rPr>
  </w:style>
  <w:style w:type="paragraph" w:customStyle="1" w:styleId="54">
    <w:name w:val="标题 3.1"/>
    <w:basedOn w:val="7"/>
    <w:link w:val="53"/>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5">
    <w:name w:val="样式 楷体_GB2312 小四"/>
    <w:qFormat/>
    <w:uiPriority w:val="0"/>
    <w:rPr>
      <w:rFonts w:ascii="楷体_GB2312" w:hAnsi="楷体_GB2312" w:eastAsia="仿宋_GB2312"/>
      <w:sz w:val="24"/>
    </w:rPr>
  </w:style>
  <w:style w:type="character" w:customStyle="1" w:styleId="56">
    <w:name w:val="纯文本 Char"/>
    <w:qFormat/>
    <w:uiPriority w:val="0"/>
    <w:rPr>
      <w:rFonts w:ascii="宋体" w:hAnsi="Courier New" w:eastAsia="宋体" w:cs="Times New Roman"/>
      <w:b/>
      <w:kern w:val="2"/>
      <w:sz w:val="21"/>
      <w:szCs w:val="20"/>
    </w:rPr>
  </w:style>
  <w:style w:type="character" w:customStyle="1" w:styleId="57">
    <w:name w:val="纯文本 字符"/>
    <w:basedOn w:val="32"/>
    <w:link w:val="17"/>
    <w:semiHidden/>
    <w:qFormat/>
    <w:uiPriority w:val="99"/>
    <w:rPr>
      <w:rFonts w:ascii="宋体" w:hAnsi="Courier New" w:eastAsia="宋体" w:cs="Courier New"/>
      <w:sz w:val="21"/>
      <w:szCs w:val="21"/>
    </w:rPr>
  </w:style>
  <w:style w:type="character" w:customStyle="1" w:styleId="58">
    <w:name w:val="页眉 字符"/>
    <w:basedOn w:val="32"/>
    <w:link w:val="21"/>
    <w:qFormat/>
    <w:uiPriority w:val="99"/>
    <w:rPr>
      <w:rFonts w:ascii="Tahoma" w:hAnsi="Tahoma"/>
      <w:sz w:val="18"/>
      <w:szCs w:val="18"/>
    </w:rPr>
  </w:style>
  <w:style w:type="character" w:customStyle="1" w:styleId="59">
    <w:name w:val="页脚 字符"/>
    <w:basedOn w:val="32"/>
    <w:link w:val="20"/>
    <w:qFormat/>
    <w:uiPriority w:val="99"/>
    <w:rPr>
      <w:rFonts w:ascii="Tahoma" w:hAnsi="Tahoma"/>
      <w:sz w:val="18"/>
      <w:szCs w:val="18"/>
    </w:rPr>
  </w:style>
  <w:style w:type="character" w:customStyle="1" w:styleId="60">
    <w:name w:val="批注框文本 字符"/>
    <w:basedOn w:val="32"/>
    <w:link w:val="19"/>
    <w:semiHidden/>
    <w:qFormat/>
    <w:uiPriority w:val="99"/>
    <w:rPr>
      <w:rFonts w:ascii="Tahoma" w:hAnsi="Tahoma"/>
      <w:sz w:val="18"/>
      <w:szCs w:val="18"/>
    </w:rPr>
  </w:style>
  <w:style w:type="paragraph" w:customStyle="1" w:styleId="61">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2">
    <w:name w:val="普通(网站) 字符"/>
    <w:link w:val="30"/>
    <w:qFormat/>
    <w:uiPriority w:val="0"/>
    <w:rPr>
      <w:rFonts w:eastAsia="宋体"/>
      <w:kern w:val="2"/>
      <w:sz w:val="24"/>
      <w:szCs w:val="24"/>
    </w:rPr>
  </w:style>
  <w:style w:type="paragraph" w:customStyle="1" w:styleId="63">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4">
    <w:name w:val="p141"/>
    <w:qFormat/>
    <w:uiPriority w:val="0"/>
    <w:rPr>
      <w:sz w:val="21"/>
      <w:szCs w:val="21"/>
    </w:rPr>
  </w:style>
  <w:style w:type="character" w:customStyle="1" w:styleId="65">
    <w:name w:val="批注文字 字符"/>
    <w:basedOn w:val="32"/>
    <w:link w:val="11"/>
    <w:qFormat/>
    <w:uiPriority w:val="99"/>
    <w:rPr>
      <w:rFonts w:ascii="Tahoma" w:hAnsi="Tahoma" w:eastAsia="微软雅黑" w:cstheme="minorBidi"/>
      <w:sz w:val="22"/>
      <w:szCs w:val="22"/>
    </w:rPr>
  </w:style>
  <w:style w:type="character" w:customStyle="1" w:styleId="66">
    <w:name w:val="批注主题 字符"/>
    <w:basedOn w:val="65"/>
    <w:link w:val="10"/>
    <w:semiHidden/>
    <w:qFormat/>
    <w:uiPriority w:val="99"/>
    <w:rPr>
      <w:rFonts w:ascii="Tahoma" w:hAnsi="Tahoma" w:eastAsia="微软雅黑" w:cstheme="minorBidi"/>
      <w:b/>
      <w:bCs/>
      <w:sz w:val="22"/>
      <w:szCs w:val="22"/>
    </w:rPr>
  </w:style>
  <w:style w:type="character" w:customStyle="1" w:styleId="67">
    <w:name w:val="列表段落 字符"/>
    <w:link w:val="45"/>
    <w:qFormat/>
    <w:uiPriority w:val="0"/>
    <w:rPr>
      <w:rFonts w:ascii="Tahoma" w:hAnsi="Tahoma" w:eastAsia="微软雅黑" w:cstheme="minorBidi"/>
      <w:sz w:val="22"/>
      <w:szCs w:val="22"/>
    </w:rPr>
  </w:style>
  <w:style w:type="character" w:customStyle="1" w:styleId="68">
    <w:name w:val="正文文本 字符"/>
    <w:basedOn w:val="32"/>
    <w:link w:val="2"/>
    <w:qFormat/>
    <w:uiPriority w:val="1"/>
    <w:rPr>
      <w:rFonts w:ascii="宋体" w:hAnsi="宋体" w:cs="宋体"/>
      <w:sz w:val="24"/>
      <w:szCs w:val="22"/>
      <w:lang w:val="zh-CN" w:bidi="zh-CN"/>
    </w:rPr>
  </w:style>
  <w:style w:type="paragraph" w:customStyle="1" w:styleId="6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0">
    <w:name w:val="_Style 1"/>
    <w:basedOn w:val="1"/>
    <w:qFormat/>
    <w:uiPriority w:val="0"/>
    <w:pPr>
      <w:ind w:firstLine="420" w:firstLineChars="200"/>
    </w:pPr>
  </w:style>
  <w:style w:type="paragraph" w:customStyle="1" w:styleId="71">
    <w:name w:val="列出段落2"/>
    <w:basedOn w:val="1"/>
    <w:qFormat/>
    <w:uiPriority w:val="0"/>
    <w:pPr>
      <w:ind w:firstLine="420" w:firstLineChars="200"/>
    </w:pPr>
  </w:style>
  <w:style w:type="paragraph" w:customStyle="1" w:styleId="72">
    <w:name w:val="p0"/>
    <w:basedOn w:val="1"/>
    <w:qFormat/>
    <w:uiPriority w:val="0"/>
    <w:rPr>
      <w:szCs w:val="21"/>
    </w:rPr>
  </w:style>
  <w:style w:type="paragraph" w:customStyle="1" w:styleId="73">
    <w:name w:val="正文文本缩进 21"/>
    <w:basedOn w:val="1"/>
    <w:qFormat/>
    <w:uiPriority w:val="0"/>
    <w:pPr>
      <w:spacing w:line="480" w:lineRule="auto"/>
      <w:ind w:firstLine="540"/>
    </w:pPr>
    <w:rPr>
      <w:rFonts w:ascii="Calibri" w:hAnsi="Calibri"/>
      <w:sz w:val="20"/>
      <w:szCs w:val="20"/>
    </w:rPr>
  </w:style>
  <w:style w:type="paragraph" w:customStyle="1" w:styleId="74">
    <w:name w:val="_Style 2"/>
    <w:basedOn w:val="1"/>
    <w:qFormat/>
    <w:uiPriority w:val="0"/>
    <w:pPr>
      <w:ind w:firstLine="420" w:firstLineChars="200"/>
    </w:pPr>
  </w:style>
  <w:style w:type="paragraph" w:customStyle="1" w:styleId="75">
    <w:name w:val="msolistparagraph"/>
    <w:basedOn w:val="1"/>
    <w:qFormat/>
    <w:uiPriority w:val="0"/>
    <w:pPr>
      <w:ind w:firstLine="420" w:firstLineChars="200"/>
    </w:pPr>
    <w:rPr>
      <w:rFonts w:hint="eastAsia" w:hAnsi="宋体"/>
    </w:rPr>
  </w:style>
  <w:style w:type="character" w:customStyle="1" w:styleId="76">
    <w:name w:val="标题 5 字符"/>
    <w:link w:val="9"/>
    <w:qFormat/>
    <w:uiPriority w:val="0"/>
    <w:rPr>
      <w:b/>
      <w:sz w:val="28"/>
    </w:rPr>
  </w:style>
  <w:style w:type="character" w:customStyle="1" w:styleId="77">
    <w:name w:val="标题 1 字符"/>
    <w:link w:val="5"/>
    <w:qFormat/>
    <w:uiPriority w:val="9"/>
    <w:rPr>
      <w:b/>
      <w:kern w:val="44"/>
      <w:sz w:val="44"/>
    </w:rPr>
  </w:style>
  <w:style w:type="paragraph" w:customStyle="1" w:styleId="78">
    <w:name w:val="修订1"/>
    <w:hidden/>
    <w:semiHidden/>
    <w:qFormat/>
    <w:uiPriority w:val="99"/>
    <w:rPr>
      <w:rFonts w:ascii="Tahoma" w:hAnsi="Tahoma" w:eastAsia="宋体" w:cstheme="minorBidi"/>
      <w:sz w:val="21"/>
      <w:szCs w:val="22"/>
      <w:lang w:val="en-US" w:eastAsia="zh-CN" w:bidi="ar-SA"/>
    </w:rPr>
  </w:style>
  <w:style w:type="paragraph" w:customStyle="1" w:styleId="79">
    <w:name w:val="表格文字"/>
    <w:basedOn w:val="1"/>
    <w:qFormat/>
    <w:uiPriority w:val="0"/>
    <w:pPr>
      <w:adjustRightInd/>
      <w:spacing w:before="25" w:after="25"/>
    </w:pPr>
    <w:rPr>
      <w:rFonts w:ascii="Times New Roman"/>
      <w:bCs/>
      <w:spacing w:val="10"/>
      <w:szCs w:val="20"/>
    </w:rPr>
  </w:style>
  <w:style w:type="paragraph" w:customStyle="1" w:styleId="80">
    <w:name w:val="纯文本1"/>
    <w:basedOn w:val="81"/>
    <w:qFormat/>
    <w:uiPriority w:val="0"/>
    <w:rPr>
      <w:rFonts w:ascii="宋体" w:hAnsi="Courier New"/>
      <w:szCs w:val="20"/>
    </w:rPr>
  </w:style>
  <w:style w:type="paragraph" w:customStyle="1" w:styleId="81">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2">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3">
    <w:name w:val="Table Normal"/>
    <w:semiHidden/>
    <w:unhideWhenUsed/>
    <w:qFormat/>
    <w:uiPriority w:val="2"/>
    <w:tblPr>
      <w:tblLayout w:type="fixed"/>
      <w:tblCellMar>
        <w:top w:w="0" w:type="dxa"/>
        <w:left w:w="0" w:type="dxa"/>
        <w:bottom w:w="0" w:type="dxa"/>
        <w:right w:w="0" w:type="dxa"/>
      </w:tblCellMar>
    </w:tblPr>
  </w:style>
  <w:style w:type="paragraph" w:customStyle="1" w:styleId="84">
    <w:name w:val="Table Paragraph"/>
    <w:basedOn w:val="1"/>
    <w:qFormat/>
    <w:uiPriority w:val="1"/>
  </w:style>
  <w:style w:type="paragraph" w:customStyle="1" w:styleId="85">
    <w:name w:val="正文文本缩进1"/>
    <w:basedOn w:val="81"/>
    <w:qFormat/>
    <w:uiPriority w:val="0"/>
    <w:pPr>
      <w:spacing w:after="120"/>
      <w:ind w:left="420" w:leftChars="200"/>
    </w:pPr>
  </w:style>
  <w:style w:type="paragraph" w:customStyle="1" w:styleId="86">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7">
    <w:name w:val="纯文本2"/>
    <w:basedOn w:val="81"/>
    <w:qFormat/>
    <w:uiPriority w:val="0"/>
    <w:rPr>
      <w:rFonts w:ascii="宋体" w:hAnsi="Courier New"/>
      <w:szCs w:val="20"/>
    </w:rPr>
  </w:style>
  <w:style w:type="character" w:customStyle="1" w:styleId="88">
    <w:name w:val="font141"/>
    <w:qFormat/>
    <w:uiPriority w:val="0"/>
    <w:rPr>
      <w:rFonts w:hint="default" w:ascii="Times New Roman" w:hAnsi="Times New Roman" w:cs="Times New Roman"/>
      <w:color w:val="000000"/>
      <w:sz w:val="18"/>
      <w:szCs w:val="18"/>
      <w:u w:val="none"/>
    </w:rPr>
  </w:style>
  <w:style w:type="character" w:customStyle="1" w:styleId="89">
    <w:name w:val="font71"/>
    <w:qFormat/>
    <w:uiPriority w:val="0"/>
    <w:rPr>
      <w:rFonts w:hint="eastAsia" w:ascii="宋体" w:hAnsi="宋体" w:eastAsia="宋体" w:cs="宋体"/>
      <w:color w:val="000000"/>
      <w:sz w:val="18"/>
      <w:szCs w:val="18"/>
      <w:u w:val="none"/>
    </w:rPr>
  </w:style>
  <w:style w:type="paragraph" w:customStyle="1" w:styleId="90">
    <w:name w:val="正文文本首行缩进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91">
    <w:name w:val="table"/>
    <w:qFormat/>
    <w:uiPriority w:val="0"/>
    <w:pPr>
      <w:adjustRightInd w:val="0"/>
      <w:snapToGrid w:val="0"/>
    </w:pPr>
    <w:rPr>
      <w:rFonts w:hint="default" w:ascii="宋体" w:hAnsi="Calibri" w:eastAsia="宋体" w:cs="Times New Roman"/>
      <w:kern w:val="2"/>
      <w:sz w:val="24"/>
      <w:szCs w:val="22"/>
      <w:lang w:val="en-US" w:eastAsia="zh-CN" w:bidi="ar-SA"/>
    </w:rPr>
  </w:style>
  <w:style w:type="paragraph" w:customStyle="1" w:styleId="92">
    <w:name w:val="null3"/>
    <w:hidden/>
    <w:qFormat/>
    <w:uiPriority w:val="0"/>
    <w:rPr>
      <w:rFonts w:hint="eastAsia" w:asciiTheme="minorHAnsi" w:hAnsiTheme="minorHAnsi" w:eastAsiaTheme="minorEastAsia" w:cstheme="minorBidi"/>
      <w:lang w:val="en-US" w:eastAsia="zh-Hans"/>
    </w:rPr>
  </w:style>
  <w:style w:type="paragraph" w:customStyle="1" w:styleId="93">
    <w:name w:val="样式 左侧:  0.74 厘米"/>
    <w:basedOn w:val="1"/>
    <w:qFormat/>
    <w:uiPriority w:val="99"/>
    <w:pPr>
      <w:widowControl w:val="0"/>
      <w:adjustRightInd/>
      <w:snapToGrid/>
      <w:ind w:left="620" w:hanging="200" w:hangingChars="200"/>
      <w:jc w:val="both"/>
    </w:pPr>
    <w:rPr>
      <w:rFonts w:ascii="Times New Roman" w:hAnsi="Times New Roman" w:cs="宋体"/>
      <w:kern w:val="2"/>
      <w:szCs w:val="20"/>
    </w:rPr>
  </w:style>
  <w:style w:type="paragraph" w:customStyle="1" w:styleId="94">
    <w:name w:val="楷体粗正文文字"/>
    <w:basedOn w:val="1"/>
    <w:next w:val="26"/>
    <w:qFormat/>
    <w:uiPriority w:val="99"/>
    <w:pPr>
      <w:widowControl w:val="0"/>
      <w:adjustRightInd/>
      <w:spacing w:line="480" w:lineRule="exact"/>
      <w:ind w:firstLine="560"/>
      <w:jc w:val="both"/>
    </w:pPr>
    <w:rPr>
      <w:rFonts w:ascii="Times New Roman" w:hAnsi="Times New Roman" w:cs="Times New Roman"/>
      <w:kern w:val="2"/>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72</Pages>
  <Words>33500</Words>
  <Characters>34894</Characters>
  <Lines>67</Lines>
  <Paragraphs>66</Paragraphs>
  <TotalTime>0</TotalTime>
  <ScaleCrop>false</ScaleCrop>
  <LinksUpToDate>false</LinksUpToDate>
  <CharactersWithSpaces>36575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张晓彬</cp:lastModifiedBy>
  <cp:lastPrinted>2025-12-31T01:41:00Z</cp:lastPrinted>
  <dcterms:modified xsi:type="dcterms:W3CDTF">2026-03-10T07:17:48Z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AC60154F674741D6833D181B1A462136_13</vt:lpwstr>
  </property>
  <property fmtid="{D5CDD505-2E9C-101B-9397-08002B2CF9AE}" pid="4" name="KSOTemplateDocerSaveRecord">
    <vt:lpwstr>eyJoZGlkIjoiNTI0ZjNiMzRmN2RjZGEyYzAwYTkzYTcwOGYxMGJjODkiLCJ1c2VySWQiOiIyNjA3ODQ4MzIifQ==</vt:lpwstr>
  </property>
</Properties>
</file>