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14:paraId="348F2BD6">
      <w:pPr>
        <w:spacing w:line="360" w:lineRule="auto"/>
        <w:ind w:firstLine="0" w:firstLineChars="0"/>
        <w:jc w:val="left"/>
        <w:rPr>
          <w:rFonts w:ascii="Times New Roman" w:hAnsi="Times New Roman" w:eastAsia="宋体" w:cs="Times New Roman"/>
          <w:color w:val="auto"/>
          <w:sz w:val="24"/>
          <w:highlight w:val="none"/>
        </w:rPr>
      </w:pPr>
      <w:bookmarkStart w:id="0" w:name="_Toc5117"/>
      <w:bookmarkStart w:id="1" w:name="_Toc3938"/>
      <w:r>
        <w:rPr>
          <w:rFonts w:ascii="Times New Roman" w:hAnsi="Times New Roman" w:eastAsia="宋体" w:cs="Times New Roman"/>
          <w:color w:val="auto"/>
          <w:sz w:val="24"/>
          <w:highlight w:val="none"/>
        </w:rPr>
        <w:t>甲方合同编号：</w:t>
      </w:r>
    </w:p>
    <w:p w14:paraId="7DBD85F3">
      <w:pPr>
        <w:spacing w:line="360" w:lineRule="auto"/>
        <w:ind w:firstLine="0" w:firstLineChars="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乙方合同编号：</w:t>
      </w:r>
    </w:p>
    <w:p w14:paraId="31E73A45">
      <w:pPr>
        <w:spacing w:line="360" w:lineRule="auto"/>
        <w:ind w:firstLine="480"/>
        <w:jc w:val="left"/>
        <w:rPr>
          <w:rFonts w:ascii="Times New Roman" w:hAnsi="Times New Roman" w:eastAsia="宋体" w:cs="Times New Roman"/>
          <w:color w:val="auto"/>
          <w:sz w:val="24"/>
          <w:highlight w:val="none"/>
        </w:rPr>
      </w:pPr>
    </w:p>
    <w:p w14:paraId="0EB33F9D">
      <w:pPr>
        <w:spacing w:line="360" w:lineRule="auto"/>
        <w:ind w:firstLine="480"/>
        <w:jc w:val="left"/>
        <w:rPr>
          <w:rFonts w:ascii="Times New Roman" w:hAnsi="Times New Roman" w:eastAsia="宋体" w:cs="Times New Roman"/>
          <w:color w:val="auto"/>
          <w:sz w:val="24"/>
          <w:highlight w:val="none"/>
        </w:rPr>
      </w:pPr>
    </w:p>
    <w:p w14:paraId="0D9C15A6">
      <w:pPr>
        <w:spacing w:line="360" w:lineRule="auto"/>
        <w:ind w:firstLine="480"/>
        <w:jc w:val="left"/>
        <w:rPr>
          <w:rFonts w:ascii="Times New Roman" w:hAnsi="Times New Roman" w:eastAsia="宋体" w:cs="Times New Roman"/>
          <w:color w:val="auto"/>
          <w:sz w:val="24"/>
          <w:highlight w:val="none"/>
        </w:rPr>
      </w:pPr>
    </w:p>
    <w:p w14:paraId="37F729D7">
      <w:pPr>
        <w:spacing w:line="360" w:lineRule="auto"/>
        <w:ind w:firstLine="480"/>
        <w:jc w:val="left"/>
        <w:rPr>
          <w:rFonts w:ascii="Times New Roman" w:hAnsi="Times New Roman" w:eastAsia="宋体" w:cs="Times New Roman"/>
          <w:color w:val="auto"/>
          <w:sz w:val="24"/>
          <w:highlight w:val="none"/>
        </w:rPr>
      </w:pPr>
    </w:p>
    <w:p w14:paraId="200D0136">
      <w:pPr>
        <w:spacing w:line="360" w:lineRule="auto"/>
        <w:ind w:firstLine="480"/>
        <w:jc w:val="left"/>
        <w:rPr>
          <w:rFonts w:ascii="Times New Roman" w:hAnsi="Times New Roman" w:eastAsia="宋体" w:cs="Times New Roman"/>
          <w:color w:val="auto"/>
          <w:sz w:val="24"/>
          <w:highlight w:val="none"/>
        </w:rPr>
      </w:pPr>
    </w:p>
    <w:p w14:paraId="2DF441DF">
      <w:pPr>
        <w:spacing w:line="360" w:lineRule="auto"/>
        <w:ind w:firstLine="480"/>
        <w:jc w:val="left"/>
        <w:rPr>
          <w:rFonts w:ascii="Times New Roman" w:hAnsi="Times New Roman" w:eastAsia="宋体" w:cs="Times New Roman"/>
          <w:color w:val="auto"/>
          <w:sz w:val="24"/>
          <w:highlight w:val="none"/>
        </w:rPr>
      </w:pPr>
    </w:p>
    <w:p w14:paraId="03590CA5">
      <w:pPr>
        <w:spacing w:line="360" w:lineRule="auto"/>
        <w:ind w:firstLine="0" w:firstLineChars="0"/>
        <w:jc w:val="center"/>
        <w:rPr>
          <w:rFonts w:hint="eastAsia" w:ascii="微软雅黑" w:hAnsi="微软雅黑" w:eastAsia="微软雅黑" w:cs="Times New Roman"/>
          <w:color w:val="auto"/>
          <w:sz w:val="32"/>
          <w:szCs w:val="32"/>
          <w:highlight w:val="none"/>
        </w:rPr>
      </w:pPr>
    </w:p>
    <w:p w14:paraId="58C97E1F">
      <w:pPr>
        <w:spacing w:line="360" w:lineRule="auto"/>
        <w:ind w:firstLine="0" w:firstLineChars="0"/>
        <w:jc w:val="center"/>
        <w:rPr>
          <w:rFonts w:hint="eastAsia" w:ascii="微软雅黑" w:hAnsi="微软雅黑" w:eastAsia="微软雅黑" w:cs="Times New Roman"/>
          <w:color w:val="auto"/>
          <w:sz w:val="32"/>
          <w:szCs w:val="32"/>
          <w:highlight w:val="none"/>
        </w:rPr>
      </w:pPr>
    </w:p>
    <w:p w14:paraId="0C566A70">
      <w:pPr>
        <w:spacing w:line="360" w:lineRule="auto"/>
        <w:ind w:firstLine="0" w:firstLineChars="0"/>
        <w:jc w:val="center"/>
        <w:rPr>
          <w:rFonts w:hint="eastAsia" w:ascii="Times New Roman" w:hAnsi="Times New Roman" w:eastAsia="宋体" w:cs="Times New Roman"/>
          <w:color w:val="auto"/>
          <w:sz w:val="36"/>
          <w:szCs w:val="36"/>
          <w:highlight w:val="none"/>
          <w:lang w:val="en-US" w:eastAsia="zh-CN"/>
        </w:rPr>
      </w:pPr>
      <w:r>
        <w:rPr>
          <w:rFonts w:hint="eastAsia" w:ascii="Times New Roman" w:hAnsi="Times New Roman" w:eastAsia="宋体" w:cs="Times New Roman"/>
          <w:color w:val="auto"/>
          <w:sz w:val="36"/>
          <w:szCs w:val="36"/>
          <w:highlight w:val="none"/>
        </w:rPr>
        <w:t>东莞市货车专用停车场规划</w:t>
      </w:r>
      <w:r>
        <w:rPr>
          <w:rFonts w:hint="eastAsia" w:ascii="Times New Roman" w:hAnsi="Times New Roman" w:eastAsia="宋体" w:cs="Times New Roman"/>
          <w:color w:val="auto"/>
          <w:sz w:val="36"/>
          <w:szCs w:val="36"/>
          <w:highlight w:val="none"/>
          <w:lang w:val="en-US" w:eastAsia="zh-CN"/>
        </w:rPr>
        <w:t>高德</w:t>
      </w:r>
      <w:r>
        <w:rPr>
          <w:rFonts w:hint="eastAsia" w:ascii="Times New Roman" w:hAnsi="Times New Roman" w:eastAsia="宋体" w:cs="Times New Roman"/>
          <w:color w:val="auto"/>
          <w:sz w:val="36"/>
          <w:szCs w:val="36"/>
          <w:highlight w:val="none"/>
        </w:rPr>
        <w:t>货运交通大数据采购</w:t>
      </w:r>
      <w:r>
        <w:rPr>
          <w:rFonts w:hint="eastAsia" w:ascii="Times New Roman" w:hAnsi="Times New Roman" w:eastAsia="宋体" w:cs="Times New Roman"/>
          <w:color w:val="auto"/>
          <w:sz w:val="36"/>
          <w:szCs w:val="36"/>
          <w:highlight w:val="none"/>
          <w:lang w:val="en-US" w:eastAsia="zh-CN"/>
        </w:rPr>
        <w:t>项目（重新采购）</w:t>
      </w:r>
    </w:p>
    <w:p w14:paraId="17EC193B">
      <w:pPr>
        <w:spacing w:line="360" w:lineRule="auto"/>
        <w:ind w:firstLine="0" w:firstLineChars="0"/>
        <w:jc w:val="center"/>
        <w:rPr>
          <w:rFonts w:hint="default" w:ascii="Times New Roman" w:hAnsi="Times New Roman" w:eastAsia="宋体" w:cs="Times New Roman"/>
          <w:color w:val="auto"/>
          <w:sz w:val="36"/>
          <w:szCs w:val="36"/>
          <w:highlight w:val="none"/>
          <w:lang w:val="en-US"/>
        </w:rPr>
      </w:pPr>
      <w:r>
        <w:rPr>
          <w:rFonts w:hint="eastAsia" w:ascii="Times New Roman" w:hAnsi="Times New Roman" w:eastAsia="宋体" w:cs="Times New Roman"/>
          <w:color w:val="auto"/>
          <w:sz w:val="36"/>
          <w:szCs w:val="36"/>
          <w:highlight w:val="none"/>
          <w:lang w:val="en-US" w:eastAsia="zh-CN"/>
        </w:rPr>
        <w:t>合同</w:t>
      </w:r>
    </w:p>
    <w:p w14:paraId="266A7264">
      <w:pPr>
        <w:spacing w:line="360" w:lineRule="auto"/>
        <w:ind w:firstLine="480"/>
        <w:jc w:val="left"/>
        <w:rPr>
          <w:rFonts w:ascii="Times New Roman" w:hAnsi="Times New Roman" w:eastAsia="宋体" w:cs="Times New Roman"/>
          <w:color w:val="auto"/>
          <w:sz w:val="24"/>
          <w:highlight w:val="none"/>
        </w:rPr>
      </w:pPr>
    </w:p>
    <w:p w14:paraId="57909B0A">
      <w:pPr>
        <w:spacing w:line="360" w:lineRule="auto"/>
        <w:ind w:firstLine="560"/>
        <w:jc w:val="left"/>
        <w:rPr>
          <w:rFonts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委托方（甲方）：</w:t>
      </w:r>
      <w:r>
        <w:rPr>
          <w:rFonts w:hint="eastAsia" w:ascii="Times New Roman" w:hAnsi="Times New Roman" w:eastAsia="宋体" w:cs="Times New Roman"/>
          <w:color w:val="auto"/>
          <w:sz w:val="28"/>
          <w:szCs w:val="28"/>
          <w:highlight w:val="none"/>
          <w:u w:val="single"/>
        </w:rPr>
        <w:t>东莞市规划设计研究院有限公司</w:t>
      </w:r>
    </w:p>
    <w:p w14:paraId="1578F1BA">
      <w:pPr>
        <w:spacing w:line="360" w:lineRule="auto"/>
        <w:ind w:firstLine="560"/>
        <w:jc w:val="left"/>
        <w:rPr>
          <w:rFonts w:hint="default" w:ascii="Times New Roman" w:hAnsi="Times New Roman" w:eastAsia="宋体" w:cs="Times New Roman"/>
          <w:color w:val="auto"/>
          <w:sz w:val="28"/>
          <w:szCs w:val="28"/>
          <w:highlight w:val="none"/>
          <w:u w:val="single"/>
          <w:lang w:val="en-US" w:eastAsia="zh-CN"/>
        </w:rPr>
      </w:pPr>
      <w:r>
        <w:rPr>
          <w:rFonts w:hint="eastAsia" w:ascii="Times New Roman" w:hAnsi="Times New Roman" w:eastAsia="宋体" w:cs="Times New Roman"/>
          <w:color w:val="auto"/>
          <w:sz w:val="28"/>
          <w:szCs w:val="28"/>
          <w:highlight w:val="none"/>
        </w:rPr>
        <w:t>受托方（乙方）：</w:t>
      </w:r>
      <w:r>
        <w:rPr>
          <w:rFonts w:hint="eastAsia" w:ascii="Times New Roman" w:hAnsi="Times New Roman" w:eastAsia="宋体" w:cs="Times New Roman"/>
          <w:color w:val="auto"/>
          <w:sz w:val="28"/>
          <w:szCs w:val="28"/>
          <w:highlight w:val="none"/>
          <w:u w:val="single"/>
          <w:lang w:val="en-US" w:eastAsia="zh-CN"/>
        </w:rPr>
        <w:t xml:space="preserve">                            </w:t>
      </w:r>
    </w:p>
    <w:p w14:paraId="4E8AC73F">
      <w:pPr>
        <w:spacing w:line="360" w:lineRule="auto"/>
        <w:ind w:firstLine="560"/>
        <w:jc w:val="left"/>
        <w:rPr>
          <w:rFonts w:ascii="Times New Roman" w:hAnsi="Times New Roman" w:eastAsia="宋体" w:cs="Times New Roman"/>
          <w:color w:val="auto"/>
          <w:sz w:val="28"/>
          <w:szCs w:val="28"/>
          <w:highlight w:val="none"/>
          <w:u w:val="single"/>
        </w:rPr>
      </w:pPr>
      <w:r>
        <w:rPr>
          <w:rFonts w:hint="eastAsia" w:ascii="Times New Roman" w:hAnsi="Times New Roman" w:eastAsia="宋体" w:cs="Times New Roman"/>
          <w:color w:val="auto"/>
          <w:sz w:val="28"/>
          <w:szCs w:val="28"/>
          <w:highlight w:val="none"/>
        </w:rPr>
        <w:t>签订地点：</w:t>
      </w:r>
      <w:r>
        <w:rPr>
          <w:rFonts w:hint="eastAsia" w:ascii="Times New Roman" w:hAnsi="Times New Roman" w:eastAsia="宋体" w:cs="Times New Roman"/>
          <w:color w:val="auto"/>
          <w:sz w:val="28"/>
          <w:szCs w:val="28"/>
          <w:highlight w:val="none"/>
          <w:u w:val="single"/>
        </w:rPr>
        <w:t xml:space="preserve">                                  </w:t>
      </w:r>
    </w:p>
    <w:p w14:paraId="03BF6D14">
      <w:pPr>
        <w:spacing w:line="360" w:lineRule="auto"/>
        <w:ind w:firstLine="560"/>
        <w:jc w:val="left"/>
        <w:rPr>
          <w:rFonts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签订日期：</w:t>
      </w:r>
      <w:r>
        <w:rPr>
          <w:rFonts w:hint="eastAsia" w:ascii="Times New Roman" w:hAnsi="Times New Roman" w:eastAsia="宋体" w:cs="Times New Roman"/>
          <w:color w:val="auto"/>
          <w:sz w:val="28"/>
          <w:szCs w:val="28"/>
          <w:highlight w:val="none"/>
          <w:u w:val="single"/>
        </w:rPr>
        <w:t xml:space="preserve">                                  </w:t>
      </w:r>
    </w:p>
    <w:p w14:paraId="6886EBEF">
      <w:pPr>
        <w:spacing w:line="360" w:lineRule="auto"/>
        <w:ind w:firstLine="480"/>
        <w:jc w:val="left"/>
        <w:rPr>
          <w:rFonts w:ascii="Times New Roman" w:hAnsi="Times New Roman" w:eastAsia="宋体" w:cs="Times New Roman"/>
          <w:color w:val="auto"/>
          <w:sz w:val="24"/>
          <w:highlight w:val="none"/>
        </w:rPr>
      </w:pPr>
    </w:p>
    <w:p w14:paraId="1B161EF2">
      <w:pPr>
        <w:spacing w:line="360" w:lineRule="auto"/>
        <w:ind w:firstLine="480"/>
        <w:jc w:val="left"/>
        <w:rPr>
          <w:rFonts w:ascii="Times New Roman" w:hAnsi="Times New Roman" w:eastAsia="宋体" w:cs="Times New Roman"/>
          <w:color w:val="auto"/>
          <w:sz w:val="24"/>
          <w:highlight w:val="none"/>
        </w:rPr>
      </w:pPr>
    </w:p>
    <w:p w14:paraId="3AADEBB4">
      <w:pPr>
        <w:spacing w:line="360" w:lineRule="auto"/>
        <w:ind w:firstLine="480"/>
        <w:jc w:val="left"/>
        <w:rPr>
          <w:rFonts w:ascii="Times New Roman" w:hAnsi="Times New Roman" w:eastAsia="宋体" w:cs="Times New Roman"/>
          <w:color w:val="auto"/>
          <w:sz w:val="24"/>
          <w:highlight w:val="none"/>
        </w:rPr>
      </w:pPr>
    </w:p>
    <w:p w14:paraId="3D381E4D">
      <w:pPr>
        <w:spacing w:line="360" w:lineRule="auto"/>
        <w:ind w:firstLine="480"/>
        <w:jc w:val="left"/>
        <w:rPr>
          <w:rFonts w:ascii="Times New Roman" w:hAnsi="Times New Roman" w:eastAsia="宋体" w:cs="Times New Roman"/>
          <w:color w:val="auto"/>
          <w:sz w:val="24"/>
          <w:highlight w:val="none"/>
        </w:rPr>
      </w:pPr>
    </w:p>
    <w:p w14:paraId="2CEF3582">
      <w:pPr>
        <w:spacing w:line="360" w:lineRule="auto"/>
        <w:ind w:firstLine="48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 xml:space="preserve"> </w:t>
      </w:r>
    </w:p>
    <w:p w14:paraId="4B6B6EC2">
      <w:pPr>
        <w:pStyle w:val="9"/>
        <w:tabs>
          <w:tab w:val="right" w:leader="dot" w:pos="8306"/>
        </w:tabs>
        <w:spacing w:line="360" w:lineRule="auto"/>
        <w:ind w:firstLine="480"/>
        <w:jc w:val="left"/>
        <w:rPr>
          <w:rFonts w:ascii="Times New Roman" w:hAnsi="Times New Roman" w:eastAsia="宋体" w:cs="Times New Roman"/>
          <w:color w:val="auto"/>
          <w:sz w:val="24"/>
          <w:highlight w:val="none"/>
        </w:rPr>
      </w:pPr>
    </w:p>
    <w:p w14:paraId="05D248E7">
      <w:pPr>
        <w:widowControl/>
        <w:spacing w:line="240" w:lineRule="auto"/>
        <w:ind w:firstLine="0" w:firstLineChars="0"/>
        <w:jc w:val="left"/>
        <w:rPr>
          <w:rFonts w:ascii="Times New Roman" w:hAnsi="Times New Roman" w:eastAsia="宋体" w:cs="Times New Roman"/>
          <w:color w:val="auto"/>
          <w:highlight w:val="none"/>
        </w:rPr>
      </w:pPr>
      <w:r>
        <w:rPr>
          <w:rFonts w:ascii="Times New Roman" w:hAnsi="Times New Roman" w:eastAsia="宋体" w:cs="Times New Roman"/>
          <w:color w:val="auto"/>
          <w:highlight w:val="none"/>
        </w:rPr>
        <w:br w:type="page"/>
      </w:r>
    </w:p>
    <w:p w14:paraId="4A19640C">
      <w:pPr>
        <w:pStyle w:val="2"/>
        <w:numPr>
          <w:ilvl w:val="0"/>
          <w:numId w:val="0"/>
        </w:numPr>
        <w:rPr>
          <w:color w:val="auto"/>
          <w:sz w:val="32"/>
          <w:szCs w:val="32"/>
          <w:highlight w:val="none"/>
        </w:rPr>
      </w:pPr>
      <w:bookmarkStart w:id="2" w:name="_Toc13544"/>
      <w:bookmarkStart w:id="3" w:name="_Toc15288"/>
      <w:bookmarkStart w:id="4" w:name="_Toc28174"/>
      <w:r>
        <w:rPr>
          <w:color w:val="auto"/>
          <w:sz w:val="32"/>
          <w:szCs w:val="32"/>
          <w:highlight w:val="none"/>
        </w:rPr>
        <w:t>使 用 说 明</w:t>
      </w:r>
      <w:bookmarkEnd w:id="0"/>
      <w:bookmarkEnd w:id="1"/>
      <w:bookmarkEnd w:id="2"/>
      <w:bookmarkEnd w:id="3"/>
      <w:bookmarkEnd w:id="4"/>
    </w:p>
    <w:p w14:paraId="4B20092F">
      <w:pPr>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依据《中华人民共和国民法典》《中华人民共和国数据安全法》《中华人民共和国个人信息保护法》《中华人民共和国网络安全法》《网络数据安全管理条例》以及相关法律法规，为维护合同当事人的合法权益，推动数据共享共用，促进数据有序流动，便于合同当事人使用，现就有关问题说明如下：</w:t>
      </w:r>
    </w:p>
    <w:p w14:paraId="270D2E56">
      <w:pPr>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一、本合同文本为推荐性使用的合同范本，仅供数据提供方与数据接收方订立合同时参照使用。</w:t>
      </w:r>
    </w:p>
    <w:p w14:paraId="3FB7600D">
      <w:pPr>
        <w:spacing w:line="360" w:lineRule="auto"/>
        <w:ind w:firstLine="480"/>
        <w:rPr>
          <w:rFonts w:ascii="Times New Roman" w:hAnsi="Times New Roman" w:eastAsia="宋体" w:cs="Times New Roman"/>
          <w:color w:val="auto"/>
          <w:sz w:val="24"/>
          <w:highlight w:val="none"/>
        </w:rPr>
      </w:pPr>
      <w:bookmarkStart w:id="5" w:name="_Toc16520"/>
      <w:bookmarkStart w:id="6" w:name="_Toc15115"/>
      <w:bookmarkStart w:id="7" w:name="_Toc8568"/>
      <w:bookmarkStart w:id="8" w:name="_Toc14111"/>
      <w:bookmarkStart w:id="9" w:name="_Toc29064"/>
      <w:bookmarkStart w:id="10" w:name="_Toc19494"/>
      <w:r>
        <w:rPr>
          <w:rFonts w:ascii="Times New Roman" w:hAnsi="Times New Roman" w:eastAsia="宋体" w:cs="Times New Roman"/>
          <w:color w:val="auto"/>
          <w:sz w:val="24"/>
          <w:highlight w:val="none"/>
        </w:rPr>
        <w:t>二、</w:t>
      </w:r>
      <w:bookmarkEnd w:id="5"/>
      <w:bookmarkEnd w:id="6"/>
      <w:bookmarkEnd w:id="7"/>
      <w:bookmarkEnd w:id="8"/>
      <w:bookmarkEnd w:id="9"/>
      <w:bookmarkEnd w:id="10"/>
      <w:r>
        <w:rPr>
          <w:rFonts w:ascii="Times New Roman" w:hAnsi="Times New Roman" w:eastAsia="宋体" w:cs="Times New Roman"/>
          <w:color w:val="auto"/>
          <w:sz w:val="24"/>
          <w:highlight w:val="none"/>
        </w:rPr>
        <w:t>双方当事人在订立合同之前应当仔细阅读本合同文本全部内容，结合具体情况确定具有选择性、补充性、填充性、修改性的内容，相应内容以手写项优先，□部分供双方当事人协商选择，共同约定或选择的，在空格处打√；对于双方不作约定或者选择的，应当在空格处打×，以示删除，并承担合同订立、履行所产生的法律后果。</w:t>
      </w:r>
    </w:p>
    <w:p w14:paraId="78EC9F25">
      <w:pPr>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三、双方当事人可以对本合同文本条款内容进行修改、增补或删除，但不得违反法律、行政法规的强制性规定，不得违背公序良俗，不得不公平、不合理地加重买受人责任、排除或者限制买受人权利及减轻或者免除出卖人责任。</w:t>
      </w:r>
    </w:p>
    <w:p w14:paraId="28A25923">
      <w:pPr>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四、双方应当在交易前审慎全面核查交易主体，如当事人为无民事行为能力人或者限制民事行为能力人，则本合同文本应当由监护人签订。</w:t>
      </w:r>
    </w:p>
    <w:p w14:paraId="77424F94">
      <w:pPr>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五、本合同文本及其补充条款、补充协议及附件中的手写文字与打印文字有矛盾时，以手写文字为准。如阿拉伯数字与大写数字有矛盾时，以大写数字为准。</w:t>
      </w:r>
    </w:p>
    <w:p w14:paraId="45F3E5FD">
      <w:pPr>
        <w:widowControl/>
        <w:spacing w:line="360" w:lineRule="auto"/>
        <w:ind w:firstLine="480"/>
        <w:rPr>
          <w:rFonts w:ascii="Times New Roman" w:hAnsi="Times New Roman" w:eastAsia="宋体" w:cs="Times New Roman"/>
          <w:color w:val="auto"/>
          <w:sz w:val="24"/>
          <w:highlight w:val="none"/>
        </w:rPr>
      </w:pPr>
      <w:bookmarkStart w:id="11" w:name="_Toc9120"/>
      <w:bookmarkStart w:id="12" w:name="_Toc28759"/>
      <w:bookmarkStart w:id="13" w:name="_Toc5988"/>
      <w:bookmarkStart w:id="14" w:name="_Toc25774"/>
      <w:bookmarkStart w:id="15" w:name="_Toc23826"/>
      <w:bookmarkStart w:id="16" w:name="_Toc21138"/>
      <w:r>
        <w:rPr>
          <w:rFonts w:ascii="Times New Roman" w:hAnsi="Times New Roman" w:eastAsia="宋体" w:cs="Times New Roman"/>
          <w:color w:val="auto"/>
          <w:sz w:val="24"/>
          <w:highlight w:val="none"/>
        </w:rPr>
        <w:t>六、</w:t>
      </w:r>
      <w:bookmarkEnd w:id="11"/>
      <w:bookmarkEnd w:id="12"/>
      <w:bookmarkEnd w:id="13"/>
      <w:bookmarkEnd w:id="14"/>
      <w:bookmarkEnd w:id="15"/>
      <w:bookmarkEnd w:id="16"/>
      <w:r>
        <w:rPr>
          <w:rFonts w:ascii="Times New Roman" w:hAnsi="Times New Roman" w:eastAsia="宋体" w:cs="Times New Roman"/>
          <w:color w:val="auto"/>
          <w:sz w:val="24"/>
          <w:highlight w:val="none"/>
        </w:rPr>
        <w:t>本合同文本未尽事项，可由当事人附页另行约定。</w:t>
      </w:r>
    </w:p>
    <w:p w14:paraId="38CAF340">
      <w:pPr>
        <w:keepNext/>
        <w:keepLines/>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七、名词解释：</w:t>
      </w:r>
    </w:p>
    <w:p w14:paraId="5CE2BE02">
      <w:pPr>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（一）标的数据：是指在本次数据提供活动中，数据提供方向数据接收方提供的目标数据。</w:t>
      </w:r>
    </w:p>
    <w:p w14:paraId="01A031D1">
      <w:pPr>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（二）数据提供：是指数据提供方通过转让、许可使用（包含共享）等有偿或无偿的方式向数据接收方供给数据的行为。</w:t>
      </w:r>
    </w:p>
    <w:p w14:paraId="79A3BF4B">
      <w:pPr>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三）衍生数据：是指数据处理者对其享有使用权的数据，在保护各方合法权益前提下，通过利用专业知识加工、建模分析、关键信息提取等方式实现数据内容、形式、结构等实质改变，从而显著提升数据价值，形成的数据。</w:t>
      </w:r>
    </w:p>
    <w:p w14:paraId="19EE8C12">
      <w:pPr>
        <w:spacing w:line="360" w:lineRule="auto"/>
        <w:ind w:firstLine="504"/>
        <w:rPr>
          <w:rFonts w:ascii="Times New Roman" w:hAnsi="Times New Roman" w:eastAsia="宋体" w:cs="Times New Roman"/>
          <w:color w:val="auto"/>
          <w:spacing w:val="6"/>
          <w:sz w:val="24"/>
          <w:highlight w:val="none"/>
        </w:rPr>
      </w:pPr>
      <w:r>
        <w:rPr>
          <w:rFonts w:ascii="Times New Roman" w:hAnsi="Times New Roman" w:eastAsia="宋体" w:cs="Times New Roman"/>
          <w:color w:val="auto"/>
          <w:spacing w:val="6"/>
          <w:sz w:val="24"/>
          <w:highlight w:val="none"/>
        </w:rPr>
        <w:t>（四）数据产权：是指权利人对特定数据享有的财产性权利，包括数据持有权、数据使用权、数据经营权等。</w:t>
      </w:r>
    </w:p>
    <w:p w14:paraId="6F805C3D">
      <w:pPr>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（五）数据持有权：是指权利人自行持有或委托他人代为持有合法获取的数据的权利。旨在防范他人非法违规窃取、篡改、泄露或者破坏持有权人持有的数据。</w:t>
      </w:r>
    </w:p>
    <w:p w14:paraId="2A5F77DD">
      <w:pPr>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六）数据使用权：是指权利人通过加工、聚合、分析等方式，将数据用于优化生产经营、提供社会服务、形成衍生数据等的权利。一般来说，使用权是权利人在不对外提供数据的前提下，将数据用于内部使用的权利。</w:t>
      </w:r>
    </w:p>
    <w:p w14:paraId="2B861BC0">
      <w:pPr>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（七）数据经营权：是指权利人通过转让、许可、出资或者设立担保等有偿或无偿的方式对外提供数据的权利。</w:t>
      </w:r>
    </w:p>
    <w:p w14:paraId="52E34CA5">
      <w:pPr>
        <w:widowControl/>
        <w:spacing w:line="360" w:lineRule="auto"/>
        <w:ind w:firstLine="480"/>
        <w:jc w:val="left"/>
        <w:rPr>
          <w:rFonts w:ascii="Times New Roman" w:hAnsi="Times New Roman" w:eastAsia="宋体" w:cs="Times New Roman"/>
          <w:color w:val="auto"/>
          <w:sz w:val="24"/>
          <w:highlight w:val="none"/>
        </w:rPr>
      </w:pPr>
    </w:p>
    <w:p w14:paraId="7500431C">
      <w:pPr>
        <w:widowControl/>
        <w:spacing w:line="360" w:lineRule="auto"/>
        <w:ind w:firstLine="480"/>
        <w:jc w:val="left"/>
        <w:rPr>
          <w:rFonts w:ascii="Times New Roman" w:hAnsi="Times New Roman" w:eastAsia="宋体" w:cs="Times New Roman"/>
          <w:color w:val="auto"/>
          <w:sz w:val="24"/>
          <w:highlight w:val="none"/>
        </w:rPr>
      </w:pPr>
    </w:p>
    <w:p w14:paraId="261B7BF7">
      <w:pPr>
        <w:pStyle w:val="2"/>
        <w:numPr>
          <w:ilvl w:val="0"/>
          <w:numId w:val="0"/>
        </w:numPr>
        <w:rPr>
          <w:color w:val="auto"/>
          <w:sz w:val="32"/>
          <w:szCs w:val="32"/>
          <w:highlight w:val="none"/>
        </w:rPr>
      </w:pPr>
      <w:r>
        <w:rPr>
          <w:color w:val="auto"/>
          <w:sz w:val="32"/>
          <w:szCs w:val="32"/>
          <w:highlight w:val="none"/>
        </w:rPr>
        <w:t>特 别 提 示</w:t>
      </w:r>
    </w:p>
    <w:p w14:paraId="076F70B3">
      <w:pPr>
        <w:spacing w:line="360" w:lineRule="auto"/>
        <w:ind w:firstLine="480"/>
        <w:jc w:val="left"/>
        <w:rPr>
          <w:rFonts w:ascii="Times New Roman" w:hAnsi="Times New Roman" w:eastAsia="宋体" w:cs="Times New Roman"/>
          <w:color w:val="auto"/>
          <w:sz w:val="24"/>
          <w:highlight w:val="none"/>
        </w:rPr>
      </w:pPr>
    </w:p>
    <w:p w14:paraId="59433ED2">
      <w:pPr>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一、本合同文本适用于数据提供方通过转让、许可使用（包含共享）等有偿或无偿的方式向数据接收方提供数据的行为，支持API、数据集等不同形式的数据提供方式。</w:t>
      </w:r>
    </w:p>
    <w:p w14:paraId="03CDD62F">
      <w:pPr>
        <w:widowControl/>
        <w:spacing w:line="360" w:lineRule="auto"/>
        <w:ind w:firstLine="480"/>
        <w:rPr>
          <w:rStyle w:val="14"/>
          <w:rFonts w:ascii="Times New Roman" w:hAnsi="Times New Roman" w:eastAsia="宋体" w:cs="Times New Roman"/>
          <w:b w:val="0"/>
          <w:color w:val="auto"/>
          <w:sz w:val="24"/>
          <w:highlight w:val="none"/>
          <w:shd w:val="clear" w:color="auto" w:fill="FFFFFF"/>
        </w:rPr>
      </w:pPr>
      <w:r>
        <w:rPr>
          <w:rFonts w:ascii="Times New Roman" w:hAnsi="Times New Roman" w:eastAsia="宋体" w:cs="Times New Roman"/>
          <w:color w:val="auto"/>
          <w:sz w:val="24"/>
          <w:highlight w:val="none"/>
        </w:rPr>
        <w:t>二、合同当事人为数据提供方与数据接收方。签约一方为多个当事人的，可按各自在合同关系中的作用等，在“数据提供方”“数据接收方”项下（增项）分别排列为共同提供方或共同接收方。</w:t>
      </w:r>
    </w:p>
    <w:p w14:paraId="0A9E7F07">
      <w:pPr>
        <w:spacing w:line="360" w:lineRule="auto"/>
        <w:ind w:firstLine="48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br w:type="page"/>
      </w:r>
    </w:p>
    <w:p w14:paraId="7D7BDAA0">
      <w:pPr>
        <w:spacing w:line="360" w:lineRule="auto"/>
        <w:ind w:firstLine="0" w:firstLineChars="0"/>
        <w:jc w:val="left"/>
        <w:rPr>
          <w:rFonts w:ascii="Times New Roman" w:hAnsi="Times New Roman" w:eastAsia="宋体" w:cs="Times New Roman"/>
          <w:color w:val="auto"/>
          <w:sz w:val="24"/>
          <w:highlight w:val="none"/>
        </w:rPr>
      </w:pPr>
      <w:r>
        <w:rPr>
          <w:rFonts w:ascii="Times New Roman" w:hAnsi="Times New Roman" w:eastAsia="宋体" w:cs="Times New Roman"/>
          <w:color w:val="auto"/>
          <w:spacing w:val="20"/>
          <w:kern w:val="0"/>
          <w:sz w:val="24"/>
          <w:highlight w:val="none"/>
          <w:fitText w:val="1920" w:id="-684036862"/>
        </w:rPr>
        <w:t>甲方（接收方</w:t>
      </w:r>
      <w:r>
        <w:rPr>
          <w:rFonts w:ascii="Times New Roman" w:hAnsi="Times New Roman" w:eastAsia="宋体" w:cs="Times New Roman"/>
          <w:color w:val="auto"/>
          <w:spacing w:val="0"/>
          <w:kern w:val="0"/>
          <w:sz w:val="24"/>
          <w:highlight w:val="none"/>
          <w:fitText w:val="1920" w:id="-684036862"/>
        </w:rPr>
        <w:t>）</w:t>
      </w:r>
      <w:r>
        <w:rPr>
          <w:rFonts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rPr>
        <w:t>东莞市规划设计研究院有限公司</w:t>
      </w:r>
      <w:r>
        <w:rPr>
          <w:rFonts w:ascii="Times New Roman" w:hAnsi="Times New Roman" w:eastAsia="宋体" w:cs="Times New Roman"/>
          <w:color w:val="auto"/>
          <w:sz w:val="24"/>
          <w:highlight w:val="none"/>
        </w:rPr>
        <w:t>】</w:t>
      </w:r>
    </w:p>
    <w:p w14:paraId="137F16FA">
      <w:pPr>
        <w:spacing w:line="360" w:lineRule="auto"/>
        <w:ind w:firstLine="0" w:firstLineChars="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统一社会信用代码：【914419004572360054】</w:t>
      </w:r>
    </w:p>
    <w:p w14:paraId="7AB63BBA">
      <w:pPr>
        <w:spacing w:line="360" w:lineRule="auto"/>
        <w:ind w:left="2240" w:hanging="2240" w:hangingChars="400"/>
        <w:jc w:val="left"/>
        <w:rPr>
          <w:rFonts w:ascii="Times New Roman" w:hAnsi="Times New Roman" w:eastAsia="宋体" w:cs="Times New Roman"/>
          <w:color w:val="auto"/>
          <w:sz w:val="24"/>
          <w:highlight w:val="none"/>
        </w:rPr>
      </w:pPr>
      <w:r>
        <w:rPr>
          <w:rFonts w:ascii="Times New Roman" w:hAnsi="Times New Roman" w:eastAsia="宋体" w:cs="Times New Roman"/>
          <w:color w:val="auto"/>
          <w:spacing w:val="160"/>
          <w:kern w:val="0"/>
          <w:sz w:val="24"/>
          <w:highlight w:val="none"/>
          <w:fitText w:val="1920" w:id="-684037120"/>
        </w:rPr>
        <w:t>注册地</w:t>
      </w:r>
      <w:r>
        <w:rPr>
          <w:rFonts w:ascii="Times New Roman" w:hAnsi="Times New Roman" w:eastAsia="宋体" w:cs="Times New Roman"/>
          <w:color w:val="auto"/>
          <w:spacing w:val="0"/>
          <w:kern w:val="0"/>
          <w:sz w:val="24"/>
          <w:highlight w:val="none"/>
          <w:fitText w:val="1920" w:id="-684037120"/>
        </w:rPr>
        <w:t>址</w:t>
      </w:r>
      <w:r>
        <w:rPr>
          <w:rFonts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rPr>
        <w:t>广东省东莞市莞城街道汇峰路1号汇峰中心1号楼1单元1001室</w:t>
      </w:r>
      <w:r>
        <w:rPr>
          <w:rFonts w:ascii="Times New Roman" w:hAnsi="Times New Roman" w:eastAsia="宋体" w:cs="Times New Roman"/>
          <w:color w:val="auto"/>
          <w:sz w:val="24"/>
          <w:highlight w:val="none"/>
        </w:rPr>
        <w:t>】</w:t>
      </w:r>
    </w:p>
    <w:p w14:paraId="338B3F82">
      <w:pPr>
        <w:spacing w:line="360" w:lineRule="auto"/>
        <w:ind w:firstLine="0" w:firstLineChars="0"/>
        <w:jc w:val="left"/>
        <w:rPr>
          <w:rFonts w:ascii="Times New Roman" w:hAnsi="Times New Roman" w:eastAsia="宋体" w:cs="Times New Roman"/>
          <w:color w:val="auto"/>
          <w:sz w:val="24"/>
          <w:highlight w:val="none"/>
        </w:rPr>
      </w:pPr>
      <w:r>
        <w:rPr>
          <w:rFonts w:ascii="Times New Roman" w:hAnsi="Times New Roman" w:eastAsia="宋体" w:cs="Times New Roman"/>
          <w:color w:val="auto"/>
          <w:spacing w:val="90"/>
          <w:kern w:val="0"/>
          <w:sz w:val="24"/>
          <w:highlight w:val="none"/>
          <w:fitText w:val="1920" w:id="-684036864"/>
        </w:rPr>
        <w:t>法定代表</w:t>
      </w:r>
      <w:r>
        <w:rPr>
          <w:rFonts w:ascii="Times New Roman" w:hAnsi="Times New Roman" w:eastAsia="宋体" w:cs="Times New Roman"/>
          <w:color w:val="auto"/>
          <w:spacing w:val="0"/>
          <w:kern w:val="0"/>
          <w:sz w:val="24"/>
          <w:highlight w:val="none"/>
          <w:fitText w:val="1920" w:id="-684036864"/>
        </w:rPr>
        <w:t>人</w:t>
      </w:r>
      <w:r>
        <w:rPr>
          <w:rFonts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rPr>
        <w:t>孙稳石</w:t>
      </w:r>
      <w:r>
        <w:rPr>
          <w:rFonts w:ascii="Times New Roman" w:hAnsi="Times New Roman" w:eastAsia="宋体" w:cs="Times New Roman"/>
          <w:color w:val="auto"/>
          <w:sz w:val="24"/>
          <w:highlight w:val="none"/>
        </w:rPr>
        <w:t>】</w:t>
      </w:r>
    </w:p>
    <w:p w14:paraId="319DE562">
      <w:pPr>
        <w:spacing w:line="360" w:lineRule="auto"/>
        <w:ind w:firstLine="0" w:firstLineChars="0"/>
        <w:jc w:val="left"/>
        <w:rPr>
          <w:rFonts w:ascii="Times New Roman" w:hAnsi="Times New Roman" w:eastAsia="宋体" w:cs="Times New Roman"/>
          <w:color w:val="auto"/>
          <w:sz w:val="24"/>
          <w:highlight w:val="none"/>
        </w:rPr>
      </w:pPr>
      <w:r>
        <w:rPr>
          <w:rFonts w:ascii="Times New Roman" w:hAnsi="Times New Roman" w:eastAsia="宋体" w:cs="Times New Roman"/>
          <w:color w:val="auto"/>
          <w:spacing w:val="160"/>
          <w:kern w:val="0"/>
          <w:sz w:val="24"/>
          <w:highlight w:val="none"/>
          <w:fitText w:val="1920" w:id="-684036863"/>
        </w:rPr>
        <w:t>联系电</w:t>
      </w:r>
      <w:r>
        <w:rPr>
          <w:rFonts w:ascii="Times New Roman" w:hAnsi="Times New Roman" w:eastAsia="宋体" w:cs="Times New Roman"/>
          <w:color w:val="auto"/>
          <w:spacing w:val="0"/>
          <w:kern w:val="0"/>
          <w:sz w:val="24"/>
          <w:highlight w:val="none"/>
          <w:fitText w:val="1920" w:id="-684036863"/>
        </w:rPr>
        <w:t>话</w:t>
      </w:r>
      <w:r>
        <w:rPr>
          <w:rFonts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val="en-US" w:eastAsia="zh-CN"/>
        </w:rPr>
        <w:t xml:space="preserve">   </w:t>
      </w:r>
      <w:r>
        <w:rPr>
          <w:rFonts w:ascii="Times New Roman" w:hAnsi="Times New Roman" w:eastAsia="宋体" w:cs="Times New Roman"/>
          <w:color w:val="auto"/>
          <w:sz w:val="24"/>
          <w:highlight w:val="none"/>
        </w:rPr>
        <w:t>】</w:t>
      </w:r>
    </w:p>
    <w:p w14:paraId="6B5EDFA7">
      <w:pPr>
        <w:spacing w:line="360" w:lineRule="auto"/>
        <w:ind w:firstLine="0" w:firstLineChars="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联系人或委托代理人：【</w:t>
      </w:r>
      <w:r>
        <w:rPr>
          <w:rFonts w:hint="eastAsia" w:ascii="Times New Roman" w:hAnsi="Times New Roman" w:eastAsia="宋体" w:cs="Times New Roman"/>
          <w:color w:val="auto"/>
          <w:sz w:val="24"/>
          <w:highlight w:val="none"/>
          <w:lang w:val="en-US" w:eastAsia="zh-CN"/>
        </w:rPr>
        <w:t xml:space="preserve">   </w:t>
      </w:r>
      <w:r>
        <w:rPr>
          <w:rFonts w:ascii="Times New Roman" w:hAnsi="Times New Roman" w:eastAsia="宋体" w:cs="Times New Roman"/>
          <w:color w:val="auto"/>
          <w:sz w:val="24"/>
          <w:highlight w:val="none"/>
        </w:rPr>
        <w:t>】</w:t>
      </w:r>
      <w:bookmarkStart w:id="119" w:name="_GoBack"/>
      <w:bookmarkEnd w:id="119"/>
    </w:p>
    <w:p w14:paraId="57DFA021">
      <w:pPr>
        <w:spacing w:line="360" w:lineRule="auto"/>
        <w:ind w:firstLine="0" w:firstLineChars="0"/>
        <w:jc w:val="left"/>
        <w:rPr>
          <w:rFonts w:ascii="Times New Roman" w:hAnsi="Times New Roman" w:eastAsia="宋体" w:cs="Times New Roman"/>
          <w:color w:val="auto"/>
          <w:sz w:val="24"/>
          <w:highlight w:val="none"/>
        </w:rPr>
      </w:pPr>
      <w:r>
        <w:rPr>
          <w:rFonts w:ascii="Times New Roman" w:hAnsi="Times New Roman" w:eastAsia="宋体" w:cs="Times New Roman"/>
          <w:color w:val="auto"/>
          <w:spacing w:val="160"/>
          <w:kern w:val="0"/>
          <w:sz w:val="24"/>
          <w:highlight w:val="none"/>
          <w:fitText w:val="1920" w:id="-684036861"/>
        </w:rPr>
        <w:t>电子邮</w:t>
      </w:r>
      <w:r>
        <w:rPr>
          <w:rFonts w:ascii="Times New Roman" w:hAnsi="Times New Roman" w:eastAsia="宋体" w:cs="Times New Roman"/>
          <w:color w:val="auto"/>
          <w:spacing w:val="0"/>
          <w:kern w:val="0"/>
          <w:sz w:val="24"/>
          <w:highlight w:val="none"/>
          <w:fitText w:val="1920" w:id="-684036861"/>
        </w:rPr>
        <w:t>箱</w:t>
      </w:r>
      <w:r>
        <w:rPr>
          <w:rFonts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val="en-US" w:eastAsia="zh-CN"/>
        </w:rPr>
        <w:t xml:space="preserve">   </w:t>
      </w:r>
      <w:r>
        <w:rPr>
          <w:rFonts w:ascii="Times New Roman" w:hAnsi="Times New Roman" w:eastAsia="宋体" w:cs="Times New Roman"/>
          <w:color w:val="auto"/>
          <w:sz w:val="24"/>
          <w:highlight w:val="none"/>
        </w:rPr>
        <w:t>】</w:t>
      </w:r>
    </w:p>
    <w:p w14:paraId="390F09B9">
      <w:pPr>
        <w:spacing w:line="360" w:lineRule="auto"/>
        <w:ind w:firstLine="0" w:firstLineChars="0"/>
        <w:jc w:val="left"/>
        <w:rPr>
          <w:rFonts w:ascii="Times New Roman" w:hAnsi="Times New Roman" w:eastAsia="宋体" w:cs="Times New Roman"/>
          <w:color w:val="auto"/>
          <w:sz w:val="24"/>
          <w:highlight w:val="none"/>
        </w:rPr>
      </w:pPr>
    </w:p>
    <w:p w14:paraId="64439092">
      <w:pPr>
        <w:spacing w:line="360" w:lineRule="auto"/>
        <w:ind w:firstLine="0" w:firstLineChars="0"/>
        <w:jc w:val="left"/>
        <w:rPr>
          <w:rFonts w:ascii="Times New Roman" w:hAnsi="Times New Roman" w:eastAsia="宋体" w:cs="Times New Roman"/>
          <w:color w:val="auto"/>
          <w:sz w:val="24"/>
          <w:highlight w:val="none"/>
        </w:rPr>
      </w:pPr>
      <w:r>
        <w:rPr>
          <w:rFonts w:ascii="Times New Roman" w:hAnsi="Times New Roman" w:eastAsia="宋体" w:cs="Times New Roman"/>
          <w:color w:val="auto"/>
          <w:spacing w:val="20"/>
          <w:kern w:val="0"/>
          <w:sz w:val="24"/>
          <w:highlight w:val="none"/>
          <w:fitText w:val="1920" w:id="-684036607"/>
        </w:rPr>
        <w:t>乙方（提供方</w:t>
      </w:r>
      <w:r>
        <w:rPr>
          <w:rFonts w:ascii="Times New Roman" w:hAnsi="Times New Roman" w:eastAsia="宋体" w:cs="Times New Roman"/>
          <w:color w:val="auto"/>
          <w:spacing w:val="0"/>
          <w:kern w:val="0"/>
          <w:sz w:val="24"/>
          <w:highlight w:val="none"/>
          <w:fitText w:val="1920" w:id="-684036607"/>
        </w:rPr>
        <w:t>）</w:t>
      </w:r>
      <w:r>
        <w:rPr>
          <w:rFonts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val="en-US" w:eastAsia="zh-CN"/>
        </w:rPr>
        <w:t xml:space="preserve">   </w:t>
      </w:r>
      <w:r>
        <w:rPr>
          <w:rFonts w:ascii="Times New Roman" w:hAnsi="Times New Roman" w:eastAsia="宋体" w:cs="Times New Roman"/>
          <w:color w:val="auto"/>
          <w:sz w:val="24"/>
          <w:highlight w:val="none"/>
        </w:rPr>
        <w:t>】</w:t>
      </w:r>
    </w:p>
    <w:p w14:paraId="2542AA85">
      <w:pPr>
        <w:spacing w:line="360" w:lineRule="auto"/>
        <w:ind w:firstLine="0" w:firstLineChars="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统一社会信用代码：【</w:t>
      </w:r>
      <w:r>
        <w:rPr>
          <w:rFonts w:hint="eastAsia" w:ascii="Times New Roman" w:hAnsi="Times New Roman" w:eastAsia="宋体" w:cs="Times New Roman"/>
          <w:color w:val="auto"/>
          <w:sz w:val="24"/>
          <w:highlight w:val="none"/>
          <w:lang w:val="en-US" w:eastAsia="zh-CN"/>
        </w:rPr>
        <w:t xml:space="preserve">   </w:t>
      </w:r>
      <w:r>
        <w:rPr>
          <w:rFonts w:ascii="Times New Roman" w:hAnsi="Times New Roman" w:eastAsia="宋体" w:cs="Times New Roman"/>
          <w:color w:val="auto"/>
          <w:sz w:val="24"/>
          <w:highlight w:val="none"/>
        </w:rPr>
        <w:t>】</w:t>
      </w:r>
    </w:p>
    <w:p w14:paraId="7C191AFA">
      <w:pPr>
        <w:spacing w:line="360" w:lineRule="auto"/>
        <w:ind w:firstLine="0" w:firstLineChars="0"/>
        <w:jc w:val="left"/>
        <w:rPr>
          <w:rFonts w:ascii="Times New Roman" w:hAnsi="Times New Roman" w:eastAsia="宋体" w:cs="Times New Roman"/>
          <w:color w:val="auto"/>
          <w:sz w:val="24"/>
          <w:highlight w:val="none"/>
        </w:rPr>
      </w:pPr>
      <w:r>
        <w:rPr>
          <w:rFonts w:ascii="Times New Roman" w:hAnsi="Times New Roman" w:eastAsia="宋体" w:cs="Times New Roman"/>
          <w:color w:val="auto"/>
          <w:spacing w:val="160"/>
          <w:kern w:val="0"/>
          <w:sz w:val="24"/>
          <w:highlight w:val="none"/>
          <w:fitText w:val="1920" w:id="-684036859"/>
        </w:rPr>
        <w:t>注册地</w:t>
      </w:r>
      <w:r>
        <w:rPr>
          <w:rFonts w:ascii="Times New Roman" w:hAnsi="Times New Roman" w:eastAsia="宋体" w:cs="Times New Roman"/>
          <w:color w:val="auto"/>
          <w:spacing w:val="0"/>
          <w:kern w:val="0"/>
          <w:sz w:val="24"/>
          <w:highlight w:val="none"/>
          <w:fitText w:val="1920" w:id="-684036859"/>
        </w:rPr>
        <w:t>址</w:t>
      </w:r>
      <w:r>
        <w:rPr>
          <w:rFonts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val="en-US" w:eastAsia="zh-CN"/>
        </w:rPr>
        <w:t xml:space="preserve">   </w:t>
      </w:r>
      <w:r>
        <w:rPr>
          <w:rFonts w:ascii="Times New Roman" w:hAnsi="Times New Roman" w:eastAsia="宋体" w:cs="Times New Roman"/>
          <w:color w:val="auto"/>
          <w:sz w:val="24"/>
          <w:highlight w:val="none"/>
        </w:rPr>
        <w:t>】</w:t>
      </w:r>
    </w:p>
    <w:p w14:paraId="3EFFDBDA">
      <w:pPr>
        <w:spacing w:line="360" w:lineRule="auto"/>
        <w:ind w:firstLine="0" w:firstLineChars="0"/>
        <w:jc w:val="left"/>
        <w:rPr>
          <w:rFonts w:ascii="Times New Roman" w:hAnsi="Times New Roman" w:eastAsia="宋体" w:cs="Times New Roman"/>
          <w:color w:val="auto"/>
          <w:sz w:val="24"/>
          <w:highlight w:val="none"/>
        </w:rPr>
      </w:pPr>
      <w:r>
        <w:rPr>
          <w:rFonts w:ascii="Times New Roman" w:hAnsi="Times New Roman" w:eastAsia="宋体" w:cs="Times New Roman"/>
          <w:color w:val="auto"/>
          <w:spacing w:val="90"/>
          <w:kern w:val="0"/>
          <w:sz w:val="24"/>
          <w:highlight w:val="none"/>
          <w:fitText w:val="1920" w:id="-684036858"/>
        </w:rPr>
        <w:t>法定代表</w:t>
      </w:r>
      <w:r>
        <w:rPr>
          <w:rFonts w:ascii="Times New Roman" w:hAnsi="Times New Roman" w:eastAsia="宋体" w:cs="Times New Roman"/>
          <w:color w:val="auto"/>
          <w:spacing w:val="0"/>
          <w:kern w:val="0"/>
          <w:sz w:val="24"/>
          <w:highlight w:val="none"/>
          <w:fitText w:val="1920" w:id="-684036858"/>
        </w:rPr>
        <w:t>人</w:t>
      </w:r>
      <w:r>
        <w:rPr>
          <w:rFonts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val="en-US" w:eastAsia="zh-CN"/>
        </w:rPr>
        <w:t xml:space="preserve">   </w:t>
      </w:r>
      <w:r>
        <w:rPr>
          <w:rFonts w:ascii="Times New Roman" w:hAnsi="Times New Roman" w:eastAsia="宋体" w:cs="Times New Roman"/>
          <w:color w:val="auto"/>
          <w:sz w:val="24"/>
          <w:highlight w:val="none"/>
        </w:rPr>
        <w:t>】</w:t>
      </w:r>
    </w:p>
    <w:p w14:paraId="351CA353">
      <w:pPr>
        <w:spacing w:line="360" w:lineRule="auto"/>
        <w:ind w:firstLine="0" w:firstLineChars="0"/>
        <w:jc w:val="left"/>
        <w:rPr>
          <w:rFonts w:ascii="Times New Roman" w:hAnsi="Times New Roman" w:eastAsia="宋体" w:cs="Times New Roman"/>
          <w:color w:val="auto"/>
          <w:sz w:val="24"/>
          <w:highlight w:val="none"/>
        </w:rPr>
      </w:pPr>
      <w:r>
        <w:rPr>
          <w:rFonts w:ascii="Times New Roman" w:hAnsi="Times New Roman" w:eastAsia="宋体" w:cs="Times New Roman"/>
          <w:color w:val="auto"/>
          <w:spacing w:val="160"/>
          <w:kern w:val="0"/>
          <w:sz w:val="24"/>
          <w:highlight w:val="none"/>
          <w:fitText w:val="1920" w:id="-684036857"/>
        </w:rPr>
        <w:t>联系电</w:t>
      </w:r>
      <w:r>
        <w:rPr>
          <w:rFonts w:ascii="Times New Roman" w:hAnsi="Times New Roman" w:eastAsia="宋体" w:cs="Times New Roman"/>
          <w:color w:val="auto"/>
          <w:spacing w:val="0"/>
          <w:kern w:val="0"/>
          <w:sz w:val="24"/>
          <w:highlight w:val="none"/>
          <w:fitText w:val="1920" w:id="-684036857"/>
        </w:rPr>
        <w:t>话</w:t>
      </w:r>
      <w:r>
        <w:rPr>
          <w:rFonts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val="en-US" w:eastAsia="zh-CN"/>
        </w:rPr>
        <w:t xml:space="preserve">   </w:t>
      </w:r>
      <w:r>
        <w:rPr>
          <w:rFonts w:ascii="Times New Roman" w:hAnsi="Times New Roman" w:eastAsia="宋体" w:cs="Times New Roman"/>
          <w:color w:val="auto"/>
          <w:sz w:val="24"/>
          <w:highlight w:val="none"/>
        </w:rPr>
        <w:t>】</w:t>
      </w:r>
    </w:p>
    <w:p w14:paraId="26B26A5D">
      <w:pPr>
        <w:spacing w:line="360" w:lineRule="auto"/>
        <w:ind w:firstLine="0" w:firstLineChars="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联系人或委托代理人：【</w:t>
      </w:r>
      <w:r>
        <w:rPr>
          <w:rFonts w:hint="eastAsia" w:ascii="Times New Roman" w:hAnsi="Times New Roman" w:eastAsia="宋体" w:cs="Times New Roman"/>
          <w:color w:val="auto"/>
          <w:sz w:val="24"/>
          <w:highlight w:val="none"/>
          <w:lang w:val="en-US" w:eastAsia="zh-CN"/>
        </w:rPr>
        <w:t xml:space="preserve">   </w:t>
      </w:r>
      <w:r>
        <w:rPr>
          <w:rFonts w:ascii="Times New Roman" w:hAnsi="Times New Roman" w:eastAsia="宋体" w:cs="Times New Roman"/>
          <w:color w:val="auto"/>
          <w:sz w:val="24"/>
          <w:highlight w:val="none"/>
        </w:rPr>
        <w:t>】</w:t>
      </w:r>
    </w:p>
    <w:p w14:paraId="25A74901">
      <w:pPr>
        <w:spacing w:line="360" w:lineRule="auto"/>
        <w:ind w:firstLine="0" w:firstLineChars="0"/>
        <w:jc w:val="left"/>
        <w:rPr>
          <w:rFonts w:ascii="Times New Roman" w:hAnsi="Times New Roman" w:eastAsia="宋体" w:cs="Times New Roman"/>
          <w:color w:val="auto"/>
          <w:sz w:val="24"/>
          <w:highlight w:val="none"/>
        </w:rPr>
      </w:pPr>
      <w:r>
        <w:rPr>
          <w:rFonts w:ascii="Times New Roman" w:hAnsi="Times New Roman" w:eastAsia="宋体" w:cs="Times New Roman"/>
          <w:color w:val="auto"/>
          <w:spacing w:val="160"/>
          <w:kern w:val="0"/>
          <w:sz w:val="24"/>
          <w:highlight w:val="none"/>
          <w:fitText w:val="1920" w:id="-684036856"/>
        </w:rPr>
        <w:t>电子邮</w:t>
      </w:r>
      <w:r>
        <w:rPr>
          <w:rFonts w:ascii="Times New Roman" w:hAnsi="Times New Roman" w:eastAsia="宋体" w:cs="Times New Roman"/>
          <w:color w:val="auto"/>
          <w:spacing w:val="0"/>
          <w:kern w:val="0"/>
          <w:sz w:val="24"/>
          <w:highlight w:val="none"/>
          <w:fitText w:val="1920" w:id="-684036856"/>
        </w:rPr>
        <w:t>箱</w:t>
      </w:r>
      <w:r>
        <w:rPr>
          <w:rFonts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val="en-US" w:eastAsia="zh-CN"/>
        </w:rPr>
        <w:t xml:space="preserve">   </w:t>
      </w:r>
      <w:r>
        <w:rPr>
          <w:rFonts w:ascii="Times New Roman" w:hAnsi="Times New Roman" w:eastAsia="宋体" w:cs="Times New Roman"/>
          <w:color w:val="auto"/>
          <w:sz w:val="24"/>
          <w:highlight w:val="none"/>
        </w:rPr>
        <w:t>】</w:t>
      </w:r>
    </w:p>
    <w:p w14:paraId="06BDA2B8">
      <w:pPr>
        <w:spacing w:line="360" w:lineRule="auto"/>
        <w:ind w:firstLine="480"/>
        <w:jc w:val="left"/>
        <w:rPr>
          <w:rFonts w:ascii="Times New Roman" w:hAnsi="Times New Roman" w:eastAsia="宋体" w:cs="Times New Roman"/>
          <w:color w:val="auto"/>
          <w:sz w:val="24"/>
          <w:highlight w:val="none"/>
        </w:rPr>
      </w:pPr>
    </w:p>
    <w:p w14:paraId="1889B9FC">
      <w:pPr>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甲乙双方依据《中华人民共和国民法典》、《中华人民共和国数据安全法》、《中华人民共和国个人信息保护法》、《中华人民共和国网络安全法》、《网络数据安全管理条例》等法律法规的有关规定，遵循平等、自愿、公平、诚实信用的原则，就数据提供事宜协商一致，并参考国家数据局与市场监管总局联合制定的数据提供示范合同（</w:t>
      </w:r>
      <w:bookmarkStart w:id="17" w:name="OLE_LINK1"/>
      <w:r>
        <w:rPr>
          <w:rFonts w:ascii="Times New Roman" w:hAnsi="Times New Roman" w:eastAsia="宋体" w:cs="Times New Roman"/>
          <w:color w:val="auto"/>
          <w:sz w:val="24"/>
          <w:highlight w:val="none"/>
        </w:rPr>
        <w:t>GF-202</w:t>
      </w:r>
      <w:r>
        <w:rPr>
          <w:rFonts w:hint="eastAsia" w:ascii="Times New Roman" w:hAnsi="Times New Roman" w:eastAsia="宋体" w:cs="Times New Roman"/>
          <w:color w:val="auto"/>
          <w:sz w:val="24"/>
          <w:highlight w:val="none"/>
        </w:rPr>
        <w:t>5</w:t>
      </w:r>
      <w:r>
        <w:rPr>
          <w:rFonts w:ascii="Times New Roman" w:hAnsi="Times New Roman" w:eastAsia="宋体" w:cs="Times New Roman"/>
          <w:color w:val="auto"/>
          <w:sz w:val="24"/>
          <w:highlight w:val="none"/>
        </w:rPr>
        <w:t>-2615</w:t>
      </w:r>
      <w:bookmarkEnd w:id="17"/>
      <w:r>
        <w:rPr>
          <w:rFonts w:ascii="Times New Roman" w:hAnsi="Times New Roman" w:eastAsia="宋体" w:cs="Times New Roman"/>
          <w:color w:val="auto"/>
          <w:sz w:val="24"/>
          <w:highlight w:val="none"/>
        </w:rPr>
        <w:t>）订立本合同。</w:t>
      </w:r>
      <w:r>
        <w:rPr>
          <w:rFonts w:hint="eastAsia" w:ascii="Times New Roman" w:hAnsi="Times New Roman" w:eastAsia="宋体" w:cs="Times New Roman"/>
          <w:color w:val="auto"/>
          <w:sz w:val="24"/>
          <w:highlight w:val="none"/>
        </w:rPr>
        <w:t>本合同为《东莞市货车专用停车场规划研究》项目的外协合同，为《东莞市货车专用停车场规划研究》提供数据支撑。</w:t>
      </w:r>
    </w:p>
    <w:p w14:paraId="76B0B682">
      <w:pPr>
        <w:pStyle w:val="2"/>
        <w:ind w:left="0"/>
        <w:jc w:val="both"/>
        <w:rPr>
          <w:color w:val="auto"/>
          <w:highlight w:val="none"/>
        </w:rPr>
      </w:pPr>
      <w:bookmarkStart w:id="18" w:name="_Toc986763204"/>
      <w:bookmarkStart w:id="19" w:name="_Toc1842"/>
      <w:bookmarkStart w:id="20" w:name="_Toc1744568220"/>
      <w:bookmarkStart w:id="21" w:name="_Toc24143"/>
      <w:bookmarkStart w:id="22" w:name="_Toc24461"/>
      <w:bookmarkStart w:id="23" w:name="_Toc13386"/>
      <w:bookmarkStart w:id="24" w:name="_Toc5227"/>
      <w:bookmarkStart w:id="25" w:name="_Toc16666"/>
      <w:bookmarkStart w:id="26" w:name="_Toc1214"/>
      <w:bookmarkStart w:id="27" w:name="_Toc30914"/>
      <w:bookmarkStart w:id="28" w:name="_Toc29772"/>
      <w:r>
        <w:rPr>
          <w:color w:val="auto"/>
          <w:highlight w:val="none"/>
        </w:rPr>
        <w:t>标的数据</w:t>
      </w:r>
      <w:bookmarkEnd w:id="18"/>
      <w:bookmarkEnd w:id="19"/>
      <w:bookmarkEnd w:id="20"/>
      <w:r>
        <w:rPr>
          <w:color w:val="auto"/>
          <w:highlight w:val="none"/>
        </w:rPr>
        <w:t>描述</w:t>
      </w:r>
      <w:bookmarkEnd w:id="21"/>
      <w:bookmarkEnd w:id="22"/>
      <w:bookmarkEnd w:id="23"/>
      <w:bookmarkEnd w:id="24"/>
      <w:bookmarkEnd w:id="25"/>
      <w:bookmarkEnd w:id="26"/>
      <w:bookmarkEnd w:id="27"/>
      <w:bookmarkEnd w:id="28"/>
    </w:p>
    <w:p w14:paraId="3F3886EE">
      <w:pPr>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乙方按照如下范围和规则向甲方提供标的数据：</w:t>
      </w:r>
    </w:p>
    <w:p w14:paraId="3A87F46E">
      <w:pPr>
        <w:pStyle w:val="3"/>
        <w:numPr>
          <w:ilvl w:val="0"/>
          <w:numId w:val="3"/>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数据名称：【</w:t>
      </w:r>
      <w:r>
        <w:rPr>
          <w:rFonts w:hint="eastAsia" w:ascii="Times New Roman" w:hAnsi="Times New Roman" w:eastAsia="宋体" w:cs="Times New Roman"/>
          <w:color w:val="auto"/>
          <w:sz w:val="24"/>
          <w:highlight w:val="none"/>
        </w:rPr>
        <w:t>货车出行OD数据</w:t>
      </w:r>
      <w:r>
        <w:rPr>
          <w:rFonts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rPr>
        <w:t>。</w:t>
      </w:r>
    </w:p>
    <w:p w14:paraId="6D49B3C1">
      <w:pPr>
        <w:pStyle w:val="3"/>
        <w:numPr>
          <w:ilvl w:val="0"/>
          <w:numId w:val="3"/>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数据空间范围：【</w:t>
      </w:r>
      <w:r>
        <w:rPr>
          <w:rFonts w:hint="eastAsia" w:ascii="Times New Roman" w:hAnsi="Times New Roman" w:eastAsia="宋体" w:cs="Times New Roman"/>
          <w:color w:val="auto"/>
          <w:sz w:val="24"/>
          <w:highlight w:val="none"/>
        </w:rPr>
        <w:t>广东省东莞市</w:t>
      </w:r>
      <w:r>
        <w:rPr>
          <w:rFonts w:ascii="Times New Roman" w:hAnsi="Times New Roman" w:eastAsia="宋体" w:cs="Times New Roman"/>
          <w:color w:val="auto"/>
          <w:sz w:val="24"/>
          <w:highlight w:val="none"/>
        </w:rPr>
        <w:t>】。</w:t>
      </w:r>
    </w:p>
    <w:p w14:paraId="0CB8E3ED">
      <w:pPr>
        <w:pStyle w:val="3"/>
        <w:numPr>
          <w:ilvl w:val="0"/>
          <w:numId w:val="3"/>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数据内容：数据字段内容详见下表。</w:t>
      </w:r>
    </w:p>
    <w:tbl>
      <w:tblPr>
        <w:tblStyle w:val="11"/>
        <w:tblW w:w="4999" w:type="pct"/>
        <w:jc w:val="center"/>
        <w:tblLayout w:type="autofit"/>
        <w:tblCellMar>
          <w:top w:w="0" w:type="dxa"/>
          <w:left w:w="108" w:type="dxa"/>
          <w:bottom w:w="0" w:type="dxa"/>
          <w:right w:w="108" w:type="dxa"/>
        </w:tblCellMar>
      </w:tblPr>
      <w:tblGrid>
        <w:gridCol w:w="1965"/>
        <w:gridCol w:w="6555"/>
      </w:tblGrid>
      <w:tr w14:paraId="2CCDE312">
        <w:tblPrEx>
          <w:tblCellMar>
            <w:top w:w="0" w:type="dxa"/>
            <w:left w:w="108" w:type="dxa"/>
            <w:bottom w:w="0" w:type="dxa"/>
            <w:right w:w="108" w:type="dxa"/>
          </w:tblCellMar>
        </w:tblPrEx>
        <w:trPr>
          <w:trHeight w:val="278" w:hRule="atLeast"/>
          <w:tblHeader/>
          <w:jc w:val="center"/>
        </w:trPr>
        <w:tc>
          <w:tcPr>
            <w:tcW w:w="1153" w:type="pct"/>
            <w:tcBorders>
              <w:top w:val="single" w:color="000000" w:sz="4" w:space="0"/>
              <w:left w:val="single" w:color="000000" w:sz="4" w:space="0"/>
              <w:bottom w:val="single" w:color="000000" w:sz="4" w:space="0"/>
              <w:right w:val="single" w:color="000000" w:sz="4" w:space="0"/>
            </w:tcBorders>
            <w:shd w:val="clear" w:color="auto" w:fill="D8D8D8"/>
            <w:noWrap/>
            <w:vAlign w:val="center"/>
          </w:tcPr>
          <w:p w14:paraId="6AFD124C">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字段</w:t>
            </w:r>
          </w:p>
        </w:tc>
        <w:tc>
          <w:tcPr>
            <w:tcW w:w="3846" w:type="pct"/>
            <w:tcBorders>
              <w:top w:val="single" w:color="000000" w:sz="4" w:space="0"/>
              <w:left w:val="nil"/>
              <w:bottom w:val="single" w:color="000000" w:sz="4" w:space="0"/>
              <w:right w:val="single" w:color="000000" w:sz="4" w:space="0"/>
            </w:tcBorders>
            <w:shd w:val="clear" w:color="auto" w:fill="D8D8D8"/>
            <w:noWrap/>
            <w:vAlign w:val="center"/>
          </w:tcPr>
          <w:p w14:paraId="03D9F412">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说明</w:t>
            </w:r>
          </w:p>
        </w:tc>
      </w:tr>
      <w:tr w14:paraId="6523A930">
        <w:tblPrEx>
          <w:tblCellMar>
            <w:top w:w="0" w:type="dxa"/>
            <w:left w:w="108" w:type="dxa"/>
            <w:bottom w:w="0" w:type="dxa"/>
            <w:right w:w="108" w:type="dxa"/>
          </w:tblCellMar>
        </w:tblPrEx>
        <w:trPr>
          <w:trHeight w:val="278" w:hRule="atLeast"/>
          <w:jc w:val="center"/>
        </w:trPr>
        <w:tc>
          <w:tcPr>
            <w:tcW w:w="1965" w:type="dxa"/>
            <w:tcBorders>
              <w:top w:val="nil"/>
              <w:left w:val="single" w:color="000000" w:sz="4" w:space="0"/>
              <w:bottom w:val="single" w:color="000000" w:sz="4" w:space="0"/>
              <w:right w:val="single" w:color="000000" w:sz="4" w:space="0"/>
            </w:tcBorders>
            <w:noWrap/>
            <w:vAlign w:val="center"/>
          </w:tcPr>
          <w:p w14:paraId="6172EE87">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ds</w:t>
            </w:r>
          </w:p>
        </w:tc>
        <w:tc>
          <w:tcPr>
            <w:tcW w:w="6555" w:type="dxa"/>
            <w:tcBorders>
              <w:top w:val="nil"/>
              <w:left w:val="nil"/>
              <w:bottom w:val="single" w:color="000000" w:sz="4" w:space="0"/>
              <w:right w:val="single" w:color="000000" w:sz="4" w:space="0"/>
            </w:tcBorders>
            <w:noWrap/>
            <w:vAlign w:val="center"/>
          </w:tcPr>
          <w:p w14:paraId="7068DEF9">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日期</w:t>
            </w:r>
          </w:p>
        </w:tc>
      </w:tr>
      <w:tr w14:paraId="6413CB37">
        <w:tblPrEx>
          <w:tblCellMar>
            <w:top w:w="0" w:type="dxa"/>
            <w:left w:w="108" w:type="dxa"/>
            <w:bottom w:w="0" w:type="dxa"/>
            <w:right w:w="108" w:type="dxa"/>
          </w:tblCellMar>
        </w:tblPrEx>
        <w:trPr>
          <w:trHeight w:val="278" w:hRule="atLeast"/>
          <w:jc w:val="center"/>
        </w:trPr>
        <w:tc>
          <w:tcPr>
            <w:tcW w:w="1965" w:type="dxa"/>
            <w:tcBorders>
              <w:top w:val="nil"/>
              <w:left w:val="single" w:color="000000" w:sz="4" w:space="0"/>
              <w:bottom w:val="single" w:color="000000" w:sz="4" w:space="0"/>
              <w:right w:val="single" w:color="000000" w:sz="4" w:space="0"/>
            </w:tcBorders>
            <w:noWrap/>
            <w:vAlign w:val="center"/>
          </w:tcPr>
          <w:p w14:paraId="52359F5C">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o_adcode</w:t>
            </w:r>
          </w:p>
        </w:tc>
        <w:tc>
          <w:tcPr>
            <w:tcW w:w="6555" w:type="dxa"/>
            <w:tcBorders>
              <w:top w:val="nil"/>
              <w:left w:val="nil"/>
              <w:bottom w:val="single" w:color="000000" w:sz="4" w:space="0"/>
              <w:right w:val="single" w:color="000000" w:sz="4" w:space="0"/>
            </w:tcBorders>
            <w:noWrap/>
            <w:vAlign w:val="center"/>
          </w:tcPr>
          <w:p w14:paraId="2829A78B">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开始城市区县代码</w:t>
            </w:r>
          </w:p>
        </w:tc>
      </w:tr>
      <w:tr w14:paraId="09FDF69D">
        <w:tblPrEx>
          <w:tblCellMar>
            <w:top w:w="0" w:type="dxa"/>
            <w:left w:w="108" w:type="dxa"/>
            <w:bottom w:w="0" w:type="dxa"/>
            <w:right w:w="108" w:type="dxa"/>
          </w:tblCellMar>
        </w:tblPrEx>
        <w:trPr>
          <w:trHeight w:val="278" w:hRule="atLeast"/>
          <w:jc w:val="center"/>
        </w:trPr>
        <w:tc>
          <w:tcPr>
            <w:tcW w:w="1965" w:type="dxa"/>
            <w:tcBorders>
              <w:top w:val="nil"/>
              <w:left w:val="single" w:color="000000" w:sz="4" w:space="0"/>
              <w:bottom w:val="single" w:color="000000" w:sz="4" w:space="0"/>
              <w:right w:val="single" w:color="000000" w:sz="4" w:space="0"/>
            </w:tcBorders>
            <w:noWrap/>
            <w:vAlign w:val="center"/>
          </w:tcPr>
          <w:p w14:paraId="74882284">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d_adcode</w:t>
            </w:r>
          </w:p>
        </w:tc>
        <w:tc>
          <w:tcPr>
            <w:tcW w:w="6555" w:type="dxa"/>
            <w:tcBorders>
              <w:top w:val="nil"/>
              <w:left w:val="nil"/>
              <w:bottom w:val="single" w:color="000000" w:sz="4" w:space="0"/>
              <w:right w:val="single" w:color="000000" w:sz="4" w:space="0"/>
            </w:tcBorders>
            <w:noWrap/>
            <w:vAlign w:val="center"/>
          </w:tcPr>
          <w:p w14:paraId="4BEA47FC">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结束城市区县代码</w:t>
            </w:r>
          </w:p>
        </w:tc>
      </w:tr>
      <w:tr w14:paraId="7212FCA0">
        <w:tblPrEx>
          <w:tblCellMar>
            <w:top w:w="0" w:type="dxa"/>
            <w:left w:w="108" w:type="dxa"/>
            <w:bottom w:w="0" w:type="dxa"/>
            <w:right w:w="108" w:type="dxa"/>
          </w:tblCellMar>
        </w:tblPrEx>
        <w:trPr>
          <w:trHeight w:val="278" w:hRule="atLeast"/>
          <w:jc w:val="center"/>
        </w:trPr>
        <w:tc>
          <w:tcPr>
            <w:tcW w:w="1965" w:type="dxa"/>
            <w:tcBorders>
              <w:top w:val="nil"/>
              <w:left w:val="single" w:color="000000" w:sz="4" w:space="0"/>
              <w:bottom w:val="single" w:color="000000" w:sz="4" w:space="0"/>
              <w:right w:val="single" w:color="000000" w:sz="4" w:space="0"/>
            </w:tcBorders>
            <w:noWrap/>
            <w:vAlign w:val="center"/>
          </w:tcPr>
          <w:p w14:paraId="063447A0">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o_time</w:t>
            </w:r>
          </w:p>
        </w:tc>
        <w:tc>
          <w:tcPr>
            <w:tcW w:w="6555" w:type="dxa"/>
            <w:tcBorders>
              <w:top w:val="nil"/>
              <w:left w:val="nil"/>
              <w:bottom w:val="single" w:color="000000" w:sz="4" w:space="0"/>
              <w:right w:val="single" w:color="000000" w:sz="4" w:space="0"/>
            </w:tcBorders>
            <w:noWrap/>
            <w:vAlign w:val="center"/>
          </w:tcPr>
          <w:p w14:paraId="4E06D69A">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开始时间-小时级</w:t>
            </w:r>
          </w:p>
        </w:tc>
      </w:tr>
      <w:tr w14:paraId="59D08845">
        <w:tblPrEx>
          <w:tblCellMar>
            <w:top w:w="0" w:type="dxa"/>
            <w:left w:w="108" w:type="dxa"/>
            <w:bottom w:w="0" w:type="dxa"/>
            <w:right w:w="108" w:type="dxa"/>
          </w:tblCellMar>
        </w:tblPrEx>
        <w:trPr>
          <w:trHeight w:val="278" w:hRule="atLeast"/>
          <w:jc w:val="center"/>
        </w:trPr>
        <w:tc>
          <w:tcPr>
            <w:tcW w:w="1965" w:type="dxa"/>
            <w:tcBorders>
              <w:top w:val="nil"/>
              <w:left w:val="single" w:color="000000" w:sz="4" w:space="0"/>
              <w:bottom w:val="single" w:color="000000" w:sz="4" w:space="0"/>
              <w:right w:val="single" w:color="000000" w:sz="4" w:space="0"/>
            </w:tcBorders>
            <w:noWrap/>
            <w:vAlign w:val="center"/>
          </w:tcPr>
          <w:p w14:paraId="2AA50A32">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d_time</w:t>
            </w:r>
          </w:p>
        </w:tc>
        <w:tc>
          <w:tcPr>
            <w:tcW w:w="6555" w:type="dxa"/>
            <w:tcBorders>
              <w:top w:val="nil"/>
              <w:left w:val="nil"/>
              <w:bottom w:val="single" w:color="000000" w:sz="4" w:space="0"/>
              <w:right w:val="single" w:color="000000" w:sz="4" w:space="0"/>
            </w:tcBorders>
            <w:noWrap/>
            <w:vAlign w:val="center"/>
          </w:tcPr>
          <w:p w14:paraId="74ED2F81">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结束时间-小时级</w:t>
            </w:r>
          </w:p>
        </w:tc>
      </w:tr>
      <w:tr w14:paraId="33EF0D97">
        <w:tblPrEx>
          <w:tblCellMar>
            <w:top w:w="0" w:type="dxa"/>
            <w:left w:w="108" w:type="dxa"/>
            <w:bottom w:w="0" w:type="dxa"/>
            <w:right w:w="108" w:type="dxa"/>
          </w:tblCellMar>
        </w:tblPrEx>
        <w:trPr>
          <w:trHeight w:val="278" w:hRule="atLeast"/>
          <w:jc w:val="center"/>
        </w:trPr>
        <w:tc>
          <w:tcPr>
            <w:tcW w:w="1965" w:type="dxa"/>
            <w:tcBorders>
              <w:top w:val="nil"/>
              <w:left w:val="single" w:color="000000" w:sz="4" w:space="0"/>
              <w:bottom w:val="single" w:color="000000" w:sz="4" w:space="0"/>
              <w:right w:val="single" w:color="000000" w:sz="4" w:space="0"/>
            </w:tcBorders>
            <w:noWrap/>
            <w:vAlign w:val="center"/>
          </w:tcPr>
          <w:p w14:paraId="4D6FC184">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id</w:t>
            </w:r>
          </w:p>
        </w:tc>
        <w:tc>
          <w:tcPr>
            <w:tcW w:w="6555" w:type="dxa"/>
            <w:tcBorders>
              <w:top w:val="nil"/>
              <w:left w:val="nil"/>
              <w:bottom w:val="single" w:color="000000" w:sz="4" w:space="0"/>
              <w:right w:val="single" w:color="000000" w:sz="4" w:space="0"/>
            </w:tcBorders>
            <w:noWrap/>
            <w:vAlign w:val="center"/>
          </w:tcPr>
          <w:p w14:paraId="1E9ECC94">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OD对ID</w:t>
            </w:r>
          </w:p>
        </w:tc>
      </w:tr>
      <w:tr w14:paraId="79A33490">
        <w:tblPrEx>
          <w:tblCellMar>
            <w:top w:w="0" w:type="dxa"/>
            <w:left w:w="108" w:type="dxa"/>
            <w:bottom w:w="0" w:type="dxa"/>
            <w:right w:w="108" w:type="dxa"/>
          </w:tblCellMar>
        </w:tblPrEx>
        <w:trPr>
          <w:trHeight w:val="278" w:hRule="atLeast"/>
          <w:jc w:val="center"/>
        </w:trPr>
        <w:tc>
          <w:tcPr>
            <w:tcW w:w="1965" w:type="dxa"/>
            <w:tcBorders>
              <w:top w:val="nil"/>
              <w:left w:val="single" w:color="000000" w:sz="4" w:space="0"/>
              <w:bottom w:val="single" w:color="000000" w:sz="4" w:space="0"/>
              <w:right w:val="single" w:color="000000" w:sz="4" w:space="0"/>
            </w:tcBorders>
            <w:noWrap/>
            <w:vAlign w:val="center"/>
          </w:tcPr>
          <w:p w14:paraId="20373AC2">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source_grid</w:t>
            </w:r>
          </w:p>
        </w:tc>
        <w:tc>
          <w:tcPr>
            <w:tcW w:w="6555" w:type="dxa"/>
            <w:tcBorders>
              <w:top w:val="nil"/>
              <w:left w:val="nil"/>
              <w:bottom w:val="single" w:color="000000" w:sz="4" w:space="0"/>
              <w:right w:val="single" w:color="000000" w:sz="4" w:space="0"/>
            </w:tcBorders>
            <w:noWrap/>
            <w:vAlign w:val="center"/>
          </w:tcPr>
          <w:p w14:paraId="2BBB157E">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开始网格，100米</w:t>
            </w:r>
          </w:p>
        </w:tc>
      </w:tr>
      <w:tr w14:paraId="0C93D747">
        <w:tblPrEx>
          <w:tblCellMar>
            <w:top w:w="0" w:type="dxa"/>
            <w:left w:w="108" w:type="dxa"/>
            <w:bottom w:w="0" w:type="dxa"/>
            <w:right w:w="108" w:type="dxa"/>
          </w:tblCellMar>
        </w:tblPrEx>
        <w:trPr>
          <w:trHeight w:val="278" w:hRule="atLeast"/>
          <w:jc w:val="center"/>
        </w:trPr>
        <w:tc>
          <w:tcPr>
            <w:tcW w:w="1965" w:type="dxa"/>
            <w:tcBorders>
              <w:top w:val="nil"/>
              <w:left w:val="single" w:color="000000" w:sz="4" w:space="0"/>
              <w:bottom w:val="single" w:color="000000" w:sz="4" w:space="0"/>
              <w:right w:val="single" w:color="000000" w:sz="4" w:space="0"/>
            </w:tcBorders>
            <w:noWrap/>
            <w:vAlign w:val="center"/>
          </w:tcPr>
          <w:p w14:paraId="4B2AABEE">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target_grid</w:t>
            </w:r>
          </w:p>
        </w:tc>
        <w:tc>
          <w:tcPr>
            <w:tcW w:w="6555" w:type="dxa"/>
            <w:tcBorders>
              <w:top w:val="nil"/>
              <w:left w:val="nil"/>
              <w:bottom w:val="single" w:color="000000" w:sz="4" w:space="0"/>
              <w:right w:val="single" w:color="000000" w:sz="4" w:space="0"/>
            </w:tcBorders>
            <w:noWrap/>
            <w:vAlign w:val="center"/>
          </w:tcPr>
          <w:p w14:paraId="7394324C">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结束网格，100米</w:t>
            </w:r>
          </w:p>
        </w:tc>
      </w:tr>
      <w:tr w14:paraId="1ABF924B">
        <w:tblPrEx>
          <w:tblCellMar>
            <w:top w:w="0" w:type="dxa"/>
            <w:left w:w="108" w:type="dxa"/>
            <w:bottom w:w="0" w:type="dxa"/>
            <w:right w:w="108" w:type="dxa"/>
          </w:tblCellMar>
        </w:tblPrEx>
        <w:trPr>
          <w:trHeight w:val="278" w:hRule="atLeast"/>
          <w:jc w:val="center"/>
        </w:trPr>
        <w:tc>
          <w:tcPr>
            <w:tcW w:w="1965" w:type="dxa"/>
            <w:tcBorders>
              <w:top w:val="nil"/>
              <w:left w:val="single" w:color="000000" w:sz="4" w:space="0"/>
              <w:bottom w:val="single" w:color="000000" w:sz="4" w:space="0"/>
              <w:right w:val="single" w:color="000000" w:sz="4" w:space="0"/>
            </w:tcBorders>
            <w:noWrap/>
            <w:vAlign w:val="center"/>
          </w:tcPr>
          <w:p w14:paraId="7E84AC37">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o_x</w:t>
            </w:r>
          </w:p>
        </w:tc>
        <w:tc>
          <w:tcPr>
            <w:tcW w:w="6555" w:type="dxa"/>
            <w:tcBorders>
              <w:top w:val="nil"/>
              <w:left w:val="nil"/>
              <w:bottom w:val="single" w:color="000000" w:sz="4" w:space="0"/>
              <w:right w:val="single" w:color="000000" w:sz="4" w:space="0"/>
            </w:tcBorders>
            <w:noWrap/>
            <w:vAlign w:val="center"/>
          </w:tcPr>
          <w:p w14:paraId="51317314">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开始网格中心点</w:t>
            </w:r>
          </w:p>
        </w:tc>
      </w:tr>
      <w:tr w14:paraId="635ACC6B">
        <w:tblPrEx>
          <w:tblCellMar>
            <w:top w:w="0" w:type="dxa"/>
            <w:left w:w="108" w:type="dxa"/>
            <w:bottom w:w="0" w:type="dxa"/>
            <w:right w:w="108" w:type="dxa"/>
          </w:tblCellMar>
        </w:tblPrEx>
        <w:trPr>
          <w:trHeight w:val="278" w:hRule="atLeast"/>
          <w:jc w:val="center"/>
        </w:trPr>
        <w:tc>
          <w:tcPr>
            <w:tcW w:w="1965" w:type="dxa"/>
            <w:tcBorders>
              <w:top w:val="nil"/>
              <w:left w:val="single" w:color="000000" w:sz="4" w:space="0"/>
              <w:bottom w:val="single" w:color="000000" w:sz="4" w:space="0"/>
              <w:right w:val="single" w:color="000000" w:sz="4" w:space="0"/>
            </w:tcBorders>
            <w:noWrap/>
            <w:vAlign w:val="center"/>
          </w:tcPr>
          <w:p w14:paraId="34911E51">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o_y</w:t>
            </w:r>
          </w:p>
        </w:tc>
        <w:tc>
          <w:tcPr>
            <w:tcW w:w="6555" w:type="dxa"/>
            <w:tcBorders>
              <w:top w:val="nil"/>
              <w:left w:val="nil"/>
              <w:bottom w:val="single" w:color="000000" w:sz="4" w:space="0"/>
              <w:right w:val="single" w:color="000000" w:sz="4" w:space="0"/>
            </w:tcBorders>
            <w:noWrap/>
            <w:vAlign w:val="center"/>
          </w:tcPr>
          <w:p w14:paraId="239FF7EC">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开始网格中心点</w:t>
            </w:r>
          </w:p>
        </w:tc>
      </w:tr>
      <w:tr w14:paraId="14ECCA21">
        <w:tblPrEx>
          <w:tblCellMar>
            <w:top w:w="0" w:type="dxa"/>
            <w:left w:w="108" w:type="dxa"/>
            <w:bottom w:w="0" w:type="dxa"/>
            <w:right w:w="108" w:type="dxa"/>
          </w:tblCellMar>
        </w:tblPrEx>
        <w:trPr>
          <w:trHeight w:val="278" w:hRule="atLeast"/>
          <w:jc w:val="center"/>
        </w:trPr>
        <w:tc>
          <w:tcPr>
            <w:tcW w:w="1965" w:type="dxa"/>
            <w:tcBorders>
              <w:top w:val="nil"/>
              <w:left w:val="single" w:color="000000" w:sz="4" w:space="0"/>
              <w:bottom w:val="single" w:color="000000" w:sz="4" w:space="0"/>
              <w:right w:val="single" w:color="000000" w:sz="4" w:space="0"/>
            </w:tcBorders>
            <w:noWrap/>
            <w:vAlign w:val="center"/>
          </w:tcPr>
          <w:p w14:paraId="5BCF79DE">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d_x</w:t>
            </w:r>
          </w:p>
        </w:tc>
        <w:tc>
          <w:tcPr>
            <w:tcW w:w="6555" w:type="dxa"/>
            <w:tcBorders>
              <w:top w:val="nil"/>
              <w:left w:val="nil"/>
              <w:bottom w:val="single" w:color="000000" w:sz="4" w:space="0"/>
              <w:right w:val="single" w:color="000000" w:sz="4" w:space="0"/>
            </w:tcBorders>
            <w:noWrap/>
            <w:vAlign w:val="center"/>
          </w:tcPr>
          <w:p w14:paraId="0A9307C2">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结束网格中心点</w:t>
            </w:r>
          </w:p>
        </w:tc>
      </w:tr>
      <w:tr w14:paraId="0D845636">
        <w:tblPrEx>
          <w:tblCellMar>
            <w:top w:w="0" w:type="dxa"/>
            <w:left w:w="108" w:type="dxa"/>
            <w:bottom w:w="0" w:type="dxa"/>
            <w:right w:w="108" w:type="dxa"/>
          </w:tblCellMar>
        </w:tblPrEx>
        <w:trPr>
          <w:trHeight w:val="278" w:hRule="atLeast"/>
          <w:jc w:val="center"/>
        </w:trPr>
        <w:tc>
          <w:tcPr>
            <w:tcW w:w="1965" w:type="dxa"/>
            <w:tcBorders>
              <w:top w:val="nil"/>
              <w:left w:val="single" w:color="000000" w:sz="4" w:space="0"/>
              <w:bottom w:val="single" w:color="000000" w:sz="4" w:space="0"/>
              <w:right w:val="single" w:color="000000" w:sz="4" w:space="0"/>
            </w:tcBorders>
            <w:noWrap/>
            <w:vAlign w:val="center"/>
          </w:tcPr>
          <w:p w14:paraId="08ABD46A">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d_y</w:t>
            </w:r>
          </w:p>
        </w:tc>
        <w:tc>
          <w:tcPr>
            <w:tcW w:w="6555" w:type="dxa"/>
            <w:tcBorders>
              <w:top w:val="nil"/>
              <w:left w:val="nil"/>
              <w:bottom w:val="single" w:color="000000" w:sz="4" w:space="0"/>
              <w:right w:val="single" w:color="000000" w:sz="4" w:space="0"/>
            </w:tcBorders>
            <w:noWrap/>
            <w:vAlign w:val="center"/>
          </w:tcPr>
          <w:p w14:paraId="15AD08B8">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结束网格中心点</w:t>
            </w:r>
          </w:p>
        </w:tc>
      </w:tr>
      <w:tr w14:paraId="35B7742A">
        <w:tblPrEx>
          <w:tblCellMar>
            <w:top w:w="0" w:type="dxa"/>
            <w:left w:w="108" w:type="dxa"/>
            <w:bottom w:w="0" w:type="dxa"/>
            <w:right w:w="108" w:type="dxa"/>
          </w:tblCellMar>
        </w:tblPrEx>
        <w:trPr>
          <w:trHeight w:val="278" w:hRule="atLeast"/>
          <w:jc w:val="center"/>
        </w:trPr>
        <w:tc>
          <w:tcPr>
            <w:tcW w:w="1965" w:type="dxa"/>
            <w:tcBorders>
              <w:top w:val="nil"/>
              <w:left w:val="single" w:color="000000" w:sz="4" w:space="0"/>
              <w:bottom w:val="single" w:color="000000" w:sz="4" w:space="0"/>
              <w:right w:val="single" w:color="000000" w:sz="4" w:space="0"/>
            </w:tcBorders>
            <w:noWrap/>
            <w:vAlign w:val="center"/>
          </w:tcPr>
          <w:p w14:paraId="41592237">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vehicle_size</w:t>
            </w:r>
          </w:p>
        </w:tc>
        <w:tc>
          <w:tcPr>
            <w:tcW w:w="6555" w:type="dxa"/>
            <w:tcBorders>
              <w:top w:val="nil"/>
              <w:left w:val="nil"/>
              <w:bottom w:val="single" w:color="000000" w:sz="4" w:space="0"/>
              <w:right w:val="single" w:color="000000" w:sz="4" w:space="0"/>
            </w:tcBorders>
            <w:noWrap/>
            <w:vAlign w:val="center"/>
          </w:tcPr>
          <w:p w14:paraId="6C1CCB5F">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货车大小，1微型，2轻型，3中型，4大型，当为0 时为默认值</w:t>
            </w:r>
          </w:p>
        </w:tc>
      </w:tr>
      <w:tr w14:paraId="675CC764">
        <w:tblPrEx>
          <w:tblCellMar>
            <w:top w:w="0" w:type="dxa"/>
            <w:left w:w="108" w:type="dxa"/>
            <w:bottom w:w="0" w:type="dxa"/>
            <w:right w:w="108" w:type="dxa"/>
          </w:tblCellMar>
        </w:tblPrEx>
        <w:trPr>
          <w:trHeight w:val="278" w:hRule="atLeast"/>
          <w:jc w:val="center"/>
        </w:trPr>
        <w:tc>
          <w:tcPr>
            <w:tcW w:w="1965" w:type="dxa"/>
            <w:tcBorders>
              <w:top w:val="nil"/>
              <w:left w:val="single" w:color="000000" w:sz="4" w:space="0"/>
              <w:bottom w:val="single" w:color="000000" w:sz="4" w:space="0"/>
              <w:right w:val="single" w:color="000000" w:sz="4" w:space="0"/>
            </w:tcBorders>
            <w:noWrap/>
            <w:vAlign w:val="center"/>
          </w:tcPr>
          <w:p w14:paraId="3D7FEFD8">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_c13</w:t>
            </w:r>
          </w:p>
        </w:tc>
        <w:tc>
          <w:tcPr>
            <w:tcW w:w="6555" w:type="dxa"/>
            <w:tcBorders>
              <w:top w:val="nil"/>
              <w:left w:val="nil"/>
              <w:bottom w:val="single" w:color="000000" w:sz="4" w:space="0"/>
              <w:right w:val="single" w:color="000000" w:sz="4" w:space="0"/>
            </w:tcBorders>
            <w:noWrap/>
            <w:vAlign w:val="center"/>
          </w:tcPr>
          <w:p w14:paraId="5AC93C50">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货车类型，1货车，3电动货车，5混动，17柴油，当为0 时为默认值</w:t>
            </w:r>
          </w:p>
        </w:tc>
      </w:tr>
      <w:tr w14:paraId="5B2B4D85">
        <w:tblPrEx>
          <w:tblCellMar>
            <w:top w:w="0" w:type="dxa"/>
            <w:left w:w="108" w:type="dxa"/>
            <w:bottom w:w="0" w:type="dxa"/>
            <w:right w:w="108" w:type="dxa"/>
          </w:tblCellMar>
        </w:tblPrEx>
        <w:trPr>
          <w:trHeight w:val="278" w:hRule="atLeast"/>
          <w:jc w:val="center"/>
        </w:trPr>
        <w:tc>
          <w:tcPr>
            <w:tcW w:w="1965" w:type="dxa"/>
            <w:tcBorders>
              <w:top w:val="nil"/>
              <w:left w:val="single" w:color="000000" w:sz="4" w:space="0"/>
              <w:bottom w:val="single" w:color="000000" w:sz="4" w:space="0"/>
              <w:right w:val="single" w:color="000000" w:sz="4" w:space="0"/>
            </w:tcBorders>
            <w:noWrap/>
            <w:vAlign w:val="center"/>
          </w:tcPr>
          <w:p w14:paraId="42287C58">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duration</w:t>
            </w:r>
          </w:p>
        </w:tc>
        <w:tc>
          <w:tcPr>
            <w:tcW w:w="6555" w:type="dxa"/>
            <w:tcBorders>
              <w:top w:val="nil"/>
              <w:left w:val="nil"/>
              <w:bottom w:val="single" w:color="000000" w:sz="4" w:space="0"/>
              <w:right w:val="single" w:color="000000" w:sz="4" w:space="0"/>
            </w:tcBorders>
            <w:noWrap/>
            <w:vAlign w:val="center"/>
          </w:tcPr>
          <w:p w14:paraId="063AA435">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时间(min)-仅供参考</w:t>
            </w:r>
          </w:p>
        </w:tc>
      </w:tr>
      <w:tr w14:paraId="409973FF">
        <w:tblPrEx>
          <w:tblCellMar>
            <w:top w:w="0" w:type="dxa"/>
            <w:left w:w="108" w:type="dxa"/>
            <w:bottom w:w="0" w:type="dxa"/>
            <w:right w:w="108" w:type="dxa"/>
          </w:tblCellMar>
        </w:tblPrEx>
        <w:trPr>
          <w:trHeight w:val="278" w:hRule="atLeast"/>
          <w:jc w:val="center"/>
        </w:trPr>
        <w:tc>
          <w:tcPr>
            <w:tcW w:w="1965" w:type="dxa"/>
            <w:tcBorders>
              <w:top w:val="nil"/>
              <w:left w:val="single" w:color="000000" w:sz="4" w:space="0"/>
              <w:bottom w:val="single" w:color="000000" w:sz="4" w:space="0"/>
              <w:right w:val="single" w:color="000000" w:sz="4" w:space="0"/>
            </w:tcBorders>
            <w:noWrap/>
            <w:vAlign w:val="center"/>
          </w:tcPr>
          <w:p w14:paraId="31F96F23">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distance</w:t>
            </w:r>
          </w:p>
        </w:tc>
        <w:tc>
          <w:tcPr>
            <w:tcW w:w="6555" w:type="dxa"/>
            <w:tcBorders>
              <w:top w:val="nil"/>
              <w:left w:val="nil"/>
              <w:bottom w:val="single" w:color="000000" w:sz="4" w:space="0"/>
              <w:right w:val="single" w:color="000000" w:sz="4" w:space="0"/>
            </w:tcBorders>
            <w:noWrap/>
            <w:vAlign w:val="center"/>
          </w:tcPr>
          <w:p w14:paraId="1D65E741">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距离(km)，直线距离</w:t>
            </w:r>
          </w:p>
        </w:tc>
      </w:tr>
      <w:tr w14:paraId="37098C34">
        <w:tblPrEx>
          <w:tblCellMar>
            <w:top w:w="0" w:type="dxa"/>
            <w:left w:w="108" w:type="dxa"/>
            <w:bottom w:w="0" w:type="dxa"/>
            <w:right w:w="108" w:type="dxa"/>
          </w:tblCellMar>
        </w:tblPrEx>
        <w:trPr>
          <w:trHeight w:val="278" w:hRule="atLeast"/>
          <w:jc w:val="center"/>
        </w:trPr>
        <w:tc>
          <w:tcPr>
            <w:tcW w:w="1965" w:type="dxa"/>
            <w:tcBorders>
              <w:top w:val="nil"/>
              <w:left w:val="single" w:color="000000" w:sz="4" w:space="0"/>
              <w:bottom w:val="single" w:color="000000" w:sz="4" w:space="0"/>
              <w:right w:val="single" w:color="000000" w:sz="4" w:space="0"/>
            </w:tcBorders>
            <w:noWrap/>
            <w:vAlign w:val="center"/>
          </w:tcPr>
          <w:p w14:paraId="734F45AD">
            <w:pPr>
              <w:pStyle w:val="3"/>
              <w:spacing w:line="360" w:lineRule="auto"/>
              <w:ind w:firstLine="0" w:firstLineChars="0"/>
              <w:jc w:val="center"/>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uv</w:t>
            </w:r>
          </w:p>
        </w:tc>
        <w:tc>
          <w:tcPr>
            <w:tcW w:w="6555" w:type="dxa"/>
            <w:tcBorders>
              <w:top w:val="nil"/>
              <w:left w:val="nil"/>
              <w:bottom w:val="single" w:color="000000" w:sz="4" w:space="0"/>
              <w:right w:val="single" w:color="000000" w:sz="4" w:space="0"/>
            </w:tcBorders>
            <w:noWrap/>
            <w:vAlign w:val="center"/>
          </w:tcPr>
          <w:p w14:paraId="7E720196">
            <w:pPr>
              <w:pStyle w:val="3"/>
              <w:spacing w:line="360" w:lineRule="auto"/>
              <w:ind w:firstLine="0" w:firstLineChars="0"/>
              <w:jc w:val="center"/>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数量</w:t>
            </w:r>
          </w:p>
        </w:tc>
      </w:tr>
    </w:tbl>
    <w:p w14:paraId="4E7EB82D">
      <w:pPr>
        <w:pStyle w:val="3"/>
        <w:spacing w:line="360" w:lineRule="auto"/>
        <w:ind w:firstLine="0" w:firstLineChars="0"/>
        <w:jc w:val="left"/>
        <w:rPr>
          <w:rFonts w:ascii="Times New Roman" w:hAnsi="Times New Roman" w:eastAsia="宋体" w:cs="Times New Roman"/>
          <w:color w:val="auto"/>
          <w:sz w:val="24"/>
          <w:highlight w:val="none"/>
        </w:rPr>
      </w:pPr>
    </w:p>
    <w:p w14:paraId="7C1F3FC1">
      <w:pPr>
        <w:pStyle w:val="3"/>
        <w:numPr>
          <w:ilvl w:val="0"/>
          <w:numId w:val="3"/>
        </w:numPr>
        <w:spacing w:line="360" w:lineRule="auto"/>
        <w:ind w:left="0" w:firstLine="48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数据来源：【互联网导航厂商LBS数据】。</w:t>
      </w:r>
    </w:p>
    <w:p w14:paraId="6326657A">
      <w:pPr>
        <w:pStyle w:val="3"/>
        <w:numPr>
          <w:ilvl w:val="0"/>
          <w:numId w:val="3"/>
        </w:numPr>
        <w:spacing w:line="360" w:lineRule="auto"/>
        <w:ind w:left="0" w:firstLine="48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数据类型：</w:t>
      </w:r>
      <w:r>
        <w:rPr>
          <w:rFonts w:ascii="Times New Roman" w:hAnsi="Times New Roman" w:eastAsia="宋体" w:cs="Times New Roman"/>
          <w:color w:val="auto"/>
          <w:sz w:val="24"/>
          <w:highlight w:val="none"/>
        </w:rPr>
        <w:sym w:font="Wingdings" w:char="F0FE"/>
      </w:r>
      <w:r>
        <w:rPr>
          <w:rFonts w:ascii="Times New Roman" w:hAnsi="Times New Roman" w:eastAsia="宋体" w:cs="Times New Roman"/>
          <w:color w:val="auto"/>
          <w:sz w:val="24"/>
          <w:highlight w:val="none"/>
        </w:rPr>
        <w:t xml:space="preserve">历史数据  </w:t>
      </w:r>
      <w:r>
        <w:rPr>
          <w:rFonts w:ascii="Times New Roman" w:hAnsi="Times New Roman" w:eastAsia="宋体" w:cs="Times New Roman"/>
          <w:color w:val="auto"/>
          <w:sz w:val="24"/>
          <w:highlight w:val="none"/>
        </w:rPr>
        <w:sym w:font="Wingdings" w:char="F06F"/>
      </w:r>
      <w:r>
        <w:rPr>
          <w:rFonts w:ascii="Times New Roman" w:hAnsi="Times New Roman" w:eastAsia="宋体" w:cs="Times New Roman"/>
          <w:color w:val="auto"/>
          <w:sz w:val="24"/>
          <w:highlight w:val="none"/>
        </w:rPr>
        <w:t xml:space="preserve">实时数据  </w:t>
      </w:r>
      <w:r>
        <w:rPr>
          <w:rFonts w:ascii="Times New Roman" w:hAnsi="Times New Roman" w:eastAsia="宋体" w:cs="Times New Roman"/>
          <w:color w:val="auto"/>
          <w:sz w:val="24"/>
          <w:highlight w:val="none"/>
        </w:rPr>
        <w:sym w:font="Wingdings" w:char="F06F"/>
      </w:r>
      <w:r>
        <w:rPr>
          <w:rFonts w:ascii="Times New Roman" w:hAnsi="Times New Roman" w:eastAsia="宋体" w:cs="Times New Roman"/>
          <w:color w:val="auto"/>
          <w:sz w:val="24"/>
          <w:highlight w:val="none"/>
        </w:rPr>
        <w:t>不定期更新数据。</w:t>
      </w:r>
    </w:p>
    <w:p w14:paraId="51CC709C">
      <w:pPr>
        <w:pStyle w:val="3"/>
        <w:numPr>
          <w:ilvl w:val="0"/>
          <w:numId w:val="3"/>
        </w:numPr>
        <w:spacing w:line="360" w:lineRule="auto"/>
        <w:ind w:left="0" w:firstLine="48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数据时间范围：</w:t>
      </w:r>
      <w:r>
        <w:rPr>
          <w:rFonts w:ascii="Times New Roman" w:hAnsi="Times New Roman" w:eastAsia="宋体" w:cs="Times New Roman"/>
          <w:color w:val="auto"/>
          <w:sz w:val="24"/>
          <w:highlight w:val="none"/>
        </w:rPr>
        <w:t>【202</w:t>
      </w:r>
      <w:r>
        <w:rPr>
          <w:rFonts w:hint="eastAsia" w:ascii="Times New Roman" w:hAnsi="Times New Roman" w:eastAsia="宋体" w:cs="Times New Roman"/>
          <w:color w:val="auto"/>
          <w:sz w:val="24"/>
          <w:highlight w:val="none"/>
        </w:rPr>
        <w:t>5</w:t>
      </w:r>
      <w:r>
        <w:rPr>
          <w:rFonts w:ascii="Times New Roman" w:hAnsi="Times New Roman" w:eastAsia="宋体" w:cs="Times New Roman"/>
          <w:color w:val="auto"/>
          <w:sz w:val="24"/>
          <w:highlight w:val="none"/>
        </w:rPr>
        <w:t>】年</w:t>
      </w:r>
      <w:bookmarkStart w:id="29" w:name="OLE_LINK2"/>
      <w:r>
        <w:rPr>
          <w:rFonts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rPr>
        <w:t>8</w:t>
      </w:r>
      <w:r>
        <w:rPr>
          <w:rFonts w:ascii="Times New Roman" w:hAnsi="Times New Roman" w:eastAsia="宋体" w:cs="Times New Roman"/>
          <w:color w:val="auto"/>
          <w:sz w:val="24"/>
          <w:highlight w:val="none"/>
        </w:rPr>
        <w:t>】月【</w:t>
      </w:r>
      <w:r>
        <w:rPr>
          <w:rFonts w:hint="eastAsia" w:ascii="Times New Roman" w:hAnsi="Times New Roman" w:eastAsia="宋体" w:cs="Times New Roman"/>
          <w:color w:val="auto"/>
          <w:sz w:val="24"/>
          <w:highlight w:val="none"/>
        </w:rPr>
        <w:t>1</w:t>
      </w:r>
      <w:r>
        <w:rPr>
          <w:rFonts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rPr>
        <w:t>日~</w:t>
      </w:r>
      <w:r>
        <w:rPr>
          <w:rFonts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rPr>
        <w:t>8</w:t>
      </w:r>
      <w:r>
        <w:rPr>
          <w:rFonts w:ascii="Times New Roman" w:hAnsi="Times New Roman" w:eastAsia="宋体" w:cs="Times New Roman"/>
          <w:color w:val="auto"/>
          <w:sz w:val="24"/>
          <w:highlight w:val="none"/>
        </w:rPr>
        <w:t>】月【</w:t>
      </w:r>
      <w:r>
        <w:rPr>
          <w:rFonts w:hint="eastAsia" w:ascii="Times New Roman" w:hAnsi="Times New Roman" w:eastAsia="宋体" w:cs="Times New Roman"/>
          <w:color w:val="auto"/>
          <w:sz w:val="24"/>
          <w:highlight w:val="none"/>
        </w:rPr>
        <w:t>31</w:t>
      </w:r>
      <w:r>
        <w:rPr>
          <w:rFonts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rPr>
        <w:t>日</w:t>
      </w:r>
      <w:bookmarkEnd w:id="29"/>
      <w:r>
        <w:rPr>
          <w:rFonts w:hint="eastAsia" w:ascii="Times New Roman" w:hAnsi="Times New Roman" w:eastAsia="宋体" w:cs="Times New Roman"/>
          <w:color w:val="auto"/>
          <w:sz w:val="24"/>
          <w:highlight w:val="none"/>
        </w:rPr>
        <w:t>；</w:t>
      </w:r>
    </w:p>
    <w:p w14:paraId="291987D1">
      <w:pPr>
        <w:pStyle w:val="3"/>
        <w:spacing w:line="360" w:lineRule="auto"/>
        <w:ind w:firstLineChars="0"/>
        <w:jc w:val="left"/>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w:t>
      </w:r>
      <w:r>
        <w:rPr>
          <w:rFonts w:ascii="Times New Roman" w:hAnsi="Times New Roman" w:eastAsia="宋体" w:cs="Times New Roman"/>
          <w:color w:val="auto"/>
          <w:sz w:val="24"/>
          <w:highlight w:val="none"/>
        </w:rPr>
        <w:t>202</w:t>
      </w:r>
      <w:r>
        <w:rPr>
          <w:rFonts w:hint="eastAsia" w:ascii="Times New Roman" w:hAnsi="Times New Roman" w:eastAsia="宋体" w:cs="Times New Roman"/>
          <w:color w:val="auto"/>
          <w:sz w:val="24"/>
          <w:highlight w:val="none"/>
        </w:rPr>
        <w:t>5</w:t>
      </w:r>
      <w:r>
        <w:rPr>
          <w:rFonts w:ascii="Times New Roman" w:hAnsi="Times New Roman" w:eastAsia="宋体" w:cs="Times New Roman"/>
          <w:color w:val="auto"/>
          <w:sz w:val="24"/>
          <w:highlight w:val="none"/>
        </w:rPr>
        <w:t>】年【</w:t>
      </w:r>
      <w:r>
        <w:rPr>
          <w:rFonts w:hint="eastAsia" w:ascii="Times New Roman" w:hAnsi="Times New Roman" w:eastAsia="宋体" w:cs="Times New Roman"/>
          <w:color w:val="auto"/>
          <w:sz w:val="24"/>
          <w:highlight w:val="none"/>
        </w:rPr>
        <w:t>9</w:t>
      </w:r>
      <w:r>
        <w:rPr>
          <w:rFonts w:ascii="Times New Roman" w:hAnsi="Times New Roman" w:eastAsia="宋体" w:cs="Times New Roman"/>
          <w:color w:val="auto"/>
          <w:sz w:val="24"/>
          <w:highlight w:val="none"/>
        </w:rPr>
        <w:t>】月【</w:t>
      </w:r>
      <w:r>
        <w:rPr>
          <w:rFonts w:hint="eastAsia" w:ascii="Times New Roman" w:hAnsi="Times New Roman" w:eastAsia="宋体" w:cs="Times New Roman"/>
          <w:color w:val="auto"/>
          <w:sz w:val="24"/>
          <w:highlight w:val="none"/>
        </w:rPr>
        <w:t>1</w:t>
      </w:r>
      <w:r>
        <w:rPr>
          <w:rFonts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rPr>
        <w:t>日~</w:t>
      </w:r>
      <w:r>
        <w:rPr>
          <w:rFonts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rPr>
        <w:t>9</w:t>
      </w:r>
      <w:r>
        <w:rPr>
          <w:rFonts w:ascii="Times New Roman" w:hAnsi="Times New Roman" w:eastAsia="宋体" w:cs="Times New Roman"/>
          <w:color w:val="auto"/>
          <w:sz w:val="24"/>
          <w:highlight w:val="none"/>
        </w:rPr>
        <w:t>】月【</w:t>
      </w:r>
      <w:r>
        <w:rPr>
          <w:rFonts w:hint="eastAsia" w:ascii="Times New Roman" w:hAnsi="Times New Roman" w:eastAsia="宋体" w:cs="Times New Roman"/>
          <w:color w:val="auto"/>
          <w:sz w:val="24"/>
          <w:highlight w:val="none"/>
        </w:rPr>
        <w:t>30</w:t>
      </w:r>
      <w:r>
        <w:rPr>
          <w:rFonts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rPr>
        <w:t>日；</w:t>
      </w:r>
    </w:p>
    <w:p w14:paraId="3DBF731C">
      <w:pPr>
        <w:pStyle w:val="3"/>
        <w:spacing w:line="360" w:lineRule="auto"/>
        <w:ind w:firstLineChars="0"/>
        <w:jc w:val="left"/>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w:t>
      </w:r>
      <w:r>
        <w:rPr>
          <w:rFonts w:ascii="Times New Roman" w:hAnsi="Times New Roman" w:eastAsia="宋体" w:cs="Times New Roman"/>
          <w:color w:val="auto"/>
          <w:sz w:val="24"/>
          <w:highlight w:val="none"/>
        </w:rPr>
        <w:t>202</w:t>
      </w:r>
      <w:r>
        <w:rPr>
          <w:rFonts w:hint="eastAsia" w:ascii="Times New Roman" w:hAnsi="Times New Roman" w:eastAsia="宋体" w:cs="Times New Roman"/>
          <w:color w:val="auto"/>
          <w:sz w:val="24"/>
          <w:highlight w:val="none"/>
        </w:rPr>
        <w:t>5</w:t>
      </w:r>
      <w:r>
        <w:rPr>
          <w:rFonts w:ascii="Times New Roman" w:hAnsi="Times New Roman" w:eastAsia="宋体" w:cs="Times New Roman"/>
          <w:color w:val="auto"/>
          <w:sz w:val="24"/>
          <w:highlight w:val="none"/>
        </w:rPr>
        <w:t>】年【</w:t>
      </w:r>
      <w:r>
        <w:rPr>
          <w:rFonts w:hint="eastAsia" w:ascii="Times New Roman" w:hAnsi="Times New Roman" w:eastAsia="宋体" w:cs="Times New Roman"/>
          <w:color w:val="auto"/>
          <w:sz w:val="24"/>
          <w:highlight w:val="none"/>
        </w:rPr>
        <w:t>10</w:t>
      </w:r>
      <w:r>
        <w:rPr>
          <w:rFonts w:ascii="Times New Roman" w:hAnsi="Times New Roman" w:eastAsia="宋体" w:cs="Times New Roman"/>
          <w:color w:val="auto"/>
          <w:sz w:val="24"/>
          <w:highlight w:val="none"/>
        </w:rPr>
        <w:t>】月【</w:t>
      </w:r>
      <w:r>
        <w:rPr>
          <w:rFonts w:hint="eastAsia" w:ascii="Times New Roman" w:hAnsi="Times New Roman" w:eastAsia="宋体" w:cs="Times New Roman"/>
          <w:color w:val="auto"/>
          <w:sz w:val="24"/>
          <w:highlight w:val="none"/>
        </w:rPr>
        <w:t>1</w:t>
      </w:r>
      <w:r>
        <w:rPr>
          <w:rFonts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rPr>
        <w:t>日~</w:t>
      </w:r>
      <w:r>
        <w:rPr>
          <w:rFonts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rPr>
        <w:t>10</w:t>
      </w:r>
      <w:r>
        <w:rPr>
          <w:rFonts w:ascii="Times New Roman" w:hAnsi="Times New Roman" w:eastAsia="宋体" w:cs="Times New Roman"/>
          <w:color w:val="auto"/>
          <w:sz w:val="24"/>
          <w:highlight w:val="none"/>
        </w:rPr>
        <w:t>】月【</w:t>
      </w:r>
      <w:r>
        <w:rPr>
          <w:rFonts w:hint="eastAsia" w:ascii="Times New Roman" w:hAnsi="Times New Roman" w:eastAsia="宋体" w:cs="Times New Roman"/>
          <w:color w:val="auto"/>
          <w:sz w:val="24"/>
          <w:highlight w:val="none"/>
        </w:rPr>
        <w:t>31</w:t>
      </w:r>
      <w:r>
        <w:rPr>
          <w:rFonts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rPr>
        <w:t>日</w:t>
      </w:r>
      <w:r>
        <w:rPr>
          <w:rFonts w:ascii="Times New Roman" w:hAnsi="Times New Roman" w:eastAsia="宋体" w:cs="Times New Roman"/>
          <w:color w:val="auto"/>
          <w:sz w:val="24"/>
          <w:highlight w:val="none"/>
        </w:rPr>
        <w:t>。</w:t>
      </w:r>
    </w:p>
    <w:p w14:paraId="134A9CC3">
      <w:pPr>
        <w:pStyle w:val="3"/>
        <w:numPr>
          <w:ilvl w:val="0"/>
          <w:numId w:val="3"/>
        </w:numPr>
        <w:spacing w:line="360" w:lineRule="auto"/>
        <w:ind w:left="0" w:firstLine="48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数据时间颗粒度：【1</w:t>
      </w:r>
      <w:r>
        <w:rPr>
          <w:rFonts w:hint="eastAsia" w:ascii="Times New Roman" w:hAnsi="Times New Roman" w:eastAsia="宋体" w:cs="Times New Roman"/>
          <w:color w:val="auto"/>
          <w:sz w:val="24"/>
          <w:highlight w:val="none"/>
        </w:rPr>
        <w:t>5</w:t>
      </w:r>
      <w:r>
        <w:rPr>
          <w:rFonts w:ascii="Times New Roman" w:hAnsi="Times New Roman" w:eastAsia="宋体" w:cs="Times New Roman"/>
          <w:color w:val="auto"/>
          <w:sz w:val="24"/>
          <w:highlight w:val="none"/>
        </w:rPr>
        <w:t>分钟】。</w:t>
      </w:r>
    </w:p>
    <w:p w14:paraId="0C258FC2">
      <w:pPr>
        <w:pStyle w:val="3"/>
        <w:numPr>
          <w:ilvl w:val="0"/>
          <w:numId w:val="3"/>
        </w:numPr>
        <w:spacing w:line="360" w:lineRule="auto"/>
        <w:ind w:left="0" w:firstLine="48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数据空间颗粒度：【道路Link级别】。</w:t>
      </w:r>
    </w:p>
    <w:p w14:paraId="5427AA9C">
      <w:pPr>
        <w:pStyle w:val="2"/>
        <w:ind w:left="0"/>
        <w:rPr>
          <w:color w:val="auto"/>
          <w:highlight w:val="none"/>
        </w:rPr>
      </w:pPr>
      <w:bookmarkStart w:id="30" w:name="_Toc11244"/>
      <w:bookmarkStart w:id="31" w:name="_Toc19438"/>
      <w:bookmarkStart w:id="32" w:name="_Toc25004"/>
      <w:bookmarkStart w:id="33" w:name="_Toc18662"/>
      <w:bookmarkStart w:id="34" w:name="_Toc23056"/>
      <w:bookmarkStart w:id="35" w:name="_Toc24895"/>
      <w:bookmarkStart w:id="36" w:name="_Toc2204"/>
      <w:bookmarkStart w:id="37" w:name="_Toc12293"/>
      <w:bookmarkStart w:id="38" w:name="_Toc28730"/>
      <w:bookmarkStart w:id="39" w:name="_Toc29699"/>
      <w:bookmarkStart w:id="40" w:name="_Toc1510"/>
      <w:bookmarkStart w:id="41" w:name="_Toc22277"/>
      <w:r>
        <w:rPr>
          <w:color w:val="auto"/>
          <w:highlight w:val="none"/>
        </w:rPr>
        <w:t>数据质量标准</w:t>
      </w:r>
    </w:p>
    <w:p w14:paraId="10C9152A">
      <w:pPr>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乙方承诺按照以下标准提供数据（可参照有关标准从数据规范性、完整性、准确性、一致性、时效性、可访问性等方面约定数据质量，也可另行在合同附件中说明）。</w:t>
      </w:r>
    </w:p>
    <w:p w14:paraId="41A6F79A">
      <w:pPr>
        <w:pStyle w:val="2"/>
        <w:ind w:left="0"/>
        <w:rPr>
          <w:color w:val="auto"/>
          <w:highlight w:val="none"/>
        </w:rPr>
      </w:pPr>
      <w:r>
        <w:rPr>
          <w:color w:val="auto"/>
          <w:highlight w:val="none"/>
        </w:rPr>
        <w:t>数据交付</w:t>
      </w:r>
      <w:bookmarkEnd w:id="30"/>
      <w:bookmarkEnd w:id="31"/>
      <w:bookmarkEnd w:id="32"/>
      <w:bookmarkEnd w:id="33"/>
      <w:bookmarkEnd w:id="34"/>
      <w:bookmarkEnd w:id="35"/>
      <w:bookmarkEnd w:id="36"/>
      <w:bookmarkEnd w:id="37"/>
      <w:bookmarkEnd w:id="38"/>
      <w:r>
        <w:rPr>
          <w:color w:val="auto"/>
          <w:highlight w:val="none"/>
        </w:rPr>
        <w:t>及验收</w:t>
      </w:r>
    </w:p>
    <w:p w14:paraId="3D759B86">
      <w:pPr>
        <w:pStyle w:val="4"/>
        <w:numPr>
          <w:ilvl w:val="0"/>
          <w:numId w:val="4"/>
        </w:numPr>
        <w:ind w:left="0" w:firstLine="0"/>
        <w:rPr>
          <w:b/>
          <w:bCs/>
          <w:color w:val="auto"/>
          <w:highlight w:val="none"/>
        </w:rPr>
      </w:pPr>
      <w:r>
        <w:rPr>
          <w:b/>
          <w:bCs/>
          <w:color w:val="auto"/>
          <w:highlight w:val="none"/>
        </w:rPr>
        <w:t>乙方应当</w:t>
      </w:r>
      <w:r>
        <w:rPr>
          <w:rFonts w:hint="eastAsia"/>
          <w:b/>
          <w:bCs/>
          <w:color w:val="auto"/>
          <w:highlight w:val="none"/>
        </w:rPr>
        <w:t>按以下2</w:t>
      </w:r>
      <w:r>
        <w:rPr>
          <w:b/>
          <w:bCs/>
          <w:color w:val="auto"/>
          <w:highlight w:val="none"/>
        </w:rPr>
        <w:t>种方式向甲方提供数据。</w:t>
      </w:r>
    </w:p>
    <w:p w14:paraId="63DC2F95">
      <w:pPr>
        <w:pStyle w:val="3"/>
        <w:numPr>
          <w:ilvl w:val="0"/>
          <w:numId w:val="5"/>
        </w:numPr>
        <w:spacing w:line="360" w:lineRule="auto"/>
        <w:ind w:firstLineChars="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电子交付</w:t>
      </w:r>
    </w:p>
    <w:p w14:paraId="7AE99D0B">
      <w:pPr>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通过以下方式实现数据的线上传输：</w:t>
      </w:r>
      <w:r>
        <w:rPr>
          <w:rFonts w:ascii="Times New Roman" w:hAnsi="Times New Roman" w:eastAsia="宋体" w:cs="Times New Roman"/>
          <w:color w:val="auto"/>
          <w:sz w:val="24"/>
          <w:highlight w:val="none"/>
        </w:rPr>
        <w:sym w:font="Wingdings" w:char="F0FE"/>
      </w:r>
      <w:r>
        <w:rPr>
          <w:rFonts w:ascii="Times New Roman" w:hAnsi="Times New Roman" w:eastAsia="宋体" w:cs="Times New Roman"/>
          <w:color w:val="auto"/>
          <w:sz w:val="24"/>
          <w:highlight w:val="none"/>
        </w:rPr>
        <w:t>网盘，</w:t>
      </w:r>
      <w:bookmarkStart w:id="42" w:name="OLE_LINK3"/>
      <w:bookmarkStart w:id="43" w:name="OLE_LINK6"/>
      <w:r>
        <w:rPr>
          <w:rFonts w:ascii="Times New Roman" w:hAnsi="Times New Roman" w:eastAsia="宋体" w:cs="Times New Roman"/>
          <w:color w:val="auto"/>
          <w:sz w:val="24"/>
          <w:highlight w:val="none"/>
        </w:rPr>
        <w:sym w:font="Wingdings" w:char="F06F"/>
      </w:r>
      <w:bookmarkEnd w:id="42"/>
      <w:r>
        <w:rPr>
          <w:rFonts w:ascii="Times New Roman" w:hAnsi="Times New Roman" w:eastAsia="宋体" w:cs="Times New Roman"/>
          <w:color w:val="auto"/>
          <w:sz w:val="24"/>
          <w:highlight w:val="none"/>
        </w:rPr>
        <w:t xml:space="preserve"> </w:t>
      </w:r>
      <w:bookmarkEnd w:id="43"/>
      <w:r>
        <w:rPr>
          <w:rFonts w:ascii="Times New Roman" w:hAnsi="Times New Roman" w:eastAsia="宋体" w:cs="Times New Roman"/>
          <w:color w:val="auto"/>
          <w:sz w:val="24"/>
          <w:highlight w:val="none"/>
        </w:rPr>
        <w:t>应用程序接口（API），</w:t>
      </w:r>
      <w:r>
        <w:rPr>
          <w:rFonts w:ascii="Times New Roman" w:hAnsi="Times New Roman" w:eastAsia="宋体" w:cs="Times New Roman"/>
          <w:color w:val="auto"/>
          <w:sz w:val="24"/>
          <w:highlight w:val="none"/>
        </w:rPr>
        <w:sym w:font="Wingdings" w:char="F06F"/>
      </w:r>
      <w:r>
        <w:rPr>
          <w:rFonts w:ascii="Times New Roman" w:hAnsi="Times New Roman" w:eastAsia="宋体" w:cs="Times New Roman"/>
          <w:color w:val="auto"/>
          <w:sz w:val="24"/>
          <w:highlight w:val="none"/>
        </w:rPr>
        <w:t xml:space="preserve"> 其他云端存储服务：【/】。且当数据进入双方指定用于交付的数据空间且乙方向甲方提供链接、密钥、说明文件（如有）时，视为数据交付完成。</w:t>
      </w:r>
    </w:p>
    <w:p w14:paraId="0887F88A">
      <w:pPr>
        <w:pStyle w:val="3"/>
        <w:numPr>
          <w:ilvl w:val="0"/>
          <w:numId w:val="5"/>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物理交付</w:t>
      </w:r>
    </w:p>
    <w:p w14:paraId="5A33B6AC">
      <w:pPr>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通过以下方式实现数据的离线交付：</w:t>
      </w:r>
      <w:bookmarkStart w:id="44" w:name="OLE_LINK7"/>
      <w:r>
        <w:rPr>
          <w:rFonts w:ascii="Times New Roman" w:hAnsi="Times New Roman" w:eastAsia="宋体" w:cs="Times New Roman"/>
          <w:color w:val="auto"/>
          <w:sz w:val="24"/>
          <w:highlight w:val="none"/>
        </w:rPr>
        <w:sym w:font="Wingdings" w:char="F0FE"/>
      </w:r>
      <w:r>
        <w:rPr>
          <w:rFonts w:ascii="Times New Roman" w:hAnsi="Times New Roman" w:eastAsia="宋体" w:cs="Times New Roman"/>
          <w:color w:val="auto"/>
          <w:sz w:val="24"/>
          <w:highlight w:val="none"/>
        </w:rPr>
        <w:t xml:space="preserve"> </w:t>
      </w:r>
      <w:bookmarkEnd w:id="44"/>
      <w:r>
        <w:rPr>
          <w:rFonts w:ascii="Times New Roman" w:hAnsi="Times New Roman" w:eastAsia="宋体" w:cs="Times New Roman"/>
          <w:color w:val="auto"/>
          <w:sz w:val="24"/>
          <w:highlight w:val="none"/>
        </w:rPr>
        <w:t>硬盘、光盘、U盘等存储介质，</w:t>
      </w:r>
      <w:r>
        <w:rPr>
          <w:rFonts w:ascii="Times New Roman" w:hAnsi="Times New Roman" w:eastAsia="宋体" w:cs="Times New Roman"/>
          <w:color w:val="auto"/>
          <w:sz w:val="24"/>
          <w:highlight w:val="none"/>
        </w:rPr>
        <w:sym w:font="Wingdings" w:char="F06F"/>
      </w:r>
      <w:r>
        <w:rPr>
          <w:rFonts w:ascii="Times New Roman" w:hAnsi="Times New Roman" w:eastAsia="宋体" w:cs="Times New Roman"/>
          <w:color w:val="auto"/>
          <w:sz w:val="24"/>
          <w:highlight w:val="none"/>
        </w:rPr>
        <w:t>其他：【/】。且当采用专人递送、快递、挂号信形式的，数据交付接收人签收时，视为数据交付完成。</w:t>
      </w:r>
    </w:p>
    <w:p w14:paraId="0CF3C632">
      <w:pPr>
        <w:pStyle w:val="4"/>
        <w:numPr>
          <w:ilvl w:val="0"/>
          <w:numId w:val="4"/>
        </w:numPr>
        <w:ind w:left="0" w:firstLine="0"/>
        <w:rPr>
          <w:b/>
          <w:bCs/>
          <w:color w:val="auto"/>
          <w:highlight w:val="none"/>
        </w:rPr>
      </w:pPr>
      <w:r>
        <w:rPr>
          <w:b/>
          <w:bCs/>
          <w:color w:val="auto"/>
          <w:highlight w:val="none"/>
        </w:rPr>
        <w:t>数据交付完成时间</w:t>
      </w:r>
    </w:p>
    <w:p w14:paraId="265D234C">
      <w:pPr>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自本合同第一笔款到达乙方账户之日起【10】个工作日。</w:t>
      </w:r>
    </w:p>
    <w:p w14:paraId="7BF03299">
      <w:pPr>
        <w:pStyle w:val="4"/>
        <w:numPr>
          <w:ilvl w:val="0"/>
          <w:numId w:val="4"/>
        </w:numPr>
        <w:ind w:left="0" w:firstLine="0"/>
        <w:rPr>
          <w:b/>
          <w:bCs/>
          <w:color w:val="auto"/>
          <w:highlight w:val="none"/>
        </w:rPr>
      </w:pPr>
      <w:r>
        <w:rPr>
          <w:b/>
          <w:bCs/>
          <w:color w:val="auto"/>
          <w:highlight w:val="none"/>
        </w:rPr>
        <w:t>数据验收</w:t>
      </w:r>
    </w:p>
    <w:p w14:paraId="6160C731">
      <w:pPr>
        <w:pStyle w:val="3"/>
        <w:numPr>
          <w:ilvl w:val="0"/>
          <w:numId w:val="6"/>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数据验收的检验期限为【自交付之日起20个工作日】。</w:t>
      </w:r>
    </w:p>
    <w:p w14:paraId="58C68644">
      <w:pPr>
        <w:pStyle w:val="3"/>
        <w:numPr>
          <w:ilvl w:val="0"/>
          <w:numId w:val="6"/>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甲方应在约定的检验期限内完成验收，逾期未提出异议的，视为验收合格。若甲方提出异议，则数据验收的检验期限，自甲方提出异议之日起顺延。</w:t>
      </w:r>
    </w:p>
    <w:p w14:paraId="2BD4FC57">
      <w:pPr>
        <w:pStyle w:val="3"/>
        <w:numPr>
          <w:ilvl w:val="0"/>
          <w:numId w:val="6"/>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甲方对数据提出异议的，应提供详细的书面说明，双方共同对异议内容进行核实。</w:t>
      </w:r>
    </w:p>
    <w:p w14:paraId="75EB6489">
      <w:pPr>
        <w:pStyle w:val="3"/>
        <w:numPr>
          <w:ilvl w:val="0"/>
          <w:numId w:val="6"/>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甲方在验收期内发现数据质量不符合要求，通知乙方补正的，乙方应在接到通知之日起【10】个工作日内提供修正或补充的数据以符合合同约定。</w:t>
      </w:r>
    </w:p>
    <w:p w14:paraId="36C515EA">
      <w:pPr>
        <w:pStyle w:val="3"/>
        <w:numPr>
          <w:ilvl w:val="0"/>
          <w:numId w:val="6"/>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如果乙方未按期或未按照约定质量标准补救，或补救后仍未能满足数据质量标准，甲方有权扣减相应的数据费用。</w:t>
      </w:r>
    </w:p>
    <w:p w14:paraId="37333B3B">
      <w:pPr>
        <w:pStyle w:val="4"/>
        <w:numPr>
          <w:ilvl w:val="0"/>
          <w:numId w:val="4"/>
        </w:numPr>
        <w:ind w:left="0" w:firstLine="0"/>
        <w:rPr>
          <w:b/>
          <w:bCs/>
          <w:color w:val="auto"/>
          <w:highlight w:val="none"/>
        </w:rPr>
      </w:pPr>
      <w:r>
        <w:rPr>
          <w:b/>
          <w:bCs/>
          <w:color w:val="auto"/>
          <w:highlight w:val="none"/>
        </w:rPr>
        <w:t>甲方数据交付接收人</w:t>
      </w:r>
    </w:p>
    <w:p w14:paraId="72ED13BC">
      <w:pPr>
        <w:spacing w:line="360" w:lineRule="auto"/>
        <w:ind w:firstLine="48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姓    名：；</w:t>
      </w:r>
    </w:p>
    <w:p w14:paraId="4C47BF6D">
      <w:pPr>
        <w:spacing w:line="360" w:lineRule="auto"/>
        <w:ind w:firstLine="48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职    位：；</w:t>
      </w:r>
    </w:p>
    <w:p w14:paraId="4CEF0779">
      <w:pPr>
        <w:spacing w:line="360" w:lineRule="auto"/>
        <w:ind w:firstLine="48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联系方式：；</w:t>
      </w:r>
    </w:p>
    <w:p w14:paraId="2A5CE11C">
      <w:pPr>
        <w:spacing w:line="360" w:lineRule="auto"/>
        <w:ind w:firstLine="48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电子邮箱：。</w:t>
      </w:r>
    </w:p>
    <w:bookmarkEnd w:id="39"/>
    <w:bookmarkEnd w:id="40"/>
    <w:bookmarkEnd w:id="41"/>
    <w:p w14:paraId="1897AD4D">
      <w:pPr>
        <w:pStyle w:val="2"/>
        <w:ind w:left="0"/>
        <w:rPr>
          <w:color w:val="auto"/>
          <w:highlight w:val="none"/>
        </w:rPr>
      </w:pPr>
      <w:bookmarkStart w:id="45" w:name="_Toc14476"/>
      <w:bookmarkStart w:id="46" w:name="_Toc2237"/>
      <w:bookmarkStart w:id="47" w:name="_Toc11546"/>
      <w:bookmarkStart w:id="48" w:name="_Toc30383"/>
      <w:bookmarkStart w:id="49" w:name="_Toc3070"/>
      <w:bookmarkStart w:id="50" w:name="_Toc19057"/>
      <w:bookmarkStart w:id="51" w:name="_Toc10301"/>
      <w:bookmarkStart w:id="52" w:name="_Toc32280"/>
      <w:r>
        <w:rPr>
          <w:color w:val="auto"/>
          <w:highlight w:val="none"/>
        </w:rPr>
        <w:t>甲乙双方数据产权安排及义务</w:t>
      </w:r>
    </w:p>
    <w:p w14:paraId="772A6095">
      <w:pPr>
        <w:pStyle w:val="4"/>
        <w:numPr>
          <w:ilvl w:val="0"/>
          <w:numId w:val="7"/>
        </w:numPr>
        <w:rPr>
          <w:b/>
          <w:bCs/>
          <w:color w:val="auto"/>
          <w:highlight w:val="none"/>
        </w:rPr>
      </w:pPr>
      <w:r>
        <w:rPr>
          <w:b/>
          <w:bCs/>
          <w:color w:val="auto"/>
          <w:highlight w:val="none"/>
        </w:rPr>
        <w:t>甲方权利及义务</w:t>
      </w:r>
    </w:p>
    <w:p w14:paraId="0DE02C55">
      <w:pPr>
        <w:pStyle w:val="3"/>
        <w:numPr>
          <w:ilvl w:val="0"/>
          <w:numId w:val="8"/>
        </w:numPr>
        <w:spacing w:line="360" w:lineRule="auto"/>
        <w:ind w:firstLineChars="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甲方确保其使用数据的行为不侵害乙方或任何第三方的合法权益。</w:t>
      </w:r>
    </w:p>
    <w:p w14:paraId="6C1165AF">
      <w:pPr>
        <w:pStyle w:val="3"/>
        <w:numPr>
          <w:ilvl w:val="0"/>
          <w:numId w:val="8"/>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甲方按照法律规定和本合同约定保障数据安全。</w:t>
      </w:r>
    </w:p>
    <w:p w14:paraId="18367B6A">
      <w:pPr>
        <w:pStyle w:val="3"/>
        <w:numPr>
          <w:ilvl w:val="0"/>
          <w:numId w:val="8"/>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甲方应按照合同约定，在乙方履行合同约定后支付相关费用。</w:t>
      </w:r>
    </w:p>
    <w:p w14:paraId="59440D5E">
      <w:pPr>
        <w:pStyle w:val="3"/>
        <w:numPr>
          <w:ilvl w:val="0"/>
          <w:numId w:val="8"/>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甲方从乙方获取的标的数据进行处理后形成的不包含标的数据的衍生数据，其产权归属于甲方，甲方有权自行决定使用方式和范围</w:t>
      </w:r>
      <w:r>
        <w:rPr>
          <w:rFonts w:hint="eastAsia" w:ascii="Times New Roman" w:hAnsi="Times New Roman" w:eastAsia="宋体" w:cs="Times New Roman"/>
          <w:color w:val="auto"/>
          <w:sz w:val="24"/>
          <w:highlight w:val="none"/>
        </w:rPr>
        <w:t>，乙方不得将标的数据透露给第三方</w:t>
      </w:r>
      <w:r>
        <w:rPr>
          <w:rFonts w:ascii="Times New Roman" w:hAnsi="Times New Roman" w:eastAsia="宋体" w:cs="Times New Roman"/>
          <w:color w:val="auto"/>
          <w:sz w:val="24"/>
          <w:highlight w:val="none"/>
        </w:rPr>
        <w:t>。</w:t>
      </w:r>
    </w:p>
    <w:p w14:paraId="2F0D49BD">
      <w:pPr>
        <w:pStyle w:val="4"/>
        <w:numPr>
          <w:ilvl w:val="0"/>
          <w:numId w:val="7"/>
        </w:numPr>
        <w:rPr>
          <w:b/>
          <w:bCs/>
          <w:color w:val="auto"/>
          <w:highlight w:val="none"/>
        </w:rPr>
      </w:pPr>
      <w:r>
        <w:rPr>
          <w:b/>
          <w:bCs/>
          <w:color w:val="auto"/>
          <w:highlight w:val="none"/>
        </w:rPr>
        <w:t>乙方权利及义务</w:t>
      </w:r>
    </w:p>
    <w:p w14:paraId="3E2507E3">
      <w:pPr>
        <w:pStyle w:val="3"/>
        <w:numPr>
          <w:ilvl w:val="0"/>
          <w:numId w:val="9"/>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乙方确保其提供的数据已获得数据源方的合法授权，具备标的数据的合法经营权限。</w:t>
      </w:r>
    </w:p>
    <w:p w14:paraId="4C00A4A6">
      <w:pPr>
        <w:pStyle w:val="3"/>
        <w:numPr>
          <w:ilvl w:val="0"/>
          <w:numId w:val="9"/>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乙方保障其提供数据的行为不侵害甲方或任何第三方的合法权益。</w:t>
      </w:r>
    </w:p>
    <w:p w14:paraId="4FB93F02">
      <w:pPr>
        <w:pStyle w:val="3"/>
        <w:numPr>
          <w:ilvl w:val="0"/>
          <w:numId w:val="9"/>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乙方采取合理的技术和管理措施，保障数据在提供和传输过程中的安全。</w:t>
      </w:r>
    </w:p>
    <w:p w14:paraId="19EC4AF6">
      <w:pPr>
        <w:pStyle w:val="3"/>
        <w:numPr>
          <w:ilvl w:val="0"/>
          <w:numId w:val="9"/>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若乙方发现甲方违规向第三方销售乙方提供标的数据，有权向甲方及第三方提出赔偿。</w:t>
      </w:r>
    </w:p>
    <w:bookmarkEnd w:id="45"/>
    <w:bookmarkEnd w:id="46"/>
    <w:bookmarkEnd w:id="47"/>
    <w:bookmarkEnd w:id="48"/>
    <w:bookmarkEnd w:id="49"/>
    <w:bookmarkEnd w:id="50"/>
    <w:bookmarkEnd w:id="51"/>
    <w:bookmarkEnd w:id="52"/>
    <w:p w14:paraId="2F224C30">
      <w:pPr>
        <w:pStyle w:val="2"/>
        <w:ind w:left="0"/>
        <w:rPr>
          <w:color w:val="auto"/>
          <w:highlight w:val="none"/>
        </w:rPr>
      </w:pPr>
      <w:bookmarkStart w:id="53" w:name="_Toc26310"/>
      <w:bookmarkStart w:id="54" w:name="_Toc8249"/>
      <w:bookmarkStart w:id="55" w:name="_Toc5261"/>
      <w:r>
        <w:rPr>
          <w:color w:val="auto"/>
          <w:highlight w:val="none"/>
        </w:rPr>
        <w:t>费用支付</w:t>
      </w:r>
      <w:bookmarkEnd w:id="53"/>
      <w:bookmarkEnd w:id="54"/>
      <w:bookmarkEnd w:id="55"/>
    </w:p>
    <w:p w14:paraId="5E91B90B">
      <w:pPr>
        <w:pStyle w:val="4"/>
        <w:numPr>
          <w:ilvl w:val="0"/>
          <w:numId w:val="10"/>
        </w:numPr>
        <w:rPr>
          <w:b/>
          <w:bCs/>
          <w:color w:val="auto"/>
          <w:highlight w:val="none"/>
        </w:rPr>
      </w:pPr>
      <w:r>
        <w:rPr>
          <w:b/>
          <w:bCs/>
          <w:color w:val="auto"/>
          <w:highlight w:val="none"/>
        </w:rPr>
        <w:t>费用计算（含税）</w:t>
      </w:r>
    </w:p>
    <w:p w14:paraId="51D19B96">
      <w:pPr>
        <w:spacing w:line="360" w:lineRule="auto"/>
        <w:ind w:firstLine="48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甲乙双方确认按照以下第【1】种方式计算费用。</w:t>
      </w:r>
    </w:p>
    <w:p w14:paraId="714AB4A3">
      <w:pPr>
        <w:pStyle w:val="3"/>
        <w:numPr>
          <w:ilvl w:val="0"/>
          <w:numId w:val="11"/>
        </w:numPr>
        <w:spacing w:line="360" w:lineRule="auto"/>
        <w:ind w:left="0" w:firstLine="48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固定价格：甲方应向乙方支付费用总额</w:t>
      </w:r>
      <w:r>
        <w:rPr>
          <w:rFonts w:hint="eastAsia" w:ascii="Times New Roman" w:hAnsi="Times New Roman" w:eastAsia="宋体" w:cs="Times New Roman"/>
          <w:color w:val="auto"/>
          <w:sz w:val="24"/>
          <w:highlight w:val="none"/>
          <w:lang w:eastAsia="zh-CN"/>
        </w:rPr>
        <w:t>（含增值税等税费）</w:t>
      </w:r>
      <w:r>
        <w:rPr>
          <w:rFonts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 xml:space="preserve">     </w:t>
      </w:r>
      <w:r>
        <w:rPr>
          <w:rFonts w:ascii="Times New Roman" w:hAnsi="Times New Roman" w:eastAsia="宋体" w:cs="Times New Roman"/>
          <w:color w:val="auto"/>
          <w:sz w:val="24"/>
          <w:highlight w:val="none"/>
        </w:rPr>
        <w:t>】（大写：人民币【</w:t>
      </w:r>
      <w:r>
        <w:rPr>
          <w:rFonts w:hint="eastAsia" w:ascii="Times New Roman" w:hAnsi="Times New Roman" w:eastAsia="宋体" w:cs="Times New Roman"/>
          <w:color w:val="auto"/>
          <w:sz w:val="24"/>
          <w:highlight w:val="none"/>
          <w:lang w:val="en-US" w:eastAsia="zh-CN"/>
        </w:rPr>
        <w:t xml:space="preserve">   </w:t>
      </w:r>
      <w:r>
        <w:rPr>
          <w:rFonts w:ascii="Times New Roman" w:hAnsi="Times New Roman" w:eastAsia="宋体" w:cs="Times New Roman"/>
          <w:color w:val="auto"/>
          <w:sz w:val="24"/>
          <w:highlight w:val="none"/>
        </w:rPr>
        <w:t>】）。</w:t>
      </w:r>
    </w:p>
    <w:p w14:paraId="5A00C7AD">
      <w:pPr>
        <w:pStyle w:val="3"/>
        <w:numPr>
          <w:ilvl w:val="0"/>
          <w:numId w:val="11"/>
        </w:numPr>
        <w:spacing w:line="360" w:lineRule="auto"/>
        <w:ind w:left="0" w:firstLine="48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按量定价：按实际使用量计费，甲方按照如下标准向乙方支付费用：【/】。</w:t>
      </w:r>
    </w:p>
    <w:p w14:paraId="4542EBB8">
      <w:pPr>
        <w:pStyle w:val="4"/>
        <w:numPr>
          <w:ilvl w:val="0"/>
          <w:numId w:val="10"/>
        </w:numPr>
        <w:rPr>
          <w:b/>
          <w:bCs/>
          <w:color w:val="auto"/>
          <w:highlight w:val="none"/>
        </w:rPr>
      </w:pPr>
      <w:r>
        <w:rPr>
          <w:b/>
          <w:bCs/>
          <w:color w:val="auto"/>
          <w:highlight w:val="none"/>
        </w:rPr>
        <w:t>支付方式</w:t>
      </w:r>
    </w:p>
    <w:p w14:paraId="23DC4CD4">
      <w:pPr>
        <w:spacing w:line="360" w:lineRule="auto"/>
        <w:ind w:firstLine="480"/>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乙方知晓甲方与业主签订的主合同《东莞市货车专用停车场规划研究》（以下简称“主合同”），乙方充分理解本项目主合同的资金支付情况。作为主合同的外协合同，双方同意按主合同进度进行资金支付，即甲方按主合同进度收到业主相应款项且甲方收到乙方开具的合法有效的增值税专用发票后，按以下进度进行付款：</w:t>
      </w:r>
    </w:p>
    <w:p w14:paraId="333B240A">
      <w:pPr>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第一笔：合同签订之日起【</w:t>
      </w:r>
      <w:r>
        <w:rPr>
          <w:rFonts w:hint="eastAsia" w:ascii="Times New Roman" w:hAnsi="Times New Roman" w:eastAsia="宋体" w:cs="Times New Roman"/>
          <w:color w:val="auto"/>
          <w:sz w:val="24"/>
          <w:highlight w:val="none"/>
        </w:rPr>
        <w:t>2</w:t>
      </w:r>
      <w:r>
        <w:rPr>
          <w:rFonts w:ascii="Times New Roman" w:hAnsi="Times New Roman" w:eastAsia="宋体" w:cs="Times New Roman"/>
          <w:color w:val="auto"/>
          <w:sz w:val="24"/>
          <w:highlight w:val="none"/>
        </w:rPr>
        <w:t>0】个工作日内，甲方向乙方支付¥</w:t>
      </w:r>
      <w:r>
        <w:rPr>
          <w:rFonts w:hint="eastAsia" w:ascii="Times New Roman" w:hAnsi="Times New Roman" w:eastAsia="宋体" w:cs="Times New Roman"/>
          <w:color w:val="auto"/>
          <w:sz w:val="24"/>
          <w:highlight w:val="none"/>
          <w:lang w:val="en-US" w:eastAsia="zh-CN"/>
        </w:rPr>
        <w:t xml:space="preserve">    </w:t>
      </w:r>
      <w:r>
        <w:rPr>
          <w:rFonts w:hint="eastAsia" w:ascii="Times New Roman" w:hAnsi="Times New Roman" w:eastAsia="宋体" w:cs="Times New Roman"/>
          <w:color w:val="auto"/>
          <w:sz w:val="24"/>
          <w:highlight w:val="none"/>
        </w:rPr>
        <w:t>，</w:t>
      </w:r>
      <w:r>
        <w:rPr>
          <w:rFonts w:ascii="Times New Roman" w:hAnsi="Times New Roman" w:eastAsia="宋体" w:cs="Times New Roman"/>
          <w:color w:val="auto"/>
          <w:sz w:val="24"/>
          <w:highlight w:val="none"/>
        </w:rPr>
        <w:t>（大写：人民币【</w:t>
      </w:r>
      <w:r>
        <w:rPr>
          <w:rFonts w:hint="eastAsia" w:ascii="Times New Roman" w:hAnsi="Times New Roman" w:eastAsia="宋体" w:cs="Times New Roman"/>
          <w:color w:val="auto"/>
          <w:sz w:val="24"/>
          <w:highlight w:val="none"/>
          <w:lang w:val="en-US" w:eastAsia="zh-CN"/>
        </w:rPr>
        <w:t xml:space="preserve">    </w:t>
      </w:r>
      <w:r>
        <w:rPr>
          <w:rFonts w:ascii="Times New Roman" w:hAnsi="Times New Roman" w:eastAsia="宋体" w:cs="Times New Roman"/>
          <w:color w:val="auto"/>
          <w:sz w:val="24"/>
          <w:highlight w:val="none"/>
        </w:rPr>
        <w:t>】）。</w:t>
      </w:r>
    </w:p>
    <w:p w14:paraId="01C2155C">
      <w:pPr>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第二笔：</w:t>
      </w:r>
      <w:r>
        <w:rPr>
          <w:rFonts w:hint="eastAsia" w:ascii="Times New Roman" w:hAnsi="Times New Roman" w:eastAsia="宋体" w:cs="Times New Roman"/>
          <w:color w:val="auto"/>
          <w:sz w:val="24"/>
          <w:highlight w:val="none"/>
        </w:rPr>
        <w:t>数据全部交付并经甲方验收合格，且甲方收到业主第二期款项后</w:t>
      </w:r>
      <w:r>
        <w:rPr>
          <w:rFonts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rPr>
        <w:t>20</w:t>
      </w:r>
      <w:r>
        <w:rPr>
          <w:rFonts w:ascii="Times New Roman" w:hAnsi="Times New Roman" w:eastAsia="宋体" w:cs="Times New Roman"/>
          <w:color w:val="auto"/>
          <w:sz w:val="24"/>
          <w:highlight w:val="none"/>
        </w:rPr>
        <w:t>】个工作日内，甲方向乙方支付¥</w:t>
      </w:r>
      <w:r>
        <w:rPr>
          <w:rFonts w:hint="eastAsia" w:ascii="Times New Roman" w:hAnsi="Times New Roman" w:eastAsia="宋体" w:cs="Times New Roman"/>
          <w:color w:val="auto"/>
          <w:sz w:val="24"/>
          <w:highlight w:val="none"/>
          <w:lang w:val="en-US" w:eastAsia="zh-CN"/>
        </w:rPr>
        <w:t xml:space="preserve">   </w:t>
      </w:r>
      <w:r>
        <w:rPr>
          <w:rFonts w:hint="eastAsia" w:ascii="Times New Roman" w:hAnsi="Times New Roman" w:eastAsia="宋体" w:cs="Times New Roman"/>
          <w:color w:val="auto"/>
          <w:sz w:val="24"/>
          <w:highlight w:val="none"/>
        </w:rPr>
        <w:t>，</w:t>
      </w:r>
      <w:r>
        <w:rPr>
          <w:rFonts w:ascii="Times New Roman" w:hAnsi="Times New Roman" w:eastAsia="宋体" w:cs="Times New Roman"/>
          <w:color w:val="auto"/>
          <w:sz w:val="24"/>
          <w:highlight w:val="none"/>
        </w:rPr>
        <w:t>（大写：人民币【</w:t>
      </w:r>
      <w:r>
        <w:rPr>
          <w:rFonts w:hint="eastAsia" w:ascii="Times New Roman" w:hAnsi="Times New Roman" w:eastAsia="宋体" w:cs="Times New Roman"/>
          <w:color w:val="auto"/>
          <w:sz w:val="24"/>
          <w:highlight w:val="none"/>
          <w:lang w:val="en-US" w:eastAsia="zh-CN"/>
        </w:rPr>
        <w:t xml:space="preserve">   </w:t>
      </w:r>
      <w:r>
        <w:rPr>
          <w:rFonts w:ascii="Times New Roman" w:hAnsi="Times New Roman" w:eastAsia="宋体" w:cs="Times New Roman"/>
          <w:color w:val="auto"/>
          <w:sz w:val="24"/>
          <w:highlight w:val="none"/>
        </w:rPr>
        <w:t>】）。</w:t>
      </w:r>
    </w:p>
    <w:p w14:paraId="4180EBD7">
      <w:pPr>
        <w:spacing w:line="360" w:lineRule="auto"/>
        <w:ind w:firstLine="480"/>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第三笔：乙方所提交数据经甲方交付至业主并经业主确认符合条件，且甲方收到业主第三期款项后</w:t>
      </w:r>
      <w:r>
        <w:rPr>
          <w:rFonts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rPr>
        <w:t>20</w:t>
      </w:r>
      <w:r>
        <w:rPr>
          <w:rFonts w:ascii="Times New Roman" w:hAnsi="Times New Roman" w:eastAsia="宋体" w:cs="Times New Roman"/>
          <w:color w:val="auto"/>
          <w:sz w:val="24"/>
          <w:highlight w:val="none"/>
        </w:rPr>
        <w:t>】个工作日内</w:t>
      </w:r>
      <w:r>
        <w:rPr>
          <w:rFonts w:hint="eastAsia" w:ascii="Times New Roman" w:hAnsi="Times New Roman" w:eastAsia="宋体" w:cs="Times New Roman"/>
          <w:color w:val="auto"/>
          <w:sz w:val="24"/>
          <w:highlight w:val="none"/>
        </w:rPr>
        <w:t>，甲方向乙方支付</w:t>
      </w:r>
      <w:r>
        <w:rPr>
          <w:rFonts w:hint="cs"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val="en-US" w:eastAsia="zh-CN"/>
        </w:rPr>
        <w:t xml:space="preserve">   </w:t>
      </w:r>
      <w:r>
        <w:rPr>
          <w:rFonts w:hint="eastAsia" w:ascii="Times New Roman" w:hAnsi="Times New Roman" w:eastAsia="宋体" w:cs="Times New Roman"/>
          <w:color w:val="auto"/>
          <w:sz w:val="24"/>
          <w:highlight w:val="none"/>
        </w:rPr>
        <w:t>，（大写：人民币【</w:t>
      </w:r>
      <w:r>
        <w:rPr>
          <w:rFonts w:hint="eastAsia" w:ascii="Times New Roman" w:hAnsi="Times New Roman" w:eastAsia="宋体" w:cs="Times New Roman"/>
          <w:color w:val="auto"/>
          <w:sz w:val="24"/>
          <w:highlight w:val="none"/>
          <w:lang w:val="en-US" w:eastAsia="zh-CN"/>
        </w:rPr>
        <w:t xml:space="preserve">   </w:t>
      </w:r>
      <w:r>
        <w:rPr>
          <w:rFonts w:hint="eastAsia" w:ascii="Times New Roman" w:hAnsi="Times New Roman" w:eastAsia="宋体" w:cs="Times New Roman"/>
          <w:color w:val="auto"/>
          <w:sz w:val="24"/>
          <w:highlight w:val="none"/>
        </w:rPr>
        <w:t>】）。</w:t>
      </w:r>
    </w:p>
    <w:p w14:paraId="3302A801">
      <w:pPr>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第</w:t>
      </w:r>
      <w:r>
        <w:rPr>
          <w:rFonts w:hint="eastAsia" w:ascii="Times New Roman" w:hAnsi="Times New Roman" w:eastAsia="宋体" w:cs="Times New Roman"/>
          <w:color w:val="auto"/>
          <w:sz w:val="24"/>
          <w:highlight w:val="none"/>
        </w:rPr>
        <w:t>四</w:t>
      </w:r>
      <w:r>
        <w:rPr>
          <w:rFonts w:ascii="Times New Roman" w:hAnsi="Times New Roman" w:eastAsia="宋体" w:cs="Times New Roman"/>
          <w:color w:val="auto"/>
          <w:sz w:val="24"/>
          <w:highlight w:val="none"/>
        </w:rPr>
        <w:t>笔：</w:t>
      </w:r>
      <w:r>
        <w:rPr>
          <w:rFonts w:hint="eastAsia" w:ascii="Times New Roman" w:hAnsi="Times New Roman" w:eastAsia="宋体" w:cs="Times New Roman"/>
          <w:color w:val="auto"/>
          <w:sz w:val="24"/>
          <w:highlight w:val="none"/>
        </w:rPr>
        <w:t>甲方收到主合同全部款项后【20】个工作日内</w:t>
      </w:r>
      <w:r>
        <w:rPr>
          <w:rFonts w:ascii="Times New Roman" w:hAnsi="Times New Roman" w:eastAsia="宋体" w:cs="Times New Roman"/>
          <w:color w:val="auto"/>
          <w:sz w:val="24"/>
          <w:highlight w:val="none"/>
        </w:rPr>
        <w:t>，甲方向乙方支付¥</w:t>
      </w:r>
      <w:r>
        <w:rPr>
          <w:rFonts w:hint="eastAsia" w:ascii="Times New Roman" w:hAnsi="Times New Roman" w:eastAsia="宋体" w:cs="Times New Roman"/>
          <w:color w:val="auto"/>
          <w:sz w:val="24"/>
          <w:highlight w:val="none"/>
          <w:lang w:val="en-US" w:eastAsia="zh-CN"/>
        </w:rPr>
        <w:t xml:space="preserve">   </w:t>
      </w:r>
      <w:r>
        <w:rPr>
          <w:rFonts w:hint="eastAsia" w:ascii="Times New Roman" w:hAnsi="Times New Roman" w:eastAsia="宋体" w:cs="Times New Roman"/>
          <w:color w:val="auto"/>
          <w:sz w:val="24"/>
          <w:highlight w:val="none"/>
        </w:rPr>
        <w:t>，</w:t>
      </w:r>
      <w:r>
        <w:rPr>
          <w:rFonts w:ascii="Times New Roman" w:hAnsi="Times New Roman" w:eastAsia="宋体" w:cs="Times New Roman"/>
          <w:color w:val="auto"/>
          <w:sz w:val="24"/>
          <w:highlight w:val="none"/>
        </w:rPr>
        <w:t>（大写：人民币【</w:t>
      </w:r>
      <w:r>
        <w:rPr>
          <w:rFonts w:hint="eastAsia" w:ascii="Times New Roman" w:hAnsi="Times New Roman" w:eastAsia="宋体" w:cs="Times New Roman"/>
          <w:color w:val="auto"/>
          <w:sz w:val="24"/>
          <w:highlight w:val="none"/>
          <w:lang w:val="en-US" w:eastAsia="zh-CN"/>
        </w:rPr>
        <w:t xml:space="preserve">  </w:t>
      </w:r>
      <w:r>
        <w:rPr>
          <w:rFonts w:ascii="Times New Roman" w:hAnsi="Times New Roman" w:eastAsia="宋体" w:cs="Times New Roman"/>
          <w:color w:val="auto"/>
          <w:sz w:val="24"/>
          <w:highlight w:val="none"/>
        </w:rPr>
        <w:t>】）。</w:t>
      </w:r>
    </w:p>
    <w:p w14:paraId="4B846713">
      <w:pPr>
        <w:pStyle w:val="4"/>
        <w:numPr>
          <w:ilvl w:val="0"/>
          <w:numId w:val="10"/>
        </w:numPr>
        <w:ind w:left="0" w:firstLine="482" w:firstLineChars="200"/>
        <w:rPr>
          <w:color w:val="auto"/>
          <w:highlight w:val="none"/>
        </w:rPr>
      </w:pPr>
      <w:r>
        <w:rPr>
          <w:b/>
          <w:bCs/>
          <w:color w:val="auto"/>
          <w:highlight w:val="none"/>
        </w:rPr>
        <w:t>付款前，</w:t>
      </w:r>
      <w:r>
        <w:rPr>
          <w:rFonts w:hint="eastAsia"/>
          <w:color w:val="auto"/>
          <w:highlight w:val="none"/>
        </w:rPr>
        <w:t>乙方</w:t>
      </w:r>
      <w:r>
        <w:rPr>
          <w:color w:val="auto"/>
          <w:highlight w:val="none"/>
        </w:rPr>
        <w:t>应依法</w:t>
      </w:r>
      <w:r>
        <w:rPr>
          <w:rFonts w:hint="eastAsia"/>
          <w:color w:val="auto"/>
          <w:highlight w:val="none"/>
        </w:rPr>
        <w:t>向甲方提供税率为【</w:t>
      </w:r>
      <w:r>
        <w:rPr>
          <w:rFonts w:hint="eastAsia"/>
          <w:color w:val="auto"/>
          <w:highlight w:val="none"/>
          <w:lang w:val="en-US" w:eastAsia="zh-CN"/>
        </w:rPr>
        <w:t xml:space="preserve">  </w:t>
      </w:r>
      <w:r>
        <w:rPr>
          <w:rFonts w:hint="eastAsia"/>
          <w:color w:val="auto"/>
          <w:highlight w:val="none"/>
        </w:rPr>
        <w:t>】%的</w:t>
      </w:r>
      <w:r>
        <w:rPr>
          <w:color w:val="auto"/>
          <w:highlight w:val="none"/>
        </w:rPr>
        <w:t>等额有效增值税专用发票</w:t>
      </w:r>
      <w:r>
        <w:rPr>
          <w:rFonts w:hint="eastAsia"/>
          <w:color w:val="auto"/>
          <w:highlight w:val="none"/>
        </w:rPr>
        <w:t>，及甲方要求提供的支付所需材料等资料，且发票名称必须与乙方完全一致，否则甲方有权拒绝付款。如因乙方怠于或者拒绝提供资料或者办理手续等乙方原因导致的付款迟延，甲方不以违约论，乙方不得因此影响合同的履行。甲方支付的款项以到达乙方以下收款账户之日视为收讫，如乙方需变更以下收款账号的，须于变更前十日以书面形式通知甲方，否则造成的一切后果由乙方自行承担。</w:t>
      </w:r>
    </w:p>
    <w:p w14:paraId="3173113B">
      <w:pPr>
        <w:pStyle w:val="4"/>
        <w:numPr>
          <w:ilvl w:val="0"/>
          <w:numId w:val="10"/>
        </w:numPr>
        <w:rPr>
          <w:b/>
          <w:bCs/>
          <w:color w:val="auto"/>
          <w:highlight w:val="none"/>
        </w:rPr>
      </w:pPr>
      <w:r>
        <w:rPr>
          <w:b/>
          <w:bCs/>
          <w:color w:val="auto"/>
          <w:highlight w:val="none"/>
        </w:rPr>
        <w:t>乙方收款账户信息</w:t>
      </w:r>
    </w:p>
    <w:p w14:paraId="2668C94B">
      <w:pPr>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账户名称：【</w:t>
      </w:r>
      <w:r>
        <w:rPr>
          <w:rFonts w:hint="eastAsia" w:ascii="Times New Roman" w:hAnsi="Times New Roman" w:eastAsia="宋体" w:cs="Times New Roman"/>
          <w:color w:val="auto"/>
          <w:sz w:val="24"/>
          <w:highlight w:val="none"/>
          <w:lang w:val="en-US" w:eastAsia="zh-CN"/>
        </w:rPr>
        <w:t xml:space="preserve">   </w:t>
      </w:r>
      <w:r>
        <w:rPr>
          <w:rFonts w:ascii="Times New Roman" w:hAnsi="Times New Roman" w:eastAsia="宋体" w:cs="Times New Roman"/>
          <w:color w:val="auto"/>
          <w:sz w:val="24"/>
          <w:highlight w:val="none"/>
        </w:rPr>
        <w:t>】；</w:t>
      </w:r>
    </w:p>
    <w:p w14:paraId="1CFF1951">
      <w:pPr>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开户银行：【</w:t>
      </w:r>
      <w:r>
        <w:rPr>
          <w:rFonts w:hint="eastAsia" w:ascii="Times New Roman" w:hAnsi="Times New Roman" w:eastAsia="宋体" w:cs="Times New Roman"/>
          <w:color w:val="auto"/>
          <w:sz w:val="24"/>
          <w:highlight w:val="none"/>
          <w:lang w:val="en-US" w:eastAsia="zh-CN"/>
        </w:rPr>
        <w:t xml:space="preserve">   </w:t>
      </w:r>
      <w:r>
        <w:rPr>
          <w:rFonts w:ascii="Times New Roman" w:hAnsi="Times New Roman" w:eastAsia="宋体" w:cs="Times New Roman"/>
          <w:color w:val="auto"/>
          <w:sz w:val="24"/>
          <w:highlight w:val="none"/>
        </w:rPr>
        <w:t>】；</w:t>
      </w:r>
    </w:p>
    <w:p w14:paraId="017AEE74">
      <w:pPr>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账    号：【</w:t>
      </w:r>
      <w:r>
        <w:rPr>
          <w:rFonts w:hint="eastAsia" w:ascii="Times New Roman" w:hAnsi="Times New Roman" w:eastAsia="宋体" w:cs="Times New Roman"/>
          <w:color w:val="auto"/>
          <w:sz w:val="24"/>
          <w:highlight w:val="none"/>
          <w:lang w:val="en-US" w:eastAsia="zh-CN"/>
        </w:rPr>
        <w:t xml:space="preserve">   </w:t>
      </w:r>
      <w:r>
        <w:rPr>
          <w:rFonts w:ascii="Times New Roman" w:hAnsi="Times New Roman" w:eastAsia="宋体" w:cs="Times New Roman"/>
          <w:color w:val="auto"/>
          <w:sz w:val="24"/>
          <w:highlight w:val="none"/>
        </w:rPr>
        <w:t>】。</w:t>
      </w:r>
    </w:p>
    <w:p w14:paraId="641A8A31">
      <w:pPr>
        <w:pStyle w:val="4"/>
        <w:numPr>
          <w:ilvl w:val="0"/>
          <w:numId w:val="10"/>
        </w:numPr>
        <w:rPr>
          <w:b/>
          <w:bCs/>
          <w:color w:val="auto"/>
          <w:highlight w:val="none"/>
        </w:rPr>
      </w:pPr>
      <w:r>
        <w:rPr>
          <w:b/>
          <w:bCs/>
          <w:color w:val="auto"/>
          <w:highlight w:val="none"/>
        </w:rPr>
        <w:t>甲方开票信息</w:t>
      </w:r>
    </w:p>
    <w:p w14:paraId="69346087">
      <w:pPr>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公司名称：【</w:t>
      </w:r>
      <w:r>
        <w:rPr>
          <w:rFonts w:hint="eastAsia" w:ascii="Times New Roman" w:hAnsi="Times New Roman" w:eastAsia="宋体" w:cs="Times New Roman"/>
          <w:color w:val="auto"/>
          <w:sz w:val="24"/>
          <w:highlight w:val="none"/>
        </w:rPr>
        <w:t>东莞市规划设计研究院有限公司</w:t>
      </w:r>
      <w:r>
        <w:rPr>
          <w:rFonts w:ascii="Times New Roman" w:hAnsi="Times New Roman" w:eastAsia="宋体" w:cs="Times New Roman"/>
          <w:color w:val="auto"/>
          <w:sz w:val="24"/>
          <w:highlight w:val="none"/>
        </w:rPr>
        <w:t>】；</w:t>
      </w:r>
    </w:p>
    <w:p w14:paraId="19680179">
      <w:pPr>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纳税人识别号：【914419004572360054】；</w:t>
      </w:r>
    </w:p>
    <w:p w14:paraId="460D3E0C">
      <w:pPr>
        <w:spacing w:line="360" w:lineRule="auto"/>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地    址：【</w:t>
      </w:r>
      <w:r>
        <w:rPr>
          <w:rFonts w:hint="eastAsia" w:ascii="Times New Roman" w:hAnsi="Times New Roman" w:eastAsia="宋体" w:cs="Times New Roman"/>
          <w:color w:val="auto"/>
          <w:sz w:val="24"/>
          <w:highlight w:val="none"/>
        </w:rPr>
        <w:t>广东省东莞市莞城街道汇峰路1号汇峰中心1号楼1单元1001室</w:t>
      </w:r>
      <w:r>
        <w:rPr>
          <w:rFonts w:ascii="Times New Roman" w:hAnsi="Times New Roman" w:eastAsia="宋体" w:cs="Times New Roman"/>
          <w:color w:val="auto"/>
          <w:sz w:val="24"/>
          <w:highlight w:val="none"/>
        </w:rPr>
        <w:t>】；</w:t>
      </w:r>
    </w:p>
    <w:p w14:paraId="051229F4">
      <w:pPr>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联系电话：【</w:t>
      </w:r>
      <w:r>
        <w:rPr>
          <w:rFonts w:hint="eastAsia" w:ascii="Times New Roman" w:hAnsi="Times New Roman" w:eastAsia="宋体" w:cs="Times New Roman"/>
          <w:color w:val="auto"/>
          <w:sz w:val="24"/>
          <w:highlight w:val="none"/>
        </w:rPr>
        <w:t>0769-22388022</w:t>
      </w:r>
      <w:r>
        <w:rPr>
          <w:rFonts w:ascii="Times New Roman" w:hAnsi="Times New Roman" w:eastAsia="宋体" w:cs="Times New Roman"/>
          <w:color w:val="auto"/>
          <w:sz w:val="24"/>
          <w:highlight w:val="none"/>
        </w:rPr>
        <w:t>】；</w:t>
      </w:r>
    </w:p>
    <w:p w14:paraId="24E03615">
      <w:pPr>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开户银行：【</w:t>
      </w:r>
      <w:r>
        <w:rPr>
          <w:rFonts w:hint="eastAsia" w:ascii="Times New Roman" w:hAnsi="Times New Roman" w:eastAsia="宋体" w:cs="Times New Roman"/>
          <w:color w:val="auto"/>
          <w:sz w:val="24"/>
          <w:highlight w:val="none"/>
        </w:rPr>
        <w:t>中国工商银行东莞南城阳光支行</w:t>
      </w:r>
      <w:r>
        <w:rPr>
          <w:rFonts w:ascii="Times New Roman" w:hAnsi="Times New Roman" w:eastAsia="宋体" w:cs="Times New Roman"/>
          <w:color w:val="auto"/>
          <w:sz w:val="24"/>
          <w:highlight w:val="none"/>
        </w:rPr>
        <w:t>】；</w:t>
      </w:r>
    </w:p>
    <w:p w14:paraId="48877F32">
      <w:pPr>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账    号：【2010022609000000380】。</w:t>
      </w:r>
    </w:p>
    <w:p w14:paraId="51B3A984">
      <w:pPr>
        <w:pStyle w:val="2"/>
        <w:ind w:left="0"/>
        <w:rPr>
          <w:color w:val="auto"/>
          <w:highlight w:val="none"/>
        </w:rPr>
      </w:pPr>
      <w:bookmarkStart w:id="56" w:name="_Toc1241"/>
      <w:bookmarkStart w:id="57" w:name="_Toc28166"/>
      <w:bookmarkStart w:id="58" w:name="_Toc14250"/>
      <w:r>
        <w:rPr>
          <w:color w:val="auto"/>
          <w:highlight w:val="none"/>
        </w:rPr>
        <w:t>数据交付的风险负担</w:t>
      </w:r>
      <w:bookmarkEnd w:id="56"/>
      <w:bookmarkEnd w:id="57"/>
      <w:bookmarkEnd w:id="58"/>
    </w:p>
    <w:p w14:paraId="747B1E2B">
      <w:pPr>
        <w:spacing w:line="360" w:lineRule="auto"/>
        <w:ind w:firstLine="48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标的数据因不可归责于甲乙双方的事由而意外损毁、灭失的风险，以及第三人泄露数据导致数据不具有可交易性的风险，在标的数据交付之前由乙方承担，交付之后由</w:t>
      </w:r>
      <w:r>
        <w:rPr>
          <w:rFonts w:ascii="Times New Roman" w:hAnsi="Times New Roman" w:eastAsia="宋体" w:cs="Times New Roman"/>
          <w:snapToGrid w:val="0"/>
          <w:color w:val="auto"/>
          <w:spacing w:val="-2"/>
          <w:kern w:val="0"/>
          <w:sz w:val="24"/>
          <w:highlight w:val="none"/>
        </w:rPr>
        <w:t>甲方</w:t>
      </w:r>
      <w:r>
        <w:rPr>
          <w:rFonts w:ascii="Times New Roman" w:hAnsi="Times New Roman" w:eastAsia="宋体" w:cs="Times New Roman"/>
          <w:color w:val="auto"/>
          <w:sz w:val="24"/>
          <w:highlight w:val="none"/>
        </w:rPr>
        <w:t>承担。</w:t>
      </w:r>
    </w:p>
    <w:p w14:paraId="32414312">
      <w:pPr>
        <w:pStyle w:val="2"/>
        <w:ind w:left="0"/>
        <w:rPr>
          <w:color w:val="auto"/>
          <w:highlight w:val="none"/>
        </w:rPr>
      </w:pPr>
      <w:bookmarkStart w:id="59" w:name="_Toc10522"/>
      <w:bookmarkStart w:id="60" w:name="_Toc2699"/>
      <w:bookmarkStart w:id="61" w:name="_Toc13870"/>
      <w:bookmarkStart w:id="62" w:name="_Toc26511"/>
      <w:bookmarkStart w:id="63" w:name="_Toc17236"/>
      <w:bookmarkStart w:id="64" w:name="_Toc9341"/>
      <w:bookmarkStart w:id="65" w:name="_Toc31861"/>
      <w:bookmarkStart w:id="66" w:name="_Toc27964"/>
      <w:bookmarkStart w:id="67" w:name="_Toc31915"/>
      <w:r>
        <w:rPr>
          <w:color w:val="auto"/>
          <w:highlight w:val="none"/>
        </w:rPr>
        <w:t>知识产权</w:t>
      </w:r>
      <w:bookmarkEnd w:id="59"/>
      <w:bookmarkEnd w:id="60"/>
      <w:bookmarkEnd w:id="61"/>
      <w:bookmarkEnd w:id="62"/>
      <w:bookmarkEnd w:id="63"/>
      <w:bookmarkEnd w:id="64"/>
      <w:r>
        <w:rPr>
          <w:color w:val="auto"/>
          <w:highlight w:val="none"/>
        </w:rPr>
        <w:t>与商业秘密</w:t>
      </w:r>
      <w:bookmarkEnd w:id="65"/>
      <w:bookmarkEnd w:id="66"/>
      <w:bookmarkEnd w:id="67"/>
    </w:p>
    <w:p w14:paraId="0CB6CF4D">
      <w:pPr>
        <w:pStyle w:val="3"/>
        <w:numPr>
          <w:ilvl w:val="0"/>
          <w:numId w:val="12"/>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在本合同执行的过程中，如果任何产品或服务（包括但不限于软件、数据库、信息系统、服务器、算法、模型等）涉及本合同当事人或任何第三方的知识产权或商业秘密：</w:t>
      </w:r>
    </w:p>
    <w:p w14:paraId="5C3B7491">
      <w:pPr>
        <w:snapToGrid w:val="0"/>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（1）各方应确保己方所提供的产品或服务不侵害任何第三方的合法权益；</w:t>
      </w:r>
    </w:p>
    <w:p w14:paraId="6FF3D655">
      <w:pPr>
        <w:snapToGrid w:val="0"/>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（2）各方应尊重对方所提供的产品或服务中对方或第三方权利人的知识产权和商业秘密，并确保不实施任何侵害对方或第三方权利人的知识产权和商业秘密的行为。</w:t>
      </w:r>
    </w:p>
    <w:p w14:paraId="78727E26">
      <w:pPr>
        <w:pStyle w:val="3"/>
        <w:numPr>
          <w:ilvl w:val="0"/>
          <w:numId w:val="12"/>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一方侵犯知识产权、商业秘密造成对方损失或需对第三方承担赔偿责任的，受害方有权要求侵权方承担相应赔偿责任。</w:t>
      </w:r>
    </w:p>
    <w:p w14:paraId="5B5E80FF">
      <w:pPr>
        <w:pStyle w:val="2"/>
        <w:ind w:left="0"/>
        <w:rPr>
          <w:color w:val="auto"/>
          <w:highlight w:val="none"/>
        </w:rPr>
      </w:pPr>
      <w:bookmarkStart w:id="68" w:name="_Toc14608"/>
      <w:bookmarkStart w:id="69" w:name="_Toc11885"/>
      <w:bookmarkStart w:id="70" w:name="_Toc5384"/>
      <w:bookmarkStart w:id="71" w:name="_Toc28234"/>
      <w:bookmarkStart w:id="72" w:name="_Toc32369"/>
      <w:bookmarkStart w:id="73" w:name="_Toc3833"/>
      <w:r>
        <w:rPr>
          <w:color w:val="auto"/>
          <w:highlight w:val="none"/>
        </w:rPr>
        <w:t>保密要求</w:t>
      </w:r>
      <w:bookmarkEnd w:id="68"/>
      <w:bookmarkEnd w:id="69"/>
      <w:bookmarkEnd w:id="70"/>
      <w:bookmarkEnd w:id="71"/>
      <w:bookmarkEnd w:id="72"/>
      <w:bookmarkEnd w:id="73"/>
    </w:p>
    <w:p w14:paraId="5387A6F4">
      <w:pPr>
        <w:pStyle w:val="3"/>
        <w:snapToGrid w:val="0"/>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各方对订立合同过程中知悉的对方的商业秘密（包括技术信息和经营信息）及双方约定的其他保密信息，无论本合同是否成立，均不得泄露或者不正当使用，直至相关信息经合法渠道成为公开信息。</w:t>
      </w:r>
    </w:p>
    <w:p w14:paraId="161CC333">
      <w:pPr>
        <w:pStyle w:val="2"/>
        <w:ind w:left="0"/>
        <w:rPr>
          <w:color w:val="auto"/>
          <w:highlight w:val="none"/>
        </w:rPr>
      </w:pPr>
      <w:bookmarkStart w:id="74" w:name="_Toc15241"/>
      <w:bookmarkStart w:id="75" w:name="_Toc19198"/>
      <w:bookmarkStart w:id="76" w:name="_Toc16048"/>
      <w:bookmarkStart w:id="77" w:name="_Toc4833"/>
      <w:bookmarkStart w:id="78" w:name="_Toc9650"/>
      <w:bookmarkStart w:id="79" w:name="_Toc30967"/>
      <w:bookmarkStart w:id="80" w:name="_Toc28872"/>
      <w:bookmarkStart w:id="81" w:name="_Toc2898"/>
      <w:bookmarkStart w:id="82" w:name="_Toc20969"/>
      <w:r>
        <w:rPr>
          <w:color w:val="auto"/>
          <w:highlight w:val="none"/>
        </w:rPr>
        <w:t>数据安全</w:t>
      </w:r>
      <w:bookmarkEnd w:id="74"/>
      <w:bookmarkEnd w:id="75"/>
      <w:bookmarkEnd w:id="76"/>
      <w:bookmarkEnd w:id="77"/>
      <w:bookmarkEnd w:id="78"/>
      <w:bookmarkEnd w:id="79"/>
      <w:bookmarkEnd w:id="80"/>
      <w:r>
        <w:rPr>
          <w:color w:val="auto"/>
          <w:highlight w:val="none"/>
        </w:rPr>
        <w:t>要求</w:t>
      </w:r>
      <w:bookmarkEnd w:id="81"/>
      <w:bookmarkEnd w:id="82"/>
    </w:p>
    <w:p w14:paraId="687925DC">
      <w:pPr>
        <w:pStyle w:val="3"/>
        <w:numPr>
          <w:ilvl w:val="0"/>
          <w:numId w:val="13"/>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各方应当严格依据《中华人民共和国数据安全法》、《中华人民共和国个人信息保护法》、《中华人民共和国网络安全法》、《网络数据安全管理条例》以及其他适用的法律法规处理标的数据。</w:t>
      </w:r>
    </w:p>
    <w:p w14:paraId="0AAE5AD1">
      <w:pPr>
        <w:pStyle w:val="3"/>
        <w:numPr>
          <w:ilvl w:val="0"/>
          <w:numId w:val="13"/>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各方均应采取必要的技术和管理措施，保障数据安全，防止数据泄露、丢失或被非法访问。在发生数据泄露或其他安全事件时，当事人应立即采取补救措施，减轻损害后果，并及时向相对方通报事件详情和所采取的应急措施。</w:t>
      </w:r>
    </w:p>
    <w:p w14:paraId="5DDEBAFF">
      <w:pPr>
        <w:pStyle w:val="3"/>
        <w:numPr>
          <w:ilvl w:val="0"/>
          <w:numId w:val="13"/>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标的数据的提供过程涉及跨境传输的，应依照数据跨境流动相关法律法规或政策规定办理，各方负有相互配合的义务。</w:t>
      </w:r>
    </w:p>
    <w:p w14:paraId="44B8B5E2">
      <w:pPr>
        <w:pStyle w:val="2"/>
        <w:ind w:left="0"/>
        <w:rPr>
          <w:color w:val="auto"/>
          <w:highlight w:val="none"/>
        </w:rPr>
      </w:pPr>
      <w:bookmarkStart w:id="83" w:name="_Toc24594"/>
      <w:bookmarkStart w:id="84" w:name="_Toc15412"/>
      <w:bookmarkStart w:id="85" w:name="_Toc17541"/>
      <w:bookmarkStart w:id="86" w:name="_Toc28748"/>
      <w:bookmarkStart w:id="87" w:name="_Toc2814"/>
      <w:bookmarkStart w:id="88" w:name="_Toc26681"/>
      <w:bookmarkStart w:id="89" w:name="_Toc3585"/>
      <w:bookmarkStart w:id="90" w:name="_Toc1648"/>
      <w:bookmarkStart w:id="91" w:name="_Toc24303"/>
      <w:r>
        <w:rPr>
          <w:color w:val="auto"/>
          <w:highlight w:val="none"/>
        </w:rPr>
        <w:t>违约责任</w:t>
      </w:r>
      <w:bookmarkEnd w:id="83"/>
      <w:bookmarkEnd w:id="84"/>
      <w:bookmarkEnd w:id="85"/>
      <w:bookmarkEnd w:id="86"/>
      <w:bookmarkEnd w:id="87"/>
      <w:bookmarkEnd w:id="88"/>
      <w:bookmarkEnd w:id="89"/>
      <w:bookmarkEnd w:id="90"/>
      <w:bookmarkEnd w:id="91"/>
    </w:p>
    <w:p w14:paraId="7D26727E">
      <w:pPr>
        <w:pStyle w:val="3"/>
        <w:numPr>
          <w:ilvl w:val="0"/>
          <w:numId w:val="14"/>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违约方应承担继续履行合同、采取补救措施等责任。在继续履约或者采取补救措施后，仍对相对方造成其他损失的，应当依法赔偿损失。</w:t>
      </w:r>
    </w:p>
    <w:p w14:paraId="47035258">
      <w:pPr>
        <w:pStyle w:val="3"/>
        <w:numPr>
          <w:ilvl w:val="0"/>
          <w:numId w:val="14"/>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一方违约后，相对方应采取适当措施防止损失进一步扩大；没有采取适当措施致使损失扩大的，不得就扩大的损失要求违约方承担赔偿责任。相对方为防止损失扩大而支出的合理费用由违约方承担。</w:t>
      </w:r>
    </w:p>
    <w:p w14:paraId="657ADC7F">
      <w:pPr>
        <w:pStyle w:val="3"/>
        <w:numPr>
          <w:ilvl w:val="0"/>
          <w:numId w:val="14"/>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泄露、不正当使用商业秘密或者保密信息，给对方造成损失的，应当承担赔偿责任</w:t>
      </w:r>
      <w:r>
        <w:rPr>
          <w:rFonts w:hint="eastAsia" w:ascii="Times New Roman" w:hAnsi="Times New Roman" w:eastAsia="宋体" w:cs="Times New Roman"/>
          <w:color w:val="auto"/>
          <w:sz w:val="24"/>
          <w:highlight w:val="none"/>
        </w:rPr>
        <w:t>并支付合同价款总额 10 %的违约金</w:t>
      </w:r>
      <w:r>
        <w:rPr>
          <w:rFonts w:ascii="Times New Roman" w:hAnsi="Times New Roman" w:eastAsia="宋体" w:cs="Times New Roman"/>
          <w:color w:val="auto"/>
          <w:sz w:val="24"/>
          <w:highlight w:val="none"/>
        </w:rPr>
        <w:t>。</w:t>
      </w:r>
    </w:p>
    <w:p w14:paraId="3569EEDF">
      <w:pPr>
        <w:pStyle w:val="3"/>
        <w:numPr>
          <w:ilvl w:val="0"/>
          <w:numId w:val="14"/>
        </w:numPr>
        <w:spacing w:line="360" w:lineRule="auto"/>
        <w:ind w:left="0" w:firstLine="480"/>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甲乙双方均应严格遵守本合同约定，一方违约导致损失的，违约方应承担由此造成的全部损失，包括但不限于律师费、诉讼费、保全费、保全担保费等。</w:t>
      </w:r>
    </w:p>
    <w:p w14:paraId="3BFDA8B8">
      <w:pPr>
        <w:pStyle w:val="2"/>
        <w:ind w:left="0"/>
        <w:rPr>
          <w:color w:val="auto"/>
          <w:highlight w:val="none"/>
        </w:rPr>
      </w:pPr>
      <w:bookmarkStart w:id="92" w:name="_Toc7531"/>
      <w:bookmarkStart w:id="93" w:name="_Toc32285"/>
      <w:bookmarkStart w:id="94" w:name="_Toc5253"/>
      <w:bookmarkStart w:id="95" w:name="_Toc19777"/>
      <w:bookmarkStart w:id="96" w:name="_Toc3963"/>
      <w:bookmarkStart w:id="97" w:name="_Toc1287"/>
      <w:bookmarkStart w:id="98" w:name="_Toc30229"/>
      <w:bookmarkStart w:id="99" w:name="_Toc21481"/>
      <w:bookmarkStart w:id="100" w:name="_Toc16993"/>
      <w:r>
        <w:rPr>
          <w:color w:val="auto"/>
          <w:highlight w:val="none"/>
        </w:rPr>
        <w:t>合同的变更与解除</w:t>
      </w:r>
      <w:bookmarkEnd w:id="92"/>
      <w:bookmarkEnd w:id="93"/>
      <w:bookmarkEnd w:id="94"/>
      <w:bookmarkEnd w:id="95"/>
      <w:bookmarkEnd w:id="96"/>
      <w:bookmarkEnd w:id="97"/>
      <w:bookmarkEnd w:id="98"/>
      <w:bookmarkEnd w:id="99"/>
      <w:bookmarkEnd w:id="100"/>
    </w:p>
    <w:p w14:paraId="0D3E6E2B">
      <w:pPr>
        <w:pStyle w:val="3"/>
        <w:numPr>
          <w:ilvl w:val="0"/>
          <w:numId w:val="15"/>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甲乙双方书面一致同意确认，可补充、变更、解除本合同。</w:t>
      </w:r>
    </w:p>
    <w:p w14:paraId="2F151A80">
      <w:pPr>
        <w:pStyle w:val="3"/>
        <w:numPr>
          <w:ilvl w:val="0"/>
          <w:numId w:val="15"/>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未经对方事先书面同意，任何一方不得将本合同项下的权利或义务转让给第三方。</w:t>
      </w:r>
    </w:p>
    <w:p w14:paraId="57A660CA">
      <w:pPr>
        <w:pStyle w:val="3"/>
        <w:numPr>
          <w:ilvl w:val="0"/>
          <w:numId w:val="15"/>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因不可抗力致使合同不能实现合同目的的，当事人有权解除合同。当事人主张解除合同的，应当及时通知其他当事人。</w:t>
      </w:r>
    </w:p>
    <w:p w14:paraId="24DBF961">
      <w:pPr>
        <w:pStyle w:val="3"/>
        <w:numPr>
          <w:ilvl w:val="0"/>
          <w:numId w:val="15"/>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有下列情形之一的，甲方有权单方解除合同：</w:t>
      </w:r>
    </w:p>
    <w:p w14:paraId="25FAC978">
      <w:pPr>
        <w:pStyle w:val="3"/>
        <w:numPr>
          <w:ilvl w:val="0"/>
          <w:numId w:val="16"/>
        </w:numPr>
        <w:snapToGrid w:val="0"/>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乙方未按照约定的时间提供数据，且经甲方催告仍不履行义务超过【20】个工作日的；</w:t>
      </w:r>
    </w:p>
    <w:p w14:paraId="210FC229">
      <w:pPr>
        <w:pStyle w:val="3"/>
        <w:numPr>
          <w:ilvl w:val="0"/>
          <w:numId w:val="16"/>
        </w:numPr>
        <w:snapToGrid w:val="0"/>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标的数据的合法性、合规性、权属等方面存在重大问题的；</w:t>
      </w:r>
    </w:p>
    <w:p w14:paraId="6A688EAD">
      <w:pPr>
        <w:pStyle w:val="3"/>
        <w:numPr>
          <w:ilvl w:val="0"/>
          <w:numId w:val="16"/>
        </w:numPr>
        <w:snapToGrid w:val="0"/>
        <w:spacing w:line="360" w:lineRule="auto"/>
        <w:ind w:left="0" w:firstLine="480"/>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违反保密义务的；</w:t>
      </w:r>
    </w:p>
    <w:p w14:paraId="1F739381">
      <w:pPr>
        <w:pStyle w:val="3"/>
        <w:numPr>
          <w:ilvl w:val="0"/>
          <w:numId w:val="16"/>
        </w:numPr>
        <w:snapToGrid w:val="0"/>
        <w:spacing w:line="360" w:lineRule="auto"/>
        <w:ind w:left="0" w:firstLine="480"/>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泄露数据信息的；</w:t>
      </w:r>
    </w:p>
    <w:p w14:paraId="74984FE5">
      <w:pPr>
        <w:pStyle w:val="3"/>
        <w:numPr>
          <w:ilvl w:val="0"/>
          <w:numId w:val="16"/>
        </w:numPr>
        <w:snapToGrid w:val="0"/>
        <w:spacing w:line="360" w:lineRule="auto"/>
        <w:ind w:left="0" w:firstLine="480"/>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乙方有违反合同约定的其他行为</w:t>
      </w:r>
      <w:r>
        <w:rPr>
          <w:rFonts w:ascii="Times New Roman" w:hAnsi="Times New Roman" w:eastAsia="宋体" w:cs="Times New Roman"/>
          <w:color w:val="auto"/>
          <w:sz w:val="24"/>
          <w:highlight w:val="none"/>
        </w:rPr>
        <w:t>。</w:t>
      </w:r>
    </w:p>
    <w:p w14:paraId="123DFC74">
      <w:pPr>
        <w:pStyle w:val="3"/>
        <w:numPr>
          <w:ilvl w:val="0"/>
          <w:numId w:val="15"/>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有下列情形之一的，乙方有权单方解除合同：</w:t>
      </w:r>
    </w:p>
    <w:p w14:paraId="6F0AB625">
      <w:pPr>
        <w:pStyle w:val="3"/>
        <w:numPr>
          <w:ilvl w:val="0"/>
          <w:numId w:val="17"/>
        </w:numPr>
        <w:snapToGrid w:val="0"/>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甲方未按照约定的时间支付费用，且经乙方催告仍不支付费用超过【20】个工作日的；</w:t>
      </w:r>
    </w:p>
    <w:p w14:paraId="08FA98A4">
      <w:pPr>
        <w:pStyle w:val="3"/>
        <w:numPr>
          <w:ilvl w:val="0"/>
          <w:numId w:val="17"/>
        </w:numPr>
        <w:snapToGrid w:val="0"/>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违反合同约定造成标的数据的重大泄露或滥用事件的；</w:t>
      </w:r>
    </w:p>
    <w:p w14:paraId="10BE6DF9">
      <w:pPr>
        <w:pStyle w:val="3"/>
        <w:numPr>
          <w:ilvl w:val="0"/>
          <w:numId w:val="17"/>
        </w:numPr>
        <w:snapToGrid w:val="0"/>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其他：【/】。</w:t>
      </w:r>
    </w:p>
    <w:p w14:paraId="748DAB3E">
      <w:pPr>
        <w:pStyle w:val="2"/>
        <w:ind w:left="0"/>
        <w:rPr>
          <w:color w:val="auto"/>
          <w:highlight w:val="none"/>
        </w:rPr>
      </w:pPr>
      <w:bookmarkStart w:id="101" w:name="_Toc9880"/>
      <w:bookmarkStart w:id="102" w:name="_Toc5081"/>
      <w:bookmarkStart w:id="103" w:name="_Toc6163"/>
      <w:bookmarkStart w:id="104" w:name="_Toc8680"/>
      <w:bookmarkStart w:id="105" w:name="_Toc5397"/>
      <w:bookmarkStart w:id="106" w:name="_Toc29636"/>
      <w:bookmarkStart w:id="107" w:name="_Toc8978"/>
      <w:bookmarkStart w:id="108" w:name="_Toc9535"/>
      <w:bookmarkStart w:id="109" w:name="_Toc30664"/>
      <w:r>
        <w:rPr>
          <w:color w:val="auto"/>
          <w:highlight w:val="none"/>
        </w:rPr>
        <w:t>争议解决</w:t>
      </w:r>
      <w:bookmarkEnd w:id="101"/>
      <w:bookmarkEnd w:id="102"/>
      <w:bookmarkEnd w:id="103"/>
      <w:bookmarkEnd w:id="104"/>
      <w:bookmarkEnd w:id="105"/>
      <w:bookmarkEnd w:id="106"/>
      <w:bookmarkEnd w:id="107"/>
      <w:bookmarkEnd w:id="108"/>
      <w:bookmarkEnd w:id="109"/>
    </w:p>
    <w:p w14:paraId="79EF55CB">
      <w:pPr>
        <w:pStyle w:val="3"/>
        <w:numPr>
          <w:ilvl w:val="0"/>
          <w:numId w:val="18"/>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因本合同引起的或与本合同有关的任何争议、纠纷或索赔，各方应当积极通过友好协商解决或委托第三方调解。</w:t>
      </w:r>
    </w:p>
    <w:p w14:paraId="6DBB38B7">
      <w:pPr>
        <w:pStyle w:val="3"/>
        <w:numPr>
          <w:ilvl w:val="0"/>
          <w:numId w:val="18"/>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若协商或调解不成，按照以下第【（</w:t>
      </w:r>
      <w:r>
        <w:rPr>
          <w:rFonts w:hint="eastAsia" w:ascii="Times New Roman" w:hAnsi="Times New Roman" w:eastAsia="宋体" w:cs="Times New Roman"/>
          <w:color w:val="auto"/>
          <w:sz w:val="24"/>
          <w:highlight w:val="none"/>
        </w:rPr>
        <w:t>1</w:t>
      </w:r>
      <w:r>
        <w:rPr>
          <w:rFonts w:ascii="Times New Roman" w:hAnsi="Times New Roman" w:eastAsia="宋体" w:cs="Times New Roman"/>
          <w:color w:val="auto"/>
          <w:sz w:val="24"/>
          <w:highlight w:val="none"/>
        </w:rPr>
        <w:t>）】种方式解决：</w:t>
      </w:r>
    </w:p>
    <w:p w14:paraId="427BBAF1">
      <w:pPr>
        <w:pStyle w:val="3"/>
        <w:numPr>
          <w:ilvl w:val="0"/>
          <w:numId w:val="19"/>
        </w:numPr>
        <w:snapToGrid w:val="0"/>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向【甲方注册地址所在地】人民法院起诉；</w:t>
      </w:r>
    </w:p>
    <w:p w14:paraId="1FBF9023">
      <w:pPr>
        <w:pStyle w:val="3"/>
        <w:numPr>
          <w:ilvl w:val="0"/>
          <w:numId w:val="19"/>
        </w:numPr>
        <w:snapToGrid w:val="0"/>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向【甲方注册地址所在地】仲裁委员会申请仲裁。</w:t>
      </w:r>
    </w:p>
    <w:p w14:paraId="1309475D">
      <w:pPr>
        <w:pStyle w:val="2"/>
        <w:ind w:left="0"/>
        <w:rPr>
          <w:color w:val="auto"/>
          <w:highlight w:val="none"/>
        </w:rPr>
      </w:pPr>
      <w:bookmarkStart w:id="110" w:name="_Toc16623"/>
      <w:bookmarkStart w:id="111" w:name="_Toc25632"/>
      <w:bookmarkStart w:id="112" w:name="_Toc10250"/>
      <w:bookmarkStart w:id="113" w:name="_Toc31354"/>
      <w:bookmarkStart w:id="114" w:name="_Toc32088"/>
      <w:bookmarkStart w:id="115" w:name="_Toc32427"/>
      <w:bookmarkStart w:id="116" w:name="_Toc25589"/>
      <w:bookmarkStart w:id="117" w:name="_Toc1380"/>
      <w:bookmarkStart w:id="118" w:name="_Toc4469"/>
      <w:r>
        <w:rPr>
          <w:color w:val="auto"/>
          <w:highlight w:val="none"/>
        </w:rPr>
        <w:t>其他规定</w:t>
      </w:r>
      <w:bookmarkEnd w:id="110"/>
      <w:bookmarkEnd w:id="111"/>
      <w:bookmarkEnd w:id="112"/>
      <w:bookmarkEnd w:id="113"/>
      <w:bookmarkEnd w:id="114"/>
      <w:bookmarkEnd w:id="115"/>
      <w:bookmarkEnd w:id="116"/>
      <w:bookmarkEnd w:id="117"/>
      <w:bookmarkEnd w:id="118"/>
    </w:p>
    <w:p w14:paraId="66037A8C">
      <w:pPr>
        <w:pStyle w:val="3"/>
        <w:numPr>
          <w:ilvl w:val="0"/>
          <w:numId w:val="20"/>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本合同自双方签字并盖章之日起生效。</w:t>
      </w:r>
    </w:p>
    <w:p w14:paraId="2E813CCE">
      <w:pPr>
        <w:pStyle w:val="3"/>
        <w:numPr>
          <w:ilvl w:val="0"/>
          <w:numId w:val="20"/>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本合同一式【</w:t>
      </w:r>
      <w:r>
        <w:rPr>
          <w:rFonts w:hint="eastAsia" w:ascii="Times New Roman" w:hAnsi="Times New Roman" w:eastAsia="宋体" w:cs="Times New Roman"/>
          <w:color w:val="auto"/>
          <w:sz w:val="24"/>
          <w:highlight w:val="none"/>
        </w:rPr>
        <w:t>陆</w:t>
      </w:r>
      <w:r>
        <w:rPr>
          <w:rFonts w:ascii="Times New Roman" w:hAnsi="Times New Roman" w:eastAsia="宋体" w:cs="Times New Roman"/>
          <w:color w:val="auto"/>
          <w:sz w:val="24"/>
          <w:highlight w:val="none"/>
        </w:rPr>
        <w:t>】份，甲方执【</w:t>
      </w:r>
      <w:r>
        <w:rPr>
          <w:rFonts w:hint="eastAsia" w:ascii="Times New Roman" w:hAnsi="Times New Roman" w:eastAsia="宋体" w:cs="Times New Roman"/>
          <w:color w:val="auto"/>
          <w:sz w:val="24"/>
          <w:highlight w:val="none"/>
        </w:rPr>
        <w:t>叁</w:t>
      </w:r>
      <w:r>
        <w:rPr>
          <w:rFonts w:ascii="Times New Roman" w:hAnsi="Times New Roman" w:eastAsia="宋体" w:cs="Times New Roman"/>
          <w:color w:val="auto"/>
          <w:sz w:val="24"/>
          <w:highlight w:val="none"/>
        </w:rPr>
        <w:t>】份，乙方执【</w:t>
      </w:r>
      <w:r>
        <w:rPr>
          <w:rFonts w:hint="eastAsia" w:ascii="Times New Roman" w:hAnsi="Times New Roman" w:eastAsia="宋体" w:cs="Times New Roman"/>
          <w:color w:val="auto"/>
          <w:sz w:val="24"/>
          <w:highlight w:val="none"/>
        </w:rPr>
        <w:t>叁</w:t>
      </w:r>
      <w:r>
        <w:rPr>
          <w:rFonts w:ascii="Times New Roman" w:hAnsi="Times New Roman" w:eastAsia="宋体" w:cs="Times New Roman"/>
          <w:color w:val="auto"/>
          <w:sz w:val="24"/>
          <w:highlight w:val="none"/>
        </w:rPr>
        <w:t>】份，具有同等法律效力。</w:t>
      </w:r>
    </w:p>
    <w:p w14:paraId="2F066C8D">
      <w:pPr>
        <w:pStyle w:val="3"/>
        <w:numPr>
          <w:ilvl w:val="0"/>
          <w:numId w:val="20"/>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本合同中部分条款被认定为无效或不可执行，不影响合同其他条款。</w:t>
      </w:r>
    </w:p>
    <w:p w14:paraId="247F1C2A">
      <w:pPr>
        <w:pStyle w:val="3"/>
        <w:numPr>
          <w:ilvl w:val="0"/>
          <w:numId w:val="20"/>
        </w:numPr>
        <w:spacing w:line="360" w:lineRule="auto"/>
        <w:ind w:left="0"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本合同构成双方关于数据提供与使用的完整协议，并取代双方之前的所有口头或书面协议、理解和通信，前述内容若与本合同约定不一致，则以本合同约定内容为准。</w:t>
      </w:r>
    </w:p>
    <w:p w14:paraId="3B6840EA">
      <w:pPr>
        <w:snapToGrid w:val="0"/>
        <w:spacing w:line="360" w:lineRule="auto"/>
        <w:ind w:firstLine="48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（下接签署页）</w:t>
      </w:r>
    </w:p>
    <w:tbl>
      <w:tblPr>
        <w:tblStyle w:val="12"/>
        <w:tblW w:w="9568" w:type="dxa"/>
        <w:tblInd w:w="-48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784"/>
        <w:gridCol w:w="4784"/>
      </w:tblGrid>
      <w:tr w14:paraId="7961F8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6" w:hRule="atLeast"/>
        </w:trPr>
        <w:tc>
          <w:tcPr>
            <w:tcW w:w="4784" w:type="dxa"/>
          </w:tcPr>
          <w:p w14:paraId="4D865459">
            <w:pPr>
              <w:spacing w:before="312" w:beforeLines="100" w:line="360" w:lineRule="auto"/>
              <w:ind w:firstLine="0" w:firstLineChars="0"/>
              <w:jc w:val="left"/>
              <w:rPr>
                <w:rFonts w:hint="eastAsia"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甲方：</w:t>
            </w:r>
            <w:r>
              <w:rPr>
                <w:rFonts w:hint="eastAsia" w:ascii="Times New Roman" w:hAnsi="Times New Roman" w:eastAsia="宋体" w:cs="Times New Roman"/>
                <w:color w:val="auto"/>
                <w:sz w:val="24"/>
                <w:highlight w:val="none"/>
              </w:rPr>
              <w:t>东莞市规划设计研究院有限公司</w:t>
            </w:r>
          </w:p>
          <w:p w14:paraId="6F622252">
            <w:pPr>
              <w:spacing w:before="312" w:beforeLines="100" w:line="360" w:lineRule="auto"/>
              <w:ind w:firstLine="0" w:firstLineChars="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（盖章）</w:t>
            </w:r>
          </w:p>
        </w:tc>
        <w:tc>
          <w:tcPr>
            <w:tcW w:w="4784" w:type="dxa"/>
          </w:tcPr>
          <w:p w14:paraId="68ABCCC3">
            <w:pPr>
              <w:spacing w:before="312" w:beforeLines="100" w:line="360" w:lineRule="auto"/>
              <w:ind w:firstLine="0" w:firstLineChars="0"/>
              <w:jc w:val="left"/>
              <w:rPr>
                <w:rFonts w:hint="eastAsia" w:ascii="Times New Roman" w:hAnsi="Times New Roman" w:eastAsia="宋体" w:cs="Times New Roman"/>
                <w:color w:val="auto"/>
                <w:sz w:val="24"/>
                <w:highlight w:val="none"/>
                <w:lang w:val="en-US" w:eastAsia="zh-CN"/>
              </w:rPr>
            </w:pPr>
            <w:r>
              <w:rPr>
                <w:rFonts w:ascii="Times New Roman" w:hAnsi="Times New Roman" w:eastAsia="宋体" w:cs="Times New Roman"/>
                <w:color w:val="auto"/>
                <w:sz w:val="24"/>
                <w:highlight w:val="none"/>
              </w:rPr>
              <w:t>乙方：</w:t>
            </w:r>
            <w:r>
              <w:rPr>
                <w:rFonts w:hint="eastAsia" w:ascii="Times New Roman" w:hAnsi="Times New Roman" w:eastAsia="宋体" w:cs="Times New Roman"/>
                <w:color w:val="auto"/>
                <w:sz w:val="24"/>
                <w:highlight w:val="none"/>
                <w:lang w:val="en-US" w:eastAsia="zh-CN"/>
              </w:rPr>
              <w:t xml:space="preserve"> </w:t>
            </w:r>
          </w:p>
          <w:p w14:paraId="22CBA412">
            <w:pPr>
              <w:spacing w:before="312" w:beforeLines="100" w:line="360" w:lineRule="auto"/>
              <w:ind w:firstLine="0" w:firstLineChars="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（盖章）</w:t>
            </w:r>
          </w:p>
        </w:tc>
      </w:tr>
      <w:tr w14:paraId="2397CC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7" w:hRule="atLeast"/>
        </w:trPr>
        <w:tc>
          <w:tcPr>
            <w:tcW w:w="4784" w:type="dxa"/>
          </w:tcPr>
          <w:p w14:paraId="3E933F32">
            <w:pPr>
              <w:spacing w:before="312" w:beforeLines="100" w:line="360" w:lineRule="auto"/>
              <w:ind w:firstLine="0" w:firstLineChars="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 xml:space="preserve">法定代表人或授权代表：               </w:t>
            </w:r>
          </w:p>
          <w:p w14:paraId="31EC2FEA">
            <w:pPr>
              <w:spacing w:before="312" w:beforeLines="100" w:line="360" w:lineRule="auto"/>
              <w:ind w:firstLine="0" w:firstLineChars="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（签字/盖章）</w:t>
            </w:r>
          </w:p>
        </w:tc>
        <w:tc>
          <w:tcPr>
            <w:tcW w:w="4784" w:type="dxa"/>
          </w:tcPr>
          <w:p w14:paraId="4CF6FA2D">
            <w:pPr>
              <w:spacing w:before="312" w:beforeLines="100" w:line="360" w:lineRule="auto"/>
              <w:ind w:firstLine="0" w:firstLineChars="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 xml:space="preserve">法定代表人或授权代表：               </w:t>
            </w:r>
          </w:p>
          <w:p w14:paraId="39E865D7">
            <w:pPr>
              <w:spacing w:before="312" w:beforeLines="100" w:line="360" w:lineRule="auto"/>
              <w:ind w:firstLine="0" w:firstLineChars="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（签字/盖章）</w:t>
            </w:r>
          </w:p>
        </w:tc>
      </w:tr>
      <w:tr w14:paraId="475B8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6" w:hRule="atLeast"/>
        </w:trPr>
        <w:tc>
          <w:tcPr>
            <w:tcW w:w="4784" w:type="dxa"/>
          </w:tcPr>
          <w:p w14:paraId="11915EE8">
            <w:pPr>
              <w:spacing w:before="312" w:beforeLines="100" w:line="360" w:lineRule="auto"/>
              <w:ind w:firstLine="0" w:firstLineChars="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lang w:bidi="ar"/>
              </w:rPr>
              <w:t xml:space="preserve"> </w:t>
            </w:r>
            <w:r>
              <w:rPr>
                <w:rFonts w:hint="eastAsia" w:ascii="Times New Roman" w:hAnsi="Times New Roman" w:eastAsia="宋体" w:cs="Times New Roman"/>
                <w:color w:val="auto"/>
                <w:sz w:val="24"/>
                <w:highlight w:val="none"/>
                <w:lang w:val="en-US" w:eastAsia="zh-CN" w:bidi="ar"/>
              </w:rPr>
              <w:t xml:space="preserve">  </w:t>
            </w:r>
            <w:r>
              <w:rPr>
                <w:rFonts w:ascii="Times New Roman" w:hAnsi="Times New Roman" w:eastAsia="宋体" w:cs="Times New Roman"/>
                <w:color w:val="auto"/>
                <w:sz w:val="24"/>
                <w:highlight w:val="none"/>
                <w:lang w:bidi="ar"/>
              </w:rPr>
              <w:t xml:space="preserve">  </w:t>
            </w:r>
            <w:r>
              <w:rPr>
                <w:rFonts w:ascii="Times New Roman" w:hAnsi="Times New Roman" w:eastAsia="宋体" w:cs="Times New Roman"/>
                <w:color w:val="auto"/>
                <w:sz w:val="24"/>
                <w:highlight w:val="none"/>
              </w:rPr>
              <w:t>年</w:t>
            </w:r>
            <w:r>
              <w:rPr>
                <w:rFonts w:ascii="Times New Roman" w:hAnsi="Times New Roman" w:eastAsia="宋体" w:cs="Times New Roman"/>
                <w:color w:val="auto"/>
                <w:sz w:val="24"/>
                <w:highlight w:val="none"/>
                <w:lang w:bidi="ar"/>
              </w:rPr>
              <w:t xml:space="preserve">     </w:t>
            </w:r>
            <w:r>
              <w:rPr>
                <w:rFonts w:ascii="Times New Roman" w:hAnsi="Times New Roman" w:eastAsia="宋体" w:cs="Times New Roman"/>
                <w:color w:val="auto"/>
                <w:sz w:val="24"/>
                <w:highlight w:val="none"/>
              </w:rPr>
              <w:t>月</w:t>
            </w:r>
            <w:r>
              <w:rPr>
                <w:rFonts w:ascii="Times New Roman" w:hAnsi="Times New Roman" w:eastAsia="宋体" w:cs="Times New Roman"/>
                <w:color w:val="auto"/>
                <w:sz w:val="24"/>
                <w:highlight w:val="none"/>
                <w:lang w:bidi="ar"/>
              </w:rPr>
              <w:t xml:space="preserve">     </w:t>
            </w:r>
            <w:r>
              <w:rPr>
                <w:rFonts w:ascii="Times New Roman" w:hAnsi="Times New Roman" w:eastAsia="宋体" w:cs="Times New Roman"/>
                <w:color w:val="auto"/>
                <w:sz w:val="24"/>
                <w:highlight w:val="none"/>
              </w:rPr>
              <w:t>日</w:t>
            </w:r>
          </w:p>
        </w:tc>
        <w:tc>
          <w:tcPr>
            <w:tcW w:w="4784" w:type="dxa"/>
          </w:tcPr>
          <w:p w14:paraId="10F2A2C8">
            <w:pPr>
              <w:spacing w:before="312" w:beforeLines="100" w:line="360" w:lineRule="auto"/>
              <w:ind w:firstLine="0" w:firstLineChars="0"/>
              <w:jc w:val="left"/>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lang w:bidi="ar"/>
              </w:rPr>
              <w:t xml:space="preserve"> </w:t>
            </w:r>
            <w:r>
              <w:rPr>
                <w:rFonts w:hint="eastAsia" w:ascii="Times New Roman" w:hAnsi="Times New Roman" w:eastAsia="宋体" w:cs="Times New Roman"/>
                <w:color w:val="auto"/>
                <w:sz w:val="24"/>
                <w:highlight w:val="none"/>
                <w:lang w:val="en-US" w:eastAsia="zh-CN" w:bidi="ar"/>
              </w:rPr>
              <w:t xml:space="preserve">  </w:t>
            </w:r>
            <w:r>
              <w:rPr>
                <w:rFonts w:ascii="Times New Roman" w:hAnsi="Times New Roman" w:eastAsia="宋体" w:cs="Times New Roman"/>
                <w:color w:val="auto"/>
                <w:sz w:val="24"/>
                <w:highlight w:val="none"/>
                <w:lang w:bidi="ar"/>
              </w:rPr>
              <w:t xml:space="preserve">  </w:t>
            </w:r>
            <w:r>
              <w:rPr>
                <w:rFonts w:ascii="Times New Roman" w:hAnsi="Times New Roman" w:eastAsia="宋体" w:cs="Times New Roman"/>
                <w:color w:val="auto"/>
                <w:sz w:val="24"/>
                <w:highlight w:val="none"/>
              </w:rPr>
              <w:t>年</w:t>
            </w:r>
            <w:r>
              <w:rPr>
                <w:rFonts w:ascii="Times New Roman" w:hAnsi="Times New Roman" w:eastAsia="宋体" w:cs="Times New Roman"/>
                <w:color w:val="auto"/>
                <w:sz w:val="24"/>
                <w:highlight w:val="none"/>
                <w:lang w:bidi="ar"/>
              </w:rPr>
              <w:t xml:space="preserve">     </w:t>
            </w:r>
            <w:r>
              <w:rPr>
                <w:rFonts w:ascii="Times New Roman" w:hAnsi="Times New Roman" w:eastAsia="宋体" w:cs="Times New Roman"/>
                <w:color w:val="auto"/>
                <w:sz w:val="24"/>
                <w:highlight w:val="none"/>
              </w:rPr>
              <w:t>月</w:t>
            </w:r>
            <w:r>
              <w:rPr>
                <w:rFonts w:ascii="Times New Roman" w:hAnsi="Times New Roman" w:eastAsia="宋体" w:cs="Times New Roman"/>
                <w:color w:val="auto"/>
                <w:sz w:val="24"/>
                <w:highlight w:val="none"/>
                <w:lang w:bidi="ar"/>
              </w:rPr>
              <w:t xml:space="preserve">     </w:t>
            </w:r>
            <w:r>
              <w:rPr>
                <w:rFonts w:ascii="Times New Roman" w:hAnsi="Times New Roman" w:eastAsia="宋体" w:cs="Times New Roman"/>
                <w:color w:val="auto"/>
                <w:sz w:val="24"/>
                <w:highlight w:val="none"/>
              </w:rPr>
              <w:t>日</w:t>
            </w:r>
          </w:p>
        </w:tc>
      </w:tr>
    </w:tbl>
    <w:p w14:paraId="38BDB01E">
      <w:pPr>
        <w:widowControl/>
        <w:numPr>
          <w:ilvl w:val="255"/>
          <w:numId w:val="0"/>
        </w:numPr>
        <w:spacing w:line="360" w:lineRule="auto"/>
        <w:jc w:val="left"/>
        <w:rPr>
          <w:rFonts w:ascii="Times New Roman" w:hAnsi="Times New Roman" w:eastAsia="宋体" w:cs="Times New Roman"/>
          <w:color w:val="auto"/>
          <w:sz w:val="24"/>
          <w:highlight w:val="none"/>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737" w:footer="1077" w:gutter="0"/>
      <w:pgNumType w:start="1"/>
      <w:cols w:space="425"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00"/>
      </w:pPr>
      <w:r>
        <w:separator/>
      </w:r>
    </w:p>
  </w:endnote>
  <w:endnote w:type="continuationSeparator" w:id="1">
    <w:p>
      <w:pPr>
        <w:spacing w:line="240" w:lineRule="auto"/>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819AF89B-B9D5-4D0F-A979-8F12CC283CC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embedRegular r:id="rId2" w:fontKey="{4B455EE7-595F-4EF6-92EF-948EAE6B4667}"/>
  </w:font>
  <w:font w:name="方正楷体_GBK">
    <w:altName w:val="微软雅黑"/>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5459931"/>
      <w:docPartObj>
        <w:docPartGallery w:val="autotext"/>
      </w:docPartObj>
    </w:sdtPr>
    <w:sdtContent>
      <w:p w14:paraId="51747ABC">
        <w:pPr>
          <w:pStyle w:val="7"/>
          <w:ind w:firstLine="360"/>
          <w:jc w:val="center"/>
        </w:pPr>
        <w:r>
          <w:fldChar w:fldCharType="begin"/>
        </w:r>
        <w:r>
          <w:instrText xml:space="preserve">PAGE   \* MERGEFORMAT</w:instrText>
        </w:r>
        <w:r>
          <w:fldChar w:fldCharType="separate"/>
        </w:r>
        <w:r>
          <w:rPr>
            <w:lang w:val="zh-CN"/>
          </w:rPr>
          <w:t>2</w:t>
        </w:r>
        <w:r>
          <w:fldChar w:fldCharType="end"/>
        </w:r>
      </w:p>
    </w:sdtContent>
  </w:sdt>
  <w:p w14:paraId="7625EEAF">
    <w:pPr>
      <w:pStyle w:val="7"/>
      <w:spacing w:line="240" w:lineRule="auto"/>
      <w:ind w:firstLine="0" w:firstLineChars="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F79F2D">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2B31C0">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00"/>
      </w:pPr>
      <w:r>
        <w:separator/>
      </w:r>
    </w:p>
  </w:footnote>
  <w:footnote w:type="continuationSeparator" w:id="1">
    <w:p>
      <w:pPr>
        <w:spacing w:line="240" w:lineRule="auto"/>
        <w:ind w:firstLine="60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CC8E24">
    <w:pPr>
      <w:pStyle w:val="8"/>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B762E7">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24B092">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7C7339"/>
    <w:multiLevelType w:val="multilevel"/>
    <w:tmpl w:val="067C7339"/>
    <w:lvl w:ilvl="0" w:tentative="0">
      <w:start w:val="1"/>
      <w:numFmt w:val="decimal"/>
      <w:suff w:val="nothing"/>
      <w:lvlText w:val="（%1）"/>
      <w:lvlJc w:val="left"/>
      <w:pPr>
        <w:ind w:left="920" w:hanging="440"/>
      </w:pPr>
      <w:rPr>
        <w:rFonts w:hint="eastAsia"/>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1">
    <w:nsid w:val="080260FE"/>
    <w:multiLevelType w:val="multilevel"/>
    <w:tmpl w:val="080260FE"/>
    <w:lvl w:ilvl="0" w:tentative="0">
      <w:start w:val="1"/>
      <w:numFmt w:val="decimal"/>
      <w:suff w:val="nothing"/>
      <w:lvlText w:val="%1、"/>
      <w:lvlJc w:val="left"/>
      <w:pPr>
        <w:ind w:left="920" w:hanging="440"/>
      </w:pPr>
      <w:rPr>
        <w:rFonts w:hint="eastAsia"/>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2">
    <w:nsid w:val="0A533CBB"/>
    <w:multiLevelType w:val="multilevel"/>
    <w:tmpl w:val="0A533CBB"/>
    <w:lvl w:ilvl="0" w:tentative="0">
      <w:start w:val="1"/>
      <w:numFmt w:val="decimal"/>
      <w:suff w:val="nothing"/>
      <w:lvlText w:val="%1、"/>
      <w:lvlJc w:val="left"/>
      <w:pPr>
        <w:ind w:left="920" w:hanging="440"/>
      </w:pPr>
      <w:rPr>
        <w:rFonts w:hint="eastAsia"/>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3">
    <w:nsid w:val="0CB64346"/>
    <w:multiLevelType w:val="multilevel"/>
    <w:tmpl w:val="0CB64346"/>
    <w:lvl w:ilvl="0" w:tentative="0">
      <w:start w:val="1"/>
      <w:numFmt w:val="chineseCountingThousand"/>
      <w:pStyle w:val="4"/>
      <w:suff w:val="nothing"/>
      <w:lvlText w:val="（%1）"/>
      <w:lvlJc w:val="left"/>
      <w:pPr>
        <w:ind w:left="920" w:hanging="440"/>
      </w:pPr>
      <w:rPr>
        <w:rFonts w:hint="eastAsia"/>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4">
    <w:nsid w:val="187A240E"/>
    <w:multiLevelType w:val="multilevel"/>
    <w:tmpl w:val="187A240E"/>
    <w:lvl w:ilvl="0" w:tentative="0">
      <w:start w:val="1"/>
      <w:numFmt w:val="decimal"/>
      <w:suff w:val="nothing"/>
      <w:lvlText w:val="%1、"/>
      <w:lvlJc w:val="left"/>
      <w:pPr>
        <w:ind w:left="920" w:hanging="440"/>
      </w:pPr>
      <w:rPr>
        <w:rFonts w:hint="eastAsia"/>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5">
    <w:nsid w:val="22DA4A23"/>
    <w:multiLevelType w:val="multilevel"/>
    <w:tmpl w:val="22DA4A23"/>
    <w:lvl w:ilvl="0" w:tentative="0">
      <w:start w:val="1"/>
      <w:numFmt w:val="decimal"/>
      <w:suff w:val="nothing"/>
      <w:lvlText w:val="%1、"/>
      <w:lvlJc w:val="left"/>
      <w:pPr>
        <w:ind w:left="920" w:hanging="440"/>
      </w:pPr>
      <w:rPr>
        <w:rFonts w:hint="eastAsia"/>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6">
    <w:nsid w:val="23F6429D"/>
    <w:multiLevelType w:val="multilevel"/>
    <w:tmpl w:val="23F6429D"/>
    <w:lvl w:ilvl="0" w:tentative="0">
      <w:start w:val="1"/>
      <w:numFmt w:val="decimal"/>
      <w:suff w:val="nothing"/>
      <w:lvlText w:val="%1、"/>
      <w:lvlJc w:val="left"/>
      <w:pPr>
        <w:ind w:left="920" w:hanging="440"/>
      </w:pPr>
      <w:rPr>
        <w:rFonts w:hint="eastAsia"/>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7">
    <w:nsid w:val="290C672E"/>
    <w:multiLevelType w:val="multilevel"/>
    <w:tmpl w:val="290C672E"/>
    <w:lvl w:ilvl="0" w:tentative="0">
      <w:start w:val="1"/>
      <w:numFmt w:val="decimal"/>
      <w:suff w:val="nothing"/>
      <w:lvlText w:val="（%1）"/>
      <w:lvlJc w:val="left"/>
      <w:pPr>
        <w:ind w:left="920" w:hanging="440"/>
      </w:pPr>
      <w:rPr>
        <w:rFonts w:hint="eastAsia"/>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8">
    <w:nsid w:val="31B37034"/>
    <w:multiLevelType w:val="multilevel"/>
    <w:tmpl w:val="31B37034"/>
    <w:lvl w:ilvl="0" w:tentative="0">
      <w:start w:val="1"/>
      <w:numFmt w:val="decimal"/>
      <w:suff w:val="nothing"/>
      <w:lvlText w:val="%1、"/>
      <w:lvlJc w:val="left"/>
      <w:pPr>
        <w:ind w:left="920" w:hanging="440"/>
      </w:pPr>
      <w:rPr>
        <w:rFonts w:hint="eastAsia"/>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9">
    <w:nsid w:val="444307BD"/>
    <w:multiLevelType w:val="multilevel"/>
    <w:tmpl w:val="444307BD"/>
    <w:lvl w:ilvl="0" w:tentative="0">
      <w:start w:val="1"/>
      <w:numFmt w:val="decimal"/>
      <w:suff w:val="nothing"/>
      <w:lvlText w:val="%1、"/>
      <w:lvlJc w:val="left"/>
      <w:pPr>
        <w:ind w:left="920" w:hanging="440"/>
      </w:pPr>
      <w:rPr>
        <w:rFonts w:hint="eastAsia"/>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10">
    <w:nsid w:val="51781F25"/>
    <w:multiLevelType w:val="multilevel"/>
    <w:tmpl w:val="51781F25"/>
    <w:lvl w:ilvl="0" w:tentative="0">
      <w:start w:val="1"/>
      <w:numFmt w:val="decimal"/>
      <w:suff w:val="nothing"/>
      <w:lvlText w:val="%1、"/>
      <w:lvlJc w:val="left"/>
      <w:pPr>
        <w:ind w:left="920" w:hanging="440"/>
      </w:pPr>
      <w:rPr>
        <w:rFonts w:hint="eastAsia"/>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11">
    <w:nsid w:val="54950CB3"/>
    <w:multiLevelType w:val="multilevel"/>
    <w:tmpl w:val="54950CB3"/>
    <w:lvl w:ilvl="0" w:tentative="0">
      <w:start w:val="1"/>
      <w:numFmt w:val="decimal"/>
      <w:suff w:val="nothing"/>
      <w:lvlText w:val="%1、"/>
      <w:lvlJc w:val="left"/>
      <w:pPr>
        <w:ind w:left="920" w:hanging="440"/>
      </w:pPr>
      <w:rPr>
        <w:rFonts w:hint="eastAsia"/>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12">
    <w:nsid w:val="54952CCD"/>
    <w:multiLevelType w:val="multilevel"/>
    <w:tmpl w:val="54952CCD"/>
    <w:lvl w:ilvl="0" w:tentative="0">
      <w:start w:val="1"/>
      <w:numFmt w:val="chineseCountingThousand"/>
      <w:pStyle w:val="2"/>
      <w:suff w:val="space"/>
      <w:lvlText w:val="第%1条"/>
      <w:lvlJc w:val="left"/>
      <w:pPr>
        <w:ind w:left="920" w:hanging="440"/>
      </w:pPr>
      <w:rPr>
        <w:rFonts w:hint="default" w:ascii="Times New Roman" w:hAnsi="Times New Roman" w:eastAsia="宋体" w:cs="Times New Roman"/>
        <w:sz w:val="24"/>
      </w:rPr>
    </w:lvl>
    <w:lvl w:ilvl="1" w:tentative="0">
      <w:start w:val="1"/>
      <w:numFmt w:val="japaneseCounting"/>
      <w:lvlText w:val="%2、"/>
      <w:lvlJc w:val="left"/>
      <w:pPr>
        <w:ind w:left="1400" w:hanging="480"/>
      </w:pPr>
      <w:rPr>
        <w:rFonts w:hint="default"/>
      </w:r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13">
    <w:nsid w:val="5A6B778F"/>
    <w:multiLevelType w:val="multilevel"/>
    <w:tmpl w:val="5A6B778F"/>
    <w:lvl w:ilvl="0" w:tentative="0">
      <w:start w:val="1"/>
      <w:numFmt w:val="decimal"/>
      <w:suff w:val="nothing"/>
      <w:lvlText w:val="（%1）"/>
      <w:lvlJc w:val="left"/>
      <w:pPr>
        <w:ind w:left="920" w:hanging="440"/>
      </w:pPr>
      <w:rPr>
        <w:rFonts w:hint="eastAsia"/>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14">
    <w:nsid w:val="70577C91"/>
    <w:multiLevelType w:val="multilevel"/>
    <w:tmpl w:val="70577C91"/>
    <w:lvl w:ilvl="0" w:tentative="0">
      <w:start w:val="1"/>
      <w:numFmt w:val="decimal"/>
      <w:suff w:val="nothing"/>
      <w:lvlText w:val="%1、"/>
      <w:lvlJc w:val="left"/>
      <w:pPr>
        <w:ind w:left="920" w:hanging="440"/>
      </w:pPr>
      <w:rPr>
        <w:rFonts w:hint="eastAsia"/>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15">
    <w:nsid w:val="7C2575F2"/>
    <w:multiLevelType w:val="multilevel"/>
    <w:tmpl w:val="7C2575F2"/>
    <w:lvl w:ilvl="0" w:tentative="0">
      <w:start w:val="1"/>
      <w:numFmt w:val="decimal"/>
      <w:suff w:val="nothing"/>
      <w:lvlText w:val="%1、"/>
      <w:lvlJc w:val="left"/>
      <w:pPr>
        <w:ind w:left="920" w:hanging="440"/>
      </w:pPr>
      <w:rPr>
        <w:rFonts w:hint="eastAsia"/>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16">
    <w:nsid w:val="7F54170D"/>
    <w:multiLevelType w:val="multilevel"/>
    <w:tmpl w:val="7F54170D"/>
    <w:lvl w:ilvl="0" w:tentative="0">
      <w:start w:val="1"/>
      <w:numFmt w:val="decimal"/>
      <w:suff w:val="nothing"/>
      <w:lvlText w:val="%1、"/>
      <w:lvlJc w:val="left"/>
      <w:pPr>
        <w:ind w:left="920" w:hanging="440"/>
      </w:pPr>
      <w:rPr>
        <w:rFonts w:hint="eastAsia"/>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num w:numId="1">
    <w:abstractNumId w:val="12"/>
  </w:num>
  <w:num w:numId="2">
    <w:abstractNumId w:val="3"/>
  </w:num>
  <w:num w:numId="3">
    <w:abstractNumId w:val="6"/>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6"/>
  </w:num>
  <w:num w:numId="6">
    <w:abstractNumId w:val="10"/>
  </w:num>
  <w:num w:numId="7">
    <w:abstractNumId w:val="3"/>
    <w:lvlOverride w:ilvl="0">
      <w:startOverride w:val="1"/>
    </w:lvlOverride>
  </w:num>
  <w:num w:numId="8">
    <w:abstractNumId w:val="14"/>
  </w:num>
  <w:num w:numId="9">
    <w:abstractNumId w:val="8"/>
  </w:num>
  <w:num w:numId="10">
    <w:abstractNumId w:val="3"/>
    <w:lvlOverride w:ilvl="0">
      <w:startOverride w:val="1"/>
    </w:lvlOverride>
  </w:num>
  <w:num w:numId="11">
    <w:abstractNumId w:val="2"/>
  </w:num>
  <w:num w:numId="12">
    <w:abstractNumId w:val="11"/>
  </w:num>
  <w:num w:numId="13">
    <w:abstractNumId w:val="5"/>
  </w:num>
  <w:num w:numId="14">
    <w:abstractNumId w:val="4"/>
  </w:num>
  <w:num w:numId="15">
    <w:abstractNumId w:val="9"/>
  </w:num>
  <w:num w:numId="16">
    <w:abstractNumId w:val="7"/>
  </w:num>
  <w:num w:numId="17">
    <w:abstractNumId w:val="0"/>
  </w:num>
  <w:num w:numId="18">
    <w:abstractNumId w:val="15"/>
  </w:num>
  <w:num w:numId="19">
    <w:abstractNumId w:val="13"/>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embedTrueTypeFonts/>
  <w:saveSubsetFonts/>
  <w:bordersDoNotSurroundHeader w:val="1"/>
  <w:bordersDoNotSurroundFooter w:val="1"/>
  <w:documentProtection w:enforcement="0"/>
  <w:defaultTabStop w:val="420"/>
  <w:drawingGridHorizontalSpacing w:val="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Q4MjMxYmJhYjczMTZhY2ZkZTRjZTM3ZjMyMjljZTIifQ=="/>
  </w:docVars>
  <w:rsids>
    <w:rsidRoot w:val="25D91A39"/>
    <w:rsid w:val="00003AFB"/>
    <w:rsid w:val="00005402"/>
    <w:rsid w:val="00007C0B"/>
    <w:rsid w:val="000162AB"/>
    <w:rsid w:val="000164E3"/>
    <w:rsid w:val="000169F9"/>
    <w:rsid w:val="00030D55"/>
    <w:rsid w:val="00045DC5"/>
    <w:rsid w:val="000467FE"/>
    <w:rsid w:val="00054A5C"/>
    <w:rsid w:val="00057686"/>
    <w:rsid w:val="0005776B"/>
    <w:rsid w:val="000648AA"/>
    <w:rsid w:val="00074FE5"/>
    <w:rsid w:val="00080EC9"/>
    <w:rsid w:val="0008627A"/>
    <w:rsid w:val="0009419C"/>
    <w:rsid w:val="00097492"/>
    <w:rsid w:val="000A043E"/>
    <w:rsid w:val="000A2410"/>
    <w:rsid w:val="000A4792"/>
    <w:rsid w:val="000A4A86"/>
    <w:rsid w:val="000A71F4"/>
    <w:rsid w:val="000B0E2B"/>
    <w:rsid w:val="000B36DF"/>
    <w:rsid w:val="000C1FF9"/>
    <w:rsid w:val="000C5A05"/>
    <w:rsid w:val="000D53E6"/>
    <w:rsid w:val="000D57BE"/>
    <w:rsid w:val="000E1BF9"/>
    <w:rsid w:val="000F2911"/>
    <w:rsid w:val="000F6CD9"/>
    <w:rsid w:val="00106DFA"/>
    <w:rsid w:val="00110CC4"/>
    <w:rsid w:val="00114124"/>
    <w:rsid w:val="00127852"/>
    <w:rsid w:val="0014434B"/>
    <w:rsid w:val="00150ED8"/>
    <w:rsid w:val="001601FA"/>
    <w:rsid w:val="00162AA0"/>
    <w:rsid w:val="00164BCB"/>
    <w:rsid w:val="0017166B"/>
    <w:rsid w:val="0017187B"/>
    <w:rsid w:val="00171DFF"/>
    <w:rsid w:val="00171F29"/>
    <w:rsid w:val="00180CE0"/>
    <w:rsid w:val="0019382D"/>
    <w:rsid w:val="00194857"/>
    <w:rsid w:val="0019650D"/>
    <w:rsid w:val="001A7C5F"/>
    <w:rsid w:val="001B1191"/>
    <w:rsid w:val="001B284F"/>
    <w:rsid w:val="001B2916"/>
    <w:rsid w:val="001C1A72"/>
    <w:rsid w:val="001C33EB"/>
    <w:rsid w:val="001C79FF"/>
    <w:rsid w:val="001C7FA3"/>
    <w:rsid w:val="001E4D82"/>
    <w:rsid w:val="001E5D14"/>
    <w:rsid w:val="001F24C3"/>
    <w:rsid w:val="001F36B2"/>
    <w:rsid w:val="00201B93"/>
    <w:rsid w:val="002119CB"/>
    <w:rsid w:val="002154BF"/>
    <w:rsid w:val="002309BD"/>
    <w:rsid w:val="00233CFF"/>
    <w:rsid w:val="00237DEF"/>
    <w:rsid w:val="00241676"/>
    <w:rsid w:val="00241D21"/>
    <w:rsid w:val="00246D90"/>
    <w:rsid w:val="002555F2"/>
    <w:rsid w:val="0025696B"/>
    <w:rsid w:val="00263BA5"/>
    <w:rsid w:val="0027113F"/>
    <w:rsid w:val="0027143D"/>
    <w:rsid w:val="00273468"/>
    <w:rsid w:val="00274264"/>
    <w:rsid w:val="00274CC5"/>
    <w:rsid w:val="00281D25"/>
    <w:rsid w:val="00282C92"/>
    <w:rsid w:val="00284611"/>
    <w:rsid w:val="00286E8F"/>
    <w:rsid w:val="00287F72"/>
    <w:rsid w:val="00293C87"/>
    <w:rsid w:val="002A15A1"/>
    <w:rsid w:val="002B090F"/>
    <w:rsid w:val="002B1E00"/>
    <w:rsid w:val="002B1EEE"/>
    <w:rsid w:val="002B36FB"/>
    <w:rsid w:val="002B6472"/>
    <w:rsid w:val="002C0C99"/>
    <w:rsid w:val="002C3545"/>
    <w:rsid w:val="002C58B8"/>
    <w:rsid w:val="002C7223"/>
    <w:rsid w:val="002D056C"/>
    <w:rsid w:val="002D6F16"/>
    <w:rsid w:val="002F0DC8"/>
    <w:rsid w:val="002F24BF"/>
    <w:rsid w:val="003046BB"/>
    <w:rsid w:val="00306C8E"/>
    <w:rsid w:val="00310CC1"/>
    <w:rsid w:val="00312EBB"/>
    <w:rsid w:val="00315D00"/>
    <w:rsid w:val="0031614B"/>
    <w:rsid w:val="00325D44"/>
    <w:rsid w:val="00337933"/>
    <w:rsid w:val="0034644B"/>
    <w:rsid w:val="00352A63"/>
    <w:rsid w:val="003609C4"/>
    <w:rsid w:val="00364585"/>
    <w:rsid w:val="00367427"/>
    <w:rsid w:val="003733C1"/>
    <w:rsid w:val="003744E6"/>
    <w:rsid w:val="003752C8"/>
    <w:rsid w:val="00380CA7"/>
    <w:rsid w:val="00394126"/>
    <w:rsid w:val="00394254"/>
    <w:rsid w:val="00396475"/>
    <w:rsid w:val="00396E82"/>
    <w:rsid w:val="003A0FC4"/>
    <w:rsid w:val="003A3E26"/>
    <w:rsid w:val="003A4EA6"/>
    <w:rsid w:val="003A54A0"/>
    <w:rsid w:val="003A55DE"/>
    <w:rsid w:val="003B0020"/>
    <w:rsid w:val="003B0D0F"/>
    <w:rsid w:val="003B28FB"/>
    <w:rsid w:val="003B41BB"/>
    <w:rsid w:val="003C39F0"/>
    <w:rsid w:val="003C6FD6"/>
    <w:rsid w:val="003D1188"/>
    <w:rsid w:val="003D54F7"/>
    <w:rsid w:val="003E0BB1"/>
    <w:rsid w:val="003E5F20"/>
    <w:rsid w:val="003E6506"/>
    <w:rsid w:val="003E6A12"/>
    <w:rsid w:val="003E7653"/>
    <w:rsid w:val="003F1999"/>
    <w:rsid w:val="003F6EC4"/>
    <w:rsid w:val="0040757F"/>
    <w:rsid w:val="00420018"/>
    <w:rsid w:val="00420859"/>
    <w:rsid w:val="0042667B"/>
    <w:rsid w:val="00441F34"/>
    <w:rsid w:val="00442FCF"/>
    <w:rsid w:val="004465BF"/>
    <w:rsid w:val="00452345"/>
    <w:rsid w:val="004546C7"/>
    <w:rsid w:val="0046220F"/>
    <w:rsid w:val="00466CA0"/>
    <w:rsid w:val="00474FC8"/>
    <w:rsid w:val="004819E8"/>
    <w:rsid w:val="00482414"/>
    <w:rsid w:val="00482CDC"/>
    <w:rsid w:val="00484908"/>
    <w:rsid w:val="00486C1D"/>
    <w:rsid w:val="004951F9"/>
    <w:rsid w:val="004A0D8C"/>
    <w:rsid w:val="004A1664"/>
    <w:rsid w:val="004A3FD4"/>
    <w:rsid w:val="004A666D"/>
    <w:rsid w:val="004B5A11"/>
    <w:rsid w:val="004B5D44"/>
    <w:rsid w:val="004B71F1"/>
    <w:rsid w:val="004C1965"/>
    <w:rsid w:val="004C408F"/>
    <w:rsid w:val="004C68F4"/>
    <w:rsid w:val="004C7453"/>
    <w:rsid w:val="004E0863"/>
    <w:rsid w:val="004E35A3"/>
    <w:rsid w:val="004E7C46"/>
    <w:rsid w:val="004F0C7A"/>
    <w:rsid w:val="004F0F06"/>
    <w:rsid w:val="004F2E93"/>
    <w:rsid w:val="004F3DC7"/>
    <w:rsid w:val="004F6A39"/>
    <w:rsid w:val="00507F02"/>
    <w:rsid w:val="005108E6"/>
    <w:rsid w:val="0051526C"/>
    <w:rsid w:val="00516260"/>
    <w:rsid w:val="0052105E"/>
    <w:rsid w:val="00526B0C"/>
    <w:rsid w:val="005364F6"/>
    <w:rsid w:val="00541867"/>
    <w:rsid w:val="00541D42"/>
    <w:rsid w:val="00544496"/>
    <w:rsid w:val="00544AA4"/>
    <w:rsid w:val="00554CA1"/>
    <w:rsid w:val="00555014"/>
    <w:rsid w:val="00556894"/>
    <w:rsid w:val="005600E7"/>
    <w:rsid w:val="005601D7"/>
    <w:rsid w:val="00561DBC"/>
    <w:rsid w:val="00570583"/>
    <w:rsid w:val="00571CD6"/>
    <w:rsid w:val="0059072B"/>
    <w:rsid w:val="00597AED"/>
    <w:rsid w:val="005A6AD9"/>
    <w:rsid w:val="005B4990"/>
    <w:rsid w:val="005C41E8"/>
    <w:rsid w:val="005C489F"/>
    <w:rsid w:val="005C568F"/>
    <w:rsid w:val="005D19E7"/>
    <w:rsid w:val="005D2426"/>
    <w:rsid w:val="005D5E16"/>
    <w:rsid w:val="005D615E"/>
    <w:rsid w:val="005E1EAE"/>
    <w:rsid w:val="005E36D3"/>
    <w:rsid w:val="005E467D"/>
    <w:rsid w:val="005E6BC1"/>
    <w:rsid w:val="005F3F02"/>
    <w:rsid w:val="00600A14"/>
    <w:rsid w:val="00600A50"/>
    <w:rsid w:val="00602F46"/>
    <w:rsid w:val="0061716E"/>
    <w:rsid w:val="00626816"/>
    <w:rsid w:val="00637A5F"/>
    <w:rsid w:val="00637D1D"/>
    <w:rsid w:val="006462C4"/>
    <w:rsid w:val="006535BB"/>
    <w:rsid w:val="00657C66"/>
    <w:rsid w:val="00667133"/>
    <w:rsid w:val="0066729D"/>
    <w:rsid w:val="00681E01"/>
    <w:rsid w:val="006865B4"/>
    <w:rsid w:val="0069260C"/>
    <w:rsid w:val="0069342B"/>
    <w:rsid w:val="00693AC0"/>
    <w:rsid w:val="0069768F"/>
    <w:rsid w:val="006A155D"/>
    <w:rsid w:val="006A2911"/>
    <w:rsid w:val="006A6A1B"/>
    <w:rsid w:val="006B3ACE"/>
    <w:rsid w:val="006B4853"/>
    <w:rsid w:val="006C05A1"/>
    <w:rsid w:val="006C103A"/>
    <w:rsid w:val="006C448A"/>
    <w:rsid w:val="006D607E"/>
    <w:rsid w:val="006E08D1"/>
    <w:rsid w:val="006F0BB6"/>
    <w:rsid w:val="006F3B6F"/>
    <w:rsid w:val="006F5D6F"/>
    <w:rsid w:val="006F7AC4"/>
    <w:rsid w:val="00703255"/>
    <w:rsid w:val="00705058"/>
    <w:rsid w:val="0070543A"/>
    <w:rsid w:val="00707B0B"/>
    <w:rsid w:val="00711686"/>
    <w:rsid w:val="00721A28"/>
    <w:rsid w:val="00724D76"/>
    <w:rsid w:val="0073529F"/>
    <w:rsid w:val="007400C7"/>
    <w:rsid w:val="00746D4B"/>
    <w:rsid w:val="007514DD"/>
    <w:rsid w:val="00756A10"/>
    <w:rsid w:val="0076399E"/>
    <w:rsid w:val="00776C81"/>
    <w:rsid w:val="00781157"/>
    <w:rsid w:val="00785EFA"/>
    <w:rsid w:val="007863A4"/>
    <w:rsid w:val="007A2745"/>
    <w:rsid w:val="007B1ACA"/>
    <w:rsid w:val="007B4A76"/>
    <w:rsid w:val="007B7E2C"/>
    <w:rsid w:val="007C07CA"/>
    <w:rsid w:val="007C0812"/>
    <w:rsid w:val="007C6772"/>
    <w:rsid w:val="007C6DAF"/>
    <w:rsid w:val="007D02A4"/>
    <w:rsid w:val="007D05A4"/>
    <w:rsid w:val="007D1023"/>
    <w:rsid w:val="007D2C4B"/>
    <w:rsid w:val="007E3618"/>
    <w:rsid w:val="007E5156"/>
    <w:rsid w:val="007F12C6"/>
    <w:rsid w:val="007F6BD2"/>
    <w:rsid w:val="00800441"/>
    <w:rsid w:val="00801609"/>
    <w:rsid w:val="00804EDE"/>
    <w:rsid w:val="00806635"/>
    <w:rsid w:val="00820E7D"/>
    <w:rsid w:val="0082338E"/>
    <w:rsid w:val="0083001F"/>
    <w:rsid w:val="00832919"/>
    <w:rsid w:val="0083377F"/>
    <w:rsid w:val="00835FB2"/>
    <w:rsid w:val="00845A11"/>
    <w:rsid w:val="00846870"/>
    <w:rsid w:val="0085072C"/>
    <w:rsid w:val="0085331C"/>
    <w:rsid w:val="0085366D"/>
    <w:rsid w:val="008559E3"/>
    <w:rsid w:val="00882ABC"/>
    <w:rsid w:val="008870E4"/>
    <w:rsid w:val="008A63C5"/>
    <w:rsid w:val="008B22C3"/>
    <w:rsid w:val="008B769F"/>
    <w:rsid w:val="008C1923"/>
    <w:rsid w:val="008C208B"/>
    <w:rsid w:val="008C4737"/>
    <w:rsid w:val="008D2438"/>
    <w:rsid w:val="008D3113"/>
    <w:rsid w:val="008E0166"/>
    <w:rsid w:val="008E245E"/>
    <w:rsid w:val="008E4563"/>
    <w:rsid w:val="008E59E2"/>
    <w:rsid w:val="008F0B25"/>
    <w:rsid w:val="008F0CEC"/>
    <w:rsid w:val="008F3C06"/>
    <w:rsid w:val="008F59FE"/>
    <w:rsid w:val="0090340D"/>
    <w:rsid w:val="0091015D"/>
    <w:rsid w:val="00923AE3"/>
    <w:rsid w:val="00931BA0"/>
    <w:rsid w:val="009344F0"/>
    <w:rsid w:val="00937FFA"/>
    <w:rsid w:val="0094192E"/>
    <w:rsid w:val="00952B9C"/>
    <w:rsid w:val="00954187"/>
    <w:rsid w:val="00962DC4"/>
    <w:rsid w:val="00963FBF"/>
    <w:rsid w:val="009657A9"/>
    <w:rsid w:val="00980038"/>
    <w:rsid w:val="009813B1"/>
    <w:rsid w:val="009861F7"/>
    <w:rsid w:val="009964EE"/>
    <w:rsid w:val="00996F12"/>
    <w:rsid w:val="009974A8"/>
    <w:rsid w:val="009A0801"/>
    <w:rsid w:val="009B0B37"/>
    <w:rsid w:val="009B2729"/>
    <w:rsid w:val="009B3130"/>
    <w:rsid w:val="009B56CC"/>
    <w:rsid w:val="009C4B80"/>
    <w:rsid w:val="009C5A6E"/>
    <w:rsid w:val="009C60FB"/>
    <w:rsid w:val="009D69DE"/>
    <w:rsid w:val="009E1FAA"/>
    <w:rsid w:val="009E36DD"/>
    <w:rsid w:val="009F1113"/>
    <w:rsid w:val="009F30FC"/>
    <w:rsid w:val="009F45C1"/>
    <w:rsid w:val="009F593E"/>
    <w:rsid w:val="00A02427"/>
    <w:rsid w:val="00A03FE9"/>
    <w:rsid w:val="00A0768E"/>
    <w:rsid w:val="00A1175B"/>
    <w:rsid w:val="00A13D2B"/>
    <w:rsid w:val="00A23C39"/>
    <w:rsid w:val="00A30E7C"/>
    <w:rsid w:val="00A32D09"/>
    <w:rsid w:val="00A4319A"/>
    <w:rsid w:val="00A443BC"/>
    <w:rsid w:val="00A460B6"/>
    <w:rsid w:val="00A52615"/>
    <w:rsid w:val="00A5398F"/>
    <w:rsid w:val="00A634A8"/>
    <w:rsid w:val="00A71F66"/>
    <w:rsid w:val="00A803D7"/>
    <w:rsid w:val="00A82F1B"/>
    <w:rsid w:val="00A868AB"/>
    <w:rsid w:val="00A933C4"/>
    <w:rsid w:val="00A960A4"/>
    <w:rsid w:val="00AA6810"/>
    <w:rsid w:val="00AB1611"/>
    <w:rsid w:val="00AB594E"/>
    <w:rsid w:val="00AC2B06"/>
    <w:rsid w:val="00AD2BD6"/>
    <w:rsid w:val="00AD38AB"/>
    <w:rsid w:val="00AD42E8"/>
    <w:rsid w:val="00AF531D"/>
    <w:rsid w:val="00B06112"/>
    <w:rsid w:val="00B12452"/>
    <w:rsid w:val="00B2732C"/>
    <w:rsid w:val="00B31C4B"/>
    <w:rsid w:val="00B36822"/>
    <w:rsid w:val="00B37E94"/>
    <w:rsid w:val="00B40282"/>
    <w:rsid w:val="00B453F1"/>
    <w:rsid w:val="00B665EB"/>
    <w:rsid w:val="00B74B31"/>
    <w:rsid w:val="00B763F3"/>
    <w:rsid w:val="00B77048"/>
    <w:rsid w:val="00B85935"/>
    <w:rsid w:val="00B861A4"/>
    <w:rsid w:val="00B87910"/>
    <w:rsid w:val="00B91100"/>
    <w:rsid w:val="00B917D2"/>
    <w:rsid w:val="00B946E6"/>
    <w:rsid w:val="00BA0A8D"/>
    <w:rsid w:val="00BA1C5C"/>
    <w:rsid w:val="00BB0CB9"/>
    <w:rsid w:val="00BB15E1"/>
    <w:rsid w:val="00BC0565"/>
    <w:rsid w:val="00BD5B9B"/>
    <w:rsid w:val="00BE3E64"/>
    <w:rsid w:val="00BE4D0C"/>
    <w:rsid w:val="00BE5AED"/>
    <w:rsid w:val="00BE7D43"/>
    <w:rsid w:val="00BF0CC4"/>
    <w:rsid w:val="00BF2D2D"/>
    <w:rsid w:val="00C23694"/>
    <w:rsid w:val="00C25F9F"/>
    <w:rsid w:val="00C32344"/>
    <w:rsid w:val="00C32A9B"/>
    <w:rsid w:val="00C4128C"/>
    <w:rsid w:val="00C42D6F"/>
    <w:rsid w:val="00C50DB0"/>
    <w:rsid w:val="00C50DF7"/>
    <w:rsid w:val="00C57E95"/>
    <w:rsid w:val="00C6201D"/>
    <w:rsid w:val="00C7129F"/>
    <w:rsid w:val="00C71732"/>
    <w:rsid w:val="00C74A3B"/>
    <w:rsid w:val="00C74B6C"/>
    <w:rsid w:val="00CB22AB"/>
    <w:rsid w:val="00CB2469"/>
    <w:rsid w:val="00CB420D"/>
    <w:rsid w:val="00CC10BA"/>
    <w:rsid w:val="00CC1576"/>
    <w:rsid w:val="00CD67A8"/>
    <w:rsid w:val="00CE1FE5"/>
    <w:rsid w:val="00CE42A5"/>
    <w:rsid w:val="00CE5915"/>
    <w:rsid w:val="00CF0E0E"/>
    <w:rsid w:val="00CF149B"/>
    <w:rsid w:val="00CF46A0"/>
    <w:rsid w:val="00CF51CF"/>
    <w:rsid w:val="00D0033F"/>
    <w:rsid w:val="00D00D85"/>
    <w:rsid w:val="00D01E52"/>
    <w:rsid w:val="00D07F11"/>
    <w:rsid w:val="00D226CF"/>
    <w:rsid w:val="00D26C76"/>
    <w:rsid w:val="00D3084C"/>
    <w:rsid w:val="00D37D6C"/>
    <w:rsid w:val="00D44E51"/>
    <w:rsid w:val="00D625D5"/>
    <w:rsid w:val="00D64E3D"/>
    <w:rsid w:val="00D66CD8"/>
    <w:rsid w:val="00D76C07"/>
    <w:rsid w:val="00D81E18"/>
    <w:rsid w:val="00D85950"/>
    <w:rsid w:val="00DA034D"/>
    <w:rsid w:val="00DA2E17"/>
    <w:rsid w:val="00DB3C03"/>
    <w:rsid w:val="00DB5028"/>
    <w:rsid w:val="00DC3269"/>
    <w:rsid w:val="00DC5574"/>
    <w:rsid w:val="00DD10AD"/>
    <w:rsid w:val="00DD3B7A"/>
    <w:rsid w:val="00DF14BB"/>
    <w:rsid w:val="00DF6685"/>
    <w:rsid w:val="00DF7B95"/>
    <w:rsid w:val="00E00C1B"/>
    <w:rsid w:val="00E03CDB"/>
    <w:rsid w:val="00E07A4B"/>
    <w:rsid w:val="00E11597"/>
    <w:rsid w:val="00E14AC4"/>
    <w:rsid w:val="00E232CD"/>
    <w:rsid w:val="00E25B73"/>
    <w:rsid w:val="00E260F5"/>
    <w:rsid w:val="00E27D76"/>
    <w:rsid w:val="00E30FE5"/>
    <w:rsid w:val="00E3327F"/>
    <w:rsid w:val="00E37285"/>
    <w:rsid w:val="00E37514"/>
    <w:rsid w:val="00E403CE"/>
    <w:rsid w:val="00E52CE0"/>
    <w:rsid w:val="00E55514"/>
    <w:rsid w:val="00E719E1"/>
    <w:rsid w:val="00E72FFD"/>
    <w:rsid w:val="00E77171"/>
    <w:rsid w:val="00E86890"/>
    <w:rsid w:val="00E8716D"/>
    <w:rsid w:val="00E910BD"/>
    <w:rsid w:val="00EA3081"/>
    <w:rsid w:val="00EA488A"/>
    <w:rsid w:val="00EA5F04"/>
    <w:rsid w:val="00EB6A62"/>
    <w:rsid w:val="00EF79A6"/>
    <w:rsid w:val="00F02AB8"/>
    <w:rsid w:val="00F16B17"/>
    <w:rsid w:val="00F211EF"/>
    <w:rsid w:val="00F32528"/>
    <w:rsid w:val="00F330DD"/>
    <w:rsid w:val="00F41EBF"/>
    <w:rsid w:val="00F45295"/>
    <w:rsid w:val="00F60923"/>
    <w:rsid w:val="00F60ACD"/>
    <w:rsid w:val="00F67F67"/>
    <w:rsid w:val="00F77100"/>
    <w:rsid w:val="00F81749"/>
    <w:rsid w:val="00F82923"/>
    <w:rsid w:val="00F9321D"/>
    <w:rsid w:val="00FA00A3"/>
    <w:rsid w:val="00FA30EC"/>
    <w:rsid w:val="00FB155C"/>
    <w:rsid w:val="00FB7FCF"/>
    <w:rsid w:val="00FC2194"/>
    <w:rsid w:val="00FC723B"/>
    <w:rsid w:val="00FD29B7"/>
    <w:rsid w:val="00FD2D59"/>
    <w:rsid w:val="00FD47E5"/>
    <w:rsid w:val="00FD608E"/>
    <w:rsid w:val="00FE26BB"/>
    <w:rsid w:val="00FE28A8"/>
    <w:rsid w:val="00FE78FF"/>
    <w:rsid w:val="00FF0F2A"/>
    <w:rsid w:val="00FF7422"/>
    <w:rsid w:val="01386061"/>
    <w:rsid w:val="01B968DC"/>
    <w:rsid w:val="01C247F0"/>
    <w:rsid w:val="01EE457E"/>
    <w:rsid w:val="020F2EC2"/>
    <w:rsid w:val="02223D56"/>
    <w:rsid w:val="02355837"/>
    <w:rsid w:val="0259428F"/>
    <w:rsid w:val="026E0D49"/>
    <w:rsid w:val="02755A92"/>
    <w:rsid w:val="027D0F8C"/>
    <w:rsid w:val="028C69AB"/>
    <w:rsid w:val="02CD3CC1"/>
    <w:rsid w:val="02CD5B4D"/>
    <w:rsid w:val="02E0514E"/>
    <w:rsid w:val="02E0697D"/>
    <w:rsid w:val="02F963E5"/>
    <w:rsid w:val="03157416"/>
    <w:rsid w:val="032D4760"/>
    <w:rsid w:val="0337738D"/>
    <w:rsid w:val="034C108A"/>
    <w:rsid w:val="03504DB2"/>
    <w:rsid w:val="0374238F"/>
    <w:rsid w:val="037E2547"/>
    <w:rsid w:val="03876786"/>
    <w:rsid w:val="03960557"/>
    <w:rsid w:val="03A21A2A"/>
    <w:rsid w:val="03AC38D7"/>
    <w:rsid w:val="040E27E3"/>
    <w:rsid w:val="041F7E1A"/>
    <w:rsid w:val="044E498E"/>
    <w:rsid w:val="045B70AB"/>
    <w:rsid w:val="0465083F"/>
    <w:rsid w:val="046A6534"/>
    <w:rsid w:val="04845441"/>
    <w:rsid w:val="0492161E"/>
    <w:rsid w:val="04BC1C60"/>
    <w:rsid w:val="04BD1B14"/>
    <w:rsid w:val="058645FB"/>
    <w:rsid w:val="0588594D"/>
    <w:rsid w:val="05924D4E"/>
    <w:rsid w:val="05983553"/>
    <w:rsid w:val="05AD6728"/>
    <w:rsid w:val="062F2225"/>
    <w:rsid w:val="06304187"/>
    <w:rsid w:val="065169B7"/>
    <w:rsid w:val="06770305"/>
    <w:rsid w:val="067B65FE"/>
    <w:rsid w:val="06D118A6"/>
    <w:rsid w:val="06E72E78"/>
    <w:rsid w:val="06F7755F"/>
    <w:rsid w:val="073C1416"/>
    <w:rsid w:val="078B2B0E"/>
    <w:rsid w:val="079C0106"/>
    <w:rsid w:val="07F97307"/>
    <w:rsid w:val="08624EAC"/>
    <w:rsid w:val="086724C2"/>
    <w:rsid w:val="087F5A5E"/>
    <w:rsid w:val="08843074"/>
    <w:rsid w:val="089E3A0A"/>
    <w:rsid w:val="08AA2D39"/>
    <w:rsid w:val="08DF02AB"/>
    <w:rsid w:val="09077801"/>
    <w:rsid w:val="09AB63DF"/>
    <w:rsid w:val="0A0501E5"/>
    <w:rsid w:val="0A256191"/>
    <w:rsid w:val="0A776862"/>
    <w:rsid w:val="0A943317"/>
    <w:rsid w:val="0B3444A4"/>
    <w:rsid w:val="0B4F180D"/>
    <w:rsid w:val="0B971310"/>
    <w:rsid w:val="0BB023D2"/>
    <w:rsid w:val="0C142961"/>
    <w:rsid w:val="0C48260B"/>
    <w:rsid w:val="0C6028A5"/>
    <w:rsid w:val="0CB8153E"/>
    <w:rsid w:val="0CBB4B8B"/>
    <w:rsid w:val="0CF4009D"/>
    <w:rsid w:val="0D200E92"/>
    <w:rsid w:val="0D316917"/>
    <w:rsid w:val="0D3D5EE8"/>
    <w:rsid w:val="0D4C1C87"/>
    <w:rsid w:val="0D7865A5"/>
    <w:rsid w:val="0D7C3751"/>
    <w:rsid w:val="0DA41AC3"/>
    <w:rsid w:val="0DA64224"/>
    <w:rsid w:val="0DB461AA"/>
    <w:rsid w:val="0DB927B1"/>
    <w:rsid w:val="0DC3278F"/>
    <w:rsid w:val="0DF2282E"/>
    <w:rsid w:val="0E100F06"/>
    <w:rsid w:val="0E1053AA"/>
    <w:rsid w:val="0E370B89"/>
    <w:rsid w:val="0E545297"/>
    <w:rsid w:val="0E741076"/>
    <w:rsid w:val="0E766F11"/>
    <w:rsid w:val="0E9567E5"/>
    <w:rsid w:val="0EAE1FFE"/>
    <w:rsid w:val="0ED03196"/>
    <w:rsid w:val="0ED420AD"/>
    <w:rsid w:val="0F5D63CD"/>
    <w:rsid w:val="0F782998"/>
    <w:rsid w:val="0FA47B58"/>
    <w:rsid w:val="0FC65D20"/>
    <w:rsid w:val="1066305F"/>
    <w:rsid w:val="10831A1E"/>
    <w:rsid w:val="10C05092"/>
    <w:rsid w:val="10D660D9"/>
    <w:rsid w:val="10EC478D"/>
    <w:rsid w:val="11025A28"/>
    <w:rsid w:val="11256311"/>
    <w:rsid w:val="113849FC"/>
    <w:rsid w:val="118C2F9A"/>
    <w:rsid w:val="118F0A79"/>
    <w:rsid w:val="11B06C88"/>
    <w:rsid w:val="11BD3153"/>
    <w:rsid w:val="11DC7A7D"/>
    <w:rsid w:val="11EA1F16"/>
    <w:rsid w:val="12486EC1"/>
    <w:rsid w:val="124F64A1"/>
    <w:rsid w:val="12802AFE"/>
    <w:rsid w:val="12E34E3B"/>
    <w:rsid w:val="12EC0194"/>
    <w:rsid w:val="12FD414F"/>
    <w:rsid w:val="1303728B"/>
    <w:rsid w:val="131B5476"/>
    <w:rsid w:val="13390EFF"/>
    <w:rsid w:val="133E6515"/>
    <w:rsid w:val="137837D5"/>
    <w:rsid w:val="138201E8"/>
    <w:rsid w:val="13B567D8"/>
    <w:rsid w:val="13CA5617"/>
    <w:rsid w:val="13F05A62"/>
    <w:rsid w:val="13F80FDE"/>
    <w:rsid w:val="140834A9"/>
    <w:rsid w:val="140841E6"/>
    <w:rsid w:val="141C6857"/>
    <w:rsid w:val="141D38AA"/>
    <w:rsid w:val="14223741"/>
    <w:rsid w:val="142B4CEC"/>
    <w:rsid w:val="144E09DA"/>
    <w:rsid w:val="14537D9F"/>
    <w:rsid w:val="147F0B94"/>
    <w:rsid w:val="14972381"/>
    <w:rsid w:val="14B04F4C"/>
    <w:rsid w:val="14E242BD"/>
    <w:rsid w:val="150F12E8"/>
    <w:rsid w:val="152D6842"/>
    <w:rsid w:val="15415E49"/>
    <w:rsid w:val="15431BC1"/>
    <w:rsid w:val="15806971"/>
    <w:rsid w:val="158C3568"/>
    <w:rsid w:val="15BB5BFB"/>
    <w:rsid w:val="15DD0268"/>
    <w:rsid w:val="15FB656A"/>
    <w:rsid w:val="162B2D81"/>
    <w:rsid w:val="16382C8B"/>
    <w:rsid w:val="16A50DC5"/>
    <w:rsid w:val="16E318AE"/>
    <w:rsid w:val="16FF2141"/>
    <w:rsid w:val="17171557"/>
    <w:rsid w:val="17673D42"/>
    <w:rsid w:val="17712A16"/>
    <w:rsid w:val="17B648CC"/>
    <w:rsid w:val="17ED041F"/>
    <w:rsid w:val="17F0258C"/>
    <w:rsid w:val="17F65611"/>
    <w:rsid w:val="18137F71"/>
    <w:rsid w:val="18233196"/>
    <w:rsid w:val="18403A08"/>
    <w:rsid w:val="1844012A"/>
    <w:rsid w:val="18506ACF"/>
    <w:rsid w:val="18632516"/>
    <w:rsid w:val="186C142F"/>
    <w:rsid w:val="18786026"/>
    <w:rsid w:val="187C78C4"/>
    <w:rsid w:val="18890233"/>
    <w:rsid w:val="18B73333"/>
    <w:rsid w:val="18BA5E1D"/>
    <w:rsid w:val="18C96881"/>
    <w:rsid w:val="190860B0"/>
    <w:rsid w:val="190C3217"/>
    <w:rsid w:val="19377225"/>
    <w:rsid w:val="195F2D42"/>
    <w:rsid w:val="196D1903"/>
    <w:rsid w:val="197C448C"/>
    <w:rsid w:val="19A25B91"/>
    <w:rsid w:val="19EC0A79"/>
    <w:rsid w:val="1A13511A"/>
    <w:rsid w:val="1A222683"/>
    <w:rsid w:val="1A332204"/>
    <w:rsid w:val="1A3A17E5"/>
    <w:rsid w:val="1A3E3A1B"/>
    <w:rsid w:val="1A5B175B"/>
    <w:rsid w:val="1A791CC0"/>
    <w:rsid w:val="1A9A2283"/>
    <w:rsid w:val="1A9C0C5E"/>
    <w:rsid w:val="1AAD0F51"/>
    <w:rsid w:val="1AAE5D2F"/>
    <w:rsid w:val="1ABF1CEA"/>
    <w:rsid w:val="1B244243"/>
    <w:rsid w:val="1B547B18"/>
    <w:rsid w:val="1B6E3DF9"/>
    <w:rsid w:val="1B823C34"/>
    <w:rsid w:val="1BC670A8"/>
    <w:rsid w:val="1BE00FAB"/>
    <w:rsid w:val="1BE35EAC"/>
    <w:rsid w:val="1BED0AD9"/>
    <w:rsid w:val="1BED0F1A"/>
    <w:rsid w:val="1BFE2CE6"/>
    <w:rsid w:val="1C054074"/>
    <w:rsid w:val="1C0E2F29"/>
    <w:rsid w:val="1C551E6F"/>
    <w:rsid w:val="1C56667E"/>
    <w:rsid w:val="1C6E1C1A"/>
    <w:rsid w:val="1C770752"/>
    <w:rsid w:val="1C9A47BD"/>
    <w:rsid w:val="1CBF06C7"/>
    <w:rsid w:val="1CC52267"/>
    <w:rsid w:val="1D3F7112"/>
    <w:rsid w:val="1D507571"/>
    <w:rsid w:val="1D81772B"/>
    <w:rsid w:val="1DC1427C"/>
    <w:rsid w:val="1DC80DD6"/>
    <w:rsid w:val="1DEF352E"/>
    <w:rsid w:val="1E004AF3"/>
    <w:rsid w:val="1E2458FF"/>
    <w:rsid w:val="1E4574C1"/>
    <w:rsid w:val="1E747358"/>
    <w:rsid w:val="1EA8294E"/>
    <w:rsid w:val="1ED33FB6"/>
    <w:rsid w:val="1EEE7042"/>
    <w:rsid w:val="1F095C2A"/>
    <w:rsid w:val="1F0979D8"/>
    <w:rsid w:val="1F414FC7"/>
    <w:rsid w:val="1F8F4381"/>
    <w:rsid w:val="1FA44179"/>
    <w:rsid w:val="1FB01A89"/>
    <w:rsid w:val="1FB50E7A"/>
    <w:rsid w:val="1FDC333E"/>
    <w:rsid w:val="200C5D62"/>
    <w:rsid w:val="201054AB"/>
    <w:rsid w:val="20A200E4"/>
    <w:rsid w:val="20B61DE1"/>
    <w:rsid w:val="20D504B9"/>
    <w:rsid w:val="20FD356C"/>
    <w:rsid w:val="211F34E2"/>
    <w:rsid w:val="21246D4B"/>
    <w:rsid w:val="2130749E"/>
    <w:rsid w:val="215337A9"/>
    <w:rsid w:val="2174274D"/>
    <w:rsid w:val="21C1459A"/>
    <w:rsid w:val="22027E59"/>
    <w:rsid w:val="220B3A67"/>
    <w:rsid w:val="221943D6"/>
    <w:rsid w:val="22273865"/>
    <w:rsid w:val="224E785D"/>
    <w:rsid w:val="226A5AA8"/>
    <w:rsid w:val="228B5702"/>
    <w:rsid w:val="228E4DC3"/>
    <w:rsid w:val="228F4698"/>
    <w:rsid w:val="22A2261D"/>
    <w:rsid w:val="22B31152"/>
    <w:rsid w:val="22B339E4"/>
    <w:rsid w:val="231D7EF5"/>
    <w:rsid w:val="231E686E"/>
    <w:rsid w:val="23473A49"/>
    <w:rsid w:val="23BE2382"/>
    <w:rsid w:val="23C50DBF"/>
    <w:rsid w:val="23E01592"/>
    <w:rsid w:val="2403533D"/>
    <w:rsid w:val="241906BD"/>
    <w:rsid w:val="24195E4B"/>
    <w:rsid w:val="243A6885"/>
    <w:rsid w:val="244871F4"/>
    <w:rsid w:val="247B3126"/>
    <w:rsid w:val="247E49C4"/>
    <w:rsid w:val="249F5D82"/>
    <w:rsid w:val="24DE1906"/>
    <w:rsid w:val="24F365B4"/>
    <w:rsid w:val="253357AE"/>
    <w:rsid w:val="254259F1"/>
    <w:rsid w:val="25493A91"/>
    <w:rsid w:val="25494FD2"/>
    <w:rsid w:val="255F702F"/>
    <w:rsid w:val="2584600A"/>
    <w:rsid w:val="258E0C37"/>
    <w:rsid w:val="25A222D8"/>
    <w:rsid w:val="25BA0DBF"/>
    <w:rsid w:val="25C91C6F"/>
    <w:rsid w:val="25D91A39"/>
    <w:rsid w:val="25F27417"/>
    <w:rsid w:val="267047E0"/>
    <w:rsid w:val="26D47839"/>
    <w:rsid w:val="26DB60FD"/>
    <w:rsid w:val="270A0791"/>
    <w:rsid w:val="270C4509"/>
    <w:rsid w:val="27275F62"/>
    <w:rsid w:val="27344C09"/>
    <w:rsid w:val="27554102"/>
    <w:rsid w:val="27C83DAF"/>
    <w:rsid w:val="28212236"/>
    <w:rsid w:val="28575C58"/>
    <w:rsid w:val="287141A0"/>
    <w:rsid w:val="289005D2"/>
    <w:rsid w:val="289247AB"/>
    <w:rsid w:val="28A075FF"/>
    <w:rsid w:val="28EC45F2"/>
    <w:rsid w:val="28ED0B4B"/>
    <w:rsid w:val="28F3580D"/>
    <w:rsid w:val="290A4A78"/>
    <w:rsid w:val="293B7327"/>
    <w:rsid w:val="296C7081"/>
    <w:rsid w:val="29B9024C"/>
    <w:rsid w:val="29CD55C0"/>
    <w:rsid w:val="29DA269C"/>
    <w:rsid w:val="2A082EC2"/>
    <w:rsid w:val="2A1536D4"/>
    <w:rsid w:val="2A2658E2"/>
    <w:rsid w:val="2A2878AC"/>
    <w:rsid w:val="2A5D0CCC"/>
    <w:rsid w:val="2A720B27"/>
    <w:rsid w:val="2A8604B5"/>
    <w:rsid w:val="2A8940C2"/>
    <w:rsid w:val="2A8C5B91"/>
    <w:rsid w:val="2AAC5B7A"/>
    <w:rsid w:val="2ABF7AE4"/>
    <w:rsid w:val="2AF21C68"/>
    <w:rsid w:val="2AFA28CA"/>
    <w:rsid w:val="2B0400AD"/>
    <w:rsid w:val="2B0A22B9"/>
    <w:rsid w:val="2B1240B8"/>
    <w:rsid w:val="2B397896"/>
    <w:rsid w:val="2B5629EB"/>
    <w:rsid w:val="2B7B1C5D"/>
    <w:rsid w:val="2BD10CEF"/>
    <w:rsid w:val="2BD355F5"/>
    <w:rsid w:val="2BDA3F8C"/>
    <w:rsid w:val="2C1F4CDE"/>
    <w:rsid w:val="2C2916B9"/>
    <w:rsid w:val="2C2B6179"/>
    <w:rsid w:val="2C3D6F12"/>
    <w:rsid w:val="2C7C7BD9"/>
    <w:rsid w:val="2C866B0B"/>
    <w:rsid w:val="2C8C3009"/>
    <w:rsid w:val="2C956D4E"/>
    <w:rsid w:val="2CC118F2"/>
    <w:rsid w:val="2CDA5AF8"/>
    <w:rsid w:val="2D26209C"/>
    <w:rsid w:val="2D372842"/>
    <w:rsid w:val="2DAF2092"/>
    <w:rsid w:val="2E150147"/>
    <w:rsid w:val="2E440A2C"/>
    <w:rsid w:val="2EA74B17"/>
    <w:rsid w:val="2EA80FBB"/>
    <w:rsid w:val="2EBD433B"/>
    <w:rsid w:val="2EBF00B3"/>
    <w:rsid w:val="2F034443"/>
    <w:rsid w:val="2F2E6FE6"/>
    <w:rsid w:val="2F366637"/>
    <w:rsid w:val="2F57336F"/>
    <w:rsid w:val="2F68074A"/>
    <w:rsid w:val="2F854E58"/>
    <w:rsid w:val="2F996B56"/>
    <w:rsid w:val="2FA31782"/>
    <w:rsid w:val="2FA554FB"/>
    <w:rsid w:val="2FC736C3"/>
    <w:rsid w:val="30562C99"/>
    <w:rsid w:val="30CB0F91"/>
    <w:rsid w:val="30DD0CC4"/>
    <w:rsid w:val="30E43E01"/>
    <w:rsid w:val="30EE1123"/>
    <w:rsid w:val="30F27F40"/>
    <w:rsid w:val="310821E5"/>
    <w:rsid w:val="310C2429"/>
    <w:rsid w:val="315076E8"/>
    <w:rsid w:val="31582513"/>
    <w:rsid w:val="31772EC7"/>
    <w:rsid w:val="318C4BC4"/>
    <w:rsid w:val="318E12DA"/>
    <w:rsid w:val="3196159F"/>
    <w:rsid w:val="31AD0696"/>
    <w:rsid w:val="31D24707"/>
    <w:rsid w:val="31E56082"/>
    <w:rsid w:val="31F462C5"/>
    <w:rsid w:val="31FE6654"/>
    <w:rsid w:val="322841C1"/>
    <w:rsid w:val="32676A97"/>
    <w:rsid w:val="33775400"/>
    <w:rsid w:val="33AC07F6"/>
    <w:rsid w:val="33AF4B9A"/>
    <w:rsid w:val="33DB598F"/>
    <w:rsid w:val="33F11D7C"/>
    <w:rsid w:val="34264730"/>
    <w:rsid w:val="342F7A89"/>
    <w:rsid w:val="34655C36"/>
    <w:rsid w:val="34675474"/>
    <w:rsid w:val="348953EB"/>
    <w:rsid w:val="34A264AC"/>
    <w:rsid w:val="34BA2405"/>
    <w:rsid w:val="352E09B0"/>
    <w:rsid w:val="354E2190"/>
    <w:rsid w:val="3550415A"/>
    <w:rsid w:val="35EE38D9"/>
    <w:rsid w:val="36054F45"/>
    <w:rsid w:val="361E7DB5"/>
    <w:rsid w:val="36251143"/>
    <w:rsid w:val="367A02F3"/>
    <w:rsid w:val="36941E25"/>
    <w:rsid w:val="3733242D"/>
    <w:rsid w:val="373F6235"/>
    <w:rsid w:val="377759CE"/>
    <w:rsid w:val="378E0F6A"/>
    <w:rsid w:val="379F4F25"/>
    <w:rsid w:val="37F76B0F"/>
    <w:rsid w:val="38003C16"/>
    <w:rsid w:val="38013E05"/>
    <w:rsid w:val="381E409C"/>
    <w:rsid w:val="383A69FC"/>
    <w:rsid w:val="38912AC0"/>
    <w:rsid w:val="38983E4E"/>
    <w:rsid w:val="38AF2F46"/>
    <w:rsid w:val="38D17360"/>
    <w:rsid w:val="3917772D"/>
    <w:rsid w:val="39986A29"/>
    <w:rsid w:val="39B0341A"/>
    <w:rsid w:val="39BC1DBE"/>
    <w:rsid w:val="39D85D53"/>
    <w:rsid w:val="39E84962"/>
    <w:rsid w:val="39FE3169"/>
    <w:rsid w:val="3A6844E3"/>
    <w:rsid w:val="3A695377"/>
    <w:rsid w:val="3A7C13B0"/>
    <w:rsid w:val="3AA31E46"/>
    <w:rsid w:val="3AA7481D"/>
    <w:rsid w:val="3AAA60BB"/>
    <w:rsid w:val="3B51391F"/>
    <w:rsid w:val="3B9528C7"/>
    <w:rsid w:val="3C310956"/>
    <w:rsid w:val="3C6E4EC6"/>
    <w:rsid w:val="3CF87579"/>
    <w:rsid w:val="3CF90C34"/>
    <w:rsid w:val="3D145A6E"/>
    <w:rsid w:val="3D1F2BE6"/>
    <w:rsid w:val="3D2832C7"/>
    <w:rsid w:val="3D5D0C83"/>
    <w:rsid w:val="3D5F66E9"/>
    <w:rsid w:val="3D712EC0"/>
    <w:rsid w:val="3D7E738B"/>
    <w:rsid w:val="3DA571CB"/>
    <w:rsid w:val="3DD27E02"/>
    <w:rsid w:val="3DF77869"/>
    <w:rsid w:val="3DFC1DCA"/>
    <w:rsid w:val="3E1261BB"/>
    <w:rsid w:val="3E6622F9"/>
    <w:rsid w:val="3E676138"/>
    <w:rsid w:val="3EA03A5D"/>
    <w:rsid w:val="3EA84A7F"/>
    <w:rsid w:val="3EB05C6A"/>
    <w:rsid w:val="3ECE7753"/>
    <w:rsid w:val="3ED665A4"/>
    <w:rsid w:val="3F092439"/>
    <w:rsid w:val="3F3E27E1"/>
    <w:rsid w:val="40161AFD"/>
    <w:rsid w:val="401A783F"/>
    <w:rsid w:val="40C9210B"/>
    <w:rsid w:val="40F43395"/>
    <w:rsid w:val="40FB7670"/>
    <w:rsid w:val="410B3BDF"/>
    <w:rsid w:val="41277271"/>
    <w:rsid w:val="413B7A6D"/>
    <w:rsid w:val="41432DC5"/>
    <w:rsid w:val="4167082D"/>
    <w:rsid w:val="418C651A"/>
    <w:rsid w:val="41970A1B"/>
    <w:rsid w:val="41AC096A"/>
    <w:rsid w:val="41C87BC5"/>
    <w:rsid w:val="42004812"/>
    <w:rsid w:val="420A743F"/>
    <w:rsid w:val="424C7A58"/>
    <w:rsid w:val="42750D5C"/>
    <w:rsid w:val="42963368"/>
    <w:rsid w:val="42AE2566"/>
    <w:rsid w:val="42BA2C13"/>
    <w:rsid w:val="42D40179"/>
    <w:rsid w:val="42D91711"/>
    <w:rsid w:val="435466E2"/>
    <w:rsid w:val="435C3DF2"/>
    <w:rsid w:val="436D5ED7"/>
    <w:rsid w:val="439045CA"/>
    <w:rsid w:val="43C55D14"/>
    <w:rsid w:val="441F5D36"/>
    <w:rsid w:val="44495C0D"/>
    <w:rsid w:val="444B446B"/>
    <w:rsid w:val="444C3D3F"/>
    <w:rsid w:val="446C618F"/>
    <w:rsid w:val="44CC46BA"/>
    <w:rsid w:val="44D81A76"/>
    <w:rsid w:val="44D94BC1"/>
    <w:rsid w:val="44DE708D"/>
    <w:rsid w:val="44DF2AD6"/>
    <w:rsid w:val="44FE772F"/>
    <w:rsid w:val="45012D7B"/>
    <w:rsid w:val="452151CC"/>
    <w:rsid w:val="454A2974"/>
    <w:rsid w:val="456A4DC4"/>
    <w:rsid w:val="45CC5137"/>
    <w:rsid w:val="45FB2E0F"/>
    <w:rsid w:val="46492C2C"/>
    <w:rsid w:val="46595D3C"/>
    <w:rsid w:val="46696E2A"/>
    <w:rsid w:val="46733805"/>
    <w:rsid w:val="467632F5"/>
    <w:rsid w:val="467B090B"/>
    <w:rsid w:val="468A6DA0"/>
    <w:rsid w:val="46BE0AA8"/>
    <w:rsid w:val="46DF533E"/>
    <w:rsid w:val="471C3E9C"/>
    <w:rsid w:val="472E597E"/>
    <w:rsid w:val="475A0CE5"/>
    <w:rsid w:val="47694C08"/>
    <w:rsid w:val="477C907E"/>
    <w:rsid w:val="47D93B3C"/>
    <w:rsid w:val="47E66258"/>
    <w:rsid w:val="47EB1EC9"/>
    <w:rsid w:val="48223734"/>
    <w:rsid w:val="48235EC9"/>
    <w:rsid w:val="483E71A4"/>
    <w:rsid w:val="48457423"/>
    <w:rsid w:val="48735D3E"/>
    <w:rsid w:val="487D096B"/>
    <w:rsid w:val="48AC74A2"/>
    <w:rsid w:val="48CC18F2"/>
    <w:rsid w:val="48D12D87"/>
    <w:rsid w:val="48DE2D8B"/>
    <w:rsid w:val="48EB6400"/>
    <w:rsid w:val="490177EE"/>
    <w:rsid w:val="49121BEA"/>
    <w:rsid w:val="492139EC"/>
    <w:rsid w:val="492A64E1"/>
    <w:rsid w:val="49465201"/>
    <w:rsid w:val="494B2817"/>
    <w:rsid w:val="49724248"/>
    <w:rsid w:val="499917D4"/>
    <w:rsid w:val="49A60192"/>
    <w:rsid w:val="49C36851"/>
    <w:rsid w:val="49DF0562"/>
    <w:rsid w:val="4A084BAC"/>
    <w:rsid w:val="4A111CB3"/>
    <w:rsid w:val="4A4D3632"/>
    <w:rsid w:val="4A842484"/>
    <w:rsid w:val="4A897A9B"/>
    <w:rsid w:val="4AB50890"/>
    <w:rsid w:val="4AE05FCF"/>
    <w:rsid w:val="4B241572"/>
    <w:rsid w:val="4B4C2876"/>
    <w:rsid w:val="4B502367"/>
    <w:rsid w:val="4B7C0157"/>
    <w:rsid w:val="4B8A1D1C"/>
    <w:rsid w:val="4B9D5D87"/>
    <w:rsid w:val="4BE66BB2"/>
    <w:rsid w:val="4BF90C50"/>
    <w:rsid w:val="4C093EF4"/>
    <w:rsid w:val="4C1C66ED"/>
    <w:rsid w:val="4C487242"/>
    <w:rsid w:val="4C59349D"/>
    <w:rsid w:val="4C6A7458"/>
    <w:rsid w:val="4C766400"/>
    <w:rsid w:val="4CC72AFC"/>
    <w:rsid w:val="4D203FBB"/>
    <w:rsid w:val="4D2A6BE7"/>
    <w:rsid w:val="4D2B4E39"/>
    <w:rsid w:val="4D2F33D6"/>
    <w:rsid w:val="4D4B7289"/>
    <w:rsid w:val="4DB0533F"/>
    <w:rsid w:val="4DB12E65"/>
    <w:rsid w:val="4DD3102D"/>
    <w:rsid w:val="4E0728B4"/>
    <w:rsid w:val="4E173610"/>
    <w:rsid w:val="4E2B70BB"/>
    <w:rsid w:val="4E3F346D"/>
    <w:rsid w:val="4E546612"/>
    <w:rsid w:val="4E944D78"/>
    <w:rsid w:val="4EA40C13"/>
    <w:rsid w:val="4EA56E6D"/>
    <w:rsid w:val="4EE8395F"/>
    <w:rsid w:val="4F1638C7"/>
    <w:rsid w:val="4F416B96"/>
    <w:rsid w:val="4F477F24"/>
    <w:rsid w:val="4FD6D2D6"/>
    <w:rsid w:val="4FE6773D"/>
    <w:rsid w:val="505A5A36"/>
    <w:rsid w:val="506B379F"/>
    <w:rsid w:val="506D39BB"/>
    <w:rsid w:val="5084687B"/>
    <w:rsid w:val="5095081C"/>
    <w:rsid w:val="509F428D"/>
    <w:rsid w:val="50A32E00"/>
    <w:rsid w:val="50AD025B"/>
    <w:rsid w:val="5111638F"/>
    <w:rsid w:val="517D4639"/>
    <w:rsid w:val="51C413B8"/>
    <w:rsid w:val="51C770FB"/>
    <w:rsid w:val="51E66D57"/>
    <w:rsid w:val="521A1920"/>
    <w:rsid w:val="52293911"/>
    <w:rsid w:val="522956BF"/>
    <w:rsid w:val="522E1E73"/>
    <w:rsid w:val="523A78CD"/>
    <w:rsid w:val="525564B4"/>
    <w:rsid w:val="52756B57"/>
    <w:rsid w:val="52D600A0"/>
    <w:rsid w:val="52E837CD"/>
    <w:rsid w:val="52EF7CAB"/>
    <w:rsid w:val="536015B5"/>
    <w:rsid w:val="5396225C"/>
    <w:rsid w:val="53BD6A07"/>
    <w:rsid w:val="53E9319D"/>
    <w:rsid w:val="53F83E46"/>
    <w:rsid w:val="5455279C"/>
    <w:rsid w:val="54686973"/>
    <w:rsid w:val="54A13C33"/>
    <w:rsid w:val="54D47B64"/>
    <w:rsid w:val="54EA7388"/>
    <w:rsid w:val="55033A9B"/>
    <w:rsid w:val="55083CB2"/>
    <w:rsid w:val="55517407"/>
    <w:rsid w:val="5560589C"/>
    <w:rsid w:val="55857D83"/>
    <w:rsid w:val="55AF05D2"/>
    <w:rsid w:val="55B654BC"/>
    <w:rsid w:val="55E47761"/>
    <w:rsid w:val="55FD758F"/>
    <w:rsid w:val="5604091D"/>
    <w:rsid w:val="560C332E"/>
    <w:rsid w:val="567315FF"/>
    <w:rsid w:val="56AD2D63"/>
    <w:rsid w:val="56B90A1A"/>
    <w:rsid w:val="56C67981"/>
    <w:rsid w:val="56CF0F2B"/>
    <w:rsid w:val="57392849"/>
    <w:rsid w:val="57425250"/>
    <w:rsid w:val="575B143F"/>
    <w:rsid w:val="57646444"/>
    <w:rsid w:val="579D1EE7"/>
    <w:rsid w:val="57B679F5"/>
    <w:rsid w:val="57BD6FD6"/>
    <w:rsid w:val="57C35D16"/>
    <w:rsid w:val="58061C18"/>
    <w:rsid w:val="58226E39"/>
    <w:rsid w:val="58694A68"/>
    <w:rsid w:val="5886386C"/>
    <w:rsid w:val="58B303D9"/>
    <w:rsid w:val="58BE37A1"/>
    <w:rsid w:val="58C16652"/>
    <w:rsid w:val="58DA7055"/>
    <w:rsid w:val="58E55FB2"/>
    <w:rsid w:val="59181F53"/>
    <w:rsid w:val="591A0A46"/>
    <w:rsid w:val="59366A51"/>
    <w:rsid w:val="59682F71"/>
    <w:rsid w:val="59927FEE"/>
    <w:rsid w:val="59B85CA7"/>
    <w:rsid w:val="59F92DC7"/>
    <w:rsid w:val="59FB3DE5"/>
    <w:rsid w:val="5A122A3F"/>
    <w:rsid w:val="5A353355"/>
    <w:rsid w:val="5A364E1D"/>
    <w:rsid w:val="5A511C57"/>
    <w:rsid w:val="5A5534F6"/>
    <w:rsid w:val="5A6F25B6"/>
    <w:rsid w:val="5A715E56"/>
    <w:rsid w:val="5AAC3332"/>
    <w:rsid w:val="5AE52D56"/>
    <w:rsid w:val="5AE87C8F"/>
    <w:rsid w:val="5AF91071"/>
    <w:rsid w:val="5AFD593B"/>
    <w:rsid w:val="5B2C5BA2"/>
    <w:rsid w:val="5B3A3250"/>
    <w:rsid w:val="5B920779"/>
    <w:rsid w:val="5B94004E"/>
    <w:rsid w:val="5BB378C5"/>
    <w:rsid w:val="5BB701E0"/>
    <w:rsid w:val="5BB95D06"/>
    <w:rsid w:val="5BC56459"/>
    <w:rsid w:val="5BCC5A39"/>
    <w:rsid w:val="5BF024F1"/>
    <w:rsid w:val="5C1967A5"/>
    <w:rsid w:val="5C1D6295"/>
    <w:rsid w:val="5C221AFD"/>
    <w:rsid w:val="5C335AB8"/>
    <w:rsid w:val="5C3A6E47"/>
    <w:rsid w:val="5C6A01AA"/>
    <w:rsid w:val="5CBC3D00"/>
    <w:rsid w:val="5D121B72"/>
    <w:rsid w:val="5D186A5C"/>
    <w:rsid w:val="5D243653"/>
    <w:rsid w:val="5D5932FD"/>
    <w:rsid w:val="5D5F709E"/>
    <w:rsid w:val="5D8B36D2"/>
    <w:rsid w:val="5D9574D1"/>
    <w:rsid w:val="5DBB3FB7"/>
    <w:rsid w:val="5DD22098"/>
    <w:rsid w:val="5DDE3802"/>
    <w:rsid w:val="5E2A6A47"/>
    <w:rsid w:val="5E48511F"/>
    <w:rsid w:val="5E5F78BF"/>
    <w:rsid w:val="5E6463FD"/>
    <w:rsid w:val="5E960581"/>
    <w:rsid w:val="5EDC1C8F"/>
    <w:rsid w:val="5EE869F7"/>
    <w:rsid w:val="5F006625"/>
    <w:rsid w:val="5F265461"/>
    <w:rsid w:val="5F443B39"/>
    <w:rsid w:val="5F4F0E5B"/>
    <w:rsid w:val="5F622211"/>
    <w:rsid w:val="5F6863FA"/>
    <w:rsid w:val="5F887EC9"/>
    <w:rsid w:val="5FBE56E7"/>
    <w:rsid w:val="5FD51801"/>
    <w:rsid w:val="5FE175D9"/>
    <w:rsid w:val="5FF7E84A"/>
    <w:rsid w:val="601A2D71"/>
    <w:rsid w:val="6028345A"/>
    <w:rsid w:val="6042276E"/>
    <w:rsid w:val="60B847DE"/>
    <w:rsid w:val="60D158A0"/>
    <w:rsid w:val="60FA0D27"/>
    <w:rsid w:val="610D1B8F"/>
    <w:rsid w:val="618172C6"/>
    <w:rsid w:val="6183738E"/>
    <w:rsid w:val="618B4BE0"/>
    <w:rsid w:val="618C0861"/>
    <w:rsid w:val="61926DDD"/>
    <w:rsid w:val="62084329"/>
    <w:rsid w:val="62331C5C"/>
    <w:rsid w:val="629000DB"/>
    <w:rsid w:val="62B23804"/>
    <w:rsid w:val="62B85228"/>
    <w:rsid w:val="62F72E32"/>
    <w:rsid w:val="62FA10DE"/>
    <w:rsid w:val="63181564"/>
    <w:rsid w:val="6347703D"/>
    <w:rsid w:val="63497970"/>
    <w:rsid w:val="634B7B8C"/>
    <w:rsid w:val="639808F7"/>
    <w:rsid w:val="63B13419"/>
    <w:rsid w:val="63B84AF5"/>
    <w:rsid w:val="63CD49F3"/>
    <w:rsid w:val="63D27965"/>
    <w:rsid w:val="63EF37B1"/>
    <w:rsid w:val="63F0603D"/>
    <w:rsid w:val="64371EBE"/>
    <w:rsid w:val="64416899"/>
    <w:rsid w:val="646B1B68"/>
    <w:rsid w:val="647C3D75"/>
    <w:rsid w:val="6493156A"/>
    <w:rsid w:val="64970BAF"/>
    <w:rsid w:val="64B06B3F"/>
    <w:rsid w:val="64B15CD3"/>
    <w:rsid w:val="64B21544"/>
    <w:rsid w:val="64B82FFF"/>
    <w:rsid w:val="64CD45D0"/>
    <w:rsid w:val="64D616D7"/>
    <w:rsid w:val="64E060B2"/>
    <w:rsid w:val="65097663"/>
    <w:rsid w:val="65567FD8"/>
    <w:rsid w:val="656E5A55"/>
    <w:rsid w:val="658A426F"/>
    <w:rsid w:val="658F4D66"/>
    <w:rsid w:val="65B337C6"/>
    <w:rsid w:val="65CA5B42"/>
    <w:rsid w:val="65D71C48"/>
    <w:rsid w:val="65E322FD"/>
    <w:rsid w:val="66263F98"/>
    <w:rsid w:val="665412EB"/>
    <w:rsid w:val="666D1BC7"/>
    <w:rsid w:val="66D47E98"/>
    <w:rsid w:val="66EA3218"/>
    <w:rsid w:val="6750490E"/>
    <w:rsid w:val="6759214B"/>
    <w:rsid w:val="675D7E8D"/>
    <w:rsid w:val="67643801"/>
    <w:rsid w:val="6796339F"/>
    <w:rsid w:val="67A0124A"/>
    <w:rsid w:val="67CC581F"/>
    <w:rsid w:val="67D143D7"/>
    <w:rsid w:val="68106CAE"/>
    <w:rsid w:val="681C1AF7"/>
    <w:rsid w:val="681D13CB"/>
    <w:rsid w:val="681D761D"/>
    <w:rsid w:val="682E182A"/>
    <w:rsid w:val="68684D3C"/>
    <w:rsid w:val="68A467A0"/>
    <w:rsid w:val="68E343C2"/>
    <w:rsid w:val="68E72104"/>
    <w:rsid w:val="68FA689C"/>
    <w:rsid w:val="691173C3"/>
    <w:rsid w:val="691F207F"/>
    <w:rsid w:val="692B02A6"/>
    <w:rsid w:val="692C2823"/>
    <w:rsid w:val="692C414C"/>
    <w:rsid w:val="695928D6"/>
    <w:rsid w:val="69E00902"/>
    <w:rsid w:val="69FA19C4"/>
    <w:rsid w:val="6A0171F6"/>
    <w:rsid w:val="6A02529C"/>
    <w:rsid w:val="6A06480C"/>
    <w:rsid w:val="6A160446"/>
    <w:rsid w:val="6A3273AF"/>
    <w:rsid w:val="6A334ED5"/>
    <w:rsid w:val="6A5D01A4"/>
    <w:rsid w:val="6A911080"/>
    <w:rsid w:val="6AA10091"/>
    <w:rsid w:val="6AC10733"/>
    <w:rsid w:val="6AC93911"/>
    <w:rsid w:val="6ADC53BD"/>
    <w:rsid w:val="6B3B04E6"/>
    <w:rsid w:val="6B66155C"/>
    <w:rsid w:val="6B79100E"/>
    <w:rsid w:val="6B99345E"/>
    <w:rsid w:val="6BCA1A3B"/>
    <w:rsid w:val="6C423AF6"/>
    <w:rsid w:val="6C4D3814"/>
    <w:rsid w:val="6C504AE1"/>
    <w:rsid w:val="6C691829"/>
    <w:rsid w:val="6C937EAD"/>
    <w:rsid w:val="6CA1081C"/>
    <w:rsid w:val="6CB329DF"/>
    <w:rsid w:val="6CE60925"/>
    <w:rsid w:val="6D0C3F95"/>
    <w:rsid w:val="6D2733BE"/>
    <w:rsid w:val="6D301BA0"/>
    <w:rsid w:val="6D9209DC"/>
    <w:rsid w:val="6D9C0FE4"/>
    <w:rsid w:val="6DA71E62"/>
    <w:rsid w:val="6DB4632D"/>
    <w:rsid w:val="6DC5053A"/>
    <w:rsid w:val="6DDB5FB0"/>
    <w:rsid w:val="6DE63302"/>
    <w:rsid w:val="6E1C4311"/>
    <w:rsid w:val="6E2A4841"/>
    <w:rsid w:val="6E3D4575"/>
    <w:rsid w:val="6E423939"/>
    <w:rsid w:val="6E535B46"/>
    <w:rsid w:val="6E777A87"/>
    <w:rsid w:val="6E91526E"/>
    <w:rsid w:val="6EEE31F2"/>
    <w:rsid w:val="6F72212D"/>
    <w:rsid w:val="6FAA5C3A"/>
    <w:rsid w:val="6FAD572A"/>
    <w:rsid w:val="6FD878CF"/>
    <w:rsid w:val="6FEC1DAE"/>
    <w:rsid w:val="700A66D9"/>
    <w:rsid w:val="70400CB6"/>
    <w:rsid w:val="708244C1"/>
    <w:rsid w:val="70893AA1"/>
    <w:rsid w:val="708D6E69"/>
    <w:rsid w:val="70950698"/>
    <w:rsid w:val="70A42689"/>
    <w:rsid w:val="70A46655"/>
    <w:rsid w:val="70B0226E"/>
    <w:rsid w:val="70E4277F"/>
    <w:rsid w:val="70FB534E"/>
    <w:rsid w:val="7113B830"/>
    <w:rsid w:val="712B2DAA"/>
    <w:rsid w:val="717728D6"/>
    <w:rsid w:val="71CD3E62"/>
    <w:rsid w:val="71F80EDE"/>
    <w:rsid w:val="72007D93"/>
    <w:rsid w:val="72077373"/>
    <w:rsid w:val="720C498A"/>
    <w:rsid w:val="722B1E56"/>
    <w:rsid w:val="72565C05"/>
    <w:rsid w:val="725B146D"/>
    <w:rsid w:val="72824C4C"/>
    <w:rsid w:val="72B55021"/>
    <w:rsid w:val="72BA2638"/>
    <w:rsid w:val="72BF19FC"/>
    <w:rsid w:val="72C25048"/>
    <w:rsid w:val="72F571CC"/>
    <w:rsid w:val="731C6E4F"/>
    <w:rsid w:val="73411ADF"/>
    <w:rsid w:val="736305DA"/>
    <w:rsid w:val="73634A7D"/>
    <w:rsid w:val="736E5255"/>
    <w:rsid w:val="736E6F7E"/>
    <w:rsid w:val="73920EBF"/>
    <w:rsid w:val="73D019E7"/>
    <w:rsid w:val="73D43285"/>
    <w:rsid w:val="73F278B6"/>
    <w:rsid w:val="741B5358"/>
    <w:rsid w:val="743662B1"/>
    <w:rsid w:val="743E2DF5"/>
    <w:rsid w:val="747B1953"/>
    <w:rsid w:val="7488144C"/>
    <w:rsid w:val="74892DEC"/>
    <w:rsid w:val="749B3DA3"/>
    <w:rsid w:val="74A628A0"/>
    <w:rsid w:val="74BD4E38"/>
    <w:rsid w:val="74C6408D"/>
    <w:rsid w:val="74DA536A"/>
    <w:rsid w:val="74FF1A0E"/>
    <w:rsid w:val="75051400"/>
    <w:rsid w:val="751002ED"/>
    <w:rsid w:val="75243D99"/>
    <w:rsid w:val="754D7793"/>
    <w:rsid w:val="75D04D54"/>
    <w:rsid w:val="76051E1C"/>
    <w:rsid w:val="76655B13"/>
    <w:rsid w:val="76791CBE"/>
    <w:rsid w:val="76BA7203"/>
    <w:rsid w:val="76CB4F16"/>
    <w:rsid w:val="76D65566"/>
    <w:rsid w:val="76FFD4E5"/>
    <w:rsid w:val="770B4D24"/>
    <w:rsid w:val="7724443B"/>
    <w:rsid w:val="77254E16"/>
    <w:rsid w:val="772B3B04"/>
    <w:rsid w:val="774D2A1D"/>
    <w:rsid w:val="775D7A36"/>
    <w:rsid w:val="776C4813"/>
    <w:rsid w:val="77B05DB7"/>
    <w:rsid w:val="78071A91"/>
    <w:rsid w:val="782EFB39"/>
    <w:rsid w:val="78325A30"/>
    <w:rsid w:val="784C3B08"/>
    <w:rsid w:val="784E73FF"/>
    <w:rsid w:val="78591FAB"/>
    <w:rsid w:val="78911745"/>
    <w:rsid w:val="78A31478"/>
    <w:rsid w:val="78B848B2"/>
    <w:rsid w:val="78D37FAF"/>
    <w:rsid w:val="78E90425"/>
    <w:rsid w:val="78F246B6"/>
    <w:rsid w:val="79096F1E"/>
    <w:rsid w:val="790E2D96"/>
    <w:rsid w:val="794964C4"/>
    <w:rsid w:val="796F3731"/>
    <w:rsid w:val="797026CD"/>
    <w:rsid w:val="79793083"/>
    <w:rsid w:val="79833714"/>
    <w:rsid w:val="79AB6943"/>
    <w:rsid w:val="79C21DD2"/>
    <w:rsid w:val="79D35D8D"/>
    <w:rsid w:val="79F857F4"/>
    <w:rsid w:val="7A1C73DF"/>
    <w:rsid w:val="7A2D8B16"/>
    <w:rsid w:val="7A6C06BC"/>
    <w:rsid w:val="7A9C0875"/>
    <w:rsid w:val="7AC1208A"/>
    <w:rsid w:val="7AC52BDD"/>
    <w:rsid w:val="7ACA7190"/>
    <w:rsid w:val="7AD973D3"/>
    <w:rsid w:val="7ADF275D"/>
    <w:rsid w:val="7B18439F"/>
    <w:rsid w:val="7B1B79EC"/>
    <w:rsid w:val="7B1E7414"/>
    <w:rsid w:val="7B234AF2"/>
    <w:rsid w:val="7B737828"/>
    <w:rsid w:val="7BCE4A5E"/>
    <w:rsid w:val="7BF24BF0"/>
    <w:rsid w:val="7C092B44"/>
    <w:rsid w:val="7C240B22"/>
    <w:rsid w:val="7C3377C0"/>
    <w:rsid w:val="7C3C5E6C"/>
    <w:rsid w:val="7C5E5DE2"/>
    <w:rsid w:val="7C63164A"/>
    <w:rsid w:val="7C6779D2"/>
    <w:rsid w:val="7C7C270C"/>
    <w:rsid w:val="7C9A3676"/>
    <w:rsid w:val="7CA37C99"/>
    <w:rsid w:val="7CAB19C5"/>
    <w:rsid w:val="7CB725F5"/>
    <w:rsid w:val="7D16490F"/>
    <w:rsid w:val="7D250FF6"/>
    <w:rsid w:val="7D29013C"/>
    <w:rsid w:val="7D380D29"/>
    <w:rsid w:val="7D4D5720"/>
    <w:rsid w:val="7D7B2DCC"/>
    <w:rsid w:val="7DF12C86"/>
    <w:rsid w:val="7E022C63"/>
    <w:rsid w:val="7E0469D0"/>
    <w:rsid w:val="7E4B683A"/>
    <w:rsid w:val="7E6F077A"/>
    <w:rsid w:val="7E865AC4"/>
    <w:rsid w:val="7E897D0F"/>
    <w:rsid w:val="7E8D29AE"/>
    <w:rsid w:val="7EC261F4"/>
    <w:rsid w:val="7EFC5B65"/>
    <w:rsid w:val="7F166E48"/>
    <w:rsid w:val="7F3F68B3"/>
    <w:rsid w:val="7F4C286A"/>
    <w:rsid w:val="7F621288"/>
    <w:rsid w:val="7F721BA4"/>
    <w:rsid w:val="7F78540D"/>
    <w:rsid w:val="7F9318BA"/>
    <w:rsid w:val="7F985AAF"/>
    <w:rsid w:val="7FA24FCC"/>
    <w:rsid w:val="7FDBC806"/>
    <w:rsid w:val="7FF65B2B"/>
    <w:rsid w:val="AB5D4E0E"/>
    <w:rsid w:val="BA5FBA5E"/>
    <w:rsid w:val="BBFB7AD7"/>
    <w:rsid w:val="BCFB1F05"/>
    <w:rsid w:val="BE7F942F"/>
    <w:rsid w:val="BFAB95C4"/>
    <w:rsid w:val="BFD985CA"/>
    <w:rsid w:val="D1DF0B3D"/>
    <w:rsid w:val="D7331294"/>
    <w:rsid w:val="DE7E462A"/>
    <w:rsid w:val="DEBE0410"/>
    <w:rsid w:val="EB44BEC6"/>
    <w:rsid w:val="EBFF199E"/>
    <w:rsid w:val="F7EB4E6D"/>
    <w:rsid w:val="FEA1BA79"/>
    <w:rsid w:val="FEBFF2EC"/>
    <w:rsid w:val="FFC3C0AE"/>
    <w:rsid w:val="FFFEEA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8" w:lineRule="exact"/>
      <w:ind w:firstLine="1040" w:firstLineChars="200"/>
      <w:jc w:val="both"/>
    </w:pPr>
    <w:rPr>
      <w:rFonts w:eastAsia="方正仿宋_GBK" w:asciiTheme="minorHAnsi" w:hAnsiTheme="minorHAnsi" w:cstheme="minorBidi"/>
      <w:kern w:val="2"/>
      <w:sz w:val="30"/>
      <w:szCs w:val="24"/>
      <w:lang w:val="en-US" w:eastAsia="zh-CN" w:bidi="ar-SA"/>
    </w:rPr>
  </w:style>
  <w:style w:type="paragraph" w:styleId="2">
    <w:name w:val="heading 1"/>
    <w:basedOn w:val="3"/>
    <w:next w:val="1"/>
    <w:qFormat/>
    <w:uiPriority w:val="0"/>
    <w:pPr>
      <w:keepNext/>
      <w:keepLines/>
      <w:numPr>
        <w:ilvl w:val="0"/>
        <w:numId w:val="1"/>
      </w:numPr>
      <w:spacing w:before="60" w:line="360" w:lineRule="auto"/>
      <w:ind w:firstLine="0" w:firstLineChars="0"/>
      <w:jc w:val="left"/>
      <w:outlineLvl w:val="0"/>
    </w:pPr>
    <w:rPr>
      <w:rFonts w:ascii="Times New Roman" w:hAnsi="Times New Roman" w:eastAsia="宋体" w:cs="Times New Roman"/>
      <w:b/>
      <w:bCs/>
      <w:sz w:val="24"/>
    </w:rPr>
  </w:style>
  <w:style w:type="paragraph" w:styleId="4">
    <w:name w:val="heading 2"/>
    <w:basedOn w:val="3"/>
    <w:next w:val="1"/>
    <w:unhideWhenUsed/>
    <w:qFormat/>
    <w:uiPriority w:val="0"/>
    <w:pPr>
      <w:numPr>
        <w:ilvl w:val="0"/>
        <w:numId w:val="2"/>
      </w:numPr>
      <w:spacing w:line="360" w:lineRule="auto"/>
      <w:ind w:firstLine="0" w:firstLineChars="0"/>
      <w:jc w:val="left"/>
      <w:outlineLvl w:val="1"/>
    </w:pPr>
    <w:rPr>
      <w:rFonts w:ascii="Times New Roman" w:hAnsi="Times New Roman" w:eastAsia="宋体" w:cs="Times New Roman"/>
      <w:sz w:val="24"/>
    </w:rPr>
  </w:style>
  <w:style w:type="paragraph" w:styleId="5">
    <w:name w:val="heading 3"/>
    <w:basedOn w:val="1"/>
    <w:next w:val="1"/>
    <w:unhideWhenUsed/>
    <w:qFormat/>
    <w:uiPriority w:val="0"/>
    <w:pPr>
      <w:keepNext/>
      <w:keepLines/>
      <w:outlineLvl w:val="2"/>
    </w:pPr>
    <w:rPr>
      <w:rFonts w:eastAsia="方正楷体_GBK"/>
      <w:sz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List Paragraph"/>
    <w:basedOn w:val="1"/>
    <w:qFormat/>
    <w:uiPriority w:val="34"/>
    <w:pPr>
      <w:ind w:firstLine="420"/>
    </w:pPr>
  </w:style>
  <w:style w:type="paragraph" w:styleId="6">
    <w:name w:val="annotation text"/>
    <w:basedOn w:val="1"/>
    <w:link w:val="22"/>
    <w:qFormat/>
    <w:uiPriority w:val="0"/>
    <w:pPr>
      <w:jc w:val="left"/>
    </w:pPr>
  </w:style>
  <w:style w:type="paragraph" w:styleId="7">
    <w:name w:val="footer"/>
    <w:basedOn w:val="1"/>
    <w:link w:val="25"/>
    <w:qFormat/>
    <w:uiPriority w:val="99"/>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qFormat/>
    <w:uiPriority w:val="0"/>
  </w:style>
  <w:style w:type="paragraph" w:styleId="10">
    <w:name w:val="annotation subject"/>
    <w:basedOn w:val="6"/>
    <w:next w:val="6"/>
    <w:link w:val="23"/>
    <w:qFormat/>
    <w:uiPriority w:val="0"/>
    <w:rPr>
      <w:b/>
      <w:bCs/>
    </w:rPr>
  </w:style>
  <w:style w:type="table" w:styleId="12">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Hyperlink"/>
    <w:basedOn w:val="13"/>
    <w:qFormat/>
    <w:uiPriority w:val="0"/>
    <w:rPr>
      <w:color w:val="0026E5" w:themeColor="hyperlink"/>
      <w:u w:val="single"/>
      <w14:textFill>
        <w14:solidFill>
          <w14:schemeClr w14:val="hlink"/>
        </w14:solidFill>
      </w14:textFill>
    </w:rPr>
  </w:style>
  <w:style w:type="character" w:styleId="16">
    <w:name w:val="annotation reference"/>
    <w:basedOn w:val="13"/>
    <w:qFormat/>
    <w:uiPriority w:val="0"/>
    <w:rPr>
      <w:sz w:val="21"/>
      <w:szCs w:val="21"/>
    </w:rPr>
  </w:style>
  <w:style w:type="table" w:customStyle="1" w:styleId="17">
    <w:name w:val="Table Normal_0"/>
    <w:semiHidden/>
    <w:unhideWhenUsed/>
    <w:qFormat/>
    <w:uiPriority w:val="0"/>
    <w:tblPr>
      <w:tblCellMar>
        <w:top w:w="0" w:type="dxa"/>
        <w:left w:w="0" w:type="dxa"/>
        <w:bottom w:w="0" w:type="dxa"/>
        <w:right w:w="0" w:type="dxa"/>
      </w:tblCellMar>
    </w:tblPr>
  </w:style>
  <w:style w:type="paragraph" w:customStyle="1" w:styleId="18">
    <w:name w:val="Table Text"/>
    <w:basedOn w:val="1"/>
    <w:semiHidden/>
    <w:qFormat/>
    <w:uiPriority w:val="0"/>
    <w:pPr>
      <w:widowControl/>
      <w:kinsoku w:val="0"/>
      <w:autoSpaceDE w:val="0"/>
      <w:autoSpaceDN w:val="0"/>
      <w:adjustRightInd w:val="0"/>
      <w:snapToGrid w:val="0"/>
      <w:jc w:val="left"/>
      <w:textAlignment w:val="baseline"/>
    </w:pPr>
    <w:rPr>
      <w:rFonts w:ascii="Arial" w:hAnsi="Arial" w:eastAsia="Arial" w:cs="Arial"/>
      <w:snapToGrid w:val="0"/>
      <w:color w:val="000000"/>
      <w:kern w:val="0"/>
      <w:szCs w:val="21"/>
      <w:lang w:eastAsia="en-US"/>
    </w:rPr>
  </w:style>
  <w:style w:type="paragraph" w:customStyle="1" w:styleId="19">
    <w:name w:val="WPSOffice手动目录 1"/>
    <w:qFormat/>
    <w:uiPriority w:val="0"/>
    <w:rPr>
      <w:rFonts w:asciiTheme="minorHAnsi" w:hAnsiTheme="minorHAnsi" w:eastAsiaTheme="minorEastAsia" w:cstheme="minorBidi"/>
      <w:lang w:val="en-US" w:eastAsia="zh-CN" w:bidi="ar-SA"/>
    </w:rPr>
  </w:style>
  <w:style w:type="paragraph" w:customStyle="1" w:styleId="20">
    <w:name w:val="修订1"/>
    <w:hidden/>
    <w:unhideWhenUsed/>
    <w:qFormat/>
    <w:uiPriority w:val="99"/>
    <w:rPr>
      <w:rFonts w:eastAsia="方正仿宋_GBK" w:asciiTheme="minorHAnsi" w:hAnsiTheme="minorHAnsi" w:cstheme="minorBidi"/>
      <w:kern w:val="2"/>
      <w:sz w:val="30"/>
      <w:szCs w:val="24"/>
      <w:lang w:val="en-US" w:eastAsia="zh-CN" w:bidi="ar-SA"/>
    </w:rPr>
  </w:style>
  <w:style w:type="character" w:customStyle="1" w:styleId="21">
    <w:name w:val="未处理的提及1"/>
    <w:basedOn w:val="13"/>
    <w:semiHidden/>
    <w:unhideWhenUsed/>
    <w:qFormat/>
    <w:uiPriority w:val="99"/>
    <w:rPr>
      <w:color w:val="605E5C"/>
      <w:shd w:val="clear" w:color="auto" w:fill="E1DFDD"/>
    </w:rPr>
  </w:style>
  <w:style w:type="character" w:customStyle="1" w:styleId="22">
    <w:name w:val="批注文字 字符"/>
    <w:basedOn w:val="13"/>
    <w:link w:val="6"/>
    <w:qFormat/>
    <w:uiPriority w:val="0"/>
    <w:rPr>
      <w:rFonts w:eastAsia="方正仿宋_GBK" w:asciiTheme="minorHAnsi" w:hAnsiTheme="minorHAnsi" w:cstheme="minorBidi"/>
      <w:kern w:val="2"/>
      <w:sz w:val="30"/>
      <w:szCs w:val="24"/>
    </w:rPr>
  </w:style>
  <w:style w:type="character" w:customStyle="1" w:styleId="23">
    <w:name w:val="批注主题 字符"/>
    <w:basedOn w:val="22"/>
    <w:link w:val="10"/>
    <w:qFormat/>
    <w:uiPriority w:val="0"/>
    <w:rPr>
      <w:rFonts w:eastAsia="方正仿宋_GBK" w:asciiTheme="minorHAnsi" w:hAnsiTheme="minorHAnsi" w:cstheme="minorBidi"/>
      <w:b/>
      <w:bCs/>
      <w:kern w:val="2"/>
      <w:sz w:val="30"/>
      <w:szCs w:val="24"/>
    </w:rPr>
  </w:style>
  <w:style w:type="table" w:customStyle="1" w:styleId="24">
    <w:name w:val="网格型1"/>
    <w:basedOn w:val="11"/>
    <w:qFormat/>
    <w:uiPriority w:val="39"/>
    <w:rPr>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5">
    <w:name w:val="页脚 字符"/>
    <w:basedOn w:val="13"/>
    <w:link w:val="7"/>
    <w:qFormat/>
    <w:uiPriority w:val="99"/>
    <w:rPr>
      <w:rFonts w:eastAsia="方正仿宋_GBK" w:asciiTheme="minorHAnsi" w:hAnsiTheme="minorHAnsi" w:cstheme="minorBidi"/>
      <w:kern w:val="2"/>
      <w:sz w:val="18"/>
      <w:szCs w:val="24"/>
    </w:rPr>
  </w:style>
  <w:style w:type="paragraph" w:customStyle="1" w:styleId="26">
    <w:name w:val="Revision"/>
    <w:hidden/>
    <w:unhideWhenUsed/>
    <w:qFormat/>
    <w:uiPriority w:val="99"/>
    <w:rPr>
      <w:rFonts w:eastAsia="方正仿宋_GBK" w:asciiTheme="minorHAnsi" w:hAnsiTheme="minorHAnsi" w:cstheme="minorBidi"/>
      <w:kern w:val="2"/>
      <w:sz w:val="30"/>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2E8777-EB27-485F-85E7-1428F03932E5}">
  <ds:schemaRefs/>
</ds:datastoreItem>
</file>

<file path=docProps/app.xml><?xml version="1.0" encoding="utf-8"?>
<Properties xmlns="http://schemas.openxmlformats.org/officeDocument/2006/extended-properties" xmlns:vt="http://schemas.openxmlformats.org/officeDocument/2006/docPropsVTypes">
  <Template>Normal</Template>
  <Pages>11</Pages>
  <Words>5401</Words>
  <Characters>5616</Characters>
  <Lines>180</Lines>
  <Paragraphs>204</Paragraphs>
  <TotalTime>4</TotalTime>
  <ScaleCrop>false</ScaleCrop>
  <LinksUpToDate>false</LinksUpToDate>
  <CharactersWithSpaces>5885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2025-07-07T01:33:00Z</dcterms:created>
  <dc:creator>LI Zhuofan</dc:creator>
  <cp:lastModifiedBy>我叫b仔他妈</cp:lastModifiedBy>
  <cp:lastPrinted>2025-11-28T07:36:00Z</cp:lastPrinted>
  <dcterms:modified xsi:type="dcterms:W3CDTF">2026-03-02T01:27:51Z</dcterms:modified>
  <cp:revision>905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C6494E7FE4B64E9B870899C98EB33BE2_13</vt:lpwstr>
  </property>
  <property fmtid="{D5CDD505-2E9C-101B-9397-08002B2CF9AE}" pid="3" name="KSOProductBuildVer">
    <vt:lpwstr>2052-12.1.0.25225</vt:lpwstr>
  </property>
  <property fmtid="{D5CDD505-2E9C-101B-9397-08002B2CF9AE}" pid="4" name="KSOTemplateDocerSaveRecord">
    <vt:lpwstr>eyJoZGlkIjoiMzIzYjlmODdiZDUwOTVhZDU3ZjZkMzZjZGNlYWMzZmQiLCJ1c2VySWQiOiIxMTM3MDcwNzUwIn0=</vt:lpwstr>
  </property>
</Properties>
</file>