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FE3CC">
      <w:pPr>
        <w:spacing w:line="600" w:lineRule="exact"/>
        <w:ind w:firstLine="880" w:firstLineChars="200"/>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火车站站前广场202</w:t>
      </w:r>
      <w:r>
        <w:rPr>
          <w:rFonts w:hint="eastAsia" w:asciiTheme="minorEastAsia" w:hAnsiTheme="minorEastAsia" w:eastAsiaTheme="minorEastAsia"/>
          <w:color w:val="000000"/>
          <w:sz w:val="44"/>
          <w:szCs w:val="44"/>
          <w:lang w:val="en-US" w:eastAsia="zh-CN"/>
        </w:rPr>
        <w:t>6</w:t>
      </w:r>
      <w:r>
        <w:rPr>
          <w:rFonts w:hint="eastAsia" w:asciiTheme="minorEastAsia" w:hAnsiTheme="minorEastAsia" w:eastAsiaTheme="minorEastAsia"/>
          <w:color w:val="000000"/>
          <w:sz w:val="44"/>
          <w:szCs w:val="44"/>
        </w:rPr>
        <w:t>年春运临时候车帐篷搭建项目询价文件</w:t>
      </w:r>
    </w:p>
    <w:p w14:paraId="3E4FCC32">
      <w:pPr>
        <w:spacing w:line="600" w:lineRule="exact"/>
        <w:ind w:firstLine="880" w:firstLineChars="200"/>
        <w:rPr>
          <w:rFonts w:asciiTheme="minorEastAsia" w:hAnsiTheme="minorEastAsia" w:eastAsiaTheme="minorEastAsia"/>
          <w:color w:val="000000"/>
          <w:sz w:val="44"/>
          <w:szCs w:val="44"/>
        </w:rPr>
      </w:pPr>
    </w:p>
    <w:p w14:paraId="510BD066">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广东东鸿物业发展有限公司</w:t>
      </w:r>
      <w:r>
        <w:rPr>
          <w:rFonts w:hint="eastAsia" w:asciiTheme="minorEastAsia" w:hAnsiTheme="minorEastAsia" w:eastAsiaTheme="minorEastAsia"/>
          <w:color w:val="000000"/>
          <w:sz w:val="28"/>
          <w:szCs w:val="28"/>
        </w:rPr>
        <w:t>需采购</w:t>
      </w:r>
      <w:r>
        <w:rPr>
          <w:rFonts w:hint="eastAsia" w:asciiTheme="minorEastAsia" w:hAnsiTheme="minorEastAsia" w:eastAsiaTheme="minorEastAsia"/>
          <w:color w:val="000000"/>
          <w:sz w:val="28"/>
          <w:szCs w:val="28"/>
          <w:u w:val="single"/>
        </w:rPr>
        <w:t>一家供应商</w:t>
      </w:r>
      <w:r>
        <w:rPr>
          <w:rFonts w:hint="eastAsia" w:asciiTheme="minorEastAsia" w:hAnsiTheme="minorEastAsia" w:eastAsiaTheme="minorEastAsia"/>
          <w:color w:val="000000"/>
          <w:sz w:val="28"/>
          <w:szCs w:val="28"/>
        </w:rPr>
        <w:t>，负责为火车站202</w:t>
      </w:r>
      <w:r>
        <w:rPr>
          <w:rFonts w:hint="eastAsia" w:asciiTheme="minorEastAsia" w:hAnsiTheme="minorEastAsia" w:eastAsiaTheme="minorEastAsia"/>
          <w:color w:val="000000"/>
          <w:sz w:val="28"/>
          <w:szCs w:val="28"/>
          <w:lang w:val="en-US" w:eastAsia="zh-CN"/>
        </w:rPr>
        <w:t>6</w:t>
      </w:r>
      <w:r>
        <w:rPr>
          <w:rFonts w:hint="eastAsia" w:asciiTheme="minorEastAsia" w:hAnsiTheme="minorEastAsia" w:eastAsiaTheme="minorEastAsia"/>
          <w:color w:val="000000"/>
          <w:sz w:val="28"/>
          <w:szCs w:val="28"/>
        </w:rPr>
        <w:t>年春运临时候车帐篷搭建项目提供服务，现将相关情况介绍如下：</w:t>
      </w:r>
    </w:p>
    <w:p w14:paraId="643F9432">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一、项目名称及内容</w:t>
      </w:r>
    </w:p>
    <w:p w14:paraId="4118F6E4">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u w:val="single"/>
        </w:rPr>
        <w:t>火车站站前广场202</w:t>
      </w:r>
      <w:r>
        <w:rPr>
          <w:rFonts w:hint="eastAsia" w:asciiTheme="minorEastAsia" w:hAnsiTheme="minorEastAsia" w:eastAsiaTheme="minorEastAsia"/>
          <w:color w:val="000000"/>
          <w:sz w:val="28"/>
          <w:szCs w:val="28"/>
          <w:u w:val="single"/>
          <w:lang w:val="en-US" w:eastAsia="zh-CN"/>
        </w:rPr>
        <w:t>6</w:t>
      </w:r>
      <w:r>
        <w:rPr>
          <w:rFonts w:hint="eastAsia" w:asciiTheme="minorEastAsia" w:hAnsiTheme="minorEastAsia" w:eastAsiaTheme="minorEastAsia"/>
          <w:color w:val="000000"/>
          <w:sz w:val="28"/>
          <w:szCs w:val="28"/>
          <w:u w:val="single"/>
        </w:rPr>
        <w:t>年春运临时候车帐篷搭建项目；</w:t>
      </w:r>
    </w:p>
    <w:p w14:paraId="7E3768C6">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2、项目编号</w:t>
      </w:r>
      <w:r>
        <w:rPr>
          <w:rFonts w:hint="eastAsia" w:asciiTheme="minorEastAsia" w:hAnsiTheme="minorEastAsia" w:eastAsiaTheme="minorEastAsia"/>
          <w:color w:val="000000"/>
          <w:sz w:val="28"/>
          <w:szCs w:val="28"/>
          <w:u w:val="single"/>
        </w:rPr>
        <w:t>：DHWY-ZZ-01-0</w:t>
      </w:r>
      <w:r>
        <w:rPr>
          <w:rFonts w:hint="eastAsia" w:asciiTheme="minorEastAsia" w:hAnsiTheme="minorEastAsia" w:eastAsiaTheme="minorEastAsia"/>
          <w:color w:val="000000"/>
          <w:sz w:val="28"/>
          <w:szCs w:val="28"/>
          <w:u w:val="single"/>
          <w:lang w:val="en-US" w:eastAsia="zh-CN"/>
        </w:rPr>
        <w:t>1</w:t>
      </w:r>
      <w:r>
        <w:rPr>
          <w:rFonts w:hint="eastAsia" w:asciiTheme="minorEastAsia" w:hAnsiTheme="minorEastAsia" w:eastAsiaTheme="minorEastAsia"/>
          <w:color w:val="000000"/>
          <w:sz w:val="28"/>
          <w:szCs w:val="28"/>
          <w:u w:val="single"/>
        </w:rPr>
        <w:t>-0</w:t>
      </w:r>
      <w:r>
        <w:rPr>
          <w:rFonts w:hint="eastAsia" w:asciiTheme="minorEastAsia" w:hAnsiTheme="minorEastAsia" w:eastAsiaTheme="minorEastAsia"/>
          <w:color w:val="000000"/>
          <w:sz w:val="28"/>
          <w:szCs w:val="28"/>
          <w:u w:val="single"/>
          <w:lang w:val="en-US" w:eastAsia="zh-CN"/>
        </w:rPr>
        <w:t>02</w:t>
      </w:r>
      <w:r>
        <w:rPr>
          <w:rFonts w:hint="eastAsia" w:asciiTheme="minorEastAsia" w:hAnsiTheme="minorEastAsia" w:eastAsiaTheme="minorEastAsia"/>
          <w:color w:val="000000"/>
          <w:sz w:val="28"/>
          <w:szCs w:val="28"/>
          <w:u w:val="single"/>
        </w:rPr>
        <w:t>(202</w:t>
      </w:r>
      <w:r>
        <w:rPr>
          <w:rFonts w:hint="eastAsia" w:asciiTheme="minorEastAsia" w:hAnsiTheme="minorEastAsia" w:eastAsiaTheme="minorEastAsia"/>
          <w:color w:val="000000"/>
          <w:sz w:val="28"/>
          <w:szCs w:val="28"/>
          <w:u w:val="single"/>
          <w:lang w:val="en-US" w:eastAsia="zh-CN"/>
        </w:rPr>
        <w:t>6</w:t>
      </w:r>
      <w:r>
        <w:rPr>
          <w:rFonts w:hint="eastAsia" w:asciiTheme="minorEastAsia" w:hAnsiTheme="minorEastAsia" w:eastAsiaTheme="minorEastAsia"/>
          <w:color w:val="000000"/>
          <w:sz w:val="28"/>
          <w:szCs w:val="28"/>
          <w:u w:val="single"/>
        </w:rPr>
        <w:t>)</w:t>
      </w:r>
    </w:p>
    <w:p w14:paraId="366A5BA2">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3、采购范围：</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详见附件6采购用户需求书</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w:t>
      </w:r>
    </w:p>
    <w:p w14:paraId="5E0C218B">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4、项目地点：</w:t>
      </w:r>
      <w:r>
        <w:rPr>
          <w:rFonts w:hint="eastAsia" w:asciiTheme="minorEastAsia" w:hAnsiTheme="minorEastAsia" w:eastAsiaTheme="minorEastAsia"/>
          <w:color w:val="000000"/>
          <w:sz w:val="28"/>
          <w:szCs w:val="28"/>
          <w:u w:val="single"/>
        </w:rPr>
        <w:t>东莞火车站站前广场；</w:t>
      </w:r>
    </w:p>
    <w:p w14:paraId="34B3BFE8">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5、服务时间（供货时间</w:t>
      </w:r>
      <w:r>
        <w:rPr>
          <w:rFonts w:asciiTheme="minorEastAsia" w:hAnsiTheme="minorEastAsia" w:eastAsiaTheme="minorEastAsia"/>
          <w:color w:val="000000"/>
          <w:sz w:val="28"/>
          <w:szCs w:val="28"/>
        </w:rPr>
        <w:t>/</w:t>
      </w:r>
      <w:r>
        <w:rPr>
          <w:rFonts w:hint="eastAsia" w:asciiTheme="minorEastAsia" w:hAnsiTheme="minorEastAsia" w:eastAsiaTheme="minorEastAsia"/>
          <w:color w:val="000000"/>
          <w:sz w:val="28"/>
          <w:szCs w:val="28"/>
        </w:rPr>
        <w:t>工期）：</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2个月；</w:t>
      </w:r>
    </w:p>
    <w:p w14:paraId="7B9863E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二、项目发布</w:t>
      </w:r>
    </w:p>
    <w:p w14:paraId="03345197">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本采购项目信息在东莞实业投资控股集团有限公司网站（</w:t>
      </w:r>
      <w:r>
        <w:rPr>
          <w:rFonts w:asciiTheme="minorEastAsia" w:hAnsiTheme="minorEastAsia" w:eastAsiaTheme="minorEastAsia"/>
          <w:color w:val="000000"/>
          <w:sz w:val="28"/>
          <w:szCs w:val="28"/>
        </w:rPr>
        <w:t>http://www.dgsy.com.cn/</w:t>
      </w:r>
      <w:r>
        <w:rPr>
          <w:rFonts w:hint="eastAsia" w:asciiTheme="minorEastAsia" w:hAnsiTheme="minorEastAsia" w:eastAsiaTheme="minorEastAsia"/>
          <w:color w:val="000000"/>
          <w:sz w:val="28"/>
          <w:szCs w:val="28"/>
        </w:rPr>
        <w:t>）发布。</w:t>
      </w:r>
    </w:p>
    <w:p w14:paraId="7F781F64">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sym w:font="Wingdings" w:char="F0AB"/>
      </w:r>
      <w:r>
        <w:rPr>
          <w:rFonts w:hint="eastAsia" w:asciiTheme="minorEastAsia" w:hAnsiTheme="minorEastAsia" w:eastAsiaTheme="minorEastAsia"/>
          <w:color w:val="000000"/>
          <w:sz w:val="28"/>
          <w:szCs w:val="28"/>
        </w:rPr>
        <w:t>三、响应人资格要求</w:t>
      </w:r>
    </w:p>
    <w:p w14:paraId="29A59D06">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19663F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2、业绩要求：响应人具备</w:t>
      </w:r>
      <w:r>
        <w:rPr>
          <w:rFonts w:asciiTheme="minorEastAsia" w:hAnsiTheme="minorEastAsia" w:eastAsiaTheme="minorEastAsia"/>
          <w:sz w:val="28"/>
          <w:szCs w:val="28"/>
          <w:u w:val="single"/>
        </w:rPr>
        <w:t xml:space="preserve"> </w:t>
      </w:r>
      <w:r>
        <w:rPr>
          <w:rFonts w:hint="eastAsia" w:asciiTheme="minorEastAsia" w:hAnsiTheme="minorEastAsia" w:eastAsiaTheme="minorEastAsia"/>
          <w:b/>
          <w:sz w:val="28"/>
          <w:szCs w:val="28"/>
          <w:u w:val="single"/>
        </w:rPr>
        <w:t>同类的</w:t>
      </w:r>
      <w:r>
        <w:rPr>
          <w:rFonts w:hint="eastAsia" w:asciiTheme="minorEastAsia" w:hAnsiTheme="minorEastAsia" w:eastAsiaTheme="minorEastAsia"/>
          <w:color w:val="000000"/>
          <w:sz w:val="28"/>
          <w:szCs w:val="28"/>
          <w:u w:val="single"/>
        </w:rPr>
        <w:t>帐篷</w:t>
      </w:r>
      <w:r>
        <w:rPr>
          <w:rFonts w:hint="eastAsia" w:asciiTheme="minorEastAsia" w:hAnsiTheme="minorEastAsia" w:eastAsiaTheme="minorEastAsia"/>
          <w:color w:val="000000"/>
          <w:sz w:val="28"/>
          <w:szCs w:val="28"/>
          <w:u w:val="single"/>
          <w:lang w:eastAsia="zh-CN"/>
        </w:rPr>
        <w:t>租赁、</w:t>
      </w:r>
      <w:r>
        <w:rPr>
          <w:rFonts w:hint="eastAsia" w:asciiTheme="minorEastAsia" w:hAnsiTheme="minorEastAsia" w:eastAsiaTheme="minorEastAsia"/>
          <w:color w:val="000000"/>
          <w:sz w:val="28"/>
          <w:szCs w:val="28"/>
          <w:u w:val="single"/>
        </w:rPr>
        <w:t>搭</w:t>
      </w:r>
      <w:r>
        <w:rPr>
          <w:rFonts w:hint="eastAsia" w:asciiTheme="minorEastAsia" w:hAnsiTheme="minorEastAsia" w:eastAsiaTheme="minorEastAsia"/>
          <w:color w:val="000000"/>
          <w:sz w:val="28"/>
          <w:szCs w:val="28"/>
          <w:u w:val="single"/>
          <w:lang w:eastAsia="zh-CN"/>
        </w:rPr>
        <w:t>建</w:t>
      </w:r>
      <w:r>
        <w:rPr>
          <w:rFonts w:hint="eastAsia" w:asciiTheme="minorEastAsia" w:hAnsiTheme="minorEastAsia" w:eastAsiaTheme="minorEastAsia"/>
          <w:sz w:val="28"/>
          <w:szCs w:val="28"/>
        </w:rPr>
        <w:t>项目经验，要求</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hint="eastAsia"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日起至</w:t>
      </w:r>
      <w:r>
        <w:rPr>
          <w:rFonts w:hint="eastAsia" w:asciiTheme="minorEastAsia" w:hAnsiTheme="minorEastAsia" w:eastAsiaTheme="minorEastAsia"/>
          <w:sz w:val="28"/>
          <w:szCs w:val="28"/>
          <w:u w:val="single"/>
        </w:rPr>
        <w:t>本项目开标日前</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具有</w:t>
      </w:r>
      <w:r>
        <w:rPr>
          <w:rFonts w:hint="eastAsia" w:asciiTheme="minorEastAsia" w:hAnsiTheme="minorEastAsia" w:eastAsiaTheme="minorEastAsia"/>
          <w:sz w:val="28"/>
          <w:szCs w:val="28"/>
        </w:rPr>
        <w:t>至少1个</w:t>
      </w:r>
      <w:r>
        <w:rPr>
          <w:rFonts w:hint="eastAsia" w:asciiTheme="minorEastAsia" w:hAnsiTheme="minorEastAsia" w:eastAsiaTheme="minorEastAsia"/>
          <w:sz w:val="28"/>
          <w:szCs w:val="28"/>
          <w:u w:val="single"/>
        </w:rPr>
        <w:t>合同</w:t>
      </w:r>
      <w:r>
        <w:rPr>
          <w:rFonts w:hint="eastAsia" w:asciiTheme="minorEastAsia" w:hAnsiTheme="minorEastAsia" w:eastAsiaTheme="minorEastAsia"/>
          <w:sz w:val="28"/>
          <w:szCs w:val="28"/>
        </w:rPr>
        <w:t>业绩。【按合同签订时间为准，须提供</w:t>
      </w:r>
      <w:r>
        <w:rPr>
          <w:rFonts w:hint="eastAsia" w:asciiTheme="minorEastAsia" w:hAnsiTheme="minorEastAsia" w:eastAsiaTheme="minorEastAsia"/>
          <w:b/>
          <w:sz w:val="28"/>
          <w:szCs w:val="28"/>
          <w:u w:val="single"/>
        </w:rPr>
        <w:t>合同关键页</w:t>
      </w:r>
      <w:r>
        <w:rPr>
          <w:rFonts w:hint="eastAsia" w:asciiTheme="minorEastAsia" w:hAnsiTheme="minorEastAsia" w:eastAsiaTheme="minorEastAsia"/>
          <w:sz w:val="28"/>
          <w:szCs w:val="28"/>
        </w:rPr>
        <w:t>复印件（包含但不限于合同首页、合同</w:t>
      </w:r>
      <w:r>
        <w:rPr>
          <w:rFonts w:hint="eastAsia" w:asciiTheme="minorEastAsia" w:hAnsiTheme="minorEastAsia" w:eastAsiaTheme="minorEastAsia"/>
          <w:sz w:val="28"/>
          <w:szCs w:val="28"/>
          <w:lang w:eastAsia="zh-CN"/>
        </w:rPr>
        <w:t>可体现服务内容</w:t>
      </w:r>
      <w:r>
        <w:rPr>
          <w:rFonts w:hint="eastAsia" w:asciiTheme="minorEastAsia" w:hAnsiTheme="minorEastAsia" w:eastAsiaTheme="minorEastAsia"/>
          <w:sz w:val="28"/>
          <w:szCs w:val="28"/>
        </w:rPr>
        <w:t>页、合同签字页等）、</w:t>
      </w:r>
      <w:r>
        <w:rPr>
          <w:rFonts w:hint="eastAsia" w:asciiTheme="minorEastAsia" w:hAnsiTheme="minorEastAsia" w:eastAsiaTheme="minorEastAsia"/>
          <w:b/>
          <w:sz w:val="28"/>
          <w:szCs w:val="28"/>
          <w:u w:val="single"/>
        </w:rPr>
        <w:t>相关发票或完税证明</w:t>
      </w:r>
      <w:r>
        <w:rPr>
          <w:rFonts w:hint="eastAsia" w:asciiTheme="minorEastAsia" w:hAnsiTheme="minorEastAsia" w:eastAsiaTheme="minorEastAsia"/>
          <w:b/>
          <w:sz w:val="28"/>
          <w:szCs w:val="28"/>
        </w:rPr>
        <w:t>等证明材料</w:t>
      </w:r>
      <w:r>
        <w:rPr>
          <w:rFonts w:hint="eastAsia" w:asciiTheme="minorEastAsia" w:hAnsiTheme="minorEastAsia" w:eastAsiaTheme="minorEastAsia"/>
          <w:sz w:val="28"/>
          <w:szCs w:val="28"/>
        </w:rPr>
        <w:t>。】</w:t>
      </w:r>
    </w:p>
    <w:p w14:paraId="25866507">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3、本项目要求</w:t>
      </w:r>
      <w:r>
        <w:rPr>
          <w:rFonts w:hint="eastAsia" w:asciiTheme="minorEastAsia" w:hAnsiTheme="minorEastAsia" w:eastAsiaTheme="minorEastAsia"/>
          <w:sz w:val="28"/>
          <w:szCs w:val="28"/>
          <w:lang w:eastAsia="zh-CN"/>
        </w:rPr>
        <w:t>响应人</w:t>
      </w:r>
      <w:r>
        <w:rPr>
          <w:rFonts w:hint="eastAsia" w:asciiTheme="minorEastAsia" w:hAnsiTheme="minorEastAsia" w:eastAsiaTheme="minorEastAsia"/>
          <w:sz w:val="28"/>
          <w:szCs w:val="28"/>
        </w:rPr>
        <w:t>提供有效期内的</w:t>
      </w:r>
      <w:r>
        <w:rPr>
          <w:rFonts w:hint="eastAsia" w:asciiTheme="minorEastAsia" w:hAnsiTheme="minorEastAsia" w:eastAsiaTheme="minorEastAsia"/>
          <w:b/>
          <w:sz w:val="28"/>
          <w:szCs w:val="28"/>
          <w:u w:val="single"/>
        </w:rPr>
        <w:t>篷布不燃材质第三方检测报告</w:t>
      </w:r>
      <w:r>
        <w:rPr>
          <w:rFonts w:hint="eastAsia" w:asciiTheme="minorEastAsia" w:hAnsiTheme="minorEastAsia" w:eastAsiaTheme="minorEastAsia"/>
          <w:sz w:val="28"/>
          <w:szCs w:val="28"/>
        </w:rPr>
        <w:t>.</w:t>
      </w:r>
    </w:p>
    <w:p w14:paraId="4214AEA8">
      <w:pPr>
        <w:spacing w:line="360" w:lineRule="auto"/>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sz w:val="28"/>
          <w:szCs w:val="28"/>
        </w:rPr>
        <w:t>4、</w:t>
      </w:r>
      <w:r>
        <w:rPr>
          <w:rFonts w:hint="eastAsia" w:asciiTheme="minorEastAsia" w:hAnsiTheme="minorEastAsia" w:eastAsiaTheme="minorEastAsia"/>
          <w:color w:val="000000"/>
          <w:sz w:val="28"/>
          <w:szCs w:val="28"/>
        </w:rPr>
        <w:t>未被列入东实集团及下属企业相关领域黑名单。【以东莞实业投资控股集团有限公司发文（东实通〔2021〕44号）、（东实通〔2021〕98号）、（东实通〔2022〕75号）、（东实通〔2023〕37号）、（东实通〔2024〕163号）、（东实通〔2024〕195号）、（东实通〔2025〕157号）及下属公司发文为准，如有最新发文通知，按最新文件执行】</w:t>
      </w:r>
      <w:r>
        <w:rPr>
          <w:rFonts w:hint="eastAsia" w:asciiTheme="minorEastAsia" w:hAnsiTheme="minorEastAsia" w:eastAsiaTheme="minorEastAsia"/>
          <w:color w:val="000000"/>
          <w:sz w:val="28"/>
          <w:szCs w:val="28"/>
          <w:lang w:eastAsia="zh-CN"/>
        </w:rPr>
        <w:t>。</w:t>
      </w:r>
    </w:p>
    <w:p w14:paraId="3EA324D4">
      <w:pPr>
        <w:spacing w:line="360" w:lineRule="auto"/>
        <w:ind w:firstLine="560" w:firstLineChars="200"/>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lang w:val="en-US" w:eastAsia="zh-CN"/>
        </w:rPr>
        <w:t>5、响应人参加采购活动前三年内，在经营活动中没有重大违法记录。【提供书面声明】。</w:t>
      </w:r>
    </w:p>
    <w:p w14:paraId="11A261B8">
      <w:pPr>
        <w:spacing w:line="360" w:lineRule="auto"/>
        <w:ind w:firstLine="560" w:firstLineChars="200"/>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lang w:val="en-US" w:eastAsia="zh-CN"/>
        </w:rPr>
        <w:t>6、响应人未被列入“信用中国”网站（www.creditchina.gov.cn）“记录失信被执行人或重大税收违法失信主体或政府采购严重违法失信行为”记录名单。【提供查询截图</w:t>
      </w:r>
      <w:r>
        <w:rPr>
          <w:rFonts w:hint="eastAsia" w:asciiTheme="minorEastAsia" w:hAnsiTheme="minorEastAsia" w:eastAsiaTheme="minorEastAsia"/>
          <w:sz w:val="28"/>
          <w:szCs w:val="28"/>
        </w:rPr>
        <w:t>（加盖公章）</w:t>
      </w:r>
      <w:r>
        <w:rPr>
          <w:rFonts w:hint="eastAsia" w:asciiTheme="minorEastAsia" w:hAnsiTheme="minorEastAsia" w:eastAsiaTheme="minorEastAsia"/>
          <w:color w:val="000000"/>
          <w:sz w:val="28"/>
          <w:szCs w:val="28"/>
          <w:lang w:val="en-US" w:eastAsia="zh-CN"/>
        </w:rPr>
        <w:t>。以截止至本项目挂网当天，在“信用中国”网站（www.creditchina.gov.cn）查询结果为准，如相关失信记录已失效，响应人需提供相关证明资料】。</w:t>
      </w:r>
    </w:p>
    <w:p w14:paraId="767FAAE2">
      <w:pPr>
        <w:spacing w:line="360" w:lineRule="auto"/>
        <w:ind w:firstLine="560" w:firstLineChars="200"/>
        <w:rPr>
          <w:rFonts w:hint="default"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lang w:val="en-US" w:eastAsia="zh-CN"/>
        </w:rPr>
        <w:t>7、本项目（不接受）联合体响应。</w:t>
      </w:r>
    </w:p>
    <w:p w14:paraId="37A61CD4">
      <w:pPr>
        <w:spacing w:line="360" w:lineRule="auto"/>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四、采购内容及要求</w:t>
      </w:r>
    </w:p>
    <w:p w14:paraId="3580D83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具体要求详见本文件《用户需求书》</w:t>
      </w:r>
      <w:r>
        <w:rPr>
          <w:rFonts w:hint="eastAsia" w:asciiTheme="minorEastAsia" w:hAnsiTheme="minorEastAsia" w:eastAsiaTheme="minorEastAsia"/>
          <w:color w:val="000000"/>
          <w:sz w:val="28"/>
          <w:szCs w:val="28"/>
        </w:rPr>
        <w:t>。响应人须仔细阅读本用户需求书，因未详细了解本用户需求书造成报价项目遗漏，由响应人自行负责。</w:t>
      </w:r>
    </w:p>
    <w:p w14:paraId="79BDC41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五、合同工期</w:t>
      </w:r>
    </w:p>
    <w:p w14:paraId="1725B9BC">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本项目要求在202</w:t>
      </w:r>
      <w:r>
        <w:rPr>
          <w:rFonts w:hint="eastAsia" w:asciiTheme="minorEastAsia" w:hAnsiTheme="minorEastAsia" w:eastAsiaTheme="minorEastAsia"/>
          <w:color w:val="000000"/>
          <w:sz w:val="28"/>
          <w:szCs w:val="28"/>
          <w:u w:val="single"/>
          <w:lang w:val="en-US" w:eastAsia="zh-CN"/>
        </w:rPr>
        <w:t>6</w:t>
      </w:r>
      <w:r>
        <w:rPr>
          <w:rFonts w:hint="eastAsia" w:asciiTheme="minorEastAsia" w:hAnsiTheme="minorEastAsia" w:eastAsiaTheme="minorEastAsia"/>
          <w:color w:val="000000"/>
          <w:sz w:val="28"/>
          <w:szCs w:val="28"/>
          <w:u w:val="single"/>
        </w:rPr>
        <w:t>年1月</w:t>
      </w:r>
      <w:r>
        <w:rPr>
          <w:rFonts w:hint="eastAsia" w:asciiTheme="minorEastAsia" w:hAnsiTheme="minorEastAsia" w:eastAsiaTheme="minorEastAsia"/>
          <w:color w:val="000000"/>
          <w:sz w:val="28"/>
          <w:szCs w:val="28"/>
          <w:u w:val="single"/>
          <w:lang w:val="en-US" w:eastAsia="zh-CN"/>
        </w:rPr>
        <w:t>25</w:t>
      </w:r>
      <w:r>
        <w:rPr>
          <w:rFonts w:hint="eastAsia" w:asciiTheme="minorEastAsia" w:hAnsiTheme="minorEastAsia" w:eastAsiaTheme="minorEastAsia"/>
          <w:color w:val="000000"/>
          <w:sz w:val="28"/>
          <w:szCs w:val="28"/>
          <w:u w:val="single"/>
        </w:rPr>
        <w:t>日前搭建完成至202</w:t>
      </w:r>
      <w:r>
        <w:rPr>
          <w:rFonts w:hint="eastAsia" w:asciiTheme="minorEastAsia" w:hAnsiTheme="minorEastAsia" w:eastAsiaTheme="minorEastAsia"/>
          <w:color w:val="000000"/>
          <w:sz w:val="28"/>
          <w:szCs w:val="28"/>
          <w:u w:val="single"/>
          <w:lang w:val="en-US" w:eastAsia="zh-CN"/>
        </w:rPr>
        <w:t>6</w:t>
      </w:r>
      <w:r>
        <w:rPr>
          <w:rFonts w:hint="eastAsia" w:asciiTheme="minorEastAsia" w:hAnsiTheme="minorEastAsia" w:eastAsiaTheme="minorEastAsia"/>
          <w:color w:val="000000"/>
          <w:sz w:val="28"/>
          <w:szCs w:val="28"/>
          <w:u w:val="single"/>
        </w:rPr>
        <w:t>年春运结束后止，为期约2个月,春运结束在采购方通知后5天内拆除并</w:t>
      </w:r>
      <w:r>
        <w:rPr>
          <w:rFonts w:hint="eastAsia" w:asciiTheme="minorEastAsia" w:hAnsiTheme="minorEastAsia" w:eastAsiaTheme="minorEastAsia"/>
          <w:color w:val="000000"/>
          <w:sz w:val="28"/>
          <w:szCs w:val="28"/>
          <w:u w:val="single"/>
          <w:lang w:eastAsia="zh-CN"/>
        </w:rPr>
        <w:t>将</w:t>
      </w:r>
      <w:r>
        <w:rPr>
          <w:rFonts w:hint="eastAsia" w:asciiTheme="minorEastAsia" w:hAnsiTheme="minorEastAsia" w:eastAsiaTheme="minorEastAsia"/>
          <w:color w:val="000000"/>
          <w:sz w:val="28"/>
          <w:szCs w:val="28"/>
          <w:u w:val="single"/>
        </w:rPr>
        <w:t>现场场地恢复</w:t>
      </w:r>
      <w:r>
        <w:rPr>
          <w:rFonts w:hint="eastAsia" w:asciiTheme="minorEastAsia" w:hAnsiTheme="minorEastAsia" w:eastAsiaTheme="minorEastAsia"/>
          <w:color w:val="000000"/>
          <w:sz w:val="28"/>
          <w:szCs w:val="28"/>
          <w:u w:val="single"/>
          <w:lang w:eastAsia="zh-CN"/>
        </w:rPr>
        <w:t>至原来状态</w:t>
      </w:r>
      <w:r>
        <w:rPr>
          <w:rFonts w:hint="eastAsia" w:asciiTheme="minorEastAsia" w:hAnsiTheme="minorEastAsia" w:eastAsiaTheme="minorEastAsia"/>
          <w:color w:val="000000"/>
          <w:sz w:val="28"/>
          <w:szCs w:val="28"/>
          <w:u w:val="single"/>
        </w:rPr>
        <w:t>。</w:t>
      </w:r>
    </w:p>
    <w:p w14:paraId="6A6F6C3F">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六、支付方式</w:t>
      </w:r>
    </w:p>
    <w:p w14:paraId="266CB20D">
      <w:pPr>
        <w:adjustRightInd w:val="0"/>
        <w:snapToGrid w:val="0"/>
        <w:spacing w:line="600" w:lineRule="exact"/>
        <w:ind w:firstLine="560" w:firstLineChars="200"/>
        <w:outlineLvl w:val="1"/>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u w:val="single"/>
        </w:rPr>
        <w:t>合同款项支付方式为：搭建完成并通过验收后，支付合同款50%，余款在拆除完成并验收通过后支付，每次付款需开具合同款等额增值税专用发票。</w:t>
      </w:r>
    </w:p>
    <w:p w14:paraId="3BB54F4B">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七、报价</w:t>
      </w:r>
    </w:p>
    <w:p w14:paraId="1FBD8F89">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采购最高限价：人民币1</w:t>
      </w:r>
      <w:r>
        <w:rPr>
          <w:rFonts w:hint="eastAsia" w:asciiTheme="minorEastAsia" w:hAnsiTheme="minorEastAsia" w:eastAsiaTheme="minorEastAsia"/>
          <w:color w:val="000000"/>
          <w:sz w:val="28"/>
          <w:szCs w:val="28"/>
          <w:lang w:val="en-US" w:eastAsia="zh-CN"/>
        </w:rPr>
        <w:t>80</w:t>
      </w:r>
      <w:r>
        <w:rPr>
          <w:rFonts w:hint="eastAsia" w:asciiTheme="minorEastAsia" w:hAnsiTheme="minorEastAsia" w:eastAsiaTheme="minorEastAsia"/>
          <w:color w:val="000000"/>
          <w:sz w:val="28"/>
          <w:szCs w:val="28"/>
        </w:rPr>
        <w:t>,</w:t>
      </w:r>
      <w:r>
        <w:rPr>
          <w:rFonts w:hint="eastAsia" w:asciiTheme="minorEastAsia" w:hAnsiTheme="minorEastAsia" w:eastAsiaTheme="minorEastAsia"/>
          <w:color w:val="000000"/>
          <w:sz w:val="28"/>
          <w:szCs w:val="28"/>
          <w:lang w:val="en-US" w:eastAsia="zh-CN"/>
        </w:rPr>
        <w:t>0</w:t>
      </w:r>
      <w:r>
        <w:rPr>
          <w:rFonts w:hint="eastAsia" w:asciiTheme="minorEastAsia" w:hAnsiTheme="minorEastAsia" w:eastAsiaTheme="minorEastAsia"/>
          <w:color w:val="000000"/>
          <w:sz w:val="28"/>
          <w:szCs w:val="28"/>
        </w:rPr>
        <w:t>00.00元（含税）。</w:t>
      </w:r>
    </w:p>
    <w:p w14:paraId="7BA6BFEB">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项目发包方式为固定总价包干。包括但不限于：本项目中报价应包含施工及所需附件的购置费、运输费、人工费、保险费、各种税费及合同实施过程中的应预见和不可预见费用等完成合同规定责任和义务、达到合同目的的一切费用，采购人不再额外支付任何费用</w:t>
      </w:r>
      <w:r>
        <w:rPr>
          <w:rFonts w:hint="eastAsia" w:asciiTheme="minorEastAsia" w:hAnsiTheme="minorEastAsia" w:eastAsiaTheme="minorEastAsia"/>
          <w:color w:val="000000"/>
          <w:sz w:val="28"/>
          <w:szCs w:val="28"/>
          <w:u w:val="single"/>
        </w:rPr>
        <w:t>；</w:t>
      </w:r>
      <w:r>
        <w:rPr>
          <w:rFonts w:hint="eastAsia" w:asciiTheme="minorEastAsia" w:hAnsiTheme="minorEastAsia" w:eastAsiaTheme="minorEastAsia"/>
          <w:b/>
          <w:color w:val="000000"/>
          <w:sz w:val="28"/>
          <w:szCs w:val="28"/>
          <w:u w:val="single"/>
        </w:rPr>
        <w:t>响应人已充分考虑了本项目服务内容及要求描述工作量可能与最终实际工作量存在差距的风险</w:t>
      </w:r>
      <w:r>
        <w:rPr>
          <w:rFonts w:hint="eastAsia" w:asciiTheme="minorEastAsia" w:hAnsiTheme="minorEastAsia" w:eastAsiaTheme="minorEastAsia"/>
          <w:color w:val="000000"/>
          <w:sz w:val="28"/>
          <w:szCs w:val="28"/>
          <w:u w:val="single"/>
        </w:rPr>
        <w:t>。</w:t>
      </w:r>
    </w:p>
    <w:p w14:paraId="395B0572">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八、定标</w:t>
      </w:r>
    </w:p>
    <w:p w14:paraId="25C3DD8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本次项目采用公开询价方式进行采购，采购小组对各供应商响应文件进行审核，在符合资格条件的供应商中，采购小组根据最终报价和根据质量和服务均能满足采购文件实质性响应要求且</w:t>
      </w:r>
      <w:r>
        <w:rPr>
          <w:rFonts w:hint="eastAsia" w:asciiTheme="minorEastAsia" w:hAnsiTheme="minorEastAsia" w:eastAsiaTheme="minorEastAsia"/>
          <w:b/>
          <w:bCs/>
          <w:color w:val="000000"/>
          <w:sz w:val="28"/>
          <w:szCs w:val="28"/>
          <w:u w:val="single"/>
          <w:lang w:eastAsia="zh-CN"/>
        </w:rPr>
        <w:t>不含税</w:t>
      </w:r>
      <w:r>
        <w:rPr>
          <w:rFonts w:hint="eastAsia" w:asciiTheme="minorEastAsia" w:hAnsiTheme="minorEastAsia" w:eastAsiaTheme="minorEastAsia"/>
          <w:color w:val="000000"/>
          <w:sz w:val="28"/>
          <w:szCs w:val="28"/>
        </w:rPr>
        <w:t>报价最低的原则，推荐成交候选供应商。</w:t>
      </w:r>
    </w:p>
    <w:p w14:paraId="4004A0D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询价结束后，招标采购工作小组将相关询价情况按程序审批并确定成交人。</w:t>
      </w:r>
    </w:p>
    <w:p w14:paraId="6FD76E52">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九、采取的合同文本</w:t>
      </w:r>
    </w:p>
    <w:p w14:paraId="08E5CCBC">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合同签订的依据为询价文件、响应文件及补充说明等。确定成交单位后，成交单位在</w:t>
      </w:r>
      <w:r>
        <w:rPr>
          <w:rFonts w:asciiTheme="minorEastAsia" w:hAnsiTheme="minorEastAsia" w:eastAsiaTheme="minorEastAsia"/>
          <w:color w:val="000000"/>
          <w:sz w:val="28"/>
          <w:szCs w:val="28"/>
          <w:u w:val="single"/>
        </w:rPr>
        <w:t>10</w:t>
      </w:r>
      <w:r>
        <w:rPr>
          <w:rFonts w:hint="eastAsia" w:asciiTheme="minorEastAsia" w:hAnsiTheme="minorEastAsia" w:eastAsiaTheme="minorEastAsia"/>
          <w:color w:val="000000"/>
          <w:sz w:val="28"/>
          <w:szCs w:val="28"/>
        </w:rPr>
        <w:t>天内与采购人签订合同。</w:t>
      </w:r>
    </w:p>
    <w:p w14:paraId="6BE3628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响应人收款前需向采购人提供请款材料和开具合法有效等额的增值税专用发票，否则采购人有权拒绝付款。</w:t>
      </w:r>
    </w:p>
    <w:p w14:paraId="0BA8CA5B">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十、响应文件的组成部分</w:t>
      </w:r>
    </w:p>
    <w:p w14:paraId="7CF23BF6">
      <w:pPr>
        <w:numPr>
          <w:ilvl w:val="0"/>
          <w:numId w:val="3"/>
        </w:num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报价函（模板）及报价清单（清单自拟）；</w:t>
      </w:r>
    </w:p>
    <w:p w14:paraId="711C3E34">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、法定代表人身份证明（模板）以及法定代表人身份证复印件；</w:t>
      </w:r>
    </w:p>
    <w:p w14:paraId="5336C768">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、法人授权书（模板）及被委托人身份证复印件；</w:t>
      </w:r>
    </w:p>
    <w:p w14:paraId="2DF001CF">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、承诺函（模板）；</w:t>
      </w:r>
    </w:p>
    <w:p w14:paraId="4C91E76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5、同类业绩、资质证明。</w:t>
      </w:r>
    </w:p>
    <w:p w14:paraId="56737168">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6、响应人认为需要提供的其他资料(如公司介绍、所获得证书、施工方案等)。</w:t>
      </w:r>
    </w:p>
    <w:p w14:paraId="7A1A6341">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7、安全承诺书（模板）；</w:t>
      </w:r>
    </w:p>
    <w:p w14:paraId="364E721F">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响应人须严格按照采购人提供的表单格式报价，</w:t>
      </w:r>
      <w:r>
        <w:rPr>
          <w:rFonts w:hint="eastAsia" w:asciiTheme="minorEastAsia" w:hAnsiTheme="minorEastAsia" w:eastAsiaTheme="minorEastAsia"/>
          <w:b/>
          <w:color w:val="000000"/>
          <w:sz w:val="28"/>
          <w:szCs w:val="28"/>
          <w:u w:val="single"/>
        </w:rPr>
        <w:t>响应文件必须装订完整，于骑缝处加盖投标单位企业公章。</w:t>
      </w:r>
      <w:r>
        <w:rPr>
          <w:rFonts w:hint="eastAsia" w:asciiTheme="minorEastAsia" w:hAnsiTheme="minorEastAsia" w:eastAsiaTheme="minorEastAsia"/>
          <w:color w:val="000000"/>
          <w:sz w:val="28"/>
          <w:szCs w:val="28"/>
        </w:rPr>
        <w:t>装有响应文件的</w:t>
      </w:r>
      <w:r>
        <w:rPr>
          <w:rFonts w:hint="eastAsia" w:asciiTheme="minorEastAsia" w:hAnsiTheme="minorEastAsia" w:eastAsiaTheme="minorEastAsia"/>
          <w:b/>
          <w:color w:val="000000"/>
          <w:sz w:val="28"/>
          <w:szCs w:val="28"/>
        </w:rPr>
        <w:t>文件袋须贴有密封条（未密封文件不予接收），于骑缝处加盖企业公章</w:t>
      </w:r>
      <w:r>
        <w:rPr>
          <w:rFonts w:hint="eastAsia" w:asciiTheme="minorEastAsia" w:hAnsiTheme="minorEastAsia" w:eastAsiaTheme="minorEastAsia"/>
          <w:color w:val="000000"/>
          <w:sz w:val="28"/>
          <w:szCs w:val="28"/>
        </w:rPr>
        <w:t>。</w:t>
      </w:r>
    </w:p>
    <w:p w14:paraId="771F53E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十一、响应文件份数</w:t>
      </w:r>
    </w:p>
    <w:p w14:paraId="087849C1">
      <w:pPr>
        <w:pStyle w:val="39"/>
        <w:numPr>
          <w:ilvl w:val="0"/>
          <w:numId w:val="4"/>
        </w:numPr>
        <w:spacing w:line="600" w:lineRule="exact"/>
        <w:ind w:firstLineChars="0"/>
        <w:rPr>
          <w:rFonts w:asciiTheme="minorEastAsia" w:hAnsiTheme="minorEastAsia" w:eastAsiaTheme="minorEastAsia"/>
          <w:color w:val="000000"/>
          <w:sz w:val="28"/>
          <w:szCs w:val="28"/>
        </w:rPr>
      </w:pPr>
      <w:r>
        <w:rPr>
          <w:rFonts w:hint="eastAsia" w:asciiTheme="minorEastAsia" w:hAnsiTheme="minorEastAsia" w:eastAsiaTheme="minorEastAsia"/>
          <w:b/>
          <w:color w:val="000000"/>
          <w:sz w:val="28"/>
          <w:szCs w:val="28"/>
        </w:rPr>
        <w:t>正本一份，副本</w:t>
      </w:r>
      <w:r>
        <w:rPr>
          <w:rFonts w:hint="eastAsia" w:asciiTheme="minorEastAsia" w:hAnsiTheme="minorEastAsia" w:eastAsiaTheme="minorEastAsia"/>
          <w:b/>
          <w:color w:val="000000"/>
          <w:sz w:val="28"/>
          <w:szCs w:val="28"/>
          <w:lang w:val="en-US" w:eastAsia="zh-CN"/>
        </w:rPr>
        <w:t>3</w:t>
      </w:r>
      <w:r>
        <w:rPr>
          <w:rFonts w:hint="eastAsia" w:asciiTheme="minorEastAsia" w:hAnsiTheme="minorEastAsia" w:eastAsiaTheme="minorEastAsia"/>
          <w:b/>
          <w:color w:val="000000"/>
          <w:sz w:val="28"/>
          <w:szCs w:val="28"/>
        </w:rPr>
        <w:t>份</w:t>
      </w:r>
      <w:r>
        <w:rPr>
          <w:rFonts w:hint="eastAsia" w:asciiTheme="minorEastAsia" w:hAnsiTheme="minorEastAsia" w:eastAsiaTheme="minorEastAsia"/>
          <w:color w:val="000000"/>
          <w:sz w:val="28"/>
          <w:szCs w:val="28"/>
        </w:rPr>
        <w:t>，并提供响应文件扫描件电子版。</w:t>
      </w:r>
    </w:p>
    <w:p w14:paraId="036C2DC0">
      <w:pPr>
        <w:pStyle w:val="39"/>
        <w:numPr>
          <w:ilvl w:val="0"/>
          <w:numId w:val="4"/>
        </w:numPr>
        <w:spacing w:line="600" w:lineRule="exact"/>
        <w:ind w:left="1134" w:hanging="494"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投标人应承担所有与编写投标文件和参加投标有关的自身的所有费用，不论投标的结果如何，采购人在任何情况下均无义务和责任承担这些费用。</w:t>
      </w:r>
    </w:p>
    <w:p w14:paraId="75392BE9">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十二、开标时间及地址</w:t>
      </w:r>
    </w:p>
    <w:p w14:paraId="467616B2">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1</w:t>
      </w:r>
      <w:r>
        <w:rPr>
          <w:rFonts w:hint="eastAsia" w:asciiTheme="minorEastAsia" w:hAnsiTheme="minorEastAsia" w:eastAsiaTheme="minorEastAsia"/>
          <w:b/>
          <w:color w:val="000000"/>
          <w:sz w:val="28"/>
          <w:szCs w:val="28"/>
        </w:rPr>
        <w:t>、开标时间：</w:t>
      </w:r>
      <w:r>
        <w:rPr>
          <w:rFonts w:hint="eastAsia" w:asciiTheme="minorEastAsia" w:hAnsiTheme="minorEastAsia" w:eastAsiaTheme="minorEastAsia"/>
          <w:b/>
          <w:color w:val="000000"/>
          <w:sz w:val="28"/>
          <w:szCs w:val="28"/>
          <w:u w:val="single"/>
        </w:rPr>
        <w:t xml:space="preserve"> 202</w:t>
      </w:r>
      <w:r>
        <w:rPr>
          <w:rFonts w:hint="eastAsia" w:asciiTheme="minorEastAsia" w:hAnsiTheme="minorEastAsia" w:eastAsiaTheme="minorEastAsia"/>
          <w:b/>
          <w:color w:val="000000"/>
          <w:sz w:val="28"/>
          <w:szCs w:val="28"/>
          <w:u w:val="single"/>
          <w:lang w:val="en-US" w:eastAsia="zh-CN"/>
        </w:rPr>
        <w:t>6</w:t>
      </w:r>
      <w:r>
        <w:rPr>
          <w:rFonts w:hint="eastAsia" w:asciiTheme="minorEastAsia" w:hAnsiTheme="minorEastAsia" w:eastAsiaTheme="minorEastAsia"/>
          <w:b/>
          <w:color w:val="000000"/>
          <w:sz w:val="28"/>
          <w:szCs w:val="28"/>
        </w:rPr>
        <w:t>年</w:t>
      </w:r>
      <w:r>
        <w:rPr>
          <w:rFonts w:hint="eastAsia"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 xml:space="preserve"> 01</w:t>
      </w:r>
      <w:r>
        <w:rPr>
          <w:rFonts w:hint="eastAsia"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rPr>
        <w:t>月</w:t>
      </w:r>
      <w:r>
        <w:rPr>
          <w:rFonts w:hint="eastAsia"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 xml:space="preserve">16 </w:t>
      </w:r>
      <w:r>
        <w:rPr>
          <w:rFonts w:hint="eastAsia" w:asciiTheme="minorEastAsia" w:hAnsiTheme="minorEastAsia" w:eastAsiaTheme="minorEastAsia"/>
          <w:b/>
          <w:color w:val="000000"/>
          <w:sz w:val="28"/>
          <w:szCs w:val="28"/>
        </w:rPr>
        <w:t>日</w:t>
      </w:r>
      <w:r>
        <w:rPr>
          <w:rFonts w:hint="eastAsia" w:asciiTheme="minorEastAsia" w:hAnsiTheme="minorEastAsia" w:eastAsiaTheme="minorEastAsia"/>
          <w:b/>
          <w:color w:val="000000"/>
          <w:sz w:val="28"/>
          <w:szCs w:val="28"/>
          <w:lang w:eastAsia="zh-CN"/>
        </w:rPr>
        <w:t>下</w:t>
      </w:r>
      <w:r>
        <w:rPr>
          <w:rFonts w:hint="eastAsia" w:asciiTheme="minorEastAsia" w:hAnsiTheme="minorEastAsia" w:eastAsiaTheme="minorEastAsia"/>
          <w:b/>
          <w:color w:val="000000"/>
          <w:sz w:val="28"/>
          <w:szCs w:val="28"/>
        </w:rPr>
        <w:t>午</w:t>
      </w:r>
      <w:r>
        <w:rPr>
          <w:rFonts w:hint="eastAsia"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17</w:t>
      </w:r>
      <w:r>
        <w:rPr>
          <w:rFonts w:hint="eastAsia" w:asciiTheme="minorEastAsia" w:hAnsiTheme="minorEastAsia" w:eastAsiaTheme="minorEastAsia"/>
          <w:b/>
          <w:color w:val="000000"/>
          <w:sz w:val="28"/>
          <w:szCs w:val="28"/>
          <w:u w:val="single"/>
        </w:rPr>
        <w:t>:</w:t>
      </w:r>
      <w:r>
        <w:rPr>
          <w:rFonts w:hint="eastAsia" w:asciiTheme="minorEastAsia" w:hAnsiTheme="minorEastAsia" w:eastAsiaTheme="minorEastAsia"/>
          <w:b/>
          <w:color w:val="000000"/>
          <w:sz w:val="28"/>
          <w:szCs w:val="28"/>
          <w:u w:val="single"/>
          <w:lang w:val="en-US" w:eastAsia="zh-CN"/>
        </w:rPr>
        <w:t>0</w:t>
      </w:r>
      <w:r>
        <w:rPr>
          <w:rFonts w:hint="eastAsia" w:asciiTheme="minorEastAsia" w:hAnsiTheme="minorEastAsia" w:eastAsiaTheme="minorEastAsia"/>
          <w:b/>
          <w:color w:val="000000"/>
          <w:sz w:val="28"/>
          <w:szCs w:val="28"/>
          <w:u w:val="single"/>
        </w:rPr>
        <w:t xml:space="preserve">0 </w:t>
      </w:r>
      <w:r>
        <w:rPr>
          <w:rFonts w:hint="eastAsia" w:asciiTheme="minorEastAsia" w:hAnsiTheme="minorEastAsia" w:eastAsiaTheme="minorEastAsia"/>
          <w:b/>
          <w:color w:val="000000"/>
          <w:sz w:val="28"/>
          <w:szCs w:val="28"/>
        </w:rPr>
        <w:t>。</w:t>
      </w:r>
    </w:p>
    <w:p w14:paraId="5D8361B3">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2</w:t>
      </w:r>
      <w:r>
        <w:rPr>
          <w:rFonts w:hint="eastAsia" w:asciiTheme="minorEastAsia" w:hAnsiTheme="minorEastAsia" w:eastAsiaTheme="minorEastAsia"/>
          <w:b/>
          <w:color w:val="000000"/>
          <w:sz w:val="28"/>
          <w:szCs w:val="28"/>
        </w:rPr>
        <w:t>、开标地址：</w:t>
      </w:r>
      <w:r>
        <w:rPr>
          <w:rFonts w:hint="eastAsia" w:asciiTheme="minorEastAsia" w:hAnsiTheme="minorEastAsia" w:eastAsiaTheme="minorEastAsia"/>
          <w:b/>
          <w:sz w:val="28"/>
          <w:szCs w:val="28"/>
          <w:u w:val="single"/>
        </w:rPr>
        <w:t>东莞市宏伟五路1号东鸿公司会议室</w:t>
      </w:r>
    </w:p>
    <w:p w14:paraId="5778B08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联系人：</w:t>
      </w:r>
      <w:r>
        <w:rPr>
          <w:rFonts w:hint="eastAsia" w:asciiTheme="minorEastAsia" w:hAnsiTheme="minorEastAsia" w:eastAsiaTheme="minorEastAsia"/>
          <w:color w:val="000000"/>
          <w:sz w:val="28"/>
          <w:szCs w:val="28"/>
          <w:u w:val="single"/>
        </w:rPr>
        <w:t>吴先生</w:t>
      </w:r>
      <w:r>
        <w:rPr>
          <w:rFonts w:asciiTheme="minorEastAsia" w:hAnsiTheme="minorEastAsia" w:eastAsiaTheme="minorEastAsia"/>
          <w:color w:val="000000"/>
          <w:sz w:val="28"/>
          <w:szCs w:val="28"/>
          <w:u w:val="single"/>
        </w:rPr>
        <w:t xml:space="preserve">  </w:t>
      </w:r>
    </w:p>
    <w:p w14:paraId="7CD46A4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联系电话：</w:t>
      </w:r>
      <w:r>
        <w:rPr>
          <w:rFonts w:asciiTheme="minorEastAsia" w:hAnsiTheme="minorEastAsia" w:eastAsiaTheme="minorEastAsia"/>
          <w:color w:val="000000"/>
          <w:sz w:val="28"/>
          <w:szCs w:val="28"/>
          <w:u w:val="single"/>
        </w:rPr>
        <w:t xml:space="preserve">0769-23078130 </w:t>
      </w:r>
    </w:p>
    <w:p w14:paraId="48F42B25">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十三、注意事项</w:t>
      </w:r>
      <w:bookmarkStart w:id="6" w:name="_GoBack"/>
      <w:bookmarkEnd w:id="6"/>
    </w:p>
    <w:p w14:paraId="2DC90CE7">
      <w:pPr>
        <w:spacing w:line="600" w:lineRule="exact"/>
        <w:ind w:firstLine="560" w:firstLineChars="200"/>
        <w:rPr>
          <w:rFonts w:asciiTheme="minorEastAsia" w:hAnsiTheme="minorEastAsia" w:eastAsiaTheme="minorEastAsia"/>
          <w:color w:val="000000"/>
          <w:sz w:val="28"/>
          <w:szCs w:val="28"/>
        </w:rPr>
      </w:pPr>
      <w:bookmarkStart w:id="0" w:name="_Hlk517879660"/>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、若响应人未按规定时间将文件送达现场，视为放弃投标资格。</w:t>
      </w:r>
    </w:p>
    <w:p w14:paraId="5BF302B2">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、采购人向响应人提供的有关资料和数据，是采购人现有的能使响应人利用的资料，采购人对响应人由此而做出的推论、理解和结论概不负责。</w:t>
      </w:r>
    </w:p>
    <w:p w14:paraId="3CAE1FDC">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、本项目执行过程中将遵循国家、省、市有关法律、法规、标准、技术规范和规范性文件的最新规定。</w:t>
      </w:r>
      <w:bookmarkEnd w:id="0"/>
    </w:p>
    <w:p w14:paraId="5A1DA8F4">
      <w:pPr>
        <w:widowControl/>
        <w:spacing w:line="600" w:lineRule="exact"/>
        <w:ind w:firstLine="560" w:firstLineChars="200"/>
        <w:jc w:val="lef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、成交单位对采购文件中技术条款作出的负偏离，采购人如不接受，可要求成交单位以采购文件的要求为准，如成交单位拒绝的，采购人有权取消其成交资格或取消合同，采购人不作任何补偿。</w:t>
      </w:r>
    </w:p>
    <w:p w14:paraId="22CD6FB5">
      <w:pPr>
        <w:wordWrap w:val="0"/>
        <w:spacing w:line="600" w:lineRule="exact"/>
        <w:ind w:firstLine="560" w:firstLineChars="200"/>
        <w:jc w:val="right"/>
        <w:rPr>
          <w:rFonts w:asciiTheme="minorEastAsia" w:hAnsiTheme="minorEastAsia" w:eastAsiaTheme="minorEastAsia"/>
          <w:sz w:val="28"/>
          <w:szCs w:val="28"/>
          <w:u w:val="single"/>
        </w:rPr>
      </w:pPr>
      <w:r>
        <w:rPr>
          <w:rFonts w:hint="eastAsia" w:asciiTheme="minorEastAsia" w:hAnsiTheme="minorEastAsia" w:eastAsiaTheme="minorEastAsia"/>
          <w:sz w:val="28"/>
          <w:szCs w:val="28"/>
          <w:u w:val="single"/>
        </w:rPr>
        <w:t>广东东鸿物业发展有限公司</w:t>
      </w:r>
    </w:p>
    <w:p w14:paraId="40ECFE28">
      <w:pPr>
        <w:spacing w:line="600" w:lineRule="exact"/>
        <w:ind w:firstLine="560" w:firstLineChars="200"/>
        <w:jc w:val="right"/>
        <w:rPr>
          <w:rFonts w:asciiTheme="minorEastAsia" w:hAnsiTheme="minorEastAsia" w:eastAsiaTheme="minorEastAsia"/>
          <w:sz w:val="28"/>
          <w:szCs w:val="28"/>
        </w:rPr>
      </w:pPr>
      <w:r>
        <w:rPr>
          <w:rFonts w:asciiTheme="minorEastAsia" w:hAnsiTheme="minorEastAsia" w:eastAsiaTheme="minorEastAsia"/>
          <w:sz w:val="28"/>
          <w:szCs w:val="28"/>
        </w:rPr>
        <w:t>20</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w:t>
      </w:r>
      <w:r>
        <w:rPr>
          <w:rFonts w:hint="eastAsia" w:asciiTheme="minorEastAsia" w:hAnsiTheme="minorEastAsia" w:eastAsiaTheme="minorEastAsia"/>
          <w:sz w:val="28"/>
          <w:szCs w:val="28"/>
          <w:u w:val="single"/>
          <w:lang w:val="en-US" w:eastAsia="zh-CN"/>
        </w:rPr>
        <w:t>6</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lang w:val="en-US" w:eastAsia="zh-CN"/>
        </w:rPr>
        <w:t xml:space="preserve"> 01</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lang w:val="en-US" w:eastAsia="zh-CN"/>
        </w:rPr>
        <w:t>13</w:t>
      </w:r>
      <w:r>
        <w:rPr>
          <w:rFonts w:hint="eastAsia" w:asciiTheme="minorEastAsia" w:hAnsiTheme="minorEastAsia" w:eastAsiaTheme="minorEastAsia"/>
          <w:sz w:val="28"/>
          <w:szCs w:val="28"/>
        </w:rPr>
        <w:t>日</w:t>
      </w:r>
    </w:p>
    <w:p w14:paraId="5EA19543">
      <w:pPr>
        <w:widowControl/>
        <w:spacing w:line="600" w:lineRule="exact"/>
        <w:ind w:firstLine="560" w:firstLineChars="200"/>
        <w:jc w:val="left"/>
        <w:rPr>
          <w:rFonts w:asciiTheme="minorEastAsia" w:hAnsiTheme="minorEastAsia" w:eastAsiaTheme="minorEastAsia"/>
          <w:color w:val="000000"/>
          <w:sz w:val="28"/>
          <w:szCs w:val="28"/>
        </w:rPr>
        <w:sectPr>
          <w:headerReference r:id="rId3" w:type="default"/>
          <w:pgSz w:w="11906" w:h="16838"/>
          <w:pgMar w:top="851" w:right="849" w:bottom="1276" w:left="993" w:header="851" w:footer="992" w:gutter="0"/>
          <w:cols w:space="720" w:num="1"/>
          <w:docGrid w:type="lines" w:linePitch="312" w:charSpace="0"/>
        </w:sectPr>
      </w:pPr>
    </w:p>
    <w:p w14:paraId="350362FE">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附件一 响应须知</w:t>
      </w:r>
    </w:p>
    <w:tbl>
      <w:tblPr>
        <w:tblStyle w:val="18"/>
        <w:tblpPr w:leftFromText="180" w:rightFromText="180" w:vertAnchor="text" w:horzAnchor="page" w:tblpX="942" w:tblpY="651"/>
        <w:tblOverlap w:val="never"/>
        <w:tblW w:w="5189"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2466"/>
        <w:gridCol w:w="6821"/>
      </w:tblGrid>
      <w:tr w14:paraId="609297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trPr>
        <w:tc>
          <w:tcPr>
            <w:tcW w:w="460" w:type="pct"/>
            <w:tcBorders>
              <w:top w:val="double" w:color="auto" w:sz="4" w:space="0"/>
            </w:tcBorders>
            <w:vAlign w:val="center"/>
          </w:tcPr>
          <w:p w14:paraId="73EE01B2">
            <w:pPr>
              <w:pStyle w:val="17"/>
              <w:spacing w:after="0" w:line="360" w:lineRule="auto"/>
              <w:ind w:firstLine="0" w:firstLineChars="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项号</w:t>
            </w:r>
          </w:p>
        </w:tc>
        <w:tc>
          <w:tcPr>
            <w:tcW w:w="1205" w:type="pct"/>
            <w:tcBorders>
              <w:top w:val="double" w:color="auto" w:sz="4" w:space="0"/>
            </w:tcBorders>
            <w:vAlign w:val="center"/>
          </w:tcPr>
          <w:p w14:paraId="62A5675E">
            <w:pPr>
              <w:pStyle w:val="17"/>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内容</w:t>
            </w:r>
          </w:p>
        </w:tc>
        <w:tc>
          <w:tcPr>
            <w:tcW w:w="3333" w:type="pct"/>
            <w:tcBorders>
              <w:top w:val="double" w:color="auto" w:sz="4" w:space="0"/>
            </w:tcBorders>
            <w:vAlign w:val="center"/>
          </w:tcPr>
          <w:p w14:paraId="3B092A07">
            <w:pPr>
              <w:pStyle w:val="17"/>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说明与要求</w:t>
            </w:r>
          </w:p>
        </w:tc>
      </w:tr>
      <w:tr w14:paraId="6F2D97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663C4C3F">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p>
        </w:tc>
        <w:tc>
          <w:tcPr>
            <w:tcW w:w="1205" w:type="pct"/>
            <w:vAlign w:val="center"/>
          </w:tcPr>
          <w:p w14:paraId="0568339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p>
        </w:tc>
        <w:tc>
          <w:tcPr>
            <w:tcW w:w="3333" w:type="pct"/>
            <w:vAlign w:val="center"/>
          </w:tcPr>
          <w:p w14:paraId="2C2BE7E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火车站站前广场202</w:t>
            </w:r>
            <w:r>
              <w:rPr>
                <w:rFonts w:hint="eastAsia" w:asciiTheme="minorEastAsia" w:hAnsiTheme="minorEastAsia" w:eastAsiaTheme="minorEastAsia"/>
                <w:color w:val="000000"/>
                <w:sz w:val="28"/>
                <w:szCs w:val="28"/>
                <w:lang w:val="en-US" w:eastAsia="zh-CN"/>
              </w:rPr>
              <w:t>6</w:t>
            </w:r>
            <w:r>
              <w:rPr>
                <w:rFonts w:hint="eastAsia" w:asciiTheme="minorEastAsia" w:hAnsiTheme="minorEastAsia" w:eastAsiaTheme="minorEastAsia"/>
                <w:color w:val="000000"/>
                <w:sz w:val="28"/>
                <w:szCs w:val="28"/>
              </w:rPr>
              <w:t>年春运临时候车帐篷搭建项目</w:t>
            </w:r>
          </w:p>
        </w:tc>
      </w:tr>
      <w:tr w14:paraId="5C715D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23C91836">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p>
        </w:tc>
        <w:tc>
          <w:tcPr>
            <w:tcW w:w="1205" w:type="pct"/>
            <w:vAlign w:val="center"/>
          </w:tcPr>
          <w:p w14:paraId="3CB5A37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建设地点</w:t>
            </w:r>
          </w:p>
        </w:tc>
        <w:tc>
          <w:tcPr>
            <w:tcW w:w="3333" w:type="pct"/>
            <w:vAlign w:val="center"/>
          </w:tcPr>
          <w:p w14:paraId="7A76C21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东莞石龙火车站广场</w:t>
            </w:r>
          </w:p>
        </w:tc>
      </w:tr>
      <w:tr w14:paraId="3008E1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704631FE">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p>
        </w:tc>
        <w:tc>
          <w:tcPr>
            <w:tcW w:w="1205" w:type="pct"/>
            <w:vAlign w:val="center"/>
          </w:tcPr>
          <w:p w14:paraId="0B4C4D3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项目性质</w:t>
            </w:r>
          </w:p>
        </w:tc>
        <w:tc>
          <w:tcPr>
            <w:tcW w:w="3333" w:type="pct"/>
            <w:vAlign w:val="center"/>
          </w:tcPr>
          <w:p w14:paraId="4F90895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lang w:eastAsia="zh-CN"/>
              </w:rPr>
              <w:t>工程</w:t>
            </w:r>
            <w:r>
              <w:rPr>
                <w:rFonts w:hint="eastAsia" w:asciiTheme="minorEastAsia" w:hAnsiTheme="minorEastAsia" w:eastAsiaTheme="minorEastAsia"/>
                <w:color w:val="000000"/>
                <w:sz w:val="28"/>
                <w:szCs w:val="28"/>
                <w:lang w:val="en-US" w:eastAsia="zh-CN"/>
              </w:rPr>
              <w:t>服务</w:t>
            </w:r>
            <w:r>
              <w:rPr>
                <w:rFonts w:hint="eastAsia" w:asciiTheme="minorEastAsia" w:hAnsiTheme="minorEastAsia" w:eastAsiaTheme="minorEastAsia"/>
                <w:color w:val="000000"/>
                <w:sz w:val="28"/>
                <w:szCs w:val="28"/>
              </w:rPr>
              <w:t>类</w:t>
            </w:r>
          </w:p>
        </w:tc>
      </w:tr>
      <w:tr w14:paraId="75F2C5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5CE40FCC">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p>
        </w:tc>
        <w:tc>
          <w:tcPr>
            <w:tcW w:w="1205" w:type="pct"/>
            <w:vAlign w:val="center"/>
          </w:tcPr>
          <w:p w14:paraId="76188A9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发包要求</w:t>
            </w:r>
          </w:p>
        </w:tc>
        <w:tc>
          <w:tcPr>
            <w:tcW w:w="3333" w:type="pct"/>
            <w:vAlign w:val="center"/>
          </w:tcPr>
          <w:p w14:paraId="6042780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不得转包</w:t>
            </w:r>
          </w:p>
        </w:tc>
      </w:tr>
      <w:tr w14:paraId="750516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7F6498F2">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p>
        </w:tc>
        <w:tc>
          <w:tcPr>
            <w:tcW w:w="1205" w:type="pct"/>
            <w:vAlign w:val="center"/>
          </w:tcPr>
          <w:p w14:paraId="2933C13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质量标准</w:t>
            </w:r>
          </w:p>
        </w:tc>
        <w:tc>
          <w:tcPr>
            <w:tcW w:w="3333" w:type="pct"/>
            <w:vAlign w:val="center"/>
          </w:tcPr>
          <w:p w14:paraId="32692A5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质量标准按国家标准和行业有的间规定。要求选用：高强度轻质铝合金材料作为结构支架，篷布：双面PVC涂层的合成纤维</w:t>
            </w:r>
            <w:r>
              <w:rPr>
                <w:rFonts w:hint="eastAsia" w:asciiTheme="minorEastAsia" w:hAnsiTheme="minorEastAsia" w:eastAsiaTheme="minorEastAsia"/>
                <w:color w:val="FF0000"/>
                <w:sz w:val="28"/>
                <w:szCs w:val="28"/>
              </w:rPr>
              <w:t>，</w:t>
            </w:r>
            <w:r>
              <w:rPr>
                <w:rFonts w:hint="eastAsia" w:asciiTheme="minorEastAsia" w:hAnsiTheme="minorEastAsia" w:eastAsiaTheme="minorEastAsia"/>
                <w:b/>
                <w:bCs/>
                <w:color w:val="FF0000"/>
                <w:sz w:val="28"/>
                <w:szCs w:val="28"/>
              </w:rPr>
              <w:t>红色</w:t>
            </w:r>
            <w:r>
              <w:rPr>
                <w:rFonts w:hint="eastAsia" w:asciiTheme="minorEastAsia" w:hAnsiTheme="minorEastAsia" w:eastAsiaTheme="minorEastAsia"/>
                <w:color w:val="000000"/>
                <w:sz w:val="28"/>
                <w:szCs w:val="28"/>
              </w:rPr>
              <w:t>，不燃性材质，要求防雨且抗风能力强，蓬顶需加装排水设施。</w:t>
            </w:r>
          </w:p>
        </w:tc>
      </w:tr>
      <w:tr w14:paraId="08C94C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46F4C70A">
            <w:pPr>
              <w:spacing w:line="360" w:lineRule="auto"/>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t>6</w:t>
            </w:r>
          </w:p>
        </w:tc>
        <w:tc>
          <w:tcPr>
            <w:tcW w:w="1205" w:type="pct"/>
            <w:vAlign w:val="center"/>
          </w:tcPr>
          <w:p w14:paraId="1FF182C8">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工期要求</w:t>
            </w:r>
          </w:p>
        </w:tc>
        <w:tc>
          <w:tcPr>
            <w:tcW w:w="3333" w:type="pct"/>
            <w:vAlign w:val="center"/>
          </w:tcPr>
          <w:p w14:paraId="4DEEC721">
            <w:pPr>
              <w:spacing w:line="5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2个月</w:t>
            </w:r>
          </w:p>
        </w:tc>
      </w:tr>
      <w:tr w14:paraId="5960BE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604EC5FF">
            <w:pPr>
              <w:spacing w:line="360" w:lineRule="auto"/>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t>7</w:t>
            </w:r>
          </w:p>
        </w:tc>
        <w:tc>
          <w:tcPr>
            <w:tcW w:w="1205" w:type="pct"/>
            <w:vAlign w:val="center"/>
          </w:tcPr>
          <w:p w14:paraId="6BAA5BA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单位资质要求</w:t>
            </w:r>
          </w:p>
        </w:tc>
        <w:tc>
          <w:tcPr>
            <w:tcW w:w="3333" w:type="pct"/>
            <w:vAlign w:val="center"/>
          </w:tcPr>
          <w:p w14:paraId="21FACBA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3776AA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6D3AE204">
            <w:pPr>
              <w:spacing w:line="360" w:lineRule="auto"/>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t>8</w:t>
            </w:r>
          </w:p>
        </w:tc>
        <w:tc>
          <w:tcPr>
            <w:tcW w:w="1205" w:type="pct"/>
          </w:tcPr>
          <w:p w14:paraId="59492053">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询价保证金金额及缴纳方式</w:t>
            </w:r>
          </w:p>
        </w:tc>
        <w:tc>
          <w:tcPr>
            <w:tcW w:w="3333" w:type="pct"/>
            <w:vAlign w:val="center"/>
          </w:tcPr>
          <w:p w14:paraId="48E0893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65782F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14D57E87">
            <w:pPr>
              <w:spacing w:line="360" w:lineRule="auto"/>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t>9</w:t>
            </w:r>
          </w:p>
        </w:tc>
        <w:tc>
          <w:tcPr>
            <w:tcW w:w="1205" w:type="pct"/>
          </w:tcPr>
          <w:p w14:paraId="3ABAE63E">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询价有效期</w:t>
            </w:r>
          </w:p>
        </w:tc>
        <w:tc>
          <w:tcPr>
            <w:tcW w:w="3333" w:type="pct"/>
            <w:vAlign w:val="center"/>
          </w:tcPr>
          <w:p w14:paraId="50F8C90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3</w:t>
            </w:r>
            <w:r>
              <w:rPr>
                <w:rFonts w:asciiTheme="minorEastAsia" w:hAnsiTheme="minorEastAsia" w:eastAsiaTheme="minorEastAsia"/>
                <w:color w:val="000000"/>
                <w:sz w:val="28"/>
                <w:szCs w:val="28"/>
              </w:rPr>
              <w:t>0</w:t>
            </w:r>
            <w:r>
              <w:rPr>
                <w:rFonts w:hint="eastAsia" w:asciiTheme="minorEastAsia" w:hAnsiTheme="minorEastAsia" w:eastAsiaTheme="minorEastAsia"/>
                <w:color w:val="000000"/>
                <w:sz w:val="28"/>
                <w:szCs w:val="28"/>
              </w:rPr>
              <w:t>天</w:t>
            </w:r>
          </w:p>
        </w:tc>
      </w:tr>
      <w:tr w14:paraId="72CF78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16922FAC">
            <w:pPr>
              <w:spacing w:line="360" w:lineRule="auto"/>
              <w:jc w:val="center"/>
              <w:rPr>
                <w:rFonts w:asciiTheme="minorEastAsia" w:hAnsiTheme="minorEastAsia" w:eastAsiaTheme="minorEastAsia"/>
                <w:color w:val="000000"/>
                <w:sz w:val="32"/>
                <w:szCs w:val="32"/>
              </w:rPr>
            </w:pPr>
          </w:p>
        </w:tc>
        <w:tc>
          <w:tcPr>
            <w:tcW w:w="1205" w:type="pct"/>
            <w:vAlign w:val="center"/>
          </w:tcPr>
          <w:p w14:paraId="50A17F77">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响应人不得存在的情形</w:t>
            </w:r>
          </w:p>
        </w:tc>
        <w:tc>
          <w:tcPr>
            <w:tcW w:w="3333" w:type="pct"/>
            <w:vAlign w:val="center"/>
          </w:tcPr>
          <w:p w14:paraId="265E662C">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、响应人不得存在下列情形之一，否则采购人有权取消其参与响应资格或成交资格：</w:t>
            </w:r>
          </w:p>
          <w:p w14:paraId="6D4C2AF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）为采购人不具有独立法人资格的附属机构（单位）；</w:t>
            </w:r>
          </w:p>
          <w:p w14:paraId="390DFB4B">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）被责令停业的；</w:t>
            </w:r>
            <w:r>
              <w:rPr>
                <w:rFonts w:asciiTheme="minorEastAsia" w:hAnsiTheme="minorEastAsia" w:eastAsiaTheme="minorEastAsia"/>
                <w:color w:val="000000"/>
                <w:sz w:val="28"/>
                <w:szCs w:val="28"/>
              </w:rPr>
              <w:t xml:space="preserve"> </w:t>
            </w:r>
          </w:p>
          <w:p w14:paraId="1D8323D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）被暂停或取消投标资格的；</w:t>
            </w:r>
            <w:r>
              <w:rPr>
                <w:rFonts w:asciiTheme="minorEastAsia" w:hAnsiTheme="minorEastAsia" w:eastAsiaTheme="minorEastAsia"/>
                <w:color w:val="000000"/>
                <w:sz w:val="28"/>
                <w:szCs w:val="28"/>
              </w:rPr>
              <w:t xml:space="preserve"> </w:t>
            </w:r>
          </w:p>
          <w:p w14:paraId="10F0BAF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）财产被接管或冻结的；</w:t>
            </w:r>
          </w:p>
          <w:p w14:paraId="142CD91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）在最近三年内有骗取中标、严重违约、重大质量或安全问题的；</w:t>
            </w:r>
          </w:p>
          <w:p w14:paraId="0E75DC9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）法律法规规定的其他情形；</w:t>
            </w:r>
          </w:p>
          <w:p w14:paraId="753EC64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）询价文件规定的其他情形：见询价公告或询价响应须知前附表。</w:t>
            </w:r>
          </w:p>
          <w:p w14:paraId="5C5BAD60">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、响应人在询价采购活动中有下列行为之一的，应视情节轻重，暂停或取消其参与采购人及东实集团旗下采购项目的资格：</w:t>
            </w:r>
          </w:p>
          <w:p w14:paraId="4203FDA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）响应人之间相互串通、或与采购人、代理机构、评审委员会成员串通谈判，损害采购人或者其他响应人的合法权益的；</w:t>
            </w:r>
            <w:r>
              <w:rPr>
                <w:rFonts w:asciiTheme="minorEastAsia" w:hAnsiTheme="minorEastAsia" w:eastAsiaTheme="minorEastAsia"/>
                <w:color w:val="000000"/>
                <w:sz w:val="28"/>
                <w:szCs w:val="28"/>
              </w:rPr>
              <w:t xml:space="preserve"> </w:t>
            </w:r>
          </w:p>
          <w:p w14:paraId="593F2A4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）向采购人、代理机构、评审委会成员或其他相关工作人员行贿的；</w:t>
            </w:r>
            <w:r>
              <w:rPr>
                <w:rFonts w:asciiTheme="minorEastAsia" w:hAnsiTheme="minorEastAsia" w:eastAsiaTheme="minorEastAsia"/>
                <w:color w:val="000000"/>
                <w:sz w:val="28"/>
                <w:szCs w:val="28"/>
              </w:rPr>
              <w:t xml:space="preserve"> </w:t>
            </w:r>
          </w:p>
          <w:p w14:paraId="0078AAA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）以他人名义谈判或以其他方式弄虚作假，骗取成交的；</w:t>
            </w:r>
            <w:r>
              <w:rPr>
                <w:rFonts w:asciiTheme="minorEastAsia" w:hAnsiTheme="minorEastAsia" w:eastAsiaTheme="minorEastAsia"/>
                <w:color w:val="000000"/>
                <w:sz w:val="28"/>
                <w:szCs w:val="28"/>
              </w:rPr>
              <w:t xml:space="preserve"> </w:t>
            </w:r>
          </w:p>
          <w:p w14:paraId="2A8F1AD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）成交人私自将成交项目转让给他人的，将成交项目肢解后分别转让给他人的；</w:t>
            </w:r>
            <w:r>
              <w:rPr>
                <w:rFonts w:asciiTheme="minorEastAsia" w:hAnsiTheme="minorEastAsia" w:eastAsiaTheme="minorEastAsia"/>
                <w:color w:val="000000"/>
                <w:sz w:val="28"/>
                <w:szCs w:val="28"/>
              </w:rPr>
              <w:t xml:space="preserve"> </w:t>
            </w:r>
          </w:p>
          <w:p w14:paraId="1AE8077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）成交人无正当理由不与采购人订立合同，在签订合同时向采购人提出附加条件，或者不按照竞争性谈判文件要求提交履约担保的；</w:t>
            </w:r>
          </w:p>
          <w:p w14:paraId="0076BAF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）响应人捏造事实、伪造材料或者以非法手段取得证明材料进行投诉，给他人造成损失的；</w:t>
            </w:r>
            <w:r>
              <w:rPr>
                <w:rFonts w:asciiTheme="minorEastAsia" w:hAnsiTheme="minorEastAsia" w:eastAsiaTheme="minorEastAsia"/>
                <w:color w:val="000000"/>
                <w:sz w:val="28"/>
                <w:szCs w:val="28"/>
              </w:rPr>
              <w:t xml:space="preserve"> </w:t>
            </w:r>
          </w:p>
          <w:p w14:paraId="307F0B0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）相关工作人员应当回避而不回避的；</w:t>
            </w:r>
            <w:r>
              <w:rPr>
                <w:rFonts w:asciiTheme="minorEastAsia" w:hAnsiTheme="minorEastAsia" w:eastAsiaTheme="minorEastAsia"/>
                <w:color w:val="000000"/>
                <w:sz w:val="28"/>
                <w:szCs w:val="28"/>
              </w:rPr>
              <w:t xml:space="preserve"> </w:t>
            </w:r>
          </w:p>
          <w:p w14:paraId="77FE831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8</w:t>
            </w:r>
            <w:r>
              <w:rPr>
                <w:rFonts w:hint="eastAsia" w:asciiTheme="minorEastAsia" w:hAnsiTheme="minorEastAsia" w:eastAsiaTheme="minorEastAsia"/>
                <w:color w:val="000000"/>
                <w:sz w:val="28"/>
                <w:szCs w:val="28"/>
              </w:rPr>
              <w:t>）其他违法违规的行为。</w:t>
            </w:r>
          </w:p>
          <w:p w14:paraId="04CB3050">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、有下列情形之一的，视为响应人串通谈判，其响应无效：</w:t>
            </w:r>
          </w:p>
          <w:p w14:paraId="4A63DFA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）不同响应人的响应文件由同一单位或者个人编制；</w:t>
            </w:r>
          </w:p>
          <w:p w14:paraId="523549E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）不同响应人委托同一单位或者个人办理响应事宜；</w:t>
            </w:r>
          </w:p>
          <w:p w14:paraId="41857CB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）不同响应人的响应文件载明的项目管理成员或者联系人员为同一人；</w:t>
            </w:r>
          </w:p>
          <w:p w14:paraId="7631E13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）不同响应人的响应文件异常一致或者响应报价呈规律性差异；</w:t>
            </w:r>
          </w:p>
          <w:p w14:paraId="11289A6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）不同响应人的响应文件相互混装；</w:t>
            </w:r>
          </w:p>
          <w:p w14:paraId="5A76765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）不同响应人的响应保证金从同一单位或者个人的账户转出。</w:t>
            </w:r>
          </w:p>
          <w:p w14:paraId="66131FCC">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、使用通过受让或者租借等方式获取的资格、资质证书响应的，属于以他人名义谈判，其响应无效：</w:t>
            </w:r>
          </w:p>
          <w:p w14:paraId="57D8B7F4">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、有下列情形之一的，属于以其他方式弄虚作假的行为，其响应无效：</w:t>
            </w:r>
          </w:p>
          <w:p w14:paraId="00A8BDD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）使用伪造、变造的许可证件；</w:t>
            </w:r>
          </w:p>
          <w:p w14:paraId="319F4DF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）提供虚假的财务状况或者业绩；</w:t>
            </w:r>
            <w:r>
              <w:rPr>
                <w:rFonts w:asciiTheme="minorEastAsia" w:hAnsiTheme="minorEastAsia" w:eastAsiaTheme="minorEastAsia"/>
                <w:color w:val="000000"/>
                <w:sz w:val="28"/>
                <w:szCs w:val="28"/>
              </w:rPr>
              <w:t xml:space="preserve"> </w:t>
            </w:r>
          </w:p>
          <w:p w14:paraId="6F19E73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）提供虚假的项目负责人或者主要技术人员简历、劳动关系证明；</w:t>
            </w:r>
            <w:r>
              <w:rPr>
                <w:rFonts w:asciiTheme="minorEastAsia" w:hAnsiTheme="minorEastAsia" w:eastAsiaTheme="minorEastAsia"/>
                <w:color w:val="000000"/>
                <w:sz w:val="28"/>
                <w:szCs w:val="28"/>
              </w:rPr>
              <w:t xml:space="preserve"> </w:t>
            </w:r>
          </w:p>
          <w:p w14:paraId="61CB08C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）提供虚假的信用状况；</w:t>
            </w:r>
          </w:p>
          <w:p w14:paraId="3FAD853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）其他弄虚作假的行为。</w:t>
            </w:r>
          </w:p>
          <w:p w14:paraId="6A7223BC">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、响应人相关工作人员与采购人或采购代理机构有以下利害关系之一的，应当回避：</w:t>
            </w:r>
            <w:r>
              <w:rPr>
                <w:rFonts w:asciiTheme="minorEastAsia" w:hAnsiTheme="minorEastAsia" w:eastAsiaTheme="minorEastAsia"/>
                <w:color w:val="000000"/>
                <w:sz w:val="28"/>
                <w:szCs w:val="28"/>
              </w:rPr>
              <w:t xml:space="preserve"> </w:t>
            </w:r>
          </w:p>
          <w:p w14:paraId="2A7C696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（一）是其主要负责人的近亲属的；</w:t>
            </w:r>
          </w:p>
          <w:p w14:paraId="6C624E2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（二）询价采购活动前</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年内与其存在劳动关系，担任其董事、监事，是其控股股东或实际控制人，或存在其他经济利益关系，可能影响采购活动公平公正的；</w:t>
            </w:r>
          </w:p>
          <w:p w14:paraId="78645EA1">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（三）其他可能影响询价活动公平、公正进行的关系。</w:t>
            </w:r>
          </w:p>
        </w:tc>
      </w:tr>
      <w:tr w14:paraId="45ACD6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513A7565">
            <w:pPr>
              <w:spacing w:line="360" w:lineRule="auto"/>
              <w:jc w:val="cente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10</w:t>
            </w:r>
          </w:p>
        </w:tc>
        <w:tc>
          <w:tcPr>
            <w:tcW w:w="1205" w:type="pct"/>
            <w:vAlign w:val="center"/>
          </w:tcPr>
          <w:p w14:paraId="6A21FE62">
            <w:pPr>
              <w:spacing w:line="360" w:lineRule="auto"/>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踏勘现场及答疑会</w:t>
            </w:r>
          </w:p>
        </w:tc>
        <w:tc>
          <w:tcPr>
            <w:tcW w:w="3333" w:type="pct"/>
            <w:vAlign w:val="center"/>
          </w:tcPr>
          <w:p w14:paraId="5051E664">
            <w:pPr>
              <w:spacing w:line="360" w:lineRule="auto"/>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 本项不组织集中踏勘现场及答疑会，潜在投标人可自行踏勘现场。需求书与现场不符的地方，以现场实际需求为准。</w:t>
            </w:r>
          </w:p>
          <w:p w14:paraId="2A70A3C9">
            <w:pPr>
              <w:adjustRightInd w:val="0"/>
              <w:snapToGrid w:val="0"/>
              <w:spacing w:line="560" w:lineRule="exact"/>
              <w:ind w:left="105" w:leftChars="5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2.经采购人允许，潜在投标人可因需要而进入采购人的项目现场踏勘，但潜在投标人不得因此使采购人承担有关的责任和蒙受损失。潜在投标人应承担踏勘现场的责任和风险。</w:t>
            </w:r>
          </w:p>
        </w:tc>
      </w:tr>
      <w:tr w14:paraId="474E17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vAlign w:val="center"/>
          </w:tcPr>
          <w:p w14:paraId="10B94B97">
            <w:pPr>
              <w:spacing w:line="360" w:lineRule="auto"/>
              <w:jc w:val="cente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11</w:t>
            </w:r>
          </w:p>
        </w:tc>
        <w:tc>
          <w:tcPr>
            <w:tcW w:w="1205" w:type="pct"/>
            <w:vAlign w:val="center"/>
          </w:tcPr>
          <w:p w14:paraId="590D9E8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响应人数量</w:t>
            </w:r>
          </w:p>
        </w:tc>
        <w:tc>
          <w:tcPr>
            <w:tcW w:w="3333" w:type="pct"/>
            <w:vAlign w:val="center"/>
          </w:tcPr>
          <w:p w14:paraId="6144A9EE">
            <w:pPr>
              <w:spacing w:line="360" w:lineRule="auto"/>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因本项目有搭建时限要求，当有效投标人数量不足3家时，应当终止询价采购活动，现场根据情况采用其他采购方式进行采购。</w:t>
            </w:r>
          </w:p>
        </w:tc>
      </w:tr>
      <w:tr w14:paraId="6AE837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0" w:type="pct"/>
            <w:tcBorders>
              <w:bottom w:val="double" w:color="auto" w:sz="4" w:space="0"/>
            </w:tcBorders>
            <w:vAlign w:val="center"/>
          </w:tcPr>
          <w:p w14:paraId="75B4EF44">
            <w:pPr>
              <w:spacing w:line="360" w:lineRule="auto"/>
              <w:jc w:val="cente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12</w:t>
            </w:r>
          </w:p>
        </w:tc>
        <w:tc>
          <w:tcPr>
            <w:tcW w:w="1205" w:type="pct"/>
            <w:tcBorders>
              <w:bottom w:val="double" w:color="auto" w:sz="4" w:space="0"/>
            </w:tcBorders>
            <w:vAlign w:val="center"/>
          </w:tcPr>
          <w:p w14:paraId="7837A60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履约保证金</w:t>
            </w:r>
          </w:p>
        </w:tc>
        <w:tc>
          <w:tcPr>
            <w:tcW w:w="3333" w:type="pct"/>
            <w:tcBorders>
              <w:bottom w:val="double" w:color="auto" w:sz="4" w:space="0"/>
            </w:tcBorders>
            <w:vAlign w:val="center"/>
          </w:tcPr>
          <w:p w14:paraId="51D45B7B">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bl>
    <w:p w14:paraId="61475B34">
      <w:pPr>
        <w:rPr>
          <w:rFonts w:asciiTheme="minorEastAsia" w:hAnsiTheme="minorEastAsia" w:eastAsiaTheme="minorEastAsia"/>
          <w:color w:val="000000"/>
          <w:sz w:val="32"/>
          <w:szCs w:val="32"/>
        </w:rPr>
      </w:pPr>
    </w:p>
    <w:p w14:paraId="0282E6A8">
      <w:pPr>
        <w:rPr>
          <w:rFonts w:asciiTheme="minorEastAsia" w:hAnsiTheme="minorEastAsia" w:eastAsiaTheme="minorEastAsia"/>
          <w:color w:val="000000"/>
          <w:sz w:val="32"/>
          <w:szCs w:val="32"/>
        </w:rPr>
      </w:pPr>
    </w:p>
    <w:p w14:paraId="791B261A">
      <w:pPr>
        <w:rPr>
          <w:rFonts w:asciiTheme="minorEastAsia" w:hAnsiTheme="minorEastAsia" w:eastAsiaTheme="minorEastAsia"/>
          <w:color w:val="000000"/>
          <w:sz w:val="32"/>
          <w:szCs w:val="32"/>
        </w:rPr>
      </w:pPr>
    </w:p>
    <w:p w14:paraId="115A1C48">
      <w:pPr>
        <w:rPr>
          <w:rFonts w:asciiTheme="minorEastAsia" w:hAnsiTheme="minorEastAsia" w:eastAsiaTheme="minorEastAsia"/>
          <w:color w:val="000000"/>
          <w:sz w:val="32"/>
          <w:szCs w:val="32"/>
        </w:rPr>
      </w:pPr>
    </w:p>
    <w:p w14:paraId="1487BA03">
      <w:pPr>
        <w:rPr>
          <w:rFonts w:asciiTheme="minorEastAsia" w:hAnsiTheme="minorEastAsia" w:eastAsiaTheme="minorEastAsia"/>
          <w:color w:val="000000"/>
          <w:sz w:val="32"/>
          <w:szCs w:val="32"/>
        </w:rPr>
      </w:pPr>
    </w:p>
    <w:p w14:paraId="166E23EC">
      <w:pPr>
        <w:rPr>
          <w:rFonts w:asciiTheme="minorEastAsia" w:hAnsiTheme="minorEastAsia" w:eastAsiaTheme="minorEastAsia"/>
          <w:color w:val="000000"/>
          <w:sz w:val="32"/>
          <w:szCs w:val="32"/>
        </w:rPr>
      </w:pPr>
    </w:p>
    <w:p w14:paraId="79875452">
      <w:pPr>
        <w:rPr>
          <w:rFonts w:asciiTheme="minorEastAsia" w:hAnsiTheme="minorEastAsia" w:eastAsiaTheme="minorEastAsia"/>
          <w:color w:val="000000"/>
          <w:sz w:val="32"/>
          <w:szCs w:val="32"/>
        </w:rPr>
      </w:pPr>
    </w:p>
    <w:p w14:paraId="1C914DCD">
      <w:pPr>
        <w:rPr>
          <w:rFonts w:asciiTheme="minorEastAsia" w:hAnsiTheme="minorEastAsia" w:eastAsiaTheme="minorEastAsia"/>
          <w:color w:val="000000"/>
          <w:sz w:val="32"/>
          <w:szCs w:val="32"/>
        </w:rPr>
      </w:pPr>
    </w:p>
    <w:p w14:paraId="41B9F8E5">
      <w:pPr>
        <w:rPr>
          <w:rFonts w:asciiTheme="minorEastAsia" w:hAnsiTheme="minorEastAsia" w:eastAsiaTheme="minorEastAsia"/>
          <w:color w:val="000000"/>
          <w:sz w:val="32"/>
          <w:szCs w:val="32"/>
        </w:rPr>
      </w:pPr>
    </w:p>
    <w:p w14:paraId="0FF90307">
      <w:pPr>
        <w:rPr>
          <w:rFonts w:asciiTheme="minorEastAsia" w:hAnsiTheme="minorEastAsia" w:eastAsiaTheme="minorEastAsia"/>
          <w:color w:val="000000"/>
          <w:sz w:val="32"/>
          <w:szCs w:val="32"/>
        </w:rPr>
      </w:pPr>
    </w:p>
    <w:p w14:paraId="0A87FE9A">
      <w:pPr>
        <w:pStyle w:val="37"/>
        <w:ind w:firstLine="0" w:firstLineChars="0"/>
        <w:jc w:val="left"/>
        <w:outlineLvl w:val="1"/>
        <w:rPr>
          <w:rFonts w:asciiTheme="minorEastAsia" w:hAnsiTheme="minorEastAsia" w:eastAsiaTheme="minorEastAsia"/>
          <w:color w:val="000000"/>
          <w:sz w:val="28"/>
          <w:szCs w:val="44"/>
        </w:rPr>
      </w:pPr>
      <w:bookmarkStart w:id="1" w:name="_Hlk524442005"/>
      <w:r>
        <w:rPr>
          <w:rFonts w:hint="eastAsia" w:asciiTheme="minorEastAsia" w:hAnsiTheme="minorEastAsia" w:eastAsiaTheme="minorEastAsia"/>
          <w:color w:val="000000"/>
          <w:sz w:val="28"/>
          <w:szCs w:val="44"/>
        </w:rPr>
        <w:t>附件二报价函</w:t>
      </w:r>
    </w:p>
    <w:p w14:paraId="574C61B4">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报价函</w:t>
      </w:r>
    </w:p>
    <w:p w14:paraId="6AC47ACD">
      <w:pPr>
        <w:ind w:firstLine="560"/>
        <w:jc w:val="center"/>
        <w:rPr>
          <w:rFonts w:asciiTheme="minorEastAsia" w:hAnsiTheme="minorEastAsia" w:eastAsiaTheme="minorEastAsia"/>
          <w:color w:val="000000"/>
          <w:sz w:val="32"/>
          <w:szCs w:val="32"/>
        </w:rPr>
      </w:pPr>
    </w:p>
    <w:p w14:paraId="3021666E">
      <w:pP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446D2D65">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针对贵司</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rPr>
        <w:t>项目，我司愿意以</w:t>
      </w:r>
      <w:r>
        <w:rPr>
          <w:rFonts w:hint="eastAsia" w:asciiTheme="minorEastAsia" w:hAnsiTheme="minorEastAsia" w:eastAsiaTheme="minorEastAsia"/>
          <w:color w:val="000000"/>
          <w:sz w:val="32"/>
          <w:szCs w:val="32"/>
          <w:lang w:eastAsia="zh-CN"/>
        </w:rPr>
        <w:t>不</w:t>
      </w:r>
      <w:r>
        <w:rPr>
          <w:rFonts w:hint="eastAsia" w:asciiTheme="minorEastAsia" w:hAnsiTheme="minorEastAsia" w:eastAsiaTheme="minorEastAsia"/>
          <w:color w:val="000000"/>
          <w:sz w:val="32"/>
          <w:szCs w:val="32"/>
        </w:rPr>
        <w:t>含税价合计人民币</w:t>
      </w:r>
      <w:r>
        <w:rPr>
          <w:rFonts w:asciiTheme="minorEastAsia" w:hAnsiTheme="minorEastAsia" w:eastAsiaTheme="minorEastAsia"/>
          <w:color w:val="000000"/>
          <w:sz w:val="32"/>
          <w:szCs w:val="32"/>
          <w:u w:val="single"/>
        </w:rPr>
        <w:t>xxxx</w:t>
      </w:r>
      <w:r>
        <w:rPr>
          <w:rFonts w:hint="eastAsia" w:asciiTheme="minorEastAsia" w:hAnsiTheme="minorEastAsia" w:eastAsiaTheme="minorEastAsia"/>
          <w:color w:val="000000"/>
          <w:sz w:val="32"/>
          <w:szCs w:val="32"/>
          <w:u w:val="single"/>
        </w:rPr>
        <w:t>元（大写），</w:t>
      </w:r>
      <w:r>
        <w:rPr>
          <w:rFonts w:asciiTheme="minorEastAsia" w:hAnsiTheme="minorEastAsia" w:eastAsiaTheme="minorEastAsia"/>
          <w:color w:val="000000"/>
          <w:sz w:val="32"/>
          <w:szCs w:val="32"/>
          <w:u w:val="single"/>
        </w:rPr>
        <w:t>¥xxx. xx</w:t>
      </w:r>
      <w:r>
        <w:rPr>
          <w:rFonts w:hint="eastAsia" w:asciiTheme="minorEastAsia" w:hAnsiTheme="minorEastAsia" w:eastAsiaTheme="minorEastAsia"/>
          <w:color w:val="000000"/>
          <w:sz w:val="32"/>
          <w:szCs w:val="32"/>
          <w:u w:val="single"/>
        </w:rPr>
        <w:t>（小写）</w:t>
      </w:r>
      <w:r>
        <w:rPr>
          <w:rFonts w:hint="eastAsia" w:asciiTheme="minorEastAsia" w:hAnsiTheme="minorEastAsia" w:eastAsiaTheme="minorEastAsia"/>
          <w:color w:val="000000"/>
          <w:sz w:val="32"/>
          <w:szCs w:val="32"/>
          <w:u w:val="single"/>
          <w:lang w:eastAsia="zh-CN"/>
        </w:rPr>
        <w:t>，税点：</w:t>
      </w:r>
      <w:r>
        <w:rPr>
          <w:rFonts w:hint="eastAsia" w:asciiTheme="minorEastAsia" w:hAnsiTheme="minorEastAsia" w:eastAsiaTheme="minorEastAsia"/>
          <w:color w:val="000000"/>
          <w:sz w:val="32"/>
          <w:szCs w:val="32"/>
          <w:u w:val="single"/>
          <w:lang w:val="en-US" w:eastAsia="zh-CN"/>
        </w:rPr>
        <w:t xml:space="preserve">       ，含税价：</w:t>
      </w:r>
      <w:r>
        <w:rPr>
          <w:rFonts w:hint="eastAsia" w:asciiTheme="minorEastAsia" w:hAnsiTheme="minorEastAsia" w:eastAsiaTheme="minorEastAsia"/>
          <w:color w:val="000000"/>
          <w:sz w:val="32"/>
          <w:szCs w:val="32"/>
        </w:rPr>
        <w:t>人民币</w:t>
      </w:r>
      <w:r>
        <w:rPr>
          <w:rFonts w:asciiTheme="minorEastAsia" w:hAnsiTheme="minorEastAsia" w:eastAsiaTheme="minorEastAsia"/>
          <w:color w:val="000000"/>
          <w:sz w:val="32"/>
          <w:szCs w:val="32"/>
          <w:u w:val="single"/>
        </w:rPr>
        <w:t>xxxx</w:t>
      </w:r>
      <w:r>
        <w:rPr>
          <w:rFonts w:hint="eastAsia" w:asciiTheme="minorEastAsia" w:hAnsiTheme="minorEastAsia" w:eastAsiaTheme="minorEastAsia"/>
          <w:color w:val="000000"/>
          <w:sz w:val="32"/>
          <w:szCs w:val="32"/>
          <w:u w:val="single"/>
        </w:rPr>
        <w:t>元（大写），</w:t>
      </w:r>
      <w:r>
        <w:rPr>
          <w:rFonts w:asciiTheme="minorEastAsia" w:hAnsiTheme="minorEastAsia" w:eastAsiaTheme="minorEastAsia"/>
          <w:color w:val="000000"/>
          <w:sz w:val="32"/>
          <w:szCs w:val="32"/>
          <w:u w:val="single"/>
        </w:rPr>
        <w:t>¥xxx. xx</w:t>
      </w:r>
      <w:r>
        <w:rPr>
          <w:rFonts w:hint="eastAsia" w:asciiTheme="minorEastAsia" w:hAnsiTheme="minorEastAsia" w:eastAsiaTheme="minorEastAsia"/>
          <w:color w:val="000000"/>
          <w:sz w:val="32"/>
          <w:szCs w:val="32"/>
          <w:u w:val="single"/>
        </w:rPr>
        <w:t>（小写）</w:t>
      </w:r>
      <w:r>
        <w:rPr>
          <w:rFonts w:hint="eastAsia" w:asciiTheme="minorEastAsia" w:hAnsiTheme="minorEastAsia" w:eastAsiaTheme="minorEastAsia"/>
          <w:color w:val="000000"/>
          <w:sz w:val="32"/>
          <w:szCs w:val="32"/>
        </w:rPr>
        <w:t>承接此项目。</w:t>
      </w:r>
    </w:p>
    <w:p w14:paraId="156371A3">
      <w:pPr>
        <w:rPr>
          <w:rFonts w:asciiTheme="minorEastAsia" w:hAnsiTheme="minorEastAsia" w:eastAsiaTheme="minorEastAsia"/>
          <w:color w:val="000000"/>
          <w:sz w:val="32"/>
          <w:szCs w:val="32"/>
        </w:rPr>
      </w:pPr>
    </w:p>
    <w:p w14:paraId="620CCE52">
      <w:pPr>
        <w:rPr>
          <w:rFonts w:asciiTheme="minorEastAsia" w:hAnsiTheme="minorEastAsia" w:eastAsiaTheme="minorEastAsia"/>
          <w:color w:val="000000"/>
          <w:sz w:val="32"/>
          <w:szCs w:val="32"/>
        </w:rPr>
      </w:pPr>
    </w:p>
    <w:p w14:paraId="50572DA5">
      <w:pPr>
        <w:rPr>
          <w:rFonts w:asciiTheme="minorEastAsia" w:hAnsiTheme="minorEastAsia" w:eastAsiaTheme="minorEastAsia"/>
          <w:color w:val="000000"/>
          <w:sz w:val="32"/>
          <w:szCs w:val="32"/>
        </w:rPr>
      </w:pPr>
    </w:p>
    <w:p w14:paraId="28FB8F8B">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5FE3278E">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法定代表人（签名或盖章）：</w:t>
      </w:r>
    </w:p>
    <w:p w14:paraId="6255F5F0">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联系人：</w:t>
      </w:r>
    </w:p>
    <w:p w14:paraId="7C3DED6A">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联系电话：</w:t>
      </w:r>
    </w:p>
    <w:p w14:paraId="7C6CEEE2">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7FD76E48">
      <w:pPr>
        <w:jc w:val="center"/>
        <w:rPr>
          <w:rFonts w:asciiTheme="minorEastAsia" w:hAnsiTheme="minorEastAsia" w:eastAsiaTheme="minorEastAsia"/>
          <w:color w:val="000000"/>
          <w:sz w:val="32"/>
          <w:szCs w:val="32"/>
        </w:rPr>
      </w:pPr>
    </w:p>
    <w:p w14:paraId="35D71AE2">
      <w:pPr>
        <w:jc w:val="center"/>
        <w:rPr>
          <w:rFonts w:asciiTheme="minorEastAsia" w:hAnsiTheme="minorEastAsia" w:eastAsiaTheme="minorEastAsia"/>
          <w:color w:val="000000"/>
          <w:sz w:val="32"/>
          <w:szCs w:val="32"/>
        </w:rPr>
      </w:pPr>
    </w:p>
    <w:p w14:paraId="49CACE5A">
      <w:pPr>
        <w:jc w:val="center"/>
        <w:rPr>
          <w:rFonts w:asciiTheme="minorEastAsia" w:hAnsiTheme="minorEastAsia" w:eastAsiaTheme="minorEastAsia"/>
          <w:color w:val="000000"/>
          <w:sz w:val="32"/>
          <w:szCs w:val="32"/>
        </w:rPr>
      </w:pPr>
    </w:p>
    <w:p w14:paraId="70A3E7C8">
      <w:pPr>
        <w:jc w:val="center"/>
        <w:rPr>
          <w:rFonts w:asciiTheme="minorEastAsia" w:hAnsiTheme="minorEastAsia" w:eastAsiaTheme="minorEastAsia"/>
          <w:color w:val="000000"/>
          <w:sz w:val="32"/>
          <w:szCs w:val="32"/>
        </w:rPr>
      </w:pPr>
    </w:p>
    <w:p w14:paraId="7190B6F9">
      <w:pPr>
        <w:jc w:val="center"/>
        <w:rPr>
          <w:rFonts w:asciiTheme="minorEastAsia" w:hAnsiTheme="minorEastAsia" w:eastAsiaTheme="minorEastAsia"/>
          <w:color w:val="000000"/>
          <w:sz w:val="32"/>
          <w:szCs w:val="32"/>
        </w:rPr>
      </w:pPr>
    </w:p>
    <w:p w14:paraId="328AF8A6">
      <w:pPr>
        <w:jc w:val="center"/>
        <w:rPr>
          <w:rFonts w:asciiTheme="minorEastAsia" w:hAnsiTheme="minorEastAsia" w:eastAsiaTheme="minorEastAsia"/>
          <w:color w:val="000000"/>
          <w:sz w:val="32"/>
          <w:szCs w:val="32"/>
        </w:rPr>
      </w:pPr>
    </w:p>
    <w:p w14:paraId="615C5FA3">
      <w:pPr>
        <w:jc w:val="center"/>
        <w:rPr>
          <w:rFonts w:asciiTheme="minorEastAsia" w:hAnsiTheme="minorEastAsia" w:eastAsiaTheme="minorEastAsia"/>
          <w:color w:val="000000"/>
          <w:sz w:val="32"/>
          <w:szCs w:val="32"/>
        </w:rPr>
      </w:pPr>
    </w:p>
    <w:p w14:paraId="53706523">
      <w:pPr>
        <w:jc w:val="center"/>
        <w:rPr>
          <w:rFonts w:asciiTheme="minorEastAsia" w:hAnsiTheme="minorEastAsia" w:eastAsiaTheme="minorEastAsia"/>
          <w:color w:val="000000"/>
          <w:sz w:val="32"/>
          <w:szCs w:val="32"/>
        </w:rPr>
      </w:pPr>
    </w:p>
    <w:p w14:paraId="656C2C15">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附件三法人证明</w:t>
      </w:r>
    </w:p>
    <w:p w14:paraId="62B8C342">
      <w:pPr>
        <w:pStyle w:val="37"/>
        <w:ind w:firstLine="0" w:firstLineChars="0"/>
        <w:jc w:val="left"/>
        <w:rPr>
          <w:rFonts w:asciiTheme="minorEastAsia" w:hAnsiTheme="minorEastAsia" w:eastAsiaTheme="minorEastAsia"/>
          <w:color w:val="000000"/>
          <w:sz w:val="28"/>
          <w:szCs w:val="44"/>
        </w:rPr>
      </w:pPr>
    </w:p>
    <w:p w14:paraId="7F3DAF1E">
      <w:pPr>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法定代表人身份证明书及法定代表人身份证复印件</w:t>
      </w:r>
    </w:p>
    <w:p w14:paraId="57C3D0E0">
      <w:pPr>
        <w:rPr>
          <w:rFonts w:asciiTheme="minorEastAsia" w:hAnsiTheme="minorEastAsia" w:eastAsiaTheme="minorEastAsia"/>
          <w:color w:val="000000"/>
          <w:sz w:val="32"/>
          <w:szCs w:val="32"/>
        </w:rPr>
      </w:pPr>
    </w:p>
    <w:p w14:paraId="0EC3F1FF">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03836C47">
      <w:pPr>
        <w:pStyle w:val="36"/>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本证明书声明：注册于（国家名称）的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（响应人名称）在下面签字的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（法定代表人姓名、职务）为本公司的合法代表人（</w:t>
      </w:r>
      <w:r>
        <w:rPr>
          <w:rFonts w:hint="eastAsia" w:asciiTheme="minorEastAsia" w:hAnsiTheme="minorEastAsia" w:eastAsiaTheme="minorEastAsia"/>
          <w:b/>
          <w:bCs/>
          <w:color w:val="000000"/>
          <w:sz w:val="32"/>
          <w:szCs w:val="32"/>
        </w:rPr>
        <w:t>须附法定代表人身份证复印件</w:t>
      </w:r>
      <w:r>
        <w:rPr>
          <w:rFonts w:hint="eastAsia" w:asciiTheme="minorEastAsia" w:hAnsiTheme="minorEastAsia" w:eastAsiaTheme="minorEastAsia"/>
          <w:color w:val="000000"/>
          <w:sz w:val="32"/>
          <w:szCs w:val="32"/>
        </w:rPr>
        <w:t>）。</w:t>
      </w:r>
    </w:p>
    <w:p w14:paraId="1AF606D2">
      <w:pPr>
        <w:spacing w:line="600" w:lineRule="exact"/>
        <w:ind w:firstLine="480" w:firstLineChars="15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特此证明</w:t>
      </w:r>
    </w:p>
    <w:p w14:paraId="405A4F86">
      <w:pPr>
        <w:spacing w:line="600" w:lineRule="exact"/>
        <w:rPr>
          <w:rFonts w:asciiTheme="minorEastAsia" w:hAnsiTheme="minorEastAsia" w:eastAsiaTheme="minorEastAsia"/>
          <w:color w:val="000000"/>
          <w:sz w:val="32"/>
          <w:szCs w:val="32"/>
        </w:rPr>
      </w:pPr>
    </w:p>
    <w:p w14:paraId="204B4701">
      <w:pPr>
        <w:spacing w:line="600" w:lineRule="exact"/>
        <w:rPr>
          <w:rFonts w:asciiTheme="minorEastAsia" w:hAnsiTheme="minorEastAsia" w:eastAsiaTheme="minorEastAsia"/>
          <w:color w:val="000000"/>
          <w:sz w:val="32"/>
          <w:szCs w:val="32"/>
        </w:rPr>
      </w:pPr>
    </w:p>
    <w:p w14:paraId="35C10BDB">
      <w:pPr>
        <w:spacing w:line="600" w:lineRule="exact"/>
        <w:rPr>
          <w:rFonts w:asciiTheme="minorEastAsia" w:hAnsiTheme="minorEastAsia" w:eastAsiaTheme="minorEastAsia"/>
          <w:color w:val="000000"/>
          <w:sz w:val="32"/>
          <w:szCs w:val="32"/>
        </w:rPr>
      </w:pPr>
    </w:p>
    <w:p w14:paraId="66FC4D38">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245B2EC5">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2E426423">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法定代表人（签名或盖私章）：</w:t>
      </w:r>
    </w:p>
    <w:p w14:paraId="0051FF27">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1A9BF6DD">
      <w:pPr>
        <w:rPr>
          <w:rFonts w:asciiTheme="minorEastAsia" w:hAnsiTheme="minorEastAsia" w:eastAsiaTheme="minorEastAsia"/>
          <w:color w:val="000000"/>
          <w:sz w:val="32"/>
          <w:szCs w:val="32"/>
        </w:rPr>
      </w:pPr>
    </w:p>
    <w:p w14:paraId="524C3AE2">
      <w:pPr>
        <w:rPr>
          <w:rFonts w:asciiTheme="minorEastAsia" w:hAnsiTheme="minorEastAsia" w:eastAsiaTheme="minorEastAsia"/>
          <w:color w:val="000000"/>
          <w:sz w:val="32"/>
          <w:szCs w:val="32"/>
        </w:rPr>
      </w:pPr>
    </w:p>
    <w:p w14:paraId="3ACCC51B">
      <w:pPr>
        <w:widowControl/>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br w:type="page"/>
      </w:r>
      <w:bookmarkStart w:id="2" w:name="_Toc384752807"/>
    </w:p>
    <w:p w14:paraId="3CC92088">
      <w:pPr>
        <w:pStyle w:val="37"/>
        <w:ind w:firstLine="0" w:firstLineChars="0"/>
        <w:jc w:val="left"/>
        <w:outlineLvl w:val="1"/>
        <w:rPr>
          <w:rFonts w:asciiTheme="minorEastAsia" w:hAnsiTheme="minorEastAsia" w:eastAsiaTheme="minorEastAsia"/>
          <w:color w:val="000000"/>
          <w:sz w:val="28"/>
          <w:szCs w:val="44"/>
        </w:rPr>
      </w:pPr>
      <w:bookmarkStart w:id="3" w:name="_Hlk40704362"/>
      <w:r>
        <w:rPr>
          <w:rFonts w:hint="eastAsia" w:asciiTheme="minorEastAsia" w:hAnsiTheme="minorEastAsia" w:eastAsiaTheme="minorEastAsia"/>
          <w:color w:val="000000"/>
          <w:sz w:val="28"/>
          <w:szCs w:val="44"/>
        </w:rPr>
        <w:t>附件四法人授权书</w:t>
      </w:r>
    </w:p>
    <w:p w14:paraId="69FE02D6">
      <w:pPr>
        <w:widowControl/>
        <w:jc w:val="center"/>
        <w:rPr>
          <w:rFonts w:asciiTheme="minorEastAsia" w:hAnsiTheme="minorEastAsia" w:eastAsiaTheme="minorEastAsia"/>
          <w:b/>
          <w:color w:val="000000"/>
          <w:sz w:val="32"/>
          <w:szCs w:val="32"/>
        </w:rPr>
      </w:pPr>
    </w:p>
    <w:p w14:paraId="5F2EE40D">
      <w:pPr>
        <w:widowControl/>
        <w:jc w:val="center"/>
        <w:rPr>
          <w:rFonts w:asciiTheme="minorEastAsia" w:hAnsiTheme="minorEastAsia" w:eastAsiaTheme="minorEastAsia"/>
          <w:color w:val="000000"/>
          <w:sz w:val="32"/>
          <w:szCs w:val="32"/>
        </w:rPr>
      </w:pPr>
      <w:r>
        <w:rPr>
          <w:rFonts w:hint="eastAsia" w:asciiTheme="minorEastAsia" w:hAnsiTheme="minorEastAsia" w:eastAsiaTheme="minorEastAsia"/>
          <w:b/>
          <w:color w:val="000000"/>
          <w:sz w:val="32"/>
          <w:szCs w:val="32"/>
        </w:rPr>
        <w:t>授权委托书</w:t>
      </w:r>
      <w:bookmarkEnd w:id="2"/>
    </w:p>
    <w:p w14:paraId="02947F76">
      <w:pPr>
        <w:pStyle w:val="36"/>
        <w:ind w:firstLine="0" w:firstLineChars="0"/>
        <w:rPr>
          <w:rFonts w:asciiTheme="minorEastAsia" w:hAnsiTheme="minorEastAsia" w:eastAsiaTheme="minorEastAsia"/>
          <w:color w:val="000000"/>
          <w:sz w:val="32"/>
          <w:szCs w:val="32"/>
        </w:rPr>
      </w:pPr>
    </w:p>
    <w:p w14:paraId="789CAD4B">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102B828F">
      <w:pPr>
        <w:pStyle w:val="36"/>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本委托书声明：在下面签字的</w:t>
      </w:r>
      <w:r>
        <w:rPr>
          <w:rFonts w:hint="eastAsia" w:asciiTheme="minorEastAsia" w:hAnsiTheme="minorEastAsia" w:eastAsiaTheme="minorEastAsia"/>
          <w:color w:val="000000"/>
          <w:sz w:val="32"/>
          <w:szCs w:val="32"/>
          <w:u w:val="single"/>
        </w:rPr>
        <w:t>（填写法定代表人姓名、职务）</w:t>
      </w:r>
      <w:r>
        <w:rPr>
          <w:rFonts w:hint="eastAsia" w:asciiTheme="minorEastAsia" w:hAnsiTheme="minorEastAsia" w:eastAsiaTheme="minorEastAsia"/>
          <w:color w:val="000000"/>
          <w:sz w:val="32"/>
          <w:szCs w:val="32"/>
        </w:rPr>
        <w:t>代表</w:t>
      </w:r>
      <w:r>
        <w:rPr>
          <w:rFonts w:hint="eastAsia" w:asciiTheme="minorEastAsia" w:hAnsiTheme="minorEastAsia" w:eastAsiaTheme="minorEastAsia"/>
          <w:color w:val="000000"/>
          <w:sz w:val="32"/>
          <w:szCs w:val="32"/>
          <w:u w:val="single"/>
        </w:rPr>
        <w:t>（填写响应人名称）</w:t>
      </w:r>
      <w:r>
        <w:rPr>
          <w:rFonts w:hint="eastAsia" w:asciiTheme="minorEastAsia" w:hAnsiTheme="minorEastAsia" w:eastAsiaTheme="minorEastAsia"/>
          <w:color w:val="000000"/>
          <w:sz w:val="32"/>
          <w:szCs w:val="32"/>
        </w:rPr>
        <w:t>委托在下面签字的</w:t>
      </w:r>
      <w:r>
        <w:rPr>
          <w:rFonts w:hint="eastAsia" w:asciiTheme="minorEastAsia" w:hAnsiTheme="minorEastAsia" w:eastAsiaTheme="minorEastAsia"/>
          <w:color w:val="000000"/>
          <w:sz w:val="32"/>
          <w:szCs w:val="32"/>
          <w:u w:val="single"/>
        </w:rPr>
        <w:t>（填写受委托人的姓名、职务）</w:t>
      </w:r>
      <w:r>
        <w:rPr>
          <w:rFonts w:hint="eastAsia" w:asciiTheme="minorEastAsia" w:hAnsiTheme="minorEastAsia" w:eastAsiaTheme="minorEastAsia"/>
          <w:color w:val="000000"/>
          <w:sz w:val="32"/>
          <w:szCs w:val="32"/>
        </w:rPr>
        <w:t>为本公司的合法代表人，就</w:t>
      </w:r>
      <w:r>
        <w:rPr>
          <w:rFonts w:hint="eastAsia" w:asciiTheme="minorEastAsia" w:hAnsiTheme="minorEastAsia" w:eastAsiaTheme="minorEastAsia"/>
          <w:color w:val="000000"/>
          <w:sz w:val="32"/>
          <w:szCs w:val="32"/>
          <w:u w:val="single"/>
        </w:rPr>
        <w:t>（填写项目名称）</w:t>
      </w:r>
      <w:r>
        <w:rPr>
          <w:rFonts w:hint="eastAsia" w:asciiTheme="minorEastAsia" w:hAnsiTheme="minorEastAsia" w:eastAsiaTheme="minorEastAsia"/>
          <w:color w:val="000000"/>
          <w:sz w:val="32"/>
          <w:szCs w:val="32"/>
        </w:rPr>
        <w:t>项目等相关服务的谈判和合同的执行，以我方的名义处理一切与之有关的事宜（相关身份证复印件须附后）。</w:t>
      </w:r>
    </w:p>
    <w:p w14:paraId="54AFC1EA">
      <w:pPr>
        <w:pStyle w:val="36"/>
        <w:ind w:firstLine="659"/>
        <w:rPr>
          <w:rFonts w:asciiTheme="minorEastAsia" w:hAnsiTheme="minorEastAsia" w:eastAsiaTheme="minorEastAsia"/>
          <w:color w:val="000000"/>
          <w:sz w:val="32"/>
          <w:szCs w:val="32"/>
        </w:rPr>
      </w:pPr>
    </w:p>
    <w:p w14:paraId="4D799B84">
      <w:pPr>
        <w:pStyle w:val="36"/>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本委托书于</w:t>
      </w:r>
      <w:r>
        <w:rPr>
          <w:rFonts w:hint="eastAsia" w:asciiTheme="minorEastAsia" w:hAnsiTheme="minorEastAsia" w:eastAsiaTheme="minorEastAsia"/>
          <w:color w:val="000000"/>
          <w:sz w:val="32"/>
          <w:szCs w:val="32"/>
          <w:u w:val="single"/>
        </w:rPr>
        <w:t xml:space="preserve">    年   月   日至   年   月   </w:t>
      </w:r>
      <w:r>
        <w:rPr>
          <w:rFonts w:hint="eastAsia" w:asciiTheme="minorEastAsia" w:hAnsiTheme="minorEastAsia" w:eastAsiaTheme="minorEastAsia"/>
          <w:color w:val="000000"/>
          <w:sz w:val="32"/>
          <w:szCs w:val="32"/>
        </w:rPr>
        <w:t>日签字生效，有效期与竞争性谈判有效期一致，特此声明。</w:t>
      </w:r>
    </w:p>
    <w:p w14:paraId="4E25D95A">
      <w:pPr>
        <w:pStyle w:val="36"/>
        <w:ind w:firstLine="659"/>
        <w:rPr>
          <w:rFonts w:asciiTheme="minorEastAsia" w:hAnsiTheme="minorEastAsia" w:eastAsiaTheme="minorEastAsia"/>
          <w:color w:val="000000"/>
          <w:sz w:val="32"/>
          <w:szCs w:val="32"/>
        </w:rPr>
      </w:pPr>
    </w:p>
    <w:p w14:paraId="797E9EE0">
      <w:pPr>
        <w:pStyle w:val="36"/>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0ECDA0EB">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20224490">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5AB2BC4E">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116B3DB6">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受委托人（签字或盖章）：</w:t>
      </w:r>
    </w:p>
    <w:p w14:paraId="211B0F1D">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2E2A0785">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bookmarkEnd w:id="3"/>
    <w:p w14:paraId="308E61F0">
      <w:pPr>
        <w:pStyle w:val="37"/>
        <w:ind w:firstLine="0" w:firstLineChars="0"/>
        <w:jc w:val="left"/>
        <w:outlineLvl w:val="1"/>
        <w:rPr>
          <w:rFonts w:asciiTheme="minorEastAsia" w:hAnsiTheme="minorEastAsia" w:eastAsiaTheme="minorEastAsia"/>
          <w:color w:val="000000"/>
          <w:sz w:val="28"/>
          <w:szCs w:val="44"/>
        </w:rPr>
      </w:pPr>
      <w:r>
        <w:rPr>
          <w:rFonts w:asciiTheme="minorEastAsia" w:hAnsiTheme="minorEastAsia" w:eastAsiaTheme="minorEastAsia"/>
          <w:color w:val="000000"/>
          <w:sz w:val="32"/>
          <w:szCs w:val="32"/>
        </w:rPr>
        <w:br w:type="page"/>
      </w:r>
      <w:r>
        <w:rPr>
          <w:rFonts w:hint="eastAsia" w:asciiTheme="minorEastAsia" w:hAnsiTheme="minorEastAsia" w:eastAsiaTheme="minorEastAsia"/>
          <w:color w:val="000000"/>
          <w:sz w:val="28"/>
          <w:szCs w:val="44"/>
        </w:rPr>
        <w:t>附件五承诺函</w:t>
      </w:r>
    </w:p>
    <w:p w14:paraId="4BCDD3EC">
      <w:pPr>
        <w:pStyle w:val="37"/>
        <w:ind w:firstLine="0" w:firstLineChars="0"/>
        <w:jc w:val="center"/>
        <w:rPr>
          <w:rFonts w:asciiTheme="minorEastAsia" w:hAnsiTheme="minorEastAsia" w:eastAsiaTheme="minorEastAsia"/>
          <w:b/>
          <w:color w:val="000000"/>
          <w:sz w:val="32"/>
          <w:szCs w:val="32"/>
        </w:rPr>
      </w:pPr>
      <w:r>
        <w:rPr>
          <w:rFonts w:hint="eastAsia" w:asciiTheme="minorEastAsia" w:hAnsiTheme="minorEastAsia" w:eastAsiaTheme="minorEastAsia"/>
          <w:b/>
          <w:color w:val="000000"/>
          <w:sz w:val="32"/>
          <w:szCs w:val="32"/>
        </w:rPr>
        <w:t>承诺函</w:t>
      </w:r>
    </w:p>
    <w:p w14:paraId="039A2004">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114D88F8">
      <w:pPr>
        <w:pStyle w:val="36"/>
        <w:ind w:firstLine="640" w:firstLineChars="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我司就参加</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（项目名称）</w:t>
      </w:r>
      <w:r>
        <w:rPr>
          <w:rFonts w:hint="eastAsia" w:asciiTheme="minorEastAsia" w:hAnsiTheme="minorEastAsia" w:eastAsiaTheme="minorEastAsia"/>
          <w:color w:val="000000"/>
          <w:sz w:val="32"/>
          <w:szCs w:val="32"/>
        </w:rPr>
        <w:t>项目投标工作，作出以下承诺：</w:t>
      </w:r>
    </w:p>
    <w:p w14:paraId="599FC57B">
      <w:pPr>
        <w:pStyle w:val="36"/>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我公司已充分了解采购项目情况，本次报价完全响应</w:t>
      </w:r>
      <w:r>
        <w:rPr>
          <w:rFonts w:hint="eastAsia" w:ascii="Times New Roman" w:hAnsi="Times New Roman"/>
          <w:color w:val="000000"/>
          <w:sz w:val="32"/>
          <w:szCs w:val="32"/>
        </w:rPr>
        <w:t>询价</w:t>
      </w:r>
      <w:r>
        <w:rPr>
          <w:rFonts w:hint="eastAsia" w:asciiTheme="minorEastAsia" w:hAnsiTheme="minorEastAsia" w:eastAsiaTheme="minorEastAsia"/>
          <w:color w:val="000000"/>
          <w:sz w:val="32"/>
          <w:szCs w:val="32"/>
        </w:rPr>
        <w:t>文件的要求，我公司所提供的</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（服务内容）</w:t>
      </w:r>
      <w:r>
        <w:rPr>
          <w:rFonts w:hint="eastAsia" w:asciiTheme="minorEastAsia" w:hAnsiTheme="minorEastAsia" w:eastAsiaTheme="minorEastAsia"/>
          <w:color w:val="000000"/>
          <w:sz w:val="32"/>
          <w:szCs w:val="32"/>
        </w:rPr>
        <w:t>等于或优于采购人需求，并承诺如不满足采购人需求，采购人有权取消合同并进行违约处罚。</w:t>
      </w:r>
    </w:p>
    <w:p w14:paraId="5CB81C33">
      <w:pPr>
        <w:pStyle w:val="36"/>
        <w:ind w:firstLine="659"/>
        <w:rPr>
          <w:rFonts w:asciiTheme="minorEastAsia" w:hAnsiTheme="minorEastAsia" w:eastAsiaTheme="minorEastAsia"/>
          <w:color w:val="000000"/>
          <w:sz w:val="32"/>
          <w:szCs w:val="32"/>
        </w:rPr>
      </w:pPr>
    </w:p>
    <w:p w14:paraId="03F87350">
      <w:pPr>
        <w:pStyle w:val="36"/>
        <w:jc w:val="left"/>
        <w:rPr>
          <w:rFonts w:hint="eastAsia" w:asciiTheme="minorEastAsia" w:hAnsiTheme="minorEastAsia" w:eastAsiaTheme="minorEastAsia"/>
          <w:color w:val="000000"/>
          <w:sz w:val="32"/>
          <w:szCs w:val="32"/>
          <w:lang w:eastAsia="zh-CN"/>
        </w:rPr>
      </w:pPr>
      <w:r>
        <w:rPr>
          <w:rFonts w:hint="eastAsia" w:asciiTheme="minorEastAsia" w:hAnsiTheme="minorEastAsia" w:eastAsiaTheme="minorEastAsia"/>
          <w:color w:val="000000"/>
          <w:sz w:val="32"/>
          <w:szCs w:val="32"/>
          <w:lang w:eastAsia="zh-CN"/>
        </w:rPr>
        <w:t>同时</w:t>
      </w:r>
      <w:r>
        <w:rPr>
          <w:rFonts w:hint="eastAsia" w:asciiTheme="minorEastAsia" w:hAnsiTheme="minorEastAsia" w:eastAsiaTheme="minorEastAsia"/>
          <w:b w:val="0"/>
          <w:bCs/>
          <w:color w:val="000000"/>
          <w:sz w:val="32"/>
          <w:szCs w:val="32"/>
        </w:rPr>
        <w:t>承诺</w:t>
      </w:r>
      <w:r>
        <w:rPr>
          <w:rFonts w:hint="eastAsia" w:asciiTheme="minorEastAsia" w:hAnsiTheme="minorEastAsia" w:eastAsiaTheme="minorEastAsia"/>
          <w:b w:val="0"/>
          <w:bCs/>
          <w:color w:val="000000"/>
          <w:sz w:val="32"/>
          <w:szCs w:val="32"/>
          <w:lang w:eastAsia="zh-CN"/>
        </w:rPr>
        <w:t>：</w:t>
      </w:r>
      <w:r>
        <w:rPr>
          <w:rFonts w:hint="eastAsia" w:asciiTheme="minorEastAsia" w:hAnsiTheme="minorEastAsia" w:eastAsiaTheme="minorEastAsia"/>
          <w:color w:val="000000"/>
          <w:sz w:val="32"/>
          <w:szCs w:val="32"/>
        </w:rPr>
        <w:t>我公司</w:t>
      </w:r>
      <w:r>
        <w:rPr>
          <w:rFonts w:hint="eastAsia" w:asciiTheme="minorEastAsia" w:hAnsiTheme="minorEastAsia" w:eastAsiaTheme="minorEastAsia"/>
          <w:b w:val="0"/>
          <w:bCs/>
          <w:color w:val="000000"/>
          <w:sz w:val="32"/>
          <w:szCs w:val="32"/>
          <w:lang w:eastAsia="zh-CN"/>
        </w:rPr>
        <w:t>在参加本项目采购活动前三年内，在经营活动中没有重大违法记录。</w:t>
      </w:r>
    </w:p>
    <w:p w14:paraId="7D90223A">
      <w:pPr>
        <w:jc w:val="left"/>
        <w:rPr>
          <w:rFonts w:asciiTheme="minorEastAsia" w:hAnsiTheme="minorEastAsia" w:eastAsiaTheme="minorEastAsia"/>
          <w:color w:val="000000"/>
          <w:sz w:val="32"/>
          <w:szCs w:val="32"/>
        </w:rPr>
      </w:pPr>
    </w:p>
    <w:p w14:paraId="54465485">
      <w:pPr>
        <w:jc w:val="left"/>
        <w:rPr>
          <w:rFonts w:asciiTheme="minorEastAsia" w:hAnsiTheme="minorEastAsia" w:eastAsiaTheme="minorEastAsia"/>
          <w:color w:val="000000"/>
          <w:sz w:val="32"/>
          <w:szCs w:val="32"/>
        </w:rPr>
      </w:pPr>
    </w:p>
    <w:p w14:paraId="54AC4516">
      <w:pPr>
        <w:jc w:val="left"/>
        <w:rPr>
          <w:rFonts w:asciiTheme="minorEastAsia" w:hAnsiTheme="minorEastAsia" w:eastAsiaTheme="minorEastAsia"/>
          <w:color w:val="000000"/>
          <w:sz w:val="32"/>
          <w:szCs w:val="32"/>
        </w:rPr>
      </w:pPr>
    </w:p>
    <w:p w14:paraId="4E9902CF">
      <w:pPr>
        <w:pStyle w:val="36"/>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30440794">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4B4041FB">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00BC79A3">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639ECD4A">
      <w:pPr>
        <w:pStyle w:val="36"/>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1BB3EA41">
      <w:pPr>
        <w:pStyle w:val="36"/>
        <w:ind w:firstLine="0" w:firstLineChars="0"/>
        <w:jc w:val="left"/>
        <w:rPr>
          <w:rFonts w:asciiTheme="minorEastAsia" w:hAnsiTheme="minorEastAsia" w:eastAsiaTheme="minorEastAsia"/>
          <w:color w:val="000000"/>
          <w:sz w:val="32"/>
          <w:szCs w:val="32"/>
        </w:rPr>
      </w:pPr>
    </w:p>
    <w:p w14:paraId="0B56FAB7">
      <w:pPr>
        <w:pStyle w:val="36"/>
        <w:ind w:firstLine="0" w:firstLineChars="0"/>
        <w:jc w:val="left"/>
        <w:rPr>
          <w:rFonts w:asciiTheme="minorEastAsia" w:hAnsiTheme="minorEastAsia" w:eastAsiaTheme="minorEastAsia"/>
          <w:color w:val="000000"/>
          <w:sz w:val="32"/>
          <w:szCs w:val="32"/>
        </w:rPr>
      </w:pPr>
    </w:p>
    <w:p w14:paraId="318A49EB">
      <w:pPr>
        <w:rPr>
          <w:rFonts w:asciiTheme="minorEastAsia" w:hAnsiTheme="minorEastAsia" w:eastAsiaTheme="minorEastAsia"/>
          <w:color w:val="000000"/>
        </w:rPr>
      </w:pPr>
    </w:p>
    <w:p w14:paraId="41751EB2">
      <w:pPr>
        <w:rPr>
          <w:rFonts w:asciiTheme="minorEastAsia" w:hAnsiTheme="minorEastAsia" w:eastAsiaTheme="minorEastAsia"/>
          <w:color w:val="000000"/>
        </w:rPr>
      </w:pPr>
    </w:p>
    <w:p w14:paraId="4F9FEF25">
      <w:pPr>
        <w:rPr>
          <w:rFonts w:asciiTheme="minorEastAsia" w:hAnsiTheme="minorEastAsia" w:eastAsiaTheme="minorEastAsia"/>
          <w:color w:val="000000"/>
        </w:rPr>
      </w:pPr>
    </w:p>
    <w:p w14:paraId="44625631">
      <w:pPr>
        <w:rPr>
          <w:rFonts w:asciiTheme="minorEastAsia" w:hAnsiTheme="minorEastAsia" w:eastAsiaTheme="minorEastAsia"/>
          <w:color w:val="000000"/>
        </w:rPr>
      </w:pPr>
    </w:p>
    <w:p w14:paraId="5875073E">
      <w:pPr>
        <w:rPr>
          <w:rFonts w:asciiTheme="minorEastAsia" w:hAnsiTheme="minorEastAsia" w:eastAsiaTheme="minorEastAsia"/>
          <w:color w:val="000000"/>
        </w:rPr>
      </w:pPr>
    </w:p>
    <w:p w14:paraId="2D8E9DD6">
      <w:pPr>
        <w:pStyle w:val="37"/>
        <w:ind w:firstLine="0" w:firstLineChars="0"/>
        <w:jc w:val="left"/>
        <w:outlineLvl w:val="1"/>
        <w:rPr>
          <w:rFonts w:asciiTheme="minorEastAsia" w:hAnsiTheme="minorEastAsia" w:eastAsiaTheme="minorEastAsia"/>
          <w:color w:val="000000"/>
          <w:sz w:val="28"/>
          <w:szCs w:val="44"/>
        </w:rPr>
      </w:pPr>
      <w:bookmarkStart w:id="4" w:name="_Hlk40704598"/>
      <w:r>
        <w:rPr>
          <w:rFonts w:hint="eastAsia" w:asciiTheme="minorEastAsia" w:hAnsiTheme="minorEastAsia" w:eastAsiaTheme="minorEastAsia"/>
          <w:color w:val="000000"/>
          <w:sz w:val="28"/>
          <w:szCs w:val="44"/>
        </w:rPr>
        <w:t>附件六用户需求书</w:t>
      </w:r>
    </w:p>
    <w:bookmarkEnd w:id="1"/>
    <w:bookmarkEnd w:id="4"/>
    <w:p w14:paraId="5AB9D8AA">
      <w:pPr>
        <w:ind w:firstLine="280" w:firstLineChars="100"/>
        <w:rPr>
          <w:rFonts w:cs="仿宋" w:asciiTheme="majorEastAsia" w:hAnsiTheme="majorEastAsia" w:eastAsiaTheme="majorEastAsia"/>
          <w:sz w:val="28"/>
          <w:szCs w:val="36"/>
        </w:rPr>
      </w:pPr>
      <w:bookmarkStart w:id="5" w:name="_Toc148265712"/>
      <w:bookmarkEnd w:id="5"/>
      <w:r>
        <w:rPr>
          <w:rFonts w:hint="eastAsia" w:cs="仿宋" w:asciiTheme="majorEastAsia" w:hAnsiTheme="majorEastAsia" w:eastAsiaTheme="majorEastAsia"/>
          <w:sz w:val="28"/>
          <w:szCs w:val="36"/>
        </w:rPr>
        <w:t>东莞火车站站前广场临时候车篷位于东莞火车站石龙镇侧广场，主要供旅客临时候车时使用。具体实施内容包括</w:t>
      </w:r>
      <w:r>
        <w:rPr>
          <w:rFonts w:hint="eastAsia" w:cs="仿宋" w:asciiTheme="majorEastAsia" w:hAnsiTheme="majorEastAsia" w:eastAsiaTheme="majorEastAsia"/>
          <w:sz w:val="28"/>
          <w:szCs w:val="36"/>
          <w:lang w:eastAsia="zh-CN"/>
        </w:rPr>
        <w:t>（详见附件八）</w:t>
      </w:r>
      <w:r>
        <w:rPr>
          <w:rFonts w:hint="eastAsia" w:cs="仿宋" w:asciiTheme="majorEastAsia" w:hAnsiTheme="majorEastAsia" w:eastAsiaTheme="majorEastAsia"/>
          <w:sz w:val="28"/>
          <w:szCs w:val="36"/>
        </w:rPr>
        <w:t>：</w:t>
      </w:r>
    </w:p>
    <w:p w14:paraId="5585F436">
      <w:pPr>
        <w:pStyle w:val="39"/>
        <w:numPr>
          <w:ilvl w:val="0"/>
          <w:numId w:val="5"/>
        </w:numPr>
        <w:ind w:firstLineChars="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建候车篷面积为840平方米（两座，具体要求详见附件），颜色：</w:t>
      </w:r>
      <w:r>
        <w:rPr>
          <w:rFonts w:hint="eastAsia" w:cs="仿宋" w:asciiTheme="majorEastAsia" w:hAnsiTheme="majorEastAsia" w:eastAsiaTheme="majorEastAsia"/>
          <w:b/>
          <w:color w:val="FF0000"/>
          <w:sz w:val="28"/>
          <w:szCs w:val="36"/>
          <w:u w:val="single"/>
        </w:rPr>
        <w:t>红色</w:t>
      </w:r>
      <w:r>
        <w:rPr>
          <w:rFonts w:hint="eastAsia" w:cs="仿宋" w:asciiTheme="majorEastAsia" w:hAnsiTheme="majorEastAsia" w:eastAsiaTheme="majorEastAsia"/>
          <w:sz w:val="28"/>
          <w:szCs w:val="36"/>
        </w:rPr>
        <w:t>，规格：篷1:跨度长30米*宽12米，檐高约4米；篷2:跨度长40米*宽12米，檐高约4米.</w:t>
      </w:r>
      <w:r>
        <w:rPr>
          <w:rFonts w:hint="eastAsia" w:asciiTheme="majorEastAsia" w:hAnsiTheme="majorEastAsia" w:eastAsiaTheme="majorEastAsia"/>
        </w:rPr>
        <w:t xml:space="preserve"> </w:t>
      </w:r>
      <w:r>
        <w:rPr>
          <w:rFonts w:hint="eastAsia" w:cs="仿宋" w:asciiTheme="majorEastAsia" w:hAnsiTheme="majorEastAsia" w:eastAsiaTheme="majorEastAsia"/>
          <w:sz w:val="28"/>
          <w:szCs w:val="36"/>
        </w:rPr>
        <w:t>结构：高强度轻质铝合金材料作为结构支架，篷布：双面PVC涂层的合成纤维，</w:t>
      </w:r>
      <w:r>
        <w:rPr>
          <w:rFonts w:hint="eastAsia" w:cs="仿宋" w:asciiTheme="majorEastAsia" w:hAnsiTheme="majorEastAsia" w:eastAsiaTheme="majorEastAsia"/>
          <w:b/>
          <w:sz w:val="28"/>
          <w:szCs w:val="36"/>
        </w:rPr>
        <w:t>不燃性材质</w:t>
      </w:r>
      <w:r>
        <w:rPr>
          <w:rFonts w:hint="eastAsia" w:cs="仿宋" w:asciiTheme="majorEastAsia" w:hAnsiTheme="majorEastAsia" w:eastAsiaTheme="majorEastAsia"/>
          <w:sz w:val="28"/>
          <w:szCs w:val="36"/>
        </w:rPr>
        <w:t>，要求防雨且抗风能力强，蓬顶需加装排水设施。</w:t>
      </w:r>
    </w:p>
    <w:p w14:paraId="253486D1">
      <w:pPr>
        <w:pStyle w:val="39"/>
        <w:ind w:left="640" w:firstLine="0" w:firstLineChars="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另需</w:t>
      </w:r>
      <w:r>
        <w:rPr>
          <w:rFonts w:hint="eastAsia" w:cs="仿宋" w:asciiTheme="majorEastAsia" w:hAnsiTheme="majorEastAsia" w:eastAsiaTheme="majorEastAsia"/>
          <w:sz w:val="28"/>
          <w:szCs w:val="36"/>
          <w:lang w:eastAsia="zh-CN"/>
        </w:rPr>
        <w:t>按现场需求</w:t>
      </w:r>
      <w:r>
        <w:rPr>
          <w:rFonts w:hint="eastAsia" w:cs="仿宋" w:asciiTheme="majorEastAsia" w:hAnsiTheme="majorEastAsia" w:eastAsiaTheme="majorEastAsia"/>
          <w:sz w:val="28"/>
          <w:szCs w:val="36"/>
        </w:rPr>
        <w:t>搭建1个跨度</w:t>
      </w:r>
      <w:r>
        <w:rPr>
          <w:rFonts w:hint="eastAsia" w:cs="仿宋" w:asciiTheme="majorEastAsia" w:hAnsiTheme="majorEastAsia" w:eastAsiaTheme="majorEastAsia"/>
          <w:sz w:val="28"/>
          <w:szCs w:val="36"/>
          <w:lang w:eastAsia="zh-CN"/>
        </w:rPr>
        <w:t>约为</w:t>
      </w:r>
      <w:r>
        <w:rPr>
          <w:rFonts w:hint="eastAsia" w:cs="仿宋" w:asciiTheme="majorEastAsia" w:hAnsiTheme="majorEastAsia" w:eastAsiaTheme="majorEastAsia"/>
          <w:sz w:val="28"/>
          <w:szCs w:val="36"/>
        </w:rPr>
        <w:t>宽8米*长10米的检</w:t>
      </w:r>
      <w:r>
        <w:rPr>
          <w:rFonts w:hint="eastAsia" w:cs="仿宋" w:asciiTheme="majorEastAsia" w:hAnsiTheme="majorEastAsia" w:eastAsiaTheme="majorEastAsia"/>
          <w:sz w:val="28"/>
          <w:szCs w:val="36"/>
          <w:lang w:eastAsia="zh-CN"/>
        </w:rPr>
        <w:t>票</w:t>
      </w:r>
      <w:r>
        <w:rPr>
          <w:rFonts w:hint="eastAsia" w:cs="仿宋" w:asciiTheme="majorEastAsia" w:hAnsiTheme="majorEastAsia" w:eastAsiaTheme="majorEastAsia"/>
          <w:sz w:val="28"/>
          <w:szCs w:val="36"/>
        </w:rPr>
        <w:t>通道</w:t>
      </w:r>
      <w:r>
        <w:rPr>
          <w:rFonts w:hint="eastAsia" w:cs="仿宋" w:asciiTheme="majorEastAsia" w:hAnsiTheme="majorEastAsia" w:eastAsiaTheme="majorEastAsia"/>
          <w:sz w:val="28"/>
          <w:szCs w:val="36"/>
          <w:lang w:eastAsia="zh-CN"/>
        </w:rPr>
        <w:t>（具体以项目现场确认为准）</w:t>
      </w:r>
      <w:r>
        <w:rPr>
          <w:rFonts w:hint="eastAsia" w:cs="仿宋" w:asciiTheme="majorEastAsia" w:hAnsiTheme="majorEastAsia" w:eastAsiaTheme="majorEastAsia"/>
          <w:sz w:val="28"/>
          <w:szCs w:val="36"/>
        </w:rPr>
        <w:t>。</w:t>
      </w:r>
    </w:p>
    <w:p w14:paraId="75D73EF9">
      <w:pPr>
        <w:pStyle w:val="39"/>
        <w:numPr>
          <w:ilvl w:val="0"/>
          <w:numId w:val="5"/>
        </w:numPr>
        <w:ind w:firstLineChars="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候车篷周边需要用3米高的</w:t>
      </w:r>
      <w:r>
        <w:rPr>
          <w:rFonts w:hint="eastAsia" w:cs="仿宋" w:asciiTheme="majorEastAsia" w:hAnsiTheme="majorEastAsia" w:eastAsiaTheme="majorEastAsia"/>
          <w:b/>
          <w:sz w:val="28"/>
          <w:szCs w:val="36"/>
          <w:u w:val="single"/>
        </w:rPr>
        <w:t>米黄色</w:t>
      </w:r>
      <w:r>
        <w:rPr>
          <w:rFonts w:hint="eastAsia" w:cs="仿宋" w:asciiTheme="majorEastAsia" w:hAnsiTheme="majorEastAsia" w:eastAsiaTheme="majorEastAsia"/>
          <w:sz w:val="28"/>
          <w:szCs w:val="36"/>
        </w:rPr>
        <w:t>铁皮围档进行安全围蔽，区域约长</w:t>
      </w:r>
      <w:r>
        <w:rPr>
          <w:rFonts w:hint="eastAsia" w:cs="仿宋" w:asciiTheme="majorEastAsia" w:hAnsiTheme="majorEastAsia" w:eastAsiaTheme="majorEastAsia"/>
          <w:sz w:val="28"/>
          <w:szCs w:val="36"/>
          <w:lang w:val="en-US" w:eastAsia="zh-CN"/>
        </w:rPr>
        <w:t>158</w:t>
      </w:r>
      <w:r>
        <w:rPr>
          <w:rFonts w:hint="eastAsia" w:cs="仿宋" w:asciiTheme="majorEastAsia" w:hAnsiTheme="majorEastAsia" w:eastAsiaTheme="majorEastAsia"/>
          <w:sz w:val="28"/>
          <w:szCs w:val="36"/>
        </w:rPr>
        <w:t>米</w:t>
      </w:r>
      <w:r>
        <w:rPr>
          <w:rFonts w:hint="eastAsia" w:cs="仿宋" w:asciiTheme="majorEastAsia" w:hAnsiTheme="majorEastAsia" w:eastAsiaTheme="majorEastAsia"/>
          <w:sz w:val="28"/>
          <w:szCs w:val="36"/>
          <w:lang w:eastAsia="zh-CN"/>
        </w:rPr>
        <w:t>（具体以项目现场为准）</w:t>
      </w:r>
      <w:r>
        <w:rPr>
          <w:rFonts w:hint="eastAsia" w:cs="仿宋" w:asciiTheme="majorEastAsia" w:hAnsiTheme="majorEastAsia" w:eastAsiaTheme="majorEastAsia"/>
          <w:sz w:val="28"/>
          <w:szCs w:val="36"/>
        </w:rPr>
        <w:t>。</w:t>
      </w:r>
    </w:p>
    <w:p w14:paraId="218E738B">
      <w:pPr>
        <w:pStyle w:val="39"/>
        <w:numPr>
          <w:ilvl w:val="0"/>
          <w:numId w:val="5"/>
        </w:numPr>
        <w:ind w:firstLineChars="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lang w:eastAsia="zh-CN"/>
        </w:rPr>
        <w:t>春</w:t>
      </w:r>
      <w:r>
        <w:rPr>
          <w:rFonts w:hint="eastAsia" w:cs="仿宋" w:asciiTheme="majorEastAsia" w:hAnsiTheme="majorEastAsia" w:eastAsiaTheme="majorEastAsia"/>
          <w:sz w:val="28"/>
          <w:szCs w:val="36"/>
        </w:rPr>
        <w:t>运结束后需负责拆除并需把地面开挖部分恢复成原样。</w:t>
      </w:r>
    </w:p>
    <w:p w14:paraId="4110991E">
      <w:pPr>
        <w:pStyle w:val="39"/>
        <w:numPr>
          <w:ilvl w:val="0"/>
          <w:numId w:val="5"/>
        </w:numPr>
        <w:ind w:firstLineChars="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候车篷内需安装照明灯52盏（功率不少于60瓦的LED灯，白光）、应急灯30盏，平均分布在候车篷候车区内。篷1和篷2共需安装视频监控镜头14个，含材料、安装费用总价包干。</w:t>
      </w:r>
    </w:p>
    <w:p w14:paraId="7B93D0E3">
      <w:pPr>
        <w:ind w:firstLine="280" w:firstLineChars="10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⑥要求</w:t>
      </w:r>
      <w:r>
        <w:rPr>
          <w:rFonts w:hint="eastAsia" w:cs="仿宋" w:asciiTheme="majorEastAsia" w:hAnsiTheme="majorEastAsia" w:eastAsiaTheme="majorEastAsia"/>
          <w:sz w:val="28"/>
          <w:szCs w:val="36"/>
          <w:lang w:eastAsia="zh-CN"/>
        </w:rPr>
        <w:t>响应人</w:t>
      </w:r>
      <w:r>
        <w:rPr>
          <w:rFonts w:hint="eastAsia" w:cs="仿宋" w:asciiTheme="majorEastAsia" w:hAnsiTheme="majorEastAsia" w:eastAsiaTheme="majorEastAsia"/>
          <w:sz w:val="28"/>
          <w:szCs w:val="36"/>
        </w:rPr>
        <w:t>必须为临时春运候车帐篷购买保额不低于100万、时间不低于2个月的公共责任险，并出具购买责任险发票等资料复印件交于采购</w:t>
      </w:r>
      <w:r>
        <w:rPr>
          <w:rFonts w:hint="eastAsia" w:cs="仿宋" w:asciiTheme="majorEastAsia" w:hAnsiTheme="majorEastAsia" w:eastAsiaTheme="majorEastAsia"/>
          <w:sz w:val="28"/>
          <w:szCs w:val="36"/>
          <w:lang w:eastAsia="zh-CN"/>
        </w:rPr>
        <w:t>人</w:t>
      </w:r>
      <w:r>
        <w:rPr>
          <w:rFonts w:hint="eastAsia" w:cs="仿宋" w:asciiTheme="majorEastAsia" w:hAnsiTheme="majorEastAsia" w:eastAsiaTheme="majorEastAsia"/>
          <w:sz w:val="28"/>
          <w:szCs w:val="36"/>
        </w:rPr>
        <w:t>保存备案。</w:t>
      </w:r>
    </w:p>
    <w:p w14:paraId="2ECB9C88">
      <w:pPr>
        <w:ind w:firstLine="280" w:firstLineChars="10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⑦工期：</w:t>
      </w:r>
      <w:r>
        <w:rPr>
          <w:rFonts w:hint="eastAsia" w:cs="仿宋" w:asciiTheme="majorEastAsia" w:hAnsiTheme="majorEastAsia" w:eastAsiaTheme="majorEastAsia"/>
          <w:sz w:val="28"/>
          <w:szCs w:val="36"/>
          <w:u w:val="single"/>
        </w:rPr>
        <w:t>202</w:t>
      </w:r>
      <w:r>
        <w:rPr>
          <w:rFonts w:hint="eastAsia" w:cs="仿宋" w:asciiTheme="majorEastAsia" w:hAnsiTheme="majorEastAsia" w:eastAsiaTheme="majorEastAsia"/>
          <w:sz w:val="28"/>
          <w:szCs w:val="36"/>
          <w:u w:val="single"/>
          <w:lang w:val="en-US" w:eastAsia="zh-CN"/>
        </w:rPr>
        <w:t>6</w:t>
      </w:r>
      <w:r>
        <w:rPr>
          <w:rFonts w:hint="eastAsia" w:cs="仿宋" w:asciiTheme="majorEastAsia" w:hAnsiTheme="majorEastAsia" w:eastAsiaTheme="majorEastAsia"/>
          <w:sz w:val="28"/>
          <w:szCs w:val="36"/>
          <w:u w:val="single"/>
        </w:rPr>
        <w:t>年01月</w:t>
      </w:r>
      <w:r>
        <w:rPr>
          <w:rFonts w:hint="eastAsia" w:cs="仿宋" w:asciiTheme="majorEastAsia" w:hAnsiTheme="majorEastAsia" w:eastAsiaTheme="majorEastAsia"/>
          <w:sz w:val="28"/>
          <w:szCs w:val="36"/>
          <w:u w:val="single"/>
          <w:lang w:val="en-US" w:eastAsia="zh-CN"/>
        </w:rPr>
        <w:t>25</w:t>
      </w:r>
      <w:r>
        <w:rPr>
          <w:rFonts w:hint="eastAsia" w:cs="仿宋" w:asciiTheme="majorEastAsia" w:hAnsiTheme="majorEastAsia" w:eastAsiaTheme="majorEastAsia"/>
          <w:sz w:val="28"/>
          <w:szCs w:val="36"/>
          <w:u w:val="single"/>
        </w:rPr>
        <w:t>日前</w:t>
      </w:r>
      <w:r>
        <w:rPr>
          <w:rFonts w:hint="eastAsia" w:cs="仿宋" w:asciiTheme="majorEastAsia" w:hAnsiTheme="majorEastAsia" w:eastAsiaTheme="majorEastAsia"/>
          <w:sz w:val="28"/>
          <w:szCs w:val="36"/>
        </w:rPr>
        <w:t>完成候车篷的搭建和篷内的配套设施设备工作并通过验收。因</w:t>
      </w:r>
      <w:r>
        <w:rPr>
          <w:rFonts w:hint="eastAsia" w:cs="仿宋" w:asciiTheme="majorEastAsia" w:hAnsiTheme="majorEastAsia" w:eastAsiaTheme="majorEastAsia"/>
          <w:sz w:val="28"/>
          <w:szCs w:val="36"/>
          <w:lang w:eastAsia="zh-CN"/>
        </w:rPr>
        <w:t>响应</w:t>
      </w:r>
      <w:r>
        <w:rPr>
          <w:rFonts w:hint="eastAsia" w:cs="仿宋" w:asciiTheme="majorEastAsia" w:hAnsiTheme="majorEastAsia" w:eastAsiaTheme="majorEastAsia"/>
          <w:sz w:val="28"/>
          <w:szCs w:val="36"/>
        </w:rPr>
        <w:t>人的原因导致工期延误的，</w:t>
      </w:r>
      <w:r>
        <w:rPr>
          <w:rFonts w:hint="eastAsia" w:cs="仿宋" w:asciiTheme="majorEastAsia" w:hAnsiTheme="majorEastAsia" w:eastAsiaTheme="majorEastAsia"/>
          <w:sz w:val="28"/>
          <w:szCs w:val="36"/>
          <w:lang w:eastAsia="zh-CN"/>
        </w:rPr>
        <w:t>采购人</w:t>
      </w:r>
      <w:r>
        <w:rPr>
          <w:rFonts w:hint="eastAsia" w:cs="仿宋" w:asciiTheme="majorEastAsia" w:hAnsiTheme="majorEastAsia" w:eastAsiaTheme="majorEastAsia"/>
          <w:sz w:val="28"/>
          <w:szCs w:val="36"/>
        </w:rPr>
        <w:t>有权终止合同并向</w:t>
      </w:r>
      <w:r>
        <w:rPr>
          <w:rFonts w:hint="eastAsia" w:cs="仿宋" w:asciiTheme="majorEastAsia" w:hAnsiTheme="majorEastAsia" w:eastAsiaTheme="majorEastAsia"/>
          <w:sz w:val="28"/>
          <w:szCs w:val="36"/>
          <w:lang w:eastAsia="zh-CN"/>
        </w:rPr>
        <w:t>响应</w:t>
      </w:r>
      <w:r>
        <w:rPr>
          <w:rFonts w:hint="eastAsia" w:cs="仿宋" w:asciiTheme="majorEastAsia" w:hAnsiTheme="majorEastAsia" w:eastAsiaTheme="majorEastAsia"/>
          <w:sz w:val="28"/>
          <w:szCs w:val="36"/>
        </w:rPr>
        <w:t>人追讨经济损失。</w:t>
      </w:r>
    </w:p>
    <w:p w14:paraId="30A5D28C">
      <w:pPr>
        <w:ind w:firstLine="280" w:firstLineChars="10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⑧候车帐篷篷布要求为不燃材质，投标时必须提供有效期内的第三方检测报告，并备加盖公章。</w:t>
      </w:r>
    </w:p>
    <w:p w14:paraId="7E7F9C75">
      <w:pPr>
        <w:ind w:firstLine="280" w:firstLineChars="100"/>
        <w:rPr>
          <w:rFonts w:cs="仿宋" w:asciiTheme="majorEastAsia" w:hAnsiTheme="majorEastAsia" w:eastAsiaTheme="majorEastAsia"/>
          <w:sz w:val="28"/>
          <w:szCs w:val="36"/>
        </w:rPr>
      </w:pPr>
      <w:r>
        <w:rPr>
          <w:rFonts w:hint="eastAsia" w:cs="仿宋" w:asciiTheme="majorEastAsia" w:hAnsiTheme="majorEastAsia" w:eastAsiaTheme="majorEastAsia"/>
          <w:sz w:val="28"/>
          <w:szCs w:val="36"/>
        </w:rPr>
        <w:t>⑨合同期满后</w:t>
      </w:r>
      <w:r>
        <w:rPr>
          <w:rFonts w:hint="eastAsia" w:cs="仿宋" w:asciiTheme="majorEastAsia" w:hAnsiTheme="majorEastAsia" w:eastAsiaTheme="majorEastAsia"/>
          <w:sz w:val="28"/>
          <w:szCs w:val="36"/>
          <w:lang w:eastAsia="zh-CN"/>
        </w:rPr>
        <w:t>响应</w:t>
      </w:r>
      <w:r>
        <w:rPr>
          <w:rFonts w:hint="eastAsia" w:cs="仿宋" w:asciiTheme="majorEastAsia" w:hAnsiTheme="majorEastAsia" w:eastAsiaTheme="majorEastAsia"/>
          <w:sz w:val="28"/>
          <w:szCs w:val="36"/>
        </w:rPr>
        <w:t>人自行安排拆除，如未及时不拆除，看管责任和其它风险由</w:t>
      </w:r>
      <w:r>
        <w:rPr>
          <w:rFonts w:hint="eastAsia" w:cs="仿宋" w:asciiTheme="majorEastAsia" w:hAnsiTheme="majorEastAsia" w:eastAsiaTheme="majorEastAsia"/>
          <w:sz w:val="28"/>
          <w:szCs w:val="36"/>
          <w:lang w:eastAsia="zh-CN"/>
        </w:rPr>
        <w:t>响应</w:t>
      </w:r>
      <w:r>
        <w:rPr>
          <w:rFonts w:hint="eastAsia" w:cs="仿宋" w:asciiTheme="majorEastAsia" w:hAnsiTheme="majorEastAsia" w:eastAsiaTheme="majorEastAsia"/>
          <w:sz w:val="28"/>
          <w:szCs w:val="36"/>
        </w:rPr>
        <w:t>人自行负责。</w:t>
      </w:r>
    </w:p>
    <w:p w14:paraId="5444326B">
      <w:pPr>
        <w:rPr>
          <w:rFonts w:asciiTheme="minorEastAsia" w:hAnsiTheme="minorEastAsia" w:eastAsiaTheme="minorEastAsia"/>
          <w:b/>
          <w:color w:val="000000"/>
          <w:sz w:val="28"/>
          <w:szCs w:val="28"/>
          <w:u w:val="single"/>
        </w:rPr>
      </w:pPr>
      <w:r>
        <w:rPr>
          <w:rFonts w:hint="eastAsia" w:asciiTheme="minorEastAsia" w:hAnsiTheme="minorEastAsia" w:eastAsiaTheme="minorEastAsia"/>
          <w:b/>
          <w:color w:val="000000"/>
          <w:sz w:val="28"/>
          <w:szCs w:val="28"/>
          <w:u w:val="single"/>
        </w:rPr>
        <w:t>东莞火车站站前广场202</w:t>
      </w:r>
      <w:r>
        <w:rPr>
          <w:rFonts w:hint="eastAsia" w:asciiTheme="minorEastAsia" w:hAnsiTheme="minorEastAsia" w:eastAsiaTheme="minorEastAsia"/>
          <w:b/>
          <w:color w:val="000000"/>
          <w:sz w:val="28"/>
          <w:szCs w:val="28"/>
          <w:u w:val="single"/>
          <w:lang w:val="en-US" w:eastAsia="zh-CN"/>
        </w:rPr>
        <w:t>6</w:t>
      </w:r>
      <w:r>
        <w:rPr>
          <w:rFonts w:hint="eastAsia" w:asciiTheme="minorEastAsia" w:hAnsiTheme="minorEastAsia" w:eastAsiaTheme="minorEastAsia"/>
          <w:b/>
          <w:color w:val="000000"/>
          <w:sz w:val="28"/>
          <w:szCs w:val="28"/>
          <w:u w:val="single"/>
        </w:rPr>
        <w:t>年春运临时候车篷搭建示意图（供参考，以现场指定为准）</w:t>
      </w:r>
    </w:p>
    <w:p w14:paraId="5E92F45B">
      <w:pPr>
        <w:rPr>
          <w:rFonts w:asciiTheme="minorEastAsia" w:hAnsiTheme="minorEastAsia" w:eastAsiaTheme="minorEastAsia"/>
          <w:b/>
          <w:color w:val="000000"/>
          <w:sz w:val="28"/>
          <w:szCs w:val="28"/>
          <w:u w:val="single"/>
        </w:rPr>
      </w:pPr>
      <w:r>
        <w:rPr>
          <w:rFonts w:hint="eastAsia" w:asciiTheme="minorEastAsia" w:hAnsiTheme="minorEastAsia" w:eastAsiaTheme="minorEastAsia"/>
          <w:b/>
          <w:color w:val="000000"/>
          <w:sz w:val="28"/>
          <w:szCs w:val="28"/>
          <w:u w:val="single"/>
        </w:rPr>
        <w:drawing>
          <wp:inline distT="0" distB="0" distL="114300" distR="114300">
            <wp:extent cx="4996180" cy="5960110"/>
            <wp:effectExtent l="0" t="0" r="0" b="2540"/>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5"/>
                    <a:stretch>
                      <a:fillRect/>
                    </a:stretch>
                  </pic:blipFill>
                  <pic:spPr>
                    <a:xfrm>
                      <a:off x="0" y="0"/>
                      <a:ext cx="5000283" cy="5964852"/>
                    </a:xfrm>
                    <a:prstGeom prst="rect">
                      <a:avLst/>
                    </a:prstGeom>
                  </pic:spPr>
                </pic:pic>
              </a:graphicData>
            </a:graphic>
          </wp:inline>
        </w:drawing>
      </w:r>
    </w:p>
    <w:p w14:paraId="55295DE8">
      <w:pPr>
        <w:rPr>
          <w:rFonts w:asciiTheme="minorEastAsia" w:hAnsiTheme="minorEastAsia" w:eastAsiaTheme="minorEastAsia"/>
          <w:b/>
          <w:color w:val="000000"/>
          <w:sz w:val="28"/>
          <w:szCs w:val="28"/>
          <w:u w:val="single"/>
        </w:rPr>
      </w:pPr>
    </w:p>
    <w:p w14:paraId="4BC771BB">
      <w:pPr>
        <w:rPr>
          <w:rFonts w:asciiTheme="minorEastAsia" w:hAnsiTheme="minorEastAsia" w:eastAsiaTheme="minorEastAsia"/>
          <w:b/>
          <w:color w:val="000000"/>
          <w:sz w:val="28"/>
          <w:szCs w:val="28"/>
          <w:u w:val="single"/>
        </w:rPr>
      </w:pPr>
    </w:p>
    <w:p w14:paraId="18BBBBAE">
      <w:pPr>
        <w:rPr>
          <w:rFonts w:asciiTheme="minorEastAsia" w:hAnsiTheme="minorEastAsia" w:eastAsiaTheme="minorEastAsia"/>
          <w:b/>
          <w:color w:val="000000"/>
          <w:sz w:val="28"/>
          <w:szCs w:val="28"/>
          <w:u w:val="single"/>
        </w:rPr>
      </w:pPr>
      <w:r>
        <w:rPr>
          <w:rFonts w:hint="eastAsia" w:asciiTheme="minorEastAsia" w:hAnsiTheme="minorEastAsia" w:eastAsiaTheme="minorEastAsia"/>
          <w:b/>
          <w:color w:val="000000"/>
          <w:sz w:val="28"/>
          <w:szCs w:val="28"/>
          <w:u w:val="single"/>
        </w:rPr>
        <w:t>候车篷示例图（帐篷布要求为</w:t>
      </w:r>
      <w:r>
        <w:rPr>
          <w:rFonts w:hint="eastAsia" w:asciiTheme="minorEastAsia" w:hAnsiTheme="minorEastAsia" w:eastAsiaTheme="minorEastAsia"/>
          <w:b/>
          <w:color w:val="FF0000"/>
          <w:sz w:val="28"/>
          <w:szCs w:val="28"/>
          <w:u w:val="single"/>
        </w:rPr>
        <w:t>红</w:t>
      </w:r>
      <w:r>
        <w:rPr>
          <w:rFonts w:hint="eastAsia" w:asciiTheme="minorEastAsia" w:hAnsiTheme="minorEastAsia" w:eastAsiaTheme="minorEastAsia"/>
          <w:b/>
          <w:color w:val="000000"/>
          <w:sz w:val="28"/>
          <w:szCs w:val="28"/>
          <w:u w:val="single"/>
        </w:rPr>
        <w:t>色）:</w:t>
      </w:r>
    </w:p>
    <w:p w14:paraId="3F3D1C2D">
      <w:pPr>
        <w:rPr>
          <w:rFonts w:asciiTheme="minorEastAsia" w:hAnsiTheme="minorEastAsia" w:eastAsiaTheme="minorEastAsia"/>
          <w:b/>
          <w:color w:val="000000"/>
          <w:sz w:val="28"/>
          <w:szCs w:val="28"/>
          <w:u w:val="single"/>
        </w:rPr>
      </w:pPr>
      <w:r>
        <w:rPr>
          <w:rFonts w:asciiTheme="minorEastAsia" w:hAnsiTheme="minorEastAsia" w:eastAsiaTheme="minorEastAsia"/>
          <w:b/>
          <w:color w:val="000000"/>
          <w:sz w:val="28"/>
          <w:szCs w:val="28"/>
          <w:u w:val="single"/>
        </w:rPr>
        <w:drawing>
          <wp:anchor distT="0" distB="0" distL="114300" distR="114300" simplePos="0" relativeHeight="251659264" behindDoc="0" locked="0" layoutInCell="1" allowOverlap="1">
            <wp:simplePos x="0" y="0"/>
            <wp:positionH relativeFrom="column">
              <wp:posOffset>118745</wp:posOffset>
            </wp:positionH>
            <wp:positionV relativeFrom="paragraph">
              <wp:posOffset>244475</wp:posOffset>
            </wp:positionV>
            <wp:extent cx="5229225" cy="3829050"/>
            <wp:effectExtent l="19050" t="0" r="9525" b="0"/>
            <wp:wrapNone/>
            <wp:docPr id="5"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71"/>
                    <pic:cNvPicPr>
                      <a:picLocks noChangeAspect="1" noChangeArrowheads="1"/>
                    </pic:cNvPicPr>
                  </pic:nvPicPr>
                  <pic:blipFill>
                    <a:blip r:embed="rId6"/>
                    <a:srcRect/>
                    <a:stretch>
                      <a:fillRect/>
                    </a:stretch>
                  </pic:blipFill>
                  <pic:spPr>
                    <a:xfrm>
                      <a:off x="0" y="0"/>
                      <a:ext cx="5229225" cy="3827145"/>
                    </a:xfrm>
                    <a:prstGeom prst="rect">
                      <a:avLst/>
                    </a:prstGeom>
                    <a:noFill/>
                    <a:ln w="1">
                      <a:noFill/>
                      <a:miter lim="800000"/>
                      <a:headEnd/>
                      <a:tailEnd/>
                    </a:ln>
                  </pic:spPr>
                </pic:pic>
              </a:graphicData>
            </a:graphic>
          </wp:anchor>
        </w:drawing>
      </w:r>
    </w:p>
    <w:p w14:paraId="37819C50">
      <w:pPr>
        <w:rPr>
          <w:rFonts w:asciiTheme="minorEastAsia" w:hAnsiTheme="minorEastAsia" w:eastAsiaTheme="minorEastAsia"/>
          <w:b/>
          <w:color w:val="000000"/>
          <w:sz w:val="28"/>
          <w:szCs w:val="28"/>
          <w:u w:val="single"/>
        </w:rPr>
      </w:pPr>
    </w:p>
    <w:p w14:paraId="494A306F">
      <w:pPr>
        <w:rPr>
          <w:rFonts w:asciiTheme="minorEastAsia" w:hAnsiTheme="minorEastAsia" w:eastAsiaTheme="minorEastAsia"/>
          <w:b/>
          <w:color w:val="000000"/>
          <w:sz w:val="28"/>
          <w:szCs w:val="28"/>
          <w:u w:val="single"/>
        </w:rPr>
      </w:pPr>
    </w:p>
    <w:p w14:paraId="633EAB32">
      <w:pPr>
        <w:rPr>
          <w:rFonts w:asciiTheme="minorEastAsia" w:hAnsiTheme="minorEastAsia" w:eastAsiaTheme="minorEastAsia"/>
          <w:b/>
          <w:color w:val="000000"/>
          <w:sz w:val="28"/>
          <w:szCs w:val="28"/>
          <w:u w:val="single"/>
        </w:rPr>
      </w:pPr>
    </w:p>
    <w:p w14:paraId="2D26394E">
      <w:pPr>
        <w:rPr>
          <w:rFonts w:asciiTheme="minorEastAsia" w:hAnsiTheme="minorEastAsia" w:eastAsiaTheme="minorEastAsia"/>
          <w:b/>
          <w:color w:val="000000"/>
          <w:sz w:val="28"/>
          <w:szCs w:val="28"/>
          <w:u w:val="single"/>
        </w:rPr>
      </w:pPr>
    </w:p>
    <w:p w14:paraId="27853F8F">
      <w:pPr>
        <w:rPr>
          <w:rFonts w:asciiTheme="minorEastAsia" w:hAnsiTheme="minorEastAsia" w:eastAsiaTheme="minorEastAsia"/>
          <w:b/>
          <w:color w:val="000000"/>
          <w:sz w:val="28"/>
          <w:szCs w:val="28"/>
          <w:u w:val="single"/>
        </w:rPr>
      </w:pPr>
    </w:p>
    <w:p w14:paraId="62D30AC3">
      <w:pPr>
        <w:rPr>
          <w:rFonts w:asciiTheme="minorEastAsia" w:hAnsiTheme="minorEastAsia" w:eastAsiaTheme="minorEastAsia"/>
          <w:b/>
          <w:color w:val="000000"/>
          <w:sz w:val="28"/>
          <w:szCs w:val="28"/>
          <w:u w:val="single"/>
        </w:rPr>
      </w:pPr>
    </w:p>
    <w:p w14:paraId="32586E44">
      <w:pPr>
        <w:rPr>
          <w:rFonts w:asciiTheme="minorEastAsia" w:hAnsiTheme="minorEastAsia" w:eastAsiaTheme="minorEastAsia"/>
          <w:color w:val="000000"/>
          <w:sz w:val="28"/>
          <w:szCs w:val="28"/>
        </w:rPr>
      </w:pPr>
    </w:p>
    <w:p w14:paraId="4FA11C1A">
      <w:pPr>
        <w:spacing w:line="360" w:lineRule="auto"/>
        <w:rPr>
          <w:rFonts w:asciiTheme="minorEastAsia" w:hAnsiTheme="minorEastAsia" w:eastAsiaTheme="minorEastAsia"/>
          <w:color w:val="000000"/>
          <w:sz w:val="28"/>
          <w:szCs w:val="28"/>
        </w:rPr>
      </w:pPr>
    </w:p>
    <w:p w14:paraId="504A8775">
      <w:pPr>
        <w:spacing w:line="360" w:lineRule="auto"/>
        <w:rPr>
          <w:rFonts w:asciiTheme="minorEastAsia" w:hAnsiTheme="minorEastAsia" w:eastAsiaTheme="minorEastAsia"/>
          <w:color w:val="000000"/>
          <w:sz w:val="28"/>
          <w:szCs w:val="28"/>
        </w:rPr>
      </w:pPr>
    </w:p>
    <w:p w14:paraId="1D522C2A">
      <w:pPr>
        <w:pStyle w:val="36"/>
        <w:spacing w:line="360" w:lineRule="auto"/>
        <w:ind w:firstLine="0" w:firstLineChars="0"/>
        <w:jc w:val="center"/>
        <w:rPr>
          <w:rFonts w:asciiTheme="minorEastAsia" w:hAnsiTheme="minorEastAsia" w:eastAsiaTheme="minorEastAsia"/>
          <w:color w:val="000000"/>
          <w:sz w:val="28"/>
          <w:szCs w:val="44"/>
        </w:rPr>
      </w:pPr>
    </w:p>
    <w:p w14:paraId="0531EF13">
      <w:pPr>
        <w:pStyle w:val="36"/>
        <w:spacing w:line="360" w:lineRule="auto"/>
        <w:ind w:firstLine="0" w:firstLineChars="0"/>
        <w:jc w:val="center"/>
        <w:rPr>
          <w:rFonts w:asciiTheme="minorEastAsia" w:hAnsiTheme="minorEastAsia" w:eastAsiaTheme="minorEastAsia"/>
          <w:color w:val="000000"/>
          <w:sz w:val="28"/>
          <w:szCs w:val="44"/>
        </w:rPr>
      </w:pPr>
    </w:p>
    <w:p w14:paraId="4EBB108D">
      <w:pPr>
        <w:pStyle w:val="36"/>
        <w:spacing w:line="360" w:lineRule="auto"/>
        <w:ind w:firstLine="0" w:firstLineChars="0"/>
        <w:jc w:val="center"/>
        <w:rPr>
          <w:rFonts w:asciiTheme="minorEastAsia" w:hAnsiTheme="minorEastAsia" w:eastAsiaTheme="minorEastAsia"/>
          <w:color w:val="000000"/>
          <w:sz w:val="28"/>
          <w:szCs w:val="44"/>
        </w:rPr>
      </w:pPr>
    </w:p>
    <w:p w14:paraId="318665F6">
      <w:pPr>
        <w:pStyle w:val="36"/>
        <w:spacing w:line="360" w:lineRule="auto"/>
        <w:ind w:firstLine="0" w:firstLineChars="0"/>
        <w:jc w:val="center"/>
        <w:rPr>
          <w:rFonts w:asciiTheme="minorEastAsia" w:hAnsiTheme="minorEastAsia" w:eastAsiaTheme="minorEastAsia"/>
          <w:color w:val="000000"/>
          <w:sz w:val="28"/>
          <w:szCs w:val="44"/>
        </w:rPr>
      </w:pPr>
    </w:p>
    <w:p w14:paraId="53F81066">
      <w:pPr>
        <w:pStyle w:val="36"/>
        <w:spacing w:line="360" w:lineRule="auto"/>
        <w:ind w:firstLine="0" w:firstLineChars="0"/>
        <w:jc w:val="center"/>
        <w:rPr>
          <w:rFonts w:asciiTheme="minorEastAsia" w:hAnsiTheme="minorEastAsia" w:eastAsiaTheme="minorEastAsia"/>
          <w:color w:val="000000"/>
          <w:sz w:val="28"/>
          <w:szCs w:val="44"/>
        </w:rPr>
      </w:pPr>
    </w:p>
    <w:p w14:paraId="7904F787">
      <w:pPr>
        <w:pStyle w:val="36"/>
        <w:spacing w:line="360" w:lineRule="auto"/>
        <w:ind w:firstLine="0" w:firstLineChars="0"/>
        <w:jc w:val="center"/>
        <w:rPr>
          <w:rFonts w:asciiTheme="minorEastAsia" w:hAnsiTheme="minorEastAsia" w:eastAsiaTheme="minorEastAsia"/>
          <w:color w:val="000000"/>
          <w:sz w:val="28"/>
          <w:szCs w:val="44"/>
        </w:rPr>
      </w:pPr>
    </w:p>
    <w:p w14:paraId="69004589">
      <w:pPr>
        <w:pStyle w:val="36"/>
        <w:spacing w:line="360" w:lineRule="auto"/>
        <w:ind w:firstLine="0" w:firstLineChars="0"/>
        <w:jc w:val="center"/>
        <w:rPr>
          <w:rFonts w:asciiTheme="minorEastAsia" w:hAnsiTheme="minorEastAsia" w:eastAsiaTheme="minorEastAsia"/>
          <w:color w:val="000000"/>
          <w:sz w:val="28"/>
          <w:szCs w:val="44"/>
        </w:rPr>
      </w:pPr>
    </w:p>
    <w:p w14:paraId="17A146F2">
      <w:pPr>
        <w:pStyle w:val="36"/>
        <w:spacing w:line="360" w:lineRule="auto"/>
        <w:ind w:firstLine="0" w:firstLineChars="0"/>
        <w:jc w:val="center"/>
        <w:rPr>
          <w:rFonts w:asciiTheme="minorEastAsia" w:hAnsiTheme="minorEastAsia" w:eastAsiaTheme="minorEastAsia"/>
          <w:color w:val="000000"/>
          <w:sz w:val="28"/>
          <w:szCs w:val="44"/>
        </w:rPr>
      </w:pPr>
    </w:p>
    <w:p w14:paraId="1ADAE05E">
      <w:pPr>
        <w:pStyle w:val="36"/>
        <w:spacing w:line="360" w:lineRule="auto"/>
        <w:ind w:firstLine="0" w:firstLineChars="0"/>
        <w:jc w:val="center"/>
        <w:rPr>
          <w:rFonts w:asciiTheme="minorEastAsia" w:hAnsiTheme="minorEastAsia" w:eastAsiaTheme="minorEastAsia"/>
          <w:color w:val="000000"/>
          <w:sz w:val="28"/>
          <w:szCs w:val="44"/>
        </w:rPr>
      </w:pPr>
    </w:p>
    <w:p w14:paraId="7A125E87">
      <w:pPr>
        <w:pStyle w:val="37"/>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附件七 安全及环保承诺书</w:t>
      </w:r>
    </w:p>
    <w:p w14:paraId="6376CEA1">
      <w:pPr>
        <w:pStyle w:val="36"/>
        <w:spacing w:line="360" w:lineRule="auto"/>
        <w:ind w:firstLine="494"/>
        <w:rPr>
          <w:rFonts w:ascii="宋体" w:eastAsia="宋体" w:cs="仿宋"/>
          <w:sz w:val="24"/>
          <w:szCs w:val="24"/>
        </w:rPr>
      </w:pPr>
      <w:r>
        <w:rPr>
          <w:rFonts w:hint="eastAsia" w:ascii="宋体" w:eastAsia="宋体" w:cs="仿宋"/>
          <w:sz w:val="24"/>
          <w:szCs w:val="24"/>
        </w:rPr>
        <w:t>为保障合同用工安全，我司承诺本次合同服务范围内的安全管理承诺责任如下：</w:t>
      </w:r>
    </w:p>
    <w:p w14:paraId="5B3AFE5E">
      <w:pPr>
        <w:pStyle w:val="36"/>
        <w:spacing w:line="360" w:lineRule="auto"/>
        <w:ind w:firstLine="494"/>
        <w:rPr>
          <w:rFonts w:ascii="宋体" w:eastAsia="宋体" w:cs="仿宋"/>
          <w:sz w:val="24"/>
          <w:szCs w:val="24"/>
        </w:rPr>
      </w:pPr>
      <w:r>
        <w:rPr>
          <w:rFonts w:hint="eastAsia" w:ascii="宋体" w:eastAsia="宋体" w:cs="仿宋"/>
          <w:sz w:val="24"/>
          <w:szCs w:val="24"/>
        </w:rPr>
        <w:t>一、承诺建立健全安全管理机构，加强用工安全技术管理，按国家有关规定配备与本次合同服务相符合的专业技术人员、安全管理人员和特种作业人员，人员持证作业，人证相符,不使用未经培训或培训不合格的人员上岗施工。</w:t>
      </w:r>
    </w:p>
    <w:p w14:paraId="1411F85B">
      <w:pPr>
        <w:pStyle w:val="36"/>
        <w:spacing w:line="360" w:lineRule="auto"/>
        <w:ind w:firstLine="494"/>
        <w:rPr>
          <w:rFonts w:ascii="宋体" w:eastAsia="宋体" w:cs="仿宋"/>
          <w:sz w:val="24"/>
          <w:szCs w:val="24"/>
        </w:rPr>
      </w:pPr>
      <w:r>
        <w:rPr>
          <w:rFonts w:hint="eastAsia" w:ascii="宋体" w:eastAsia="宋体" w:cs="仿宋"/>
          <w:sz w:val="24"/>
          <w:szCs w:val="24"/>
        </w:rPr>
        <w:t>二、承诺在合同服务期间，严格按安全生产要求，依照《安全生产法规》内容，明确安全责任，做好安全施工组织和预防措施，服从采购方和相关部门的日常管理和检查。日常监管人员发现有重大不安全因素时，随时有权要求承诺方停工整改，承诺方不得继续违章操作强行施工。</w:t>
      </w:r>
    </w:p>
    <w:p w14:paraId="50A5A0FA">
      <w:pPr>
        <w:pStyle w:val="36"/>
        <w:spacing w:line="360" w:lineRule="auto"/>
        <w:ind w:firstLine="494"/>
        <w:rPr>
          <w:rFonts w:ascii="宋体" w:eastAsia="宋体" w:cs="仿宋"/>
          <w:sz w:val="24"/>
          <w:szCs w:val="24"/>
        </w:rPr>
      </w:pPr>
      <w:r>
        <w:rPr>
          <w:rFonts w:hint="eastAsia" w:ascii="宋体" w:eastAsia="宋体" w:cs="仿宋"/>
          <w:sz w:val="24"/>
          <w:szCs w:val="24"/>
        </w:rPr>
        <w:t>三、承诺对本单位服务人员进行安全教育并对服务人员承担全部安全责任。有健全的安全管理制度和培训教育记录，保证服务人员应严格按安全标准组织提供服务，并随时接受行业安全检查人员依法实施的监督检查，采取必要的安全防护措施，消除事故隐患。合同服务期间，在合同范围内引起的一切事故的责任和因此发生的费用，均由承诺方自行承担。</w:t>
      </w:r>
    </w:p>
    <w:p w14:paraId="0AC9D2BC">
      <w:pPr>
        <w:pStyle w:val="36"/>
        <w:spacing w:line="360" w:lineRule="auto"/>
        <w:ind w:firstLine="494"/>
        <w:rPr>
          <w:rFonts w:ascii="宋体" w:eastAsia="宋体" w:cs="仿宋"/>
          <w:sz w:val="24"/>
          <w:szCs w:val="24"/>
        </w:rPr>
      </w:pPr>
      <w:r>
        <w:rPr>
          <w:rFonts w:hint="eastAsia" w:ascii="宋体" w:eastAsia="宋体" w:cs="仿宋"/>
          <w:sz w:val="24"/>
          <w:szCs w:val="24"/>
        </w:rPr>
        <w:t>四、承诺合同服务期间不影响周边人员、交通安全、环境安全。对本单位服务人员造成的一切不良影响负全部责任。</w:t>
      </w:r>
    </w:p>
    <w:p w14:paraId="4CC2D58B">
      <w:pPr>
        <w:pStyle w:val="36"/>
        <w:spacing w:line="360" w:lineRule="auto"/>
        <w:ind w:firstLine="494"/>
        <w:rPr>
          <w:rFonts w:ascii="宋体" w:eastAsia="宋体" w:cs="仿宋"/>
          <w:sz w:val="24"/>
          <w:szCs w:val="24"/>
        </w:rPr>
      </w:pPr>
      <w:r>
        <w:rPr>
          <w:rFonts w:hint="eastAsia" w:ascii="宋体" w:eastAsia="宋体" w:cs="仿宋"/>
          <w:sz w:val="24"/>
          <w:szCs w:val="24"/>
        </w:rPr>
        <w:t>五、承诺在合同服务范围内及服务期间，未经采购方书面同意，不得擅自进行合同内容范围外的其他服务事项，如因此造成承诺方人员发生伤亡等安全事故，应由承诺方承担全部责任，采购方不承担任何责任。如果因此造成采购方或任何第三方人身伤害、财产损失的，承诺方应承担赔偿责任。如采购方因此代为垫付赔偿，有权向承诺方追偿，包括但不限于赔偿款、诉讼费、律师费、鉴定费、保管费、差旅费等。</w:t>
      </w:r>
    </w:p>
    <w:p w14:paraId="5CFAD673">
      <w:pPr>
        <w:pStyle w:val="36"/>
        <w:spacing w:line="360" w:lineRule="auto"/>
        <w:ind w:firstLine="494"/>
        <w:rPr>
          <w:rFonts w:ascii="宋体" w:eastAsia="宋体" w:cs="仿宋"/>
          <w:sz w:val="24"/>
          <w:szCs w:val="24"/>
        </w:rPr>
      </w:pPr>
      <w:r>
        <w:rPr>
          <w:rFonts w:hint="eastAsia" w:ascii="宋体" w:eastAsia="宋体" w:cs="仿宋"/>
          <w:sz w:val="24"/>
          <w:szCs w:val="24"/>
        </w:rPr>
        <w:t>六、承诺在合同服务范围内及服务期间，因提供合同服务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w:t>
      </w:r>
    </w:p>
    <w:p w14:paraId="65ED9618">
      <w:pPr>
        <w:pStyle w:val="36"/>
        <w:spacing w:line="360" w:lineRule="auto"/>
        <w:ind w:firstLine="494"/>
        <w:rPr>
          <w:rFonts w:asciiTheme="minorEastAsia" w:hAnsiTheme="minorEastAsia" w:eastAsiaTheme="minorEastAsia"/>
          <w:color w:val="000000"/>
          <w:sz w:val="24"/>
          <w:szCs w:val="24"/>
        </w:rPr>
      </w:pPr>
      <w:r>
        <w:rPr>
          <w:rFonts w:hint="eastAsia" w:ascii="宋体" w:eastAsia="宋体" w:cs="仿宋"/>
          <w:sz w:val="24"/>
          <w:szCs w:val="24"/>
        </w:rPr>
        <w:t>七、安全问题包括但不仅限于上述情况，如有未尽详细事宜，参照国家相关法律法规、合同条款和本承诺书的条款执行。</w:t>
      </w:r>
    </w:p>
    <w:p w14:paraId="5D35AB4D">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服务方名称(加盖公章)：                        法定代表人（授权代表）：</w:t>
      </w:r>
    </w:p>
    <w:p w14:paraId="3460E87D">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日期：     年    月    日</w:t>
      </w:r>
    </w:p>
    <w:p w14:paraId="4FDD7C96">
      <w:pPr>
        <w:rPr>
          <w:rFonts w:eastAsia="仿宋_GB2312" w:cs="仿宋_GB2312"/>
          <w:sz w:val="28"/>
          <w:szCs w:val="28"/>
        </w:rPr>
      </w:pPr>
      <w:r>
        <w:rPr>
          <w:rFonts w:hint="eastAsia" w:eastAsia="仿宋_GB2312" w:cs="仿宋_GB2312"/>
          <w:sz w:val="24"/>
          <w:szCs w:val="24"/>
        </w:rPr>
        <w:t>附件</w:t>
      </w:r>
      <w:r>
        <w:rPr>
          <w:rFonts w:hint="eastAsia" w:eastAsia="仿宋_GB2312"/>
          <w:sz w:val="24"/>
          <w:szCs w:val="24"/>
          <w:lang w:eastAsia="zh-CN"/>
        </w:rPr>
        <w:t>八</w:t>
      </w:r>
      <w:r>
        <w:rPr>
          <w:rFonts w:hint="eastAsia" w:eastAsia="仿宋_GB2312" w:cs="仿宋_GB2312"/>
          <w:sz w:val="24"/>
          <w:szCs w:val="24"/>
        </w:rPr>
        <w:t>：火车站站前广场</w:t>
      </w:r>
      <w:r>
        <w:rPr>
          <w:rFonts w:eastAsia="仿宋_GB2312"/>
          <w:sz w:val="24"/>
          <w:szCs w:val="24"/>
        </w:rPr>
        <w:t>202</w:t>
      </w:r>
      <w:r>
        <w:rPr>
          <w:rFonts w:hint="eastAsia" w:eastAsia="仿宋_GB2312"/>
          <w:sz w:val="24"/>
          <w:szCs w:val="24"/>
          <w:lang w:val="en-US" w:eastAsia="zh-CN"/>
        </w:rPr>
        <w:t>6</w:t>
      </w:r>
      <w:r>
        <w:rPr>
          <w:rFonts w:hint="eastAsia" w:eastAsia="仿宋_GB2312" w:cs="仿宋_GB2312"/>
          <w:sz w:val="24"/>
          <w:szCs w:val="24"/>
        </w:rPr>
        <w:t>年春运临时候车篷搭建工程预算清单</w:t>
      </w:r>
    </w:p>
    <w:p w14:paraId="07220DEF"/>
    <w:tbl>
      <w:tblPr>
        <w:tblStyle w:val="18"/>
        <w:tblpPr w:leftFromText="180" w:rightFromText="180" w:vertAnchor="page" w:horzAnchor="page" w:tblpX="564" w:tblpY="1667"/>
        <w:tblW w:w="5000" w:type="pct"/>
        <w:tblInd w:w="0" w:type="dxa"/>
        <w:tblLayout w:type="autofit"/>
        <w:tblCellMar>
          <w:top w:w="0" w:type="dxa"/>
          <w:left w:w="108" w:type="dxa"/>
          <w:bottom w:w="0" w:type="dxa"/>
          <w:right w:w="108" w:type="dxa"/>
        </w:tblCellMar>
      </w:tblPr>
      <w:tblGrid>
        <w:gridCol w:w="513"/>
        <w:gridCol w:w="1776"/>
        <w:gridCol w:w="2046"/>
        <w:gridCol w:w="659"/>
        <w:gridCol w:w="616"/>
        <w:gridCol w:w="978"/>
        <w:gridCol w:w="753"/>
        <w:gridCol w:w="2514"/>
      </w:tblGrid>
      <w:tr w14:paraId="627F2A1A">
        <w:tblPrEx>
          <w:tblCellMar>
            <w:top w:w="0" w:type="dxa"/>
            <w:left w:w="108" w:type="dxa"/>
            <w:bottom w:w="0" w:type="dxa"/>
            <w:right w:w="108" w:type="dxa"/>
          </w:tblCellMar>
        </w:tblPrEx>
        <w:trPr>
          <w:trHeight w:val="836"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0112594F">
            <w:pPr>
              <w:widowControl/>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 xml:space="preserve"> 火车站站前广场</w:t>
            </w:r>
            <w:r>
              <w:rPr>
                <w:rFonts w:hint="default" w:ascii="Times New Roman" w:hAnsi="Times New Roman" w:eastAsia="方正小标宋简体" w:cs="Times New Roman"/>
                <w:kern w:val="0"/>
                <w:sz w:val="36"/>
                <w:szCs w:val="36"/>
              </w:rPr>
              <w:t>20</w:t>
            </w:r>
            <w:r>
              <w:rPr>
                <w:rFonts w:hint="default" w:ascii="Times New Roman" w:hAnsi="Times New Roman" w:eastAsia="方正小标宋简体" w:cs="Times New Roman"/>
                <w:kern w:val="0"/>
                <w:sz w:val="36"/>
                <w:szCs w:val="36"/>
                <w:lang w:val="en-US" w:eastAsia="zh-CN"/>
              </w:rPr>
              <w:t>2</w:t>
            </w:r>
            <w:r>
              <w:rPr>
                <w:rFonts w:hint="eastAsia" w:eastAsia="方正小标宋简体" w:cs="Times New Roman"/>
                <w:kern w:val="0"/>
                <w:sz w:val="36"/>
                <w:szCs w:val="36"/>
                <w:lang w:val="en-US" w:eastAsia="zh-CN"/>
              </w:rPr>
              <w:t>6</w:t>
            </w:r>
            <w:r>
              <w:rPr>
                <w:rFonts w:hint="eastAsia" w:ascii="方正小标宋简体" w:hAnsi="宋体" w:eastAsia="方正小标宋简体" w:cs="宋体"/>
                <w:kern w:val="0"/>
                <w:sz w:val="36"/>
                <w:szCs w:val="36"/>
              </w:rPr>
              <w:t>年春运临时候车篷搭建</w:t>
            </w:r>
            <w:r>
              <w:rPr>
                <w:rFonts w:hint="eastAsia" w:ascii="方正小标宋简体" w:hAnsi="宋体" w:eastAsia="方正小标宋简体" w:cs="宋体"/>
                <w:kern w:val="0"/>
                <w:sz w:val="36"/>
                <w:szCs w:val="36"/>
                <w:lang w:val="en-US" w:eastAsia="zh-CN"/>
              </w:rPr>
              <w:t>项目预算</w:t>
            </w:r>
            <w:r>
              <w:rPr>
                <w:rFonts w:hint="eastAsia" w:ascii="方正小标宋简体" w:hAnsi="宋体" w:eastAsia="方正小标宋简体" w:cs="宋体"/>
                <w:kern w:val="0"/>
                <w:sz w:val="36"/>
                <w:szCs w:val="36"/>
              </w:rPr>
              <w:t xml:space="preserve">清单              </w:t>
            </w:r>
          </w:p>
        </w:tc>
      </w:tr>
      <w:tr w14:paraId="1E60648D">
        <w:tblPrEx>
          <w:tblCellMar>
            <w:top w:w="0" w:type="dxa"/>
            <w:left w:w="108" w:type="dxa"/>
            <w:bottom w:w="0" w:type="dxa"/>
            <w:right w:w="108" w:type="dxa"/>
          </w:tblCellMar>
        </w:tblPrEx>
        <w:trPr>
          <w:trHeight w:val="44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vAlign w:val="center"/>
          </w:tcPr>
          <w:p w14:paraId="79E18A09">
            <w:pPr>
              <w:widowControl/>
              <w:jc w:val="left"/>
              <w:rPr>
                <w:rFonts w:ascii="楷体_GB2312" w:hAnsi="宋体" w:eastAsia="楷体_GB2312" w:cs="宋体"/>
                <w:b/>
                <w:bCs/>
                <w:kern w:val="0"/>
                <w:sz w:val="24"/>
                <w:szCs w:val="24"/>
              </w:rPr>
            </w:pPr>
            <w:r>
              <w:rPr>
                <w:rFonts w:hint="eastAsia" w:ascii="楷体_GB2312" w:hAnsi="宋体" w:eastAsia="楷体_GB2312" w:cs="宋体"/>
                <w:b/>
                <w:bCs/>
                <w:kern w:val="0"/>
                <w:sz w:val="24"/>
                <w:szCs w:val="24"/>
              </w:rPr>
              <w:t xml:space="preserve">　                   </w:t>
            </w:r>
          </w:p>
        </w:tc>
      </w:tr>
      <w:tr w14:paraId="5A94125C">
        <w:tblPrEx>
          <w:tblCellMar>
            <w:top w:w="0" w:type="dxa"/>
            <w:left w:w="108" w:type="dxa"/>
            <w:bottom w:w="0" w:type="dxa"/>
            <w:right w:w="108" w:type="dxa"/>
          </w:tblCellMar>
        </w:tblPrEx>
        <w:trPr>
          <w:trHeight w:val="836"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6288AD87">
            <w:pPr>
              <w:widowControl/>
              <w:jc w:val="center"/>
              <w:rPr>
                <w:rFonts w:ascii="楷体_GB2312" w:hAnsi="宋体" w:eastAsia="楷体_GB2312" w:cs="宋体"/>
                <w:b/>
                <w:bCs/>
                <w:kern w:val="0"/>
                <w:sz w:val="24"/>
                <w:szCs w:val="24"/>
              </w:rPr>
            </w:pPr>
            <w:r>
              <w:rPr>
                <w:rFonts w:hint="eastAsia" w:ascii="楷体_GB2312" w:hAnsi="宋体" w:eastAsia="楷体_GB2312" w:cs="宋体"/>
                <w:b/>
                <w:bCs/>
                <w:kern w:val="0"/>
                <w:sz w:val="24"/>
                <w:szCs w:val="24"/>
              </w:rPr>
              <w:t>序号</w:t>
            </w:r>
          </w:p>
        </w:tc>
        <w:tc>
          <w:tcPr>
            <w:tcW w:w="924" w:type="pct"/>
            <w:tcBorders>
              <w:top w:val="nil"/>
              <w:left w:val="nil"/>
              <w:bottom w:val="single" w:color="auto" w:sz="4" w:space="0"/>
              <w:right w:val="single" w:color="auto" w:sz="4" w:space="0"/>
            </w:tcBorders>
            <w:shd w:val="clear" w:color="auto" w:fill="auto"/>
            <w:vAlign w:val="center"/>
          </w:tcPr>
          <w:p w14:paraId="12807CEB">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项目</w:t>
            </w:r>
          </w:p>
        </w:tc>
        <w:tc>
          <w:tcPr>
            <w:tcW w:w="924" w:type="pct"/>
            <w:tcBorders>
              <w:top w:val="nil"/>
              <w:left w:val="nil"/>
              <w:bottom w:val="single" w:color="auto" w:sz="4" w:space="0"/>
              <w:right w:val="single" w:color="auto" w:sz="4" w:space="0"/>
            </w:tcBorders>
            <w:shd w:val="clear" w:color="auto" w:fill="auto"/>
            <w:vAlign w:val="center"/>
          </w:tcPr>
          <w:p w14:paraId="2132FE2E">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示例图片</w:t>
            </w:r>
          </w:p>
        </w:tc>
        <w:tc>
          <w:tcPr>
            <w:tcW w:w="357" w:type="pct"/>
            <w:tcBorders>
              <w:top w:val="nil"/>
              <w:left w:val="nil"/>
              <w:bottom w:val="single" w:color="auto" w:sz="4" w:space="0"/>
              <w:right w:val="single" w:color="auto" w:sz="4" w:space="0"/>
            </w:tcBorders>
            <w:shd w:val="clear" w:color="auto" w:fill="auto"/>
            <w:vAlign w:val="center"/>
          </w:tcPr>
          <w:p w14:paraId="2B8A29A1">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单位</w:t>
            </w:r>
          </w:p>
        </w:tc>
        <w:tc>
          <w:tcPr>
            <w:tcW w:w="290" w:type="pct"/>
            <w:tcBorders>
              <w:top w:val="nil"/>
              <w:left w:val="nil"/>
              <w:bottom w:val="single" w:color="auto" w:sz="4" w:space="0"/>
              <w:right w:val="single" w:color="auto" w:sz="4" w:space="0"/>
            </w:tcBorders>
            <w:shd w:val="clear" w:color="auto" w:fill="auto"/>
            <w:vAlign w:val="center"/>
          </w:tcPr>
          <w:p w14:paraId="6D8C2709">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 xml:space="preserve">数量 </w:t>
            </w:r>
          </w:p>
        </w:tc>
        <w:tc>
          <w:tcPr>
            <w:tcW w:w="519" w:type="pct"/>
            <w:tcBorders>
              <w:top w:val="nil"/>
              <w:left w:val="nil"/>
              <w:bottom w:val="single" w:color="auto" w:sz="4" w:space="0"/>
              <w:right w:val="single" w:color="auto" w:sz="4" w:space="0"/>
            </w:tcBorders>
            <w:shd w:val="clear" w:color="auto" w:fill="auto"/>
            <w:vAlign w:val="center"/>
          </w:tcPr>
          <w:p w14:paraId="50E4FA4F">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 xml:space="preserve">单价 </w:t>
            </w:r>
          </w:p>
        </w:tc>
        <w:tc>
          <w:tcPr>
            <w:tcW w:w="405" w:type="pct"/>
            <w:tcBorders>
              <w:top w:val="nil"/>
              <w:left w:val="nil"/>
              <w:bottom w:val="single" w:color="auto" w:sz="4" w:space="0"/>
              <w:right w:val="single" w:color="auto" w:sz="4" w:space="0"/>
            </w:tcBorders>
            <w:shd w:val="clear" w:color="auto" w:fill="auto"/>
            <w:vAlign w:val="center"/>
          </w:tcPr>
          <w:p w14:paraId="5A39DB4C">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 xml:space="preserve">金额 </w:t>
            </w:r>
          </w:p>
        </w:tc>
        <w:tc>
          <w:tcPr>
            <w:tcW w:w="1294" w:type="pct"/>
            <w:tcBorders>
              <w:top w:val="nil"/>
              <w:left w:val="nil"/>
              <w:bottom w:val="single" w:color="auto" w:sz="4" w:space="0"/>
              <w:right w:val="single" w:color="auto" w:sz="4" w:space="0"/>
            </w:tcBorders>
            <w:shd w:val="clear" w:color="auto" w:fill="auto"/>
            <w:vAlign w:val="center"/>
          </w:tcPr>
          <w:p w14:paraId="2B4AD42D">
            <w:pPr>
              <w:widowControl/>
              <w:jc w:val="center"/>
              <w:rPr>
                <w:rFonts w:ascii="楷体_GB2312" w:hAnsi="宋体" w:eastAsia="楷体_GB2312" w:cs="宋体"/>
                <w:b/>
                <w:bCs/>
                <w:color w:val="000000"/>
                <w:kern w:val="0"/>
                <w:sz w:val="24"/>
                <w:szCs w:val="24"/>
              </w:rPr>
            </w:pPr>
            <w:r>
              <w:rPr>
                <w:rFonts w:hint="eastAsia" w:ascii="楷体_GB2312" w:hAnsi="宋体" w:eastAsia="楷体_GB2312" w:cs="宋体"/>
                <w:b/>
                <w:bCs/>
                <w:color w:val="000000"/>
                <w:kern w:val="0"/>
                <w:sz w:val="24"/>
                <w:szCs w:val="24"/>
              </w:rPr>
              <w:t>备注</w:t>
            </w:r>
          </w:p>
        </w:tc>
      </w:tr>
      <w:tr w14:paraId="07E01AE1">
        <w:tblPrEx>
          <w:tblCellMar>
            <w:top w:w="0" w:type="dxa"/>
            <w:left w:w="108" w:type="dxa"/>
            <w:bottom w:w="0" w:type="dxa"/>
            <w:right w:w="108" w:type="dxa"/>
          </w:tblCellMar>
        </w:tblPrEx>
        <w:trPr>
          <w:trHeight w:val="1151"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7D2E57B8">
            <w:pPr>
              <w:widowControl/>
              <w:jc w:val="center"/>
              <w:rPr>
                <w:rFonts w:ascii="宋体" w:hAnsi="宋体" w:cs="宋体"/>
                <w:kern w:val="0"/>
                <w:sz w:val="20"/>
                <w:szCs w:val="20"/>
              </w:rPr>
            </w:pPr>
            <w:r>
              <w:rPr>
                <w:rFonts w:hint="default" w:ascii="Times New Roman" w:hAnsi="Times New Roman" w:cs="Times New Roman"/>
                <w:kern w:val="0"/>
                <w:sz w:val="20"/>
                <w:szCs w:val="20"/>
              </w:rPr>
              <w:t>1</w:t>
            </w:r>
          </w:p>
        </w:tc>
        <w:tc>
          <w:tcPr>
            <w:tcW w:w="924" w:type="pct"/>
            <w:tcBorders>
              <w:top w:val="nil"/>
              <w:left w:val="nil"/>
              <w:bottom w:val="single" w:color="auto" w:sz="4" w:space="0"/>
              <w:right w:val="single" w:color="auto" w:sz="4" w:space="0"/>
            </w:tcBorders>
            <w:shd w:val="clear" w:color="auto" w:fill="auto"/>
            <w:vAlign w:val="center"/>
          </w:tcPr>
          <w:p w14:paraId="0D172B8A">
            <w:pPr>
              <w:widowControl/>
              <w:jc w:val="center"/>
              <w:rPr>
                <w:rFonts w:ascii="宋体" w:hAnsi="宋体" w:cs="宋体"/>
                <w:kern w:val="0"/>
                <w:sz w:val="20"/>
                <w:szCs w:val="20"/>
              </w:rPr>
            </w:pPr>
            <w:r>
              <w:rPr>
                <w:rFonts w:hint="eastAsia" w:ascii="宋体" w:hAnsi="宋体" w:cs="宋体"/>
                <w:kern w:val="0"/>
                <w:sz w:val="20"/>
                <w:szCs w:val="20"/>
              </w:rPr>
              <w:t>帐篷</w:t>
            </w:r>
            <w:r>
              <w:rPr>
                <w:rFonts w:hint="default" w:ascii="Times New Roman" w:hAnsi="Times New Roman" w:cs="Times New Roman"/>
                <w:kern w:val="0"/>
                <w:sz w:val="20"/>
                <w:szCs w:val="20"/>
              </w:rPr>
              <w:t>1</w:t>
            </w:r>
          </w:p>
        </w:tc>
        <w:tc>
          <w:tcPr>
            <w:tcW w:w="924" w:type="pct"/>
            <w:tcBorders>
              <w:top w:val="nil"/>
              <w:left w:val="nil"/>
              <w:bottom w:val="single" w:color="auto" w:sz="4" w:space="0"/>
              <w:right w:val="single" w:color="auto" w:sz="4" w:space="0"/>
            </w:tcBorders>
            <w:shd w:val="clear" w:color="auto" w:fill="auto"/>
            <w:vAlign w:val="center"/>
          </w:tcPr>
          <w:p w14:paraId="7BFF4E30">
            <w:pPr>
              <w:widowControl/>
              <w:jc w:val="center"/>
              <w:rPr>
                <w:rFonts w:ascii="宋体" w:hAnsi="宋体" w:cs="宋体"/>
                <w:kern w:val="0"/>
                <w:sz w:val="20"/>
                <w:szCs w:val="20"/>
              </w:rPr>
            </w:pPr>
            <w:r>
              <w:rPr>
                <w:rFonts w:ascii="宋体" w:hAnsi="宋体" w:cs="宋体"/>
                <w:kern w:val="0"/>
                <w:sz w:val="20"/>
                <w:szCs w:val="20"/>
              </w:rPr>
              <w:drawing>
                <wp:anchor distT="0" distB="0" distL="114300" distR="114300" simplePos="0" relativeHeight="251660288" behindDoc="0" locked="0" layoutInCell="1" allowOverlap="1">
                  <wp:simplePos x="0" y="0"/>
                  <wp:positionH relativeFrom="column">
                    <wp:posOffset>123190</wp:posOffset>
                  </wp:positionH>
                  <wp:positionV relativeFrom="paragraph">
                    <wp:posOffset>49530</wp:posOffset>
                  </wp:positionV>
                  <wp:extent cx="923925" cy="676275"/>
                  <wp:effectExtent l="0" t="0" r="9525" b="9525"/>
                  <wp:wrapNone/>
                  <wp:docPr id="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1"/>
                          <pic:cNvPicPr>
                            <a:picLocks noChangeAspect="1" noChangeArrowheads="1"/>
                          </pic:cNvPicPr>
                        </pic:nvPicPr>
                        <pic:blipFill>
                          <a:blip r:embed="rId6"/>
                          <a:srcRect/>
                          <a:stretch>
                            <a:fillRect/>
                          </a:stretch>
                        </pic:blipFill>
                        <pic:spPr>
                          <a:xfrm>
                            <a:off x="0" y="0"/>
                            <a:ext cx="923925" cy="676275"/>
                          </a:xfrm>
                          <a:prstGeom prst="rect">
                            <a:avLst/>
                          </a:prstGeom>
                          <a:noFill/>
                          <a:ln w="1">
                            <a:noFill/>
                            <a:miter lim="800000"/>
                            <a:headEnd/>
                            <a:tailEnd/>
                          </a:ln>
                        </pic:spPr>
                      </pic:pic>
                    </a:graphicData>
                  </a:graphic>
                </wp:anchor>
              </w:drawing>
            </w:r>
          </w:p>
        </w:tc>
        <w:tc>
          <w:tcPr>
            <w:tcW w:w="357" w:type="pct"/>
            <w:tcBorders>
              <w:top w:val="nil"/>
              <w:left w:val="nil"/>
              <w:bottom w:val="single" w:color="auto" w:sz="4" w:space="0"/>
              <w:right w:val="single" w:color="auto" w:sz="4" w:space="0"/>
            </w:tcBorders>
            <w:shd w:val="clear" w:color="auto" w:fill="auto"/>
            <w:vAlign w:val="center"/>
          </w:tcPr>
          <w:p w14:paraId="453A1CED">
            <w:pPr>
              <w:widowControl/>
              <w:jc w:val="center"/>
              <w:rPr>
                <w:rFonts w:ascii="宋体" w:hAnsi="宋体" w:cs="宋体"/>
                <w:kern w:val="0"/>
                <w:sz w:val="20"/>
                <w:szCs w:val="20"/>
              </w:rPr>
            </w:pPr>
            <w:r>
              <w:rPr>
                <w:rFonts w:hint="eastAsia" w:ascii="宋体" w:hAnsi="宋体" w:cs="宋体"/>
                <w:kern w:val="0"/>
                <w:sz w:val="20"/>
                <w:szCs w:val="20"/>
              </w:rPr>
              <w:t>平方</w:t>
            </w:r>
          </w:p>
        </w:tc>
        <w:tc>
          <w:tcPr>
            <w:tcW w:w="290" w:type="pct"/>
            <w:tcBorders>
              <w:top w:val="nil"/>
              <w:left w:val="nil"/>
              <w:bottom w:val="single" w:color="auto" w:sz="4" w:space="0"/>
              <w:right w:val="single" w:color="auto" w:sz="4" w:space="0"/>
            </w:tcBorders>
            <w:shd w:val="clear" w:color="auto" w:fill="auto"/>
            <w:vAlign w:val="center"/>
          </w:tcPr>
          <w:p w14:paraId="2AAFDEDA">
            <w:pPr>
              <w:widowControl/>
              <w:jc w:val="center"/>
              <w:rPr>
                <w:rFonts w:ascii="宋体" w:hAnsi="宋体" w:cs="宋体"/>
                <w:kern w:val="0"/>
                <w:sz w:val="20"/>
                <w:szCs w:val="20"/>
              </w:rPr>
            </w:pPr>
            <w:r>
              <w:rPr>
                <w:rFonts w:hint="default" w:ascii="Times New Roman" w:hAnsi="Times New Roman" w:cs="Times New Roman"/>
                <w:kern w:val="0"/>
                <w:sz w:val="20"/>
                <w:szCs w:val="20"/>
              </w:rPr>
              <w:t>480</w:t>
            </w:r>
          </w:p>
        </w:tc>
        <w:tc>
          <w:tcPr>
            <w:tcW w:w="519" w:type="pct"/>
            <w:tcBorders>
              <w:top w:val="nil"/>
              <w:left w:val="nil"/>
              <w:bottom w:val="single" w:color="auto" w:sz="4" w:space="0"/>
              <w:right w:val="single" w:color="auto" w:sz="4" w:space="0"/>
            </w:tcBorders>
            <w:shd w:val="clear" w:color="auto" w:fill="auto"/>
            <w:vAlign w:val="center"/>
          </w:tcPr>
          <w:p w14:paraId="1B54F86B">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18C4D4AF">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7DA9A470">
            <w:pPr>
              <w:widowControl/>
              <w:jc w:val="left"/>
              <w:rPr>
                <w:rFonts w:ascii="宋体" w:hAnsi="宋体" w:cs="宋体"/>
                <w:kern w:val="0"/>
                <w:sz w:val="15"/>
                <w:szCs w:val="15"/>
              </w:rPr>
            </w:pPr>
            <w:r>
              <w:rPr>
                <w:rFonts w:hint="eastAsia" w:ascii="宋体" w:hAnsi="宋体" w:cs="宋体"/>
                <w:kern w:val="0"/>
                <w:sz w:val="15"/>
                <w:szCs w:val="15"/>
              </w:rPr>
              <w:t>搭设要求：跨度宽</w:t>
            </w:r>
            <w:r>
              <w:rPr>
                <w:rFonts w:hint="default" w:ascii="Times New Roman" w:hAnsi="Times New Roman" w:cs="Times New Roman"/>
                <w:kern w:val="0"/>
                <w:sz w:val="15"/>
                <w:szCs w:val="15"/>
              </w:rPr>
              <w:t>12</w:t>
            </w:r>
            <w:r>
              <w:rPr>
                <w:rFonts w:hint="eastAsia" w:ascii="宋体" w:hAnsi="宋体" w:cs="宋体"/>
                <w:kern w:val="0"/>
                <w:sz w:val="15"/>
                <w:szCs w:val="15"/>
              </w:rPr>
              <w:t>米*长</w:t>
            </w:r>
            <w:r>
              <w:rPr>
                <w:rFonts w:hint="default" w:ascii="Times New Roman" w:hAnsi="Times New Roman" w:cs="Times New Roman"/>
                <w:kern w:val="0"/>
                <w:sz w:val="15"/>
                <w:szCs w:val="15"/>
              </w:rPr>
              <w:t>40</w:t>
            </w:r>
            <w:r>
              <w:rPr>
                <w:rFonts w:hint="eastAsia" w:ascii="宋体" w:hAnsi="宋体" w:cs="宋体"/>
                <w:kern w:val="0"/>
                <w:sz w:val="15"/>
                <w:szCs w:val="15"/>
              </w:rPr>
              <w:t>米，檐高</w:t>
            </w:r>
            <w:r>
              <w:rPr>
                <w:rFonts w:hint="default" w:ascii="Times New Roman" w:hAnsi="Times New Roman" w:cs="Times New Roman"/>
                <w:kern w:val="0"/>
                <w:sz w:val="15"/>
                <w:szCs w:val="15"/>
              </w:rPr>
              <w:t>4</w:t>
            </w:r>
            <w:r>
              <w:rPr>
                <w:rFonts w:hint="eastAsia" w:ascii="宋体" w:hAnsi="宋体" w:cs="宋体"/>
                <w:kern w:val="0"/>
                <w:sz w:val="15"/>
                <w:szCs w:val="15"/>
              </w:rPr>
              <w:t>米（具体位</w:t>
            </w:r>
            <w:r>
              <w:rPr>
                <w:rFonts w:hint="eastAsia" w:ascii="宋体" w:hAnsi="宋体" w:cs="宋体"/>
                <w:kern w:val="0"/>
                <w:sz w:val="15"/>
                <w:szCs w:val="15"/>
                <w:lang w:eastAsia="zh-CN"/>
              </w:rPr>
              <w:t>置</w:t>
            </w:r>
            <w:r>
              <w:rPr>
                <w:rFonts w:hint="eastAsia" w:ascii="宋体" w:hAnsi="宋体" w:cs="宋体"/>
                <w:kern w:val="0"/>
                <w:sz w:val="15"/>
                <w:szCs w:val="15"/>
              </w:rPr>
              <w:t>按</w:t>
            </w:r>
            <w:r>
              <w:rPr>
                <w:rFonts w:hint="eastAsia" w:ascii="宋体" w:hAnsi="宋体" w:cs="宋体"/>
                <w:kern w:val="0"/>
                <w:sz w:val="15"/>
                <w:szCs w:val="15"/>
                <w:lang w:eastAsia="zh-CN"/>
              </w:rPr>
              <w:t>采购人</w:t>
            </w:r>
            <w:r>
              <w:rPr>
                <w:rFonts w:hint="eastAsia" w:ascii="宋体" w:hAnsi="宋体" w:cs="宋体"/>
                <w:kern w:val="0"/>
                <w:sz w:val="15"/>
                <w:szCs w:val="15"/>
              </w:rPr>
              <w:t>的</w:t>
            </w:r>
            <w:r>
              <w:rPr>
                <w:rFonts w:hint="eastAsia" w:ascii="宋体" w:hAnsi="宋体" w:cs="宋体"/>
                <w:kern w:val="0"/>
                <w:sz w:val="15"/>
                <w:szCs w:val="15"/>
                <w:lang w:eastAsia="zh-CN"/>
              </w:rPr>
              <w:t>现场确认</w:t>
            </w:r>
            <w:r>
              <w:rPr>
                <w:rFonts w:hint="eastAsia" w:ascii="宋体" w:hAnsi="宋体" w:cs="宋体"/>
                <w:kern w:val="0"/>
                <w:sz w:val="15"/>
                <w:szCs w:val="15"/>
              </w:rPr>
              <w:t>要求执行）</w:t>
            </w:r>
          </w:p>
        </w:tc>
      </w:tr>
      <w:tr w14:paraId="4C131ABF">
        <w:tblPrEx>
          <w:tblCellMar>
            <w:top w:w="0" w:type="dxa"/>
            <w:left w:w="108" w:type="dxa"/>
            <w:bottom w:w="0" w:type="dxa"/>
            <w:right w:w="108" w:type="dxa"/>
          </w:tblCellMar>
        </w:tblPrEx>
        <w:trPr>
          <w:trHeight w:val="1076"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482839FF">
            <w:pPr>
              <w:widowControl/>
              <w:jc w:val="center"/>
              <w:rPr>
                <w:rFonts w:ascii="宋体" w:hAnsi="宋体" w:cs="宋体"/>
                <w:kern w:val="0"/>
                <w:sz w:val="20"/>
                <w:szCs w:val="20"/>
              </w:rPr>
            </w:pPr>
            <w:r>
              <w:rPr>
                <w:rFonts w:hint="default" w:ascii="Times New Roman" w:hAnsi="Times New Roman" w:cs="Times New Roman"/>
                <w:kern w:val="0"/>
                <w:sz w:val="20"/>
                <w:szCs w:val="20"/>
              </w:rPr>
              <w:t>2</w:t>
            </w:r>
          </w:p>
        </w:tc>
        <w:tc>
          <w:tcPr>
            <w:tcW w:w="924" w:type="pct"/>
            <w:tcBorders>
              <w:top w:val="nil"/>
              <w:left w:val="nil"/>
              <w:bottom w:val="single" w:color="auto" w:sz="4" w:space="0"/>
              <w:right w:val="single" w:color="auto" w:sz="4" w:space="0"/>
            </w:tcBorders>
            <w:shd w:val="clear" w:color="auto" w:fill="auto"/>
            <w:vAlign w:val="center"/>
          </w:tcPr>
          <w:p w14:paraId="4B23E36B">
            <w:pPr>
              <w:widowControl/>
              <w:jc w:val="center"/>
              <w:rPr>
                <w:rFonts w:ascii="宋体" w:hAnsi="宋体" w:cs="宋体"/>
                <w:kern w:val="0"/>
                <w:sz w:val="20"/>
                <w:szCs w:val="20"/>
              </w:rPr>
            </w:pPr>
            <w:r>
              <w:rPr>
                <w:rFonts w:hint="eastAsia" w:ascii="宋体" w:hAnsi="宋体" w:cs="宋体"/>
                <w:kern w:val="0"/>
                <w:sz w:val="20"/>
                <w:szCs w:val="20"/>
              </w:rPr>
              <w:t>帐篷</w:t>
            </w:r>
            <w:r>
              <w:rPr>
                <w:rFonts w:hint="default" w:ascii="Times New Roman" w:hAnsi="Times New Roman" w:cs="Times New Roman"/>
                <w:kern w:val="0"/>
                <w:sz w:val="20"/>
                <w:szCs w:val="20"/>
              </w:rPr>
              <w:t>2</w:t>
            </w:r>
          </w:p>
        </w:tc>
        <w:tc>
          <w:tcPr>
            <w:tcW w:w="924" w:type="pct"/>
            <w:tcBorders>
              <w:top w:val="single" w:color="auto" w:sz="4" w:space="0"/>
              <w:left w:val="single" w:color="auto" w:sz="4" w:space="0"/>
              <w:bottom w:val="single" w:color="auto" w:sz="4" w:space="0"/>
              <w:right w:val="single" w:color="auto" w:sz="4" w:space="0"/>
            </w:tcBorders>
            <w:shd w:val="clear" w:color="auto" w:fill="auto"/>
            <w:vAlign w:val="center"/>
          </w:tcPr>
          <w:p w14:paraId="18DDFAD9">
            <w:pPr>
              <w:widowControl/>
              <w:jc w:val="center"/>
              <w:rPr>
                <w:rFonts w:ascii="宋体" w:hAnsi="宋体" w:cs="宋体"/>
                <w:kern w:val="0"/>
                <w:sz w:val="20"/>
                <w:szCs w:val="20"/>
              </w:rPr>
            </w:pPr>
            <w:r>
              <w:rPr>
                <w:rFonts w:ascii="宋体" w:hAnsi="宋体" w:cs="宋体"/>
                <w:kern w:val="0"/>
                <w:sz w:val="20"/>
                <w:szCs w:val="20"/>
              </w:rPr>
              <w:drawing>
                <wp:anchor distT="0" distB="0" distL="114300" distR="114300" simplePos="0" relativeHeight="251662336" behindDoc="0" locked="0" layoutInCell="1" allowOverlap="1">
                  <wp:simplePos x="0" y="0"/>
                  <wp:positionH relativeFrom="column">
                    <wp:posOffset>154940</wp:posOffset>
                  </wp:positionH>
                  <wp:positionV relativeFrom="paragraph">
                    <wp:posOffset>83820</wp:posOffset>
                  </wp:positionV>
                  <wp:extent cx="847725" cy="54292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a:srcRect/>
                          <a:stretch>
                            <a:fillRect/>
                          </a:stretch>
                        </pic:blipFill>
                        <pic:spPr>
                          <a:xfrm>
                            <a:off x="0" y="0"/>
                            <a:ext cx="847725" cy="542925"/>
                          </a:xfrm>
                          <a:prstGeom prst="rect">
                            <a:avLst/>
                          </a:prstGeom>
                          <a:noFill/>
                          <a:ln w="1">
                            <a:noFill/>
                            <a:miter lim="800000"/>
                            <a:headEnd/>
                            <a:tailEnd/>
                          </a:ln>
                        </pic:spPr>
                      </pic:pic>
                    </a:graphicData>
                  </a:graphic>
                </wp:anchor>
              </w:drawing>
            </w:r>
          </w:p>
        </w:tc>
        <w:tc>
          <w:tcPr>
            <w:tcW w:w="357" w:type="pct"/>
            <w:tcBorders>
              <w:top w:val="nil"/>
              <w:left w:val="nil"/>
              <w:bottom w:val="single" w:color="auto" w:sz="4" w:space="0"/>
              <w:right w:val="single" w:color="auto" w:sz="4" w:space="0"/>
            </w:tcBorders>
            <w:shd w:val="clear" w:color="auto" w:fill="auto"/>
            <w:vAlign w:val="center"/>
          </w:tcPr>
          <w:p w14:paraId="56A65C0C">
            <w:pPr>
              <w:widowControl/>
              <w:jc w:val="center"/>
              <w:rPr>
                <w:rFonts w:ascii="宋体" w:hAnsi="宋体" w:cs="宋体"/>
                <w:kern w:val="0"/>
                <w:sz w:val="20"/>
                <w:szCs w:val="20"/>
              </w:rPr>
            </w:pPr>
            <w:r>
              <w:rPr>
                <w:rFonts w:hint="eastAsia" w:ascii="宋体" w:hAnsi="宋体" w:cs="宋体"/>
                <w:kern w:val="0"/>
                <w:sz w:val="20"/>
                <w:szCs w:val="20"/>
              </w:rPr>
              <w:t>平方</w:t>
            </w:r>
          </w:p>
        </w:tc>
        <w:tc>
          <w:tcPr>
            <w:tcW w:w="290" w:type="pct"/>
            <w:tcBorders>
              <w:top w:val="nil"/>
              <w:left w:val="nil"/>
              <w:bottom w:val="single" w:color="auto" w:sz="4" w:space="0"/>
              <w:right w:val="single" w:color="auto" w:sz="4" w:space="0"/>
            </w:tcBorders>
            <w:shd w:val="clear" w:color="auto" w:fill="auto"/>
            <w:vAlign w:val="center"/>
          </w:tcPr>
          <w:p w14:paraId="597FC900">
            <w:pPr>
              <w:widowControl/>
              <w:jc w:val="center"/>
              <w:rPr>
                <w:rFonts w:ascii="宋体" w:hAnsi="宋体" w:cs="宋体"/>
                <w:kern w:val="0"/>
                <w:sz w:val="20"/>
                <w:szCs w:val="20"/>
              </w:rPr>
            </w:pPr>
            <w:r>
              <w:rPr>
                <w:rFonts w:hint="default" w:ascii="Times New Roman" w:hAnsi="Times New Roman" w:cs="Times New Roman"/>
                <w:kern w:val="0"/>
                <w:sz w:val="20"/>
                <w:szCs w:val="20"/>
              </w:rPr>
              <w:t>360</w:t>
            </w:r>
          </w:p>
        </w:tc>
        <w:tc>
          <w:tcPr>
            <w:tcW w:w="519" w:type="pct"/>
            <w:tcBorders>
              <w:top w:val="nil"/>
              <w:left w:val="nil"/>
              <w:bottom w:val="single" w:color="auto" w:sz="4" w:space="0"/>
              <w:right w:val="single" w:color="auto" w:sz="4" w:space="0"/>
            </w:tcBorders>
            <w:shd w:val="clear" w:color="auto" w:fill="auto"/>
            <w:vAlign w:val="center"/>
          </w:tcPr>
          <w:p w14:paraId="71B2D45B">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14360771">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23E46F8C">
            <w:pPr>
              <w:widowControl/>
              <w:jc w:val="left"/>
              <w:rPr>
                <w:rFonts w:ascii="宋体" w:hAnsi="宋体" w:cs="宋体"/>
                <w:kern w:val="0"/>
                <w:sz w:val="15"/>
                <w:szCs w:val="15"/>
              </w:rPr>
            </w:pPr>
            <w:r>
              <w:rPr>
                <w:rFonts w:hint="eastAsia" w:ascii="宋体" w:hAnsi="宋体" w:cs="宋体"/>
                <w:kern w:val="0"/>
                <w:sz w:val="15"/>
                <w:szCs w:val="15"/>
              </w:rPr>
              <w:t>搭设要求：跨度宽</w:t>
            </w:r>
            <w:r>
              <w:rPr>
                <w:rFonts w:hint="default" w:ascii="Times New Roman" w:hAnsi="Times New Roman" w:cs="Times New Roman"/>
                <w:kern w:val="0"/>
                <w:sz w:val="15"/>
                <w:szCs w:val="15"/>
              </w:rPr>
              <w:t>12</w:t>
            </w:r>
            <w:r>
              <w:rPr>
                <w:rFonts w:hint="eastAsia" w:ascii="宋体" w:hAnsi="宋体" w:cs="宋体"/>
                <w:kern w:val="0"/>
                <w:sz w:val="15"/>
                <w:szCs w:val="15"/>
              </w:rPr>
              <w:t>米*长</w:t>
            </w:r>
            <w:r>
              <w:rPr>
                <w:rFonts w:hint="default" w:ascii="Times New Roman" w:hAnsi="Times New Roman" w:cs="Times New Roman"/>
                <w:kern w:val="0"/>
                <w:sz w:val="15"/>
                <w:szCs w:val="15"/>
              </w:rPr>
              <w:t>30</w:t>
            </w:r>
            <w:r>
              <w:rPr>
                <w:rFonts w:hint="eastAsia" w:ascii="宋体" w:hAnsi="宋体" w:cs="宋体"/>
                <w:kern w:val="0"/>
                <w:sz w:val="15"/>
                <w:szCs w:val="15"/>
              </w:rPr>
              <w:t>米，檐高</w:t>
            </w:r>
            <w:r>
              <w:rPr>
                <w:rFonts w:hint="default" w:ascii="Times New Roman" w:hAnsi="Times New Roman" w:cs="Times New Roman"/>
                <w:kern w:val="0"/>
                <w:sz w:val="15"/>
                <w:szCs w:val="15"/>
              </w:rPr>
              <w:t>4</w:t>
            </w:r>
            <w:r>
              <w:rPr>
                <w:rFonts w:hint="eastAsia" w:ascii="宋体" w:hAnsi="宋体" w:cs="宋体"/>
                <w:kern w:val="0"/>
                <w:sz w:val="15"/>
                <w:szCs w:val="15"/>
              </w:rPr>
              <w:t>米（具体位</w:t>
            </w:r>
            <w:r>
              <w:rPr>
                <w:rFonts w:hint="eastAsia" w:ascii="宋体" w:hAnsi="宋体" w:cs="宋体"/>
                <w:kern w:val="0"/>
                <w:sz w:val="15"/>
                <w:szCs w:val="15"/>
                <w:lang w:eastAsia="zh-CN"/>
              </w:rPr>
              <w:t>置</w:t>
            </w:r>
            <w:r>
              <w:rPr>
                <w:rFonts w:hint="eastAsia" w:ascii="宋体" w:hAnsi="宋体" w:cs="宋体"/>
                <w:kern w:val="0"/>
                <w:sz w:val="15"/>
                <w:szCs w:val="15"/>
              </w:rPr>
              <w:t>按</w:t>
            </w:r>
            <w:r>
              <w:rPr>
                <w:rFonts w:hint="eastAsia" w:ascii="宋体" w:hAnsi="宋体" w:cs="宋体"/>
                <w:kern w:val="0"/>
                <w:sz w:val="15"/>
                <w:szCs w:val="15"/>
                <w:lang w:eastAsia="zh-CN"/>
              </w:rPr>
              <w:t>采购人</w:t>
            </w:r>
            <w:r>
              <w:rPr>
                <w:rFonts w:hint="eastAsia" w:ascii="宋体" w:hAnsi="宋体" w:cs="宋体"/>
                <w:kern w:val="0"/>
                <w:sz w:val="15"/>
                <w:szCs w:val="15"/>
              </w:rPr>
              <w:t>的</w:t>
            </w:r>
            <w:r>
              <w:rPr>
                <w:rFonts w:hint="eastAsia" w:ascii="宋体" w:hAnsi="宋体" w:cs="宋体"/>
                <w:kern w:val="0"/>
                <w:sz w:val="15"/>
                <w:szCs w:val="15"/>
                <w:lang w:eastAsia="zh-CN"/>
              </w:rPr>
              <w:t>现场确认</w:t>
            </w:r>
            <w:r>
              <w:rPr>
                <w:rFonts w:hint="eastAsia" w:ascii="宋体" w:hAnsi="宋体" w:cs="宋体"/>
                <w:kern w:val="0"/>
                <w:sz w:val="15"/>
                <w:szCs w:val="15"/>
              </w:rPr>
              <w:t>要求执行）</w:t>
            </w:r>
          </w:p>
        </w:tc>
      </w:tr>
      <w:tr w14:paraId="4A5147E7">
        <w:tblPrEx>
          <w:tblCellMar>
            <w:top w:w="0" w:type="dxa"/>
            <w:left w:w="108" w:type="dxa"/>
            <w:bottom w:w="0" w:type="dxa"/>
            <w:right w:w="108" w:type="dxa"/>
          </w:tblCellMar>
        </w:tblPrEx>
        <w:trPr>
          <w:trHeight w:val="486"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7AF95BAD">
            <w:pPr>
              <w:widowControl/>
              <w:jc w:val="center"/>
              <w:rPr>
                <w:rFonts w:ascii="宋体" w:hAnsi="宋体" w:cs="宋体"/>
                <w:kern w:val="0"/>
                <w:sz w:val="20"/>
                <w:szCs w:val="20"/>
              </w:rPr>
            </w:pPr>
            <w:r>
              <w:rPr>
                <w:rFonts w:hint="default" w:ascii="Times New Roman" w:hAnsi="Times New Roman" w:cs="Times New Roman"/>
                <w:kern w:val="0"/>
                <w:sz w:val="20"/>
                <w:szCs w:val="20"/>
              </w:rPr>
              <w:t>3</w:t>
            </w:r>
          </w:p>
        </w:tc>
        <w:tc>
          <w:tcPr>
            <w:tcW w:w="924" w:type="pct"/>
            <w:tcBorders>
              <w:top w:val="nil"/>
              <w:left w:val="nil"/>
              <w:bottom w:val="single" w:color="auto" w:sz="4" w:space="0"/>
              <w:right w:val="single" w:color="auto" w:sz="4" w:space="0"/>
            </w:tcBorders>
            <w:shd w:val="clear" w:color="auto" w:fill="auto"/>
            <w:vAlign w:val="center"/>
          </w:tcPr>
          <w:p w14:paraId="6D0279FF">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rPr>
              <w:t>帐篷</w:t>
            </w:r>
            <w:r>
              <w:rPr>
                <w:rFonts w:hint="eastAsia" w:cs="Times New Roman"/>
                <w:kern w:val="0"/>
                <w:sz w:val="20"/>
                <w:szCs w:val="20"/>
                <w:lang w:val="en-US" w:eastAsia="zh-CN"/>
              </w:rPr>
              <w:t>3</w:t>
            </w:r>
          </w:p>
        </w:tc>
        <w:tc>
          <w:tcPr>
            <w:tcW w:w="924" w:type="pct"/>
            <w:tcBorders>
              <w:top w:val="single" w:color="auto" w:sz="4" w:space="0"/>
              <w:left w:val="single" w:color="auto" w:sz="4" w:space="0"/>
              <w:bottom w:val="single" w:color="auto" w:sz="4" w:space="0"/>
              <w:right w:val="single" w:color="auto" w:sz="4" w:space="0"/>
            </w:tcBorders>
            <w:vAlign w:val="center"/>
          </w:tcPr>
          <w:p w14:paraId="21C4F15D">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以实际为准</w:t>
            </w:r>
          </w:p>
        </w:tc>
        <w:tc>
          <w:tcPr>
            <w:tcW w:w="357" w:type="pct"/>
            <w:tcBorders>
              <w:top w:val="nil"/>
              <w:left w:val="nil"/>
              <w:bottom w:val="single" w:color="auto" w:sz="4" w:space="0"/>
              <w:right w:val="single" w:color="auto" w:sz="4" w:space="0"/>
            </w:tcBorders>
            <w:shd w:val="clear" w:color="auto" w:fill="auto"/>
            <w:vAlign w:val="center"/>
          </w:tcPr>
          <w:p w14:paraId="1CCAEB7C">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平方</w:t>
            </w:r>
          </w:p>
        </w:tc>
        <w:tc>
          <w:tcPr>
            <w:tcW w:w="290" w:type="pct"/>
            <w:tcBorders>
              <w:top w:val="nil"/>
              <w:left w:val="nil"/>
              <w:bottom w:val="single" w:color="auto" w:sz="4" w:space="0"/>
              <w:right w:val="single" w:color="auto" w:sz="4" w:space="0"/>
            </w:tcBorders>
            <w:shd w:val="clear" w:color="auto" w:fill="auto"/>
            <w:vAlign w:val="center"/>
          </w:tcPr>
          <w:p w14:paraId="52A2E4D8">
            <w:pPr>
              <w:widowControl/>
              <w:jc w:val="center"/>
              <w:rPr>
                <w:rFonts w:hint="default" w:ascii="Times New Roman" w:hAnsi="Times New Roman" w:cs="Times New Roman"/>
                <w:kern w:val="0"/>
                <w:sz w:val="20"/>
                <w:szCs w:val="20"/>
                <w:lang w:val="en-US" w:eastAsia="zh-CN"/>
              </w:rPr>
            </w:pPr>
            <w:r>
              <w:rPr>
                <w:rFonts w:hint="eastAsia" w:ascii="Times New Roman" w:hAnsi="Times New Roman" w:cs="Times New Roman"/>
                <w:kern w:val="0"/>
                <w:sz w:val="20"/>
                <w:szCs w:val="20"/>
                <w:lang w:val="en-US" w:eastAsia="zh-CN"/>
              </w:rPr>
              <w:t>80</w:t>
            </w:r>
          </w:p>
        </w:tc>
        <w:tc>
          <w:tcPr>
            <w:tcW w:w="519" w:type="pct"/>
            <w:tcBorders>
              <w:top w:val="nil"/>
              <w:left w:val="nil"/>
              <w:bottom w:val="single" w:color="auto" w:sz="4" w:space="0"/>
              <w:right w:val="single" w:color="auto" w:sz="4" w:space="0"/>
            </w:tcBorders>
            <w:shd w:val="clear" w:color="auto" w:fill="auto"/>
            <w:vAlign w:val="center"/>
          </w:tcPr>
          <w:p w14:paraId="526E5CAC">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3C816A66">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65BCF748">
            <w:pPr>
              <w:widowControl/>
              <w:jc w:val="left"/>
              <w:rPr>
                <w:rFonts w:hint="default" w:ascii="宋体" w:hAnsi="宋体" w:eastAsia="宋体" w:cs="宋体"/>
                <w:kern w:val="0"/>
                <w:sz w:val="15"/>
                <w:szCs w:val="15"/>
                <w:lang w:val="en-US" w:eastAsia="zh-CN"/>
              </w:rPr>
            </w:pPr>
            <w:r>
              <w:rPr>
                <w:rFonts w:hint="eastAsia" w:ascii="宋体" w:hAnsi="宋体" w:cs="宋体"/>
                <w:kern w:val="0"/>
                <w:sz w:val="15"/>
                <w:szCs w:val="15"/>
                <w:lang w:val="en-US" w:eastAsia="zh-CN"/>
              </w:rPr>
              <w:t>搭设要求：跨度宽</w:t>
            </w:r>
            <w:r>
              <w:rPr>
                <w:rFonts w:hint="default" w:ascii="Times New Roman" w:hAnsi="Times New Roman" w:cs="Times New Roman"/>
                <w:kern w:val="0"/>
                <w:sz w:val="15"/>
                <w:szCs w:val="15"/>
                <w:lang w:val="en-US" w:eastAsia="zh-CN"/>
              </w:rPr>
              <w:t>8</w:t>
            </w:r>
            <w:r>
              <w:rPr>
                <w:rFonts w:hint="eastAsia" w:ascii="宋体" w:hAnsi="宋体" w:cs="宋体"/>
                <w:kern w:val="0"/>
                <w:sz w:val="15"/>
                <w:szCs w:val="15"/>
                <w:lang w:val="en-US" w:eastAsia="zh-CN"/>
              </w:rPr>
              <w:t>米*长</w:t>
            </w:r>
            <w:r>
              <w:rPr>
                <w:rFonts w:hint="default" w:ascii="Times New Roman" w:hAnsi="Times New Roman" w:cs="Times New Roman"/>
                <w:kern w:val="0"/>
                <w:sz w:val="15"/>
                <w:szCs w:val="15"/>
                <w:lang w:val="en-US" w:eastAsia="zh-CN"/>
              </w:rPr>
              <w:t>10</w:t>
            </w:r>
            <w:r>
              <w:rPr>
                <w:rFonts w:hint="eastAsia" w:ascii="宋体" w:hAnsi="宋体" w:cs="宋体"/>
                <w:kern w:val="0"/>
                <w:sz w:val="15"/>
                <w:szCs w:val="15"/>
                <w:lang w:val="en-US" w:eastAsia="zh-CN"/>
              </w:rPr>
              <w:t>米</w:t>
            </w:r>
            <w:r>
              <w:rPr>
                <w:rFonts w:hint="eastAsia" w:ascii="宋体" w:hAnsi="宋体" w:cs="宋体"/>
                <w:kern w:val="0"/>
                <w:sz w:val="15"/>
                <w:szCs w:val="15"/>
              </w:rPr>
              <w:t>（具体位</w:t>
            </w:r>
            <w:r>
              <w:rPr>
                <w:rFonts w:hint="eastAsia" w:ascii="宋体" w:hAnsi="宋体" w:cs="宋体"/>
                <w:kern w:val="0"/>
                <w:sz w:val="15"/>
                <w:szCs w:val="15"/>
                <w:lang w:eastAsia="zh-CN"/>
              </w:rPr>
              <w:t>置</w:t>
            </w:r>
            <w:r>
              <w:rPr>
                <w:rFonts w:hint="eastAsia" w:ascii="宋体" w:hAnsi="宋体" w:cs="宋体"/>
                <w:kern w:val="0"/>
                <w:sz w:val="15"/>
                <w:szCs w:val="15"/>
              </w:rPr>
              <w:t>按</w:t>
            </w:r>
            <w:r>
              <w:rPr>
                <w:rFonts w:hint="eastAsia" w:ascii="宋体" w:hAnsi="宋体" w:cs="宋体"/>
                <w:kern w:val="0"/>
                <w:sz w:val="15"/>
                <w:szCs w:val="15"/>
                <w:lang w:eastAsia="zh-CN"/>
              </w:rPr>
              <w:t>采购</w:t>
            </w:r>
            <w:r>
              <w:rPr>
                <w:rFonts w:hint="eastAsia" w:ascii="宋体" w:hAnsi="宋体" w:cs="宋体"/>
                <w:kern w:val="0"/>
                <w:sz w:val="15"/>
                <w:szCs w:val="15"/>
              </w:rPr>
              <w:t>方的</w:t>
            </w:r>
            <w:r>
              <w:rPr>
                <w:rFonts w:hint="eastAsia" w:ascii="宋体" w:hAnsi="宋体" w:cs="宋体"/>
                <w:kern w:val="0"/>
                <w:sz w:val="15"/>
                <w:szCs w:val="15"/>
                <w:lang w:eastAsia="zh-CN"/>
              </w:rPr>
              <w:t>现场确认</w:t>
            </w:r>
            <w:r>
              <w:rPr>
                <w:rFonts w:hint="eastAsia" w:ascii="宋体" w:hAnsi="宋体" w:cs="宋体"/>
                <w:kern w:val="0"/>
                <w:sz w:val="15"/>
                <w:szCs w:val="15"/>
              </w:rPr>
              <w:t>要求执行）</w:t>
            </w:r>
          </w:p>
        </w:tc>
      </w:tr>
      <w:tr w14:paraId="5B52F8E1">
        <w:tblPrEx>
          <w:tblCellMar>
            <w:top w:w="0" w:type="dxa"/>
            <w:left w:w="108" w:type="dxa"/>
            <w:bottom w:w="0" w:type="dxa"/>
            <w:right w:w="108" w:type="dxa"/>
          </w:tblCellMar>
        </w:tblPrEx>
        <w:trPr>
          <w:trHeight w:val="1035"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776BC837">
            <w:pPr>
              <w:widowControl/>
              <w:jc w:val="center"/>
              <w:rPr>
                <w:rFonts w:ascii="宋体" w:hAnsi="宋体" w:cs="宋体"/>
                <w:kern w:val="0"/>
                <w:sz w:val="20"/>
                <w:szCs w:val="20"/>
              </w:rPr>
            </w:pPr>
            <w:r>
              <w:rPr>
                <w:rFonts w:hint="default" w:ascii="Times New Roman" w:hAnsi="Times New Roman" w:cs="Times New Roman"/>
                <w:kern w:val="0"/>
                <w:sz w:val="20"/>
                <w:szCs w:val="20"/>
              </w:rPr>
              <w:t>4</w:t>
            </w:r>
          </w:p>
        </w:tc>
        <w:tc>
          <w:tcPr>
            <w:tcW w:w="924" w:type="pct"/>
            <w:tcBorders>
              <w:top w:val="nil"/>
              <w:left w:val="nil"/>
              <w:bottom w:val="single" w:color="auto" w:sz="4" w:space="0"/>
              <w:right w:val="single" w:color="auto" w:sz="4" w:space="0"/>
            </w:tcBorders>
            <w:shd w:val="clear" w:color="auto" w:fill="auto"/>
            <w:vAlign w:val="center"/>
          </w:tcPr>
          <w:p w14:paraId="3C207F50">
            <w:pPr>
              <w:widowControl/>
              <w:jc w:val="center"/>
              <w:rPr>
                <w:rFonts w:ascii="宋体" w:hAnsi="宋体" w:cs="宋体"/>
                <w:kern w:val="0"/>
                <w:sz w:val="20"/>
                <w:szCs w:val="20"/>
              </w:rPr>
            </w:pPr>
            <w:r>
              <w:rPr>
                <w:rFonts w:hint="eastAsia" w:ascii="宋体" w:hAnsi="宋体" w:cs="宋体"/>
                <w:kern w:val="0"/>
                <w:sz w:val="20"/>
                <w:szCs w:val="20"/>
              </w:rPr>
              <w:t>埋地水泥座基座</w:t>
            </w:r>
          </w:p>
        </w:tc>
        <w:tc>
          <w:tcPr>
            <w:tcW w:w="924" w:type="pct"/>
            <w:tcBorders>
              <w:top w:val="single" w:color="auto" w:sz="4" w:space="0"/>
              <w:left w:val="nil"/>
              <w:bottom w:val="single" w:color="auto" w:sz="4" w:space="0"/>
              <w:right w:val="single" w:color="auto" w:sz="4" w:space="0"/>
            </w:tcBorders>
            <w:shd w:val="clear" w:color="auto" w:fill="auto"/>
            <w:vAlign w:val="center"/>
          </w:tcPr>
          <w:p w14:paraId="3DF3AA49">
            <w:pPr>
              <w:widowControl/>
              <w:jc w:val="center"/>
              <w:rPr>
                <w:rFonts w:ascii="宋体" w:hAnsi="宋体" w:cs="宋体"/>
                <w:kern w:val="0"/>
                <w:sz w:val="20"/>
                <w:szCs w:val="20"/>
              </w:rPr>
            </w:pPr>
            <w:r>
              <w:rPr>
                <w:rFonts w:ascii="宋体" w:hAnsi="宋体" w:cs="宋体"/>
                <w:kern w:val="0"/>
                <w:sz w:val="20"/>
                <w:szCs w:val="20"/>
              </w:rPr>
              <w:drawing>
                <wp:anchor distT="0" distB="0" distL="114300" distR="114300" simplePos="0" relativeHeight="251661312" behindDoc="0" locked="0" layoutInCell="1" allowOverlap="1">
                  <wp:simplePos x="0" y="0"/>
                  <wp:positionH relativeFrom="column">
                    <wp:posOffset>93980</wp:posOffset>
                  </wp:positionH>
                  <wp:positionV relativeFrom="paragraph">
                    <wp:posOffset>80645</wp:posOffset>
                  </wp:positionV>
                  <wp:extent cx="942975" cy="613410"/>
                  <wp:effectExtent l="0" t="0" r="9525" b="15240"/>
                  <wp:wrapNone/>
                  <wp:docPr id="4"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0"/>
                          <pic:cNvPicPr>
                            <a:picLocks noChangeAspect="1" noChangeArrowheads="1"/>
                          </pic:cNvPicPr>
                        </pic:nvPicPr>
                        <pic:blipFill>
                          <a:blip r:embed="rId7"/>
                          <a:srcRect/>
                          <a:stretch>
                            <a:fillRect/>
                          </a:stretch>
                        </pic:blipFill>
                        <pic:spPr>
                          <a:xfrm>
                            <a:off x="0" y="0"/>
                            <a:ext cx="942975" cy="613410"/>
                          </a:xfrm>
                          <a:prstGeom prst="rect">
                            <a:avLst/>
                          </a:prstGeom>
                          <a:noFill/>
                          <a:ln w="1">
                            <a:noFill/>
                            <a:miter lim="800000"/>
                            <a:headEnd/>
                            <a:tailEnd/>
                          </a:ln>
                        </pic:spPr>
                      </pic:pic>
                    </a:graphicData>
                  </a:graphic>
                </wp:anchor>
              </w:drawing>
            </w:r>
          </w:p>
        </w:tc>
        <w:tc>
          <w:tcPr>
            <w:tcW w:w="357" w:type="pct"/>
            <w:tcBorders>
              <w:top w:val="nil"/>
              <w:left w:val="nil"/>
              <w:bottom w:val="single" w:color="auto" w:sz="4" w:space="0"/>
              <w:right w:val="single" w:color="auto" w:sz="4" w:space="0"/>
            </w:tcBorders>
            <w:shd w:val="clear" w:color="auto" w:fill="auto"/>
            <w:vAlign w:val="center"/>
          </w:tcPr>
          <w:p w14:paraId="05B881D6">
            <w:pPr>
              <w:widowControl/>
              <w:jc w:val="center"/>
              <w:rPr>
                <w:rFonts w:ascii="宋体" w:hAnsi="宋体" w:cs="宋体"/>
                <w:kern w:val="0"/>
                <w:sz w:val="20"/>
                <w:szCs w:val="20"/>
              </w:rPr>
            </w:pPr>
            <w:r>
              <w:rPr>
                <w:rFonts w:hint="eastAsia" w:ascii="宋体" w:hAnsi="宋体" w:cs="宋体"/>
                <w:kern w:val="0"/>
                <w:sz w:val="20"/>
                <w:szCs w:val="20"/>
              </w:rPr>
              <w:t>个</w:t>
            </w:r>
          </w:p>
        </w:tc>
        <w:tc>
          <w:tcPr>
            <w:tcW w:w="290" w:type="pct"/>
            <w:tcBorders>
              <w:top w:val="nil"/>
              <w:left w:val="nil"/>
              <w:bottom w:val="single" w:color="auto" w:sz="4" w:space="0"/>
              <w:right w:val="single" w:color="auto" w:sz="4" w:space="0"/>
            </w:tcBorders>
            <w:shd w:val="clear" w:color="auto" w:fill="auto"/>
            <w:vAlign w:val="center"/>
          </w:tcPr>
          <w:p w14:paraId="625A05F5">
            <w:pPr>
              <w:widowControl/>
              <w:jc w:val="center"/>
              <w:rPr>
                <w:rFonts w:hint="default" w:ascii="Times New Roman" w:hAnsi="Times New Roman" w:cs="Times New Roman"/>
                <w:kern w:val="0"/>
                <w:sz w:val="20"/>
                <w:szCs w:val="20"/>
                <w:lang w:val="en-US" w:eastAsia="zh-CN"/>
              </w:rPr>
            </w:pPr>
            <w:r>
              <w:rPr>
                <w:rFonts w:hint="default" w:ascii="Times New Roman" w:hAnsi="Times New Roman" w:cs="Times New Roman"/>
                <w:kern w:val="0"/>
                <w:sz w:val="20"/>
                <w:szCs w:val="20"/>
                <w:lang w:val="en-US" w:eastAsia="zh-CN"/>
              </w:rPr>
              <w:t>36</w:t>
            </w:r>
          </w:p>
        </w:tc>
        <w:tc>
          <w:tcPr>
            <w:tcW w:w="519" w:type="pct"/>
            <w:tcBorders>
              <w:top w:val="nil"/>
              <w:left w:val="nil"/>
              <w:bottom w:val="single" w:color="auto" w:sz="4" w:space="0"/>
              <w:right w:val="single" w:color="auto" w:sz="4" w:space="0"/>
            </w:tcBorders>
            <w:shd w:val="clear" w:color="auto" w:fill="auto"/>
            <w:vAlign w:val="center"/>
          </w:tcPr>
          <w:p w14:paraId="5DFBE73E">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43A4B091">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61419FA5">
            <w:pPr>
              <w:widowControl/>
              <w:jc w:val="center"/>
              <w:rPr>
                <w:rFonts w:ascii="宋体" w:hAnsi="宋体" w:cs="宋体"/>
                <w:kern w:val="0"/>
                <w:sz w:val="15"/>
                <w:szCs w:val="15"/>
              </w:rPr>
            </w:pPr>
            <w:r>
              <w:rPr>
                <w:rFonts w:hint="eastAsia" w:ascii="宋体" w:hAnsi="宋体" w:cs="宋体"/>
                <w:kern w:val="0"/>
                <w:sz w:val="15"/>
                <w:szCs w:val="15"/>
              </w:rPr>
              <w:t>目前广场为大理石地面，要求挖开现有地面，埋入水泥基座，拆除后需</w:t>
            </w:r>
            <w:r>
              <w:rPr>
                <w:rFonts w:hint="eastAsia" w:ascii="宋体" w:hAnsi="宋体" w:cs="宋体"/>
                <w:kern w:val="0"/>
                <w:sz w:val="15"/>
                <w:szCs w:val="15"/>
                <w:lang w:eastAsia="zh-CN"/>
              </w:rPr>
              <w:t>按原样</w:t>
            </w:r>
            <w:r>
              <w:rPr>
                <w:rFonts w:hint="eastAsia" w:ascii="宋体" w:hAnsi="宋体" w:cs="宋体"/>
                <w:kern w:val="0"/>
                <w:sz w:val="15"/>
                <w:szCs w:val="15"/>
              </w:rPr>
              <w:t>恢复地面大理石，费用包干（基座尺寸：</w:t>
            </w:r>
            <w:r>
              <w:rPr>
                <w:rFonts w:hint="default" w:ascii="Times New Roman" w:hAnsi="Times New Roman" w:cs="Times New Roman"/>
                <w:kern w:val="0"/>
                <w:sz w:val="15"/>
                <w:szCs w:val="15"/>
              </w:rPr>
              <w:t>600</w:t>
            </w:r>
            <w:r>
              <w:rPr>
                <w:rFonts w:hint="eastAsia" w:ascii="宋体" w:hAnsi="宋体" w:cs="宋体"/>
                <w:kern w:val="0"/>
                <w:sz w:val="15"/>
                <w:szCs w:val="15"/>
              </w:rPr>
              <w:t>*</w:t>
            </w:r>
            <w:r>
              <w:rPr>
                <w:rFonts w:hint="default" w:ascii="Times New Roman" w:hAnsi="Times New Roman" w:cs="Times New Roman"/>
                <w:kern w:val="0"/>
                <w:sz w:val="15"/>
                <w:szCs w:val="15"/>
              </w:rPr>
              <w:t>600mm</w:t>
            </w:r>
            <w:r>
              <w:rPr>
                <w:rFonts w:hint="eastAsia" w:ascii="宋体" w:hAnsi="宋体" w:cs="宋体"/>
                <w:kern w:val="0"/>
                <w:sz w:val="15"/>
                <w:szCs w:val="15"/>
              </w:rPr>
              <w:t>，埋入</w:t>
            </w:r>
            <w:r>
              <w:rPr>
                <w:rFonts w:hint="default" w:ascii="Times New Roman" w:hAnsi="Times New Roman" w:cs="Times New Roman"/>
                <w:kern w:val="0"/>
                <w:sz w:val="15"/>
                <w:szCs w:val="15"/>
              </w:rPr>
              <w:t>300mm</w:t>
            </w:r>
            <w:r>
              <w:rPr>
                <w:rFonts w:hint="eastAsia" w:ascii="宋体" w:hAnsi="宋体" w:cs="宋体"/>
                <w:kern w:val="0"/>
                <w:sz w:val="15"/>
                <w:szCs w:val="15"/>
              </w:rPr>
              <w:t>）</w:t>
            </w:r>
          </w:p>
        </w:tc>
      </w:tr>
      <w:tr w14:paraId="60EE39A9">
        <w:tblPrEx>
          <w:tblCellMar>
            <w:top w:w="0" w:type="dxa"/>
            <w:left w:w="108" w:type="dxa"/>
            <w:bottom w:w="0" w:type="dxa"/>
            <w:right w:w="108" w:type="dxa"/>
          </w:tblCellMar>
        </w:tblPrEx>
        <w:trPr>
          <w:trHeight w:val="2335"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565C161C">
            <w:pPr>
              <w:widowControl/>
              <w:jc w:val="center"/>
              <w:rPr>
                <w:rFonts w:hint="eastAsia" w:ascii="宋体" w:hAnsi="宋体" w:eastAsia="宋体" w:cs="宋体"/>
                <w:kern w:val="0"/>
                <w:sz w:val="20"/>
                <w:szCs w:val="20"/>
                <w:lang w:val="en-US" w:eastAsia="zh-CN"/>
              </w:rPr>
            </w:pPr>
            <w:r>
              <w:rPr>
                <w:rFonts w:hint="default" w:ascii="Times New Roman" w:hAnsi="Times New Roman" w:cs="Times New Roman"/>
                <w:kern w:val="0"/>
                <w:sz w:val="20"/>
                <w:szCs w:val="20"/>
                <w:lang w:val="en-US" w:eastAsia="zh-CN"/>
              </w:rPr>
              <w:t>5</w:t>
            </w:r>
          </w:p>
        </w:tc>
        <w:tc>
          <w:tcPr>
            <w:tcW w:w="924" w:type="pct"/>
            <w:tcBorders>
              <w:top w:val="nil"/>
              <w:left w:val="nil"/>
              <w:bottom w:val="single" w:color="auto" w:sz="4" w:space="0"/>
              <w:right w:val="single" w:color="auto" w:sz="4" w:space="0"/>
            </w:tcBorders>
            <w:shd w:val="clear" w:color="auto" w:fill="auto"/>
            <w:vAlign w:val="center"/>
          </w:tcPr>
          <w:p w14:paraId="28FC2DA7">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rPr>
              <w:t>篷内照明线路铺设及灯具安装、应急灯安装</w:t>
            </w:r>
          </w:p>
        </w:tc>
        <w:tc>
          <w:tcPr>
            <w:tcW w:w="924" w:type="pct"/>
            <w:tcBorders>
              <w:top w:val="nil"/>
              <w:left w:val="nil"/>
              <w:bottom w:val="single" w:color="auto" w:sz="4" w:space="0"/>
              <w:right w:val="single" w:color="auto" w:sz="4" w:space="0"/>
            </w:tcBorders>
            <w:shd w:val="clear" w:color="auto" w:fill="auto"/>
            <w:vAlign w:val="center"/>
          </w:tcPr>
          <w:p w14:paraId="1CAFB8F6">
            <w:pPr>
              <w:widowControl/>
              <w:jc w:val="center"/>
              <w:rPr>
                <w:rFonts w:hint="eastAsia" w:ascii="宋体" w:hAnsi="宋体" w:eastAsia="宋体" w:cs="宋体"/>
                <w:kern w:val="0"/>
                <w:sz w:val="20"/>
                <w:szCs w:val="20"/>
                <w:lang w:eastAsia="zh-CN"/>
              </w:rPr>
            </w:pPr>
          </w:p>
        </w:tc>
        <w:tc>
          <w:tcPr>
            <w:tcW w:w="357" w:type="pct"/>
            <w:tcBorders>
              <w:top w:val="nil"/>
              <w:left w:val="nil"/>
              <w:bottom w:val="single" w:color="auto" w:sz="4" w:space="0"/>
              <w:right w:val="single" w:color="auto" w:sz="4" w:space="0"/>
            </w:tcBorders>
            <w:shd w:val="clear" w:color="auto" w:fill="auto"/>
            <w:vAlign w:val="center"/>
          </w:tcPr>
          <w:p w14:paraId="53B35E71">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盏</w:t>
            </w:r>
          </w:p>
        </w:tc>
        <w:tc>
          <w:tcPr>
            <w:tcW w:w="290" w:type="pct"/>
            <w:tcBorders>
              <w:top w:val="nil"/>
              <w:left w:val="nil"/>
              <w:bottom w:val="single" w:color="auto" w:sz="4" w:space="0"/>
              <w:right w:val="single" w:color="auto" w:sz="4" w:space="0"/>
            </w:tcBorders>
            <w:shd w:val="clear" w:color="auto" w:fill="auto"/>
            <w:vAlign w:val="center"/>
          </w:tcPr>
          <w:p w14:paraId="112797AD">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LED</w:t>
            </w:r>
            <w:r>
              <w:rPr>
                <w:rFonts w:hint="eastAsia" w:ascii="宋体" w:hAnsi="宋体" w:cs="宋体"/>
                <w:kern w:val="0"/>
                <w:sz w:val="20"/>
                <w:szCs w:val="20"/>
              </w:rPr>
              <w:t>灯具</w:t>
            </w:r>
            <w:r>
              <w:rPr>
                <w:rFonts w:hint="eastAsia" w:cs="Times New Roman"/>
                <w:kern w:val="0"/>
                <w:sz w:val="20"/>
                <w:szCs w:val="20"/>
                <w:lang w:val="en-US" w:eastAsia="zh-CN"/>
              </w:rPr>
              <w:t>52</w:t>
            </w:r>
            <w:r>
              <w:rPr>
                <w:rFonts w:hint="eastAsia" w:ascii="宋体" w:hAnsi="宋体" w:cs="宋体"/>
                <w:kern w:val="0"/>
                <w:sz w:val="20"/>
                <w:szCs w:val="20"/>
              </w:rPr>
              <w:t>盏、应急灯</w:t>
            </w:r>
            <w:r>
              <w:rPr>
                <w:rFonts w:hint="default" w:ascii="Times New Roman" w:hAnsi="Times New Roman" w:cs="Times New Roman"/>
                <w:kern w:val="0"/>
                <w:sz w:val="20"/>
                <w:szCs w:val="20"/>
              </w:rPr>
              <w:t>30</w:t>
            </w:r>
            <w:r>
              <w:rPr>
                <w:rFonts w:hint="eastAsia" w:ascii="宋体" w:hAnsi="宋体" w:cs="宋体"/>
                <w:kern w:val="0"/>
                <w:sz w:val="20"/>
                <w:szCs w:val="20"/>
              </w:rPr>
              <w:t>盏。</w:t>
            </w:r>
          </w:p>
        </w:tc>
        <w:tc>
          <w:tcPr>
            <w:tcW w:w="519" w:type="pct"/>
            <w:tcBorders>
              <w:top w:val="nil"/>
              <w:left w:val="nil"/>
              <w:bottom w:val="single" w:color="auto" w:sz="4" w:space="0"/>
              <w:right w:val="single" w:color="auto" w:sz="4" w:space="0"/>
            </w:tcBorders>
            <w:shd w:val="clear" w:color="auto" w:fill="auto"/>
            <w:vAlign w:val="center"/>
          </w:tcPr>
          <w:p w14:paraId="441E12E4">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51CB3FDD">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1B9A6DC8">
            <w:pPr>
              <w:widowControl/>
              <w:jc w:val="center"/>
              <w:rPr>
                <w:rFonts w:hint="eastAsia" w:ascii="宋体" w:hAnsi="宋体" w:eastAsia="宋体" w:cs="宋体"/>
                <w:kern w:val="0"/>
                <w:sz w:val="15"/>
                <w:szCs w:val="15"/>
                <w:lang w:val="en-US" w:eastAsia="zh-CN"/>
              </w:rPr>
            </w:pPr>
            <w:r>
              <w:rPr>
                <w:rFonts w:hint="eastAsia" w:ascii="宋体" w:hAnsi="宋体" w:cs="宋体"/>
                <w:kern w:val="0"/>
                <w:sz w:val="15"/>
                <w:szCs w:val="15"/>
                <w:lang w:eastAsia="zh-CN"/>
              </w:rPr>
              <w:t>总</w:t>
            </w:r>
            <w:r>
              <w:rPr>
                <w:rFonts w:hint="eastAsia" w:ascii="宋体" w:hAnsi="宋体" w:cs="宋体"/>
                <w:kern w:val="0"/>
                <w:sz w:val="15"/>
                <w:szCs w:val="15"/>
              </w:rPr>
              <w:t>费</w:t>
            </w:r>
            <w:r>
              <w:rPr>
                <w:rFonts w:hint="eastAsia" w:ascii="宋体" w:hAnsi="宋体" w:cs="宋体"/>
                <w:kern w:val="0"/>
                <w:sz w:val="15"/>
                <w:szCs w:val="15"/>
                <w:lang w:eastAsia="zh-CN"/>
              </w:rPr>
              <w:t>用</w:t>
            </w:r>
            <w:r>
              <w:rPr>
                <w:rFonts w:hint="eastAsia" w:ascii="宋体" w:hAnsi="宋体" w:cs="宋体"/>
                <w:kern w:val="0"/>
                <w:sz w:val="15"/>
                <w:szCs w:val="15"/>
              </w:rPr>
              <w:t>包干</w:t>
            </w:r>
            <w:r>
              <w:rPr>
                <w:rFonts w:hint="eastAsia" w:ascii="宋体" w:hAnsi="宋体" w:cs="宋体"/>
                <w:kern w:val="0"/>
                <w:sz w:val="15"/>
                <w:szCs w:val="15"/>
                <w:lang w:eastAsia="zh-CN"/>
              </w:rPr>
              <w:t>，拆除后物资归采购人</w:t>
            </w:r>
          </w:p>
        </w:tc>
      </w:tr>
      <w:tr w14:paraId="3ED0B320">
        <w:tblPrEx>
          <w:tblCellMar>
            <w:top w:w="0" w:type="dxa"/>
            <w:left w:w="108" w:type="dxa"/>
            <w:bottom w:w="0" w:type="dxa"/>
            <w:right w:w="108" w:type="dxa"/>
          </w:tblCellMar>
        </w:tblPrEx>
        <w:trPr>
          <w:trHeight w:val="1233"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4D4E86AA">
            <w:pPr>
              <w:widowControl/>
              <w:jc w:val="center"/>
              <w:rPr>
                <w:rFonts w:hint="eastAsia" w:ascii="宋体" w:hAnsi="宋体" w:eastAsia="宋体" w:cs="宋体"/>
                <w:kern w:val="0"/>
                <w:sz w:val="20"/>
                <w:szCs w:val="20"/>
                <w:lang w:eastAsia="zh-CN"/>
              </w:rPr>
            </w:pPr>
            <w:r>
              <w:rPr>
                <w:rFonts w:hint="default" w:ascii="Times New Roman" w:hAnsi="Times New Roman" w:cs="Times New Roman"/>
                <w:kern w:val="0"/>
                <w:sz w:val="20"/>
                <w:szCs w:val="20"/>
                <w:lang w:val="en-US" w:eastAsia="zh-CN"/>
              </w:rPr>
              <w:t>6</w:t>
            </w:r>
          </w:p>
        </w:tc>
        <w:tc>
          <w:tcPr>
            <w:tcW w:w="924" w:type="pct"/>
            <w:tcBorders>
              <w:top w:val="nil"/>
              <w:left w:val="nil"/>
              <w:bottom w:val="single" w:color="auto" w:sz="4" w:space="0"/>
              <w:right w:val="single" w:color="auto" w:sz="4" w:space="0"/>
            </w:tcBorders>
            <w:shd w:val="clear" w:color="auto" w:fill="auto"/>
            <w:vAlign w:val="center"/>
          </w:tcPr>
          <w:p w14:paraId="3DE2048A">
            <w:pPr>
              <w:widowControl/>
              <w:jc w:val="center"/>
              <w:rPr>
                <w:rFonts w:ascii="宋体" w:hAnsi="宋体" w:cs="宋体"/>
                <w:kern w:val="0"/>
                <w:sz w:val="20"/>
                <w:szCs w:val="20"/>
              </w:rPr>
            </w:pPr>
            <w:r>
              <w:rPr>
                <w:rFonts w:hint="eastAsia" w:ascii="宋体" w:hAnsi="宋体" w:cs="宋体"/>
                <w:kern w:val="0"/>
                <w:sz w:val="20"/>
                <w:szCs w:val="20"/>
              </w:rPr>
              <w:t>视频监控镜头安装</w:t>
            </w:r>
          </w:p>
        </w:tc>
        <w:tc>
          <w:tcPr>
            <w:tcW w:w="924" w:type="pct"/>
            <w:tcBorders>
              <w:top w:val="nil"/>
              <w:left w:val="nil"/>
              <w:bottom w:val="single" w:color="auto" w:sz="4" w:space="0"/>
              <w:right w:val="single" w:color="auto" w:sz="4" w:space="0"/>
            </w:tcBorders>
            <w:shd w:val="clear" w:color="auto" w:fill="auto"/>
            <w:vAlign w:val="center"/>
          </w:tcPr>
          <w:p w14:paraId="7A603580">
            <w:pPr>
              <w:widowControl/>
              <w:jc w:val="center"/>
              <w:rPr>
                <w:rFonts w:ascii="宋体" w:hAnsi="宋体" w:cs="宋体"/>
                <w:kern w:val="0"/>
                <w:sz w:val="20"/>
                <w:szCs w:val="20"/>
              </w:rPr>
            </w:pPr>
            <w:r>
              <w:rPr>
                <w:rFonts w:ascii="宋体" w:hAnsi="宋体" w:cs="宋体"/>
                <w:kern w:val="0"/>
                <w:sz w:val="20"/>
                <w:szCs w:val="20"/>
              </w:rPr>
              <w:drawing>
                <wp:anchor distT="0" distB="0" distL="114300" distR="114300" simplePos="0" relativeHeight="251663360" behindDoc="0" locked="0" layoutInCell="1" allowOverlap="1">
                  <wp:simplePos x="0" y="0"/>
                  <wp:positionH relativeFrom="column">
                    <wp:posOffset>170815</wp:posOffset>
                  </wp:positionH>
                  <wp:positionV relativeFrom="paragraph">
                    <wp:posOffset>81280</wp:posOffset>
                  </wp:positionV>
                  <wp:extent cx="800100" cy="680085"/>
                  <wp:effectExtent l="0" t="0" r="0" b="5715"/>
                  <wp:wrapNone/>
                  <wp:docPr id="10"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5"/>
                          <pic:cNvPicPr>
                            <a:picLocks noChangeAspect="1" noChangeArrowheads="1"/>
                          </pic:cNvPicPr>
                        </pic:nvPicPr>
                        <pic:blipFill>
                          <a:blip r:embed="rId8"/>
                          <a:srcRect/>
                          <a:stretch>
                            <a:fillRect/>
                          </a:stretch>
                        </pic:blipFill>
                        <pic:spPr>
                          <a:xfrm>
                            <a:off x="0" y="0"/>
                            <a:ext cx="800100" cy="680085"/>
                          </a:xfrm>
                          <a:prstGeom prst="rect">
                            <a:avLst/>
                          </a:prstGeom>
                          <a:noFill/>
                          <a:ln w="1">
                            <a:noFill/>
                            <a:miter lim="800000"/>
                            <a:headEnd/>
                            <a:tailEnd/>
                          </a:ln>
                        </pic:spPr>
                      </pic:pic>
                    </a:graphicData>
                  </a:graphic>
                </wp:anchor>
              </w:drawing>
            </w:r>
          </w:p>
        </w:tc>
        <w:tc>
          <w:tcPr>
            <w:tcW w:w="357" w:type="pct"/>
            <w:tcBorders>
              <w:top w:val="nil"/>
              <w:left w:val="nil"/>
              <w:bottom w:val="single" w:color="auto" w:sz="4" w:space="0"/>
              <w:right w:val="single" w:color="auto" w:sz="4" w:space="0"/>
            </w:tcBorders>
            <w:shd w:val="clear" w:color="auto" w:fill="auto"/>
            <w:vAlign w:val="center"/>
          </w:tcPr>
          <w:p w14:paraId="0E02BBD5">
            <w:pPr>
              <w:widowControl/>
              <w:jc w:val="center"/>
              <w:rPr>
                <w:rFonts w:ascii="宋体" w:hAnsi="宋体" w:cs="宋体"/>
                <w:kern w:val="0"/>
                <w:sz w:val="20"/>
                <w:szCs w:val="20"/>
              </w:rPr>
            </w:pPr>
            <w:r>
              <w:rPr>
                <w:rFonts w:hint="eastAsia" w:ascii="宋体" w:hAnsi="宋体" w:cs="宋体"/>
                <w:kern w:val="0"/>
                <w:sz w:val="20"/>
                <w:szCs w:val="20"/>
              </w:rPr>
              <w:t>个</w:t>
            </w:r>
          </w:p>
        </w:tc>
        <w:tc>
          <w:tcPr>
            <w:tcW w:w="290" w:type="pct"/>
            <w:tcBorders>
              <w:top w:val="nil"/>
              <w:left w:val="nil"/>
              <w:bottom w:val="single" w:color="auto" w:sz="4" w:space="0"/>
              <w:right w:val="single" w:color="auto" w:sz="4" w:space="0"/>
            </w:tcBorders>
            <w:shd w:val="clear" w:color="auto" w:fill="auto"/>
            <w:vAlign w:val="center"/>
          </w:tcPr>
          <w:p w14:paraId="383F452C">
            <w:pPr>
              <w:widowControl/>
              <w:jc w:val="center"/>
              <w:rPr>
                <w:rFonts w:hint="eastAsia" w:ascii="Times New Roman" w:hAnsi="Times New Roman" w:cs="Times New Roman"/>
                <w:kern w:val="0"/>
                <w:sz w:val="20"/>
                <w:szCs w:val="20"/>
                <w:lang w:val="en-US" w:eastAsia="zh-CN"/>
              </w:rPr>
            </w:pPr>
            <w:r>
              <w:rPr>
                <w:rFonts w:hint="default" w:ascii="Times New Roman" w:hAnsi="Times New Roman" w:cs="Times New Roman"/>
                <w:kern w:val="0"/>
                <w:sz w:val="20"/>
                <w:szCs w:val="20"/>
                <w:lang w:val="en-US" w:eastAsia="zh-CN"/>
              </w:rPr>
              <w:t>1</w:t>
            </w:r>
            <w:r>
              <w:rPr>
                <w:rFonts w:hint="eastAsia" w:cs="Times New Roman"/>
                <w:kern w:val="0"/>
                <w:sz w:val="20"/>
                <w:szCs w:val="20"/>
                <w:lang w:val="en-US" w:eastAsia="zh-CN"/>
              </w:rPr>
              <w:t>4</w:t>
            </w:r>
          </w:p>
        </w:tc>
        <w:tc>
          <w:tcPr>
            <w:tcW w:w="519" w:type="pct"/>
            <w:tcBorders>
              <w:top w:val="nil"/>
              <w:left w:val="nil"/>
              <w:bottom w:val="single" w:color="auto" w:sz="4" w:space="0"/>
              <w:right w:val="single" w:color="auto" w:sz="4" w:space="0"/>
            </w:tcBorders>
            <w:shd w:val="clear" w:color="auto" w:fill="auto"/>
            <w:vAlign w:val="center"/>
          </w:tcPr>
          <w:p w14:paraId="228C4FEC">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56AD68B6">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67C5E1EB">
            <w:pPr>
              <w:widowControl/>
              <w:jc w:val="left"/>
              <w:rPr>
                <w:rFonts w:ascii="宋体" w:hAnsi="宋体" w:cs="宋体"/>
                <w:kern w:val="0"/>
                <w:sz w:val="15"/>
                <w:szCs w:val="15"/>
              </w:rPr>
            </w:pPr>
            <w:r>
              <w:rPr>
                <w:rFonts w:hint="eastAsia" w:ascii="宋体" w:hAnsi="宋体" w:cs="宋体"/>
                <w:kern w:val="0"/>
                <w:sz w:val="15"/>
                <w:szCs w:val="15"/>
              </w:rPr>
              <w:t>篷内需安装视频监控镜头</w:t>
            </w:r>
            <w:r>
              <w:rPr>
                <w:rFonts w:hint="default" w:ascii="Times New Roman" w:hAnsi="Times New Roman" w:cs="Times New Roman"/>
                <w:kern w:val="0"/>
                <w:sz w:val="15"/>
                <w:szCs w:val="15"/>
                <w:lang w:val="en-US" w:eastAsia="zh-CN"/>
              </w:rPr>
              <w:t>1</w:t>
            </w:r>
            <w:r>
              <w:rPr>
                <w:rFonts w:hint="eastAsia" w:cs="Times New Roman"/>
                <w:kern w:val="0"/>
                <w:sz w:val="15"/>
                <w:szCs w:val="15"/>
                <w:lang w:val="en-US" w:eastAsia="zh-CN"/>
              </w:rPr>
              <w:t>4个</w:t>
            </w:r>
            <w:r>
              <w:rPr>
                <w:rFonts w:hint="eastAsia" w:ascii="宋体" w:hAnsi="宋体" w:cs="宋体"/>
                <w:kern w:val="0"/>
                <w:sz w:val="15"/>
                <w:szCs w:val="15"/>
              </w:rPr>
              <w:t>（含拆除费用</w:t>
            </w:r>
            <w:r>
              <w:rPr>
                <w:rFonts w:hint="eastAsia" w:ascii="宋体" w:hAnsi="宋体" w:cs="宋体"/>
                <w:kern w:val="0"/>
                <w:sz w:val="15"/>
                <w:szCs w:val="15"/>
                <w:lang w:eastAsia="zh-CN"/>
              </w:rPr>
              <w:t>、</w:t>
            </w:r>
            <w:r>
              <w:rPr>
                <w:rFonts w:hint="eastAsia" w:ascii="宋体" w:hAnsi="宋体" w:cs="宋体"/>
                <w:kern w:val="0"/>
                <w:sz w:val="15"/>
                <w:szCs w:val="15"/>
                <w:lang w:val="en-US" w:eastAsia="zh-CN"/>
              </w:rPr>
              <w:t>含连接至监控室所需的线材、配件及调试等费用</w:t>
            </w:r>
            <w:r>
              <w:rPr>
                <w:rFonts w:hint="eastAsia" w:ascii="宋体" w:hAnsi="宋体" w:cs="宋体"/>
                <w:kern w:val="0"/>
                <w:sz w:val="15"/>
                <w:szCs w:val="15"/>
              </w:rPr>
              <w:t>）。。</w:t>
            </w:r>
            <w:r>
              <w:rPr>
                <w:rFonts w:hint="eastAsia" w:ascii="宋体" w:hAnsi="宋体" w:cs="宋体"/>
                <w:kern w:val="0"/>
                <w:sz w:val="15"/>
                <w:szCs w:val="15"/>
                <w:lang w:eastAsia="zh-CN"/>
              </w:rPr>
              <w:t>拆除后物资归采购人</w:t>
            </w:r>
          </w:p>
        </w:tc>
      </w:tr>
      <w:tr w14:paraId="5C593BAB">
        <w:tblPrEx>
          <w:tblCellMar>
            <w:top w:w="0" w:type="dxa"/>
            <w:left w:w="108" w:type="dxa"/>
            <w:bottom w:w="0" w:type="dxa"/>
            <w:right w:w="108" w:type="dxa"/>
          </w:tblCellMar>
        </w:tblPrEx>
        <w:trPr>
          <w:trHeight w:val="1464"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38C85031">
            <w:pPr>
              <w:widowControl/>
              <w:jc w:val="center"/>
              <w:rPr>
                <w:rFonts w:hint="eastAsia" w:ascii="宋体" w:hAnsi="宋体" w:eastAsia="宋体" w:cs="宋体"/>
                <w:kern w:val="0"/>
                <w:sz w:val="20"/>
                <w:szCs w:val="20"/>
                <w:lang w:eastAsia="zh-CN"/>
              </w:rPr>
            </w:pPr>
            <w:r>
              <w:rPr>
                <w:rFonts w:hint="default" w:ascii="Times New Roman" w:hAnsi="Times New Roman" w:cs="Times New Roman"/>
                <w:kern w:val="0"/>
                <w:sz w:val="20"/>
                <w:szCs w:val="20"/>
                <w:lang w:val="en-US" w:eastAsia="zh-CN"/>
              </w:rPr>
              <w:t>7</w:t>
            </w:r>
          </w:p>
        </w:tc>
        <w:tc>
          <w:tcPr>
            <w:tcW w:w="924" w:type="pct"/>
            <w:tcBorders>
              <w:top w:val="nil"/>
              <w:left w:val="nil"/>
              <w:bottom w:val="single" w:color="auto" w:sz="4" w:space="0"/>
              <w:right w:val="single" w:color="auto" w:sz="4" w:space="0"/>
            </w:tcBorders>
            <w:shd w:val="clear" w:color="auto" w:fill="auto"/>
            <w:vAlign w:val="center"/>
          </w:tcPr>
          <w:p w14:paraId="6F8C6422">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rPr>
              <w:t>铁皮</w:t>
            </w:r>
            <w:r>
              <w:rPr>
                <w:rFonts w:hint="eastAsia" w:ascii="宋体" w:hAnsi="宋体" w:cs="宋体"/>
                <w:kern w:val="0"/>
                <w:sz w:val="20"/>
                <w:szCs w:val="20"/>
                <w:lang w:val="en-US" w:eastAsia="zh-CN"/>
              </w:rPr>
              <w:t>围挡</w:t>
            </w:r>
          </w:p>
        </w:tc>
        <w:tc>
          <w:tcPr>
            <w:tcW w:w="924" w:type="pct"/>
            <w:tcBorders>
              <w:top w:val="nil"/>
              <w:left w:val="nil"/>
              <w:bottom w:val="single" w:color="auto" w:sz="4" w:space="0"/>
              <w:right w:val="single" w:color="auto" w:sz="4" w:space="0"/>
            </w:tcBorders>
            <w:shd w:val="clear" w:color="auto" w:fill="auto"/>
            <w:vAlign w:val="center"/>
          </w:tcPr>
          <w:p w14:paraId="40E1C9CF">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drawing>
                <wp:inline distT="0" distB="0" distL="114300" distR="114300">
                  <wp:extent cx="974725" cy="730885"/>
                  <wp:effectExtent l="0" t="0" r="15875" b="12065"/>
                  <wp:docPr id="1" name="图片 1" descr="微信图片_20180125174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125174008"/>
                          <pic:cNvPicPr>
                            <a:picLocks noChangeAspect="1"/>
                          </pic:cNvPicPr>
                        </pic:nvPicPr>
                        <pic:blipFill>
                          <a:blip r:embed="rId9"/>
                          <a:stretch>
                            <a:fillRect/>
                          </a:stretch>
                        </pic:blipFill>
                        <pic:spPr>
                          <a:xfrm>
                            <a:off x="0" y="0"/>
                            <a:ext cx="974725" cy="730885"/>
                          </a:xfrm>
                          <a:prstGeom prst="rect">
                            <a:avLst/>
                          </a:prstGeom>
                        </pic:spPr>
                      </pic:pic>
                    </a:graphicData>
                  </a:graphic>
                </wp:inline>
              </w:drawing>
            </w:r>
          </w:p>
        </w:tc>
        <w:tc>
          <w:tcPr>
            <w:tcW w:w="357" w:type="pct"/>
            <w:tcBorders>
              <w:top w:val="nil"/>
              <w:left w:val="nil"/>
              <w:bottom w:val="single" w:color="auto" w:sz="4" w:space="0"/>
              <w:right w:val="single" w:color="auto" w:sz="4" w:space="0"/>
            </w:tcBorders>
            <w:shd w:val="clear" w:color="auto" w:fill="auto"/>
            <w:vAlign w:val="center"/>
          </w:tcPr>
          <w:p w14:paraId="604FB994">
            <w:pPr>
              <w:widowControl/>
              <w:jc w:val="center"/>
              <w:rPr>
                <w:rFonts w:ascii="宋体" w:hAnsi="宋体" w:cs="宋体"/>
                <w:kern w:val="0"/>
                <w:sz w:val="20"/>
                <w:szCs w:val="20"/>
              </w:rPr>
            </w:pPr>
            <w:r>
              <w:rPr>
                <w:rFonts w:hint="eastAsia" w:ascii="宋体" w:hAnsi="宋体" w:cs="宋体"/>
                <w:kern w:val="0"/>
                <w:sz w:val="20"/>
                <w:szCs w:val="20"/>
              </w:rPr>
              <w:t>米</w:t>
            </w:r>
          </w:p>
        </w:tc>
        <w:tc>
          <w:tcPr>
            <w:tcW w:w="290" w:type="pct"/>
            <w:tcBorders>
              <w:top w:val="nil"/>
              <w:left w:val="nil"/>
              <w:bottom w:val="single" w:color="auto" w:sz="4" w:space="0"/>
              <w:right w:val="single" w:color="auto" w:sz="4" w:space="0"/>
            </w:tcBorders>
            <w:shd w:val="clear" w:color="auto" w:fill="auto"/>
            <w:vAlign w:val="center"/>
          </w:tcPr>
          <w:p w14:paraId="2A104287">
            <w:pPr>
              <w:widowControl/>
              <w:jc w:val="center"/>
              <w:rPr>
                <w:rFonts w:hint="default" w:ascii="Times New Roman" w:hAnsi="Times New Roman" w:cs="Times New Roman"/>
                <w:kern w:val="0"/>
                <w:sz w:val="20"/>
                <w:szCs w:val="20"/>
                <w:lang w:val="en-US" w:eastAsia="zh-CN"/>
              </w:rPr>
            </w:pPr>
            <w:r>
              <w:rPr>
                <w:rFonts w:hint="eastAsia" w:cs="Times New Roman"/>
                <w:kern w:val="0"/>
                <w:sz w:val="20"/>
                <w:szCs w:val="20"/>
                <w:lang w:val="en-US" w:eastAsia="zh-CN"/>
              </w:rPr>
              <w:t>158</w:t>
            </w:r>
          </w:p>
        </w:tc>
        <w:tc>
          <w:tcPr>
            <w:tcW w:w="519" w:type="pct"/>
            <w:tcBorders>
              <w:top w:val="nil"/>
              <w:left w:val="nil"/>
              <w:bottom w:val="single" w:color="auto" w:sz="4" w:space="0"/>
              <w:right w:val="single" w:color="auto" w:sz="4" w:space="0"/>
            </w:tcBorders>
            <w:shd w:val="clear" w:color="auto" w:fill="auto"/>
            <w:vAlign w:val="center"/>
          </w:tcPr>
          <w:p w14:paraId="049EC22E">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3BD339CD">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251A7A20">
            <w:pPr>
              <w:widowControl/>
              <w:jc w:val="center"/>
              <w:rPr>
                <w:rFonts w:ascii="宋体" w:hAnsi="宋体" w:cs="宋体"/>
                <w:kern w:val="0"/>
                <w:sz w:val="15"/>
                <w:szCs w:val="15"/>
              </w:rPr>
            </w:pPr>
            <w:r>
              <w:rPr>
                <w:rFonts w:hint="eastAsia" w:ascii="宋体" w:hAnsi="宋体" w:cs="宋体"/>
                <w:kern w:val="0"/>
                <w:sz w:val="15"/>
                <w:szCs w:val="15"/>
              </w:rPr>
              <w:t>要求用米黄色铁皮，高度</w:t>
            </w:r>
            <w:r>
              <w:rPr>
                <w:rFonts w:hint="default" w:ascii="Times New Roman" w:hAnsi="Times New Roman" w:cs="Times New Roman"/>
                <w:kern w:val="0"/>
                <w:sz w:val="15"/>
                <w:szCs w:val="15"/>
                <w:lang w:val="en-US" w:eastAsia="zh-CN"/>
              </w:rPr>
              <w:t>3</w:t>
            </w:r>
            <w:r>
              <w:rPr>
                <w:rFonts w:hint="eastAsia" w:ascii="宋体" w:hAnsi="宋体" w:cs="宋体"/>
                <w:kern w:val="0"/>
                <w:sz w:val="15"/>
                <w:szCs w:val="15"/>
              </w:rPr>
              <w:t>米，底部用爆炸螺丝打进地面，并用斜拉撑加固，确保牢固（。</w:t>
            </w:r>
            <w:r>
              <w:rPr>
                <w:rFonts w:hint="eastAsia" w:ascii="宋体" w:hAnsi="宋体" w:cs="宋体"/>
                <w:kern w:val="0"/>
                <w:sz w:val="15"/>
                <w:szCs w:val="15"/>
                <w:lang w:eastAsia="zh-CN"/>
              </w:rPr>
              <w:t>拆除后物资归采购人</w:t>
            </w:r>
          </w:p>
        </w:tc>
      </w:tr>
      <w:tr w14:paraId="698F8911">
        <w:tblPrEx>
          <w:tblCellMar>
            <w:top w:w="0" w:type="dxa"/>
            <w:left w:w="108" w:type="dxa"/>
            <w:bottom w:w="0" w:type="dxa"/>
            <w:right w:w="108" w:type="dxa"/>
          </w:tblCellMar>
        </w:tblPrEx>
        <w:trPr>
          <w:trHeight w:val="1098"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396163EA">
            <w:pPr>
              <w:widowControl/>
              <w:jc w:val="center"/>
              <w:rPr>
                <w:rFonts w:hint="default" w:ascii="宋体" w:hAnsi="宋体" w:eastAsia="宋体" w:cs="宋体"/>
                <w:kern w:val="0"/>
                <w:sz w:val="20"/>
                <w:szCs w:val="20"/>
                <w:lang w:val="en-US" w:eastAsia="zh-CN" w:bidi="ar-SA"/>
              </w:rPr>
            </w:pPr>
            <w:r>
              <w:rPr>
                <w:rFonts w:hint="default" w:ascii="Times New Roman" w:hAnsi="Times New Roman" w:cs="Times New Roman"/>
                <w:kern w:val="0"/>
                <w:sz w:val="20"/>
                <w:szCs w:val="20"/>
                <w:lang w:val="en-US" w:eastAsia="zh-CN"/>
              </w:rPr>
              <w:t>8</w:t>
            </w:r>
          </w:p>
        </w:tc>
        <w:tc>
          <w:tcPr>
            <w:tcW w:w="924" w:type="pct"/>
            <w:tcBorders>
              <w:top w:val="nil"/>
              <w:left w:val="nil"/>
              <w:bottom w:val="single" w:color="auto" w:sz="4" w:space="0"/>
              <w:right w:val="single" w:color="auto" w:sz="4" w:space="0"/>
            </w:tcBorders>
            <w:shd w:val="clear" w:color="auto" w:fill="auto"/>
            <w:vAlign w:val="center"/>
          </w:tcPr>
          <w:p w14:paraId="747BC933">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春运大棚进站口铁马宣传墙</w:t>
            </w:r>
          </w:p>
        </w:tc>
        <w:tc>
          <w:tcPr>
            <w:tcW w:w="924" w:type="pct"/>
            <w:tcBorders>
              <w:top w:val="nil"/>
              <w:left w:val="nil"/>
              <w:bottom w:val="single" w:color="auto" w:sz="4" w:space="0"/>
              <w:right w:val="single" w:color="auto" w:sz="4" w:space="0"/>
            </w:tcBorders>
            <w:shd w:val="clear" w:color="auto" w:fill="auto"/>
            <w:vAlign w:val="center"/>
          </w:tcPr>
          <w:p w14:paraId="1EB5968E">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drawing>
                <wp:inline distT="0" distB="0" distL="114300" distR="114300">
                  <wp:extent cx="1152525" cy="865505"/>
                  <wp:effectExtent l="0" t="0" r="9525" b="10795"/>
                  <wp:docPr id="12" name="图片 12" descr="3b602e83c86cfe15488f805fdd8d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b602e83c86cfe15488f805fdd8d674"/>
                          <pic:cNvPicPr>
                            <a:picLocks noChangeAspect="1"/>
                          </pic:cNvPicPr>
                        </pic:nvPicPr>
                        <pic:blipFill>
                          <a:blip r:embed="rId10"/>
                          <a:stretch>
                            <a:fillRect/>
                          </a:stretch>
                        </pic:blipFill>
                        <pic:spPr>
                          <a:xfrm>
                            <a:off x="0" y="0"/>
                            <a:ext cx="1152525" cy="865505"/>
                          </a:xfrm>
                          <a:prstGeom prst="rect">
                            <a:avLst/>
                          </a:prstGeom>
                        </pic:spPr>
                      </pic:pic>
                    </a:graphicData>
                  </a:graphic>
                </wp:inline>
              </w:drawing>
            </w:r>
          </w:p>
        </w:tc>
        <w:tc>
          <w:tcPr>
            <w:tcW w:w="357" w:type="pct"/>
            <w:tcBorders>
              <w:top w:val="nil"/>
              <w:left w:val="nil"/>
              <w:bottom w:val="single" w:color="auto" w:sz="4" w:space="0"/>
              <w:right w:val="single" w:color="auto" w:sz="4" w:space="0"/>
            </w:tcBorders>
            <w:shd w:val="clear" w:color="auto" w:fill="auto"/>
            <w:vAlign w:val="center"/>
          </w:tcPr>
          <w:p w14:paraId="18422591">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rPr>
              <w:t>米</w:t>
            </w:r>
          </w:p>
        </w:tc>
        <w:tc>
          <w:tcPr>
            <w:tcW w:w="290" w:type="pct"/>
            <w:tcBorders>
              <w:top w:val="nil"/>
              <w:left w:val="nil"/>
              <w:bottom w:val="single" w:color="auto" w:sz="4" w:space="0"/>
              <w:right w:val="single" w:color="auto" w:sz="4" w:space="0"/>
            </w:tcBorders>
            <w:shd w:val="clear" w:color="auto" w:fill="auto"/>
            <w:vAlign w:val="center"/>
          </w:tcPr>
          <w:p w14:paraId="372E7429">
            <w:pPr>
              <w:widowControl/>
              <w:jc w:val="center"/>
              <w:rPr>
                <w:rFonts w:hint="default" w:ascii="Times New Roman" w:hAnsi="Times New Roman" w:eastAsia="宋体" w:cs="Times New Roman"/>
                <w:kern w:val="0"/>
                <w:sz w:val="20"/>
                <w:szCs w:val="20"/>
                <w:lang w:val="en-US" w:eastAsia="zh-CN" w:bidi="ar-SA"/>
              </w:rPr>
            </w:pPr>
            <w:r>
              <w:rPr>
                <w:rFonts w:hint="eastAsia" w:cs="Times New Roman"/>
                <w:kern w:val="0"/>
                <w:sz w:val="20"/>
                <w:szCs w:val="20"/>
                <w:lang w:val="en-US" w:eastAsia="zh-CN"/>
              </w:rPr>
              <w:t>60</w:t>
            </w:r>
          </w:p>
        </w:tc>
        <w:tc>
          <w:tcPr>
            <w:tcW w:w="519" w:type="pct"/>
            <w:tcBorders>
              <w:top w:val="nil"/>
              <w:left w:val="nil"/>
              <w:bottom w:val="single" w:color="auto" w:sz="4" w:space="0"/>
              <w:right w:val="single" w:color="auto" w:sz="4" w:space="0"/>
            </w:tcBorders>
            <w:shd w:val="clear" w:color="auto" w:fill="auto"/>
            <w:vAlign w:val="center"/>
          </w:tcPr>
          <w:p w14:paraId="6E9C44B5">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0DEB6F02">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428AB6E3">
            <w:pPr>
              <w:widowControl/>
              <w:jc w:val="center"/>
              <w:rPr>
                <w:rFonts w:hint="default" w:ascii="宋体" w:hAnsi="宋体" w:eastAsia="宋体" w:cs="宋体"/>
                <w:kern w:val="0"/>
                <w:sz w:val="15"/>
                <w:szCs w:val="15"/>
                <w:lang w:val="en-US" w:eastAsia="zh-CN"/>
              </w:rPr>
            </w:pPr>
            <w:r>
              <w:rPr>
                <w:rFonts w:hint="eastAsia" w:ascii="宋体" w:hAnsi="宋体" w:cs="宋体"/>
                <w:kern w:val="0"/>
                <w:sz w:val="15"/>
                <w:szCs w:val="15"/>
                <w:lang w:val="en-US" w:eastAsia="zh-CN"/>
              </w:rPr>
              <w:t>（按采购人指定宣传广告内容制作户外广告并安装）铁马约60米</w:t>
            </w:r>
          </w:p>
        </w:tc>
      </w:tr>
      <w:tr w14:paraId="366E47B2">
        <w:tblPrEx>
          <w:tblCellMar>
            <w:top w:w="0" w:type="dxa"/>
            <w:left w:w="108" w:type="dxa"/>
            <w:bottom w:w="0" w:type="dxa"/>
            <w:right w:w="108" w:type="dxa"/>
          </w:tblCellMar>
        </w:tblPrEx>
        <w:trPr>
          <w:trHeight w:val="1098"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60722165">
            <w:pPr>
              <w:widowControl/>
              <w:jc w:val="center"/>
              <w:rPr>
                <w:rFonts w:hint="default" w:ascii="Times New Roman" w:hAnsi="Times New Roman" w:cs="Times New Roman"/>
                <w:kern w:val="0"/>
                <w:sz w:val="20"/>
                <w:szCs w:val="20"/>
                <w:lang w:val="en-US" w:eastAsia="zh-CN"/>
              </w:rPr>
            </w:pPr>
            <w:r>
              <w:rPr>
                <w:rFonts w:hint="eastAsia" w:cs="Times New Roman"/>
                <w:kern w:val="0"/>
                <w:sz w:val="20"/>
                <w:szCs w:val="20"/>
                <w:lang w:val="en-US" w:eastAsia="zh-CN"/>
              </w:rPr>
              <w:t>9</w:t>
            </w:r>
          </w:p>
        </w:tc>
        <w:tc>
          <w:tcPr>
            <w:tcW w:w="924" w:type="pct"/>
            <w:tcBorders>
              <w:top w:val="nil"/>
              <w:left w:val="nil"/>
              <w:bottom w:val="single" w:color="auto" w:sz="4" w:space="0"/>
              <w:right w:val="single" w:color="auto" w:sz="4" w:space="0"/>
            </w:tcBorders>
            <w:shd w:val="clear" w:color="auto" w:fill="auto"/>
            <w:vAlign w:val="center"/>
          </w:tcPr>
          <w:p w14:paraId="7BF24C55">
            <w:pPr>
              <w:widowControl/>
              <w:jc w:val="center"/>
              <w:rPr>
                <w:rFonts w:hint="eastAsia" w:ascii="宋体" w:hAnsi="宋体" w:cs="宋体"/>
                <w:kern w:val="0"/>
                <w:sz w:val="20"/>
                <w:szCs w:val="20"/>
                <w:lang w:val="en-US" w:eastAsia="zh-CN"/>
              </w:rPr>
            </w:pPr>
            <w:r>
              <w:rPr>
                <w:rFonts w:hint="eastAsia" w:ascii="宋体" w:hAnsi="宋体" w:cs="宋体"/>
                <w:kern w:val="0"/>
                <w:sz w:val="20"/>
                <w:szCs w:val="20"/>
                <w:lang w:val="en-US" w:eastAsia="zh-CN"/>
              </w:rPr>
              <w:t>春运大棚进站口帐篷宣传墙</w:t>
            </w:r>
          </w:p>
        </w:tc>
        <w:tc>
          <w:tcPr>
            <w:tcW w:w="924" w:type="pct"/>
            <w:tcBorders>
              <w:top w:val="nil"/>
              <w:left w:val="nil"/>
              <w:bottom w:val="single" w:color="auto" w:sz="4" w:space="0"/>
              <w:right w:val="single" w:color="auto" w:sz="4" w:space="0"/>
            </w:tcBorders>
            <w:shd w:val="clear" w:color="auto" w:fill="auto"/>
            <w:vAlign w:val="center"/>
          </w:tcPr>
          <w:p w14:paraId="0CAD2E22">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drawing>
                <wp:inline distT="0" distB="0" distL="114300" distR="114300">
                  <wp:extent cx="1152525" cy="865505"/>
                  <wp:effectExtent l="0" t="0" r="9525" b="10795"/>
                  <wp:docPr id="13" name="图片 13" descr="3b602e83c86cfe15488f805fdd8d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b602e83c86cfe15488f805fdd8d674"/>
                          <pic:cNvPicPr>
                            <a:picLocks noChangeAspect="1"/>
                          </pic:cNvPicPr>
                        </pic:nvPicPr>
                        <pic:blipFill>
                          <a:blip r:embed="rId10"/>
                          <a:stretch>
                            <a:fillRect/>
                          </a:stretch>
                        </pic:blipFill>
                        <pic:spPr>
                          <a:xfrm>
                            <a:off x="0" y="0"/>
                            <a:ext cx="1152525" cy="865505"/>
                          </a:xfrm>
                          <a:prstGeom prst="rect">
                            <a:avLst/>
                          </a:prstGeom>
                        </pic:spPr>
                      </pic:pic>
                    </a:graphicData>
                  </a:graphic>
                </wp:inline>
              </w:drawing>
            </w:r>
          </w:p>
        </w:tc>
        <w:tc>
          <w:tcPr>
            <w:tcW w:w="357" w:type="pct"/>
            <w:tcBorders>
              <w:top w:val="nil"/>
              <w:left w:val="nil"/>
              <w:bottom w:val="single" w:color="auto" w:sz="4" w:space="0"/>
              <w:right w:val="single" w:color="auto" w:sz="4" w:space="0"/>
            </w:tcBorders>
            <w:shd w:val="clear" w:color="auto" w:fill="auto"/>
            <w:vAlign w:val="center"/>
          </w:tcPr>
          <w:p w14:paraId="1F5CA7B8">
            <w:pPr>
              <w:widowControl/>
              <w:jc w:val="center"/>
              <w:rPr>
                <w:rFonts w:hint="eastAsia" w:ascii="宋体" w:hAnsi="宋体" w:cs="宋体"/>
                <w:kern w:val="0"/>
                <w:sz w:val="20"/>
                <w:szCs w:val="20"/>
              </w:rPr>
            </w:pPr>
            <w:r>
              <w:rPr>
                <w:rFonts w:hint="eastAsia" w:ascii="宋体" w:hAnsi="宋体" w:cs="宋体"/>
                <w:kern w:val="0"/>
                <w:sz w:val="20"/>
                <w:szCs w:val="20"/>
              </w:rPr>
              <w:t>米</w:t>
            </w:r>
          </w:p>
        </w:tc>
        <w:tc>
          <w:tcPr>
            <w:tcW w:w="290" w:type="pct"/>
            <w:tcBorders>
              <w:top w:val="nil"/>
              <w:left w:val="nil"/>
              <w:bottom w:val="single" w:color="auto" w:sz="4" w:space="0"/>
              <w:right w:val="single" w:color="auto" w:sz="4" w:space="0"/>
            </w:tcBorders>
            <w:shd w:val="clear" w:color="auto" w:fill="auto"/>
            <w:vAlign w:val="center"/>
          </w:tcPr>
          <w:p w14:paraId="3B7A60D4">
            <w:pPr>
              <w:widowControl/>
              <w:jc w:val="center"/>
              <w:rPr>
                <w:rFonts w:hint="default" w:cs="Times New Roman"/>
                <w:kern w:val="0"/>
                <w:sz w:val="20"/>
                <w:szCs w:val="20"/>
                <w:lang w:val="en-US" w:eastAsia="zh-CN"/>
              </w:rPr>
            </w:pPr>
            <w:r>
              <w:rPr>
                <w:rFonts w:hint="eastAsia" w:cs="Times New Roman"/>
                <w:kern w:val="0"/>
                <w:sz w:val="20"/>
                <w:szCs w:val="20"/>
                <w:lang w:val="en-US" w:eastAsia="zh-CN"/>
              </w:rPr>
              <w:t>50</w:t>
            </w:r>
          </w:p>
        </w:tc>
        <w:tc>
          <w:tcPr>
            <w:tcW w:w="519" w:type="pct"/>
            <w:tcBorders>
              <w:top w:val="nil"/>
              <w:left w:val="nil"/>
              <w:bottom w:val="single" w:color="auto" w:sz="4" w:space="0"/>
              <w:right w:val="single" w:color="auto" w:sz="4" w:space="0"/>
            </w:tcBorders>
            <w:shd w:val="clear" w:color="auto" w:fill="auto"/>
            <w:vAlign w:val="center"/>
          </w:tcPr>
          <w:p w14:paraId="128799A1">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4E9E3563">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09DDF7F1">
            <w:pPr>
              <w:widowControl/>
              <w:jc w:val="center"/>
              <w:rPr>
                <w:rFonts w:hint="eastAsia" w:ascii="宋体" w:hAnsi="宋体" w:cs="宋体"/>
                <w:kern w:val="0"/>
                <w:sz w:val="15"/>
                <w:szCs w:val="15"/>
                <w:lang w:val="en-US" w:eastAsia="zh-CN"/>
              </w:rPr>
            </w:pPr>
            <w:r>
              <w:rPr>
                <w:rFonts w:hint="eastAsia" w:ascii="宋体" w:hAnsi="宋体" w:cs="宋体"/>
                <w:kern w:val="0"/>
                <w:sz w:val="15"/>
                <w:szCs w:val="15"/>
                <w:lang w:val="en-US" w:eastAsia="zh-CN"/>
              </w:rPr>
              <w:t>（按采购人指定宣传广告内容制作户外广告并安装）春运大棚约50米</w:t>
            </w:r>
          </w:p>
        </w:tc>
      </w:tr>
      <w:tr w14:paraId="163E1E65">
        <w:tblPrEx>
          <w:tblCellMar>
            <w:top w:w="0" w:type="dxa"/>
            <w:left w:w="108" w:type="dxa"/>
            <w:bottom w:w="0" w:type="dxa"/>
            <w:right w:w="108" w:type="dxa"/>
          </w:tblCellMar>
        </w:tblPrEx>
        <w:trPr>
          <w:trHeight w:val="1098"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7D402213">
            <w:pPr>
              <w:widowControl/>
              <w:jc w:val="center"/>
              <w:rPr>
                <w:rFonts w:hint="default" w:ascii="宋体" w:hAnsi="宋体" w:eastAsia="宋体" w:cs="宋体"/>
                <w:kern w:val="0"/>
                <w:sz w:val="20"/>
                <w:szCs w:val="20"/>
                <w:lang w:val="en-US" w:eastAsia="zh-CN" w:bidi="ar-SA"/>
              </w:rPr>
            </w:pPr>
            <w:r>
              <w:rPr>
                <w:rFonts w:hint="eastAsia" w:cs="Times New Roman"/>
                <w:kern w:val="0"/>
                <w:sz w:val="20"/>
                <w:szCs w:val="20"/>
                <w:lang w:val="en-US" w:eastAsia="zh-CN"/>
              </w:rPr>
              <w:t>10</w:t>
            </w:r>
          </w:p>
        </w:tc>
        <w:tc>
          <w:tcPr>
            <w:tcW w:w="924" w:type="pct"/>
            <w:tcBorders>
              <w:top w:val="nil"/>
              <w:left w:val="nil"/>
              <w:bottom w:val="single" w:color="auto" w:sz="4" w:space="0"/>
              <w:right w:val="single" w:color="auto" w:sz="4" w:space="0"/>
            </w:tcBorders>
            <w:shd w:val="clear" w:color="auto" w:fill="auto"/>
            <w:vAlign w:val="center"/>
          </w:tcPr>
          <w:p w14:paraId="405857FB">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临时春运大篷公共责任险</w:t>
            </w:r>
          </w:p>
        </w:tc>
        <w:tc>
          <w:tcPr>
            <w:tcW w:w="924" w:type="pct"/>
            <w:tcBorders>
              <w:top w:val="nil"/>
              <w:left w:val="nil"/>
              <w:bottom w:val="single" w:color="auto" w:sz="4" w:space="0"/>
              <w:right w:val="single" w:color="auto" w:sz="4" w:space="0"/>
            </w:tcBorders>
            <w:shd w:val="clear" w:color="auto" w:fill="auto"/>
            <w:vAlign w:val="center"/>
          </w:tcPr>
          <w:p w14:paraId="7ADFB612">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w:t>
            </w:r>
          </w:p>
        </w:tc>
        <w:tc>
          <w:tcPr>
            <w:tcW w:w="357" w:type="pct"/>
            <w:tcBorders>
              <w:top w:val="nil"/>
              <w:left w:val="nil"/>
              <w:bottom w:val="single" w:color="auto" w:sz="4" w:space="0"/>
              <w:right w:val="single" w:color="auto" w:sz="4" w:space="0"/>
            </w:tcBorders>
            <w:shd w:val="clear" w:color="auto" w:fill="auto"/>
            <w:vAlign w:val="center"/>
          </w:tcPr>
          <w:p w14:paraId="468E71D6">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w:t>
            </w:r>
          </w:p>
        </w:tc>
        <w:tc>
          <w:tcPr>
            <w:tcW w:w="290" w:type="pct"/>
            <w:tcBorders>
              <w:top w:val="nil"/>
              <w:left w:val="nil"/>
              <w:bottom w:val="single" w:color="auto" w:sz="4" w:space="0"/>
              <w:right w:val="single" w:color="auto" w:sz="4" w:space="0"/>
            </w:tcBorders>
            <w:shd w:val="clear" w:color="auto" w:fill="auto"/>
            <w:vAlign w:val="center"/>
          </w:tcPr>
          <w:p w14:paraId="4D3AF8F0">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w:t>
            </w:r>
          </w:p>
        </w:tc>
        <w:tc>
          <w:tcPr>
            <w:tcW w:w="519" w:type="pct"/>
            <w:tcBorders>
              <w:top w:val="nil"/>
              <w:left w:val="nil"/>
              <w:bottom w:val="single" w:color="auto" w:sz="4" w:space="0"/>
              <w:right w:val="single" w:color="auto" w:sz="4" w:space="0"/>
            </w:tcBorders>
            <w:shd w:val="clear" w:color="auto" w:fill="auto"/>
            <w:vAlign w:val="center"/>
          </w:tcPr>
          <w:p w14:paraId="612B4A64">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w:t>
            </w:r>
          </w:p>
        </w:tc>
        <w:tc>
          <w:tcPr>
            <w:tcW w:w="405" w:type="pct"/>
            <w:tcBorders>
              <w:top w:val="nil"/>
              <w:left w:val="nil"/>
              <w:bottom w:val="single" w:color="auto" w:sz="4" w:space="0"/>
              <w:right w:val="single" w:color="auto" w:sz="4" w:space="0"/>
            </w:tcBorders>
            <w:shd w:val="clear" w:color="auto" w:fill="auto"/>
            <w:vAlign w:val="center"/>
          </w:tcPr>
          <w:p w14:paraId="25514686">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w:t>
            </w:r>
          </w:p>
        </w:tc>
        <w:tc>
          <w:tcPr>
            <w:tcW w:w="1294" w:type="pct"/>
            <w:tcBorders>
              <w:top w:val="nil"/>
              <w:left w:val="nil"/>
              <w:bottom w:val="single" w:color="auto" w:sz="4" w:space="0"/>
              <w:right w:val="single" w:color="auto" w:sz="4" w:space="0"/>
            </w:tcBorders>
            <w:shd w:val="clear" w:color="auto" w:fill="auto"/>
            <w:vAlign w:val="center"/>
          </w:tcPr>
          <w:p w14:paraId="5BE552D3">
            <w:pPr>
              <w:widowControl/>
              <w:jc w:val="center"/>
              <w:rPr>
                <w:rFonts w:hint="default" w:ascii="宋体" w:hAnsi="宋体" w:eastAsia="宋体" w:cs="宋体"/>
                <w:kern w:val="0"/>
                <w:sz w:val="15"/>
                <w:szCs w:val="15"/>
                <w:lang w:val="en-US" w:eastAsia="zh-CN"/>
              </w:rPr>
            </w:pPr>
            <w:r>
              <w:rPr>
                <w:rFonts w:hint="eastAsia" w:ascii="宋体" w:hAnsi="宋体" w:cs="宋体"/>
                <w:kern w:val="0"/>
                <w:sz w:val="15"/>
                <w:szCs w:val="15"/>
                <w:lang w:eastAsia="zh-CN"/>
              </w:rPr>
              <w:t>要求搭建单位必须为临时春运大篷购买保额不低于</w:t>
            </w:r>
            <w:r>
              <w:rPr>
                <w:rFonts w:hint="default" w:ascii="Times New Roman" w:hAnsi="Times New Roman" w:cs="Times New Roman"/>
                <w:kern w:val="0"/>
                <w:sz w:val="15"/>
                <w:szCs w:val="15"/>
                <w:lang w:eastAsia="zh-CN"/>
              </w:rPr>
              <w:t>100</w:t>
            </w:r>
            <w:r>
              <w:rPr>
                <w:rFonts w:hint="eastAsia" w:ascii="宋体" w:hAnsi="宋体" w:cs="宋体"/>
                <w:kern w:val="0"/>
                <w:sz w:val="15"/>
                <w:szCs w:val="15"/>
                <w:lang w:eastAsia="zh-CN"/>
              </w:rPr>
              <w:t>万、时间不低于</w:t>
            </w:r>
            <w:r>
              <w:rPr>
                <w:rFonts w:hint="eastAsia" w:cs="Times New Roman"/>
                <w:kern w:val="0"/>
                <w:sz w:val="15"/>
                <w:szCs w:val="15"/>
                <w:lang w:val="en-US" w:eastAsia="zh-CN"/>
              </w:rPr>
              <w:t>4</w:t>
            </w:r>
            <w:r>
              <w:rPr>
                <w:rFonts w:hint="default" w:ascii="Times New Roman" w:hAnsi="Times New Roman" w:cs="Times New Roman"/>
                <w:kern w:val="0"/>
                <w:sz w:val="15"/>
                <w:szCs w:val="15"/>
                <w:lang w:eastAsia="zh-CN"/>
              </w:rPr>
              <w:t>0</w:t>
            </w:r>
            <w:r>
              <w:rPr>
                <w:rFonts w:hint="eastAsia" w:ascii="宋体" w:hAnsi="宋体" w:cs="宋体"/>
                <w:kern w:val="0"/>
                <w:sz w:val="15"/>
                <w:szCs w:val="15"/>
                <w:lang w:eastAsia="zh-CN"/>
              </w:rPr>
              <w:t>天的公共责任险，并出具购买责任险发票等资料复印件交于采购人保存备案</w:t>
            </w:r>
          </w:p>
        </w:tc>
      </w:tr>
      <w:tr w14:paraId="1D1DADDF">
        <w:tblPrEx>
          <w:tblCellMar>
            <w:top w:w="0" w:type="dxa"/>
            <w:left w:w="108" w:type="dxa"/>
            <w:bottom w:w="0" w:type="dxa"/>
            <w:right w:w="108" w:type="dxa"/>
          </w:tblCellMar>
        </w:tblPrEx>
        <w:trPr>
          <w:trHeight w:val="1098"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64835555">
            <w:pPr>
              <w:widowControl/>
              <w:jc w:val="center"/>
              <w:rPr>
                <w:rFonts w:hint="eastAsia" w:ascii="宋体" w:hAnsi="宋体" w:eastAsia="宋体" w:cs="宋体"/>
                <w:kern w:val="0"/>
                <w:sz w:val="20"/>
                <w:szCs w:val="20"/>
                <w:lang w:val="en-US" w:eastAsia="zh-CN" w:bidi="ar-SA"/>
              </w:rPr>
            </w:pPr>
            <w:r>
              <w:rPr>
                <w:rFonts w:hint="eastAsia" w:cs="Times New Roman"/>
                <w:kern w:val="0"/>
                <w:sz w:val="20"/>
                <w:szCs w:val="20"/>
                <w:lang w:val="en-US" w:eastAsia="zh-CN"/>
              </w:rPr>
              <w:t>11</w:t>
            </w:r>
          </w:p>
        </w:tc>
        <w:tc>
          <w:tcPr>
            <w:tcW w:w="924" w:type="pct"/>
            <w:tcBorders>
              <w:top w:val="nil"/>
              <w:left w:val="nil"/>
              <w:bottom w:val="single" w:color="auto" w:sz="4" w:space="0"/>
              <w:right w:val="single" w:color="auto" w:sz="4" w:space="0"/>
            </w:tcBorders>
            <w:shd w:val="clear" w:color="auto" w:fill="auto"/>
            <w:vAlign w:val="center"/>
          </w:tcPr>
          <w:p w14:paraId="076F97B5">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移动公厕</w:t>
            </w:r>
          </w:p>
        </w:tc>
        <w:tc>
          <w:tcPr>
            <w:tcW w:w="924" w:type="pct"/>
            <w:tcBorders>
              <w:top w:val="nil"/>
              <w:left w:val="nil"/>
              <w:bottom w:val="single" w:color="auto" w:sz="4" w:space="0"/>
              <w:right w:val="single" w:color="auto" w:sz="4" w:space="0"/>
            </w:tcBorders>
            <w:shd w:val="clear" w:color="auto" w:fill="auto"/>
            <w:vAlign w:val="center"/>
          </w:tcPr>
          <w:p w14:paraId="59F5892C">
            <w:pPr>
              <w:widowControl/>
              <w:jc w:val="center"/>
              <w:rPr>
                <w:rFonts w:hint="eastAsia" w:ascii="宋体" w:hAnsi="宋体" w:cs="宋体"/>
                <w:kern w:val="0"/>
                <w:sz w:val="20"/>
                <w:szCs w:val="20"/>
                <w:lang w:val="en-US" w:eastAsia="zh-CN"/>
              </w:rPr>
            </w:pPr>
            <w:r>
              <w:drawing>
                <wp:anchor distT="0" distB="0" distL="114300" distR="114300" simplePos="0" relativeHeight="251664384" behindDoc="1" locked="0" layoutInCell="1" allowOverlap="1">
                  <wp:simplePos x="0" y="0"/>
                  <wp:positionH relativeFrom="column">
                    <wp:posOffset>416560</wp:posOffset>
                  </wp:positionH>
                  <wp:positionV relativeFrom="paragraph">
                    <wp:posOffset>13335</wp:posOffset>
                  </wp:positionV>
                  <wp:extent cx="358775" cy="679450"/>
                  <wp:effectExtent l="0" t="0" r="3175" b="6350"/>
                  <wp:wrapNone/>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1"/>
                          <a:stretch>
                            <a:fillRect/>
                          </a:stretch>
                        </pic:blipFill>
                        <pic:spPr>
                          <a:xfrm>
                            <a:off x="0" y="0"/>
                            <a:ext cx="358775" cy="679450"/>
                          </a:xfrm>
                          <a:prstGeom prst="rect">
                            <a:avLst/>
                          </a:prstGeom>
                          <a:noFill/>
                          <a:ln>
                            <a:noFill/>
                          </a:ln>
                        </pic:spPr>
                      </pic:pic>
                    </a:graphicData>
                  </a:graphic>
                </wp:anchor>
              </w:drawing>
            </w:r>
          </w:p>
        </w:tc>
        <w:tc>
          <w:tcPr>
            <w:tcW w:w="357" w:type="pct"/>
            <w:tcBorders>
              <w:top w:val="nil"/>
              <w:left w:val="nil"/>
              <w:bottom w:val="single" w:color="auto" w:sz="4" w:space="0"/>
              <w:right w:val="single" w:color="auto" w:sz="4" w:space="0"/>
            </w:tcBorders>
            <w:shd w:val="clear" w:color="auto" w:fill="auto"/>
            <w:vAlign w:val="center"/>
          </w:tcPr>
          <w:p w14:paraId="77F0A93D">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套</w:t>
            </w:r>
          </w:p>
        </w:tc>
        <w:tc>
          <w:tcPr>
            <w:tcW w:w="290" w:type="pct"/>
            <w:tcBorders>
              <w:top w:val="nil"/>
              <w:left w:val="nil"/>
              <w:bottom w:val="single" w:color="auto" w:sz="4" w:space="0"/>
              <w:right w:val="single" w:color="auto" w:sz="4" w:space="0"/>
            </w:tcBorders>
            <w:shd w:val="clear" w:color="auto" w:fill="auto"/>
            <w:vAlign w:val="center"/>
          </w:tcPr>
          <w:p w14:paraId="17C1EF4F">
            <w:pPr>
              <w:widowControl/>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8</w:t>
            </w:r>
          </w:p>
        </w:tc>
        <w:tc>
          <w:tcPr>
            <w:tcW w:w="519" w:type="pct"/>
            <w:tcBorders>
              <w:top w:val="nil"/>
              <w:left w:val="nil"/>
              <w:bottom w:val="single" w:color="auto" w:sz="4" w:space="0"/>
              <w:right w:val="single" w:color="auto" w:sz="4" w:space="0"/>
            </w:tcBorders>
            <w:shd w:val="clear" w:color="auto" w:fill="auto"/>
            <w:vAlign w:val="center"/>
          </w:tcPr>
          <w:p w14:paraId="3C11DB95">
            <w:pPr>
              <w:widowControl/>
              <w:jc w:val="center"/>
              <w:rPr>
                <w:rFonts w:hint="default" w:ascii="宋体" w:hAnsi="宋体" w:cs="宋体"/>
                <w:kern w:val="0"/>
                <w:sz w:val="20"/>
                <w:szCs w:val="20"/>
                <w:lang w:val="en-US" w:eastAsia="zh-CN"/>
              </w:rPr>
            </w:pPr>
          </w:p>
        </w:tc>
        <w:tc>
          <w:tcPr>
            <w:tcW w:w="405" w:type="pct"/>
            <w:tcBorders>
              <w:top w:val="nil"/>
              <w:left w:val="nil"/>
              <w:bottom w:val="single" w:color="auto" w:sz="4" w:space="0"/>
              <w:right w:val="single" w:color="auto" w:sz="4" w:space="0"/>
            </w:tcBorders>
            <w:shd w:val="clear" w:color="auto" w:fill="auto"/>
            <w:vAlign w:val="center"/>
          </w:tcPr>
          <w:p w14:paraId="16B46016">
            <w:pPr>
              <w:widowControl/>
              <w:jc w:val="center"/>
              <w:rPr>
                <w:rFonts w:hint="default" w:ascii="宋体" w:hAnsi="宋体" w:cs="宋体"/>
                <w:kern w:val="0"/>
                <w:sz w:val="20"/>
                <w:szCs w:val="20"/>
                <w:lang w:val="en-US" w:eastAsia="zh-CN"/>
              </w:rPr>
            </w:pPr>
          </w:p>
        </w:tc>
        <w:tc>
          <w:tcPr>
            <w:tcW w:w="1294" w:type="pct"/>
            <w:tcBorders>
              <w:top w:val="nil"/>
              <w:left w:val="nil"/>
              <w:bottom w:val="single" w:color="auto" w:sz="4" w:space="0"/>
              <w:right w:val="single" w:color="auto" w:sz="4" w:space="0"/>
            </w:tcBorders>
            <w:shd w:val="clear" w:color="auto" w:fill="auto"/>
            <w:vAlign w:val="center"/>
          </w:tcPr>
          <w:p w14:paraId="4B7841DF">
            <w:pPr>
              <w:widowControl/>
              <w:jc w:val="center"/>
              <w:rPr>
                <w:rFonts w:hint="default" w:ascii="宋体" w:hAnsi="宋体" w:cs="宋体"/>
                <w:kern w:val="0"/>
                <w:sz w:val="15"/>
                <w:szCs w:val="15"/>
                <w:lang w:val="en-US" w:eastAsia="zh-CN"/>
              </w:rPr>
            </w:pPr>
            <w:r>
              <w:rPr>
                <w:rFonts w:hint="eastAsia" w:ascii="宋体" w:hAnsi="宋体" w:cs="宋体"/>
                <w:kern w:val="0"/>
                <w:sz w:val="15"/>
                <w:szCs w:val="15"/>
                <w:lang w:val="en-US" w:eastAsia="zh-CN"/>
              </w:rPr>
              <w:t>含安装和水管、排污管等物料费</w:t>
            </w:r>
          </w:p>
        </w:tc>
      </w:tr>
      <w:tr w14:paraId="5990454F">
        <w:tblPrEx>
          <w:tblCellMar>
            <w:top w:w="0" w:type="dxa"/>
            <w:left w:w="108" w:type="dxa"/>
            <w:bottom w:w="0" w:type="dxa"/>
            <w:right w:w="108" w:type="dxa"/>
          </w:tblCellMar>
        </w:tblPrEx>
        <w:trPr>
          <w:trHeight w:val="442"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47E632A7">
            <w:pPr>
              <w:widowControl/>
              <w:jc w:val="center"/>
              <w:rPr>
                <w:rFonts w:hint="default" w:ascii="宋体" w:hAnsi="宋体" w:eastAsia="宋体" w:cs="宋体"/>
                <w:kern w:val="0"/>
                <w:sz w:val="20"/>
                <w:szCs w:val="20"/>
                <w:lang w:val="en-US" w:eastAsia="zh-CN" w:bidi="ar-SA"/>
              </w:rPr>
            </w:pPr>
            <w:r>
              <w:rPr>
                <w:rFonts w:hint="eastAsia" w:cs="Times New Roman"/>
                <w:kern w:val="0"/>
                <w:sz w:val="20"/>
                <w:szCs w:val="20"/>
                <w:lang w:val="en-US" w:eastAsia="zh-CN"/>
              </w:rPr>
              <w:t>12</w:t>
            </w:r>
          </w:p>
        </w:tc>
        <w:tc>
          <w:tcPr>
            <w:tcW w:w="924" w:type="pct"/>
            <w:tcBorders>
              <w:top w:val="nil"/>
              <w:left w:val="nil"/>
              <w:bottom w:val="single" w:color="auto" w:sz="4" w:space="0"/>
              <w:right w:val="single" w:color="auto" w:sz="4" w:space="0"/>
            </w:tcBorders>
            <w:shd w:val="clear" w:color="auto" w:fill="auto"/>
            <w:vAlign w:val="center"/>
          </w:tcPr>
          <w:p w14:paraId="76700493">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租用手提式检票机</w:t>
            </w:r>
            <w:r>
              <w:rPr>
                <w:rFonts w:hint="eastAsia" w:ascii="宋体" w:hAnsi="宋体" w:cs="宋体"/>
                <w:kern w:val="0"/>
                <w:sz w:val="20"/>
                <w:szCs w:val="20"/>
              </w:rPr>
              <w:t>　</w:t>
            </w:r>
          </w:p>
        </w:tc>
        <w:tc>
          <w:tcPr>
            <w:tcW w:w="924" w:type="pct"/>
            <w:tcBorders>
              <w:top w:val="nil"/>
              <w:left w:val="nil"/>
              <w:bottom w:val="single" w:color="auto" w:sz="4" w:space="0"/>
              <w:right w:val="single" w:color="auto" w:sz="4" w:space="0"/>
            </w:tcBorders>
            <w:shd w:val="clear" w:color="auto" w:fill="auto"/>
            <w:vAlign w:val="center"/>
          </w:tcPr>
          <w:p w14:paraId="173A0428">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租期2个月</w:t>
            </w:r>
            <w:r>
              <w:rPr>
                <w:rFonts w:hint="eastAsia" w:ascii="宋体" w:hAnsi="宋体" w:cs="宋体"/>
                <w:kern w:val="0"/>
                <w:sz w:val="20"/>
                <w:szCs w:val="20"/>
              </w:rPr>
              <w:t>　</w:t>
            </w:r>
          </w:p>
        </w:tc>
        <w:tc>
          <w:tcPr>
            <w:tcW w:w="357" w:type="pct"/>
            <w:tcBorders>
              <w:top w:val="nil"/>
              <w:left w:val="nil"/>
              <w:bottom w:val="single" w:color="auto" w:sz="4" w:space="0"/>
              <w:right w:val="single" w:color="auto" w:sz="4" w:space="0"/>
            </w:tcBorders>
            <w:shd w:val="clear" w:color="auto" w:fill="auto"/>
            <w:vAlign w:val="center"/>
          </w:tcPr>
          <w:p w14:paraId="40E66EA3">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台</w:t>
            </w:r>
          </w:p>
        </w:tc>
        <w:tc>
          <w:tcPr>
            <w:tcW w:w="290" w:type="pct"/>
            <w:tcBorders>
              <w:top w:val="nil"/>
              <w:left w:val="nil"/>
              <w:bottom w:val="single" w:color="auto" w:sz="4" w:space="0"/>
              <w:right w:val="single" w:color="auto" w:sz="4" w:space="0"/>
            </w:tcBorders>
            <w:shd w:val="clear" w:color="auto" w:fill="auto"/>
            <w:vAlign w:val="center"/>
          </w:tcPr>
          <w:p w14:paraId="79C01A53">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6</w:t>
            </w:r>
          </w:p>
        </w:tc>
        <w:tc>
          <w:tcPr>
            <w:tcW w:w="519" w:type="pct"/>
            <w:tcBorders>
              <w:top w:val="nil"/>
              <w:left w:val="nil"/>
              <w:bottom w:val="single" w:color="auto" w:sz="4" w:space="0"/>
              <w:right w:val="single" w:color="auto" w:sz="4" w:space="0"/>
            </w:tcBorders>
            <w:shd w:val="clear" w:color="auto" w:fill="auto"/>
            <w:vAlign w:val="center"/>
          </w:tcPr>
          <w:p w14:paraId="667B47BF">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18"/>
                <w:szCs w:val="18"/>
                <w:lang w:val="en-US" w:eastAsia="zh-CN"/>
              </w:rPr>
              <w:t>每台每月租金3000元</w:t>
            </w:r>
          </w:p>
        </w:tc>
        <w:tc>
          <w:tcPr>
            <w:tcW w:w="405" w:type="pct"/>
            <w:tcBorders>
              <w:top w:val="nil"/>
              <w:left w:val="nil"/>
              <w:bottom w:val="single" w:color="auto" w:sz="4" w:space="0"/>
              <w:right w:val="single" w:color="auto" w:sz="4" w:space="0"/>
            </w:tcBorders>
            <w:shd w:val="clear" w:color="auto" w:fill="auto"/>
            <w:vAlign w:val="center"/>
          </w:tcPr>
          <w:p w14:paraId="01F4A8FD">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36000</w:t>
            </w:r>
          </w:p>
        </w:tc>
        <w:tc>
          <w:tcPr>
            <w:tcW w:w="1294" w:type="pct"/>
            <w:tcBorders>
              <w:top w:val="nil"/>
              <w:left w:val="nil"/>
              <w:bottom w:val="single" w:color="auto" w:sz="4" w:space="0"/>
              <w:right w:val="single" w:color="auto" w:sz="4" w:space="0"/>
            </w:tcBorders>
            <w:shd w:val="clear" w:color="auto" w:fill="auto"/>
            <w:vAlign w:val="center"/>
          </w:tcPr>
          <w:p w14:paraId="56751DFC">
            <w:pPr>
              <w:widowControl/>
              <w:jc w:val="center"/>
              <w:rPr>
                <w:rFonts w:hint="default" w:ascii="宋体" w:hAnsi="宋体" w:eastAsia="宋体" w:cs="宋体"/>
                <w:kern w:val="0"/>
                <w:sz w:val="15"/>
                <w:szCs w:val="15"/>
                <w:lang w:val="en-US" w:eastAsia="zh-CN" w:bidi="ar-SA"/>
              </w:rPr>
            </w:pPr>
            <w:r>
              <w:rPr>
                <w:rFonts w:hint="eastAsia" w:ascii="宋体" w:hAnsi="宋体" w:cs="宋体"/>
                <w:b/>
                <w:bCs/>
                <w:kern w:val="0"/>
                <w:sz w:val="15"/>
                <w:szCs w:val="15"/>
                <w:lang w:val="en-US" w:eastAsia="zh-CN"/>
              </w:rPr>
              <w:t>此为固定费用，由响应人先行代付租用</w:t>
            </w:r>
          </w:p>
        </w:tc>
      </w:tr>
      <w:tr w14:paraId="23C8676B">
        <w:tblPrEx>
          <w:tblCellMar>
            <w:top w:w="0" w:type="dxa"/>
            <w:left w:w="108" w:type="dxa"/>
            <w:bottom w:w="0" w:type="dxa"/>
            <w:right w:w="108" w:type="dxa"/>
          </w:tblCellMar>
        </w:tblPrEx>
        <w:trPr>
          <w:trHeight w:val="440"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0450D069">
            <w:pPr>
              <w:widowControl/>
              <w:jc w:val="center"/>
              <w:rPr>
                <w:rFonts w:hint="default" w:ascii="宋体" w:hAnsi="宋体" w:eastAsia="宋体" w:cs="宋体"/>
                <w:kern w:val="0"/>
                <w:sz w:val="20"/>
                <w:szCs w:val="20"/>
                <w:lang w:val="en-US" w:eastAsia="zh-CN" w:bidi="ar-SA"/>
              </w:rPr>
            </w:pPr>
            <w:r>
              <w:rPr>
                <w:rFonts w:hint="eastAsia" w:cs="Times New Roman"/>
                <w:kern w:val="0"/>
                <w:sz w:val="20"/>
                <w:szCs w:val="20"/>
                <w:lang w:val="en-US" w:eastAsia="zh-CN"/>
              </w:rPr>
              <w:t>13</w:t>
            </w:r>
          </w:p>
        </w:tc>
        <w:tc>
          <w:tcPr>
            <w:tcW w:w="924" w:type="pct"/>
            <w:tcBorders>
              <w:top w:val="nil"/>
              <w:left w:val="nil"/>
              <w:bottom w:val="single" w:color="auto" w:sz="4" w:space="0"/>
              <w:right w:val="single" w:color="auto" w:sz="4" w:space="0"/>
            </w:tcBorders>
            <w:shd w:val="clear" w:color="000000" w:fill="FFFFFF"/>
            <w:vAlign w:val="center"/>
          </w:tcPr>
          <w:p w14:paraId="34A65E5D">
            <w:pPr>
              <w:widowControl/>
              <w:jc w:val="center"/>
              <w:rPr>
                <w:rFonts w:ascii="宋体" w:hAnsi="宋体" w:cs="宋体"/>
                <w:kern w:val="0"/>
                <w:sz w:val="20"/>
                <w:szCs w:val="20"/>
              </w:rPr>
            </w:pPr>
            <w:r>
              <w:rPr>
                <w:rFonts w:hint="eastAsia" w:ascii="宋体" w:hAnsi="宋体" w:cs="宋体"/>
                <w:kern w:val="0"/>
                <w:sz w:val="20"/>
                <w:szCs w:val="20"/>
              </w:rPr>
              <w:t>增值税专用发票</w:t>
            </w:r>
          </w:p>
        </w:tc>
        <w:tc>
          <w:tcPr>
            <w:tcW w:w="924" w:type="pct"/>
            <w:tcBorders>
              <w:top w:val="nil"/>
              <w:left w:val="nil"/>
              <w:bottom w:val="single" w:color="auto" w:sz="4" w:space="0"/>
              <w:right w:val="single" w:color="auto" w:sz="4" w:space="0"/>
            </w:tcBorders>
            <w:shd w:val="clear" w:color="000000" w:fill="FFFFFF"/>
            <w:vAlign w:val="center"/>
          </w:tcPr>
          <w:p w14:paraId="47306446">
            <w:pPr>
              <w:widowControl/>
              <w:jc w:val="center"/>
              <w:rPr>
                <w:rFonts w:ascii="宋体" w:hAnsi="宋体" w:cs="宋体"/>
                <w:kern w:val="0"/>
                <w:sz w:val="20"/>
                <w:szCs w:val="20"/>
              </w:rPr>
            </w:pPr>
            <w:r>
              <w:rPr>
                <w:rFonts w:hint="eastAsia" w:ascii="宋体" w:hAnsi="宋体" w:cs="宋体"/>
                <w:kern w:val="0"/>
                <w:sz w:val="20"/>
                <w:szCs w:val="20"/>
              </w:rPr>
              <w:t>　</w:t>
            </w:r>
          </w:p>
        </w:tc>
        <w:tc>
          <w:tcPr>
            <w:tcW w:w="357" w:type="pct"/>
            <w:tcBorders>
              <w:top w:val="nil"/>
              <w:left w:val="nil"/>
              <w:bottom w:val="single" w:color="auto" w:sz="4" w:space="0"/>
              <w:right w:val="single" w:color="auto" w:sz="4" w:space="0"/>
            </w:tcBorders>
            <w:shd w:val="clear" w:color="000000" w:fill="FFFFFF"/>
            <w:vAlign w:val="center"/>
          </w:tcPr>
          <w:p w14:paraId="055FA7DF">
            <w:pPr>
              <w:widowControl/>
              <w:jc w:val="center"/>
              <w:rPr>
                <w:rFonts w:ascii="宋体" w:hAnsi="宋体" w:cs="宋体"/>
                <w:kern w:val="0"/>
                <w:sz w:val="20"/>
                <w:szCs w:val="20"/>
              </w:rPr>
            </w:pPr>
            <w:r>
              <w:rPr>
                <w:rFonts w:hint="eastAsia" w:ascii="宋体" w:hAnsi="宋体" w:cs="宋体"/>
                <w:kern w:val="0"/>
                <w:sz w:val="20"/>
                <w:szCs w:val="20"/>
              </w:rPr>
              <w:t>　</w:t>
            </w:r>
          </w:p>
        </w:tc>
        <w:tc>
          <w:tcPr>
            <w:tcW w:w="290" w:type="pct"/>
            <w:tcBorders>
              <w:top w:val="nil"/>
              <w:left w:val="nil"/>
              <w:bottom w:val="single" w:color="auto" w:sz="4" w:space="0"/>
              <w:right w:val="single" w:color="auto" w:sz="4" w:space="0"/>
            </w:tcBorders>
            <w:shd w:val="clear" w:color="000000" w:fill="FFFFFF"/>
            <w:vAlign w:val="center"/>
          </w:tcPr>
          <w:p w14:paraId="5275AAE4">
            <w:pPr>
              <w:widowControl/>
              <w:jc w:val="center"/>
              <w:rPr>
                <w:rFonts w:ascii="宋体" w:hAnsi="宋体" w:cs="宋体"/>
                <w:kern w:val="0"/>
                <w:sz w:val="20"/>
                <w:szCs w:val="20"/>
              </w:rPr>
            </w:pPr>
            <w:r>
              <w:rPr>
                <w:rFonts w:hint="eastAsia" w:ascii="宋体" w:hAnsi="宋体" w:cs="宋体"/>
                <w:kern w:val="0"/>
                <w:sz w:val="20"/>
                <w:szCs w:val="20"/>
              </w:rPr>
              <w:t>　</w:t>
            </w:r>
          </w:p>
        </w:tc>
        <w:tc>
          <w:tcPr>
            <w:tcW w:w="519" w:type="pct"/>
            <w:tcBorders>
              <w:top w:val="nil"/>
              <w:left w:val="nil"/>
              <w:bottom w:val="single" w:color="auto" w:sz="4" w:space="0"/>
              <w:right w:val="single" w:color="auto" w:sz="4" w:space="0"/>
            </w:tcBorders>
            <w:shd w:val="clear" w:color="000000" w:fill="FFFFFF"/>
            <w:vAlign w:val="center"/>
          </w:tcPr>
          <w:p w14:paraId="26113FF8">
            <w:pPr>
              <w:widowControl/>
              <w:jc w:val="center"/>
              <w:rPr>
                <w:rFonts w:ascii="宋体" w:hAnsi="宋体" w:cs="宋体"/>
                <w:kern w:val="0"/>
                <w:sz w:val="20"/>
                <w:szCs w:val="20"/>
              </w:rPr>
            </w:pPr>
            <w:r>
              <w:rPr>
                <w:rFonts w:hint="eastAsia" w:ascii="宋体" w:hAnsi="宋体" w:cs="宋体"/>
                <w:kern w:val="0"/>
                <w:sz w:val="20"/>
                <w:szCs w:val="20"/>
              </w:rPr>
              <w:t>　</w:t>
            </w:r>
          </w:p>
        </w:tc>
        <w:tc>
          <w:tcPr>
            <w:tcW w:w="405" w:type="pct"/>
            <w:tcBorders>
              <w:top w:val="nil"/>
              <w:left w:val="nil"/>
              <w:bottom w:val="single" w:color="auto" w:sz="4" w:space="0"/>
              <w:right w:val="single" w:color="auto" w:sz="4" w:space="0"/>
            </w:tcBorders>
            <w:shd w:val="clear" w:color="auto" w:fill="auto"/>
            <w:vAlign w:val="center"/>
          </w:tcPr>
          <w:p w14:paraId="7A9649E8">
            <w:pPr>
              <w:widowControl/>
              <w:jc w:val="center"/>
              <w:rPr>
                <w:rFonts w:ascii="宋体" w:hAnsi="宋体" w:cs="宋体"/>
                <w:kern w:val="0"/>
                <w:sz w:val="20"/>
                <w:szCs w:val="20"/>
              </w:rPr>
            </w:pPr>
            <w:r>
              <w:rPr>
                <w:rFonts w:hint="eastAsia" w:ascii="宋体" w:hAnsi="宋体" w:cs="宋体"/>
                <w:kern w:val="0"/>
                <w:sz w:val="20"/>
                <w:szCs w:val="20"/>
              </w:rPr>
              <w:t>　</w:t>
            </w:r>
          </w:p>
        </w:tc>
        <w:tc>
          <w:tcPr>
            <w:tcW w:w="1294" w:type="pct"/>
            <w:tcBorders>
              <w:top w:val="nil"/>
              <w:left w:val="nil"/>
              <w:bottom w:val="single" w:color="auto" w:sz="4" w:space="0"/>
              <w:right w:val="single" w:color="auto" w:sz="4" w:space="0"/>
            </w:tcBorders>
            <w:shd w:val="clear" w:color="auto" w:fill="auto"/>
            <w:vAlign w:val="center"/>
          </w:tcPr>
          <w:p w14:paraId="4C52013F">
            <w:pPr>
              <w:widowControl/>
              <w:jc w:val="center"/>
              <w:rPr>
                <w:rFonts w:ascii="宋体" w:hAnsi="宋体" w:cs="宋体"/>
                <w:kern w:val="0"/>
                <w:sz w:val="15"/>
                <w:szCs w:val="15"/>
              </w:rPr>
            </w:pPr>
            <w:r>
              <w:rPr>
                <w:rFonts w:hint="eastAsia" w:ascii="宋体" w:hAnsi="宋体" w:cs="宋体"/>
                <w:kern w:val="0"/>
                <w:sz w:val="15"/>
                <w:szCs w:val="15"/>
              </w:rPr>
              <w:t>要求填写税点</w:t>
            </w:r>
          </w:p>
        </w:tc>
      </w:tr>
      <w:tr w14:paraId="496834B2">
        <w:tblPrEx>
          <w:tblCellMar>
            <w:top w:w="0" w:type="dxa"/>
            <w:left w:w="108" w:type="dxa"/>
            <w:bottom w:w="0" w:type="dxa"/>
            <w:right w:w="108" w:type="dxa"/>
          </w:tblCellMar>
        </w:tblPrEx>
        <w:trPr>
          <w:trHeight w:val="440"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19477576">
            <w:pPr>
              <w:widowControl/>
              <w:jc w:val="center"/>
              <w:rPr>
                <w:rFonts w:hint="eastAsia" w:cs="Times New Roman"/>
                <w:kern w:val="0"/>
                <w:sz w:val="20"/>
                <w:szCs w:val="20"/>
                <w:lang w:val="en-US" w:eastAsia="zh-CN"/>
              </w:rPr>
            </w:pPr>
          </w:p>
        </w:tc>
        <w:tc>
          <w:tcPr>
            <w:tcW w:w="924" w:type="pct"/>
            <w:tcBorders>
              <w:top w:val="nil"/>
              <w:left w:val="nil"/>
              <w:bottom w:val="single" w:color="auto" w:sz="4" w:space="0"/>
              <w:right w:val="single" w:color="auto" w:sz="4" w:space="0"/>
            </w:tcBorders>
            <w:shd w:val="clear" w:color="000000" w:fill="FFFFFF"/>
            <w:vAlign w:val="center"/>
          </w:tcPr>
          <w:p w14:paraId="38B3BDC2">
            <w:pPr>
              <w:widowControl/>
              <w:jc w:val="center"/>
              <w:rPr>
                <w:rFonts w:hint="eastAsia" w:ascii="宋体" w:hAnsi="宋体" w:cs="宋体"/>
                <w:kern w:val="0"/>
                <w:sz w:val="20"/>
                <w:szCs w:val="20"/>
              </w:rPr>
            </w:pPr>
          </w:p>
        </w:tc>
        <w:tc>
          <w:tcPr>
            <w:tcW w:w="924" w:type="pct"/>
            <w:tcBorders>
              <w:top w:val="nil"/>
              <w:left w:val="nil"/>
              <w:bottom w:val="single" w:color="auto" w:sz="4" w:space="0"/>
              <w:right w:val="single" w:color="auto" w:sz="4" w:space="0"/>
            </w:tcBorders>
            <w:shd w:val="clear" w:color="000000" w:fill="FFFFFF"/>
            <w:vAlign w:val="center"/>
          </w:tcPr>
          <w:p w14:paraId="775E6A7E">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合计</w:t>
            </w:r>
          </w:p>
        </w:tc>
        <w:tc>
          <w:tcPr>
            <w:tcW w:w="357" w:type="pct"/>
            <w:tcBorders>
              <w:top w:val="nil"/>
              <w:left w:val="nil"/>
              <w:bottom w:val="single" w:color="auto" w:sz="4" w:space="0"/>
              <w:right w:val="single" w:color="auto" w:sz="4" w:space="0"/>
            </w:tcBorders>
            <w:shd w:val="clear" w:color="000000" w:fill="FFFFFF"/>
            <w:vAlign w:val="center"/>
          </w:tcPr>
          <w:p w14:paraId="05E9EF39">
            <w:pPr>
              <w:widowControl/>
              <w:jc w:val="center"/>
              <w:rPr>
                <w:rFonts w:hint="eastAsia" w:ascii="宋体" w:hAnsi="宋体" w:cs="宋体"/>
                <w:kern w:val="0"/>
                <w:sz w:val="20"/>
                <w:szCs w:val="20"/>
              </w:rPr>
            </w:pPr>
          </w:p>
        </w:tc>
        <w:tc>
          <w:tcPr>
            <w:tcW w:w="290" w:type="pct"/>
            <w:tcBorders>
              <w:top w:val="nil"/>
              <w:left w:val="nil"/>
              <w:bottom w:val="single" w:color="auto" w:sz="4" w:space="0"/>
              <w:right w:val="single" w:color="auto" w:sz="4" w:space="0"/>
            </w:tcBorders>
            <w:shd w:val="clear" w:color="000000" w:fill="FFFFFF"/>
            <w:vAlign w:val="center"/>
          </w:tcPr>
          <w:p w14:paraId="23A44B1C">
            <w:pPr>
              <w:widowControl/>
              <w:jc w:val="center"/>
              <w:rPr>
                <w:rFonts w:hint="eastAsia" w:ascii="宋体" w:hAnsi="宋体" w:cs="宋体"/>
                <w:kern w:val="0"/>
                <w:sz w:val="20"/>
                <w:szCs w:val="20"/>
              </w:rPr>
            </w:pPr>
          </w:p>
        </w:tc>
        <w:tc>
          <w:tcPr>
            <w:tcW w:w="519" w:type="pct"/>
            <w:tcBorders>
              <w:top w:val="nil"/>
              <w:left w:val="nil"/>
              <w:bottom w:val="single" w:color="auto" w:sz="4" w:space="0"/>
              <w:right w:val="single" w:color="auto" w:sz="4" w:space="0"/>
            </w:tcBorders>
            <w:shd w:val="clear" w:color="000000" w:fill="FFFFFF"/>
            <w:vAlign w:val="center"/>
          </w:tcPr>
          <w:p w14:paraId="3650AF23">
            <w:pPr>
              <w:widowControl/>
              <w:jc w:val="center"/>
              <w:rPr>
                <w:rFonts w:hint="eastAsia" w:ascii="宋体" w:hAnsi="宋体" w:cs="宋体"/>
                <w:kern w:val="0"/>
                <w:sz w:val="20"/>
                <w:szCs w:val="20"/>
              </w:rPr>
            </w:pPr>
          </w:p>
        </w:tc>
        <w:tc>
          <w:tcPr>
            <w:tcW w:w="405" w:type="pct"/>
            <w:tcBorders>
              <w:top w:val="nil"/>
              <w:left w:val="nil"/>
              <w:bottom w:val="single" w:color="auto" w:sz="4" w:space="0"/>
              <w:right w:val="single" w:color="auto" w:sz="4" w:space="0"/>
            </w:tcBorders>
            <w:shd w:val="clear" w:color="auto" w:fill="auto"/>
            <w:vAlign w:val="center"/>
          </w:tcPr>
          <w:p w14:paraId="779D29D3">
            <w:pPr>
              <w:widowControl/>
              <w:jc w:val="center"/>
              <w:rPr>
                <w:rFonts w:hint="eastAsia" w:ascii="宋体" w:hAnsi="宋体" w:cs="宋体"/>
                <w:kern w:val="0"/>
                <w:sz w:val="20"/>
                <w:szCs w:val="20"/>
              </w:rPr>
            </w:pPr>
          </w:p>
        </w:tc>
        <w:tc>
          <w:tcPr>
            <w:tcW w:w="1294" w:type="pct"/>
            <w:tcBorders>
              <w:top w:val="nil"/>
              <w:left w:val="nil"/>
              <w:bottom w:val="single" w:color="auto" w:sz="4" w:space="0"/>
              <w:right w:val="single" w:color="auto" w:sz="4" w:space="0"/>
            </w:tcBorders>
            <w:shd w:val="clear" w:color="auto" w:fill="auto"/>
            <w:vAlign w:val="center"/>
          </w:tcPr>
          <w:p w14:paraId="2026C038">
            <w:pPr>
              <w:widowControl/>
              <w:jc w:val="center"/>
              <w:rPr>
                <w:rFonts w:hint="eastAsia" w:ascii="宋体" w:hAnsi="宋体" w:cs="宋体"/>
                <w:kern w:val="0"/>
                <w:sz w:val="15"/>
                <w:szCs w:val="15"/>
              </w:rPr>
            </w:pPr>
          </w:p>
        </w:tc>
      </w:tr>
      <w:tr w14:paraId="3710E230">
        <w:tblPrEx>
          <w:tblCellMar>
            <w:top w:w="0" w:type="dxa"/>
            <w:left w:w="108" w:type="dxa"/>
            <w:bottom w:w="0" w:type="dxa"/>
            <w:right w:w="108" w:type="dxa"/>
          </w:tblCellMar>
        </w:tblPrEx>
        <w:trPr>
          <w:trHeight w:val="393" w:hRule="atLeast"/>
        </w:trPr>
        <w:tc>
          <w:tcPr>
            <w:tcW w:w="283" w:type="pct"/>
            <w:tcBorders>
              <w:top w:val="nil"/>
              <w:left w:val="single" w:color="auto" w:sz="4" w:space="0"/>
              <w:bottom w:val="single" w:color="auto" w:sz="4" w:space="0"/>
              <w:right w:val="single" w:color="auto" w:sz="4" w:space="0"/>
            </w:tcBorders>
            <w:shd w:val="clear" w:color="auto" w:fill="auto"/>
            <w:vAlign w:val="center"/>
          </w:tcPr>
          <w:p w14:paraId="62BA8DBE">
            <w:pPr>
              <w:widowControl/>
              <w:jc w:val="center"/>
              <w:rPr>
                <w:rFonts w:ascii="宋体" w:hAnsi="宋体" w:cs="宋体"/>
                <w:kern w:val="0"/>
                <w:sz w:val="20"/>
                <w:szCs w:val="20"/>
              </w:rPr>
            </w:pPr>
            <w:r>
              <w:rPr>
                <w:rFonts w:hint="eastAsia" w:ascii="宋体" w:hAnsi="宋体" w:cs="宋体"/>
                <w:kern w:val="0"/>
                <w:sz w:val="20"/>
                <w:szCs w:val="20"/>
              </w:rPr>
              <w:t>备注</w:t>
            </w:r>
          </w:p>
        </w:tc>
        <w:tc>
          <w:tcPr>
            <w:tcW w:w="4716" w:type="pct"/>
            <w:gridSpan w:val="7"/>
            <w:tcBorders>
              <w:top w:val="single" w:color="auto" w:sz="4" w:space="0"/>
              <w:left w:val="nil"/>
              <w:bottom w:val="single" w:color="auto" w:sz="4" w:space="0"/>
              <w:right w:val="single" w:color="auto" w:sz="4" w:space="0"/>
            </w:tcBorders>
            <w:shd w:val="clear" w:color="auto" w:fill="auto"/>
            <w:vAlign w:val="center"/>
          </w:tcPr>
          <w:p w14:paraId="116DEAE2">
            <w:pPr>
              <w:widowControl/>
              <w:jc w:val="center"/>
              <w:rPr>
                <w:rFonts w:ascii="宋体" w:hAnsi="宋体" w:cs="宋体"/>
                <w:kern w:val="0"/>
                <w:sz w:val="20"/>
                <w:szCs w:val="20"/>
              </w:rPr>
            </w:pPr>
          </w:p>
        </w:tc>
      </w:tr>
    </w:tbl>
    <w:p w14:paraId="391F80C1">
      <w:pPr>
        <w:spacing w:line="360" w:lineRule="auto"/>
        <w:jc w:val="left"/>
        <w:rPr>
          <w:rFonts w:asciiTheme="minorEastAsia" w:hAnsiTheme="minorEastAsia" w:eastAsiaTheme="minorEastAsia"/>
          <w:color w:val="000000"/>
          <w:sz w:val="24"/>
          <w:szCs w:val="24"/>
        </w:rPr>
      </w:pPr>
    </w:p>
    <w:sectPr>
      <w:pgSz w:w="11907" w:h="16840"/>
      <w:pgMar w:top="1276" w:right="1134" w:bottom="993" w:left="1134"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970BD">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51D4FB0"/>
    <w:multiLevelType w:val="multilevel"/>
    <w:tmpl w:val="051D4FB0"/>
    <w:lvl w:ilvl="0" w:tentative="0">
      <w:start w:val="1"/>
      <w:numFmt w:val="decimalEnclosedCircle"/>
      <w:lvlText w:val="%1"/>
      <w:lvlJc w:val="left"/>
      <w:pPr>
        <w:ind w:left="640" w:hanging="360"/>
      </w:pPr>
      <w:rPr>
        <w:rFonts w:hint="default"/>
      </w:rPr>
    </w:lvl>
    <w:lvl w:ilvl="1" w:tentative="0">
      <w:start w:val="1"/>
      <w:numFmt w:val="lowerLetter"/>
      <w:lvlText w:val="%2)"/>
      <w:lvlJc w:val="left"/>
      <w:pPr>
        <w:ind w:left="1120" w:hanging="420"/>
      </w:pPr>
    </w:lvl>
    <w:lvl w:ilvl="2" w:tentative="0">
      <w:start w:val="1"/>
      <w:numFmt w:val="lowerRoman"/>
      <w:lvlText w:val="%3."/>
      <w:lvlJc w:val="right"/>
      <w:pPr>
        <w:ind w:left="1540" w:hanging="420"/>
      </w:pPr>
    </w:lvl>
    <w:lvl w:ilvl="3" w:tentative="0">
      <w:start w:val="1"/>
      <w:numFmt w:val="decimal"/>
      <w:lvlText w:val="%4."/>
      <w:lvlJc w:val="left"/>
      <w:pPr>
        <w:ind w:left="1960" w:hanging="420"/>
      </w:pPr>
    </w:lvl>
    <w:lvl w:ilvl="4" w:tentative="0">
      <w:start w:val="1"/>
      <w:numFmt w:val="lowerLetter"/>
      <w:lvlText w:val="%5)"/>
      <w:lvlJc w:val="left"/>
      <w:pPr>
        <w:ind w:left="2380" w:hanging="420"/>
      </w:pPr>
    </w:lvl>
    <w:lvl w:ilvl="5" w:tentative="0">
      <w:start w:val="1"/>
      <w:numFmt w:val="lowerRoman"/>
      <w:lvlText w:val="%6."/>
      <w:lvlJc w:val="right"/>
      <w:pPr>
        <w:ind w:left="2800" w:hanging="420"/>
      </w:pPr>
    </w:lvl>
    <w:lvl w:ilvl="6" w:tentative="0">
      <w:start w:val="1"/>
      <w:numFmt w:val="decimal"/>
      <w:lvlText w:val="%7."/>
      <w:lvlJc w:val="left"/>
      <w:pPr>
        <w:ind w:left="3220" w:hanging="420"/>
      </w:pPr>
    </w:lvl>
    <w:lvl w:ilvl="7" w:tentative="0">
      <w:start w:val="1"/>
      <w:numFmt w:val="lowerLetter"/>
      <w:lvlText w:val="%8)"/>
      <w:lvlJc w:val="left"/>
      <w:pPr>
        <w:ind w:left="3640" w:hanging="420"/>
      </w:pPr>
    </w:lvl>
    <w:lvl w:ilvl="8" w:tentative="0">
      <w:start w:val="1"/>
      <w:numFmt w:val="lowerRoman"/>
      <w:lvlText w:val="%9."/>
      <w:lvlJc w:val="right"/>
      <w:pPr>
        <w:ind w:left="4060" w:hanging="420"/>
      </w:p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F2B5AEB"/>
    <w:multiLevelType w:val="multilevel"/>
    <w:tmpl w:val="7F2B5AEB"/>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NotTrackFormatting/>
  <w:documentProtection w:edit="readOnly" w:formatting="1" w:enforcement="0"/>
  <w:defaultTabStop w:val="420"/>
  <w:drawingGridHorizontalSpacing w:val="105"/>
  <w:drawingGridVerticalSpacing w:val="16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ED0"/>
    <w:rsid w:val="000007B7"/>
    <w:rsid w:val="0000384F"/>
    <w:rsid w:val="00004FF1"/>
    <w:rsid w:val="00005B73"/>
    <w:rsid w:val="00006D7E"/>
    <w:rsid w:val="0001287C"/>
    <w:rsid w:val="00012BFA"/>
    <w:rsid w:val="00026D54"/>
    <w:rsid w:val="000369C4"/>
    <w:rsid w:val="00044ACA"/>
    <w:rsid w:val="00045122"/>
    <w:rsid w:val="000503CE"/>
    <w:rsid w:val="000507C4"/>
    <w:rsid w:val="000535B8"/>
    <w:rsid w:val="0005475E"/>
    <w:rsid w:val="00055419"/>
    <w:rsid w:val="000616CD"/>
    <w:rsid w:val="00063F50"/>
    <w:rsid w:val="0007421E"/>
    <w:rsid w:val="000742A1"/>
    <w:rsid w:val="00074383"/>
    <w:rsid w:val="00077653"/>
    <w:rsid w:val="00084CDA"/>
    <w:rsid w:val="000930FE"/>
    <w:rsid w:val="000941B8"/>
    <w:rsid w:val="00095650"/>
    <w:rsid w:val="00095F6E"/>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D63DA"/>
    <w:rsid w:val="000D72E2"/>
    <w:rsid w:val="000E125A"/>
    <w:rsid w:val="000E51CA"/>
    <w:rsid w:val="000F0538"/>
    <w:rsid w:val="000F2427"/>
    <w:rsid w:val="000F2FC6"/>
    <w:rsid w:val="000F4060"/>
    <w:rsid w:val="000F50F2"/>
    <w:rsid w:val="000F575A"/>
    <w:rsid w:val="0010706E"/>
    <w:rsid w:val="00113E37"/>
    <w:rsid w:val="00114B85"/>
    <w:rsid w:val="00117A72"/>
    <w:rsid w:val="0012090D"/>
    <w:rsid w:val="00120942"/>
    <w:rsid w:val="001219DA"/>
    <w:rsid w:val="001264A1"/>
    <w:rsid w:val="00127DFC"/>
    <w:rsid w:val="00131E92"/>
    <w:rsid w:val="00132E07"/>
    <w:rsid w:val="00136549"/>
    <w:rsid w:val="00137A41"/>
    <w:rsid w:val="001400D4"/>
    <w:rsid w:val="001419EB"/>
    <w:rsid w:val="00143273"/>
    <w:rsid w:val="0014722B"/>
    <w:rsid w:val="0014729E"/>
    <w:rsid w:val="00152F22"/>
    <w:rsid w:val="001563D3"/>
    <w:rsid w:val="00156EF1"/>
    <w:rsid w:val="00157353"/>
    <w:rsid w:val="00160266"/>
    <w:rsid w:val="001608E9"/>
    <w:rsid w:val="0016352B"/>
    <w:rsid w:val="00163737"/>
    <w:rsid w:val="0016665E"/>
    <w:rsid w:val="00170C97"/>
    <w:rsid w:val="0017142D"/>
    <w:rsid w:val="001724BF"/>
    <w:rsid w:val="00175372"/>
    <w:rsid w:val="001765F0"/>
    <w:rsid w:val="00182942"/>
    <w:rsid w:val="001844CB"/>
    <w:rsid w:val="0018583A"/>
    <w:rsid w:val="00191009"/>
    <w:rsid w:val="001925E5"/>
    <w:rsid w:val="00192DB2"/>
    <w:rsid w:val="00193F95"/>
    <w:rsid w:val="00196FE0"/>
    <w:rsid w:val="001A222F"/>
    <w:rsid w:val="001A2C93"/>
    <w:rsid w:val="001A5AE5"/>
    <w:rsid w:val="001B09E7"/>
    <w:rsid w:val="001B17CA"/>
    <w:rsid w:val="001B6B51"/>
    <w:rsid w:val="001C22FD"/>
    <w:rsid w:val="001C279B"/>
    <w:rsid w:val="001C63AB"/>
    <w:rsid w:val="001C6622"/>
    <w:rsid w:val="001D0EAA"/>
    <w:rsid w:val="001D0FE8"/>
    <w:rsid w:val="001D3185"/>
    <w:rsid w:val="001D60C4"/>
    <w:rsid w:val="001D6AB7"/>
    <w:rsid w:val="001E53D0"/>
    <w:rsid w:val="001E5549"/>
    <w:rsid w:val="001E7603"/>
    <w:rsid w:val="001F7CAF"/>
    <w:rsid w:val="002000CE"/>
    <w:rsid w:val="002008CC"/>
    <w:rsid w:val="00201222"/>
    <w:rsid w:val="002030E1"/>
    <w:rsid w:val="00203999"/>
    <w:rsid w:val="00204419"/>
    <w:rsid w:val="00205F12"/>
    <w:rsid w:val="00210A7C"/>
    <w:rsid w:val="00210BCF"/>
    <w:rsid w:val="00215784"/>
    <w:rsid w:val="00215DF7"/>
    <w:rsid w:val="002200F3"/>
    <w:rsid w:val="00220762"/>
    <w:rsid w:val="0022330A"/>
    <w:rsid w:val="00227273"/>
    <w:rsid w:val="00227327"/>
    <w:rsid w:val="00227EAA"/>
    <w:rsid w:val="00231A8A"/>
    <w:rsid w:val="00234A4A"/>
    <w:rsid w:val="002355B4"/>
    <w:rsid w:val="00235976"/>
    <w:rsid w:val="002368CE"/>
    <w:rsid w:val="00236E54"/>
    <w:rsid w:val="00237233"/>
    <w:rsid w:val="002374AC"/>
    <w:rsid w:val="002415A4"/>
    <w:rsid w:val="00243458"/>
    <w:rsid w:val="00244C63"/>
    <w:rsid w:val="00245CFF"/>
    <w:rsid w:val="002502B9"/>
    <w:rsid w:val="0025172C"/>
    <w:rsid w:val="00251A1B"/>
    <w:rsid w:val="00254E0E"/>
    <w:rsid w:val="002555B6"/>
    <w:rsid w:val="0026670C"/>
    <w:rsid w:val="00272C17"/>
    <w:rsid w:val="0027714D"/>
    <w:rsid w:val="002905F7"/>
    <w:rsid w:val="002A05DD"/>
    <w:rsid w:val="002A1D9A"/>
    <w:rsid w:val="002A224A"/>
    <w:rsid w:val="002A32EA"/>
    <w:rsid w:val="002A4A4D"/>
    <w:rsid w:val="002A5A03"/>
    <w:rsid w:val="002A6766"/>
    <w:rsid w:val="002B7214"/>
    <w:rsid w:val="002C357D"/>
    <w:rsid w:val="002C3587"/>
    <w:rsid w:val="002C7551"/>
    <w:rsid w:val="002C772D"/>
    <w:rsid w:val="002E2198"/>
    <w:rsid w:val="002E2C71"/>
    <w:rsid w:val="002E59B0"/>
    <w:rsid w:val="002E6516"/>
    <w:rsid w:val="002F109A"/>
    <w:rsid w:val="002F1157"/>
    <w:rsid w:val="002F3749"/>
    <w:rsid w:val="002F3DE0"/>
    <w:rsid w:val="003016DB"/>
    <w:rsid w:val="003039A2"/>
    <w:rsid w:val="003045E3"/>
    <w:rsid w:val="00306BD0"/>
    <w:rsid w:val="00307968"/>
    <w:rsid w:val="003106E9"/>
    <w:rsid w:val="0031080B"/>
    <w:rsid w:val="0031424A"/>
    <w:rsid w:val="00314845"/>
    <w:rsid w:val="00327DE2"/>
    <w:rsid w:val="00327FC7"/>
    <w:rsid w:val="00330362"/>
    <w:rsid w:val="00331421"/>
    <w:rsid w:val="003361CE"/>
    <w:rsid w:val="00337BAE"/>
    <w:rsid w:val="003431BC"/>
    <w:rsid w:val="003432FF"/>
    <w:rsid w:val="00343C01"/>
    <w:rsid w:val="003440B1"/>
    <w:rsid w:val="00345071"/>
    <w:rsid w:val="003467AD"/>
    <w:rsid w:val="00352F0E"/>
    <w:rsid w:val="003534FC"/>
    <w:rsid w:val="003542F4"/>
    <w:rsid w:val="00354C22"/>
    <w:rsid w:val="00356D07"/>
    <w:rsid w:val="00361D13"/>
    <w:rsid w:val="00363811"/>
    <w:rsid w:val="003776A2"/>
    <w:rsid w:val="00380C45"/>
    <w:rsid w:val="00384FF6"/>
    <w:rsid w:val="00393456"/>
    <w:rsid w:val="00393F27"/>
    <w:rsid w:val="00396DB6"/>
    <w:rsid w:val="00397DEB"/>
    <w:rsid w:val="003A7705"/>
    <w:rsid w:val="003B12F0"/>
    <w:rsid w:val="003B1753"/>
    <w:rsid w:val="003B3EDD"/>
    <w:rsid w:val="003B46C0"/>
    <w:rsid w:val="003B6841"/>
    <w:rsid w:val="003C05F3"/>
    <w:rsid w:val="003C2315"/>
    <w:rsid w:val="003C349E"/>
    <w:rsid w:val="003C371F"/>
    <w:rsid w:val="003C3999"/>
    <w:rsid w:val="003C499C"/>
    <w:rsid w:val="003C5F72"/>
    <w:rsid w:val="003D1BCD"/>
    <w:rsid w:val="003D63D6"/>
    <w:rsid w:val="003E4DE6"/>
    <w:rsid w:val="003E77DD"/>
    <w:rsid w:val="003F4157"/>
    <w:rsid w:val="003F7A36"/>
    <w:rsid w:val="004030E0"/>
    <w:rsid w:val="00404AF8"/>
    <w:rsid w:val="00407262"/>
    <w:rsid w:val="004113A9"/>
    <w:rsid w:val="00412BC5"/>
    <w:rsid w:val="0042773C"/>
    <w:rsid w:val="004321F7"/>
    <w:rsid w:val="004333CD"/>
    <w:rsid w:val="00433918"/>
    <w:rsid w:val="004350F7"/>
    <w:rsid w:val="004407A6"/>
    <w:rsid w:val="00440804"/>
    <w:rsid w:val="00445796"/>
    <w:rsid w:val="004545DF"/>
    <w:rsid w:val="00455511"/>
    <w:rsid w:val="00456422"/>
    <w:rsid w:val="00460621"/>
    <w:rsid w:val="00467CFA"/>
    <w:rsid w:val="00475DFA"/>
    <w:rsid w:val="0048157A"/>
    <w:rsid w:val="0048198F"/>
    <w:rsid w:val="0048474F"/>
    <w:rsid w:val="00484829"/>
    <w:rsid w:val="00484B15"/>
    <w:rsid w:val="004854C4"/>
    <w:rsid w:val="00485FBD"/>
    <w:rsid w:val="00486C6C"/>
    <w:rsid w:val="00490A12"/>
    <w:rsid w:val="004914B0"/>
    <w:rsid w:val="00491E00"/>
    <w:rsid w:val="00496744"/>
    <w:rsid w:val="00497C31"/>
    <w:rsid w:val="004A29ED"/>
    <w:rsid w:val="004A699E"/>
    <w:rsid w:val="004A7BCE"/>
    <w:rsid w:val="004B145E"/>
    <w:rsid w:val="004B5CC5"/>
    <w:rsid w:val="004B66ED"/>
    <w:rsid w:val="004B7864"/>
    <w:rsid w:val="004B7C4E"/>
    <w:rsid w:val="004C3A44"/>
    <w:rsid w:val="004D06F1"/>
    <w:rsid w:val="004D1C1A"/>
    <w:rsid w:val="004E5E37"/>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525E2"/>
    <w:rsid w:val="00556D28"/>
    <w:rsid w:val="00560A5A"/>
    <w:rsid w:val="00561B95"/>
    <w:rsid w:val="00565B17"/>
    <w:rsid w:val="005715F6"/>
    <w:rsid w:val="00572585"/>
    <w:rsid w:val="0058123D"/>
    <w:rsid w:val="0058784E"/>
    <w:rsid w:val="00590112"/>
    <w:rsid w:val="005943DB"/>
    <w:rsid w:val="005956C6"/>
    <w:rsid w:val="005968DF"/>
    <w:rsid w:val="005A4E94"/>
    <w:rsid w:val="005A74C6"/>
    <w:rsid w:val="005B193F"/>
    <w:rsid w:val="005B3EF9"/>
    <w:rsid w:val="005B41F4"/>
    <w:rsid w:val="005B48FC"/>
    <w:rsid w:val="005B5728"/>
    <w:rsid w:val="005B7F8E"/>
    <w:rsid w:val="005C161C"/>
    <w:rsid w:val="005C320D"/>
    <w:rsid w:val="005C6227"/>
    <w:rsid w:val="005D79D8"/>
    <w:rsid w:val="005E2D48"/>
    <w:rsid w:val="005E3228"/>
    <w:rsid w:val="005E4079"/>
    <w:rsid w:val="005F0563"/>
    <w:rsid w:val="005F1911"/>
    <w:rsid w:val="005F3328"/>
    <w:rsid w:val="005F34FD"/>
    <w:rsid w:val="005F439E"/>
    <w:rsid w:val="00605737"/>
    <w:rsid w:val="0060686C"/>
    <w:rsid w:val="00606DB9"/>
    <w:rsid w:val="00610E99"/>
    <w:rsid w:val="00611986"/>
    <w:rsid w:val="006155F4"/>
    <w:rsid w:val="00621FD1"/>
    <w:rsid w:val="0062216A"/>
    <w:rsid w:val="0062409B"/>
    <w:rsid w:val="00631344"/>
    <w:rsid w:val="0063300F"/>
    <w:rsid w:val="00633DF9"/>
    <w:rsid w:val="00635B18"/>
    <w:rsid w:val="00640CD1"/>
    <w:rsid w:val="00644685"/>
    <w:rsid w:val="00644F2F"/>
    <w:rsid w:val="006500EA"/>
    <w:rsid w:val="0065355D"/>
    <w:rsid w:val="00655047"/>
    <w:rsid w:val="0065707A"/>
    <w:rsid w:val="00667617"/>
    <w:rsid w:val="00674F64"/>
    <w:rsid w:val="006751E2"/>
    <w:rsid w:val="00676239"/>
    <w:rsid w:val="006778F7"/>
    <w:rsid w:val="00677B79"/>
    <w:rsid w:val="00681EC9"/>
    <w:rsid w:val="00691778"/>
    <w:rsid w:val="00691EC1"/>
    <w:rsid w:val="00692E53"/>
    <w:rsid w:val="006942F8"/>
    <w:rsid w:val="0069444D"/>
    <w:rsid w:val="006A260A"/>
    <w:rsid w:val="006A33C7"/>
    <w:rsid w:val="006A736D"/>
    <w:rsid w:val="006B06F6"/>
    <w:rsid w:val="006B507A"/>
    <w:rsid w:val="006C19C7"/>
    <w:rsid w:val="006C1DD0"/>
    <w:rsid w:val="006C65B6"/>
    <w:rsid w:val="006D2C51"/>
    <w:rsid w:val="006D2E24"/>
    <w:rsid w:val="006D3754"/>
    <w:rsid w:val="006D4357"/>
    <w:rsid w:val="006D601C"/>
    <w:rsid w:val="006D7153"/>
    <w:rsid w:val="006E0C5E"/>
    <w:rsid w:val="006E5B53"/>
    <w:rsid w:val="006E6A3C"/>
    <w:rsid w:val="006E6C16"/>
    <w:rsid w:val="006E7DD7"/>
    <w:rsid w:val="006E7E05"/>
    <w:rsid w:val="006F2FE4"/>
    <w:rsid w:val="006F715B"/>
    <w:rsid w:val="0070054D"/>
    <w:rsid w:val="007021A2"/>
    <w:rsid w:val="00705A9F"/>
    <w:rsid w:val="00707BD7"/>
    <w:rsid w:val="00711644"/>
    <w:rsid w:val="00711F59"/>
    <w:rsid w:val="0071376E"/>
    <w:rsid w:val="00715C2F"/>
    <w:rsid w:val="00715CF6"/>
    <w:rsid w:val="007171B1"/>
    <w:rsid w:val="00721328"/>
    <w:rsid w:val="007214BF"/>
    <w:rsid w:val="00723DB2"/>
    <w:rsid w:val="00725404"/>
    <w:rsid w:val="00725502"/>
    <w:rsid w:val="00725828"/>
    <w:rsid w:val="00725833"/>
    <w:rsid w:val="00727DFA"/>
    <w:rsid w:val="00732A88"/>
    <w:rsid w:val="00733FC8"/>
    <w:rsid w:val="00735F38"/>
    <w:rsid w:val="00742F97"/>
    <w:rsid w:val="00742FEB"/>
    <w:rsid w:val="00743B54"/>
    <w:rsid w:val="0074619F"/>
    <w:rsid w:val="007469CE"/>
    <w:rsid w:val="00750A30"/>
    <w:rsid w:val="00753A6D"/>
    <w:rsid w:val="00757900"/>
    <w:rsid w:val="007579C5"/>
    <w:rsid w:val="00757EBE"/>
    <w:rsid w:val="00757FB8"/>
    <w:rsid w:val="0076054E"/>
    <w:rsid w:val="00767AED"/>
    <w:rsid w:val="00770201"/>
    <w:rsid w:val="007722DD"/>
    <w:rsid w:val="007765FE"/>
    <w:rsid w:val="00781472"/>
    <w:rsid w:val="00782C1C"/>
    <w:rsid w:val="00786D41"/>
    <w:rsid w:val="00792B1C"/>
    <w:rsid w:val="00794F11"/>
    <w:rsid w:val="00795202"/>
    <w:rsid w:val="007953EE"/>
    <w:rsid w:val="007970C4"/>
    <w:rsid w:val="00797AC3"/>
    <w:rsid w:val="007A559C"/>
    <w:rsid w:val="007A5BEF"/>
    <w:rsid w:val="007A6E42"/>
    <w:rsid w:val="007A6F56"/>
    <w:rsid w:val="007B3FFC"/>
    <w:rsid w:val="007C258B"/>
    <w:rsid w:val="007C518E"/>
    <w:rsid w:val="007D10A1"/>
    <w:rsid w:val="007E0E0E"/>
    <w:rsid w:val="007E314C"/>
    <w:rsid w:val="007E31BF"/>
    <w:rsid w:val="007E751A"/>
    <w:rsid w:val="007E7F57"/>
    <w:rsid w:val="007F6003"/>
    <w:rsid w:val="007F6810"/>
    <w:rsid w:val="007F74D9"/>
    <w:rsid w:val="00800842"/>
    <w:rsid w:val="00801AB8"/>
    <w:rsid w:val="008028C3"/>
    <w:rsid w:val="00806D35"/>
    <w:rsid w:val="00807C9D"/>
    <w:rsid w:val="008107BC"/>
    <w:rsid w:val="00811071"/>
    <w:rsid w:val="008133A3"/>
    <w:rsid w:val="008139B0"/>
    <w:rsid w:val="00816D3B"/>
    <w:rsid w:val="00833C18"/>
    <w:rsid w:val="0083540F"/>
    <w:rsid w:val="00837974"/>
    <w:rsid w:val="00837F4F"/>
    <w:rsid w:val="00840A1D"/>
    <w:rsid w:val="00846B12"/>
    <w:rsid w:val="00846B20"/>
    <w:rsid w:val="00847E4A"/>
    <w:rsid w:val="00852823"/>
    <w:rsid w:val="00854E40"/>
    <w:rsid w:val="008558E9"/>
    <w:rsid w:val="0085632D"/>
    <w:rsid w:val="00863435"/>
    <w:rsid w:val="00864EBB"/>
    <w:rsid w:val="00865807"/>
    <w:rsid w:val="0087416D"/>
    <w:rsid w:val="0087460F"/>
    <w:rsid w:val="008764A0"/>
    <w:rsid w:val="00880ADA"/>
    <w:rsid w:val="00880D0D"/>
    <w:rsid w:val="00881761"/>
    <w:rsid w:val="0088194E"/>
    <w:rsid w:val="00883439"/>
    <w:rsid w:val="00883499"/>
    <w:rsid w:val="00883D24"/>
    <w:rsid w:val="008908B3"/>
    <w:rsid w:val="00890C1B"/>
    <w:rsid w:val="008922C7"/>
    <w:rsid w:val="008924EB"/>
    <w:rsid w:val="008A17BF"/>
    <w:rsid w:val="008A24CB"/>
    <w:rsid w:val="008A2C80"/>
    <w:rsid w:val="008A31B3"/>
    <w:rsid w:val="008A5E76"/>
    <w:rsid w:val="008B0C71"/>
    <w:rsid w:val="008B368D"/>
    <w:rsid w:val="008B59C5"/>
    <w:rsid w:val="008C16BA"/>
    <w:rsid w:val="008C2811"/>
    <w:rsid w:val="008C3CA9"/>
    <w:rsid w:val="008C5A30"/>
    <w:rsid w:val="008C6743"/>
    <w:rsid w:val="008D0DC7"/>
    <w:rsid w:val="008D4710"/>
    <w:rsid w:val="008D517E"/>
    <w:rsid w:val="008D5431"/>
    <w:rsid w:val="008D65F6"/>
    <w:rsid w:val="008D6B16"/>
    <w:rsid w:val="008E4625"/>
    <w:rsid w:val="008E718F"/>
    <w:rsid w:val="008F00D0"/>
    <w:rsid w:val="008F14C3"/>
    <w:rsid w:val="008F36EF"/>
    <w:rsid w:val="008F44F8"/>
    <w:rsid w:val="008F5E1F"/>
    <w:rsid w:val="008F63E9"/>
    <w:rsid w:val="009003E6"/>
    <w:rsid w:val="00901471"/>
    <w:rsid w:val="00901EF0"/>
    <w:rsid w:val="0090274A"/>
    <w:rsid w:val="00902E6B"/>
    <w:rsid w:val="00904635"/>
    <w:rsid w:val="00906EEE"/>
    <w:rsid w:val="00907382"/>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541AE"/>
    <w:rsid w:val="00961178"/>
    <w:rsid w:val="00964A4B"/>
    <w:rsid w:val="0096611E"/>
    <w:rsid w:val="009673AF"/>
    <w:rsid w:val="009772B9"/>
    <w:rsid w:val="00983A8D"/>
    <w:rsid w:val="00984E18"/>
    <w:rsid w:val="00985E72"/>
    <w:rsid w:val="0099148F"/>
    <w:rsid w:val="009942F5"/>
    <w:rsid w:val="009956FD"/>
    <w:rsid w:val="0099786D"/>
    <w:rsid w:val="009B19DC"/>
    <w:rsid w:val="009B38A1"/>
    <w:rsid w:val="009B3D46"/>
    <w:rsid w:val="009B59CA"/>
    <w:rsid w:val="009C6F7D"/>
    <w:rsid w:val="009D2A2D"/>
    <w:rsid w:val="009E2C2B"/>
    <w:rsid w:val="009E2D0E"/>
    <w:rsid w:val="009E3403"/>
    <w:rsid w:val="009F03D0"/>
    <w:rsid w:val="009F05E5"/>
    <w:rsid w:val="009F0AB8"/>
    <w:rsid w:val="009F27FB"/>
    <w:rsid w:val="009F3060"/>
    <w:rsid w:val="009F34D1"/>
    <w:rsid w:val="009F5688"/>
    <w:rsid w:val="009F67E6"/>
    <w:rsid w:val="009F7302"/>
    <w:rsid w:val="00A02C94"/>
    <w:rsid w:val="00A057D3"/>
    <w:rsid w:val="00A05B33"/>
    <w:rsid w:val="00A05F19"/>
    <w:rsid w:val="00A073C6"/>
    <w:rsid w:val="00A11CF1"/>
    <w:rsid w:val="00A1377B"/>
    <w:rsid w:val="00A154B6"/>
    <w:rsid w:val="00A16FBD"/>
    <w:rsid w:val="00A20D53"/>
    <w:rsid w:val="00A2111B"/>
    <w:rsid w:val="00A238CD"/>
    <w:rsid w:val="00A25FAB"/>
    <w:rsid w:val="00A31649"/>
    <w:rsid w:val="00A34A4A"/>
    <w:rsid w:val="00A36417"/>
    <w:rsid w:val="00A40F11"/>
    <w:rsid w:val="00A43898"/>
    <w:rsid w:val="00A43E69"/>
    <w:rsid w:val="00A450CE"/>
    <w:rsid w:val="00A46C5D"/>
    <w:rsid w:val="00A549B4"/>
    <w:rsid w:val="00A5612B"/>
    <w:rsid w:val="00A6082D"/>
    <w:rsid w:val="00A63294"/>
    <w:rsid w:val="00A63A2A"/>
    <w:rsid w:val="00A64C24"/>
    <w:rsid w:val="00A64EB0"/>
    <w:rsid w:val="00A67531"/>
    <w:rsid w:val="00A70D34"/>
    <w:rsid w:val="00A71EF2"/>
    <w:rsid w:val="00A72D1C"/>
    <w:rsid w:val="00A74482"/>
    <w:rsid w:val="00A74EE0"/>
    <w:rsid w:val="00A76643"/>
    <w:rsid w:val="00A7749C"/>
    <w:rsid w:val="00A7786F"/>
    <w:rsid w:val="00A861CA"/>
    <w:rsid w:val="00A87427"/>
    <w:rsid w:val="00A87C81"/>
    <w:rsid w:val="00A9245A"/>
    <w:rsid w:val="00A95B2F"/>
    <w:rsid w:val="00A96A59"/>
    <w:rsid w:val="00AA0986"/>
    <w:rsid w:val="00AA7D10"/>
    <w:rsid w:val="00AB24A2"/>
    <w:rsid w:val="00AB4398"/>
    <w:rsid w:val="00AB6439"/>
    <w:rsid w:val="00AB6A36"/>
    <w:rsid w:val="00AB7DBB"/>
    <w:rsid w:val="00AC1A79"/>
    <w:rsid w:val="00AC1ADC"/>
    <w:rsid w:val="00AC2E6F"/>
    <w:rsid w:val="00AC3A72"/>
    <w:rsid w:val="00AD005C"/>
    <w:rsid w:val="00AD016B"/>
    <w:rsid w:val="00AD0A3F"/>
    <w:rsid w:val="00AD0D60"/>
    <w:rsid w:val="00AD2C6E"/>
    <w:rsid w:val="00AD445F"/>
    <w:rsid w:val="00AE0B89"/>
    <w:rsid w:val="00AE5EAC"/>
    <w:rsid w:val="00AE6CCF"/>
    <w:rsid w:val="00AF04F6"/>
    <w:rsid w:val="00AF089C"/>
    <w:rsid w:val="00AF20AC"/>
    <w:rsid w:val="00AF2727"/>
    <w:rsid w:val="00AF33E5"/>
    <w:rsid w:val="00B0073D"/>
    <w:rsid w:val="00B01550"/>
    <w:rsid w:val="00B04A3E"/>
    <w:rsid w:val="00B07B72"/>
    <w:rsid w:val="00B1049F"/>
    <w:rsid w:val="00B1085E"/>
    <w:rsid w:val="00B12A96"/>
    <w:rsid w:val="00B132E4"/>
    <w:rsid w:val="00B148F2"/>
    <w:rsid w:val="00B14C6E"/>
    <w:rsid w:val="00B16EE8"/>
    <w:rsid w:val="00B200EF"/>
    <w:rsid w:val="00B20140"/>
    <w:rsid w:val="00B218FE"/>
    <w:rsid w:val="00B21C59"/>
    <w:rsid w:val="00B30AAC"/>
    <w:rsid w:val="00B3448D"/>
    <w:rsid w:val="00B3580E"/>
    <w:rsid w:val="00B41637"/>
    <w:rsid w:val="00B41A69"/>
    <w:rsid w:val="00B41A9A"/>
    <w:rsid w:val="00B430FF"/>
    <w:rsid w:val="00B43AE8"/>
    <w:rsid w:val="00B44107"/>
    <w:rsid w:val="00B44693"/>
    <w:rsid w:val="00B46DE4"/>
    <w:rsid w:val="00B54259"/>
    <w:rsid w:val="00B54CE6"/>
    <w:rsid w:val="00B54F0B"/>
    <w:rsid w:val="00B60983"/>
    <w:rsid w:val="00B62043"/>
    <w:rsid w:val="00B64CDD"/>
    <w:rsid w:val="00B67CEE"/>
    <w:rsid w:val="00B72957"/>
    <w:rsid w:val="00B73956"/>
    <w:rsid w:val="00B75E79"/>
    <w:rsid w:val="00B8143C"/>
    <w:rsid w:val="00B84BD7"/>
    <w:rsid w:val="00B868AE"/>
    <w:rsid w:val="00B87690"/>
    <w:rsid w:val="00B87F6F"/>
    <w:rsid w:val="00B9040F"/>
    <w:rsid w:val="00B92C68"/>
    <w:rsid w:val="00B949C8"/>
    <w:rsid w:val="00B95683"/>
    <w:rsid w:val="00B979FB"/>
    <w:rsid w:val="00BB21E0"/>
    <w:rsid w:val="00BB3B41"/>
    <w:rsid w:val="00BB526C"/>
    <w:rsid w:val="00BC09CD"/>
    <w:rsid w:val="00BC0A4D"/>
    <w:rsid w:val="00BC18B3"/>
    <w:rsid w:val="00BC1A2B"/>
    <w:rsid w:val="00BC1BB2"/>
    <w:rsid w:val="00BC39F1"/>
    <w:rsid w:val="00BC75BD"/>
    <w:rsid w:val="00BD24D5"/>
    <w:rsid w:val="00BD5ED0"/>
    <w:rsid w:val="00BE5655"/>
    <w:rsid w:val="00BE62B0"/>
    <w:rsid w:val="00BF08BA"/>
    <w:rsid w:val="00BF2792"/>
    <w:rsid w:val="00BF3167"/>
    <w:rsid w:val="00BF4097"/>
    <w:rsid w:val="00BF4AA9"/>
    <w:rsid w:val="00BF74EE"/>
    <w:rsid w:val="00C044C2"/>
    <w:rsid w:val="00C11DC8"/>
    <w:rsid w:val="00C139AD"/>
    <w:rsid w:val="00C14447"/>
    <w:rsid w:val="00C16318"/>
    <w:rsid w:val="00C1766C"/>
    <w:rsid w:val="00C26BEC"/>
    <w:rsid w:val="00C2760D"/>
    <w:rsid w:val="00C316A0"/>
    <w:rsid w:val="00C36E31"/>
    <w:rsid w:val="00C4146E"/>
    <w:rsid w:val="00C446A4"/>
    <w:rsid w:val="00C46CA6"/>
    <w:rsid w:val="00C512D4"/>
    <w:rsid w:val="00C54610"/>
    <w:rsid w:val="00C57915"/>
    <w:rsid w:val="00C607E8"/>
    <w:rsid w:val="00C60F7D"/>
    <w:rsid w:val="00C6515A"/>
    <w:rsid w:val="00C678CE"/>
    <w:rsid w:val="00C77966"/>
    <w:rsid w:val="00C81116"/>
    <w:rsid w:val="00C84880"/>
    <w:rsid w:val="00C85381"/>
    <w:rsid w:val="00C85EFB"/>
    <w:rsid w:val="00C85FDF"/>
    <w:rsid w:val="00C86EDD"/>
    <w:rsid w:val="00C87974"/>
    <w:rsid w:val="00C9011F"/>
    <w:rsid w:val="00C91C90"/>
    <w:rsid w:val="00C9344C"/>
    <w:rsid w:val="00C94273"/>
    <w:rsid w:val="00C95916"/>
    <w:rsid w:val="00C95AAC"/>
    <w:rsid w:val="00C972D6"/>
    <w:rsid w:val="00CA29EB"/>
    <w:rsid w:val="00CA3ADD"/>
    <w:rsid w:val="00CA4773"/>
    <w:rsid w:val="00CB1476"/>
    <w:rsid w:val="00CB169A"/>
    <w:rsid w:val="00CB7121"/>
    <w:rsid w:val="00CB79E0"/>
    <w:rsid w:val="00CC5F7C"/>
    <w:rsid w:val="00CD057C"/>
    <w:rsid w:val="00CD1128"/>
    <w:rsid w:val="00CD2C7B"/>
    <w:rsid w:val="00CE1CF8"/>
    <w:rsid w:val="00CE2BC2"/>
    <w:rsid w:val="00CE36C4"/>
    <w:rsid w:val="00CE533B"/>
    <w:rsid w:val="00CF48C8"/>
    <w:rsid w:val="00CF629A"/>
    <w:rsid w:val="00CF649A"/>
    <w:rsid w:val="00D1361C"/>
    <w:rsid w:val="00D22FB3"/>
    <w:rsid w:val="00D2717E"/>
    <w:rsid w:val="00D320E7"/>
    <w:rsid w:val="00D3269F"/>
    <w:rsid w:val="00D36416"/>
    <w:rsid w:val="00D40845"/>
    <w:rsid w:val="00D418BC"/>
    <w:rsid w:val="00D45A27"/>
    <w:rsid w:val="00D46E62"/>
    <w:rsid w:val="00D52541"/>
    <w:rsid w:val="00D549BD"/>
    <w:rsid w:val="00D54BA0"/>
    <w:rsid w:val="00D608D9"/>
    <w:rsid w:val="00D634C8"/>
    <w:rsid w:val="00D66E24"/>
    <w:rsid w:val="00D76D4E"/>
    <w:rsid w:val="00D806A3"/>
    <w:rsid w:val="00D814B6"/>
    <w:rsid w:val="00D83401"/>
    <w:rsid w:val="00D8399F"/>
    <w:rsid w:val="00D840B4"/>
    <w:rsid w:val="00D84FE2"/>
    <w:rsid w:val="00D864A7"/>
    <w:rsid w:val="00D87A84"/>
    <w:rsid w:val="00D95914"/>
    <w:rsid w:val="00DA1560"/>
    <w:rsid w:val="00DA5415"/>
    <w:rsid w:val="00DA5E27"/>
    <w:rsid w:val="00DA65EE"/>
    <w:rsid w:val="00DA7E5B"/>
    <w:rsid w:val="00DB0309"/>
    <w:rsid w:val="00DB16BA"/>
    <w:rsid w:val="00DB19CD"/>
    <w:rsid w:val="00DB27C2"/>
    <w:rsid w:val="00DB5BCC"/>
    <w:rsid w:val="00DB5EA2"/>
    <w:rsid w:val="00DB6E4E"/>
    <w:rsid w:val="00DC4F3F"/>
    <w:rsid w:val="00DC5744"/>
    <w:rsid w:val="00DC619A"/>
    <w:rsid w:val="00DC7FC2"/>
    <w:rsid w:val="00DD1581"/>
    <w:rsid w:val="00DD2DB5"/>
    <w:rsid w:val="00DD2E0C"/>
    <w:rsid w:val="00DD3DB6"/>
    <w:rsid w:val="00DD4ED1"/>
    <w:rsid w:val="00DD6386"/>
    <w:rsid w:val="00DD686B"/>
    <w:rsid w:val="00DD7BE0"/>
    <w:rsid w:val="00DE3373"/>
    <w:rsid w:val="00DE40B6"/>
    <w:rsid w:val="00DE654E"/>
    <w:rsid w:val="00DE72B9"/>
    <w:rsid w:val="00DE76AB"/>
    <w:rsid w:val="00DF4ECA"/>
    <w:rsid w:val="00DF5183"/>
    <w:rsid w:val="00DF6697"/>
    <w:rsid w:val="00DF732D"/>
    <w:rsid w:val="00DF7AB5"/>
    <w:rsid w:val="00DF7F0A"/>
    <w:rsid w:val="00E042F6"/>
    <w:rsid w:val="00E21013"/>
    <w:rsid w:val="00E2126D"/>
    <w:rsid w:val="00E21941"/>
    <w:rsid w:val="00E30D18"/>
    <w:rsid w:val="00E334D5"/>
    <w:rsid w:val="00E37D03"/>
    <w:rsid w:val="00E42AE8"/>
    <w:rsid w:val="00E444B2"/>
    <w:rsid w:val="00E50267"/>
    <w:rsid w:val="00E547B5"/>
    <w:rsid w:val="00E55C56"/>
    <w:rsid w:val="00E570B0"/>
    <w:rsid w:val="00E604F7"/>
    <w:rsid w:val="00E6312A"/>
    <w:rsid w:val="00E63543"/>
    <w:rsid w:val="00E63F01"/>
    <w:rsid w:val="00E65448"/>
    <w:rsid w:val="00E678F0"/>
    <w:rsid w:val="00E70C1E"/>
    <w:rsid w:val="00E71C8B"/>
    <w:rsid w:val="00E730C0"/>
    <w:rsid w:val="00E762DB"/>
    <w:rsid w:val="00E76DF9"/>
    <w:rsid w:val="00E76EA8"/>
    <w:rsid w:val="00E81B40"/>
    <w:rsid w:val="00E82677"/>
    <w:rsid w:val="00E85FE3"/>
    <w:rsid w:val="00E87D58"/>
    <w:rsid w:val="00E91BC8"/>
    <w:rsid w:val="00E95E02"/>
    <w:rsid w:val="00E97934"/>
    <w:rsid w:val="00EA6B31"/>
    <w:rsid w:val="00EB0060"/>
    <w:rsid w:val="00EB4263"/>
    <w:rsid w:val="00EB4308"/>
    <w:rsid w:val="00EC0694"/>
    <w:rsid w:val="00EC176E"/>
    <w:rsid w:val="00EC1E4F"/>
    <w:rsid w:val="00EC5723"/>
    <w:rsid w:val="00EC5DF0"/>
    <w:rsid w:val="00ED0AF6"/>
    <w:rsid w:val="00ED43D8"/>
    <w:rsid w:val="00ED58B5"/>
    <w:rsid w:val="00ED590E"/>
    <w:rsid w:val="00ED5BEA"/>
    <w:rsid w:val="00EE1FB9"/>
    <w:rsid w:val="00EE2A12"/>
    <w:rsid w:val="00EE5B35"/>
    <w:rsid w:val="00EE7FAE"/>
    <w:rsid w:val="00EF409F"/>
    <w:rsid w:val="00EF491C"/>
    <w:rsid w:val="00EF6DB2"/>
    <w:rsid w:val="00F06DF3"/>
    <w:rsid w:val="00F0783A"/>
    <w:rsid w:val="00F10281"/>
    <w:rsid w:val="00F12122"/>
    <w:rsid w:val="00F13805"/>
    <w:rsid w:val="00F15584"/>
    <w:rsid w:val="00F163D7"/>
    <w:rsid w:val="00F20564"/>
    <w:rsid w:val="00F20CE3"/>
    <w:rsid w:val="00F21B07"/>
    <w:rsid w:val="00F236A2"/>
    <w:rsid w:val="00F25AA0"/>
    <w:rsid w:val="00F27EC3"/>
    <w:rsid w:val="00F301A1"/>
    <w:rsid w:val="00F30F8C"/>
    <w:rsid w:val="00F35D52"/>
    <w:rsid w:val="00F363B7"/>
    <w:rsid w:val="00F37CA6"/>
    <w:rsid w:val="00F46A70"/>
    <w:rsid w:val="00F51059"/>
    <w:rsid w:val="00F51913"/>
    <w:rsid w:val="00F53D85"/>
    <w:rsid w:val="00F53FE5"/>
    <w:rsid w:val="00F55724"/>
    <w:rsid w:val="00F608BD"/>
    <w:rsid w:val="00F64235"/>
    <w:rsid w:val="00F666EF"/>
    <w:rsid w:val="00F67143"/>
    <w:rsid w:val="00F71808"/>
    <w:rsid w:val="00F74868"/>
    <w:rsid w:val="00F76F7E"/>
    <w:rsid w:val="00F81417"/>
    <w:rsid w:val="00F854B9"/>
    <w:rsid w:val="00F877C0"/>
    <w:rsid w:val="00F91F00"/>
    <w:rsid w:val="00F9339D"/>
    <w:rsid w:val="00F938F5"/>
    <w:rsid w:val="00F94850"/>
    <w:rsid w:val="00F94EA1"/>
    <w:rsid w:val="00F95EEB"/>
    <w:rsid w:val="00F97E28"/>
    <w:rsid w:val="00FA1832"/>
    <w:rsid w:val="00FA586A"/>
    <w:rsid w:val="00FA6653"/>
    <w:rsid w:val="00FB1DFB"/>
    <w:rsid w:val="00FB2886"/>
    <w:rsid w:val="00FB50A2"/>
    <w:rsid w:val="00FB5266"/>
    <w:rsid w:val="00FB5C62"/>
    <w:rsid w:val="00FB74E0"/>
    <w:rsid w:val="00FC7D84"/>
    <w:rsid w:val="00FD24E2"/>
    <w:rsid w:val="00FD50D4"/>
    <w:rsid w:val="00FD6420"/>
    <w:rsid w:val="00FD6E74"/>
    <w:rsid w:val="00FE0424"/>
    <w:rsid w:val="00FE48E1"/>
    <w:rsid w:val="00FE5055"/>
    <w:rsid w:val="00FE6524"/>
    <w:rsid w:val="00FF2CE6"/>
    <w:rsid w:val="00FF40A5"/>
    <w:rsid w:val="00FF64ED"/>
    <w:rsid w:val="01186AC5"/>
    <w:rsid w:val="011F7C20"/>
    <w:rsid w:val="015F4B56"/>
    <w:rsid w:val="02C31095"/>
    <w:rsid w:val="034F2928"/>
    <w:rsid w:val="035D4211"/>
    <w:rsid w:val="037D5EE3"/>
    <w:rsid w:val="04CF6E29"/>
    <w:rsid w:val="059366CF"/>
    <w:rsid w:val="05D00163"/>
    <w:rsid w:val="077C34B8"/>
    <w:rsid w:val="07A209C4"/>
    <w:rsid w:val="080D26DA"/>
    <w:rsid w:val="08284245"/>
    <w:rsid w:val="086F1260"/>
    <w:rsid w:val="0880226D"/>
    <w:rsid w:val="089F2BDE"/>
    <w:rsid w:val="08BB2505"/>
    <w:rsid w:val="099A07E1"/>
    <w:rsid w:val="0A9B4FED"/>
    <w:rsid w:val="0B0C0A79"/>
    <w:rsid w:val="0B451F6A"/>
    <w:rsid w:val="0C6F4C8D"/>
    <w:rsid w:val="0D0E0EB6"/>
    <w:rsid w:val="0D251794"/>
    <w:rsid w:val="0D5C6125"/>
    <w:rsid w:val="0DE142CB"/>
    <w:rsid w:val="0EDB32C2"/>
    <w:rsid w:val="0F4A308E"/>
    <w:rsid w:val="0FDC1CDC"/>
    <w:rsid w:val="10223C48"/>
    <w:rsid w:val="11BA4B27"/>
    <w:rsid w:val="12475EA9"/>
    <w:rsid w:val="133360BD"/>
    <w:rsid w:val="13F80189"/>
    <w:rsid w:val="146E4633"/>
    <w:rsid w:val="150412EA"/>
    <w:rsid w:val="15D867AD"/>
    <w:rsid w:val="171438BA"/>
    <w:rsid w:val="17230955"/>
    <w:rsid w:val="182770BA"/>
    <w:rsid w:val="18863017"/>
    <w:rsid w:val="18AC6D73"/>
    <w:rsid w:val="190B2F0F"/>
    <w:rsid w:val="1B4716B4"/>
    <w:rsid w:val="1B6D0366"/>
    <w:rsid w:val="1C08419D"/>
    <w:rsid w:val="1D4D5FFD"/>
    <w:rsid w:val="1DE30D65"/>
    <w:rsid w:val="1F7A0970"/>
    <w:rsid w:val="209E2C67"/>
    <w:rsid w:val="216F32CA"/>
    <w:rsid w:val="22124112"/>
    <w:rsid w:val="22261F4F"/>
    <w:rsid w:val="223F7B2A"/>
    <w:rsid w:val="23F57352"/>
    <w:rsid w:val="245829D3"/>
    <w:rsid w:val="249A7996"/>
    <w:rsid w:val="25A77038"/>
    <w:rsid w:val="267E2359"/>
    <w:rsid w:val="26BC7CBC"/>
    <w:rsid w:val="27447ED5"/>
    <w:rsid w:val="275F3A77"/>
    <w:rsid w:val="27A74232"/>
    <w:rsid w:val="27E2170E"/>
    <w:rsid w:val="284F0253"/>
    <w:rsid w:val="28577CC1"/>
    <w:rsid w:val="28644870"/>
    <w:rsid w:val="28A54C15"/>
    <w:rsid w:val="2AE949DF"/>
    <w:rsid w:val="2B3B474B"/>
    <w:rsid w:val="2B8D044E"/>
    <w:rsid w:val="2C016BB8"/>
    <w:rsid w:val="2D77461B"/>
    <w:rsid w:val="2E1B3283"/>
    <w:rsid w:val="2E400C5F"/>
    <w:rsid w:val="2E5209E3"/>
    <w:rsid w:val="2EB01AFE"/>
    <w:rsid w:val="30592C7B"/>
    <w:rsid w:val="30BC0D4E"/>
    <w:rsid w:val="30D1119A"/>
    <w:rsid w:val="30F12F4C"/>
    <w:rsid w:val="3112402E"/>
    <w:rsid w:val="313D3E38"/>
    <w:rsid w:val="32611BF0"/>
    <w:rsid w:val="333D5A4A"/>
    <w:rsid w:val="334449CC"/>
    <w:rsid w:val="33A83294"/>
    <w:rsid w:val="34011E26"/>
    <w:rsid w:val="341B4D23"/>
    <w:rsid w:val="36A81FB2"/>
    <w:rsid w:val="3722158D"/>
    <w:rsid w:val="375E09FC"/>
    <w:rsid w:val="38525FA9"/>
    <w:rsid w:val="38EA0422"/>
    <w:rsid w:val="39003F1D"/>
    <w:rsid w:val="39276876"/>
    <w:rsid w:val="392B2930"/>
    <w:rsid w:val="3A623E3D"/>
    <w:rsid w:val="3AC853CC"/>
    <w:rsid w:val="3BF5780A"/>
    <w:rsid w:val="3C582CD8"/>
    <w:rsid w:val="3D2832C7"/>
    <w:rsid w:val="3E094E14"/>
    <w:rsid w:val="3E2546CD"/>
    <w:rsid w:val="40531C58"/>
    <w:rsid w:val="41192D98"/>
    <w:rsid w:val="413E5CD9"/>
    <w:rsid w:val="41B073A1"/>
    <w:rsid w:val="42FB3958"/>
    <w:rsid w:val="43425F9D"/>
    <w:rsid w:val="43917E18"/>
    <w:rsid w:val="43F465D0"/>
    <w:rsid w:val="442A053D"/>
    <w:rsid w:val="44440739"/>
    <w:rsid w:val="446F65B8"/>
    <w:rsid w:val="44F057A6"/>
    <w:rsid w:val="45A95346"/>
    <w:rsid w:val="46416F41"/>
    <w:rsid w:val="46C4203A"/>
    <w:rsid w:val="470E29AE"/>
    <w:rsid w:val="47863A0C"/>
    <w:rsid w:val="49CB0CCD"/>
    <w:rsid w:val="4A3A6A54"/>
    <w:rsid w:val="4AA610D6"/>
    <w:rsid w:val="4B0C055A"/>
    <w:rsid w:val="4C8B4A7C"/>
    <w:rsid w:val="4CF338F1"/>
    <w:rsid w:val="4CFC368B"/>
    <w:rsid w:val="4DA66E2A"/>
    <w:rsid w:val="4E7D412D"/>
    <w:rsid w:val="4F075432"/>
    <w:rsid w:val="4F086AAF"/>
    <w:rsid w:val="4F9B0E29"/>
    <w:rsid w:val="4FF10657"/>
    <w:rsid w:val="502A615D"/>
    <w:rsid w:val="5069668A"/>
    <w:rsid w:val="50A83CB2"/>
    <w:rsid w:val="510A2FB8"/>
    <w:rsid w:val="512B42F2"/>
    <w:rsid w:val="513D513B"/>
    <w:rsid w:val="5153670D"/>
    <w:rsid w:val="538E5DEC"/>
    <w:rsid w:val="54F925B7"/>
    <w:rsid w:val="56D076DF"/>
    <w:rsid w:val="56E34736"/>
    <w:rsid w:val="56FB15A3"/>
    <w:rsid w:val="572C3C94"/>
    <w:rsid w:val="574216FD"/>
    <w:rsid w:val="57806BBC"/>
    <w:rsid w:val="58963DA7"/>
    <w:rsid w:val="592C3305"/>
    <w:rsid w:val="5A2C7551"/>
    <w:rsid w:val="5A400720"/>
    <w:rsid w:val="5AD7215D"/>
    <w:rsid w:val="5CF4139A"/>
    <w:rsid w:val="5D693C9C"/>
    <w:rsid w:val="5DE973D6"/>
    <w:rsid w:val="5E114D91"/>
    <w:rsid w:val="5E8D2D21"/>
    <w:rsid w:val="5EBD1212"/>
    <w:rsid w:val="5F2D1A4D"/>
    <w:rsid w:val="610E08A2"/>
    <w:rsid w:val="61FC36E1"/>
    <w:rsid w:val="622450A4"/>
    <w:rsid w:val="623F329A"/>
    <w:rsid w:val="62695E27"/>
    <w:rsid w:val="628242DE"/>
    <w:rsid w:val="636127C3"/>
    <w:rsid w:val="6415264A"/>
    <w:rsid w:val="64993B4E"/>
    <w:rsid w:val="64AD03D2"/>
    <w:rsid w:val="64F43FE3"/>
    <w:rsid w:val="6541100E"/>
    <w:rsid w:val="654C0BA8"/>
    <w:rsid w:val="664352EB"/>
    <w:rsid w:val="66FB3677"/>
    <w:rsid w:val="672079BD"/>
    <w:rsid w:val="673E5311"/>
    <w:rsid w:val="683E7EE4"/>
    <w:rsid w:val="696610E4"/>
    <w:rsid w:val="69661581"/>
    <w:rsid w:val="69F247DB"/>
    <w:rsid w:val="6A7D1934"/>
    <w:rsid w:val="6A83721D"/>
    <w:rsid w:val="6AE21101"/>
    <w:rsid w:val="6B4F3B9E"/>
    <w:rsid w:val="6BA354CB"/>
    <w:rsid w:val="6BCE67AE"/>
    <w:rsid w:val="6BD63153"/>
    <w:rsid w:val="6C21701B"/>
    <w:rsid w:val="6C5B55DC"/>
    <w:rsid w:val="6CAE03DD"/>
    <w:rsid w:val="6CE56E6B"/>
    <w:rsid w:val="6D032DAA"/>
    <w:rsid w:val="6E005A26"/>
    <w:rsid w:val="6E3037B8"/>
    <w:rsid w:val="6E6329C5"/>
    <w:rsid w:val="6EFF345A"/>
    <w:rsid w:val="6F0E41D6"/>
    <w:rsid w:val="6FB4540B"/>
    <w:rsid w:val="70C73255"/>
    <w:rsid w:val="71610FBE"/>
    <w:rsid w:val="725008FF"/>
    <w:rsid w:val="72760778"/>
    <w:rsid w:val="729B5D0E"/>
    <w:rsid w:val="73504688"/>
    <w:rsid w:val="736D1458"/>
    <w:rsid w:val="73840550"/>
    <w:rsid w:val="74031DBD"/>
    <w:rsid w:val="743104E3"/>
    <w:rsid w:val="74320C3C"/>
    <w:rsid w:val="74364139"/>
    <w:rsid w:val="74513162"/>
    <w:rsid w:val="75431AF8"/>
    <w:rsid w:val="757B75BC"/>
    <w:rsid w:val="762A7AD4"/>
    <w:rsid w:val="76A665D3"/>
    <w:rsid w:val="77050AC4"/>
    <w:rsid w:val="770F7D5F"/>
    <w:rsid w:val="78BD1F9D"/>
    <w:rsid w:val="79201CE1"/>
    <w:rsid w:val="79440EAD"/>
    <w:rsid w:val="79B14724"/>
    <w:rsid w:val="7B3E0A41"/>
    <w:rsid w:val="7B4909FD"/>
    <w:rsid w:val="7BFC5A6F"/>
    <w:rsid w:val="7C102A99"/>
    <w:rsid w:val="7C2D6010"/>
    <w:rsid w:val="7C323980"/>
    <w:rsid w:val="7DEB7B49"/>
    <w:rsid w:val="7FA70E1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FollowedHyperlink"/>
    <w:basedOn w:val="20"/>
    <w:semiHidden/>
    <w:unhideWhenUsed/>
    <w:qFormat/>
    <w:uiPriority w:val="99"/>
    <w:rPr>
      <w:color w:val="800080"/>
      <w:u w:val="single"/>
    </w:rPr>
  </w:style>
  <w:style w:type="character" w:styleId="22">
    <w:name w:val="Hyperlink"/>
    <w:basedOn w:val="20"/>
    <w:qFormat/>
    <w:uiPriority w:val="99"/>
    <w:rPr>
      <w:rFonts w:cs="Times New Roman"/>
      <w:color w:val="0000FF"/>
      <w:u w:val="single"/>
    </w:rPr>
  </w:style>
  <w:style w:type="character" w:styleId="23">
    <w:name w:val="annotation reference"/>
    <w:basedOn w:val="20"/>
    <w:qFormat/>
    <w:uiPriority w:val="99"/>
    <w:rPr>
      <w:rFonts w:cs="Times New Roman"/>
      <w:sz w:val="21"/>
      <w:szCs w:val="21"/>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0"/>
    <w:rPr>
      <w:rFonts w:ascii="仿宋_GB2312" w:hAnsi="宋体" w:eastAsia="仿宋_GB2312"/>
      <w:sz w:val="31"/>
    </w:rPr>
  </w:style>
  <w:style w:type="paragraph" w:customStyle="1" w:styleId="36">
    <w:name w:val="正文缩进2格"/>
    <w:basedOn w:val="1"/>
    <w:link w:val="35"/>
    <w:qFormat/>
    <w:uiPriority w:val="0"/>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paragraph" w:customStyle="1" w:styleId="57">
    <w:name w:val="font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8">
    <w:name w:val="xl6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59">
    <w:name w:val="xl6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0">
    <w:name w:val="xl67"/>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4"/>
      <w:szCs w:val="24"/>
    </w:rPr>
  </w:style>
  <w:style w:type="paragraph" w:customStyle="1" w:styleId="61">
    <w:name w:val="xl6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2">
    <w:name w:val="xl69"/>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63">
    <w:name w:val="xl70"/>
    <w:basedOn w:val="1"/>
    <w:qFormat/>
    <w:uiPriority w:val="0"/>
    <w:pPr>
      <w:widowControl/>
      <w:pBdr>
        <w:left w:val="single" w:color="auto" w:sz="4" w:space="0"/>
      </w:pBdr>
      <w:spacing w:before="100" w:beforeAutospacing="1" w:after="100" w:afterAutospacing="1"/>
      <w:jc w:val="center"/>
    </w:pPr>
    <w:rPr>
      <w:rFonts w:ascii="宋体" w:hAnsi="宋体" w:cs="宋体"/>
      <w:kern w:val="0"/>
      <w:sz w:val="24"/>
      <w:szCs w:val="24"/>
    </w:rPr>
  </w:style>
  <w:style w:type="paragraph" w:customStyle="1" w:styleId="64">
    <w:name w:val="xl7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szCs w:val="24"/>
    </w:rPr>
  </w:style>
  <w:style w:type="paragraph" w:customStyle="1" w:styleId="6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68">
    <w:name w:val="xl75"/>
    <w:basedOn w:val="1"/>
    <w:qFormat/>
    <w:uiPriority w:val="0"/>
    <w:pPr>
      <w:widowControl/>
      <w:spacing w:before="100" w:beforeAutospacing="1" w:after="100" w:afterAutospacing="1"/>
      <w:jc w:val="center"/>
    </w:pPr>
    <w:rPr>
      <w:kern w:val="0"/>
      <w:sz w:val="24"/>
      <w:szCs w:val="24"/>
    </w:rPr>
  </w:style>
  <w:style w:type="paragraph" w:customStyle="1" w:styleId="69">
    <w:name w:val="xl76"/>
    <w:basedOn w:val="1"/>
    <w:qFormat/>
    <w:uiPriority w:val="0"/>
    <w:pPr>
      <w:widowControl/>
      <w:spacing w:before="100" w:beforeAutospacing="1" w:after="100" w:afterAutospacing="1"/>
      <w:jc w:val="right"/>
    </w:pPr>
    <w:rPr>
      <w:rFonts w:ascii="宋体" w:hAnsi="宋体" w:cs="宋体"/>
      <w:kern w:val="0"/>
      <w:sz w:val="20"/>
    </w:rPr>
  </w:style>
  <w:style w:type="paragraph" w:customStyle="1" w:styleId="70">
    <w:name w:val="xl77"/>
    <w:basedOn w:val="1"/>
    <w:qFormat/>
    <w:uiPriority w:val="0"/>
    <w:pPr>
      <w:widowControl/>
      <w:spacing w:before="100" w:beforeAutospacing="1" w:after="100" w:afterAutospacing="1"/>
      <w:jc w:val="center"/>
    </w:pPr>
    <w:rPr>
      <w:rFonts w:ascii="宋体" w:hAnsi="宋体" w:cs="宋体"/>
      <w:b/>
      <w:bCs/>
      <w:kern w:val="0"/>
      <w:sz w:val="36"/>
      <w:szCs w:val="36"/>
    </w:rPr>
  </w:style>
  <w:style w:type="paragraph" w:customStyle="1" w:styleId="71">
    <w:name w:val="xl78"/>
    <w:basedOn w:val="1"/>
    <w:qFormat/>
    <w:uiPriority w:val="0"/>
    <w:pPr>
      <w:widowControl/>
      <w:pBdr>
        <w:bottom w:val="single" w:color="auto" w:sz="4" w:space="0"/>
      </w:pBdr>
      <w:spacing w:before="100" w:beforeAutospacing="1" w:after="100" w:afterAutospacing="1"/>
      <w:jc w:val="right"/>
    </w:pPr>
    <w:rPr>
      <w:rFonts w:ascii="宋体" w:hAnsi="宋体" w:cs="宋体"/>
      <w:kern w:val="0"/>
      <w:sz w:val="24"/>
      <w:szCs w:val="24"/>
    </w:rPr>
  </w:style>
  <w:style w:type="paragraph" w:customStyle="1" w:styleId="7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3">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4">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5">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0641D-091D-41E9-91D6-6C42C3466EF7}">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18</Pages>
  <Words>4608</Words>
  <Characters>4829</Characters>
  <Lines>51</Lines>
  <Paragraphs>14</Paragraphs>
  <TotalTime>7</TotalTime>
  <ScaleCrop>false</ScaleCrop>
  <LinksUpToDate>false</LinksUpToDate>
  <CharactersWithSpaces>4999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2023-12-25T07:19:00Z</dcterms:created>
  <dc:creator>Administrator</dc:creator>
  <cp:lastModifiedBy>吴洪林</cp:lastModifiedBy>
  <cp:lastPrinted>2022-12-14T06:07:00Z</cp:lastPrinted>
  <dcterms:modified xsi:type="dcterms:W3CDTF">2026-01-13T02:43:40Z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7E296C3C19B94E01AB0821EE04CD4EB1</vt:lpwstr>
  </property>
  <property fmtid="{D5CDD505-2E9C-101B-9397-08002B2CF9AE}" pid="4" name="KSOTemplateDocerSaveRecord">
    <vt:lpwstr>eyJoZGlkIjoiZjg5YjI1ZjFkY2QyNGQ0MDg2NzMxMjJmZDg4ZTI1NmIiLCJ1c2VySWQiOiIxNjA0NzkzMjAxIn0=</vt:lpwstr>
  </property>
</Properties>
</file>