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3FA0E">
      <w:pPr>
        <w:spacing w:line="600" w:lineRule="exact"/>
        <w:ind w:firstLine="880" w:firstLineChars="200"/>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塘厦创智园202</w:t>
      </w:r>
      <w:r>
        <w:rPr>
          <w:rFonts w:hint="eastAsia" w:asciiTheme="minorEastAsia" w:hAnsiTheme="minorEastAsia" w:eastAsiaTheme="minorEastAsia"/>
          <w:color w:val="000000"/>
          <w:sz w:val="44"/>
          <w:szCs w:val="44"/>
          <w:lang w:val="en-US" w:eastAsia="zh-CN"/>
        </w:rPr>
        <w:t>6</w:t>
      </w:r>
      <w:r>
        <w:rPr>
          <w:rFonts w:hint="eastAsia" w:asciiTheme="minorEastAsia" w:hAnsiTheme="minorEastAsia" w:eastAsiaTheme="minorEastAsia"/>
          <w:color w:val="000000"/>
          <w:sz w:val="44"/>
          <w:szCs w:val="44"/>
        </w:rPr>
        <w:t>年度垃圾清运项目</w:t>
      </w:r>
    </w:p>
    <w:p w14:paraId="363AC4E5">
      <w:pPr>
        <w:spacing w:line="600" w:lineRule="exact"/>
        <w:ind w:left="420" w:firstLine="457" w:firstLineChars="104"/>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竞争性谈判文件</w:t>
      </w:r>
    </w:p>
    <w:p w14:paraId="1E2F9901">
      <w:pPr>
        <w:spacing w:line="600" w:lineRule="exact"/>
        <w:ind w:firstLine="880" w:firstLineChars="200"/>
        <w:rPr>
          <w:rFonts w:asciiTheme="minorEastAsia" w:hAnsiTheme="minorEastAsia" w:eastAsiaTheme="minorEastAsia"/>
          <w:color w:val="000000"/>
          <w:sz w:val="44"/>
          <w:szCs w:val="44"/>
        </w:rPr>
      </w:pPr>
    </w:p>
    <w:p w14:paraId="45B1355C">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广东东鸿物业发展有限公司</w:t>
      </w:r>
      <w:r>
        <w:rPr>
          <w:rFonts w:hint="eastAsia" w:asciiTheme="minorEastAsia" w:hAnsiTheme="minorEastAsia" w:eastAsiaTheme="minorEastAsia"/>
          <w:color w:val="000000"/>
          <w:sz w:val="28"/>
          <w:szCs w:val="28"/>
        </w:rPr>
        <w:t>需采购</w:t>
      </w:r>
      <w:r>
        <w:rPr>
          <w:rFonts w:hint="eastAsia" w:asciiTheme="minorEastAsia" w:hAnsiTheme="minorEastAsia" w:eastAsiaTheme="minorEastAsia"/>
          <w:color w:val="000000"/>
          <w:sz w:val="28"/>
          <w:szCs w:val="28"/>
          <w:u w:val="single"/>
        </w:rPr>
        <w:t>一家服务公司</w:t>
      </w:r>
      <w:r>
        <w:rPr>
          <w:rFonts w:hint="eastAsia" w:asciiTheme="minorEastAsia" w:hAnsiTheme="minorEastAsia" w:eastAsiaTheme="minorEastAsia"/>
          <w:color w:val="000000"/>
          <w:sz w:val="28"/>
          <w:szCs w:val="28"/>
        </w:rPr>
        <w:t>，负责为塘厦创智园20</w:t>
      </w:r>
      <w:r>
        <w:rPr>
          <w:rFonts w:hint="eastAsia" w:asciiTheme="minorEastAsia" w:hAnsiTheme="minorEastAsia" w:eastAsiaTheme="minorEastAsia"/>
          <w:color w:val="000000"/>
          <w:sz w:val="28"/>
          <w:szCs w:val="28"/>
          <w:lang w:val="en-US" w:eastAsia="zh-CN"/>
        </w:rPr>
        <w:t>26</w:t>
      </w:r>
      <w:r>
        <w:rPr>
          <w:rFonts w:hint="eastAsia" w:asciiTheme="minorEastAsia" w:hAnsiTheme="minorEastAsia" w:eastAsiaTheme="minorEastAsia"/>
          <w:color w:val="000000"/>
          <w:sz w:val="28"/>
          <w:szCs w:val="28"/>
        </w:rPr>
        <w:t>年度垃圾清运项目提供服务，现将相关情况介绍如下：</w:t>
      </w:r>
    </w:p>
    <w:p w14:paraId="5F8FD7D2">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一、项目名称及内容</w:t>
      </w:r>
    </w:p>
    <w:p w14:paraId="7B52BC73">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u w:val="single"/>
        </w:rPr>
        <w:t>塘厦创智园202</w:t>
      </w:r>
      <w:r>
        <w:rPr>
          <w:rFonts w:hint="eastAsia" w:asciiTheme="minorEastAsia" w:hAnsiTheme="minorEastAsia" w:eastAsiaTheme="minorEastAsia"/>
          <w:color w:val="000000"/>
          <w:sz w:val="28"/>
          <w:szCs w:val="28"/>
          <w:u w:val="single"/>
          <w:lang w:val="en-US" w:eastAsia="zh-CN"/>
        </w:rPr>
        <w:t>6</w:t>
      </w:r>
      <w:r>
        <w:rPr>
          <w:rFonts w:hint="eastAsia" w:asciiTheme="minorEastAsia" w:hAnsiTheme="minorEastAsia" w:eastAsiaTheme="minorEastAsia"/>
          <w:color w:val="000000"/>
          <w:sz w:val="28"/>
          <w:szCs w:val="28"/>
          <w:u w:val="single"/>
        </w:rPr>
        <w:t>年度垃圾清运项目；</w:t>
      </w:r>
    </w:p>
    <w:p w14:paraId="664EC6C3">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highlight w:val="none"/>
        </w:rPr>
        <w:t>、项目编号</w:t>
      </w:r>
      <w:r>
        <w:rPr>
          <w:rFonts w:hint="eastAsia" w:asciiTheme="minorEastAsia" w:hAnsiTheme="minorEastAsia" w:eastAsiaTheme="minorEastAsia"/>
          <w:color w:val="000000"/>
          <w:sz w:val="28"/>
          <w:szCs w:val="28"/>
          <w:highlight w:val="none"/>
          <w:u w:val="single"/>
        </w:rPr>
        <w:t>：DHWY-ZZ-0</w:t>
      </w:r>
      <w:r>
        <w:rPr>
          <w:rFonts w:hint="eastAsia" w:asciiTheme="minorEastAsia" w:hAnsiTheme="minorEastAsia" w:eastAsiaTheme="minorEastAsia"/>
          <w:color w:val="000000"/>
          <w:sz w:val="28"/>
          <w:szCs w:val="28"/>
          <w:highlight w:val="none"/>
          <w:u w:val="single"/>
          <w:lang w:val="en-US" w:eastAsia="zh-CN"/>
        </w:rPr>
        <w:t>3</w:t>
      </w:r>
      <w:r>
        <w:rPr>
          <w:rFonts w:hint="eastAsia" w:asciiTheme="minorEastAsia" w:hAnsiTheme="minorEastAsia" w:eastAsiaTheme="minorEastAsia"/>
          <w:color w:val="000000"/>
          <w:sz w:val="28"/>
          <w:szCs w:val="28"/>
          <w:highlight w:val="none"/>
          <w:u w:val="single"/>
        </w:rPr>
        <w:t>-01-0</w:t>
      </w:r>
      <w:r>
        <w:rPr>
          <w:rFonts w:hint="eastAsia" w:asciiTheme="minorEastAsia" w:hAnsiTheme="minorEastAsia" w:eastAsiaTheme="minorEastAsia"/>
          <w:color w:val="000000"/>
          <w:sz w:val="28"/>
          <w:szCs w:val="28"/>
          <w:highlight w:val="none"/>
          <w:u w:val="single"/>
          <w:lang w:val="en-US" w:eastAsia="zh-CN"/>
        </w:rPr>
        <w:t>01</w:t>
      </w:r>
      <w:r>
        <w:rPr>
          <w:rFonts w:hint="eastAsia" w:asciiTheme="minorEastAsia" w:hAnsiTheme="minorEastAsia" w:eastAsiaTheme="minorEastAsia"/>
          <w:color w:val="000000"/>
          <w:sz w:val="28"/>
          <w:szCs w:val="28"/>
          <w:highlight w:val="none"/>
          <w:u w:val="single"/>
        </w:rPr>
        <w:t>(202</w:t>
      </w:r>
      <w:r>
        <w:rPr>
          <w:rFonts w:hint="eastAsia" w:asciiTheme="minorEastAsia" w:hAnsiTheme="minorEastAsia" w:eastAsiaTheme="minorEastAsia"/>
          <w:color w:val="000000"/>
          <w:sz w:val="28"/>
          <w:szCs w:val="28"/>
          <w:highlight w:val="none"/>
          <w:u w:val="single"/>
          <w:lang w:val="en-US" w:eastAsia="zh-CN"/>
        </w:rPr>
        <w:t>6</w:t>
      </w:r>
      <w:r>
        <w:rPr>
          <w:rFonts w:hint="eastAsia" w:asciiTheme="minorEastAsia" w:hAnsiTheme="minorEastAsia" w:eastAsiaTheme="minorEastAsia"/>
          <w:color w:val="000000"/>
          <w:sz w:val="28"/>
          <w:szCs w:val="28"/>
          <w:highlight w:val="none"/>
          <w:u w:val="single"/>
        </w:rPr>
        <w:t>)</w:t>
      </w:r>
    </w:p>
    <w:p w14:paraId="0FF76E6E">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3、采购范围：</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详见附件6采购用户需求书</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w:t>
      </w:r>
    </w:p>
    <w:p w14:paraId="516C816B">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4、项目地点：</w:t>
      </w:r>
      <w:r>
        <w:rPr>
          <w:rFonts w:hint="eastAsia" w:asciiTheme="minorEastAsia" w:hAnsiTheme="minorEastAsia" w:eastAsiaTheme="minorEastAsia"/>
          <w:color w:val="000000"/>
          <w:sz w:val="28"/>
          <w:szCs w:val="28"/>
          <w:u w:val="none"/>
        </w:rPr>
        <w:t>东莞</w:t>
      </w:r>
      <w:r>
        <w:rPr>
          <w:rFonts w:hint="eastAsia" w:asciiTheme="minorEastAsia" w:hAnsiTheme="minorEastAsia" w:eastAsiaTheme="minorEastAsia"/>
          <w:color w:val="000000"/>
          <w:sz w:val="28"/>
          <w:szCs w:val="28"/>
          <w:u w:val="none"/>
        </w:rPr>
        <w:t>塘厦</w:t>
      </w:r>
      <w:r>
        <w:rPr>
          <w:rFonts w:hint="eastAsia" w:asciiTheme="minorEastAsia" w:hAnsiTheme="minorEastAsia" w:eastAsiaTheme="minorEastAsia"/>
          <w:color w:val="000000"/>
          <w:sz w:val="28"/>
          <w:szCs w:val="28"/>
          <w:u w:val="none"/>
          <w:lang w:eastAsia="zh-CN"/>
        </w:rPr>
        <w:t>采购人项目所在地</w:t>
      </w:r>
      <w:r>
        <w:rPr>
          <w:rFonts w:hint="eastAsia" w:asciiTheme="minorEastAsia" w:hAnsiTheme="minorEastAsia" w:eastAsiaTheme="minorEastAsia"/>
          <w:color w:val="000000"/>
          <w:sz w:val="28"/>
          <w:szCs w:val="28"/>
          <w:u w:val="none"/>
        </w:rPr>
        <w:t>；</w:t>
      </w:r>
    </w:p>
    <w:p w14:paraId="5F62795F">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5、服务时间（供货时间</w:t>
      </w:r>
      <w:r>
        <w:rPr>
          <w:rFonts w:asciiTheme="minorEastAsia" w:hAnsiTheme="minorEastAsia" w:eastAsiaTheme="minorEastAsia"/>
          <w:color w:val="000000"/>
          <w:sz w:val="28"/>
          <w:szCs w:val="28"/>
        </w:rPr>
        <w:t>/</w:t>
      </w:r>
      <w:r>
        <w:rPr>
          <w:rFonts w:hint="eastAsia" w:asciiTheme="minorEastAsia" w:hAnsiTheme="minorEastAsia" w:eastAsiaTheme="minorEastAsia"/>
          <w:color w:val="000000"/>
          <w:sz w:val="28"/>
          <w:szCs w:val="28"/>
        </w:rPr>
        <w:t>工期）：</w:t>
      </w:r>
      <w:r>
        <w:rPr>
          <w:rFonts w:hint="eastAsia" w:asciiTheme="minorEastAsia" w:hAnsiTheme="minorEastAsia" w:eastAsiaTheme="minorEastAsia"/>
          <w:color w:val="000000"/>
          <w:sz w:val="28"/>
          <w:szCs w:val="28"/>
          <w:lang w:val="en-US" w:eastAsia="zh-CN"/>
        </w:rPr>
        <w:t>12个月。</w:t>
      </w:r>
    </w:p>
    <w:p w14:paraId="1A56FC66">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二、项目发布</w:t>
      </w:r>
    </w:p>
    <w:p w14:paraId="31B471CF">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本采购项目信息在东莞实业投资控股集团有限公司网站（</w:t>
      </w:r>
      <w:r>
        <w:rPr>
          <w:rFonts w:asciiTheme="minorEastAsia" w:hAnsiTheme="minorEastAsia" w:eastAsiaTheme="minorEastAsia"/>
          <w:color w:val="000000"/>
          <w:sz w:val="28"/>
          <w:szCs w:val="28"/>
        </w:rPr>
        <w:t>http://www.dgsy.com.cn/</w:t>
      </w:r>
      <w:r>
        <w:rPr>
          <w:rFonts w:hint="eastAsia" w:asciiTheme="minorEastAsia" w:hAnsiTheme="minorEastAsia" w:eastAsiaTheme="minorEastAsia"/>
          <w:color w:val="000000"/>
          <w:sz w:val="28"/>
          <w:szCs w:val="28"/>
        </w:rPr>
        <w:t>）发布。</w:t>
      </w:r>
    </w:p>
    <w:p w14:paraId="143289A3">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sym w:font="Wingdings" w:char="F0AB"/>
      </w:r>
      <w:r>
        <w:rPr>
          <w:rFonts w:hint="eastAsia" w:asciiTheme="minorEastAsia" w:hAnsiTheme="minorEastAsia" w:eastAsiaTheme="minorEastAsia"/>
          <w:color w:val="000000"/>
          <w:sz w:val="28"/>
          <w:szCs w:val="28"/>
        </w:rPr>
        <w:t>三、响应人资格要求</w:t>
      </w:r>
    </w:p>
    <w:p w14:paraId="5677F3F0">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响应人须为在中华人民共和国境内登记注册的具有独立承担民事责任能力的法人或其他组织。【提供《营业执照》复印件（加盖公章）或《事业单位法人证书》复印件（加盖公章）或其他主体证书复印件（加盖公章）】</w:t>
      </w:r>
    </w:p>
    <w:p w14:paraId="3822ACC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2、业绩要求：响应人具备</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lang w:eastAsia="zh-CN"/>
        </w:rPr>
        <w:t>同类的</w:t>
      </w:r>
      <w:r>
        <w:rPr>
          <w:rFonts w:hint="eastAsia" w:asciiTheme="minorEastAsia" w:hAnsiTheme="minorEastAsia" w:eastAsiaTheme="minorEastAsia"/>
          <w:sz w:val="28"/>
          <w:szCs w:val="28"/>
        </w:rPr>
        <w:t>项目经验，要求</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202</w:t>
      </w:r>
      <w:r>
        <w:rPr>
          <w:rFonts w:hint="eastAsia" w:asciiTheme="minorEastAsia" w:hAnsiTheme="minorEastAsia" w:eastAsiaTheme="minorEastAsia"/>
          <w:sz w:val="28"/>
          <w:szCs w:val="28"/>
          <w:u w:val="single"/>
          <w:lang w:val="en-US" w:eastAsia="zh-CN"/>
        </w:rPr>
        <w:t>4</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hint="eastAsia"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日起至</w:t>
      </w:r>
      <w:r>
        <w:rPr>
          <w:rFonts w:hint="eastAsia" w:asciiTheme="minorEastAsia" w:hAnsiTheme="minorEastAsia" w:eastAsiaTheme="minorEastAsia"/>
          <w:sz w:val="28"/>
          <w:szCs w:val="28"/>
          <w:u w:val="single"/>
        </w:rPr>
        <w:t>本项目开标日前</w:t>
      </w:r>
      <w:r>
        <w:rPr>
          <w:rFonts w:hint="eastAsia" w:asciiTheme="minorEastAsia" w:hAnsiTheme="minorEastAsia" w:eastAsiaTheme="minorEastAsia"/>
          <w:sz w:val="28"/>
          <w:szCs w:val="28"/>
        </w:rPr>
        <w:t>，具有已完成或正在合同期内</w:t>
      </w:r>
      <w:r>
        <w:rPr>
          <w:rFonts w:hint="eastAsia" w:asciiTheme="minorEastAsia" w:hAnsiTheme="minorEastAsia" w:eastAsiaTheme="minorEastAsia"/>
          <w:sz w:val="28"/>
          <w:szCs w:val="28"/>
          <w:u w:val="single"/>
          <w:lang w:eastAsia="zh-CN"/>
        </w:rPr>
        <w:t>（合同内包含垃圾清运工作内容）</w:t>
      </w:r>
      <w:r>
        <w:rPr>
          <w:rFonts w:hint="eastAsia" w:asciiTheme="minorEastAsia" w:hAnsiTheme="minorEastAsia" w:eastAsiaTheme="minorEastAsia"/>
          <w:sz w:val="28"/>
          <w:szCs w:val="28"/>
        </w:rPr>
        <w:t>的不少于</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个</w:t>
      </w:r>
      <w:r>
        <w:rPr>
          <w:rFonts w:hint="eastAsia" w:asciiTheme="minorEastAsia" w:hAnsiTheme="minorEastAsia" w:eastAsiaTheme="minorEastAsia"/>
          <w:sz w:val="28"/>
          <w:szCs w:val="28"/>
          <w:u w:val="single"/>
        </w:rPr>
        <w:t>同类</w:t>
      </w:r>
      <w:r>
        <w:rPr>
          <w:rFonts w:hint="eastAsia" w:asciiTheme="minorEastAsia" w:hAnsiTheme="minorEastAsia" w:eastAsiaTheme="minorEastAsia"/>
          <w:sz w:val="28"/>
          <w:szCs w:val="28"/>
        </w:rPr>
        <w:t>业绩。【须提供</w:t>
      </w:r>
      <w:r>
        <w:rPr>
          <w:rFonts w:hint="eastAsia" w:asciiTheme="minorEastAsia" w:hAnsiTheme="minorEastAsia" w:eastAsiaTheme="minorEastAsia"/>
          <w:b/>
          <w:sz w:val="28"/>
          <w:szCs w:val="28"/>
          <w:u w:val="single"/>
        </w:rPr>
        <w:t>合同关键页</w:t>
      </w:r>
      <w:r>
        <w:rPr>
          <w:rFonts w:hint="eastAsia" w:asciiTheme="minorEastAsia" w:hAnsiTheme="minorEastAsia" w:eastAsiaTheme="minorEastAsia"/>
          <w:sz w:val="28"/>
          <w:szCs w:val="28"/>
        </w:rPr>
        <w:t>复印件（包含但不限于合同首页、合同</w:t>
      </w:r>
      <w:r>
        <w:rPr>
          <w:rFonts w:hint="eastAsia" w:asciiTheme="minorEastAsia" w:hAnsiTheme="minorEastAsia" w:eastAsiaTheme="minorEastAsia"/>
          <w:sz w:val="28"/>
          <w:szCs w:val="28"/>
          <w:lang w:eastAsia="zh-CN"/>
        </w:rPr>
        <w:t>可体现服务内容</w:t>
      </w:r>
      <w:r>
        <w:rPr>
          <w:rFonts w:hint="eastAsia" w:asciiTheme="minorEastAsia" w:hAnsiTheme="minorEastAsia" w:eastAsiaTheme="minorEastAsia"/>
          <w:sz w:val="28"/>
          <w:szCs w:val="28"/>
        </w:rPr>
        <w:t>页、合同签字页等）、</w:t>
      </w:r>
      <w:r>
        <w:rPr>
          <w:rFonts w:hint="eastAsia" w:asciiTheme="minorEastAsia" w:hAnsiTheme="minorEastAsia" w:eastAsiaTheme="minorEastAsia"/>
          <w:b/>
          <w:sz w:val="28"/>
          <w:szCs w:val="28"/>
          <w:u w:val="single"/>
        </w:rPr>
        <w:t>该合同期内任意一期发票或完税证明</w:t>
      </w:r>
      <w:r>
        <w:rPr>
          <w:rFonts w:hint="eastAsia" w:asciiTheme="minorEastAsia" w:hAnsiTheme="minorEastAsia" w:eastAsiaTheme="minorEastAsia"/>
          <w:b/>
          <w:sz w:val="28"/>
          <w:szCs w:val="28"/>
        </w:rPr>
        <w:t>等证明材料</w:t>
      </w:r>
      <w:r>
        <w:rPr>
          <w:rFonts w:hint="eastAsia" w:asciiTheme="minorEastAsia" w:hAnsiTheme="minorEastAsia" w:eastAsiaTheme="minorEastAsia"/>
          <w:sz w:val="28"/>
          <w:szCs w:val="28"/>
        </w:rPr>
        <w:t>。】</w:t>
      </w:r>
    </w:p>
    <w:p w14:paraId="60B272D0">
      <w:pPr>
        <w:spacing w:line="360" w:lineRule="auto"/>
        <w:ind w:firstLine="560" w:firstLineChars="200"/>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sz w:val="28"/>
          <w:szCs w:val="28"/>
        </w:rPr>
        <w:t>3、</w:t>
      </w:r>
      <w:r>
        <w:rPr>
          <w:rFonts w:hint="eastAsia" w:asciiTheme="minorEastAsia" w:hAnsiTheme="minorEastAsia" w:eastAsiaTheme="minorEastAsia"/>
          <w:color w:val="000000"/>
          <w:sz w:val="28"/>
          <w:szCs w:val="28"/>
        </w:rPr>
        <w:t>2.7未被列入东实集团及下属企业相关领域黑名单。【以东莞实业投资控股集团有限公司发文（东实通〔2021〕44号）、（东实通〔2021〕98号）、（东实通〔2022〕75号）、（东实通〔2023〕37号）、（东实通〔2024〕163号）、（东实通〔2024〕195号）、（东实通〔2025〕157号）及下属公司发文为准，如有最新发文通知，按最新文件执行】</w:t>
      </w:r>
      <w:r>
        <w:rPr>
          <w:rFonts w:hint="eastAsia" w:asciiTheme="minorEastAsia" w:hAnsiTheme="minorEastAsia" w:eastAsiaTheme="minorEastAsia"/>
          <w:color w:val="000000"/>
          <w:sz w:val="28"/>
          <w:szCs w:val="28"/>
          <w:lang w:val="en-US" w:eastAsia="zh-CN"/>
        </w:rPr>
        <w:t>。</w:t>
      </w:r>
    </w:p>
    <w:p w14:paraId="074330BD">
      <w:pPr>
        <w:numPr>
          <w:ilvl w:val="0"/>
          <w:numId w:val="3"/>
        </w:numPr>
        <w:spacing w:line="360" w:lineRule="auto"/>
        <w:ind w:firstLine="560" w:firstLineChars="200"/>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lang w:val="en-US" w:eastAsia="zh-CN"/>
        </w:rPr>
        <w:t>响应人参加采购活动前三年内，在经营活动中没有重大违法记录。【提供书面声明】。</w:t>
      </w:r>
    </w:p>
    <w:p w14:paraId="27793E1A">
      <w:pPr>
        <w:numPr>
          <w:ilvl w:val="0"/>
          <w:numId w:val="3"/>
        </w:numPr>
        <w:spacing w:line="360" w:lineRule="auto"/>
        <w:ind w:firstLine="560" w:firstLineChars="200"/>
        <w:rPr>
          <w:rFonts w:hint="default" w:asciiTheme="minorEastAsia" w:hAnsiTheme="minorEastAsia" w:eastAsiaTheme="minorEastAsia"/>
          <w:color w:val="000000"/>
          <w:sz w:val="28"/>
          <w:szCs w:val="28"/>
          <w:lang w:val="en-US" w:eastAsia="zh-CN"/>
        </w:rPr>
      </w:pPr>
      <w:r>
        <w:rPr>
          <w:rFonts w:hint="default" w:asciiTheme="minorEastAsia" w:hAnsiTheme="minorEastAsia" w:eastAsiaTheme="minorEastAsia"/>
          <w:color w:val="000000"/>
          <w:sz w:val="28"/>
          <w:szCs w:val="28"/>
          <w:lang w:val="en-US" w:eastAsia="zh-CN"/>
        </w:rPr>
        <w:t>响应人未被列入“信用中国”网站（www.creditchina.gov.cn）“记录失信被执行人或重大税收违法失信主体或政府采购严重违法失信行为”记录名单。【</w:t>
      </w:r>
      <w:r>
        <w:rPr>
          <w:rFonts w:hint="eastAsia" w:asciiTheme="minorEastAsia" w:hAnsiTheme="minorEastAsia" w:eastAsiaTheme="minorEastAsia"/>
          <w:color w:val="000000"/>
          <w:sz w:val="28"/>
          <w:szCs w:val="28"/>
          <w:lang w:val="en-US" w:eastAsia="zh-CN"/>
        </w:rPr>
        <w:t>提供查询截图</w:t>
      </w:r>
      <w:r>
        <w:rPr>
          <w:rFonts w:hint="eastAsia" w:asciiTheme="minorEastAsia" w:hAnsiTheme="minorEastAsia" w:eastAsiaTheme="minorEastAsia"/>
          <w:sz w:val="28"/>
          <w:szCs w:val="28"/>
        </w:rPr>
        <w:t>（加盖公章）</w:t>
      </w:r>
      <w:r>
        <w:rPr>
          <w:rFonts w:hint="eastAsia" w:asciiTheme="minorEastAsia" w:hAnsiTheme="minorEastAsia" w:eastAsiaTheme="minorEastAsia"/>
          <w:color w:val="000000"/>
          <w:sz w:val="28"/>
          <w:szCs w:val="28"/>
          <w:lang w:val="en-US" w:eastAsia="zh-CN"/>
        </w:rPr>
        <w:t>。</w:t>
      </w:r>
      <w:r>
        <w:rPr>
          <w:rFonts w:hint="default" w:asciiTheme="minorEastAsia" w:hAnsiTheme="minorEastAsia" w:eastAsiaTheme="minorEastAsia"/>
          <w:color w:val="000000"/>
          <w:sz w:val="28"/>
          <w:szCs w:val="28"/>
          <w:lang w:val="en-US" w:eastAsia="zh-CN"/>
        </w:rPr>
        <w:t>以</w:t>
      </w:r>
      <w:r>
        <w:rPr>
          <w:rFonts w:hint="eastAsia" w:asciiTheme="minorEastAsia" w:hAnsiTheme="minorEastAsia" w:eastAsiaTheme="minorEastAsia"/>
          <w:color w:val="000000"/>
          <w:sz w:val="28"/>
          <w:szCs w:val="28"/>
          <w:lang w:val="en-US" w:eastAsia="zh-CN"/>
        </w:rPr>
        <w:t>截止至本项目挂网</w:t>
      </w:r>
      <w:r>
        <w:rPr>
          <w:rFonts w:hint="default" w:asciiTheme="minorEastAsia" w:hAnsiTheme="minorEastAsia" w:eastAsiaTheme="minorEastAsia"/>
          <w:color w:val="000000"/>
          <w:sz w:val="28"/>
          <w:szCs w:val="28"/>
          <w:lang w:val="en-US" w:eastAsia="zh-CN"/>
        </w:rPr>
        <w:t>当天</w:t>
      </w:r>
      <w:r>
        <w:rPr>
          <w:rFonts w:hint="eastAsia" w:asciiTheme="minorEastAsia" w:hAnsiTheme="minorEastAsia" w:eastAsiaTheme="minorEastAsia"/>
          <w:color w:val="000000"/>
          <w:sz w:val="28"/>
          <w:szCs w:val="28"/>
          <w:lang w:val="en-US" w:eastAsia="zh-CN"/>
        </w:rPr>
        <w:t>，</w:t>
      </w:r>
      <w:r>
        <w:rPr>
          <w:rFonts w:hint="default" w:asciiTheme="minorEastAsia" w:hAnsiTheme="minorEastAsia" w:eastAsiaTheme="minorEastAsia"/>
          <w:color w:val="000000"/>
          <w:sz w:val="28"/>
          <w:szCs w:val="28"/>
          <w:lang w:val="en-US" w:eastAsia="zh-CN"/>
        </w:rPr>
        <w:t>在“信用中国”网站（www.creditchina.gov.cn）查询结果为准，如相关失信记录已失效，响应人需提供相关证明资料】</w:t>
      </w:r>
      <w:r>
        <w:rPr>
          <w:rFonts w:hint="eastAsia" w:asciiTheme="minorEastAsia" w:hAnsiTheme="minorEastAsia" w:eastAsiaTheme="minorEastAsia"/>
          <w:color w:val="000000"/>
          <w:sz w:val="28"/>
          <w:szCs w:val="28"/>
          <w:lang w:val="en-US" w:eastAsia="zh-CN"/>
        </w:rPr>
        <w:t>。</w:t>
      </w:r>
    </w:p>
    <w:p w14:paraId="534FE951">
      <w:pPr>
        <w:numPr>
          <w:ilvl w:val="0"/>
          <w:numId w:val="3"/>
        </w:numPr>
        <w:spacing w:line="360" w:lineRule="auto"/>
        <w:ind w:firstLine="560" w:firstLineChars="200"/>
        <w:rPr>
          <w:rFonts w:hint="default" w:asciiTheme="minorEastAsia" w:hAnsiTheme="minorEastAsia" w:eastAsiaTheme="minorEastAsia"/>
          <w:color w:val="000000"/>
          <w:sz w:val="28"/>
          <w:szCs w:val="28"/>
          <w:lang w:val="en-US" w:eastAsia="zh-CN"/>
        </w:rPr>
      </w:pPr>
      <w:r>
        <w:rPr>
          <w:rFonts w:hint="default" w:asciiTheme="minorEastAsia" w:hAnsiTheme="minorEastAsia" w:eastAsiaTheme="minorEastAsia"/>
          <w:color w:val="000000"/>
          <w:sz w:val="28"/>
          <w:szCs w:val="28"/>
          <w:lang w:val="en-US" w:eastAsia="zh-CN"/>
        </w:rPr>
        <w:t>本项目（不接受）联合体响应。</w:t>
      </w:r>
    </w:p>
    <w:p w14:paraId="798E7C31">
      <w:pPr>
        <w:spacing w:line="360" w:lineRule="auto"/>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四、采购内容及要求</w:t>
      </w:r>
    </w:p>
    <w:p w14:paraId="18932869">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具体要求详见本</w:t>
      </w:r>
      <w:r>
        <w:rPr>
          <w:rFonts w:hint="eastAsia" w:asciiTheme="minorEastAsia" w:hAnsiTheme="minorEastAsia" w:eastAsiaTheme="minorEastAsia"/>
          <w:color w:val="000000"/>
          <w:sz w:val="28"/>
          <w:szCs w:val="28"/>
          <w:u w:val="single"/>
          <w:lang w:eastAsia="zh-CN"/>
        </w:rPr>
        <w:t>采购</w:t>
      </w:r>
      <w:r>
        <w:rPr>
          <w:rFonts w:hint="eastAsia" w:asciiTheme="minorEastAsia" w:hAnsiTheme="minorEastAsia" w:eastAsiaTheme="minorEastAsia"/>
          <w:color w:val="000000"/>
          <w:sz w:val="28"/>
          <w:szCs w:val="28"/>
          <w:u w:val="single"/>
        </w:rPr>
        <w:t>文件《用户书》</w:t>
      </w:r>
      <w:r>
        <w:rPr>
          <w:rFonts w:hint="eastAsia" w:asciiTheme="minorEastAsia" w:hAnsiTheme="minorEastAsia" w:eastAsiaTheme="minorEastAsia"/>
          <w:color w:val="000000"/>
          <w:sz w:val="28"/>
          <w:szCs w:val="28"/>
        </w:rPr>
        <w:t>。响应人须仔细阅读本用户需求书，因未详细了解本用户需求书造成报价项目遗漏，由响应人自行负责。</w:t>
      </w:r>
    </w:p>
    <w:p w14:paraId="0DC56442">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五、合同工期</w:t>
      </w:r>
    </w:p>
    <w:p w14:paraId="337D3218">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从</w:t>
      </w:r>
      <w:r>
        <w:rPr>
          <w:rFonts w:hint="eastAsia" w:asciiTheme="minorEastAsia" w:hAnsiTheme="minorEastAsia" w:eastAsiaTheme="minorEastAsia"/>
          <w:color w:val="000000"/>
          <w:sz w:val="28"/>
          <w:szCs w:val="28"/>
          <w:u w:val="single"/>
          <w:lang w:eastAsia="zh-CN"/>
        </w:rPr>
        <w:t>合同签订之日起</w:t>
      </w:r>
      <w:r>
        <w:rPr>
          <w:rFonts w:hint="eastAsia" w:asciiTheme="minorEastAsia" w:hAnsiTheme="minorEastAsia" w:eastAsiaTheme="minorEastAsia"/>
          <w:color w:val="000000"/>
          <w:sz w:val="28"/>
          <w:szCs w:val="28"/>
          <w:u w:val="single"/>
        </w:rPr>
        <w:t>，共计1</w:t>
      </w:r>
      <w:r>
        <w:rPr>
          <w:rFonts w:hint="eastAsia" w:asciiTheme="minorEastAsia" w:hAnsiTheme="minorEastAsia" w:eastAsiaTheme="minorEastAsia"/>
          <w:color w:val="000000"/>
          <w:sz w:val="28"/>
          <w:szCs w:val="28"/>
          <w:u w:val="single"/>
          <w:lang w:val="en-US" w:eastAsia="zh-CN"/>
        </w:rPr>
        <w:t>2</w:t>
      </w:r>
      <w:r>
        <w:rPr>
          <w:rFonts w:hint="eastAsia" w:asciiTheme="minorEastAsia" w:hAnsiTheme="minorEastAsia" w:eastAsiaTheme="minorEastAsia"/>
          <w:color w:val="000000"/>
          <w:sz w:val="28"/>
          <w:szCs w:val="28"/>
          <w:u w:val="single"/>
        </w:rPr>
        <w:t>个月。</w:t>
      </w:r>
    </w:p>
    <w:p w14:paraId="6D356A6E">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六、支付方式</w:t>
      </w:r>
    </w:p>
    <w:p w14:paraId="007CE89F">
      <w:pPr>
        <w:spacing w:line="600" w:lineRule="exact"/>
        <w:ind w:firstLine="560" w:firstLineChars="200"/>
        <w:rPr>
          <w:rFonts w:asciiTheme="minorEastAsia" w:hAnsiTheme="minorEastAsia" w:eastAsiaTheme="minorEastAsia"/>
          <w:color w:val="000000"/>
          <w:sz w:val="28"/>
          <w:szCs w:val="28"/>
        </w:rPr>
      </w:pPr>
      <w:bookmarkStart w:id="0" w:name="_Hlk38897977"/>
      <w:r>
        <w:rPr>
          <w:rFonts w:hint="eastAsia" w:asciiTheme="minorEastAsia" w:hAnsiTheme="minorEastAsia" w:eastAsiaTheme="minorEastAsia"/>
          <w:color w:val="000000"/>
          <w:sz w:val="28"/>
          <w:szCs w:val="28"/>
          <w:u w:val="single"/>
        </w:rPr>
        <w:t>合同款项支付方式为：费用按月进行考核结算支付，每次付款需开具合同款等额增值税专用发票。</w:t>
      </w:r>
    </w:p>
    <w:bookmarkEnd w:id="0"/>
    <w:p w14:paraId="68A45E60">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七、报价</w:t>
      </w:r>
    </w:p>
    <w:p w14:paraId="01419BF2">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采购最高限价：人民币</w:t>
      </w:r>
      <w:r>
        <w:rPr>
          <w:rFonts w:hint="eastAsia" w:asciiTheme="minorEastAsia" w:hAnsiTheme="minorEastAsia" w:eastAsiaTheme="minorEastAsia"/>
          <w:color w:val="000000"/>
          <w:sz w:val="28"/>
          <w:szCs w:val="28"/>
          <w:lang w:val="en-US" w:eastAsia="zh-CN"/>
        </w:rPr>
        <w:t>180，000元</w:t>
      </w:r>
      <w:r>
        <w:rPr>
          <w:rFonts w:hint="eastAsia" w:asciiTheme="minorEastAsia" w:hAnsiTheme="minorEastAsia" w:eastAsiaTheme="minorEastAsia"/>
          <w:color w:val="000000"/>
          <w:sz w:val="28"/>
          <w:szCs w:val="28"/>
        </w:rPr>
        <w:t>（含税）</w:t>
      </w:r>
      <w:r>
        <w:rPr>
          <w:rFonts w:hint="eastAsia" w:asciiTheme="minorEastAsia" w:hAnsiTheme="minorEastAsia" w:eastAsiaTheme="minorEastAsia"/>
          <w:color w:val="000000"/>
          <w:sz w:val="28"/>
          <w:szCs w:val="28"/>
          <w:lang w:val="en-US" w:eastAsia="zh-CN"/>
        </w:rPr>
        <w:t>（</w:t>
      </w:r>
      <w:r>
        <w:rPr>
          <w:rFonts w:hint="eastAsia"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lang w:val="en-US" w:eastAsia="zh-CN"/>
        </w:rPr>
        <w:t>50</w:t>
      </w:r>
      <w:r>
        <w:rPr>
          <w:rFonts w:hint="eastAsia" w:asciiTheme="minorEastAsia" w:hAnsiTheme="minorEastAsia" w:eastAsiaTheme="minorEastAsia"/>
          <w:color w:val="000000"/>
          <w:sz w:val="28"/>
          <w:szCs w:val="28"/>
        </w:rPr>
        <w:t>00元/月，合同期1</w:t>
      </w:r>
      <w:r>
        <w:rPr>
          <w:rFonts w:hint="eastAsia" w:asciiTheme="minorEastAsia" w:hAnsiTheme="minorEastAsia" w:eastAsiaTheme="minorEastAsia"/>
          <w:color w:val="000000"/>
          <w:sz w:val="28"/>
          <w:szCs w:val="28"/>
          <w:lang w:val="en-US" w:eastAsia="zh-CN"/>
        </w:rPr>
        <w:t>2</w:t>
      </w:r>
      <w:r>
        <w:rPr>
          <w:rFonts w:hint="eastAsia" w:asciiTheme="minorEastAsia" w:hAnsiTheme="minorEastAsia" w:eastAsiaTheme="minorEastAsia"/>
          <w:color w:val="000000"/>
          <w:sz w:val="28"/>
          <w:szCs w:val="28"/>
        </w:rPr>
        <w:t>个月</w:t>
      </w:r>
      <w:r>
        <w:rPr>
          <w:rFonts w:hint="eastAsia" w:asciiTheme="minorEastAsia" w:hAnsiTheme="minorEastAsia" w:eastAsiaTheme="minorEastAsia"/>
          <w:color w:val="000000"/>
          <w:sz w:val="28"/>
          <w:szCs w:val="28"/>
          <w:lang w:eastAsia="zh-CN"/>
        </w:rPr>
        <w:t>）</w:t>
      </w:r>
      <w:r>
        <w:rPr>
          <w:rFonts w:hint="eastAsia" w:asciiTheme="minorEastAsia" w:hAnsiTheme="minorEastAsia" w:eastAsiaTheme="minorEastAsia"/>
          <w:color w:val="000000"/>
          <w:sz w:val="28"/>
          <w:szCs w:val="28"/>
        </w:rPr>
        <w:t>。</w:t>
      </w:r>
    </w:p>
    <w:p w14:paraId="12E4C59E">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项目发包方式为固定总价包干，每月按考核情况付款。包括但不限于：本项目中报价应包含服务及所需附件的购置费、运输费、人工费、保险费、各种税及费合同实施过程中的应预见和不可预见费用等完成合同规定责任和义务、达到合同目的的一切费用，采购人不再额外支付任何费用</w:t>
      </w:r>
      <w:r>
        <w:rPr>
          <w:rFonts w:hint="eastAsia" w:asciiTheme="minorEastAsia" w:hAnsiTheme="minorEastAsia" w:eastAsiaTheme="minorEastAsia"/>
          <w:color w:val="000000"/>
          <w:sz w:val="28"/>
          <w:szCs w:val="28"/>
          <w:u w:val="single"/>
        </w:rPr>
        <w:t>；</w:t>
      </w:r>
      <w:r>
        <w:rPr>
          <w:rFonts w:hint="eastAsia" w:asciiTheme="minorEastAsia" w:hAnsiTheme="minorEastAsia" w:eastAsiaTheme="minorEastAsia"/>
          <w:b/>
          <w:color w:val="000000"/>
          <w:sz w:val="28"/>
          <w:szCs w:val="28"/>
          <w:u w:val="single"/>
        </w:rPr>
        <w:t>响应人已充分考虑了本项目服务内容及要求描述工作量可能与最终实际工作量存在差距的风险</w:t>
      </w:r>
      <w:r>
        <w:rPr>
          <w:rFonts w:hint="eastAsia" w:asciiTheme="minorEastAsia" w:hAnsiTheme="minorEastAsia" w:eastAsiaTheme="minorEastAsia"/>
          <w:color w:val="000000"/>
          <w:sz w:val="28"/>
          <w:szCs w:val="28"/>
          <w:u w:val="single"/>
        </w:rPr>
        <w:t>。</w:t>
      </w:r>
    </w:p>
    <w:p w14:paraId="2F88E8BA">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八、定标</w:t>
      </w:r>
    </w:p>
    <w:p w14:paraId="1BBC3E20">
      <w:pPr>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本次项目采用竞争性谈判方式进行采购，谈判小组对各供应商响应文件进行审核，与符合资格条件的供应商就服务事宜进行一轮或多轮谈判，供应商提交最后报价，谈判小组根据最终报价和根据质量和服务均能满足采购文件实质性响应要求且</w:t>
      </w:r>
      <w:r>
        <w:rPr>
          <w:rFonts w:hint="eastAsia" w:asciiTheme="minorEastAsia" w:hAnsiTheme="minorEastAsia" w:eastAsiaTheme="minorEastAsia"/>
          <w:b/>
          <w:bCs/>
          <w:color w:val="000000"/>
          <w:sz w:val="28"/>
          <w:szCs w:val="28"/>
          <w:highlight w:val="yellow"/>
          <w:u w:val="single"/>
          <w:lang w:eastAsia="zh-CN"/>
        </w:rPr>
        <w:t>不含税</w:t>
      </w:r>
      <w:r>
        <w:rPr>
          <w:rFonts w:hint="eastAsia" w:asciiTheme="minorEastAsia" w:hAnsiTheme="minorEastAsia" w:eastAsiaTheme="minorEastAsia"/>
          <w:color w:val="000000"/>
          <w:sz w:val="28"/>
          <w:szCs w:val="28"/>
          <w:highlight w:val="yellow"/>
        </w:rPr>
        <w:t>报价</w:t>
      </w:r>
      <w:r>
        <w:rPr>
          <w:rFonts w:hint="eastAsia" w:asciiTheme="minorEastAsia" w:hAnsiTheme="minorEastAsia" w:eastAsiaTheme="minorEastAsia"/>
          <w:color w:val="000000"/>
          <w:sz w:val="28"/>
          <w:szCs w:val="28"/>
        </w:rPr>
        <w:t>最低的原则，推荐成交候选供应商。</w:t>
      </w:r>
    </w:p>
    <w:p w14:paraId="45DE348C">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谈判结束后，招标采购工作小组将相关情况按程序审批并确定成交人。</w:t>
      </w:r>
    </w:p>
    <w:p w14:paraId="628F376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九、采取的合同文本</w:t>
      </w:r>
    </w:p>
    <w:p w14:paraId="026F142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合同签订的依据为竞争性谈判</w:t>
      </w:r>
      <w:r>
        <w:rPr>
          <w:rFonts w:hint="eastAsia" w:asciiTheme="minorEastAsia" w:hAnsiTheme="minorEastAsia" w:eastAsiaTheme="minorEastAsia"/>
          <w:color w:val="000000"/>
          <w:sz w:val="28"/>
          <w:szCs w:val="28"/>
          <w:lang w:eastAsia="zh-CN"/>
        </w:rPr>
        <w:t>文件</w:t>
      </w:r>
      <w:r>
        <w:rPr>
          <w:rFonts w:hint="eastAsia" w:asciiTheme="minorEastAsia" w:hAnsiTheme="minorEastAsia" w:eastAsiaTheme="minorEastAsia"/>
          <w:color w:val="000000"/>
          <w:sz w:val="28"/>
          <w:szCs w:val="28"/>
        </w:rPr>
        <w:t>、响应文件及补充说明等。确定成交单位后，成交单位在</w:t>
      </w:r>
      <w:r>
        <w:rPr>
          <w:rFonts w:asciiTheme="minorEastAsia" w:hAnsiTheme="minorEastAsia" w:eastAsiaTheme="minorEastAsia"/>
          <w:color w:val="000000"/>
          <w:sz w:val="28"/>
          <w:szCs w:val="28"/>
          <w:u w:val="single"/>
        </w:rPr>
        <w:t>10</w:t>
      </w:r>
      <w:r>
        <w:rPr>
          <w:rFonts w:hint="eastAsia" w:asciiTheme="minorEastAsia" w:hAnsiTheme="minorEastAsia" w:eastAsiaTheme="minorEastAsia"/>
          <w:color w:val="000000"/>
          <w:sz w:val="28"/>
          <w:szCs w:val="28"/>
        </w:rPr>
        <w:t>天内与采购人签订合同。</w:t>
      </w:r>
    </w:p>
    <w:p w14:paraId="1477DD66">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响应人收款前需向采购人提供请款材料和开具合法有效等额的增值税专用发票，否则采购人有权拒绝付款。</w:t>
      </w:r>
    </w:p>
    <w:p w14:paraId="0D315CB1">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sym w:font="Wingdings" w:char="F0AB"/>
      </w:r>
      <w:r>
        <w:rPr>
          <w:rFonts w:hint="eastAsia" w:asciiTheme="minorEastAsia" w:hAnsiTheme="minorEastAsia" w:eastAsiaTheme="minorEastAsia"/>
          <w:color w:val="000000"/>
          <w:sz w:val="28"/>
          <w:szCs w:val="28"/>
        </w:rPr>
        <w:t>十、响应文件的组成部分（响应文件本项资料如有不全，则作无效报价处理）</w:t>
      </w:r>
    </w:p>
    <w:p w14:paraId="7F5DDDAC">
      <w:pPr>
        <w:numPr>
          <w:ilvl w:val="0"/>
          <w:numId w:val="4"/>
        </w:num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报价函（模板）及报价清单（清单自拟）；</w:t>
      </w:r>
    </w:p>
    <w:p w14:paraId="74A5D0C1">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、法人证明（模板）以及法人身份证复印件；</w:t>
      </w:r>
    </w:p>
    <w:p w14:paraId="0EAA06D7">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、法人授权书（模板）及被委托人身份证复印件；</w:t>
      </w:r>
    </w:p>
    <w:p w14:paraId="5B227FEB">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、承诺函（模板）；</w:t>
      </w:r>
    </w:p>
    <w:p w14:paraId="5211C64F">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5、响应人认为需要提供的其他资料(如公司介绍、所获得证书、同类业绩、施工方案等信息)。</w:t>
      </w:r>
    </w:p>
    <w:p w14:paraId="4848E6A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6、安全承诺书（模板）；</w:t>
      </w:r>
    </w:p>
    <w:p w14:paraId="0894E273">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响应人须严格按照采购人提供的表单格式报价，</w:t>
      </w:r>
      <w:r>
        <w:rPr>
          <w:rFonts w:hint="eastAsia" w:asciiTheme="minorEastAsia" w:hAnsiTheme="minorEastAsia" w:eastAsiaTheme="minorEastAsia"/>
          <w:b/>
          <w:color w:val="000000"/>
          <w:sz w:val="28"/>
          <w:szCs w:val="28"/>
          <w:u w:val="single"/>
        </w:rPr>
        <w:t>响应文件必须装订完整，于骑缝处加盖投标单位企业公章。</w:t>
      </w:r>
      <w:r>
        <w:rPr>
          <w:rFonts w:hint="eastAsia" w:asciiTheme="minorEastAsia" w:hAnsiTheme="minorEastAsia" w:eastAsiaTheme="minorEastAsia"/>
          <w:color w:val="000000"/>
          <w:sz w:val="28"/>
          <w:szCs w:val="28"/>
        </w:rPr>
        <w:t>装有响应文件的</w:t>
      </w:r>
      <w:r>
        <w:rPr>
          <w:rFonts w:hint="eastAsia" w:asciiTheme="minorEastAsia" w:hAnsiTheme="minorEastAsia" w:eastAsiaTheme="minorEastAsia"/>
          <w:b/>
          <w:color w:val="000000"/>
          <w:sz w:val="28"/>
          <w:szCs w:val="28"/>
        </w:rPr>
        <w:t>文件袋须贴有密封条，于骑缝处加盖企业公章</w:t>
      </w:r>
      <w:r>
        <w:rPr>
          <w:rFonts w:hint="eastAsia" w:asciiTheme="minorEastAsia" w:hAnsiTheme="minorEastAsia" w:eastAsiaTheme="minorEastAsia"/>
          <w:color w:val="000000"/>
          <w:sz w:val="28"/>
          <w:szCs w:val="28"/>
        </w:rPr>
        <w:t>，现场投标。</w:t>
      </w:r>
    </w:p>
    <w:p w14:paraId="029962B8">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十一、响应文件份数</w:t>
      </w:r>
    </w:p>
    <w:p w14:paraId="24525E47">
      <w:pPr>
        <w:pStyle w:val="39"/>
        <w:numPr>
          <w:ilvl w:val="0"/>
          <w:numId w:val="5"/>
        </w:numPr>
        <w:spacing w:line="600" w:lineRule="exact"/>
        <w:ind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正本一份，并提供响应文件扫描件电子版。</w:t>
      </w:r>
    </w:p>
    <w:p w14:paraId="0AA93497">
      <w:pPr>
        <w:pStyle w:val="39"/>
        <w:numPr>
          <w:ilvl w:val="0"/>
          <w:numId w:val="5"/>
        </w:numPr>
        <w:spacing w:line="600" w:lineRule="exact"/>
        <w:ind w:left="1134" w:hanging="494"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投标人应承担所有与编写投标文件和参加投标有关的自身的所有费用，不论投标的结果如何，采购人在任何情况下均无义务和责任承担这些费用。</w:t>
      </w:r>
    </w:p>
    <w:p w14:paraId="6683872B">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十二、开标时间及地址</w:t>
      </w:r>
    </w:p>
    <w:p w14:paraId="4A0BB370">
      <w:pPr>
        <w:spacing w:line="600" w:lineRule="exact"/>
        <w:ind w:firstLine="562" w:firstLineChars="200"/>
        <w:rPr>
          <w:rFonts w:asciiTheme="minorEastAsia" w:hAnsiTheme="minorEastAsia" w:eastAsiaTheme="minorEastAsia"/>
          <w:b/>
          <w:color w:val="000000"/>
          <w:sz w:val="28"/>
          <w:szCs w:val="28"/>
          <w:highlight w:val="none"/>
        </w:rPr>
      </w:pPr>
      <w:r>
        <w:rPr>
          <w:rFonts w:asciiTheme="minorEastAsia" w:hAnsiTheme="minorEastAsia" w:eastAsiaTheme="minorEastAsia"/>
          <w:b/>
          <w:color w:val="000000"/>
          <w:sz w:val="28"/>
          <w:szCs w:val="28"/>
          <w:highlight w:val="none"/>
        </w:rPr>
        <w:t>1</w:t>
      </w:r>
      <w:r>
        <w:rPr>
          <w:rFonts w:hint="eastAsia" w:asciiTheme="minorEastAsia" w:hAnsiTheme="minorEastAsia" w:eastAsiaTheme="minorEastAsia"/>
          <w:b/>
          <w:color w:val="000000"/>
          <w:sz w:val="28"/>
          <w:szCs w:val="28"/>
          <w:highlight w:val="none"/>
        </w:rPr>
        <w:t>、开标时间：</w:t>
      </w:r>
      <w:r>
        <w:rPr>
          <w:rFonts w:asciiTheme="minorEastAsia" w:hAnsiTheme="minorEastAsia" w:eastAsiaTheme="minorEastAsia"/>
          <w:b/>
          <w:color w:val="000000"/>
          <w:sz w:val="28"/>
          <w:szCs w:val="28"/>
          <w:highlight w:val="none"/>
          <w:u w:val="single"/>
        </w:rPr>
        <w:t>20</w:t>
      </w:r>
      <w:r>
        <w:rPr>
          <w:rFonts w:hint="eastAsia" w:asciiTheme="minorEastAsia" w:hAnsiTheme="minorEastAsia" w:eastAsiaTheme="minorEastAsia"/>
          <w:b/>
          <w:color w:val="000000"/>
          <w:sz w:val="28"/>
          <w:szCs w:val="28"/>
          <w:highlight w:val="none"/>
          <w:u w:val="single"/>
        </w:rPr>
        <w:t>2</w:t>
      </w:r>
      <w:r>
        <w:rPr>
          <w:rFonts w:hint="eastAsia" w:asciiTheme="minorEastAsia" w:hAnsiTheme="minorEastAsia" w:eastAsiaTheme="minorEastAsia"/>
          <w:b/>
          <w:color w:val="000000"/>
          <w:sz w:val="28"/>
          <w:szCs w:val="28"/>
          <w:highlight w:val="none"/>
          <w:u w:val="single"/>
          <w:lang w:val="en-US" w:eastAsia="zh-CN"/>
        </w:rPr>
        <w:t>6</w:t>
      </w:r>
      <w:r>
        <w:rPr>
          <w:rFonts w:hint="eastAsia" w:asciiTheme="minorEastAsia" w:hAnsiTheme="minorEastAsia" w:eastAsiaTheme="minorEastAsia"/>
          <w:b/>
          <w:color w:val="000000"/>
          <w:sz w:val="28"/>
          <w:szCs w:val="28"/>
          <w:highlight w:val="none"/>
        </w:rPr>
        <w:t>年</w:t>
      </w:r>
      <w:r>
        <w:rPr>
          <w:rFonts w:asciiTheme="minorEastAsia" w:hAnsiTheme="minorEastAsia" w:eastAsiaTheme="minorEastAsia"/>
          <w:b/>
          <w:color w:val="000000"/>
          <w:sz w:val="28"/>
          <w:szCs w:val="28"/>
          <w:highlight w:val="none"/>
          <w:u w:val="single"/>
        </w:rPr>
        <w:t xml:space="preserve"> </w:t>
      </w:r>
      <w:r>
        <w:rPr>
          <w:rFonts w:hint="eastAsia" w:asciiTheme="minorEastAsia" w:hAnsiTheme="minorEastAsia" w:eastAsiaTheme="minorEastAsia"/>
          <w:b/>
          <w:color w:val="000000"/>
          <w:sz w:val="28"/>
          <w:szCs w:val="28"/>
          <w:highlight w:val="none"/>
          <w:u w:val="single"/>
          <w:lang w:val="en-US" w:eastAsia="zh-CN"/>
        </w:rPr>
        <w:t>01</w:t>
      </w:r>
      <w:r>
        <w:rPr>
          <w:rFonts w:hint="eastAsia" w:asciiTheme="minorEastAsia" w:hAnsiTheme="minorEastAsia" w:eastAsiaTheme="minorEastAsia"/>
          <w:b/>
          <w:color w:val="000000"/>
          <w:sz w:val="28"/>
          <w:szCs w:val="28"/>
          <w:highlight w:val="none"/>
        </w:rPr>
        <w:t>月</w:t>
      </w:r>
      <w:r>
        <w:rPr>
          <w:rFonts w:hint="eastAsia" w:asciiTheme="minorEastAsia" w:hAnsiTheme="minorEastAsia" w:eastAsiaTheme="minorEastAsia"/>
          <w:b/>
          <w:color w:val="000000"/>
          <w:sz w:val="28"/>
          <w:szCs w:val="28"/>
          <w:highlight w:val="none"/>
          <w:u w:val="single"/>
          <w:lang w:val="en-US" w:eastAsia="zh-CN"/>
        </w:rPr>
        <w:t xml:space="preserve"> 16 </w:t>
      </w:r>
      <w:r>
        <w:rPr>
          <w:rFonts w:hint="eastAsia" w:asciiTheme="minorEastAsia" w:hAnsiTheme="minorEastAsia" w:eastAsiaTheme="minorEastAsia"/>
          <w:b/>
          <w:color w:val="000000"/>
          <w:sz w:val="28"/>
          <w:szCs w:val="28"/>
          <w:highlight w:val="none"/>
        </w:rPr>
        <w:t>日</w:t>
      </w:r>
      <w:r>
        <w:rPr>
          <w:rFonts w:hint="eastAsia" w:asciiTheme="minorEastAsia" w:hAnsiTheme="minorEastAsia" w:eastAsiaTheme="minorEastAsia"/>
          <w:b/>
          <w:color w:val="000000"/>
          <w:sz w:val="28"/>
          <w:szCs w:val="28"/>
          <w:highlight w:val="none"/>
          <w:u w:val="single"/>
          <w:lang w:eastAsia="zh-CN"/>
        </w:rPr>
        <w:t>上</w:t>
      </w:r>
      <w:r>
        <w:rPr>
          <w:rFonts w:hint="eastAsia" w:asciiTheme="minorEastAsia" w:hAnsiTheme="minorEastAsia" w:eastAsiaTheme="minorEastAsia"/>
          <w:b/>
          <w:color w:val="000000"/>
          <w:sz w:val="28"/>
          <w:szCs w:val="28"/>
          <w:highlight w:val="none"/>
        </w:rPr>
        <w:t>午</w:t>
      </w:r>
      <w:r>
        <w:rPr>
          <w:rFonts w:hint="eastAsia" w:asciiTheme="minorEastAsia" w:hAnsiTheme="minorEastAsia" w:eastAsiaTheme="minorEastAsia"/>
          <w:b/>
          <w:color w:val="000000"/>
          <w:sz w:val="28"/>
          <w:szCs w:val="28"/>
          <w:highlight w:val="none"/>
          <w:u w:val="single"/>
          <w:lang w:val="en-US" w:eastAsia="zh-CN"/>
        </w:rPr>
        <w:t>09</w:t>
      </w:r>
      <w:bookmarkStart w:id="7" w:name="_GoBack"/>
      <w:bookmarkEnd w:id="7"/>
      <w:r>
        <w:rPr>
          <w:rFonts w:asciiTheme="minorEastAsia" w:hAnsiTheme="minorEastAsia" w:eastAsiaTheme="minorEastAsia"/>
          <w:b/>
          <w:color w:val="000000"/>
          <w:sz w:val="28"/>
          <w:szCs w:val="28"/>
          <w:highlight w:val="none"/>
          <w:u w:val="single"/>
        </w:rPr>
        <w:t>:</w:t>
      </w:r>
      <w:r>
        <w:rPr>
          <w:rFonts w:hint="eastAsia" w:asciiTheme="minorEastAsia" w:hAnsiTheme="minorEastAsia" w:eastAsiaTheme="minorEastAsia"/>
          <w:b/>
          <w:color w:val="000000"/>
          <w:sz w:val="28"/>
          <w:szCs w:val="28"/>
          <w:highlight w:val="none"/>
          <w:u w:val="single"/>
        </w:rPr>
        <w:t>30</w:t>
      </w:r>
      <w:r>
        <w:rPr>
          <w:rFonts w:hint="eastAsia" w:asciiTheme="minorEastAsia" w:hAnsiTheme="minorEastAsia" w:eastAsiaTheme="minorEastAsia"/>
          <w:b/>
          <w:color w:val="000000"/>
          <w:sz w:val="28"/>
          <w:szCs w:val="28"/>
          <w:highlight w:val="none"/>
        </w:rPr>
        <w:t>。</w:t>
      </w:r>
    </w:p>
    <w:p w14:paraId="679F8392">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2</w:t>
      </w:r>
      <w:r>
        <w:rPr>
          <w:rFonts w:hint="eastAsia" w:asciiTheme="minorEastAsia" w:hAnsiTheme="minorEastAsia" w:eastAsiaTheme="minorEastAsia"/>
          <w:b/>
          <w:color w:val="000000"/>
          <w:sz w:val="28"/>
          <w:szCs w:val="28"/>
        </w:rPr>
        <w:t>、开标地址：</w:t>
      </w:r>
      <w:r>
        <w:rPr>
          <w:rFonts w:hint="eastAsia" w:asciiTheme="minorEastAsia" w:hAnsiTheme="minorEastAsia" w:eastAsiaTheme="minorEastAsia"/>
          <w:b/>
          <w:sz w:val="28"/>
          <w:szCs w:val="28"/>
          <w:u w:val="single"/>
        </w:rPr>
        <w:t>东莞市宏伟五路1号东鸿公司会议室</w:t>
      </w:r>
    </w:p>
    <w:p w14:paraId="735FBEA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联系人：</w:t>
      </w:r>
      <w:r>
        <w:rPr>
          <w:rFonts w:hint="eastAsia" w:asciiTheme="minorEastAsia" w:hAnsiTheme="minorEastAsia" w:eastAsiaTheme="minorEastAsia"/>
          <w:color w:val="000000"/>
          <w:sz w:val="28"/>
          <w:szCs w:val="28"/>
          <w:u w:val="single"/>
        </w:rPr>
        <w:t>吴先生</w:t>
      </w:r>
      <w:r>
        <w:rPr>
          <w:rFonts w:asciiTheme="minorEastAsia" w:hAnsiTheme="minorEastAsia" w:eastAsiaTheme="minorEastAsia"/>
          <w:color w:val="000000"/>
          <w:sz w:val="28"/>
          <w:szCs w:val="28"/>
          <w:u w:val="single"/>
        </w:rPr>
        <w:t xml:space="preserve">  </w:t>
      </w:r>
    </w:p>
    <w:p w14:paraId="01B4B640">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联系电话：</w:t>
      </w:r>
      <w:r>
        <w:rPr>
          <w:rFonts w:asciiTheme="minorEastAsia" w:hAnsiTheme="minorEastAsia" w:eastAsiaTheme="minorEastAsia"/>
          <w:color w:val="000000"/>
          <w:sz w:val="28"/>
          <w:szCs w:val="28"/>
          <w:u w:val="single"/>
        </w:rPr>
        <w:t xml:space="preserve">0769-23078130 </w:t>
      </w:r>
    </w:p>
    <w:p w14:paraId="6DF90FA6">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十三、注意事项</w:t>
      </w:r>
    </w:p>
    <w:p w14:paraId="00E24FBC">
      <w:pPr>
        <w:spacing w:line="600" w:lineRule="exact"/>
        <w:ind w:firstLine="560" w:firstLineChars="200"/>
        <w:rPr>
          <w:rFonts w:asciiTheme="minorEastAsia" w:hAnsiTheme="minorEastAsia" w:eastAsiaTheme="minorEastAsia"/>
          <w:color w:val="000000"/>
          <w:sz w:val="28"/>
          <w:szCs w:val="28"/>
        </w:rPr>
      </w:pPr>
      <w:bookmarkStart w:id="1" w:name="_Hlk517879660"/>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、若响应人未按规定时间将文件送达现场，视为放弃投标资格。</w:t>
      </w:r>
    </w:p>
    <w:p w14:paraId="3A523F36">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、采购人向响应人提供的有关资料和数据，是采购人现有的能使响应人利用的资料，采购人对响应人由此而做出的推论、理解和结论概不负责。</w:t>
      </w:r>
    </w:p>
    <w:p w14:paraId="64E88DA5">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、本项目执行过程中将遵循国家、省、市有关法律、法规、标准、技术规范和规范性文件的最新规定。</w:t>
      </w:r>
      <w:bookmarkEnd w:id="1"/>
    </w:p>
    <w:p w14:paraId="26580DCE">
      <w:pPr>
        <w:widowControl/>
        <w:spacing w:line="600" w:lineRule="exact"/>
        <w:ind w:firstLine="560" w:firstLineChars="200"/>
        <w:jc w:val="lef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、成交单位对采购文件中技术条款作出的负偏离，采购人如不接受，可要求成交单位以采购文件的要求为准，如成交单位拒绝的，采购人有权取消其成交资格或取消合同，采购人不作任何补偿。</w:t>
      </w:r>
    </w:p>
    <w:p w14:paraId="73927151">
      <w:pPr>
        <w:spacing w:line="600" w:lineRule="exact"/>
        <w:ind w:firstLine="560" w:firstLineChars="200"/>
        <w:jc w:val="right"/>
        <w:rPr>
          <w:rFonts w:asciiTheme="minorEastAsia" w:hAnsiTheme="minorEastAsia" w:eastAsiaTheme="minorEastAsia"/>
          <w:sz w:val="28"/>
          <w:szCs w:val="28"/>
          <w:u w:val="single"/>
        </w:rPr>
      </w:pPr>
      <w:r>
        <w:rPr>
          <w:rFonts w:hint="eastAsia" w:asciiTheme="minorEastAsia" w:hAnsiTheme="minorEastAsia" w:eastAsiaTheme="minorEastAsia"/>
          <w:sz w:val="28"/>
          <w:szCs w:val="28"/>
          <w:u w:val="single"/>
        </w:rPr>
        <w:t>广东东鸿物业发展有限公司</w:t>
      </w:r>
    </w:p>
    <w:p w14:paraId="79608B19">
      <w:pPr>
        <w:spacing w:line="600" w:lineRule="exact"/>
        <w:ind w:firstLine="560" w:firstLineChars="200"/>
        <w:jc w:val="righ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20</w:t>
      </w:r>
      <w:r>
        <w:rPr>
          <w:rFonts w:asciiTheme="minorEastAsia" w:hAnsiTheme="minorEastAsia" w:eastAsiaTheme="minorEastAsia"/>
          <w:sz w:val="28"/>
          <w:szCs w:val="28"/>
          <w:highlight w:val="none"/>
          <w:u w:val="single"/>
        </w:rPr>
        <w:t xml:space="preserve"> </w:t>
      </w:r>
      <w:r>
        <w:rPr>
          <w:rFonts w:hint="eastAsia" w:asciiTheme="minorEastAsia" w:hAnsiTheme="minorEastAsia" w:eastAsiaTheme="minorEastAsia"/>
          <w:sz w:val="28"/>
          <w:szCs w:val="28"/>
          <w:highlight w:val="none"/>
          <w:u w:val="single"/>
        </w:rPr>
        <w:t>2</w:t>
      </w:r>
      <w:r>
        <w:rPr>
          <w:rFonts w:hint="eastAsia" w:asciiTheme="minorEastAsia" w:hAnsiTheme="minorEastAsia" w:eastAsiaTheme="minorEastAsia"/>
          <w:sz w:val="28"/>
          <w:szCs w:val="28"/>
          <w:highlight w:val="none"/>
          <w:u w:val="single"/>
          <w:lang w:val="en-US" w:eastAsia="zh-CN"/>
        </w:rPr>
        <w:t>6</w:t>
      </w:r>
      <w:r>
        <w:rPr>
          <w:rFonts w:hint="eastAsia" w:asciiTheme="minorEastAsia" w:hAnsiTheme="minorEastAsia" w:eastAsiaTheme="minorEastAsia"/>
          <w:sz w:val="28"/>
          <w:szCs w:val="28"/>
          <w:highlight w:val="none"/>
        </w:rPr>
        <w:t>年</w:t>
      </w:r>
      <w:r>
        <w:rPr>
          <w:rFonts w:asciiTheme="minorEastAsia" w:hAnsiTheme="minorEastAsia" w:eastAsiaTheme="minorEastAsia"/>
          <w:sz w:val="28"/>
          <w:szCs w:val="28"/>
          <w:highlight w:val="none"/>
          <w:u w:val="single"/>
        </w:rPr>
        <w:t xml:space="preserve"> </w:t>
      </w:r>
      <w:r>
        <w:rPr>
          <w:rFonts w:hint="eastAsia" w:asciiTheme="minorEastAsia" w:hAnsiTheme="minorEastAsia" w:eastAsiaTheme="minorEastAsia"/>
          <w:sz w:val="28"/>
          <w:szCs w:val="28"/>
          <w:highlight w:val="none"/>
          <w:u w:val="single"/>
          <w:lang w:val="en-US" w:eastAsia="zh-CN"/>
        </w:rPr>
        <w:t>01</w:t>
      </w:r>
      <w:r>
        <w:rPr>
          <w:rFonts w:hint="eastAsia" w:asciiTheme="minorEastAsia" w:hAnsiTheme="minorEastAsia" w:eastAsiaTheme="minorEastAsia"/>
          <w:sz w:val="28"/>
          <w:szCs w:val="28"/>
          <w:highlight w:val="none"/>
        </w:rPr>
        <w:t>月</w:t>
      </w:r>
      <w:r>
        <w:rPr>
          <w:rFonts w:asciiTheme="minorEastAsia" w:hAnsiTheme="minorEastAsia" w:eastAsiaTheme="minorEastAsia"/>
          <w:sz w:val="28"/>
          <w:szCs w:val="28"/>
          <w:highlight w:val="none"/>
          <w:u w:val="single"/>
        </w:rPr>
        <w:t xml:space="preserve"> </w:t>
      </w:r>
      <w:r>
        <w:rPr>
          <w:rFonts w:hint="eastAsia" w:asciiTheme="minorEastAsia" w:hAnsiTheme="minorEastAsia" w:eastAsiaTheme="minorEastAsia"/>
          <w:sz w:val="28"/>
          <w:szCs w:val="28"/>
          <w:highlight w:val="none"/>
          <w:u w:val="single"/>
          <w:lang w:val="en-US" w:eastAsia="zh-CN"/>
        </w:rPr>
        <w:t xml:space="preserve">12 </w:t>
      </w:r>
      <w:r>
        <w:rPr>
          <w:rFonts w:hint="eastAsia" w:asciiTheme="minorEastAsia" w:hAnsiTheme="minorEastAsia" w:eastAsiaTheme="minorEastAsia"/>
          <w:sz w:val="28"/>
          <w:szCs w:val="28"/>
          <w:highlight w:val="none"/>
        </w:rPr>
        <w:t>日</w:t>
      </w:r>
    </w:p>
    <w:p w14:paraId="2A3BEA94">
      <w:pPr>
        <w:widowControl/>
        <w:spacing w:line="600" w:lineRule="exact"/>
        <w:ind w:firstLine="560" w:firstLineChars="200"/>
        <w:jc w:val="left"/>
        <w:rPr>
          <w:rFonts w:asciiTheme="minorEastAsia" w:hAnsiTheme="minorEastAsia" w:eastAsiaTheme="minorEastAsia"/>
          <w:color w:val="000000"/>
          <w:sz w:val="28"/>
          <w:szCs w:val="28"/>
          <w:highlight w:val="none"/>
        </w:rPr>
        <w:sectPr>
          <w:headerReference r:id="rId3" w:type="default"/>
          <w:pgSz w:w="11906" w:h="16838"/>
          <w:pgMar w:top="851" w:right="849" w:bottom="1276" w:left="993" w:header="851" w:footer="992" w:gutter="0"/>
          <w:cols w:space="720" w:num="1"/>
          <w:docGrid w:type="lines" w:linePitch="312" w:charSpace="0"/>
        </w:sectPr>
      </w:pPr>
    </w:p>
    <w:p w14:paraId="6D598930">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附件一 响应须知</w:t>
      </w:r>
    </w:p>
    <w:p w14:paraId="704D663D">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响应须知</w:t>
      </w:r>
    </w:p>
    <w:tbl>
      <w:tblPr>
        <w:tblStyle w:val="18"/>
        <w:tblW w:w="519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2503"/>
        <w:gridCol w:w="6917"/>
      </w:tblGrid>
      <w:tr w14:paraId="3CD733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461" w:type="pct"/>
            <w:tcBorders>
              <w:top w:val="double" w:color="auto" w:sz="4" w:space="0"/>
            </w:tcBorders>
            <w:vAlign w:val="center"/>
          </w:tcPr>
          <w:p w14:paraId="10BD8E53">
            <w:pPr>
              <w:pStyle w:val="17"/>
              <w:spacing w:after="0" w:line="360" w:lineRule="auto"/>
              <w:ind w:firstLine="0" w:firstLineChars="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项号</w:t>
            </w:r>
          </w:p>
        </w:tc>
        <w:tc>
          <w:tcPr>
            <w:tcW w:w="1206" w:type="pct"/>
            <w:tcBorders>
              <w:top w:val="double" w:color="auto" w:sz="4" w:space="0"/>
            </w:tcBorders>
            <w:vAlign w:val="center"/>
          </w:tcPr>
          <w:p w14:paraId="25C69E96">
            <w:pPr>
              <w:pStyle w:val="17"/>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内容</w:t>
            </w:r>
          </w:p>
        </w:tc>
        <w:tc>
          <w:tcPr>
            <w:tcW w:w="3333" w:type="pct"/>
            <w:tcBorders>
              <w:top w:val="double" w:color="auto" w:sz="4" w:space="0"/>
            </w:tcBorders>
            <w:vAlign w:val="center"/>
          </w:tcPr>
          <w:p w14:paraId="72F06662">
            <w:pPr>
              <w:pStyle w:val="17"/>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说明与要求</w:t>
            </w:r>
          </w:p>
        </w:tc>
      </w:tr>
      <w:tr w14:paraId="52D37C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226DBEED">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p>
        </w:tc>
        <w:tc>
          <w:tcPr>
            <w:tcW w:w="1206" w:type="pct"/>
            <w:vAlign w:val="center"/>
          </w:tcPr>
          <w:p w14:paraId="4BECE6E4">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p>
        </w:tc>
        <w:tc>
          <w:tcPr>
            <w:tcW w:w="3333" w:type="pct"/>
            <w:vAlign w:val="center"/>
          </w:tcPr>
          <w:p w14:paraId="5A582784">
            <w:pPr>
              <w:adjustRightInd w:val="0"/>
              <w:snapToGrid w:val="0"/>
              <w:spacing w:line="560" w:lineRule="exact"/>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塘厦创智园2026年度垃圾清运项目</w:t>
            </w:r>
          </w:p>
        </w:tc>
      </w:tr>
      <w:tr w14:paraId="5EECE0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3130AC9">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p>
        </w:tc>
        <w:tc>
          <w:tcPr>
            <w:tcW w:w="1206" w:type="pct"/>
            <w:vAlign w:val="center"/>
          </w:tcPr>
          <w:p w14:paraId="32A370C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建设地点</w:t>
            </w:r>
          </w:p>
        </w:tc>
        <w:tc>
          <w:tcPr>
            <w:tcW w:w="3333" w:type="pct"/>
            <w:vAlign w:val="center"/>
          </w:tcPr>
          <w:p w14:paraId="1A7D0D5E">
            <w:pPr>
              <w:spacing w:line="360" w:lineRule="auto"/>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lang w:eastAsia="zh-CN"/>
              </w:rPr>
              <w:t>采购人项目所在地</w:t>
            </w:r>
          </w:p>
        </w:tc>
      </w:tr>
      <w:tr w14:paraId="695AFA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28508E63">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p>
        </w:tc>
        <w:tc>
          <w:tcPr>
            <w:tcW w:w="1206" w:type="pct"/>
            <w:vAlign w:val="center"/>
          </w:tcPr>
          <w:p w14:paraId="145ACA8D">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项目性质</w:t>
            </w:r>
          </w:p>
        </w:tc>
        <w:tc>
          <w:tcPr>
            <w:tcW w:w="3333" w:type="pct"/>
            <w:vAlign w:val="center"/>
          </w:tcPr>
          <w:p w14:paraId="24156D54">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服务类</w:t>
            </w:r>
          </w:p>
        </w:tc>
      </w:tr>
      <w:tr w14:paraId="2B88AB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920E6BF">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p>
        </w:tc>
        <w:tc>
          <w:tcPr>
            <w:tcW w:w="1206" w:type="pct"/>
            <w:vAlign w:val="center"/>
          </w:tcPr>
          <w:p w14:paraId="4FABD805">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发包要求</w:t>
            </w:r>
          </w:p>
        </w:tc>
        <w:tc>
          <w:tcPr>
            <w:tcW w:w="3333" w:type="pct"/>
            <w:vAlign w:val="center"/>
          </w:tcPr>
          <w:p w14:paraId="13B6FCFA">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不得转包</w:t>
            </w:r>
          </w:p>
        </w:tc>
      </w:tr>
      <w:tr w14:paraId="409E8B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0021928">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p>
        </w:tc>
        <w:tc>
          <w:tcPr>
            <w:tcW w:w="1206" w:type="pct"/>
            <w:vAlign w:val="center"/>
          </w:tcPr>
          <w:p w14:paraId="2D821A48">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质量标准</w:t>
            </w:r>
          </w:p>
        </w:tc>
        <w:tc>
          <w:tcPr>
            <w:tcW w:w="3333" w:type="pct"/>
            <w:vAlign w:val="center"/>
          </w:tcPr>
          <w:p w14:paraId="512AD738">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以现场考核要求为标准</w:t>
            </w:r>
          </w:p>
        </w:tc>
      </w:tr>
      <w:tr w14:paraId="569AFF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B123ECE">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p>
        </w:tc>
        <w:tc>
          <w:tcPr>
            <w:tcW w:w="1206" w:type="pct"/>
            <w:vAlign w:val="center"/>
          </w:tcPr>
          <w:p w14:paraId="398A9CD4">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工期要求</w:t>
            </w:r>
          </w:p>
        </w:tc>
        <w:tc>
          <w:tcPr>
            <w:tcW w:w="3333" w:type="pct"/>
            <w:vAlign w:val="center"/>
          </w:tcPr>
          <w:p w14:paraId="7FEC8F82">
            <w:pPr>
              <w:spacing w:line="5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从</w:t>
            </w:r>
            <w:r>
              <w:rPr>
                <w:rFonts w:hint="eastAsia" w:asciiTheme="minorEastAsia" w:hAnsiTheme="minorEastAsia" w:eastAsiaTheme="minorEastAsia"/>
                <w:color w:val="000000"/>
                <w:sz w:val="28"/>
                <w:szCs w:val="28"/>
                <w:lang w:eastAsia="zh-CN"/>
              </w:rPr>
              <w:t>合同签订之日起计</w:t>
            </w:r>
            <w:r>
              <w:rPr>
                <w:rFonts w:hint="eastAsia" w:asciiTheme="minorEastAsia" w:hAnsiTheme="minorEastAsia" w:eastAsiaTheme="minorEastAsia"/>
                <w:color w:val="000000"/>
                <w:sz w:val="28"/>
                <w:szCs w:val="28"/>
              </w:rPr>
              <w:t>，共</w:t>
            </w:r>
            <w:r>
              <w:rPr>
                <w:rFonts w:hint="eastAsia" w:asciiTheme="minorEastAsia" w:hAnsiTheme="minorEastAsia" w:eastAsiaTheme="minorEastAsia"/>
                <w:color w:val="000000"/>
                <w:sz w:val="28"/>
                <w:szCs w:val="28"/>
                <w:lang w:val="en-US" w:eastAsia="zh-CN"/>
              </w:rPr>
              <w:t>12</w:t>
            </w:r>
            <w:r>
              <w:rPr>
                <w:rFonts w:hint="eastAsia" w:asciiTheme="minorEastAsia" w:hAnsiTheme="minorEastAsia" w:eastAsiaTheme="minorEastAsia"/>
                <w:color w:val="000000"/>
                <w:sz w:val="28"/>
                <w:szCs w:val="28"/>
              </w:rPr>
              <w:t>个月</w:t>
            </w:r>
          </w:p>
        </w:tc>
      </w:tr>
      <w:tr w14:paraId="2E44D1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16553A00">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7</w:t>
            </w:r>
          </w:p>
        </w:tc>
        <w:tc>
          <w:tcPr>
            <w:tcW w:w="1206" w:type="pct"/>
            <w:vAlign w:val="center"/>
          </w:tcPr>
          <w:p w14:paraId="19F2BAB6">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单位资质要求</w:t>
            </w:r>
          </w:p>
        </w:tc>
        <w:tc>
          <w:tcPr>
            <w:tcW w:w="3333" w:type="pct"/>
            <w:vAlign w:val="center"/>
          </w:tcPr>
          <w:p w14:paraId="7D436D9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27D21F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A761FC1">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8</w:t>
            </w:r>
          </w:p>
        </w:tc>
        <w:tc>
          <w:tcPr>
            <w:tcW w:w="1206" w:type="pct"/>
          </w:tcPr>
          <w:p w14:paraId="315E7DC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谈判保证金金额及缴纳方式</w:t>
            </w:r>
          </w:p>
        </w:tc>
        <w:tc>
          <w:tcPr>
            <w:tcW w:w="3333" w:type="pct"/>
            <w:vAlign w:val="center"/>
          </w:tcPr>
          <w:p w14:paraId="61A1CC1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1EF3B0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7B4E02F3">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9</w:t>
            </w:r>
          </w:p>
        </w:tc>
        <w:tc>
          <w:tcPr>
            <w:tcW w:w="1206" w:type="pct"/>
          </w:tcPr>
          <w:p w14:paraId="099B001C">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谈判有效期</w:t>
            </w:r>
          </w:p>
        </w:tc>
        <w:tc>
          <w:tcPr>
            <w:tcW w:w="3333" w:type="pct"/>
            <w:vAlign w:val="center"/>
          </w:tcPr>
          <w:p w14:paraId="70FDA28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3</w:t>
            </w:r>
            <w:r>
              <w:rPr>
                <w:rFonts w:asciiTheme="minorEastAsia" w:hAnsiTheme="minorEastAsia" w:eastAsiaTheme="minorEastAsia"/>
                <w:color w:val="000000"/>
                <w:sz w:val="28"/>
                <w:szCs w:val="28"/>
              </w:rPr>
              <w:t>0</w:t>
            </w:r>
            <w:r>
              <w:rPr>
                <w:rFonts w:hint="eastAsia" w:asciiTheme="minorEastAsia" w:hAnsiTheme="minorEastAsia" w:eastAsiaTheme="minorEastAsia"/>
                <w:color w:val="000000"/>
                <w:sz w:val="28"/>
                <w:szCs w:val="28"/>
              </w:rPr>
              <w:t>天</w:t>
            </w:r>
          </w:p>
        </w:tc>
      </w:tr>
      <w:tr w14:paraId="08C66D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23AE23B">
            <w:pPr>
              <w:spacing w:line="360" w:lineRule="auto"/>
              <w:jc w:val="center"/>
              <w:rPr>
                <w:rFonts w:asciiTheme="minorEastAsia" w:hAnsiTheme="minorEastAsia" w:eastAsiaTheme="minorEastAsia"/>
                <w:color w:val="000000"/>
                <w:sz w:val="28"/>
                <w:szCs w:val="28"/>
              </w:rPr>
            </w:pPr>
          </w:p>
        </w:tc>
        <w:tc>
          <w:tcPr>
            <w:tcW w:w="1206" w:type="pct"/>
            <w:vAlign w:val="center"/>
          </w:tcPr>
          <w:p w14:paraId="2C6DABA8">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响应人不得存在的情形</w:t>
            </w:r>
          </w:p>
        </w:tc>
        <w:tc>
          <w:tcPr>
            <w:tcW w:w="3333" w:type="pct"/>
            <w:vAlign w:val="center"/>
          </w:tcPr>
          <w:p w14:paraId="0D25D6E4">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、响应人不得存在下列情形之一，否则采购人有权取消其参与响应资格或成交资格：</w:t>
            </w:r>
          </w:p>
          <w:p w14:paraId="36A0FB2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）为采购人不具有独立法人资格的附属机构（单位）；</w:t>
            </w:r>
          </w:p>
          <w:p w14:paraId="6F888C2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）被责令停业的；</w:t>
            </w:r>
            <w:r>
              <w:rPr>
                <w:rFonts w:asciiTheme="minorEastAsia" w:hAnsiTheme="minorEastAsia" w:eastAsiaTheme="minorEastAsia"/>
                <w:color w:val="000000"/>
                <w:sz w:val="28"/>
                <w:szCs w:val="28"/>
              </w:rPr>
              <w:t xml:space="preserve"> </w:t>
            </w:r>
          </w:p>
          <w:p w14:paraId="47534FC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）被暂停或取消投标资格的；</w:t>
            </w:r>
            <w:r>
              <w:rPr>
                <w:rFonts w:asciiTheme="minorEastAsia" w:hAnsiTheme="minorEastAsia" w:eastAsiaTheme="minorEastAsia"/>
                <w:color w:val="000000"/>
                <w:sz w:val="28"/>
                <w:szCs w:val="28"/>
              </w:rPr>
              <w:t xml:space="preserve"> </w:t>
            </w:r>
          </w:p>
          <w:p w14:paraId="55BEC06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）财产被接管或冻结的；</w:t>
            </w:r>
          </w:p>
          <w:p w14:paraId="388B28A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）在最近三年内有骗取中标、严重违约、重大质量或安全问题的；</w:t>
            </w:r>
          </w:p>
          <w:p w14:paraId="5A6347E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）法律法规规定的其他情形；</w:t>
            </w:r>
          </w:p>
          <w:p w14:paraId="2DA1DDC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）竞争性谈判文件规定的其他情形：见竞争性谈判公告或竞争性谈判响应须知前附表。</w:t>
            </w:r>
          </w:p>
          <w:p w14:paraId="170E42E2">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、响应人在</w:t>
            </w:r>
            <w:r>
              <w:rPr>
                <w:rFonts w:hint="eastAsia" w:asciiTheme="minorEastAsia" w:hAnsiTheme="minorEastAsia" w:eastAsiaTheme="minorEastAsia"/>
                <w:color w:val="000000"/>
                <w:sz w:val="28"/>
                <w:szCs w:val="28"/>
                <w:lang w:eastAsia="zh-CN"/>
              </w:rPr>
              <w:t>采购</w:t>
            </w:r>
            <w:r>
              <w:rPr>
                <w:rFonts w:hint="eastAsia" w:asciiTheme="minorEastAsia" w:hAnsiTheme="minorEastAsia" w:eastAsiaTheme="minorEastAsia"/>
                <w:color w:val="000000"/>
                <w:sz w:val="28"/>
                <w:szCs w:val="28"/>
              </w:rPr>
              <w:t>活动中有下列行为之一的，应视情节轻重，暂停或取消其参与采购人及东实集团旗下采购项目的资格：</w:t>
            </w:r>
          </w:p>
          <w:p w14:paraId="63B3BF3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）响应人之间相互串通、或与采购人、代理机构、评审委员会成员串通</w:t>
            </w:r>
            <w:r>
              <w:rPr>
                <w:rFonts w:hint="eastAsia" w:asciiTheme="minorEastAsia" w:hAnsiTheme="minorEastAsia" w:eastAsiaTheme="minorEastAsia"/>
                <w:color w:val="000000"/>
                <w:sz w:val="28"/>
                <w:szCs w:val="28"/>
                <w:lang w:eastAsia="zh-CN"/>
              </w:rPr>
              <w:t>谈判</w:t>
            </w:r>
            <w:r>
              <w:rPr>
                <w:rFonts w:hint="eastAsia" w:asciiTheme="minorEastAsia" w:hAnsiTheme="minorEastAsia" w:eastAsiaTheme="minorEastAsia"/>
                <w:color w:val="000000"/>
                <w:sz w:val="28"/>
                <w:szCs w:val="28"/>
              </w:rPr>
              <w:t>，损害采购人或者其他响应人的合法权益的；</w:t>
            </w:r>
            <w:r>
              <w:rPr>
                <w:rFonts w:asciiTheme="minorEastAsia" w:hAnsiTheme="minorEastAsia" w:eastAsiaTheme="minorEastAsia"/>
                <w:color w:val="000000"/>
                <w:sz w:val="28"/>
                <w:szCs w:val="28"/>
              </w:rPr>
              <w:t xml:space="preserve"> </w:t>
            </w:r>
          </w:p>
          <w:p w14:paraId="7E211F5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）向采购人、代理机构、评审委会成员或其他相关工作人员行贿的；</w:t>
            </w:r>
            <w:r>
              <w:rPr>
                <w:rFonts w:asciiTheme="minorEastAsia" w:hAnsiTheme="minorEastAsia" w:eastAsiaTheme="minorEastAsia"/>
                <w:color w:val="000000"/>
                <w:sz w:val="28"/>
                <w:szCs w:val="28"/>
              </w:rPr>
              <w:t xml:space="preserve"> </w:t>
            </w:r>
          </w:p>
          <w:p w14:paraId="6167360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）以他人名义</w:t>
            </w:r>
            <w:r>
              <w:rPr>
                <w:rFonts w:hint="eastAsia" w:asciiTheme="minorEastAsia" w:hAnsiTheme="minorEastAsia" w:eastAsiaTheme="minorEastAsia"/>
                <w:color w:val="000000"/>
                <w:sz w:val="28"/>
                <w:szCs w:val="28"/>
                <w:lang w:eastAsia="zh-CN"/>
              </w:rPr>
              <w:t>谈判</w:t>
            </w:r>
            <w:r>
              <w:rPr>
                <w:rFonts w:hint="eastAsia" w:asciiTheme="minorEastAsia" w:hAnsiTheme="minorEastAsia" w:eastAsiaTheme="minorEastAsia"/>
                <w:color w:val="000000"/>
                <w:sz w:val="28"/>
                <w:szCs w:val="28"/>
              </w:rPr>
              <w:t>或以其他方式弄虚作假，骗取成交的；</w:t>
            </w:r>
            <w:r>
              <w:rPr>
                <w:rFonts w:asciiTheme="minorEastAsia" w:hAnsiTheme="minorEastAsia" w:eastAsiaTheme="minorEastAsia"/>
                <w:color w:val="000000"/>
                <w:sz w:val="28"/>
                <w:szCs w:val="28"/>
              </w:rPr>
              <w:t xml:space="preserve"> </w:t>
            </w:r>
          </w:p>
          <w:p w14:paraId="16EDF13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）成交人私自将成交项目转让给他人的，将成交项目肢解后分别转让给他人的；</w:t>
            </w:r>
            <w:r>
              <w:rPr>
                <w:rFonts w:asciiTheme="minorEastAsia" w:hAnsiTheme="minorEastAsia" w:eastAsiaTheme="minorEastAsia"/>
                <w:color w:val="000000"/>
                <w:sz w:val="28"/>
                <w:szCs w:val="28"/>
              </w:rPr>
              <w:t xml:space="preserve"> </w:t>
            </w:r>
          </w:p>
          <w:p w14:paraId="41E26D4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）成交人无正当理由不与采购人订立合同，在签订合同时向采购人提出附加条件，或者不按照</w:t>
            </w:r>
            <w:r>
              <w:rPr>
                <w:rFonts w:hint="eastAsia" w:asciiTheme="minorEastAsia" w:hAnsiTheme="minorEastAsia" w:eastAsiaTheme="minorEastAsia"/>
                <w:color w:val="000000"/>
                <w:sz w:val="28"/>
                <w:szCs w:val="28"/>
                <w:lang w:eastAsia="zh-CN"/>
              </w:rPr>
              <w:t>谈判</w:t>
            </w:r>
            <w:r>
              <w:rPr>
                <w:rFonts w:hint="eastAsia" w:asciiTheme="minorEastAsia" w:hAnsiTheme="minorEastAsia" w:eastAsiaTheme="minorEastAsia"/>
                <w:color w:val="000000"/>
                <w:sz w:val="28"/>
                <w:szCs w:val="28"/>
              </w:rPr>
              <w:t>文件要求提交履约担保的；</w:t>
            </w:r>
          </w:p>
          <w:p w14:paraId="020800A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）响应人捏造事实、伪造材料或者以非法手段取得证明材料进行投诉，给他人造成损失的；</w:t>
            </w:r>
            <w:r>
              <w:rPr>
                <w:rFonts w:asciiTheme="minorEastAsia" w:hAnsiTheme="minorEastAsia" w:eastAsiaTheme="minorEastAsia"/>
                <w:color w:val="000000"/>
                <w:sz w:val="28"/>
                <w:szCs w:val="28"/>
              </w:rPr>
              <w:t xml:space="preserve"> </w:t>
            </w:r>
          </w:p>
          <w:p w14:paraId="7E91629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）相关工作人员应当回避而不回避的；</w:t>
            </w:r>
            <w:r>
              <w:rPr>
                <w:rFonts w:asciiTheme="minorEastAsia" w:hAnsiTheme="minorEastAsia" w:eastAsiaTheme="minorEastAsia"/>
                <w:color w:val="000000"/>
                <w:sz w:val="28"/>
                <w:szCs w:val="28"/>
              </w:rPr>
              <w:t xml:space="preserve"> </w:t>
            </w:r>
          </w:p>
          <w:p w14:paraId="66F8D49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8</w:t>
            </w:r>
            <w:r>
              <w:rPr>
                <w:rFonts w:hint="eastAsia" w:asciiTheme="minorEastAsia" w:hAnsiTheme="minorEastAsia" w:eastAsiaTheme="minorEastAsia"/>
                <w:color w:val="000000"/>
                <w:sz w:val="28"/>
                <w:szCs w:val="28"/>
              </w:rPr>
              <w:t>）其他违法违规的行为。</w:t>
            </w:r>
          </w:p>
          <w:p w14:paraId="77B193D3">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、有下列情形之一的，视为响应人串通</w:t>
            </w:r>
            <w:r>
              <w:rPr>
                <w:rFonts w:hint="eastAsia" w:asciiTheme="minorEastAsia" w:hAnsiTheme="minorEastAsia" w:eastAsiaTheme="minorEastAsia"/>
                <w:color w:val="000000"/>
                <w:sz w:val="28"/>
                <w:szCs w:val="28"/>
                <w:lang w:eastAsia="zh-CN"/>
              </w:rPr>
              <w:t>谈判</w:t>
            </w:r>
            <w:r>
              <w:rPr>
                <w:rFonts w:hint="eastAsia" w:asciiTheme="minorEastAsia" w:hAnsiTheme="minorEastAsia" w:eastAsiaTheme="minorEastAsia"/>
                <w:color w:val="000000"/>
                <w:sz w:val="28"/>
                <w:szCs w:val="28"/>
              </w:rPr>
              <w:t>，其响应无效：</w:t>
            </w:r>
          </w:p>
          <w:p w14:paraId="37870BF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）不同响应人的响应文件由同一单位或者个人编制；</w:t>
            </w:r>
          </w:p>
          <w:p w14:paraId="74861BA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）不同响应人委托同一单位或者个人办理响应事宜；</w:t>
            </w:r>
          </w:p>
          <w:p w14:paraId="1C48696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）不同响应人的响应文件载明的项目管理成员或者联系人员为同一人；</w:t>
            </w:r>
          </w:p>
          <w:p w14:paraId="20152FA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）不同响应人的响应文件异常一致或者响应报价呈规律性差异；</w:t>
            </w:r>
          </w:p>
          <w:p w14:paraId="3CB1ADE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）不同响应人的响应文件相互混装；</w:t>
            </w:r>
          </w:p>
          <w:p w14:paraId="16B2833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）不同响应人的响应保证金从同一单位或者个人的账户转出。</w:t>
            </w:r>
          </w:p>
          <w:p w14:paraId="68453DA9">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、使用通过受让或者租借等方式获取的资格、资质证书响应的，属于以他人名义</w:t>
            </w:r>
            <w:r>
              <w:rPr>
                <w:rFonts w:hint="eastAsia" w:asciiTheme="minorEastAsia" w:hAnsiTheme="minorEastAsia" w:eastAsiaTheme="minorEastAsia"/>
                <w:color w:val="000000"/>
                <w:sz w:val="28"/>
                <w:szCs w:val="28"/>
                <w:lang w:eastAsia="zh-CN"/>
              </w:rPr>
              <w:t>谈判</w:t>
            </w:r>
            <w:r>
              <w:rPr>
                <w:rFonts w:hint="eastAsia" w:asciiTheme="minorEastAsia" w:hAnsiTheme="minorEastAsia" w:eastAsiaTheme="minorEastAsia"/>
                <w:color w:val="000000"/>
                <w:sz w:val="28"/>
                <w:szCs w:val="28"/>
              </w:rPr>
              <w:t>，其响应无效：</w:t>
            </w:r>
          </w:p>
          <w:p w14:paraId="562EA4B3">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、有下列情形之一的，属于以其他方式弄虚作假的行为，其响应无效：</w:t>
            </w:r>
          </w:p>
          <w:p w14:paraId="4FB09FA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）使用伪造、变造的许可证件；</w:t>
            </w:r>
          </w:p>
          <w:p w14:paraId="20F1675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）提供虚假的财务状况或者业绩；</w:t>
            </w:r>
            <w:r>
              <w:rPr>
                <w:rFonts w:asciiTheme="minorEastAsia" w:hAnsiTheme="minorEastAsia" w:eastAsiaTheme="minorEastAsia"/>
                <w:color w:val="000000"/>
                <w:sz w:val="28"/>
                <w:szCs w:val="28"/>
              </w:rPr>
              <w:t xml:space="preserve"> </w:t>
            </w:r>
          </w:p>
          <w:p w14:paraId="0140BAD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）提供虚假的项目负责人或者主要技术人员简历、劳动关系证明；</w:t>
            </w:r>
            <w:r>
              <w:rPr>
                <w:rFonts w:asciiTheme="minorEastAsia" w:hAnsiTheme="minorEastAsia" w:eastAsiaTheme="minorEastAsia"/>
                <w:color w:val="000000"/>
                <w:sz w:val="28"/>
                <w:szCs w:val="28"/>
              </w:rPr>
              <w:t xml:space="preserve"> </w:t>
            </w:r>
          </w:p>
          <w:p w14:paraId="0ADB3A5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）提供虚假的信用状况；</w:t>
            </w:r>
          </w:p>
          <w:p w14:paraId="0BB93C0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）其他弄虚作假的行为。</w:t>
            </w:r>
          </w:p>
          <w:p w14:paraId="22726FA2">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、响应人相关工作人员与采购人或采购代理机构有以下利害关系之一的，应当回避：</w:t>
            </w:r>
            <w:r>
              <w:rPr>
                <w:rFonts w:asciiTheme="minorEastAsia" w:hAnsiTheme="minorEastAsia" w:eastAsiaTheme="minorEastAsia"/>
                <w:color w:val="000000"/>
                <w:sz w:val="28"/>
                <w:szCs w:val="28"/>
              </w:rPr>
              <w:t xml:space="preserve"> </w:t>
            </w:r>
          </w:p>
          <w:p w14:paraId="5D21E28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（一）是其主要负责人的近亲属的；</w:t>
            </w:r>
          </w:p>
          <w:p w14:paraId="111BEC2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（二）竞争性谈判活动前</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年内与其存在劳动关系，担任其董事、监事，是其控股股东或实际控制人，或存在其他经济利益关系，可能影响竞争性谈判活动公平公正的；</w:t>
            </w:r>
          </w:p>
          <w:p w14:paraId="1F990AB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（三）其他可能影响竞争性谈判活动公平、公正进行的关系。</w:t>
            </w:r>
          </w:p>
        </w:tc>
      </w:tr>
      <w:tr w14:paraId="4EA27B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420BB25">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10</w:t>
            </w:r>
          </w:p>
        </w:tc>
        <w:tc>
          <w:tcPr>
            <w:tcW w:w="1206" w:type="pct"/>
            <w:vAlign w:val="center"/>
          </w:tcPr>
          <w:p w14:paraId="385D258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踏勘现场及答疑会</w:t>
            </w:r>
          </w:p>
        </w:tc>
        <w:tc>
          <w:tcPr>
            <w:tcW w:w="3333" w:type="pct"/>
            <w:vAlign w:val="center"/>
          </w:tcPr>
          <w:p w14:paraId="59FA6882">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 本项不组织集中踏勘现场及答疑会，潜在投标人可自行踏勘现场。需求书与现场不符的地方，以现场实际需求为准。</w:t>
            </w:r>
          </w:p>
          <w:p w14:paraId="127AEB4B">
            <w:pPr>
              <w:adjustRightInd w:val="0"/>
              <w:snapToGrid w:val="0"/>
              <w:spacing w:line="560" w:lineRule="exact"/>
              <w:ind w:left="105" w:leftChars="5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 xml:space="preserve"> 2.经采购人允许，潜在投标人可因需要而进入采购人的项目现场踏勘，但潜在投标人不得因此使采购人承担有关的责任和蒙受损失。潜在投标人应承担踏勘现场的责任和风险。</w:t>
            </w:r>
          </w:p>
        </w:tc>
      </w:tr>
      <w:tr w14:paraId="66919E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FAF58C3">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11</w:t>
            </w:r>
          </w:p>
        </w:tc>
        <w:tc>
          <w:tcPr>
            <w:tcW w:w="1206" w:type="pct"/>
            <w:vAlign w:val="center"/>
          </w:tcPr>
          <w:p w14:paraId="0A4A922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响应人数量</w:t>
            </w:r>
          </w:p>
        </w:tc>
        <w:tc>
          <w:tcPr>
            <w:tcW w:w="3333" w:type="pct"/>
            <w:vAlign w:val="center"/>
          </w:tcPr>
          <w:p w14:paraId="6EF55A6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当有效投标人数量不足3家时，应当终止采购活动，本项目采购失败。</w:t>
            </w:r>
          </w:p>
        </w:tc>
      </w:tr>
      <w:tr w14:paraId="6FD86A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736BC602">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12</w:t>
            </w:r>
          </w:p>
        </w:tc>
        <w:tc>
          <w:tcPr>
            <w:tcW w:w="1206" w:type="pct"/>
            <w:vAlign w:val="center"/>
          </w:tcPr>
          <w:p w14:paraId="5781112B">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响应要求</w:t>
            </w:r>
          </w:p>
        </w:tc>
        <w:tc>
          <w:tcPr>
            <w:tcW w:w="3333" w:type="pct"/>
            <w:vAlign w:val="center"/>
          </w:tcPr>
          <w:p w14:paraId="11DB2F7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标注有“★”号的条款必须实质性响应，不允许负偏离（不满足要求）</w:t>
            </w:r>
          </w:p>
        </w:tc>
      </w:tr>
      <w:tr w14:paraId="46A791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tcBorders>
              <w:bottom w:val="double" w:color="auto" w:sz="4" w:space="0"/>
            </w:tcBorders>
            <w:vAlign w:val="center"/>
          </w:tcPr>
          <w:p w14:paraId="2591546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13</w:t>
            </w:r>
          </w:p>
        </w:tc>
        <w:tc>
          <w:tcPr>
            <w:tcW w:w="1206" w:type="pct"/>
            <w:tcBorders>
              <w:bottom w:val="double" w:color="auto" w:sz="4" w:space="0"/>
            </w:tcBorders>
            <w:vAlign w:val="center"/>
          </w:tcPr>
          <w:p w14:paraId="4D622396">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履约保证金</w:t>
            </w:r>
          </w:p>
        </w:tc>
        <w:tc>
          <w:tcPr>
            <w:tcW w:w="3333" w:type="pct"/>
            <w:tcBorders>
              <w:bottom w:val="double" w:color="auto" w:sz="4" w:space="0"/>
            </w:tcBorders>
            <w:vAlign w:val="center"/>
          </w:tcPr>
          <w:p w14:paraId="2DE89F6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本项目不设履约保证金</w:t>
            </w:r>
          </w:p>
        </w:tc>
      </w:tr>
    </w:tbl>
    <w:p w14:paraId="02D5E534">
      <w:pPr>
        <w:rPr>
          <w:rFonts w:asciiTheme="minorEastAsia" w:hAnsiTheme="minorEastAsia" w:eastAsiaTheme="minorEastAsia"/>
          <w:color w:val="000000"/>
          <w:sz w:val="32"/>
          <w:szCs w:val="32"/>
        </w:rPr>
      </w:pPr>
    </w:p>
    <w:p w14:paraId="3374A57E">
      <w:pPr>
        <w:rPr>
          <w:rFonts w:asciiTheme="minorEastAsia" w:hAnsiTheme="minorEastAsia" w:eastAsiaTheme="minorEastAsia"/>
          <w:color w:val="000000"/>
          <w:sz w:val="32"/>
          <w:szCs w:val="32"/>
        </w:rPr>
      </w:pPr>
    </w:p>
    <w:p w14:paraId="61239476">
      <w:pPr>
        <w:rPr>
          <w:rFonts w:asciiTheme="minorEastAsia" w:hAnsiTheme="minorEastAsia" w:eastAsiaTheme="minorEastAsia"/>
          <w:color w:val="000000"/>
          <w:sz w:val="32"/>
          <w:szCs w:val="32"/>
        </w:rPr>
      </w:pPr>
    </w:p>
    <w:p w14:paraId="5A0BBAC3">
      <w:pPr>
        <w:rPr>
          <w:rFonts w:asciiTheme="minorEastAsia" w:hAnsiTheme="minorEastAsia" w:eastAsiaTheme="minorEastAsia"/>
          <w:color w:val="000000"/>
          <w:sz w:val="32"/>
          <w:szCs w:val="32"/>
        </w:rPr>
      </w:pPr>
    </w:p>
    <w:p w14:paraId="1DCD81B5">
      <w:pPr>
        <w:rPr>
          <w:rFonts w:asciiTheme="minorEastAsia" w:hAnsiTheme="minorEastAsia" w:eastAsiaTheme="minorEastAsia"/>
          <w:color w:val="000000"/>
          <w:sz w:val="32"/>
          <w:szCs w:val="32"/>
        </w:rPr>
      </w:pPr>
    </w:p>
    <w:p w14:paraId="074D637C">
      <w:pPr>
        <w:pStyle w:val="37"/>
        <w:ind w:firstLine="0" w:firstLineChars="0"/>
        <w:jc w:val="left"/>
        <w:outlineLvl w:val="1"/>
        <w:rPr>
          <w:rFonts w:asciiTheme="minorEastAsia" w:hAnsiTheme="minorEastAsia" w:eastAsiaTheme="minorEastAsia"/>
          <w:color w:val="000000"/>
          <w:sz w:val="28"/>
          <w:szCs w:val="44"/>
        </w:rPr>
      </w:pPr>
      <w:bookmarkStart w:id="2" w:name="_Hlk524442005"/>
      <w:r>
        <w:rPr>
          <w:rFonts w:hint="eastAsia" w:asciiTheme="minorEastAsia" w:hAnsiTheme="minorEastAsia" w:eastAsiaTheme="minorEastAsia"/>
          <w:color w:val="000000"/>
          <w:sz w:val="28"/>
          <w:szCs w:val="44"/>
        </w:rPr>
        <w:t>附件二报价函</w:t>
      </w:r>
    </w:p>
    <w:p w14:paraId="4ED8CCEC">
      <w:pPr>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报价函</w:t>
      </w:r>
    </w:p>
    <w:p w14:paraId="19C938C2">
      <w:pPr>
        <w:ind w:firstLine="560"/>
        <w:jc w:val="center"/>
        <w:rPr>
          <w:rFonts w:asciiTheme="minorEastAsia" w:hAnsiTheme="minorEastAsia" w:eastAsiaTheme="minorEastAsia"/>
          <w:color w:val="000000"/>
          <w:sz w:val="28"/>
          <w:szCs w:val="28"/>
        </w:rPr>
      </w:pPr>
    </w:p>
    <w:p w14:paraId="3615936B">
      <w:pP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 xml:space="preserve">                      公司</w:t>
      </w:r>
      <w:r>
        <w:rPr>
          <w:rFonts w:hint="eastAsia" w:asciiTheme="minorEastAsia" w:hAnsiTheme="minorEastAsia" w:eastAsiaTheme="minorEastAsia"/>
          <w:color w:val="000000"/>
          <w:sz w:val="28"/>
          <w:szCs w:val="28"/>
        </w:rPr>
        <w:t>：</w:t>
      </w:r>
    </w:p>
    <w:p w14:paraId="70A258D8">
      <w:pPr>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针对贵司</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rPr>
        <w:t>项目，我司愿意以</w:t>
      </w:r>
      <w:r>
        <w:rPr>
          <w:rFonts w:hint="eastAsia" w:asciiTheme="minorEastAsia" w:hAnsiTheme="minorEastAsia" w:eastAsiaTheme="minorEastAsia"/>
          <w:color w:val="000000"/>
          <w:sz w:val="28"/>
          <w:szCs w:val="28"/>
          <w:lang w:eastAsia="zh-CN"/>
        </w:rPr>
        <w:t>不</w:t>
      </w:r>
      <w:r>
        <w:rPr>
          <w:rFonts w:hint="eastAsia" w:asciiTheme="minorEastAsia" w:hAnsiTheme="minorEastAsia" w:eastAsiaTheme="minorEastAsia"/>
          <w:color w:val="000000"/>
          <w:sz w:val="28"/>
          <w:szCs w:val="28"/>
        </w:rPr>
        <w:t>含税价合计人民币</w:t>
      </w:r>
      <w:r>
        <w:rPr>
          <w:rFonts w:asciiTheme="minorEastAsia" w:hAnsiTheme="minorEastAsia" w:eastAsiaTheme="minorEastAsia"/>
          <w:color w:val="000000"/>
          <w:sz w:val="28"/>
          <w:szCs w:val="28"/>
          <w:u w:val="single"/>
        </w:rPr>
        <w:t>xxxx</w:t>
      </w:r>
      <w:r>
        <w:rPr>
          <w:rFonts w:hint="eastAsia" w:asciiTheme="minorEastAsia" w:hAnsiTheme="minorEastAsia" w:eastAsiaTheme="minorEastAsia"/>
          <w:color w:val="000000"/>
          <w:sz w:val="28"/>
          <w:szCs w:val="28"/>
          <w:u w:val="single"/>
        </w:rPr>
        <w:t>元（大写）</w:t>
      </w:r>
      <w:r>
        <w:rPr>
          <w:rFonts w:hint="eastAsia" w:asciiTheme="minorEastAsia" w:hAnsiTheme="minorEastAsia" w:eastAsiaTheme="minorEastAsia"/>
          <w:color w:val="000000"/>
          <w:sz w:val="28"/>
          <w:szCs w:val="28"/>
          <w:u w:val="single"/>
          <w:lang w:eastAsia="zh-CN"/>
        </w:rPr>
        <w:t>（</w:t>
      </w:r>
      <w:r>
        <w:rPr>
          <w:rFonts w:asciiTheme="minorEastAsia" w:hAnsiTheme="minorEastAsia" w:eastAsiaTheme="minorEastAsia"/>
          <w:color w:val="000000"/>
          <w:sz w:val="28"/>
          <w:szCs w:val="28"/>
          <w:u w:val="single"/>
        </w:rPr>
        <w:t>xxx</w:t>
      </w:r>
      <w:r>
        <w:rPr>
          <w:rFonts w:hint="eastAsia" w:asciiTheme="minorEastAsia" w:hAnsiTheme="minorEastAsia" w:eastAsiaTheme="minorEastAsia"/>
          <w:color w:val="000000"/>
          <w:sz w:val="28"/>
          <w:szCs w:val="28"/>
          <w:u w:val="single"/>
        </w:rPr>
        <w:t>元</w:t>
      </w:r>
      <w:r>
        <w:rPr>
          <w:rFonts w:hint="eastAsia" w:asciiTheme="minorEastAsia" w:hAnsiTheme="minorEastAsia" w:eastAsiaTheme="minorEastAsia"/>
          <w:color w:val="000000"/>
          <w:sz w:val="28"/>
          <w:szCs w:val="28"/>
          <w:u w:val="single"/>
          <w:lang w:val="en-US" w:eastAsia="zh-CN"/>
        </w:rPr>
        <w:t>/月）</w:t>
      </w:r>
      <w:r>
        <w:rPr>
          <w:rFonts w:hint="eastAsia" w:asciiTheme="minorEastAsia" w:hAnsiTheme="minorEastAsia" w:eastAsiaTheme="minorEastAsia"/>
          <w:color w:val="000000"/>
          <w:sz w:val="28"/>
          <w:szCs w:val="28"/>
          <w:u w:val="single"/>
        </w:rPr>
        <w:t>，</w:t>
      </w:r>
      <w:r>
        <w:rPr>
          <w:rFonts w:asciiTheme="minorEastAsia" w:hAnsiTheme="minorEastAsia" w:eastAsiaTheme="minorEastAsia"/>
          <w:color w:val="000000"/>
          <w:sz w:val="28"/>
          <w:szCs w:val="28"/>
          <w:u w:val="single"/>
        </w:rPr>
        <w:t>¥xxx.00</w:t>
      </w:r>
      <w:r>
        <w:rPr>
          <w:rFonts w:hint="eastAsia" w:asciiTheme="minorEastAsia" w:hAnsiTheme="minorEastAsia" w:eastAsiaTheme="minorEastAsia"/>
          <w:color w:val="000000"/>
          <w:sz w:val="28"/>
          <w:szCs w:val="28"/>
          <w:u w:val="single"/>
        </w:rPr>
        <w:t>（小写）</w:t>
      </w:r>
      <w:r>
        <w:rPr>
          <w:rFonts w:hint="eastAsia" w:asciiTheme="minorEastAsia" w:hAnsiTheme="minorEastAsia" w:eastAsiaTheme="minorEastAsia"/>
          <w:color w:val="000000"/>
          <w:sz w:val="28"/>
          <w:szCs w:val="28"/>
          <w:u w:val="single"/>
          <w:lang w:eastAsia="zh-CN"/>
        </w:rPr>
        <w:t>（</w:t>
      </w:r>
      <w:r>
        <w:rPr>
          <w:rFonts w:asciiTheme="minorEastAsia" w:hAnsiTheme="minorEastAsia" w:eastAsiaTheme="minorEastAsia"/>
          <w:color w:val="000000"/>
          <w:sz w:val="28"/>
          <w:szCs w:val="28"/>
          <w:u w:val="single"/>
        </w:rPr>
        <w:t>xxx</w:t>
      </w:r>
      <w:r>
        <w:rPr>
          <w:rFonts w:hint="eastAsia" w:asciiTheme="minorEastAsia" w:hAnsiTheme="minorEastAsia" w:eastAsiaTheme="minorEastAsia"/>
          <w:color w:val="000000"/>
          <w:sz w:val="28"/>
          <w:szCs w:val="28"/>
          <w:u w:val="single"/>
        </w:rPr>
        <w:t>元</w:t>
      </w:r>
      <w:r>
        <w:rPr>
          <w:rFonts w:hint="eastAsia" w:asciiTheme="minorEastAsia" w:hAnsiTheme="minorEastAsia" w:eastAsiaTheme="minorEastAsia"/>
          <w:color w:val="000000"/>
          <w:sz w:val="28"/>
          <w:szCs w:val="28"/>
          <w:u w:val="single"/>
          <w:lang w:val="en-US" w:eastAsia="zh-CN"/>
        </w:rPr>
        <w:t>/月），</w:t>
      </w:r>
      <w:r>
        <w:rPr>
          <w:rFonts w:hint="eastAsia" w:asciiTheme="minorEastAsia" w:hAnsiTheme="minorEastAsia" w:eastAsiaTheme="minorEastAsia"/>
          <w:color w:val="000000"/>
          <w:sz w:val="28"/>
          <w:szCs w:val="28"/>
          <w:u w:val="single"/>
          <w:lang w:eastAsia="zh-CN"/>
        </w:rPr>
        <w:t>税点：</w:t>
      </w:r>
      <w:r>
        <w:rPr>
          <w:rFonts w:hint="eastAsia" w:asciiTheme="minorEastAsia" w:hAnsiTheme="minorEastAsia" w:eastAsiaTheme="minorEastAsia"/>
          <w:color w:val="000000"/>
          <w:sz w:val="28"/>
          <w:szCs w:val="28"/>
          <w:u w:val="single"/>
          <w:lang w:val="en-US" w:eastAsia="zh-CN"/>
        </w:rPr>
        <w:t xml:space="preserve">       ，</w:t>
      </w:r>
      <w:r>
        <w:rPr>
          <w:rFonts w:hint="eastAsia" w:asciiTheme="minorEastAsia" w:hAnsiTheme="minorEastAsia" w:eastAsiaTheme="minorEastAsia"/>
          <w:color w:val="000000"/>
          <w:sz w:val="28"/>
          <w:szCs w:val="28"/>
          <w:u w:val="none"/>
          <w:lang w:val="en-US" w:eastAsia="zh-CN"/>
        </w:rPr>
        <w:t>含税价：</w:t>
      </w:r>
      <w:r>
        <w:rPr>
          <w:rFonts w:hint="eastAsia" w:asciiTheme="minorEastAsia" w:hAnsiTheme="minorEastAsia" w:eastAsiaTheme="minorEastAsia"/>
          <w:color w:val="000000"/>
          <w:sz w:val="28"/>
          <w:szCs w:val="28"/>
          <w:u w:val="none"/>
        </w:rPr>
        <w:t>人民币</w:t>
      </w:r>
      <w:r>
        <w:rPr>
          <w:rFonts w:asciiTheme="minorEastAsia" w:hAnsiTheme="minorEastAsia" w:eastAsiaTheme="minorEastAsia"/>
          <w:color w:val="000000"/>
          <w:sz w:val="28"/>
          <w:szCs w:val="28"/>
          <w:u w:val="single"/>
        </w:rPr>
        <w:t>xxxx</w:t>
      </w:r>
      <w:r>
        <w:rPr>
          <w:rFonts w:hint="eastAsia" w:asciiTheme="minorEastAsia" w:hAnsiTheme="minorEastAsia" w:eastAsiaTheme="minorEastAsia"/>
          <w:color w:val="000000"/>
          <w:sz w:val="28"/>
          <w:szCs w:val="28"/>
          <w:u w:val="single"/>
        </w:rPr>
        <w:t>元（大写），</w:t>
      </w:r>
      <w:r>
        <w:rPr>
          <w:rFonts w:asciiTheme="minorEastAsia" w:hAnsiTheme="minorEastAsia" w:eastAsiaTheme="minorEastAsia"/>
          <w:color w:val="000000"/>
          <w:sz w:val="28"/>
          <w:szCs w:val="28"/>
          <w:u w:val="single"/>
        </w:rPr>
        <w:t>¥xxx. xx</w:t>
      </w:r>
      <w:r>
        <w:rPr>
          <w:rFonts w:hint="eastAsia" w:asciiTheme="minorEastAsia" w:hAnsiTheme="minorEastAsia" w:eastAsiaTheme="minorEastAsia"/>
          <w:color w:val="000000"/>
          <w:sz w:val="28"/>
          <w:szCs w:val="28"/>
          <w:u w:val="single"/>
        </w:rPr>
        <w:t>（小写）</w:t>
      </w:r>
      <w:r>
        <w:rPr>
          <w:rFonts w:hint="eastAsia" w:asciiTheme="minorEastAsia" w:hAnsiTheme="minorEastAsia" w:eastAsiaTheme="minorEastAsia"/>
          <w:color w:val="000000"/>
          <w:sz w:val="28"/>
          <w:szCs w:val="28"/>
        </w:rPr>
        <w:t>承接此项目。</w:t>
      </w:r>
    </w:p>
    <w:p w14:paraId="0B5FC9A8">
      <w:pPr>
        <w:rPr>
          <w:rFonts w:asciiTheme="minorEastAsia" w:hAnsiTheme="minorEastAsia" w:eastAsiaTheme="minorEastAsia"/>
          <w:color w:val="000000"/>
          <w:sz w:val="28"/>
          <w:szCs w:val="28"/>
        </w:rPr>
      </w:pPr>
    </w:p>
    <w:p w14:paraId="333E5E3A">
      <w:pPr>
        <w:rPr>
          <w:rFonts w:asciiTheme="minorEastAsia" w:hAnsiTheme="minorEastAsia" w:eastAsiaTheme="minorEastAsia"/>
          <w:color w:val="000000"/>
          <w:sz w:val="28"/>
          <w:szCs w:val="28"/>
        </w:rPr>
      </w:pPr>
    </w:p>
    <w:p w14:paraId="625F0784">
      <w:pPr>
        <w:rPr>
          <w:rFonts w:asciiTheme="minorEastAsia" w:hAnsiTheme="minorEastAsia" w:eastAsiaTheme="minorEastAsia"/>
          <w:color w:val="000000"/>
          <w:sz w:val="28"/>
          <w:szCs w:val="28"/>
        </w:rPr>
      </w:pPr>
    </w:p>
    <w:p w14:paraId="3B81DFE5">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响应人名称（加盖公章）：</w:t>
      </w:r>
    </w:p>
    <w:p w14:paraId="28513F0A">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法定代表人（签名或盖章）：</w:t>
      </w:r>
    </w:p>
    <w:p w14:paraId="5EC63CF4">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联系人：</w:t>
      </w:r>
    </w:p>
    <w:p w14:paraId="7608DD8D">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联系电话：</w:t>
      </w:r>
    </w:p>
    <w:p w14:paraId="2BFE3352">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日期：</w:t>
      </w:r>
    </w:p>
    <w:p w14:paraId="44406815">
      <w:pPr>
        <w:jc w:val="center"/>
        <w:rPr>
          <w:rFonts w:asciiTheme="minorEastAsia" w:hAnsiTheme="minorEastAsia" w:eastAsiaTheme="minorEastAsia"/>
          <w:color w:val="000000"/>
          <w:sz w:val="32"/>
          <w:szCs w:val="32"/>
        </w:rPr>
      </w:pPr>
    </w:p>
    <w:p w14:paraId="6D778D53">
      <w:pPr>
        <w:jc w:val="center"/>
        <w:rPr>
          <w:rFonts w:asciiTheme="minorEastAsia" w:hAnsiTheme="minorEastAsia" w:eastAsiaTheme="minorEastAsia"/>
          <w:color w:val="000000"/>
          <w:sz w:val="32"/>
          <w:szCs w:val="32"/>
        </w:rPr>
      </w:pPr>
    </w:p>
    <w:p w14:paraId="17CA1BC4">
      <w:pPr>
        <w:jc w:val="center"/>
        <w:rPr>
          <w:rFonts w:asciiTheme="minorEastAsia" w:hAnsiTheme="minorEastAsia" w:eastAsiaTheme="minorEastAsia"/>
          <w:color w:val="000000"/>
          <w:sz w:val="32"/>
          <w:szCs w:val="32"/>
        </w:rPr>
      </w:pPr>
    </w:p>
    <w:p w14:paraId="10877339">
      <w:pPr>
        <w:jc w:val="center"/>
        <w:rPr>
          <w:rFonts w:asciiTheme="minorEastAsia" w:hAnsiTheme="minorEastAsia" w:eastAsiaTheme="minorEastAsia"/>
          <w:color w:val="000000"/>
          <w:sz w:val="32"/>
          <w:szCs w:val="32"/>
        </w:rPr>
      </w:pPr>
    </w:p>
    <w:p w14:paraId="50EDD087">
      <w:pPr>
        <w:jc w:val="center"/>
        <w:rPr>
          <w:rFonts w:asciiTheme="minorEastAsia" w:hAnsiTheme="minorEastAsia" w:eastAsiaTheme="minorEastAsia"/>
          <w:color w:val="000000"/>
          <w:sz w:val="32"/>
          <w:szCs w:val="32"/>
        </w:rPr>
      </w:pPr>
    </w:p>
    <w:p w14:paraId="43189CE0">
      <w:pPr>
        <w:jc w:val="center"/>
        <w:rPr>
          <w:rFonts w:asciiTheme="minorEastAsia" w:hAnsiTheme="minorEastAsia" w:eastAsiaTheme="minorEastAsia"/>
          <w:color w:val="000000"/>
          <w:sz w:val="32"/>
          <w:szCs w:val="32"/>
        </w:rPr>
      </w:pPr>
    </w:p>
    <w:p w14:paraId="56BC014F">
      <w:pPr>
        <w:jc w:val="center"/>
        <w:rPr>
          <w:rFonts w:asciiTheme="minorEastAsia" w:hAnsiTheme="minorEastAsia" w:eastAsiaTheme="minorEastAsia"/>
          <w:color w:val="000000"/>
          <w:sz w:val="32"/>
          <w:szCs w:val="32"/>
        </w:rPr>
      </w:pPr>
    </w:p>
    <w:p w14:paraId="61E9BBA2">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附件三法人证明</w:t>
      </w:r>
    </w:p>
    <w:p w14:paraId="59C69F26">
      <w:pPr>
        <w:pStyle w:val="37"/>
        <w:ind w:firstLine="0" w:firstLineChars="0"/>
        <w:jc w:val="left"/>
        <w:rPr>
          <w:rFonts w:asciiTheme="minorEastAsia" w:hAnsiTheme="minorEastAsia" w:eastAsiaTheme="minorEastAsia"/>
          <w:color w:val="000000"/>
          <w:sz w:val="28"/>
          <w:szCs w:val="44"/>
        </w:rPr>
      </w:pPr>
    </w:p>
    <w:p w14:paraId="0A164A98">
      <w:pPr>
        <w:jc w:val="center"/>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法定代表人身份证明书及法定代表人身份证复印件</w:t>
      </w:r>
    </w:p>
    <w:p w14:paraId="4912DF38">
      <w:pPr>
        <w:rPr>
          <w:rFonts w:asciiTheme="minorEastAsia" w:hAnsiTheme="minorEastAsia" w:eastAsiaTheme="minorEastAsia"/>
          <w:color w:val="000000"/>
          <w:sz w:val="28"/>
          <w:szCs w:val="28"/>
        </w:rPr>
      </w:pPr>
    </w:p>
    <w:p w14:paraId="5918CF77">
      <w:pPr>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 xml:space="preserve">               公司</w:t>
      </w:r>
      <w:r>
        <w:rPr>
          <w:rFonts w:hint="eastAsia" w:asciiTheme="minorEastAsia" w:hAnsiTheme="minorEastAsia" w:eastAsiaTheme="minorEastAsia"/>
          <w:color w:val="000000"/>
          <w:sz w:val="28"/>
          <w:szCs w:val="28"/>
        </w:rPr>
        <w:t>：</w:t>
      </w:r>
    </w:p>
    <w:p w14:paraId="082E8CA4">
      <w:pPr>
        <w:pStyle w:val="36"/>
        <w:ind w:firstLine="659"/>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本证明书声明：注册于（国家名称）的</w:t>
      </w:r>
      <w:r>
        <w:rPr>
          <w:rFonts w:hint="eastAsia" w:asciiTheme="minorEastAsia" w:hAnsiTheme="minorEastAsia" w:eastAsiaTheme="minorEastAsia"/>
          <w:color w:val="000000"/>
          <w:sz w:val="28"/>
          <w:szCs w:val="28"/>
          <w:u w:val="single"/>
        </w:rPr>
        <w:t>　　</w:t>
      </w:r>
      <w:r>
        <w:rPr>
          <w:rFonts w:hint="eastAsia" w:asciiTheme="minorEastAsia" w:hAnsiTheme="minorEastAsia" w:eastAsiaTheme="minorEastAsia"/>
          <w:color w:val="000000"/>
          <w:sz w:val="28"/>
          <w:szCs w:val="28"/>
        </w:rPr>
        <w:t>（响应人名称）在下面签字的</w:t>
      </w:r>
      <w:r>
        <w:rPr>
          <w:rFonts w:hint="eastAsia" w:asciiTheme="minorEastAsia" w:hAnsiTheme="minorEastAsia" w:eastAsiaTheme="minorEastAsia"/>
          <w:color w:val="000000"/>
          <w:sz w:val="28"/>
          <w:szCs w:val="28"/>
          <w:u w:val="single"/>
        </w:rPr>
        <w:t>　　　　　</w:t>
      </w:r>
      <w:r>
        <w:rPr>
          <w:rFonts w:hint="eastAsia" w:asciiTheme="minorEastAsia" w:hAnsiTheme="minorEastAsia" w:eastAsiaTheme="minorEastAsia"/>
          <w:color w:val="000000"/>
          <w:sz w:val="28"/>
          <w:szCs w:val="28"/>
        </w:rPr>
        <w:t>（法定代表人姓名、职务）为本公司的合法代表人（</w:t>
      </w:r>
      <w:r>
        <w:rPr>
          <w:rFonts w:hint="eastAsia" w:asciiTheme="minorEastAsia" w:hAnsiTheme="minorEastAsia" w:eastAsiaTheme="minorEastAsia"/>
          <w:b/>
          <w:bCs/>
          <w:color w:val="000000"/>
          <w:sz w:val="28"/>
          <w:szCs w:val="28"/>
        </w:rPr>
        <w:t>须附法定代表人身份证复印件</w:t>
      </w:r>
      <w:r>
        <w:rPr>
          <w:rFonts w:hint="eastAsia" w:asciiTheme="minorEastAsia" w:hAnsiTheme="minorEastAsia" w:eastAsiaTheme="minorEastAsia"/>
          <w:color w:val="000000"/>
          <w:sz w:val="28"/>
          <w:szCs w:val="28"/>
        </w:rPr>
        <w:t>）。</w:t>
      </w:r>
    </w:p>
    <w:p w14:paraId="0E3D0ACA">
      <w:pPr>
        <w:spacing w:line="600" w:lineRule="exact"/>
        <w:ind w:firstLine="420" w:firstLineChars="15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特此证明</w:t>
      </w:r>
    </w:p>
    <w:p w14:paraId="770095B4">
      <w:pPr>
        <w:spacing w:line="600" w:lineRule="exact"/>
        <w:rPr>
          <w:rFonts w:asciiTheme="minorEastAsia" w:hAnsiTheme="minorEastAsia" w:eastAsiaTheme="minorEastAsia"/>
          <w:color w:val="000000"/>
          <w:sz w:val="28"/>
          <w:szCs w:val="28"/>
        </w:rPr>
      </w:pPr>
    </w:p>
    <w:p w14:paraId="28EC833A">
      <w:pPr>
        <w:spacing w:line="600" w:lineRule="exact"/>
        <w:rPr>
          <w:rFonts w:asciiTheme="minorEastAsia" w:hAnsiTheme="minorEastAsia" w:eastAsiaTheme="minorEastAsia"/>
          <w:color w:val="000000"/>
          <w:sz w:val="28"/>
          <w:szCs w:val="28"/>
        </w:rPr>
      </w:pPr>
    </w:p>
    <w:p w14:paraId="4E46866F">
      <w:pPr>
        <w:spacing w:line="600" w:lineRule="exact"/>
        <w:rPr>
          <w:rFonts w:asciiTheme="minorEastAsia" w:hAnsiTheme="minorEastAsia" w:eastAsiaTheme="minorEastAsia"/>
          <w:color w:val="000000"/>
          <w:sz w:val="28"/>
          <w:szCs w:val="28"/>
        </w:rPr>
      </w:pPr>
    </w:p>
    <w:p w14:paraId="17E272C8">
      <w:pPr>
        <w:spacing w:line="6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响应人名称（加盖公章）：</w:t>
      </w:r>
    </w:p>
    <w:p w14:paraId="3B805937">
      <w:pPr>
        <w:spacing w:line="6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响应人地址：</w:t>
      </w:r>
    </w:p>
    <w:p w14:paraId="76587AF5">
      <w:pPr>
        <w:spacing w:line="6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法定代表人（签名或盖私章）：</w:t>
      </w:r>
    </w:p>
    <w:p w14:paraId="26C5D17E">
      <w:pPr>
        <w:spacing w:line="6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职务：</w:t>
      </w:r>
    </w:p>
    <w:p w14:paraId="569B06EF">
      <w:pPr>
        <w:rPr>
          <w:rFonts w:asciiTheme="minorEastAsia" w:hAnsiTheme="minorEastAsia" w:eastAsiaTheme="minorEastAsia"/>
          <w:color w:val="000000"/>
          <w:sz w:val="32"/>
          <w:szCs w:val="32"/>
        </w:rPr>
      </w:pPr>
    </w:p>
    <w:p w14:paraId="77B71DF1">
      <w:pPr>
        <w:rPr>
          <w:rFonts w:asciiTheme="minorEastAsia" w:hAnsiTheme="minorEastAsia" w:eastAsiaTheme="minorEastAsia"/>
          <w:color w:val="000000"/>
          <w:sz w:val="32"/>
          <w:szCs w:val="32"/>
        </w:rPr>
      </w:pPr>
    </w:p>
    <w:p w14:paraId="43BC9912">
      <w:pPr>
        <w:rPr>
          <w:rFonts w:asciiTheme="minorEastAsia" w:hAnsiTheme="minorEastAsia" w:eastAsiaTheme="minorEastAsia"/>
          <w:color w:val="000000"/>
          <w:sz w:val="32"/>
          <w:szCs w:val="32"/>
        </w:rPr>
      </w:pPr>
    </w:p>
    <w:p w14:paraId="3E9B3347">
      <w:pPr>
        <w:rPr>
          <w:rFonts w:asciiTheme="minorEastAsia" w:hAnsiTheme="minorEastAsia" w:eastAsiaTheme="minorEastAsia"/>
          <w:color w:val="000000"/>
          <w:sz w:val="32"/>
          <w:szCs w:val="32"/>
        </w:rPr>
      </w:pPr>
    </w:p>
    <w:p w14:paraId="6C8924AA">
      <w:pPr>
        <w:widowControl/>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br w:type="page"/>
      </w:r>
      <w:bookmarkStart w:id="3" w:name="_Toc384752807"/>
    </w:p>
    <w:p w14:paraId="06B51A41">
      <w:pPr>
        <w:pStyle w:val="37"/>
        <w:ind w:firstLine="0" w:firstLineChars="0"/>
        <w:jc w:val="left"/>
        <w:outlineLvl w:val="1"/>
        <w:rPr>
          <w:rFonts w:asciiTheme="minorEastAsia" w:hAnsiTheme="minorEastAsia" w:eastAsiaTheme="minorEastAsia"/>
          <w:color w:val="000000"/>
          <w:sz w:val="28"/>
          <w:szCs w:val="44"/>
        </w:rPr>
      </w:pPr>
      <w:bookmarkStart w:id="4" w:name="_Hlk40704362"/>
      <w:r>
        <w:rPr>
          <w:rFonts w:hint="eastAsia" w:asciiTheme="minorEastAsia" w:hAnsiTheme="minorEastAsia" w:eastAsiaTheme="minorEastAsia"/>
          <w:color w:val="000000"/>
          <w:sz w:val="28"/>
          <w:szCs w:val="44"/>
        </w:rPr>
        <w:t>附件四法人授权书</w:t>
      </w:r>
    </w:p>
    <w:p w14:paraId="7C928E3F">
      <w:pPr>
        <w:widowControl/>
        <w:jc w:val="center"/>
        <w:rPr>
          <w:rFonts w:asciiTheme="minorEastAsia" w:hAnsiTheme="minorEastAsia" w:eastAsiaTheme="minorEastAsia"/>
          <w:b/>
          <w:color w:val="000000"/>
          <w:sz w:val="32"/>
          <w:szCs w:val="32"/>
        </w:rPr>
      </w:pPr>
    </w:p>
    <w:p w14:paraId="2E38F875">
      <w:pPr>
        <w:widowControl/>
        <w:jc w:val="center"/>
        <w:rPr>
          <w:rFonts w:asciiTheme="minorEastAsia" w:hAnsiTheme="minorEastAsia" w:eastAsiaTheme="minorEastAsia"/>
          <w:color w:val="000000"/>
          <w:sz w:val="32"/>
          <w:szCs w:val="32"/>
        </w:rPr>
      </w:pPr>
      <w:r>
        <w:rPr>
          <w:rFonts w:hint="eastAsia" w:asciiTheme="minorEastAsia" w:hAnsiTheme="minorEastAsia" w:eastAsiaTheme="minorEastAsia"/>
          <w:b/>
          <w:color w:val="000000"/>
          <w:sz w:val="32"/>
          <w:szCs w:val="32"/>
        </w:rPr>
        <w:t>授权委托书</w:t>
      </w:r>
      <w:bookmarkEnd w:id="3"/>
    </w:p>
    <w:p w14:paraId="6E51C4ED">
      <w:pPr>
        <w:pStyle w:val="36"/>
        <w:ind w:firstLine="0" w:firstLineChars="0"/>
        <w:rPr>
          <w:rFonts w:asciiTheme="minorEastAsia" w:hAnsiTheme="minorEastAsia" w:eastAsiaTheme="minorEastAsia"/>
          <w:color w:val="000000"/>
          <w:sz w:val="28"/>
          <w:szCs w:val="28"/>
        </w:rPr>
      </w:pPr>
    </w:p>
    <w:p w14:paraId="6D9B4393">
      <w:pP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 xml:space="preserve">         公司</w:t>
      </w:r>
      <w:r>
        <w:rPr>
          <w:rFonts w:hint="eastAsia" w:asciiTheme="minorEastAsia" w:hAnsiTheme="minorEastAsia" w:eastAsiaTheme="minorEastAsia"/>
          <w:color w:val="000000"/>
          <w:sz w:val="28"/>
          <w:szCs w:val="28"/>
        </w:rPr>
        <w:t>：</w:t>
      </w:r>
    </w:p>
    <w:p w14:paraId="5CEC3820">
      <w:pPr>
        <w:pStyle w:val="36"/>
        <w:ind w:firstLine="659"/>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本委托书声明：在下面签字的</w:t>
      </w:r>
      <w:r>
        <w:rPr>
          <w:rFonts w:hint="eastAsia" w:asciiTheme="minorEastAsia" w:hAnsiTheme="minorEastAsia" w:eastAsiaTheme="minorEastAsia"/>
          <w:color w:val="000000"/>
          <w:sz w:val="28"/>
          <w:szCs w:val="28"/>
          <w:u w:val="single"/>
        </w:rPr>
        <w:t>（填写法定代表人姓名、职务）</w:t>
      </w:r>
      <w:r>
        <w:rPr>
          <w:rFonts w:hint="eastAsia" w:asciiTheme="minorEastAsia" w:hAnsiTheme="minorEastAsia" w:eastAsiaTheme="minorEastAsia"/>
          <w:color w:val="000000"/>
          <w:sz w:val="28"/>
          <w:szCs w:val="28"/>
        </w:rPr>
        <w:t>代表</w:t>
      </w:r>
      <w:r>
        <w:rPr>
          <w:rFonts w:hint="eastAsia" w:asciiTheme="minorEastAsia" w:hAnsiTheme="minorEastAsia" w:eastAsiaTheme="minorEastAsia"/>
          <w:color w:val="000000"/>
          <w:sz w:val="28"/>
          <w:szCs w:val="28"/>
          <w:u w:val="single"/>
        </w:rPr>
        <w:t>（填写响应人名称）</w:t>
      </w:r>
      <w:r>
        <w:rPr>
          <w:rFonts w:hint="eastAsia" w:asciiTheme="minorEastAsia" w:hAnsiTheme="minorEastAsia" w:eastAsiaTheme="minorEastAsia"/>
          <w:color w:val="000000"/>
          <w:sz w:val="28"/>
          <w:szCs w:val="28"/>
        </w:rPr>
        <w:t>委托在下面签字的</w:t>
      </w:r>
      <w:r>
        <w:rPr>
          <w:rFonts w:hint="eastAsia" w:asciiTheme="minorEastAsia" w:hAnsiTheme="minorEastAsia" w:eastAsiaTheme="minorEastAsia"/>
          <w:color w:val="000000"/>
          <w:sz w:val="28"/>
          <w:szCs w:val="28"/>
          <w:u w:val="single"/>
        </w:rPr>
        <w:t>（填写受委托人的姓名、职务）</w:t>
      </w:r>
      <w:r>
        <w:rPr>
          <w:rFonts w:hint="eastAsia" w:asciiTheme="minorEastAsia" w:hAnsiTheme="minorEastAsia" w:eastAsiaTheme="minorEastAsia"/>
          <w:color w:val="000000"/>
          <w:sz w:val="28"/>
          <w:szCs w:val="28"/>
        </w:rPr>
        <w:t>为本公司的合法代表人，就</w:t>
      </w:r>
      <w:r>
        <w:rPr>
          <w:rFonts w:hint="eastAsia" w:asciiTheme="minorEastAsia" w:hAnsiTheme="minorEastAsia" w:eastAsiaTheme="minorEastAsia"/>
          <w:color w:val="000000"/>
          <w:sz w:val="28"/>
          <w:szCs w:val="28"/>
          <w:u w:val="single"/>
        </w:rPr>
        <w:t>（填写项目名称）</w:t>
      </w:r>
      <w:r>
        <w:rPr>
          <w:rFonts w:hint="eastAsia" w:asciiTheme="minorEastAsia" w:hAnsiTheme="minorEastAsia" w:eastAsiaTheme="minorEastAsia"/>
          <w:color w:val="000000"/>
          <w:sz w:val="28"/>
          <w:szCs w:val="28"/>
        </w:rPr>
        <w:t>项目等相关服务的谈判和合同的执行，以我方的名义处理一切与之有关的事宜（相关身份证复印件须附后）。</w:t>
      </w:r>
    </w:p>
    <w:p w14:paraId="41BF463F">
      <w:pPr>
        <w:pStyle w:val="36"/>
        <w:ind w:firstLine="659"/>
        <w:rPr>
          <w:rFonts w:asciiTheme="minorEastAsia" w:hAnsiTheme="minorEastAsia" w:eastAsiaTheme="minorEastAsia"/>
          <w:color w:val="000000"/>
          <w:sz w:val="28"/>
          <w:szCs w:val="28"/>
        </w:rPr>
      </w:pPr>
    </w:p>
    <w:p w14:paraId="0E2A1A69">
      <w:pPr>
        <w:pStyle w:val="36"/>
        <w:ind w:firstLine="659"/>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本委托书于年月日至年月日签字生效，有效期与竞争性谈判采购有效期一致，特此声明。</w:t>
      </w:r>
    </w:p>
    <w:p w14:paraId="40134EA4">
      <w:pPr>
        <w:pStyle w:val="36"/>
        <w:ind w:firstLine="659"/>
        <w:rPr>
          <w:rFonts w:asciiTheme="minorEastAsia" w:hAnsiTheme="minorEastAsia" w:eastAsiaTheme="minorEastAsia"/>
          <w:color w:val="000000"/>
          <w:sz w:val="28"/>
          <w:szCs w:val="28"/>
        </w:rPr>
      </w:pPr>
    </w:p>
    <w:p w14:paraId="5330FB3B">
      <w:pPr>
        <w:pStyle w:val="36"/>
        <w:ind w:right="160"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响应人名称（加盖公章）：</w:t>
      </w:r>
    </w:p>
    <w:p w14:paraId="5CE4CF06">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响应人地址：</w:t>
      </w:r>
    </w:p>
    <w:p w14:paraId="732D0A60">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法定代表人（签字或盖章）：</w:t>
      </w:r>
    </w:p>
    <w:p w14:paraId="0DD0AF0A">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职务：</w:t>
      </w:r>
    </w:p>
    <w:p w14:paraId="1D9B96A7">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受委托人（签字或盖章）：</w:t>
      </w:r>
    </w:p>
    <w:p w14:paraId="768083EB">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职务：</w:t>
      </w:r>
    </w:p>
    <w:p w14:paraId="477322C9">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日期：</w:t>
      </w:r>
    </w:p>
    <w:bookmarkEnd w:id="4"/>
    <w:p w14:paraId="4E09434D">
      <w:pPr>
        <w:pStyle w:val="37"/>
        <w:ind w:firstLine="0" w:firstLineChars="0"/>
        <w:jc w:val="left"/>
        <w:outlineLvl w:val="1"/>
        <w:rPr>
          <w:rFonts w:asciiTheme="minorEastAsia" w:hAnsiTheme="minorEastAsia" w:eastAsiaTheme="minorEastAsia"/>
          <w:color w:val="000000"/>
          <w:sz w:val="28"/>
          <w:szCs w:val="44"/>
        </w:rPr>
      </w:pPr>
      <w:r>
        <w:rPr>
          <w:rFonts w:asciiTheme="minorEastAsia" w:hAnsiTheme="minorEastAsia" w:eastAsiaTheme="minorEastAsia"/>
          <w:color w:val="000000"/>
          <w:sz w:val="32"/>
          <w:szCs w:val="32"/>
        </w:rPr>
        <w:br w:type="page"/>
      </w:r>
      <w:r>
        <w:rPr>
          <w:rFonts w:hint="eastAsia" w:asciiTheme="minorEastAsia" w:hAnsiTheme="minorEastAsia" w:eastAsiaTheme="minorEastAsia"/>
          <w:color w:val="000000"/>
          <w:sz w:val="28"/>
          <w:szCs w:val="44"/>
        </w:rPr>
        <w:t>附件五承诺函</w:t>
      </w:r>
    </w:p>
    <w:p w14:paraId="73BE1A54">
      <w:pPr>
        <w:pStyle w:val="37"/>
        <w:ind w:firstLine="0" w:firstLineChars="0"/>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承诺函</w:t>
      </w:r>
    </w:p>
    <w:p w14:paraId="7BCA0E7A">
      <w:pP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 xml:space="preserve">              公司</w:t>
      </w:r>
      <w:r>
        <w:rPr>
          <w:rFonts w:hint="eastAsia" w:asciiTheme="minorEastAsia" w:hAnsiTheme="minorEastAsia" w:eastAsiaTheme="minorEastAsia"/>
          <w:color w:val="000000"/>
          <w:sz w:val="28"/>
          <w:szCs w:val="28"/>
        </w:rPr>
        <w:t>：</w:t>
      </w:r>
    </w:p>
    <w:p w14:paraId="742DF0E4">
      <w:pPr>
        <w:pStyle w:val="36"/>
        <w:ind w:firstLine="640"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我司就参加</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（项目名称）</w:t>
      </w:r>
      <w:r>
        <w:rPr>
          <w:rFonts w:hint="eastAsia" w:asciiTheme="minorEastAsia" w:hAnsiTheme="minorEastAsia" w:eastAsiaTheme="minorEastAsia"/>
          <w:color w:val="000000"/>
          <w:sz w:val="28"/>
          <w:szCs w:val="28"/>
        </w:rPr>
        <w:t>项目投标工作，作出以下承诺：</w:t>
      </w:r>
    </w:p>
    <w:p w14:paraId="61A0B4BE">
      <w:pPr>
        <w:pStyle w:val="36"/>
        <w:ind w:firstLine="659"/>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我公司已充分了解采购项目情况，本次报价完全响应竞争性谈判文件的要求，我公司所提供的</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（服务内容）</w:t>
      </w:r>
      <w:r>
        <w:rPr>
          <w:rFonts w:hint="eastAsia" w:asciiTheme="minorEastAsia" w:hAnsiTheme="minorEastAsia" w:eastAsiaTheme="minorEastAsia"/>
          <w:color w:val="000000"/>
          <w:sz w:val="28"/>
          <w:szCs w:val="28"/>
        </w:rPr>
        <w:t>等于或优于采购人需求，并承诺如不满足采购人需求，采购人有权取消合同并进行违约处罚。</w:t>
      </w:r>
    </w:p>
    <w:p w14:paraId="307B045E">
      <w:pPr>
        <w:pStyle w:val="36"/>
        <w:ind w:firstLine="659"/>
        <w:rPr>
          <w:rFonts w:asciiTheme="minorEastAsia" w:hAnsiTheme="minorEastAsia" w:eastAsiaTheme="minorEastAsia"/>
          <w:color w:val="000000"/>
          <w:sz w:val="28"/>
          <w:szCs w:val="28"/>
        </w:rPr>
      </w:pPr>
    </w:p>
    <w:p w14:paraId="03F87350">
      <w:pPr>
        <w:pStyle w:val="36"/>
        <w:jc w:val="left"/>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lang w:eastAsia="zh-CN"/>
        </w:rPr>
        <w:t>同时</w:t>
      </w:r>
      <w:r>
        <w:rPr>
          <w:rFonts w:hint="eastAsia" w:asciiTheme="minorEastAsia" w:hAnsiTheme="minorEastAsia" w:eastAsiaTheme="minorEastAsia"/>
          <w:b w:val="0"/>
          <w:bCs/>
          <w:color w:val="000000"/>
          <w:sz w:val="28"/>
          <w:szCs w:val="28"/>
        </w:rPr>
        <w:t>承诺</w:t>
      </w:r>
      <w:r>
        <w:rPr>
          <w:rFonts w:hint="eastAsia" w:asciiTheme="minorEastAsia" w:hAnsiTheme="minorEastAsia" w:eastAsiaTheme="minorEastAsia"/>
          <w:b w:val="0"/>
          <w:bCs/>
          <w:color w:val="000000"/>
          <w:sz w:val="28"/>
          <w:szCs w:val="28"/>
          <w:lang w:eastAsia="zh-CN"/>
        </w:rPr>
        <w:t>：</w:t>
      </w:r>
      <w:r>
        <w:rPr>
          <w:rFonts w:hint="eastAsia" w:asciiTheme="minorEastAsia" w:hAnsiTheme="minorEastAsia" w:eastAsiaTheme="minorEastAsia"/>
          <w:color w:val="000000"/>
          <w:sz w:val="28"/>
          <w:szCs w:val="28"/>
        </w:rPr>
        <w:t>我公司</w:t>
      </w:r>
      <w:r>
        <w:rPr>
          <w:rFonts w:hint="eastAsia" w:asciiTheme="minorEastAsia" w:hAnsiTheme="minorEastAsia" w:eastAsiaTheme="minorEastAsia"/>
          <w:b w:val="0"/>
          <w:bCs/>
          <w:color w:val="000000"/>
          <w:sz w:val="28"/>
          <w:szCs w:val="28"/>
          <w:lang w:eastAsia="zh-CN"/>
        </w:rPr>
        <w:t>在参加本项目采购活动前三年内，在经营活动中没有重大违法记录。</w:t>
      </w:r>
    </w:p>
    <w:p w14:paraId="61457352">
      <w:pPr>
        <w:jc w:val="left"/>
        <w:rPr>
          <w:rFonts w:asciiTheme="minorEastAsia" w:hAnsiTheme="minorEastAsia" w:eastAsiaTheme="minorEastAsia"/>
          <w:color w:val="000000"/>
          <w:sz w:val="28"/>
          <w:szCs w:val="28"/>
        </w:rPr>
      </w:pPr>
    </w:p>
    <w:p w14:paraId="1BC00B71">
      <w:pPr>
        <w:jc w:val="left"/>
        <w:rPr>
          <w:rFonts w:asciiTheme="minorEastAsia" w:hAnsiTheme="minorEastAsia" w:eastAsiaTheme="minorEastAsia"/>
          <w:color w:val="000000"/>
          <w:sz w:val="28"/>
          <w:szCs w:val="28"/>
        </w:rPr>
      </w:pPr>
    </w:p>
    <w:p w14:paraId="04A8220B">
      <w:pPr>
        <w:pStyle w:val="36"/>
        <w:ind w:right="160"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响应人名称（加盖公章）：</w:t>
      </w:r>
    </w:p>
    <w:p w14:paraId="3244B433">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响应人地址：</w:t>
      </w:r>
    </w:p>
    <w:p w14:paraId="06ED0861">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法定代表人（签字或盖章）：</w:t>
      </w:r>
    </w:p>
    <w:p w14:paraId="3651325B">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职务：</w:t>
      </w:r>
    </w:p>
    <w:p w14:paraId="6A83298C">
      <w:pPr>
        <w:pStyle w:val="36"/>
        <w:ind w:firstLine="0" w:firstLineChars="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日期：</w:t>
      </w:r>
    </w:p>
    <w:p w14:paraId="3EF4983A">
      <w:pPr>
        <w:pStyle w:val="36"/>
        <w:ind w:firstLine="0" w:firstLineChars="0"/>
        <w:jc w:val="left"/>
        <w:rPr>
          <w:rFonts w:asciiTheme="minorEastAsia" w:hAnsiTheme="minorEastAsia" w:eastAsiaTheme="minorEastAsia"/>
          <w:color w:val="000000"/>
          <w:sz w:val="32"/>
          <w:szCs w:val="32"/>
        </w:rPr>
      </w:pPr>
    </w:p>
    <w:p w14:paraId="7CC6C25B">
      <w:pPr>
        <w:pStyle w:val="36"/>
        <w:ind w:firstLine="0" w:firstLineChars="0"/>
        <w:jc w:val="left"/>
        <w:rPr>
          <w:rFonts w:asciiTheme="minorEastAsia" w:hAnsiTheme="minorEastAsia" w:eastAsiaTheme="minorEastAsia"/>
          <w:color w:val="000000"/>
          <w:sz w:val="32"/>
          <w:szCs w:val="32"/>
        </w:rPr>
      </w:pPr>
    </w:p>
    <w:p w14:paraId="4A2FC2B4">
      <w:pPr>
        <w:widowControl/>
        <w:jc w:val="left"/>
        <w:rPr>
          <w:rFonts w:asciiTheme="minorEastAsia" w:hAnsiTheme="minorEastAsia" w:eastAsiaTheme="minorEastAsia"/>
          <w:color w:val="000000"/>
        </w:rPr>
      </w:pPr>
    </w:p>
    <w:p w14:paraId="108EE4DE">
      <w:pPr>
        <w:widowControl/>
        <w:jc w:val="left"/>
        <w:rPr>
          <w:rFonts w:asciiTheme="minorEastAsia" w:hAnsiTheme="minorEastAsia" w:eastAsiaTheme="minorEastAsia"/>
          <w:color w:val="000000"/>
        </w:rPr>
      </w:pPr>
    </w:p>
    <w:p w14:paraId="04E90AC6">
      <w:pPr>
        <w:widowControl/>
        <w:jc w:val="left"/>
        <w:rPr>
          <w:rFonts w:asciiTheme="minorEastAsia" w:hAnsiTheme="minorEastAsia" w:eastAsiaTheme="minorEastAsia"/>
          <w:color w:val="000000"/>
        </w:rPr>
      </w:pPr>
    </w:p>
    <w:p w14:paraId="7C9CCAAF">
      <w:pPr>
        <w:widowControl/>
        <w:jc w:val="left"/>
        <w:rPr>
          <w:rFonts w:asciiTheme="minorEastAsia" w:hAnsiTheme="minorEastAsia" w:eastAsiaTheme="minorEastAsia"/>
          <w:color w:val="000000"/>
        </w:rPr>
      </w:pPr>
    </w:p>
    <w:p w14:paraId="4A0F7DE6">
      <w:pPr>
        <w:widowControl/>
        <w:jc w:val="left"/>
        <w:rPr>
          <w:rFonts w:asciiTheme="minorEastAsia" w:hAnsiTheme="minorEastAsia" w:eastAsiaTheme="minorEastAsia"/>
          <w:color w:val="000000"/>
        </w:rPr>
      </w:pPr>
    </w:p>
    <w:p w14:paraId="2FCBBE49">
      <w:pPr>
        <w:widowControl/>
        <w:jc w:val="left"/>
        <w:rPr>
          <w:rFonts w:asciiTheme="minorEastAsia" w:hAnsiTheme="minorEastAsia" w:eastAsiaTheme="minorEastAsia"/>
          <w:color w:val="000000"/>
        </w:rPr>
      </w:pPr>
    </w:p>
    <w:p w14:paraId="3FEF29FE">
      <w:pPr>
        <w:pStyle w:val="37"/>
        <w:ind w:firstLine="0" w:firstLineChars="0"/>
        <w:jc w:val="left"/>
        <w:outlineLvl w:val="1"/>
        <w:rPr>
          <w:rFonts w:asciiTheme="minorEastAsia" w:hAnsiTheme="minorEastAsia" w:eastAsiaTheme="minorEastAsia"/>
          <w:color w:val="000000"/>
          <w:sz w:val="28"/>
          <w:szCs w:val="44"/>
        </w:rPr>
      </w:pPr>
      <w:bookmarkStart w:id="5" w:name="_Hlk40704598"/>
      <w:r>
        <w:rPr>
          <w:rFonts w:hint="eastAsia" w:asciiTheme="minorEastAsia" w:hAnsiTheme="minorEastAsia" w:eastAsiaTheme="minorEastAsia"/>
          <w:color w:val="000000"/>
          <w:sz w:val="28"/>
          <w:szCs w:val="44"/>
        </w:rPr>
        <w:t>附件六用户需求书</w:t>
      </w:r>
    </w:p>
    <w:bookmarkEnd w:id="2"/>
    <w:bookmarkEnd w:id="5"/>
    <w:p w14:paraId="3D074FBF">
      <w:pPr>
        <w:ind w:firstLine="555"/>
        <w:rPr>
          <w:rFonts w:eastAsia="仿宋_GB2312"/>
          <w:sz w:val="28"/>
          <w:szCs w:val="28"/>
        </w:rPr>
      </w:pPr>
      <w:bookmarkStart w:id="6" w:name="_Toc148265712"/>
      <w:bookmarkEnd w:id="6"/>
      <w:r>
        <w:rPr>
          <w:rFonts w:hint="eastAsia" w:eastAsia="仿宋_GB2312"/>
          <w:sz w:val="28"/>
          <w:szCs w:val="28"/>
        </w:rPr>
        <w:t>（</w:t>
      </w:r>
      <w:r>
        <w:rPr>
          <w:rFonts w:hint="eastAsia" w:eastAsia="仿宋_GB2312"/>
          <w:sz w:val="28"/>
          <w:szCs w:val="28"/>
          <w:lang w:eastAsia="zh-CN"/>
        </w:rPr>
        <w:t>本</w:t>
      </w:r>
      <w:r>
        <w:rPr>
          <w:rFonts w:hint="eastAsia" w:eastAsia="仿宋_GB2312"/>
          <w:sz w:val="28"/>
          <w:szCs w:val="28"/>
          <w:lang w:val="en-US" w:eastAsia="zh-CN"/>
        </w:rPr>
        <w:t>项目1-10号厂房 、11号宿舍楼、</w:t>
      </w:r>
      <w:r>
        <w:rPr>
          <w:rFonts w:hint="eastAsia" w:eastAsia="仿宋_GB2312"/>
          <w:sz w:val="28"/>
          <w:szCs w:val="28"/>
          <w:highlight w:val="none"/>
          <w:lang w:val="en-US" w:eastAsia="zh-CN"/>
        </w:rPr>
        <w:t>园区</w:t>
      </w:r>
      <w:r>
        <w:rPr>
          <w:rFonts w:hint="eastAsia" w:eastAsia="仿宋_GB2312"/>
          <w:sz w:val="28"/>
          <w:szCs w:val="28"/>
          <w:lang w:val="en-US" w:eastAsia="zh-CN"/>
        </w:rPr>
        <w:t>地</w:t>
      </w:r>
      <w:r>
        <w:rPr>
          <w:rFonts w:hint="eastAsia" w:eastAsia="仿宋_GB2312"/>
          <w:sz w:val="28"/>
          <w:szCs w:val="28"/>
          <w:highlight w:val="none"/>
          <w:lang w:val="en-US" w:eastAsia="zh-CN"/>
        </w:rPr>
        <w:t>库及地面区域</w:t>
      </w:r>
      <w:r>
        <w:rPr>
          <w:rFonts w:hint="eastAsia" w:eastAsia="仿宋_GB2312"/>
          <w:sz w:val="28"/>
          <w:szCs w:val="28"/>
          <w:highlight w:val="none"/>
        </w:rPr>
        <w:t>）</w:t>
      </w:r>
      <w:r>
        <w:rPr>
          <w:rFonts w:hint="eastAsia" w:eastAsia="仿宋_GB2312"/>
          <w:sz w:val="28"/>
          <w:szCs w:val="28"/>
        </w:rPr>
        <w:t>垃圾桶共</w:t>
      </w:r>
      <w:r>
        <w:rPr>
          <w:rFonts w:hint="eastAsia" w:eastAsia="仿宋_GB2312"/>
          <w:sz w:val="28"/>
          <w:szCs w:val="28"/>
          <w:lang w:val="en-US" w:eastAsia="zh-CN"/>
        </w:rPr>
        <w:t>14</w:t>
      </w:r>
      <w:r>
        <w:rPr>
          <w:rFonts w:hint="eastAsia" w:eastAsia="仿宋_GB2312"/>
          <w:sz w:val="28"/>
          <w:szCs w:val="28"/>
        </w:rPr>
        <w:t>个（</w:t>
      </w:r>
      <w:r>
        <w:rPr>
          <w:rFonts w:hint="eastAsia" w:eastAsia="仿宋_GB2312"/>
          <w:sz w:val="28"/>
          <w:szCs w:val="28"/>
          <w:lang w:val="en-US" w:eastAsia="zh-CN"/>
        </w:rPr>
        <w:t>660L</w:t>
      </w:r>
      <w:r>
        <w:rPr>
          <w:rFonts w:hint="eastAsia" w:eastAsia="仿宋_GB2312"/>
          <w:sz w:val="28"/>
          <w:szCs w:val="28"/>
        </w:rPr>
        <w:t>垃圾桶），全年无休，</w:t>
      </w:r>
      <w:r>
        <w:rPr>
          <w:rFonts w:hint="eastAsia" w:eastAsia="仿宋_GB2312"/>
          <w:sz w:val="28"/>
          <w:szCs w:val="28"/>
          <w:lang w:eastAsia="zh-CN"/>
        </w:rPr>
        <w:t>成交供应商</w:t>
      </w:r>
      <w:r>
        <w:rPr>
          <w:rFonts w:hint="eastAsia" w:eastAsia="仿宋_GB2312"/>
          <w:sz w:val="28"/>
          <w:szCs w:val="28"/>
        </w:rPr>
        <w:t>需每日（含所有法定节假日）早、晚2次对园区所有室外垃圾桶进行两次清运作业，并保持垃圾桶放置区的清洁。</w:t>
      </w:r>
    </w:p>
    <w:p w14:paraId="58A29FB8">
      <w:pPr>
        <w:ind w:firstLine="555"/>
        <w:rPr>
          <w:rFonts w:eastAsia="仿宋_GB2312"/>
          <w:sz w:val="28"/>
          <w:szCs w:val="28"/>
        </w:rPr>
      </w:pPr>
      <w:r>
        <w:rPr>
          <w:rFonts w:hint="eastAsia" w:eastAsia="仿宋_GB2312"/>
          <w:sz w:val="28"/>
          <w:szCs w:val="28"/>
        </w:rPr>
        <w:t>1、</w:t>
      </w:r>
      <w:r>
        <w:rPr>
          <w:rFonts w:hint="eastAsia" w:eastAsia="仿宋_GB2312"/>
          <w:sz w:val="28"/>
          <w:szCs w:val="28"/>
          <w:highlight w:val="none"/>
        </w:rPr>
        <w:t>采用包干清运制，响应人不得因垃圾产生量增减额外收取费用；需严格把控垃圾桶状态，杜绝垃圾满桶外溢，每日上午 7:00 前、下午 14:00 前</w:t>
      </w:r>
      <w:r>
        <w:rPr>
          <w:rFonts w:hint="eastAsia" w:eastAsia="仿宋_GB2312"/>
          <w:sz w:val="28"/>
          <w:szCs w:val="28"/>
          <w:highlight w:val="none"/>
          <w:lang w:val="en-US" w:eastAsia="zh-CN"/>
        </w:rPr>
        <w:t>需</w:t>
      </w:r>
      <w:r>
        <w:rPr>
          <w:rFonts w:hint="eastAsia" w:eastAsia="仿宋_GB2312"/>
          <w:sz w:val="28"/>
          <w:szCs w:val="28"/>
          <w:highlight w:val="none"/>
        </w:rPr>
        <w:t>完成区域清运作业（注：清运范围不含大件废弃家具、建筑垃圾）</w:t>
      </w:r>
      <w:r>
        <w:rPr>
          <w:rFonts w:hint="eastAsia" w:eastAsia="仿宋_GB2312"/>
          <w:sz w:val="28"/>
          <w:szCs w:val="28"/>
          <w:highlight w:val="none"/>
          <w:lang w:eastAsia="zh-CN"/>
        </w:rPr>
        <w:t>。</w:t>
      </w:r>
    </w:p>
    <w:p w14:paraId="4959DB7B">
      <w:pPr>
        <w:ind w:firstLine="555"/>
        <w:rPr>
          <w:rFonts w:eastAsia="仿宋_GB2312"/>
          <w:sz w:val="28"/>
          <w:szCs w:val="28"/>
        </w:rPr>
      </w:pPr>
      <w:r>
        <w:rPr>
          <w:rFonts w:hint="eastAsia" w:eastAsia="仿宋_GB2312"/>
          <w:sz w:val="28"/>
          <w:szCs w:val="28"/>
        </w:rPr>
        <w:t>2、</w:t>
      </w:r>
      <w:r>
        <w:rPr>
          <w:rFonts w:hint="eastAsia" w:eastAsia="仿宋_GB2312"/>
          <w:sz w:val="28"/>
          <w:szCs w:val="28"/>
          <w:lang w:eastAsia="zh-CN"/>
        </w:rPr>
        <w:t>成交供应商</w:t>
      </w:r>
      <w:r>
        <w:rPr>
          <w:rFonts w:hint="eastAsia" w:eastAsia="仿宋_GB2312"/>
          <w:sz w:val="28"/>
          <w:szCs w:val="28"/>
        </w:rPr>
        <w:t>清运过程中，杜绝垃圾桶周边及运输路线范围内杂物掉落，保持清洁。</w:t>
      </w:r>
    </w:p>
    <w:p w14:paraId="2684643D">
      <w:pPr>
        <w:ind w:firstLine="555"/>
        <w:rPr>
          <w:rFonts w:eastAsia="仿宋_GB2312"/>
          <w:sz w:val="28"/>
          <w:szCs w:val="28"/>
        </w:rPr>
      </w:pPr>
      <w:r>
        <w:rPr>
          <w:rFonts w:hint="eastAsia" w:ascii="仿宋" w:hAnsi="仿宋" w:eastAsia="仿宋"/>
          <w:sz w:val="28"/>
          <w:szCs w:val="28"/>
        </w:rPr>
        <w:t>3、</w:t>
      </w:r>
      <w:r>
        <w:rPr>
          <w:rFonts w:hint="eastAsia" w:eastAsia="仿宋_GB2312"/>
          <w:sz w:val="28"/>
          <w:szCs w:val="28"/>
          <w:lang w:eastAsia="zh-CN"/>
        </w:rPr>
        <w:t>成交供应商</w:t>
      </w:r>
      <w:r>
        <w:rPr>
          <w:rFonts w:hint="eastAsia" w:ascii="仿宋" w:hAnsi="仿宋" w:eastAsia="仿宋"/>
          <w:sz w:val="28"/>
          <w:szCs w:val="28"/>
        </w:rPr>
        <w:t>需清运到政府指定垃圾站，</w:t>
      </w:r>
      <w:r>
        <w:rPr>
          <w:rFonts w:hint="eastAsia" w:eastAsia="仿宋_GB2312"/>
          <w:sz w:val="28"/>
          <w:szCs w:val="28"/>
        </w:rPr>
        <w:t>运距自定。</w:t>
      </w:r>
      <w:r>
        <w:rPr>
          <w:rFonts w:hint="eastAsia" w:eastAsia="仿宋_GB2312"/>
          <w:sz w:val="28"/>
          <w:szCs w:val="28"/>
          <w:lang w:eastAsia="zh-CN"/>
        </w:rPr>
        <w:t>成交供应商</w:t>
      </w:r>
      <w:r>
        <w:rPr>
          <w:rFonts w:hint="eastAsia" w:eastAsia="仿宋_GB2312"/>
          <w:sz w:val="28"/>
          <w:szCs w:val="28"/>
        </w:rPr>
        <w:t>需保质保量完成采购</w:t>
      </w:r>
      <w:r>
        <w:rPr>
          <w:rFonts w:hint="eastAsia" w:eastAsia="仿宋_GB2312"/>
          <w:sz w:val="28"/>
          <w:szCs w:val="28"/>
          <w:lang w:eastAsia="zh-CN"/>
        </w:rPr>
        <w:t>人</w:t>
      </w:r>
      <w:r>
        <w:rPr>
          <w:rFonts w:hint="eastAsia" w:eastAsia="仿宋_GB2312"/>
          <w:sz w:val="28"/>
          <w:szCs w:val="28"/>
        </w:rPr>
        <w:t>委托的垃圾清运工作，应做到垃圾日产日清。委托清运的垃圾必须运送到垃圾场，按照符合环保要求的标准处理，不得未经处理随意倾倒。因倾倒行为导致采购</w:t>
      </w:r>
      <w:r>
        <w:rPr>
          <w:rFonts w:hint="eastAsia" w:eastAsia="仿宋_GB2312"/>
          <w:sz w:val="28"/>
          <w:szCs w:val="28"/>
          <w:lang w:eastAsia="zh-CN"/>
        </w:rPr>
        <w:t>人</w:t>
      </w:r>
      <w:r>
        <w:rPr>
          <w:rFonts w:hint="eastAsia" w:eastAsia="仿宋_GB2312"/>
          <w:sz w:val="28"/>
          <w:szCs w:val="28"/>
        </w:rPr>
        <w:t>被有关单位处罚、追偿的，产生的罚款和赔偿金由</w:t>
      </w:r>
      <w:r>
        <w:rPr>
          <w:rFonts w:hint="eastAsia" w:eastAsia="仿宋_GB2312"/>
          <w:sz w:val="28"/>
          <w:szCs w:val="28"/>
          <w:lang w:eastAsia="zh-CN"/>
        </w:rPr>
        <w:t>成交供应商</w:t>
      </w:r>
      <w:r>
        <w:rPr>
          <w:rFonts w:hint="eastAsia" w:eastAsia="仿宋_GB2312"/>
          <w:sz w:val="28"/>
          <w:szCs w:val="28"/>
        </w:rPr>
        <w:t>承担</w:t>
      </w:r>
      <w:r>
        <w:rPr>
          <w:rFonts w:hint="eastAsia" w:eastAsia="仿宋_GB2312"/>
          <w:sz w:val="28"/>
          <w:szCs w:val="28"/>
          <w:lang w:eastAsia="zh-CN"/>
        </w:rPr>
        <w:t>，并且向成交供应商处以该金额</w:t>
      </w:r>
      <w:r>
        <w:rPr>
          <w:rFonts w:hint="eastAsia" w:eastAsia="仿宋_GB2312"/>
          <w:sz w:val="28"/>
          <w:szCs w:val="28"/>
          <w:lang w:val="en-US" w:eastAsia="zh-CN"/>
        </w:rPr>
        <w:t>2倍的违约罚金</w:t>
      </w:r>
      <w:r>
        <w:rPr>
          <w:rFonts w:hint="eastAsia" w:eastAsia="仿宋_GB2312"/>
          <w:sz w:val="28"/>
          <w:szCs w:val="28"/>
        </w:rPr>
        <w:t>。</w:t>
      </w:r>
    </w:p>
    <w:p w14:paraId="5FE51BB1">
      <w:pPr>
        <w:ind w:left="0" w:leftChars="0" w:firstLine="220" w:firstLineChars="0"/>
        <w:rPr>
          <w:rFonts w:eastAsia="仿宋_GB2312"/>
          <w:sz w:val="28"/>
          <w:szCs w:val="28"/>
        </w:rPr>
      </w:pPr>
      <w:r>
        <w:rPr>
          <w:rFonts w:hint="eastAsia" w:eastAsia="仿宋_GB2312"/>
          <w:sz w:val="28"/>
          <w:szCs w:val="28"/>
        </w:rPr>
        <w:t>4、</w:t>
      </w:r>
      <w:r>
        <w:rPr>
          <w:rFonts w:hint="eastAsia" w:eastAsia="仿宋_GB2312"/>
          <w:sz w:val="28"/>
          <w:szCs w:val="28"/>
          <w:lang w:eastAsia="zh-CN"/>
        </w:rPr>
        <w:t>成交供应商</w:t>
      </w:r>
      <w:r>
        <w:rPr>
          <w:rFonts w:hint="eastAsia" w:eastAsia="仿宋_GB2312"/>
          <w:sz w:val="28"/>
          <w:szCs w:val="28"/>
        </w:rPr>
        <w:t>每次清运后不得有“满箱和漏箱”现象，清运完毕后需将垃圾</w:t>
      </w:r>
      <w:r>
        <w:rPr>
          <w:rFonts w:hint="eastAsia" w:eastAsia="仿宋_GB2312"/>
          <w:sz w:val="28"/>
          <w:szCs w:val="28"/>
          <w:lang w:eastAsia="zh-CN"/>
        </w:rPr>
        <w:t>桶</w:t>
      </w:r>
      <w:r>
        <w:rPr>
          <w:rFonts w:hint="eastAsia" w:eastAsia="仿宋_GB2312"/>
          <w:sz w:val="28"/>
          <w:szCs w:val="28"/>
        </w:rPr>
        <w:t>归位至指定位置。</w:t>
      </w:r>
    </w:p>
    <w:p w14:paraId="5CE87803">
      <w:pPr>
        <w:ind w:left="0" w:leftChars="0" w:firstLine="220" w:firstLineChars="0"/>
        <w:rPr>
          <w:rFonts w:eastAsia="仿宋_GB2312"/>
          <w:sz w:val="28"/>
          <w:szCs w:val="28"/>
        </w:rPr>
      </w:pPr>
      <w:r>
        <w:rPr>
          <w:rFonts w:hint="eastAsia" w:eastAsia="仿宋_GB2312"/>
          <w:sz w:val="28"/>
          <w:szCs w:val="28"/>
        </w:rPr>
        <w:t>5、</w:t>
      </w:r>
      <w:r>
        <w:rPr>
          <w:rFonts w:hint="eastAsia" w:eastAsia="仿宋_GB2312"/>
          <w:sz w:val="28"/>
          <w:szCs w:val="28"/>
          <w:lang w:eastAsia="zh-CN"/>
        </w:rPr>
        <w:t>成交供应商</w:t>
      </w:r>
      <w:r>
        <w:rPr>
          <w:rFonts w:hint="eastAsia" w:eastAsia="仿宋_GB2312"/>
          <w:sz w:val="28"/>
          <w:szCs w:val="28"/>
        </w:rPr>
        <w:t>在清运过程中应采取有效安全措施防止车上垃圾在</w:t>
      </w:r>
      <w:r>
        <w:rPr>
          <w:rFonts w:hint="eastAsia" w:eastAsia="仿宋_GB2312"/>
          <w:sz w:val="28"/>
          <w:szCs w:val="28"/>
          <w:lang w:eastAsia="zh-CN"/>
        </w:rPr>
        <w:t>园</w:t>
      </w:r>
      <w:r>
        <w:rPr>
          <w:rFonts w:hint="eastAsia" w:eastAsia="仿宋_GB2312"/>
          <w:sz w:val="28"/>
          <w:szCs w:val="28"/>
        </w:rPr>
        <w:t>区发生“抛、冒、滴、漏”现象，如发生 “落渣、漏渣” 等现象时，须及时将现场清理干净。</w:t>
      </w:r>
    </w:p>
    <w:p w14:paraId="116136F5">
      <w:pPr>
        <w:ind w:left="0" w:leftChars="0" w:firstLine="220" w:firstLineChars="0"/>
        <w:rPr>
          <w:rFonts w:hint="eastAsia" w:eastAsia="仿宋_GB2312"/>
          <w:sz w:val="28"/>
          <w:szCs w:val="28"/>
        </w:rPr>
      </w:pPr>
      <w:r>
        <w:rPr>
          <w:rFonts w:hint="eastAsia" w:eastAsia="仿宋_GB2312"/>
          <w:sz w:val="28"/>
          <w:szCs w:val="28"/>
        </w:rPr>
        <w:t>6、</w:t>
      </w:r>
      <w:r>
        <w:rPr>
          <w:rFonts w:hint="eastAsia" w:eastAsia="仿宋_GB2312"/>
          <w:sz w:val="28"/>
          <w:szCs w:val="28"/>
          <w:lang w:eastAsia="zh-CN"/>
        </w:rPr>
        <w:t>成交供应商</w:t>
      </w:r>
      <w:r>
        <w:rPr>
          <w:rFonts w:hint="eastAsia" w:eastAsia="仿宋_GB2312"/>
          <w:sz w:val="28"/>
          <w:szCs w:val="28"/>
        </w:rPr>
        <w:t>在清运过程中有损坏其他公用设施的，负责照价赔偿。</w:t>
      </w:r>
    </w:p>
    <w:p w14:paraId="26275665">
      <w:pPr>
        <w:ind w:left="0" w:leftChars="0" w:firstLine="220" w:firstLineChars="0"/>
        <w:rPr>
          <w:rFonts w:hint="eastAsia" w:eastAsia="仿宋_GB2312"/>
          <w:sz w:val="28"/>
          <w:szCs w:val="28"/>
          <w:lang w:val="en-US" w:eastAsia="zh-CN"/>
        </w:rPr>
      </w:pPr>
      <w:r>
        <w:rPr>
          <w:rFonts w:hint="eastAsia" w:eastAsia="仿宋_GB2312"/>
          <w:sz w:val="28"/>
          <w:szCs w:val="28"/>
          <w:lang w:val="en-US" w:eastAsia="zh-CN"/>
        </w:rPr>
        <w:t>7、本合同期内费用包干，除非有活动或其他特殊情形导致垃圾量异常增多，日常情况不得因垃圾量增加而要求增加费用。</w:t>
      </w:r>
    </w:p>
    <w:tbl>
      <w:tblPr>
        <w:tblStyle w:val="18"/>
        <w:tblW w:w="5000" w:type="pct"/>
        <w:tblInd w:w="0" w:type="dxa"/>
        <w:tblLayout w:type="autofit"/>
        <w:tblCellMar>
          <w:top w:w="0" w:type="dxa"/>
          <w:left w:w="108" w:type="dxa"/>
          <w:bottom w:w="0" w:type="dxa"/>
          <w:right w:w="108" w:type="dxa"/>
        </w:tblCellMar>
      </w:tblPr>
      <w:tblGrid>
        <w:gridCol w:w="1025"/>
        <w:gridCol w:w="3975"/>
        <w:gridCol w:w="246"/>
        <w:gridCol w:w="3987"/>
        <w:gridCol w:w="764"/>
      </w:tblGrid>
      <w:tr w14:paraId="6DF74525">
        <w:tblPrEx>
          <w:tblCellMar>
            <w:top w:w="0" w:type="dxa"/>
            <w:left w:w="108" w:type="dxa"/>
            <w:bottom w:w="0" w:type="dxa"/>
            <w:right w:w="108" w:type="dxa"/>
          </w:tblCellMar>
        </w:tblPrEx>
        <w:trPr>
          <w:trHeight w:val="840" w:hRule="atLeast"/>
        </w:trPr>
        <w:tc>
          <w:tcPr>
            <w:tcW w:w="5000" w:type="pct"/>
            <w:gridSpan w:val="5"/>
            <w:tcBorders>
              <w:top w:val="nil"/>
              <w:left w:val="nil"/>
              <w:bottom w:val="nil"/>
              <w:right w:val="nil"/>
            </w:tcBorders>
            <w:shd w:val="clear" w:color="auto" w:fill="auto"/>
            <w:noWrap/>
            <w:vAlign w:val="center"/>
          </w:tcPr>
          <w:p w14:paraId="388F6106">
            <w:pPr>
              <w:widowControl/>
              <w:jc w:val="center"/>
              <w:rPr>
                <w:rFonts w:ascii="宋体" w:hAnsi="宋体" w:cs="宋体"/>
                <w:kern w:val="0"/>
                <w:sz w:val="40"/>
                <w:szCs w:val="40"/>
              </w:rPr>
            </w:pPr>
            <w:r>
              <w:rPr>
                <w:rFonts w:hint="eastAsia" w:ascii="宋体" w:hAnsi="宋体" w:cs="宋体"/>
                <w:kern w:val="0"/>
                <w:sz w:val="40"/>
                <w:szCs w:val="40"/>
              </w:rPr>
              <w:t>垃圾清运服务考核表</w:t>
            </w:r>
          </w:p>
        </w:tc>
      </w:tr>
      <w:tr w14:paraId="602FC402">
        <w:tblPrEx>
          <w:tblCellMar>
            <w:top w:w="0" w:type="dxa"/>
            <w:left w:w="108" w:type="dxa"/>
            <w:bottom w:w="0" w:type="dxa"/>
            <w:right w:w="108" w:type="dxa"/>
          </w:tblCellMar>
        </w:tblPrEx>
        <w:trPr>
          <w:trHeight w:val="840" w:hRule="atLeast"/>
        </w:trPr>
        <w:tc>
          <w:tcPr>
            <w:tcW w:w="513" w:type="pct"/>
            <w:tcBorders>
              <w:top w:val="nil"/>
              <w:left w:val="nil"/>
              <w:bottom w:val="nil"/>
              <w:right w:val="nil"/>
            </w:tcBorders>
            <w:shd w:val="clear" w:color="auto" w:fill="auto"/>
            <w:noWrap/>
            <w:vAlign w:val="center"/>
          </w:tcPr>
          <w:p w14:paraId="2AB0BBFD">
            <w:pPr>
              <w:widowControl/>
              <w:jc w:val="center"/>
              <w:rPr>
                <w:rFonts w:ascii="宋体" w:hAnsi="宋体" w:cs="宋体"/>
                <w:kern w:val="0"/>
                <w:sz w:val="24"/>
                <w:szCs w:val="24"/>
              </w:rPr>
            </w:pPr>
            <w:r>
              <w:rPr>
                <w:rFonts w:hint="eastAsia" w:ascii="宋体" w:hAnsi="宋体" w:cs="宋体"/>
                <w:kern w:val="0"/>
                <w:sz w:val="24"/>
                <w:szCs w:val="24"/>
              </w:rPr>
              <w:t>项目：</w:t>
            </w:r>
          </w:p>
        </w:tc>
        <w:tc>
          <w:tcPr>
            <w:tcW w:w="2111" w:type="pct"/>
            <w:gridSpan w:val="2"/>
            <w:tcBorders>
              <w:top w:val="nil"/>
              <w:left w:val="nil"/>
              <w:bottom w:val="nil"/>
              <w:right w:val="nil"/>
            </w:tcBorders>
            <w:shd w:val="clear" w:color="auto" w:fill="auto"/>
            <w:noWrap/>
            <w:vAlign w:val="center"/>
          </w:tcPr>
          <w:p w14:paraId="1B9CCC40">
            <w:pPr>
              <w:widowControl/>
              <w:jc w:val="left"/>
              <w:rPr>
                <w:rFonts w:ascii="宋体" w:hAnsi="宋体" w:cs="宋体"/>
                <w:kern w:val="0"/>
                <w:sz w:val="24"/>
                <w:szCs w:val="24"/>
                <w:u w:val="single"/>
              </w:rPr>
            </w:pPr>
          </w:p>
        </w:tc>
        <w:tc>
          <w:tcPr>
            <w:tcW w:w="1994" w:type="pct"/>
            <w:tcBorders>
              <w:top w:val="nil"/>
              <w:left w:val="nil"/>
              <w:bottom w:val="nil"/>
              <w:right w:val="nil"/>
            </w:tcBorders>
            <w:shd w:val="clear" w:color="auto" w:fill="auto"/>
            <w:noWrap/>
            <w:vAlign w:val="center"/>
          </w:tcPr>
          <w:p w14:paraId="29BB62D0">
            <w:pPr>
              <w:widowControl/>
              <w:jc w:val="center"/>
              <w:rPr>
                <w:rFonts w:ascii="宋体" w:hAnsi="宋体" w:cs="宋体"/>
                <w:kern w:val="0"/>
                <w:sz w:val="24"/>
                <w:szCs w:val="24"/>
              </w:rPr>
            </w:pPr>
            <w:r>
              <w:rPr>
                <w:rFonts w:hint="eastAsia" w:ascii="宋体" w:hAnsi="宋体" w:cs="宋体"/>
                <w:kern w:val="0"/>
                <w:sz w:val="24"/>
                <w:szCs w:val="24"/>
              </w:rPr>
              <w:t>考核月份：</w:t>
            </w:r>
          </w:p>
        </w:tc>
        <w:tc>
          <w:tcPr>
            <w:tcW w:w="382" w:type="pct"/>
            <w:tcBorders>
              <w:top w:val="nil"/>
              <w:left w:val="nil"/>
              <w:bottom w:val="nil"/>
              <w:right w:val="nil"/>
            </w:tcBorders>
            <w:shd w:val="clear" w:color="auto" w:fill="auto"/>
            <w:noWrap/>
            <w:vAlign w:val="center"/>
          </w:tcPr>
          <w:p w14:paraId="7838AF83">
            <w:pPr>
              <w:widowControl/>
              <w:jc w:val="center"/>
              <w:rPr>
                <w:rFonts w:ascii="宋体" w:hAnsi="宋体" w:cs="宋体"/>
                <w:kern w:val="0"/>
                <w:sz w:val="24"/>
                <w:szCs w:val="24"/>
                <w:u w:val="single"/>
              </w:rPr>
            </w:pPr>
          </w:p>
        </w:tc>
      </w:tr>
      <w:tr w14:paraId="6A0FB2EF">
        <w:tblPrEx>
          <w:tblCellMar>
            <w:top w:w="0" w:type="dxa"/>
            <w:left w:w="108" w:type="dxa"/>
            <w:bottom w:w="0" w:type="dxa"/>
            <w:right w:w="108" w:type="dxa"/>
          </w:tblCellMar>
        </w:tblPrEx>
        <w:trPr>
          <w:trHeight w:val="480" w:hRule="atLeast"/>
        </w:trPr>
        <w:tc>
          <w:tcPr>
            <w:tcW w:w="513" w:type="pct"/>
            <w:tcBorders>
              <w:top w:val="nil"/>
              <w:left w:val="nil"/>
              <w:bottom w:val="nil"/>
              <w:right w:val="nil"/>
            </w:tcBorders>
            <w:shd w:val="clear" w:color="auto" w:fill="auto"/>
            <w:noWrap/>
            <w:vAlign w:val="center"/>
          </w:tcPr>
          <w:p w14:paraId="411F6F4C">
            <w:pPr>
              <w:widowControl/>
              <w:jc w:val="right"/>
              <w:rPr>
                <w:rFonts w:ascii="宋体" w:hAnsi="宋体" w:cs="宋体"/>
                <w:kern w:val="0"/>
                <w:sz w:val="24"/>
                <w:szCs w:val="24"/>
              </w:rPr>
            </w:pPr>
          </w:p>
        </w:tc>
        <w:tc>
          <w:tcPr>
            <w:tcW w:w="2111" w:type="pct"/>
            <w:gridSpan w:val="2"/>
            <w:tcBorders>
              <w:top w:val="nil"/>
              <w:left w:val="nil"/>
              <w:bottom w:val="nil"/>
              <w:right w:val="nil"/>
            </w:tcBorders>
            <w:shd w:val="clear" w:color="auto" w:fill="auto"/>
            <w:noWrap/>
            <w:vAlign w:val="center"/>
          </w:tcPr>
          <w:p w14:paraId="2DBB4FA1">
            <w:pPr>
              <w:widowControl/>
              <w:jc w:val="center"/>
              <w:rPr>
                <w:rFonts w:ascii="宋体" w:hAnsi="宋体" w:cs="宋体"/>
                <w:kern w:val="0"/>
                <w:sz w:val="24"/>
                <w:szCs w:val="24"/>
                <w:u w:val="single"/>
              </w:rPr>
            </w:pPr>
          </w:p>
        </w:tc>
        <w:tc>
          <w:tcPr>
            <w:tcW w:w="1994" w:type="pct"/>
            <w:tcBorders>
              <w:top w:val="nil"/>
              <w:left w:val="nil"/>
              <w:bottom w:val="nil"/>
              <w:right w:val="nil"/>
            </w:tcBorders>
            <w:shd w:val="clear" w:color="auto" w:fill="auto"/>
            <w:noWrap/>
            <w:vAlign w:val="center"/>
          </w:tcPr>
          <w:p w14:paraId="2DF805D9">
            <w:pPr>
              <w:widowControl/>
              <w:jc w:val="right"/>
              <w:rPr>
                <w:rFonts w:ascii="宋体" w:hAnsi="宋体" w:cs="宋体"/>
                <w:kern w:val="0"/>
                <w:sz w:val="24"/>
                <w:szCs w:val="24"/>
              </w:rPr>
            </w:pPr>
          </w:p>
        </w:tc>
        <w:tc>
          <w:tcPr>
            <w:tcW w:w="382" w:type="pct"/>
            <w:tcBorders>
              <w:top w:val="nil"/>
              <w:left w:val="nil"/>
              <w:bottom w:val="nil"/>
              <w:right w:val="nil"/>
            </w:tcBorders>
            <w:shd w:val="clear" w:color="auto" w:fill="auto"/>
            <w:noWrap/>
            <w:vAlign w:val="center"/>
          </w:tcPr>
          <w:p w14:paraId="46D508A5">
            <w:pPr>
              <w:widowControl/>
              <w:jc w:val="center"/>
              <w:rPr>
                <w:rFonts w:ascii="宋体" w:hAnsi="宋体" w:cs="宋体"/>
                <w:kern w:val="0"/>
                <w:sz w:val="24"/>
                <w:szCs w:val="24"/>
              </w:rPr>
            </w:pPr>
          </w:p>
        </w:tc>
      </w:tr>
      <w:tr w14:paraId="311199D4">
        <w:tblPrEx>
          <w:tblCellMar>
            <w:top w:w="0" w:type="dxa"/>
            <w:left w:w="108" w:type="dxa"/>
            <w:bottom w:w="0" w:type="dxa"/>
            <w:right w:w="108" w:type="dxa"/>
          </w:tblCellMar>
        </w:tblPrEx>
        <w:trPr>
          <w:trHeight w:val="840" w:hRule="atLeast"/>
        </w:trPr>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F1E786">
            <w:pPr>
              <w:widowControl/>
              <w:jc w:val="center"/>
              <w:rPr>
                <w:rFonts w:ascii="宋体" w:hAnsi="宋体" w:cs="宋体"/>
                <w:kern w:val="0"/>
                <w:sz w:val="24"/>
                <w:szCs w:val="24"/>
              </w:rPr>
            </w:pPr>
            <w:r>
              <w:rPr>
                <w:rFonts w:hint="eastAsia" w:ascii="宋体" w:hAnsi="宋体" w:cs="宋体"/>
                <w:kern w:val="0"/>
                <w:sz w:val="24"/>
                <w:szCs w:val="24"/>
              </w:rPr>
              <w:t>序号</w:t>
            </w:r>
          </w:p>
        </w:tc>
        <w:tc>
          <w:tcPr>
            <w:tcW w:w="2111" w:type="pct"/>
            <w:gridSpan w:val="2"/>
            <w:tcBorders>
              <w:top w:val="single" w:color="auto" w:sz="4" w:space="0"/>
              <w:left w:val="nil"/>
              <w:bottom w:val="single" w:color="auto" w:sz="4" w:space="0"/>
              <w:right w:val="single" w:color="auto" w:sz="4" w:space="0"/>
            </w:tcBorders>
            <w:shd w:val="clear" w:color="auto" w:fill="auto"/>
            <w:noWrap/>
            <w:vAlign w:val="center"/>
          </w:tcPr>
          <w:p w14:paraId="0D1926CE">
            <w:pPr>
              <w:widowControl/>
              <w:jc w:val="center"/>
              <w:rPr>
                <w:rFonts w:ascii="宋体" w:hAnsi="宋体" w:cs="宋体"/>
                <w:kern w:val="0"/>
                <w:sz w:val="24"/>
                <w:szCs w:val="24"/>
              </w:rPr>
            </w:pPr>
            <w:r>
              <w:rPr>
                <w:rFonts w:hint="eastAsia" w:ascii="宋体" w:hAnsi="宋体" w:cs="宋体"/>
                <w:kern w:val="0"/>
                <w:sz w:val="24"/>
                <w:szCs w:val="24"/>
              </w:rPr>
              <w:t>考核标准</w:t>
            </w:r>
          </w:p>
        </w:tc>
        <w:tc>
          <w:tcPr>
            <w:tcW w:w="1994" w:type="pct"/>
            <w:tcBorders>
              <w:top w:val="single" w:color="auto" w:sz="4" w:space="0"/>
              <w:left w:val="nil"/>
              <w:bottom w:val="single" w:color="auto" w:sz="4" w:space="0"/>
              <w:right w:val="single" w:color="auto" w:sz="4" w:space="0"/>
            </w:tcBorders>
            <w:shd w:val="clear" w:color="auto" w:fill="auto"/>
            <w:noWrap/>
            <w:vAlign w:val="center"/>
          </w:tcPr>
          <w:p w14:paraId="4AB73DD9">
            <w:pPr>
              <w:widowControl/>
              <w:jc w:val="center"/>
              <w:rPr>
                <w:rFonts w:ascii="宋体" w:hAnsi="宋体" w:cs="宋体"/>
                <w:kern w:val="0"/>
                <w:sz w:val="24"/>
                <w:szCs w:val="24"/>
              </w:rPr>
            </w:pPr>
            <w:r>
              <w:rPr>
                <w:rFonts w:hint="eastAsia" w:ascii="宋体" w:hAnsi="宋体" w:cs="宋体"/>
                <w:kern w:val="0"/>
                <w:sz w:val="24"/>
                <w:szCs w:val="24"/>
              </w:rPr>
              <w:t>扣分标准</w:t>
            </w:r>
          </w:p>
        </w:tc>
        <w:tc>
          <w:tcPr>
            <w:tcW w:w="382" w:type="pct"/>
            <w:tcBorders>
              <w:top w:val="single" w:color="auto" w:sz="4" w:space="0"/>
              <w:left w:val="nil"/>
              <w:bottom w:val="single" w:color="auto" w:sz="4" w:space="0"/>
              <w:right w:val="single" w:color="auto" w:sz="4" w:space="0"/>
            </w:tcBorders>
            <w:shd w:val="clear" w:color="auto" w:fill="auto"/>
            <w:noWrap/>
            <w:vAlign w:val="center"/>
          </w:tcPr>
          <w:p w14:paraId="059DA9F0">
            <w:pPr>
              <w:widowControl/>
              <w:jc w:val="center"/>
              <w:rPr>
                <w:rFonts w:ascii="宋体" w:hAnsi="宋体" w:cs="宋体"/>
                <w:kern w:val="0"/>
                <w:sz w:val="24"/>
                <w:szCs w:val="24"/>
              </w:rPr>
            </w:pPr>
            <w:r>
              <w:rPr>
                <w:rFonts w:hint="eastAsia" w:ascii="宋体" w:hAnsi="宋体" w:cs="宋体"/>
                <w:kern w:val="0"/>
                <w:sz w:val="24"/>
                <w:szCs w:val="24"/>
              </w:rPr>
              <w:t>扣分</w:t>
            </w:r>
          </w:p>
        </w:tc>
      </w:tr>
      <w:tr w14:paraId="679EC026">
        <w:tblPrEx>
          <w:tblCellMar>
            <w:top w:w="0" w:type="dxa"/>
            <w:left w:w="108" w:type="dxa"/>
            <w:bottom w:w="0" w:type="dxa"/>
            <w:right w:w="108" w:type="dxa"/>
          </w:tblCellMar>
        </w:tblPrEx>
        <w:trPr>
          <w:trHeight w:val="1002"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72AEFC9F">
            <w:pPr>
              <w:widowControl/>
              <w:jc w:val="center"/>
              <w:rPr>
                <w:rFonts w:ascii="宋体" w:hAnsi="宋体" w:cs="宋体"/>
                <w:kern w:val="0"/>
                <w:sz w:val="24"/>
                <w:szCs w:val="24"/>
              </w:rPr>
            </w:pPr>
            <w:r>
              <w:rPr>
                <w:rFonts w:hint="eastAsia" w:ascii="宋体" w:hAnsi="宋体" w:cs="宋体"/>
                <w:kern w:val="0"/>
                <w:sz w:val="24"/>
                <w:szCs w:val="24"/>
              </w:rPr>
              <w:t>1</w:t>
            </w:r>
          </w:p>
        </w:tc>
        <w:tc>
          <w:tcPr>
            <w:tcW w:w="2111" w:type="pct"/>
            <w:gridSpan w:val="2"/>
            <w:tcBorders>
              <w:top w:val="nil"/>
              <w:left w:val="nil"/>
              <w:bottom w:val="single" w:color="auto" w:sz="4" w:space="0"/>
              <w:right w:val="single" w:color="auto" w:sz="4" w:space="0"/>
            </w:tcBorders>
            <w:shd w:val="clear" w:color="auto" w:fill="auto"/>
            <w:vAlign w:val="center"/>
          </w:tcPr>
          <w:p w14:paraId="5F860A99">
            <w:pPr>
              <w:widowControl/>
              <w:jc w:val="left"/>
              <w:rPr>
                <w:rFonts w:ascii="宋体" w:hAnsi="宋体" w:cs="宋体"/>
                <w:kern w:val="0"/>
                <w:sz w:val="24"/>
                <w:szCs w:val="24"/>
              </w:rPr>
            </w:pPr>
            <w:r>
              <w:rPr>
                <w:rFonts w:hint="eastAsia" w:ascii="宋体" w:hAnsi="宋体" w:cs="宋体"/>
                <w:kern w:val="0"/>
                <w:sz w:val="24"/>
                <w:szCs w:val="24"/>
              </w:rPr>
              <w:t>影响垃圾堆放，未按甲方要求按时清运。</w:t>
            </w:r>
          </w:p>
        </w:tc>
        <w:tc>
          <w:tcPr>
            <w:tcW w:w="1994" w:type="pct"/>
            <w:tcBorders>
              <w:top w:val="nil"/>
              <w:left w:val="nil"/>
              <w:bottom w:val="single" w:color="auto" w:sz="4" w:space="0"/>
              <w:right w:val="single" w:color="auto" w:sz="4" w:space="0"/>
            </w:tcBorders>
            <w:shd w:val="clear" w:color="auto" w:fill="auto"/>
            <w:vAlign w:val="center"/>
          </w:tcPr>
          <w:p w14:paraId="5372D8B0">
            <w:pPr>
              <w:widowControl/>
              <w:jc w:val="center"/>
              <w:rPr>
                <w:rFonts w:ascii="宋体" w:hAnsi="宋体" w:cs="宋体"/>
                <w:kern w:val="0"/>
                <w:sz w:val="24"/>
                <w:szCs w:val="24"/>
              </w:rPr>
            </w:pPr>
            <w:r>
              <w:rPr>
                <w:rFonts w:hint="eastAsia" w:ascii="宋体" w:hAnsi="宋体" w:cs="宋体"/>
                <w:kern w:val="0"/>
                <w:sz w:val="24"/>
                <w:szCs w:val="24"/>
              </w:rPr>
              <w:t>每少一次扣5分</w:t>
            </w:r>
          </w:p>
        </w:tc>
        <w:tc>
          <w:tcPr>
            <w:tcW w:w="382" w:type="pct"/>
            <w:tcBorders>
              <w:top w:val="nil"/>
              <w:left w:val="nil"/>
              <w:bottom w:val="single" w:color="auto" w:sz="4" w:space="0"/>
              <w:right w:val="single" w:color="auto" w:sz="4" w:space="0"/>
            </w:tcBorders>
            <w:shd w:val="clear" w:color="auto" w:fill="auto"/>
            <w:noWrap/>
            <w:vAlign w:val="center"/>
          </w:tcPr>
          <w:p w14:paraId="208E043D">
            <w:pPr>
              <w:widowControl/>
              <w:jc w:val="center"/>
              <w:rPr>
                <w:rFonts w:ascii="宋体" w:hAnsi="宋体" w:cs="宋体"/>
                <w:kern w:val="0"/>
                <w:sz w:val="24"/>
                <w:szCs w:val="24"/>
              </w:rPr>
            </w:pPr>
            <w:r>
              <w:rPr>
                <w:rFonts w:hint="eastAsia" w:ascii="宋体" w:hAnsi="宋体" w:cs="宋体"/>
                <w:kern w:val="0"/>
                <w:sz w:val="24"/>
                <w:szCs w:val="24"/>
              </w:rPr>
              <w:t>　</w:t>
            </w:r>
          </w:p>
        </w:tc>
      </w:tr>
      <w:tr w14:paraId="7B08FFF0">
        <w:tblPrEx>
          <w:tblCellMar>
            <w:top w:w="0" w:type="dxa"/>
            <w:left w:w="108" w:type="dxa"/>
            <w:bottom w:w="0" w:type="dxa"/>
            <w:right w:w="108" w:type="dxa"/>
          </w:tblCellMar>
        </w:tblPrEx>
        <w:trPr>
          <w:trHeight w:val="1002"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7542EB1C">
            <w:pPr>
              <w:widowControl/>
              <w:jc w:val="center"/>
              <w:rPr>
                <w:rFonts w:ascii="宋体" w:hAnsi="宋体" w:cs="宋体"/>
                <w:kern w:val="0"/>
                <w:sz w:val="24"/>
                <w:szCs w:val="24"/>
              </w:rPr>
            </w:pPr>
            <w:r>
              <w:rPr>
                <w:rFonts w:hint="eastAsia" w:ascii="宋体" w:hAnsi="宋体" w:cs="宋体"/>
                <w:kern w:val="0"/>
                <w:sz w:val="24"/>
                <w:szCs w:val="24"/>
              </w:rPr>
              <w:t>2</w:t>
            </w:r>
          </w:p>
        </w:tc>
        <w:tc>
          <w:tcPr>
            <w:tcW w:w="2111" w:type="pct"/>
            <w:gridSpan w:val="2"/>
            <w:tcBorders>
              <w:top w:val="nil"/>
              <w:left w:val="nil"/>
              <w:bottom w:val="single" w:color="auto" w:sz="4" w:space="0"/>
              <w:right w:val="single" w:color="auto" w:sz="4" w:space="0"/>
            </w:tcBorders>
            <w:shd w:val="clear" w:color="auto" w:fill="auto"/>
            <w:vAlign w:val="center"/>
          </w:tcPr>
          <w:p w14:paraId="2C89C27E">
            <w:pPr>
              <w:widowControl/>
              <w:jc w:val="left"/>
              <w:rPr>
                <w:rFonts w:ascii="宋体" w:hAnsi="宋体" w:cs="宋体"/>
                <w:kern w:val="0"/>
                <w:sz w:val="24"/>
                <w:szCs w:val="24"/>
              </w:rPr>
            </w:pPr>
            <w:r>
              <w:rPr>
                <w:rFonts w:hint="eastAsia" w:ascii="宋体" w:hAnsi="宋体" w:cs="宋体"/>
                <w:kern w:val="0"/>
                <w:sz w:val="24"/>
                <w:szCs w:val="24"/>
              </w:rPr>
              <w:t>将指定地点内垃圾全部清运出园区。</w:t>
            </w:r>
          </w:p>
        </w:tc>
        <w:tc>
          <w:tcPr>
            <w:tcW w:w="1994" w:type="pct"/>
            <w:tcBorders>
              <w:top w:val="nil"/>
              <w:left w:val="nil"/>
              <w:bottom w:val="single" w:color="auto" w:sz="4" w:space="0"/>
              <w:right w:val="single" w:color="auto" w:sz="4" w:space="0"/>
            </w:tcBorders>
            <w:shd w:val="clear" w:color="auto" w:fill="auto"/>
            <w:vAlign w:val="center"/>
          </w:tcPr>
          <w:p w14:paraId="7BDB6150">
            <w:pPr>
              <w:widowControl/>
              <w:jc w:val="center"/>
              <w:rPr>
                <w:rFonts w:ascii="宋体" w:hAnsi="宋体" w:cs="宋体"/>
                <w:kern w:val="0"/>
                <w:sz w:val="24"/>
                <w:szCs w:val="24"/>
              </w:rPr>
            </w:pPr>
            <w:r>
              <w:rPr>
                <w:rFonts w:hint="eastAsia" w:ascii="宋体" w:hAnsi="宋体" w:cs="宋体"/>
                <w:kern w:val="0"/>
                <w:sz w:val="24"/>
                <w:szCs w:val="24"/>
              </w:rPr>
              <w:t>每发现一处未完全清理扣0.2分</w:t>
            </w:r>
          </w:p>
        </w:tc>
        <w:tc>
          <w:tcPr>
            <w:tcW w:w="382" w:type="pct"/>
            <w:tcBorders>
              <w:top w:val="nil"/>
              <w:left w:val="nil"/>
              <w:bottom w:val="single" w:color="auto" w:sz="4" w:space="0"/>
              <w:right w:val="single" w:color="auto" w:sz="4" w:space="0"/>
            </w:tcBorders>
            <w:shd w:val="clear" w:color="auto" w:fill="auto"/>
            <w:noWrap/>
            <w:vAlign w:val="center"/>
          </w:tcPr>
          <w:p w14:paraId="1A667DC7">
            <w:pPr>
              <w:widowControl/>
              <w:jc w:val="center"/>
              <w:rPr>
                <w:rFonts w:ascii="宋体" w:hAnsi="宋体" w:cs="宋体"/>
                <w:kern w:val="0"/>
                <w:sz w:val="24"/>
                <w:szCs w:val="24"/>
              </w:rPr>
            </w:pPr>
            <w:r>
              <w:rPr>
                <w:rFonts w:hint="eastAsia" w:ascii="宋体" w:hAnsi="宋体" w:cs="宋体"/>
                <w:kern w:val="0"/>
                <w:sz w:val="24"/>
                <w:szCs w:val="24"/>
              </w:rPr>
              <w:t>　</w:t>
            </w:r>
          </w:p>
        </w:tc>
      </w:tr>
      <w:tr w14:paraId="11C00046">
        <w:tblPrEx>
          <w:tblCellMar>
            <w:top w:w="0" w:type="dxa"/>
            <w:left w:w="108" w:type="dxa"/>
            <w:bottom w:w="0" w:type="dxa"/>
            <w:right w:w="108" w:type="dxa"/>
          </w:tblCellMar>
        </w:tblPrEx>
        <w:trPr>
          <w:trHeight w:val="1002"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299399E1">
            <w:pPr>
              <w:widowControl/>
              <w:jc w:val="center"/>
              <w:rPr>
                <w:rFonts w:ascii="宋体" w:hAnsi="宋体" w:cs="宋体"/>
                <w:kern w:val="0"/>
                <w:sz w:val="24"/>
                <w:szCs w:val="24"/>
              </w:rPr>
            </w:pPr>
            <w:r>
              <w:rPr>
                <w:rFonts w:hint="eastAsia" w:ascii="宋体" w:hAnsi="宋体" w:cs="宋体"/>
                <w:kern w:val="0"/>
                <w:sz w:val="24"/>
                <w:szCs w:val="24"/>
              </w:rPr>
              <w:t>3</w:t>
            </w:r>
          </w:p>
        </w:tc>
        <w:tc>
          <w:tcPr>
            <w:tcW w:w="2111" w:type="pct"/>
            <w:gridSpan w:val="2"/>
            <w:tcBorders>
              <w:top w:val="nil"/>
              <w:left w:val="nil"/>
              <w:bottom w:val="single" w:color="auto" w:sz="4" w:space="0"/>
              <w:right w:val="single" w:color="auto" w:sz="4" w:space="0"/>
            </w:tcBorders>
            <w:shd w:val="clear" w:color="auto" w:fill="auto"/>
            <w:vAlign w:val="center"/>
          </w:tcPr>
          <w:p w14:paraId="4EA364AB">
            <w:pPr>
              <w:widowControl/>
              <w:jc w:val="left"/>
              <w:rPr>
                <w:rFonts w:ascii="宋体" w:hAnsi="宋体" w:cs="宋体"/>
                <w:kern w:val="0"/>
                <w:sz w:val="24"/>
                <w:szCs w:val="24"/>
              </w:rPr>
            </w:pPr>
            <w:r>
              <w:rPr>
                <w:rFonts w:hint="eastAsia" w:ascii="宋体" w:hAnsi="宋体" w:cs="宋体"/>
                <w:kern w:val="0"/>
                <w:sz w:val="24"/>
                <w:szCs w:val="24"/>
              </w:rPr>
              <w:t>每次接到服务中心通知后8小时内需到达园区。</w:t>
            </w:r>
          </w:p>
        </w:tc>
        <w:tc>
          <w:tcPr>
            <w:tcW w:w="1994" w:type="pct"/>
            <w:tcBorders>
              <w:top w:val="nil"/>
              <w:left w:val="nil"/>
              <w:bottom w:val="single" w:color="auto" w:sz="4" w:space="0"/>
              <w:right w:val="single" w:color="auto" w:sz="4" w:space="0"/>
            </w:tcBorders>
            <w:shd w:val="clear" w:color="auto" w:fill="auto"/>
            <w:vAlign w:val="center"/>
          </w:tcPr>
          <w:p w14:paraId="210F7A52">
            <w:pPr>
              <w:widowControl/>
              <w:jc w:val="center"/>
              <w:rPr>
                <w:rFonts w:ascii="宋体" w:hAnsi="宋体" w:cs="宋体"/>
                <w:kern w:val="0"/>
                <w:sz w:val="24"/>
                <w:szCs w:val="24"/>
              </w:rPr>
            </w:pPr>
            <w:r>
              <w:rPr>
                <w:rFonts w:hint="eastAsia" w:ascii="宋体" w:hAnsi="宋体" w:cs="宋体"/>
                <w:kern w:val="0"/>
                <w:sz w:val="24"/>
                <w:szCs w:val="24"/>
              </w:rPr>
              <w:t>逾期一次扣0.2分</w:t>
            </w:r>
          </w:p>
        </w:tc>
        <w:tc>
          <w:tcPr>
            <w:tcW w:w="382" w:type="pct"/>
            <w:tcBorders>
              <w:top w:val="nil"/>
              <w:left w:val="nil"/>
              <w:bottom w:val="single" w:color="auto" w:sz="4" w:space="0"/>
              <w:right w:val="single" w:color="auto" w:sz="4" w:space="0"/>
            </w:tcBorders>
            <w:shd w:val="clear" w:color="auto" w:fill="auto"/>
            <w:noWrap/>
            <w:vAlign w:val="center"/>
          </w:tcPr>
          <w:p w14:paraId="61819630">
            <w:pPr>
              <w:widowControl/>
              <w:jc w:val="center"/>
              <w:rPr>
                <w:rFonts w:ascii="宋体" w:hAnsi="宋体" w:cs="宋体"/>
                <w:kern w:val="0"/>
                <w:sz w:val="24"/>
                <w:szCs w:val="24"/>
              </w:rPr>
            </w:pPr>
            <w:r>
              <w:rPr>
                <w:rFonts w:hint="eastAsia" w:ascii="宋体" w:hAnsi="宋体" w:cs="宋体"/>
                <w:kern w:val="0"/>
                <w:sz w:val="24"/>
                <w:szCs w:val="24"/>
              </w:rPr>
              <w:t>　</w:t>
            </w:r>
          </w:p>
        </w:tc>
      </w:tr>
      <w:tr w14:paraId="2F6DA03C">
        <w:tblPrEx>
          <w:tblCellMar>
            <w:top w:w="0" w:type="dxa"/>
            <w:left w:w="108" w:type="dxa"/>
            <w:bottom w:w="0" w:type="dxa"/>
            <w:right w:w="108" w:type="dxa"/>
          </w:tblCellMar>
        </w:tblPrEx>
        <w:trPr>
          <w:trHeight w:val="1002"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5BE761E9">
            <w:pPr>
              <w:widowControl/>
              <w:jc w:val="center"/>
              <w:rPr>
                <w:rFonts w:ascii="宋体" w:hAnsi="宋体" w:cs="宋体"/>
                <w:kern w:val="0"/>
                <w:sz w:val="24"/>
                <w:szCs w:val="24"/>
              </w:rPr>
            </w:pPr>
            <w:r>
              <w:rPr>
                <w:rFonts w:hint="eastAsia" w:ascii="宋体" w:hAnsi="宋体" w:cs="宋体"/>
                <w:kern w:val="0"/>
                <w:sz w:val="24"/>
                <w:szCs w:val="24"/>
              </w:rPr>
              <w:t>4</w:t>
            </w:r>
          </w:p>
        </w:tc>
        <w:tc>
          <w:tcPr>
            <w:tcW w:w="2111" w:type="pct"/>
            <w:gridSpan w:val="2"/>
            <w:tcBorders>
              <w:top w:val="nil"/>
              <w:left w:val="nil"/>
              <w:bottom w:val="single" w:color="auto" w:sz="4" w:space="0"/>
              <w:right w:val="single" w:color="auto" w:sz="4" w:space="0"/>
            </w:tcBorders>
            <w:shd w:val="clear" w:color="auto" w:fill="auto"/>
            <w:vAlign w:val="center"/>
          </w:tcPr>
          <w:p w14:paraId="65BDA9F2">
            <w:pPr>
              <w:widowControl/>
              <w:jc w:val="left"/>
              <w:rPr>
                <w:rFonts w:ascii="宋体" w:hAnsi="宋体" w:cs="宋体"/>
                <w:kern w:val="0"/>
                <w:sz w:val="24"/>
                <w:szCs w:val="24"/>
              </w:rPr>
            </w:pPr>
            <w:r>
              <w:rPr>
                <w:rFonts w:hint="eastAsia" w:ascii="宋体" w:hAnsi="宋体" w:cs="宋体"/>
                <w:kern w:val="0"/>
                <w:sz w:val="24"/>
                <w:szCs w:val="24"/>
              </w:rPr>
              <w:t>每次清运保证车辆装满，压实。运行过程中不得撒落垃圾。</w:t>
            </w:r>
          </w:p>
        </w:tc>
        <w:tc>
          <w:tcPr>
            <w:tcW w:w="1994" w:type="pct"/>
            <w:tcBorders>
              <w:top w:val="nil"/>
              <w:left w:val="nil"/>
              <w:bottom w:val="single" w:color="auto" w:sz="4" w:space="0"/>
              <w:right w:val="single" w:color="auto" w:sz="4" w:space="0"/>
            </w:tcBorders>
            <w:shd w:val="clear" w:color="auto" w:fill="auto"/>
            <w:vAlign w:val="center"/>
          </w:tcPr>
          <w:p w14:paraId="1B201F89">
            <w:pPr>
              <w:widowControl/>
              <w:jc w:val="center"/>
              <w:rPr>
                <w:rFonts w:ascii="宋体" w:hAnsi="宋体" w:cs="宋体"/>
                <w:kern w:val="0"/>
                <w:sz w:val="24"/>
                <w:szCs w:val="24"/>
              </w:rPr>
            </w:pPr>
            <w:r>
              <w:rPr>
                <w:rFonts w:hint="eastAsia" w:ascii="宋体" w:hAnsi="宋体" w:cs="宋体"/>
                <w:kern w:val="0"/>
                <w:sz w:val="24"/>
                <w:szCs w:val="24"/>
              </w:rPr>
              <w:t>每发现一次未按要求进行装载，每发现一处扣0.2分</w:t>
            </w:r>
          </w:p>
        </w:tc>
        <w:tc>
          <w:tcPr>
            <w:tcW w:w="382" w:type="pct"/>
            <w:tcBorders>
              <w:top w:val="nil"/>
              <w:left w:val="nil"/>
              <w:bottom w:val="single" w:color="auto" w:sz="4" w:space="0"/>
              <w:right w:val="single" w:color="auto" w:sz="4" w:space="0"/>
            </w:tcBorders>
            <w:shd w:val="clear" w:color="auto" w:fill="auto"/>
            <w:noWrap/>
            <w:vAlign w:val="center"/>
          </w:tcPr>
          <w:p w14:paraId="094ED364">
            <w:pPr>
              <w:widowControl/>
              <w:jc w:val="center"/>
              <w:rPr>
                <w:rFonts w:ascii="宋体" w:hAnsi="宋体" w:cs="宋体"/>
                <w:kern w:val="0"/>
                <w:sz w:val="24"/>
                <w:szCs w:val="24"/>
              </w:rPr>
            </w:pPr>
            <w:r>
              <w:rPr>
                <w:rFonts w:hint="eastAsia" w:ascii="宋体" w:hAnsi="宋体" w:cs="宋体"/>
                <w:kern w:val="0"/>
                <w:sz w:val="24"/>
                <w:szCs w:val="24"/>
              </w:rPr>
              <w:t>　</w:t>
            </w:r>
          </w:p>
        </w:tc>
      </w:tr>
      <w:tr w14:paraId="7675D6AD">
        <w:tblPrEx>
          <w:tblCellMar>
            <w:top w:w="0" w:type="dxa"/>
            <w:left w:w="108" w:type="dxa"/>
            <w:bottom w:w="0" w:type="dxa"/>
            <w:right w:w="108" w:type="dxa"/>
          </w:tblCellMar>
        </w:tblPrEx>
        <w:trPr>
          <w:trHeight w:val="1002"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3175357C">
            <w:pPr>
              <w:widowControl/>
              <w:jc w:val="center"/>
              <w:rPr>
                <w:rFonts w:ascii="宋体" w:hAnsi="宋体" w:cs="宋体"/>
                <w:kern w:val="0"/>
                <w:sz w:val="24"/>
                <w:szCs w:val="24"/>
              </w:rPr>
            </w:pPr>
            <w:r>
              <w:rPr>
                <w:rFonts w:hint="eastAsia" w:ascii="宋体" w:hAnsi="宋体" w:cs="宋体"/>
                <w:kern w:val="0"/>
                <w:sz w:val="24"/>
                <w:szCs w:val="24"/>
              </w:rPr>
              <w:t>5</w:t>
            </w:r>
          </w:p>
        </w:tc>
        <w:tc>
          <w:tcPr>
            <w:tcW w:w="2111" w:type="pct"/>
            <w:gridSpan w:val="2"/>
            <w:tcBorders>
              <w:top w:val="nil"/>
              <w:left w:val="nil"/>
              <w:bottom w:val="single" w:color="auto" w:sz="4" w:space="0"/>
              <w:right w:val="single" w:color="auto" w:sz="4" w:space="0"/>
            </w:tcBorders>
            <w:shd w:val="clear" w:color="auto" w:fill="auto"/>
            <w:vAlign w:val="center"/>
          </w:tcPr>
          <w:p w14:paraId="06D6BE7C">
            <w:pPr>
              <w:widowControl/>
              <w:jc w:val="left"/>
              <w:rPr>
                <w:rFonts w:ascii="宋体" w:hAnsi="宋体" w:cs="宋体"/>
                <w:kern w:val="0"/>
                <w:sz w:val="24"/>
                <w:szCs w:val="24"/>
              </w:rPr>
            </w:pPr>
            <w:r>
              <w:rPr>
                <w:rFonts w:hint="eastAsia" w:ascii="宋体" w:hAnsi="宋体" w:cs="宋体"/>
                <w:kern w:val="0"/>
                <w:sz w:val="24"/>
                <w:szCs w:val="24"/>
              </w:rPr>
              <w:t>清运现场工作人员必须遵守园区规定及管理要求，不得做有损于服务中心形象利益的事。</w:t>
            </w:r>
          </w:p>
        </w:tc>
        <w:tc>
          <w:tcPr>
            <w:tcW w:w="1994" w:type="pct"/>
            <w:tcBorders>
              <w:top w:val="nil"/>
              <w:left w:val="nil"/>
              <w:bottom w:val="single" w:color="auto" w:sz="4" w:space="0"/>
              <w:right w:val="single" w:color="auto" w:sz="4" w:space="0"/>
            </w:tcBorders>
            <w:shd w:val="clear" w:color="auto" w:fill="auto"/>
            <w:noWrap/>
            <w:vAlign w:val="center"/>
          </w:tcPr>
          <w:p w14:paraId="019292A3">
            <w:pPr>
              <w:widowControl/>
              <w:jc w:val="center"/>
              <w:rPr>
                <w:rFonts w:ascii="宋体" w:hAnsi="宋体" w:cs="宋体"/>
                <w:kern w:val="0"/>
                <w:sz w:val="24"/>
                <w:szCs w:val="24"/>
              </w:rPr>
            </w:pPr>
            <w:r>
              <w:rPr>
                <w:rFonts w:hint="eastAsia" w:ascii="宋体" w:hAnsi="宋体" w:cs="宋体"/>
                <w:kern w:val="0"/>
                <w:sz w:val="24"/>
                <w:szCs w:val="24"/>
              </w:rPr>
              <w:t>每发现一次扣0.2分</w:t>
            </w:r>
          </w:p>
        </w:tc>
        <w:tc>
          <w:tcPr>
            <w:tcW w:w="382" w:type="pct"/>
            <w:tcBorders>
              <w:top w:val="nil"/>
              <w:left w:val="nil"/>
              <w:bottom w:val="single" w:color="auto" w:sz="4" w:space="0"/>
              <w:right w:val="single" w:color="auto" w:sz="4" w:space="0"/>
            </w:tcBorders>
            <w:shd w:val="clear" w:color="auto" w:fill="auto"/>
            <w:noWrap/>
            <w:vAlign w:val="center"/>
          </w:tcPr>
          <w:p w14:paraId="50BE1CD5">
            <w:pPr>
              <w:widowControl/>
              <w:jc w:val="center"/>
              <w:rPr>
                <w:rFonts w:ascii="宋体" w:hAnsi="宋体" w:cs="宋体"/>
                <w:kern w:val="0"/>
                <w:sz w:val="24"/>
                <w:szCs w:val="24"/>
              </w:rPr>
            </w:pPr>
            <w:r>
              <w:rPr>
                <w:rFonts w:hint="eastAsia" w:ascii="宋体" w:hAnsi="宋体" w:cs="宋体"/>
                <w:kern w:val="0"/>
                <w:sz w:val="24"/>
                <w:szCs w:val="24"/>
              </w:rPr>
              <w:t>　</w:t>
            </w:r>
          </w:p>
        </w:tc>
      </w:tr>
      <w:tr w14:paraId="30475584">
        <w:tblPrEx>
          <w:tblCellMar>
            <w:top w:w="0" w:type="dxa"/>
            <w:left w:w="108" w:type="dxa"/>
            <w:bottom w:w="0" w:type="dxa"/>
            <w:right w:w="108" w:type="dxa"/>
          </w:tblCellMar>
        </w:tblPrEx>
        <w:trPr>
          <w:trHeight w:val="849"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0FA97805">
            <w:pPr>
              <w:widowControl/>
              <w:jc w:val="center"/>
              <w:rPr>
                <w:rFonts w:ascii="宋体" w:hAnsi="宋体" w:cs="宋体"/>
                <w:kern w:val="0"/>
                <w:sz w:val="24"/>
                <w:szCs w:val="24"/>
              </w:rPr>
            </w:pPr>
            <w:r>
              <w:rPr>
                <w:rFonts w:hint="eastAsia" w:ascii="宋体" w:hAnsi="宋体" w:cs="宋体"/>
                <w:kern w:val="0"/>
                <w:sz w:val="24"/>
                <w:szCs w:val="24"/>
              </w:rPr>
              <w:t>6</w:t>
            </w:r>
          </w:p>
        </w:tc>
        <w:tc>
          <w:tcPr>
            <w:tcW w:w="2111" w:type="pct"/>
            <w:gridSpan w:val="2"/>
            <w:tcBorders>
              <w:top w:val="nil"/>
              <w:left w:val="nil"/>
              <w:bottom w:val="single" w:color="auto" w:sz="4" w:space="0"/>
              <w:right w:val="single" w:color="auto" w:sz="4" w:space="0"/>
            </w:tcBorders>
            <w:shd w:val="clear" w:color="auto" w:fill="auto"/>
            <w:vAlign w:val="center"/>
          </w:tcPr>
          <w:p w14:paraId="4D5012AD">
            <w:pPr>
              <w:widowControl/>
              <w:jc w:val="left"/>
              <w:rPr>
                <w:rFonts w:ascii="宋体" w:hAnsi="宋体" w:cs="宋体"/>
                <w:kern w:val="0"/>
                <w:sz w:val="24"/>
                <w:szCs w:val="24"/>
              </w:rPr>
            </w:pPr>
            <w:r>
              <w:rPr>
                <w:rFonts w:hint="eastAsia" w:ascii="宋体" w:hAnsi="宋体" w:cs="宋体"/>
                <w:kern w:val="0"/>
                <w:sz w:val="24"/>
                <w:szCs w:val="24"/>
              </w:rPr>
              <w:t>保持清运后现场的卫生清洁，不能遗留垃圾，对清运现场进行清洁。</w:t>
            </w:r>
          </w:p>
        </w:tc>
        <w:tc>
          <w:tcPr>
            <w:tcW w:w="1994" w:type="pct"/>
            <w:tcBorders>
              <w:top w:val="nil"/>
              <w:left w:val="nil"/>
              <w:bottom w:val="single" w:color="auto" w:sz="4" w:space="0"/>
              <w:right w:val="single" w:color="auto" w:sz="4" w:space="0"/>
            </w:tcBorders>
            <w:shd w:val="clear" w:color="auto" w:fill="auto"/>
            <w:noWrap/>
            <w:vAlign w:val="center"/>
          </w:tcPr>
          <w:p w14:paraId="0040B386">
            <w:pPr>
              <w:widowControl/>
              <w:jc w:val="center"/>
              <w:rPr>
                <w:rFonts w:ascii="宋体" w:hAnsi="宋体" w:cs="宋体"/>
                <w:kern w:val="0"/>
                <w:sz w:val="24"/>
                <w:szCs w:val="24"/>
              </w:rPr>
            </w:pPr>
            <w:r>
              <w:rPr>
                <w:rFonts w:hint="eastAsia" w:ascii="宋体" w:hAnsi="宋体" w:cs="宋体"/>
                <w:kern w:val="0"/>
                <w:sz w:val="24"/>
                <w:szCs w:val="24"/>
              </w:rPr>
              <w:t>每发现一处不合格扣0.2分</w:t>
            </w:r>
          </w:p>
        </w:tc>
        <w:tc>
          <w:tcPr>
            <w:tcW w:w="382" w:type="pct"/>
            <w:tcBorders>
              <w:top w:val="nil"/>
              <w:left w:val="nil"/>
              <w:bottom w:val="single" w:color="auto" w:sz="4" w:space="0"/>
              <w:right w:val="single" w:color="auto" w:sz="4" w:space="0"/>
            </w:tcBorders>
            <w:shd w:val="clear" w:color="auto" w:fill="auto"/>
            <w:noWrap/>
            <w:vAlign w:val="center"/>
          </w:tcPr>
          <w:p w14:paraId="5249C510">
            <w:pPr>
              <w:widowControl/>
              <w:jc w:val="center"/>
              <w:rPr>
                <w:rFonts w:ascii="宋体" w:hAnsi="宋体" w:cs="宋体"/>
                <w:kern w:val="0"/>
                <w:sz w:val="24"/>
                <w:szCs w:val="24"/>
              </w:rPr>
            </w:pPr>
            <w:r>
              <w:rPr>
                <w:rFonts w:hint="eastAsia" w:ascii="宋体" w:hAnsi="宋体" w:cs="宋体"/>
                <w:kern w:val="0"/>
                <w:sz w:val="24"/>
                <w:szCs w:val="24"/>
              </w:rPr>
              <w:t>　</w:t>
            </w:r>
          </w:p>
        </w:tc>
      </w:tr>
      <w:tr w14:paraId="66C7C742">
        <w:tblPrEx>
          <w:tblCellMar>
            <w:top w:w="0" w:type="dxa"/>
            <w:left w:w="108" w:type="dxa"/>
            <w:bottom w:w="0" w:type="dxa"/>
            <w:right w:w="108" w:type="dxa"/>
          </w:tblCellMar>
        </w:tblPrEx>
        <w:trPr>
          <w:trHeight w:val="821" w:hRule="atLeast"/>
        </w:trPr>
        <w:tc>
          <w:tcPr>
            <w:tcW w:w="513" w:type="pct"/>
            <w:tcBorders>
              <w:top w:val="nil"/>
              <w:left w:val="single" w:color="auto" w:sz="4" w:space="0"/>
              <w:bottom w:val="single" w:color="auto" w:sz="4" w:space="0"/>
              <w:right w:val="single" w:color="auto" w:sz="4" w:space="0"/>
            </w:tcBorders>
            <w:shd w:val="clear" w:color="auto" w:fill="auto"/>
            <w:noWrap/>
            <w:vAlign w:val="center"/>
          </w:tcPr>
          <w:p w14:paraId="5AB1FB96">
            <w:pPr>
              <w:widowControl/>
              <w:jc w:val="center"/>
              <w:rPr>
                <w:rFonts w:ascii="宋体" w:hAnsi="宋体" w:cs="宋体"/>
                <w:kern w:val="0"/>
                <w:sz w:val="24"/>
                <w:szCs w:val="24"/>
              </w:rPr>
            </w:pPr>
            <w:r>
              <w:rPr>
                <w:rFonts w:hint="eastAsia" w:ascii="宋体" w:hAnsi="宋体" w:cs="宋体"/>
                <w:kern w:val="0"/>
                <w:sz w:val="24"/>
                <w:szCs w:val="24"/>
              </w:rPr>
              <w:t>7</w:t>
            </w:r>
          </w:p>
        </w:tc>
        <w:tc>
          <w:tcPr>
            <w:tcW w:w="2111" w:type="pct"/>
            <w:gridSpan w:val="2"/>
            <w:tcBorders>
              <w:top w:val="nil"/>
              <w:left w:val="nil"/>
              <w:bottom w:val="single" w:color="auto" w:sz="4" w:space="0"/>
              <w:right w:val="single" w:color="auto" w:sz="4" w:space="0"/>
            </w:tcBorders>
            <w:shd w:val="clear" w:color="auto" w:fill="auto"/>
            <w:vAlign w:val="center"/>
          </w:tcPr>
          <w:p w14:paraId="700F8FCD">
            <w:pPr>
              <w:widowControl/>
              <w:jc w:val="left"/>
              <w:rPr>
                <w:rFonts w:ascii="宋体" w:hAnsi="宋体" w:cs="宋体"/>
                <w:kern w:val="0"/>
                <w:sz w:val="24"/>
                <w:szCs w:val="24"/>
              </w:rPr>
            </w:pPr>
            <w:r>
              <w:rPr>
                <w:rFonts w:hint="eastAsia" w:ascii="宋体" w:hAnsi="宋体" w:cs="宋体"/>
                <w:kern w:val="0"/>
                <w:sz w:val="24"/>
                <w:szCs w:val="24"/>
              </w:rPr>
              <w:t>对于项目方提出的问题需在整改期内及时整改完成。</w:t>
            </w:r>
          </w:p>
        </w:tc>
        <w:tc>
          <w:tcPr>
            <w:tcW w:w="1994" w:type="pct"/>
            <w:tcBorders>
              <w:top w:val="nil"/>
              <w:left w:val="nil"/>
              <w:bottom w:val="single" w:color="auto" w:sz="4" w:space="0"/>
              <w:right w:val="single" w:color="auto" w:sz="4" w:space="0"/>
            </w:tcBorders>
            <w:shd w:val="clear" w:color="auto" w:fill="auto"/>
            <w:noWrap/>
            <w:vAlign w:val="center"/>
          </w:tcPr>
          <w:p w14:paraId="276E12A5">
            <w:pPr>
              <w:widowControl/>
              <w:jc w:val="center"/>
              <w:rPr>
                <w:rFonts w:ascii="宋体" w:hAnsi="宋体" w:cs="宋体"/>
                <w:kern w:val="0"/>
                <w:sz w:val="24"/>
                <w:szCs w:val="24"/>
              </w:rPr>
            </w:pPr>
            <w:r>
              <w:rPr>
                <w:rFonts w:hint="eastAsia" w:ascii="宋体" w:hAnsi="宋体" w:cs="宋体"/>
                <w:kern w:val="0"/>
                <w:sz w:val="24"/>
                <w:szCs w:val="24"/>
              </w:rPr>
              <w:t>每逾期一次，扣除0.2分</w:t>
            </w:r>
          </w:p>
        </w:tc>
        <w:tc>
          <w:tcPr>
            <w:tcW w:w="382" w:type="pct"/>
            <w:tcBorders>
              <w:top w:val="nil"/>
              <w:left w:val="nil"/>
              <w:bottom w:val="single" w:color="auto" w:sz="4" w:space="0"/>
              <w:right w:val="single" w:color="auto" w:sz="4" w:space="0"/>
            </w:tcBorders>
            <w:shd w:val="clear" w:color="auto" w:fill="auto"/>
            <w:noWrap/>
            <w:vAlign w:val="center"/>
          </w:tcPr>
          <w:p w14:paraId="359541FA">
            <w:pPr>
              <w:widowControl/>
              <w:jc w:val="center"/>
              <w:rPr>
                <w:rFonts w:ascii="宋体" w:hAnsi="宋体" w:cs="宋体"/>
                <w:kern w:val="0"/>
                <w:sz w:val="24"/>
                <w:szCs w:val="24"/>
              </w:rPr>
            </w:pPr>
            <w:r>
              <w:rPr>
                <w:rFonts w:hint="eastAsia" w:ascii="宋体" w:hAnsi="宋体" w:cs="宋体"/>
                <w:kern w:val="0"/>
                <w:sz w:val="24"/>
                <w:szCs w:val="24"/>
              </w:rPr>
              <w:t>　</w:t>
            </w:r>
          </w:p>
        </w:tc>
      </w:tr>
      <w:tr w14:paraId="3C79F70B">
        <w:tblPrEx>
          <w:tblCellMar>
            <w:top w:w="0" w:type="dxa"/>
            <w:left w:w="108" w:type="dxa"/>
            <w:bottom w:w="0" w:type="dxa"/>
            <w:right w:w="108" w:type="dxa"/>
          </w:tblCellMar>
        </w:tblPrEx>
        <w:trPr>
          <w:trHeight w:val="666" w:hRule="atLeast"/>
        </w:trPr>
        <w:tc>
          <w:tcPr>
            <w:tcW w:w="461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8889B02">
            <w:pPr>
              <w:widowControl/>
              <w:jc w:val="center"/>
              <w:rPr>
                <w:rFonts w:ascii="宋体" w:hAnsi="宋体" w:cs="宋体"/>
                <w:kern w:val="0"/>
                <w:sz w:val="24"/>
                <w:szCs w:val="24"/>
              </w:rPr>
            </w:pPr>
            <w:r>
              <w:rPr>
                <w:rFonts w:hint="eastAsia" w:ascii="宋体" w:hAnsi="宋体" w:cs="宋体"/>
                <w:kern w:val="0"/>
                <w:sz w:val="24"/>
                <w:szCs w:val="24"/>
              </w:rPr>
              <w:t>本月总得分：</w:t>
            </w:r>
          </w:p>
        </w:tc>
        <w:tc>
          <w:tcPr>
            <w:tcW w:w="382" w:type="pct"/>
            <w:tcBorders>
              <w:top w:val="nil"/>
              <w:left w:val="nil"/>
              <w:bottom w:val="single" w:color="auto" w:sz="4" w:space="0"/>
              <w:right w:val="single" w:color="auto" w:sz="4" w:space="0"/>
            </w:tcBorders>
            <w:shd w:val="clear" w:color="auto" w:fill="auto"/>
            <w:noWrap/>
            <w:vAlign w:val="center"/>
          </w:tcPr>
          <w:p w14:paraId="6A118481">
            <w:pPr>
              <w:widowControl/>
              <w:jc w:val="center"/>
              <w:rPr>
                <w:rFonts w:ascii="宋体" w:hAnsi="宋体" w:cs="宋体"/>
                <w:kern w:val="0"/>
                <w:sz w:val="24"/>
                <w:szCs w:val="24"/>
              </w:rPr>
            </w:pPr>
            <w:r>
              <w:rPr>
                <w:rFonts w:hint="eastAsia" w:ascii="宋体" w:hAnsi="宋体" w:cs="宋体"/>
                <w:kern w:val="0"/>
                <w:sz w:val="24"/>
                <w:szCs w:val="24"/>
              </w:rPr>
              <w:t>　</w:t>
            </w:r>
          </w:p>
        </w:tc>
      </w:tr>
      <w:tr w14:paraId="5AB65760">
        <w:tblPrEx>
          <w:tblCellMar>
            <w:top w:w="0" w:type="dxa"/>
            <w:left w:w="108" w:type="dxa"/>
            <w:bottom w:w="0" w:type="dxa"/>
            <w:right w:w="108" w:type="dxa"/>
          </w:tblCellMar>
        </w:tblPrEx>
        <w:trPr>
          <w:trHeight w:val="1470" w:hRule="atLeast"/>
        </w:trPr>
        <w:tc>
          <w:tcPr>
            <w:tcW w:w="5000" w:type="pct"/>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D6E2685">
            <w:pPr>
              <w:widowControl/>
              <w:jc w:val="left"/>
              <w:rPr>
                <w:rFonts w:ascii="宋体" w:hAnsi="宋体" w:cs="宋体"/>
                <w:kern w:val="0"/>
                <w:sz w:val="24"/>
                <w:szCs w:val="24"/>
              </w:rPr>
            </w:pPr>
            <w:r>
              <w:rPr>
                <w:rFonts w:hint="eastAsia" w:ascii="宋体" w:hAnsi="宋体" w:cs="宋体"/>
                <w:kern w:val="0"/>
                <w:sz w:val="24"/>
                <w:szCs w:val="24"/>
              </w:rPr>
              <w:t>备注：1、若考核低于90分，每扣0.1分扣除服务费用15元。</w:t>
            </w:r>
            <w:r>
              <w:rPr>
                <w:rFonts w:hint="eastAsia" w:ascii="宋体" w:hAnsi="宋体" w:cs="宋体"/>
                <w:kern w:val="0"/>
                <w:sz w:val="24"/>
                <w:szCs w:val="24"/>
              </w:rPr>
              <w:br w:type="textWrapping"/>
            </w:r>
            <w:r>
              <w:rPr>
                <w:rFonts w:hint="eastAsia" w:ascii="宋体" w:hAnsi="宋体" w:cs="宋体"/>
                <w:kern w:val="0"/>
                <w:sz w:val="24"/>
                <w:szCs w:val="24"/>
              </w:rPr>
              <w:t xml:space="preserve">      2、因垃圾清运原因引起有效投诉的，按每次投诉500元/次的标准进行扣减服务费，月度内每增加一次累积增加扣款500元/次，以此类推。当月投诉超过3次的，采购人向成交</w:t>
            </w:r>
            <w:r>
              <w:rPr>
                <w:rFonts w:hint="eastAsia" w:ascii="宋体" w:hAnsi="宋体" w:cs="宋体"/>
                <w:kern w:val="0"/>
                <w:sz w:val="24"/>
                <w:szCs w:val="24"/>
                <w:lang w:eastAsia="zh-CN"/>
              </w:rPr>
              <w:t>供应商</w:t>
            </w:r>
            <w:r>
              <w:rPr>
                <w:rFonts w:hint="eastAsia" w:ascii="宋体" w:hAnsi="宋体" w:cs="宋体"/>
                <w:kern w:val="0"/>
                <w:sz w:val="24"/>
                <w:szCs w:val="24"/>
              </w:rPr>
              <w:t>发出整改通知书，连续2个月有效投诉超过3次的，采购人有权单方面解除合同，不做任何赔偿。</w:t>
            </w:r>
          </w:p>
        </w:tc>
      </w:tr>
      <w:tr w14:paraId="5863A2B9">
        <w:tblPrEx>
          <w:tblCellMar>
            <w:top w:w="0" w:type="dxa"/>
            <w:left w:w="108" w:type="dxa"/>
            <w:bottom w:w="0" w:type="dxa"/>
            <w:right w:w="108" w:type="dxa"/>
          </w:tblCellMar>
        </w:tblPrEx>
        <w:trPr>
          <w:trHeight w:val="840" w:hRule="atLeast"/>
        </w:trPr>
        <w:tc>
          <w:tcPr>
            <w:tcW w:w="513" w:type="pct"/>
            <w:tcBorders>
              <w:top w:val="nil"/>
              <w:left w:val="nil"/>
              <w:bottom w:val="nil"/>
              <w:right w:val="nil"/>
            </w:tcBorders>
            <w:shd w:val="clear" w:color="auto" w:fill="auto"/>
            <w:noWrap/>
            <w:vAlign w:val="center"/>
          </w:tcPr>
          <w:p w14:paraId="545E27A2">
            <w:pPr>
              <w:widowControl/>
              <w:jc w:val="center"/>
              <w:rPr>
                <w:rFonts w:ascii="宋体" w:hAnsi="宋体" w:cs="宋体"/>
                <w:kern w:val="0"/>
                <w:sz w:val="24"/>
                <w:szCs w:val="24"/>
              </w:rPr>
            </w:pPr>
          </w:p>
        </w:tc>
        <w:tc>
          <w:tcPr>
            <w:tcW w:w="1988" w:type="pct"/>
            <w:tcBorders>
              <w:top w:val="nil"/>
              <w:left w:val="nil"/>
              <w:bottom w:val="nil"/>
              <w:right w:val="nil"/>
            </w:tcBorders>
            <w:shd w:val="clear" w:color="auto" w:fill="auto"/>
            <w:noWrap/>
            <w:vAlign w:val="center"/>
          </w:tcPr>
          <w:p w14:paraId="42D6CE80">
            <w:pPr>
              <w:widowControl/>
              <w:jc w:val="left"/>
              <w:rPr>
                <w:rFonts w:ascii="宋体" w:hAnsi="宋体" w:cs="宋体"/>
                <w:kern w:val="0"/>
                <w:sz w:val="24"/>
                <w:szCs w:val="24"/>
              </w:rPr>
            </w:pPr>
            <w:r>
              <w:rPr>
                <w:rFonts w:hint="eastAsia" w:ascii="宋体" w:hAnsi="宋体" w:cs="宋体"/>
                <w:kern w:val="0"/>
                <w:sz w:val="24"/>
                <w:szCs w:val="24"/>
              </w:rPr>
              <w:t>检查人签字确认：</w:t>
            </w:r>
          </w:p>
        </w:tc>
        <w:tc>
          <w:tcPr>
            <w:tcW w:w="2117" w:type="pct"/>
            <w:gridSpan w:val="2"/>
            <w:tcBorders>
              <w:top w:val="nil"/>
              <w:left w:val="nil"/>
              <w:bottom w:val="nil"/>
              <w:right w:val="nil"/>
            </w:tcBorders>
            <w:shd w:val="clear" w:color="auto" w:fill="auto"/>
            <w:noWrap/>
            <w:vAlign w:val="center"/>
          </w:tcPr>
          <w:p w14:paraId="52F52097">
            <w:pPr>
              <w:widowControl/>
              <w:jc w:val="center"/>
              <w:rPr>
                <w:rFonts w:ascii="宋体" w:hAnsi="宋体" w:cs="宋体"/>
                <w:kern w:val="0"/>
                <w:sz w:val="24"/>
                <w:szCs w:val="24"/>
              </w:rPr>
            </w:pPr>
            <w:r>
              <w:rPr>
                <w:rFonts w:hint="eastAsia" w:ascii="宋体" w:hAnsi="宋体" w:cs="宋体"/>
                <w:kern w:val="0"/>
                <w:sz w:val="24"/>
                <w:szCs w:val="24"/>
              </w:rPr>
              <w:t>服务方签字确认：</w:t>
            </w:r>
          </w:p>
        </w:tc>
        <w:tc>
          <w:tcPr>
            <w:tcW w:w="382" w:type="pct"/>
            <w:tcBorders>
              <w:top w:val="nil"/>
              <w:left w:val="nil"/>
              <w:bottom w:val="nil"/>
              <w:right w:val="nil"/>
            </w:tcBorders>
            <w:shd w:val="clear" w:color="auto" w:fill="auto"/>
            <w:noWrap/>
            <w:vAlign w:val="center"/>
          </w:tcPr>
          <w:p w14:paraId="5ADC99F2">
            <w:pPr>
              <w:widowControl/>
              <w:jc w:val="center"/>
              <w:rPr>
                <w:rFonts w:ascii="宋体" w:hAnsi="宋体" w:cs="宋体"/>
                <w:kern w:val="0"/>
                <w:sz w:val="24"/>
                <w:szCs w:val="24"/>
              </w:rPr>
            </w:pPr>
          </w:p>
        </w:tc>
      </w:tr>
      <w:tr w14:paraId="551BBB98">
        <w:tblPrEx>
          <w:tblCellMar>
            <w:top w:w="0" w:type="dxa"/>
            <w:left w:w="108" w:type="dxa"/>
            <w:bottom w:w="0" w:type="dxa"/>
            <w:right w:w="108" w:type="dxa"/>
          </w:tblCellMar>
        </w:tblPrEx>
        <w:trPr>
          <w:trHeight w:val="840" w:hRule="atLeast"/>
        </w:trPr>
        <w:tc>
          <w:tcPr>
            <w:tcW w:w="513" w:type="pct"/>
            <w:tcBorders>
              <w:top w:val="nil"/>
              <w:left w:val="nil"/>
              <w:bottom w:val="nil"/>
              <w:right w:val="nil"/>
            </w:tcBorders>
            <w:shd w:val="clear" w:color="auto" w:fill="auto"/>
            <w:noWrap/>
            <w:vAlign w:val="center"/>
          </w:tcPr>
          <w:p w14:paraId="1C7F7E7F">
            <w:pPr>
              <w:widowControl/>
              <w:jc w:val="center"/>
              <w:rPr>
                <w:rFonts w:ascii="宋体" w:hAnsi="宋体" w:cs="宋体"/>
                <w:kern w:val="0"/>
                <w:sz w:val="24"/>
                <w:szCs w:val="24"/>
              </w:rPr>
            </w:pPr>
          </w:p>
        </w:tc>
        <w:tc>
          <w:tcPr>
            <w:tcW w:w="1988" w:type="pct"/>
            <w:tcBorders>
              <w:top w:val="nil"/>
              <w:left w:val="nil"/>
              <w:bottom w:val="nil"/>
              <w:right w:val="nil"/>
            </w:tcBorders>
            <w:shd w:val="clear" w:color="auto" w:fill="auto"/>
            <w:noWrap/>
            <w:vAlign w:val="center"/>
          </w:tcPr>
          <w:p w14:paraId="788FB1B1">
            <w:pPr>
              <w:widowControl/>
              <w:jc w:val="left"/>
              <w:rPr>
                <w:rFonts w:ascii="宋体" w:hAnsi="宋体" w:cs="宋体"/>
                <w:kern w:val="0"/>
                <w:sz w:val="24"/>
                <w:szCs w:val="24"/>
              </w:rPr>
            </w:pPr>
            <w:r>
              <w:rPr>
                <w:rFonts w:hint="eastAsia" w:ascii="宋体" w:hAnsi="宋体" w:cs="宋体"/>
                <w:kern w:val="0"/>
                <w:sz w:val="24"/>
                <w:szCs w:val="24"/>
              </w:rPr>
              <w:t>日期：</w:t>
            </w:r>
          </w:p>
        </w:tc>
        <w:tc>
          <w:tcPr>
            <w:tcW w:w="2117" w:type="pct"/>
            <w:gridSpan w:val="2"/>
            <w:tcBorders>
              <w:top w:val="nil"/>
              <w:left w:val="nil"/>
              <w:bottom w:val="nil"/>
              <w:right w:val="nil"/>
            </w:tcBorders>
            <w:shd w:val="clear" w:color="auto" w:fill="auto"/>
            <w:noWrap/>
            <w:vAlign w:val="center"/>
          </w:tcPr>
          <w:p w14:paraId="6C987A84">
            <w:pPr>
              <w:widowControl/>
              <w:jc w:val="center"/>
              <w:rPr>
                <w:rFonts w:ascii="宋体" w:hAnsi="宋体" w:cs="宋体"/>
                <w:kern w:val="0"/>
                <w:sz w:val="24"/>
                <w:szCs w:val="24"/>
              </w:rPr>
            </w:pPr>
            <w:r>
              <w:rPr>
                <w:rFonts w:hint="eastAsia" w:ascii="宋体" w:hAnsi="宋体" w:cs="宋体"/>
                <w:kern w:val="0"/>
                <w:sz w:val="24"/>
                <w:szCs w:val="24"/>
              </w:rPr>
              <w:t>日期：</w:t>
            </w:r>
          </w:p>
        </w:tc>
        <w:tc>
          <w:tcPr>
            <w:tcW w:w="382" w:type="pct"/>
            <w:tcBorders>
              <w:top w:val="nil"/>
              <w:left w:val="nil"/>
              <w:bottom w:val="nil"/>
              <w:right w:val="nil"/>
            </w:tcBorders>
            <w:shd w:val="clear" w:color="auto" w:fill="auto"/>
            <w:noWrap/>
            <w:vAlign w:val="center"/>
          </w:tcPr>
          <w:p w14:paraId="287E68FA">
            <w:pPr>
              <w:widowControl/>
              <w:jc w:val="center"/>
              <w:rPr>
                <w:rFonts w:ascii="宋体" w:hAnsi="宋体" w:cs="宋体"/>
                <w:kern w:val="0"/>
                <w:sz w:val="24"/>
                <w:szCs w:val="24"/>
              </w:rPr>
            </w:pPr>
          </w:p>
        </w:tc>
      </w:tr>
    </w:tbl>
    <w:p w14:paraId="16614631">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附件八安全及环保承诺书</w:t>
      </w:r>
    </w:p>
    <w:p w14:paraId="4C057B35">
      <w:pPr>
        <w:pStyle w:val="36"/>
        <w:spacing w:line="360" w:lineRule="auto"/>
        <w:ind w:firstLine="494"/>
        <w:rPr>
          <w:rFonts w:ascii="宋体" w:eastAsia="宋体" w:cs="仿宋"/>
          <w:sz w:val="24"/>
          <w:szCs w:val="24"/>
        </w:rPr>
      </w:pPr>
      <w:r>
        <w:rPr>
          <w:rFonts w:hint="eastAsia" w:ascii="宋体" w:eastAsia="宋体" w:cs="仿宋"/>
          <w:sz w:val="24"/>
          <w:szCs w:val="24"/>
        </w:rPr>
        <w:t>为保障合同用工安全，我司承诺本次合同服务范围内的安全管理承诺责任如下：</w:t>
      </w:r>
    </w:p>
    <w:p w14:paraId="3AB50F57">
      <w:pPr>
        <w:pStyle w:val="36"/>
        <w:spacing w:line="360" w:lineRule="auto"/>
        <w:ind w:firstLine="494"/>
        <w:rPr>
          <w:rFonts w:ascii="宋体" w:eastAsia="宋体" w:cs="仿宋"/>
          <w:sz w:val="24"/>
          <w:szCs w:val="24"/>
        </w:rPr>
      </w:pPr>
      <w:r>
        <w:rPr>
          <w:rFonts w:hint="eastAsia" w:ascii="宋体" w:eastAsia="宋体" w:cs="仿宋"/>
          <w:sz w:val="24"/>
          <w:szCs w:val="24"/>
        </w:rPr>
        <w:t>一、承诺建立健全安全管理机构，加强用工安全技术管理，按国家有关规定配备与本次合同服务相符合的专业技术人员、安全管理人员和特种作业人员，人员持证作业，人证相符,不使用未经培训或培训不合格的人员上岗施工。</w:t>
      </w:r>
    </w:p>
    <w:p w14:paraId="3FBD35FB">
      <w:pPr>
        <w:pStyle w:val="36"/>
        <w:spacing w:line="360" w:lineRule="auto"/>
        <w:ind w:firstLine="494"/>
        <w:rPr>
          <w:rFonts w:ascii="宋体" w:eastAsia="宋体" w:cs="仿宋"/>
          <w:sz w:val="24"/>
          <w:szCs w:val="24"/>
        </w:rPr>
      </w:pPr>
      <w:r>
        <w:rPr>
          <w:rFonts w:hint="eastAsia" w:ascii="宋体" w:eastAsia="宋体" w:cs="仿宋"/>
          <w:sz w:val="24"/>
          <w:szCs w:val="24"/>
        </w:rPr>
        <w:t>二、承诺在合同服务期间，严格按安全生产要求，依照《安全生产法规》内容，明确安全责任，做好安全施工组织和预防措施，服从采购方和相关部门的日常管理和检查。日常监管人员发现有重大不安全因素时，随时有权要求承诺方停工整改，承诺方不得继续违章操作强行施工。</w:t>
      </w:r>
    </w:p>
    <w:p w14:paraId="556CB031">
      <w:pPr>
        <w:pStyle w:val="36"/>
        <w:spacing w:line="360" w:lineRule="auto"/>
        <w:ind w:firstLine="494"/>
        <w:rPr>
          <w:rFonts w:ascii="宋体" w:eastAsia="宋体" w:cs="仿宋"/>
          <w:sz w:val="24"/>
          <w:szCs w:val="24"/>
        </w:rPr>
      </w:pPr>
      <w:r>
        <w:rPr>
          <w:rFonts w:hint="eastAsia" w:ascii="宋体" w:eastAsia="宋体" w:cs="仿宋"/>
          <w:sz w:val="24"/>
          <w:szCs w:val="24"/>
        </w:rPr>
        <w:t>三、承诺对本单位服务人员进行安全教育并对服务人员承担全部安全责任。有健全的安全管理制度和培训教育记录，保证服务人员应严格按安全标准组织提供服务，并随时接受行业安全检查人员依法实施的监督检查，采取必要的安全防护措施，消除事故隐患。合同服务期间，在合同范围内引起的一切事故的责任和因此发生的费用，均由承诺方自行承担。</w:t>
      </w:r>
    </w:p>
    <w:p w14:paraId="18926BCA">
      <w:pPr>
        <w:pStyle w:val="36"/>
        <w:spacing w:line="360" w:lineRule="auto"/>
        <w:ind w:firstLine="494"/>
        <w:rPr>
          <w:rFonts w:ascii="宋体" w:eastAsia="宋体" w:cs="仿宋"/>
          <w:sz w:val="24"/>
          <w:szCs w:val="24"/>
        </w:rPr>
      </w:pPr>
      <w:r>
        <w:rPr>
          <w:rFonts w:hint="eastAsia" w:ascii="宋体" w:eastAsia="宋体" w:cs="仿宋"/>
          <w:sz w:val="24"/>
          <w:szCs w:val="24"/>
        </w:rPr>
        <w:t>四、承诺合同服务期间不影响周边人员、交通安全、环境安全。对本单位服务人员造成的一切不良影响负全部责任。</w:t>
      </w:r>
    </w:p>
    <w:p w14:paraId="05F04919">
      <w:pPr>
        <w:pStyle w:val="36"/>
        <w:spacing w:line="360" w:lineRule="auto"/>
        <w:ind w:firstLine="494"/>
        <w:rPr>
          <w:rFonts w:ascii="宋体" w:eastAsia="宋体" w:cs="仿宋"/>
          <w:sz w:val="24"/>
          <w:szCs w:val="24"/>
        </w:rPr>
      </w:pPr>
      <w:r>
        <w:rPr>
          <w:rFonts w:hint="eastAsia" w:ascii="宋体" w:eastAsia="宋体" w:cs="仿宋"/>
          <w:sz w:val="24"/>
          <w:szCs w:val="24"/>
        </w:rPr>
        <w:t>五、承诺在合同服务范围内及服务期间，未经采购方书面同意，不得擅自进行合同内容范围外的其他服务事项，如因此造成承诺方人员发生伤亡等安全事故，应由承诺方承担全部责任，采购方不承担任何责任。如果因此造成采购方或任何第三方人身伤害、财产损失的，承诺方应承担赔偿责任。如采购方因此代为垫付赔偿，有权向承诺方追偿，包括但不限于赔偿款、诉讼费、律师费、鉴定费、保管费、差旅费等。</w:t>
      </w:r>
    </w:p>
    <w:p w14:paraId="620F60B5">
      <w:pPr>
        <w:pStyle w:val="36"/>
        <w:spacing w:line="360" w:lineRule="auto"/>
        <w:ind w:firstLine="494"/>
        <w:rPr>
          <w:rFonts w:ascii="宋体" w:eastAsia="宋体" w:cs="仿宋"/>
          <w:sz w:val="24"/>
          <w:szCs w:val="24"/>
        </w:rPr>
      </w:pPr>
      <w:r>
        <w:rPr>
          <w:rFonts w:hint="eastAsia" w:ascii="宋体" w:eastAsia="宋体" w:cs="仿宋"/>
          <w:sz w:val="24"/>
          <w:szCs w:val="24"/>
        </w:rPr>
        <w:t>六、承诺在合同服务范围内及服务期间，因提供合同服务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w:t>
      </w:r>
    </w:p>
    <w:p w14:paraId="4103C144">
      <w:pPr>
        <w:spacing w:line="360" w:lineRule="auto"/>
        <w:jc w:val="left"/>
        <w:rPr>
          <w:rFonts w:asciiTheme="minorEastAsia" w:hAnsiTheme="minorEastAsia" w:eastAsiaTheme="minorEastAsia"/>
          <w:color w:val="000000"/>
          <w:sz w:val="24"/>
          <w:szCs w:val="24"/>
        </w:rPr>
      </w:pPr>
      <w:r>
        <w:rPr>
          <w:rFonts w:hint="eastAsia" w:ascii="宋体" w:cs="仿宋"/>
          <w:sz w:val="24"/>
          <w:szCs w:val="24"/>
        </w:rPr>
        <w:t>七、安全问题包括但不仅限于上述情况，如有未尽详细事宜，参照国家相关法律法规、合同条款和本承诺书的条款执行。</w:t>
      </w:r>
    </w:p>
    <w:p w14:paraId="775E98AE">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服务方名称(加盖公章)：                        法定代表人（授权代表）：</w:t>
      </w:r>
    </w:p>
    <w:p w14:paraId="55CCD46F">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日期：     年    月    日</w:t>
      </w:r>
    </w:p>
    <w:sectPr>
      <w:pgSz w:w="11907" w:h="16840"/>
      <w:pgMar w:top="1276" w:right="992" w:bottom="1418" w:left="1134"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50530">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1D280E04"/>
    <w:multiLevelType w:val="singleLevel"/>
    <w:tmpl w:val="1D280E04"/>
    <w:lvl w:ilvl="0" w:tentative="0">
      <w:start w:val="4"/>
      <w:numFmt w:val="decimal"/>
      <w:suff w:val="nothing"/>
      <w:lvlText w:val="%1、"/>
      <w:lvlJc w:val="left"/>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F2B5AEB"/>
    <w:multiLevelType w:val="multilevel"/>
    <w:tmpl w:val="7F2B5AEB"/>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NotTrackMoves/>
  <w:doNotTrackFormatting/>
  <w:documentProtection w:edit="readOnly" w:formatting="1" w:enforcement="0"/>
  <w:defaultTabStop w:val="420"/>
  <w:drawingGridHorizontalSpacing w:val="105"/>
  <w:drawingGridVerticalSpacing w:val="16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EzNGQ0YTA2ZjhkZmQyZGNiYzg5YmUzY2JhYjMwYTkifQ=="/>
  </w:docVars>
  <w:rsids>
    <w:rsidRoot w:val="00BD5ED0"/>
    <w:rsid w:val="000007B7"/>
    <w:rsid w:val="0000384F"/>
    <w:rsid w:val="00005B73"/>
    <w:rsid w:val="00012BFA"/>
    <w:rsid w:val="00026D54"/>
    <w:rsid w:val="00034B42"/>
    <w:rsid w:val="000369C4"/>
    <w:rsid w:val="00045122"/>
    <w:rsid w:val="000503CE"/>
    <w:rsid w:val="000507C4"/>
    <w:rsid w:val="000535B8"/>
    <w:rsid w:val="0005475E"/>
    <w:rsid w:val="00055419"/>
    <w:rsid w:val="00056F7C"/>
    <w:rsid w:val="000616CD"/>
    <w:rsid w:val="00063F50"/>
    <w:rsid w:val="0007421E"/>
    <w:rsid w:val="000742A1"/>
    <w:rsid w:val="00074383"/>
    <w:rsid w:val="00077653"/>
    <w:rsid w:val="000930FE"/>
    <w:rsid w:val="000941B8"/>
    <w:rsid w:val="00095650"/>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D63DA"/>
    <w:rsid w:val="000D72E2"/>
    <w:rsid w:val="000E125A"/>
    <w:rsid w:val="000E51CA"/>
    <w:rsid w:val="000F0538"/>
    <w:rsid w:val="000F2427"/>
    <w:rsid w:val="000F2FC6"/>
    <w:rsid w:val="000F4060"/>
    <w:rsid w:val="000F50F2"/>
    <w:rsid w:val="000F575A"/>
    <w:rsid w:val="0010706E"/>
    <w:rsid w:val="00113E37"/>
    <w:rsid w:val="00114B85"/>
    <w:rsid w:val="00117A72"/>
    <w:rsid w:val="0012090D"/>
    <w:rsid w:val="00120942"/>
    <w:rsid w:val="001219DA"/>
    <w:rsid w:val="001264A1"/>
    <w:rsid w:val="00127DFC"/>
    <w:rsid w:val="00131E92"/>
    <w:rsid w:val="00136549"/>
    <w:rsid w:val="00137A41"/>
    <w:rsid w:val="001400D4"/>
    <w:rsid w:val="001419EB"/>
    <w:rsid w:val="00143273"/>
    <w:rsid w:val="0014722B"/>
    <w:rsid w:val="0014729E"/>
    <w:rsid w:val="00152F22"/>
    <w:rsid w:val="001563D3"/>
    <w:rsid w:val="00156EF1"/>
    <w:rsid w:val="00157353"/>
    <w:rsid w:val="001608E9"/>
    <w:rsid w:val="0016352B"/>
    <w:rsid w:val="00163737"/>
    <w:rsid w:val="0016665E"/>
    <w:rsid w:val="00170C97"/>
    <w:rsid w:val="0017142D"/>
    <w:rsid w:val="00175372"/>
    <w:rsid w:val="00182942"/>
    <w:rsid w:val="001844CB"/>
    <w:rsid w:val="0018583A"/>
    <w:rsid w:val="00191009"/>
    <w:rsid w:val="001925E5"/>
    <w:rsid w:val="00192DB2"/>
    <w:rsid w:val="00193F95"/>
    <w:rsid w:val="00196FE0"/>
    <w:rsid w:val="001A222F"/>
    <w:rsid w:val="001A2C93"/>
    <w:rsid w:val="001A5AE5"/>
    <w:rsid w:val="001B09E7"/>
    <w:rsid w:val="001B6B51"/>
    <w:rsid w:val="001C22FD"/>
    <w:rsid w:val="001C279B"/>
    <w:rsid w:val="001C63AB"/>
    <w:rsid w:val="001C6622"/>
    <w:rsid w:val="001D0EAA"/>
    <w:rsid w:val="001D0FE8"/>
    <w:rsid w:val="001D3185"/>
    <w:rsid w:val="001D60C4"/>
    <w:rsid w:val="001D6AB7"/>
    <w:rsid w:val="001E53D0"/>
    <w:rsid w:val="001E5549"/>
    <w:rsid w:val="001E7603"/>
    <w:rsid w:val="001F7CAF"/>
    <w:rsid w:val="002000CE"/>
    <w:rsid w:val="002008CC"/>
    <w:rsid w:val="00201222"/>
    <w:rsid w:val="00203999"/>
    <w:rsid w:val="00204419"/>
    <w:rsid w:val="00205F12"/>
    <w:rsid w:val="00210A7C"/>
    <w:rsid w:val="00210BCF"/>
    <w:rsid w:val="00215784"/>
    <w:rsid w:val="00215DF7"/>
    <w:rsid w:val="002200F3"/>
    <w:rsid w:val="00220762"/>
    <w:rsid w:val="0022330A"/>
    <w:rsid w:val="00227273"/>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224A"/>
    <w:rsid w:val="002A32EA"/>
    <w:rsid w:val="002A4A4D"/>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16DB"/>
    <w:rsid w:val="003039A2"/>
    <w:rsid w:val="003045E3"/>
    <w:rsid w:val="00307968"/>
    <w:rsid w:val="003106E9"/>
    <w:rsid w:val="0031424A"/>
    <w:rsid w:val="00314845"/>
    <w:rsid w:val="00327DE2"/>
    <w:rsid w:val="00327FC7"/>
    <w:rsid w:val="00330362"/>
    <w:rsid w:val="00331421"/>
    <w:rsid w:val="00337BAE"/>
    <w:rsid w:val="003432FF"/>
    <w:rsid w:val="00343C01"/>
    <w:rsid w:val="003440B1"/>
    <w:rsid w:val="00345071"/>
    <w:rsid w:val="003467AD"/>
    <w:rsid w:val="00352F0E"/>
    <w:rsid w:val="003534FC"/>
    <w:rsid w:val="003542F4"/>
    <w:rsid w:val="00354C22"/>
    <w:rsid w:val="00356D07"/>
    <w:rsid w:val="00361D13"/>
    <w:rsid w:val="00363811"/>
    <w:rsid w:val="003776A2"/>
    <w:rsid w:val="00380C45"/>
    <w:rsid w:val="00384FF6"/>
    <w:rsid w:val="00393456"/>
    <w:rsid w:val="00393F27"/>
    <w:rsid w:val="00396DB6"/>
    <w:rsid w:val="00397DEB"/>
    <w:rsid w:val="003A7705"/>
    <w:rsid w:val="003B12F0"/>
    <w:rsid w:val="003B1753"/>
    <w:rsid w:val="003B3EDD"/>
    <w:rsid w:val="003B46C0"/>
    <w:rsid w:val="003B6841"/>
    <w:rsid w:val="003C05F3"/>
    <w:rsid w:val="003C2315"/>
    <w:rsid w:val="003C349E"/>
    <w:rsid w:val="003C371F"/>
    <w:rsid w:val="003C3999"/>
    <w:rsid w:val="003C499C"/>
    <w:rsid w:val="003C5F72"/>
    <w:rsid w:val="003D1BCD"/>
    <w:rsid w:val="003D63D6"/>
    <w:rsid w:val="003E4DE6"/>
    <w:rsid w:val="003E77DD"/>
    <w:rsid w:val="003F4157"/>
    <w:rsid w:val="003F7A36"/>
    <w:rsid w:val="004030E0"/>
    <w:rsid w:val="00404AF8"/>
    <w:rsid w:val="00407262"/>
    <w:rsid w:val="004113A9"/>
    <w:rsid w:val="00412BC5"/>
    <w:rsid w:val="00416EBE"/>
    <w:rsid w:val="0042773C"/>
    <w:rsid w:val="004321F7"/>
    <w:rsid w:val="004333CD"/>
    <w:rsid w:val="00433918"/>
    <w:rsid w:val="004350F7"/>
    <w:rsid w:val="004407A6"/>
    <w:rsid w:val="00440804"/>
    <w:rsid w:val="00445796"/>
    <w:rsid w:val="004545DF"/>
    <w:rsid w:val="00455511"/>
    <w:rsid w:val="00460621"/>
    <w:rsid w:val="00467CFA"/>
    <w:rsid w:val="00475DFA"/>
    <w:rsid w:val="0048157A"/>
    <w:rsid w:val="0048198F"/>
    <w:rsid w:val="0048474F"/>
    <w:rsid w:val="00484829"/>
    <w:rsid w:val="00484B15"/>
    <w:rsid w:val="004854C4"/>
    <w:rsid w:val="00485FBD"/>
    <w:rsid w:val="00486C6C"/>
    <w:rsid w:val="00490A12"/>
    <w:rsid w:val="004914B0"/>
    <w:rsid w:val="00491E00"/>
    <w:rsid w:val="00496744"/>
    <w:rsid w:val="00497C31"/>
    <w:rsid w:val="004A29ED"/>
    <w:rsid w:val="004A699E"/>
    <w:rsid w:val="004A7BCE"/>
    <w:rsid w:val="004B145E"/>
    <w:rsid w:val="004B5CC5"/>
    <w:rsid w:val="004B66ED"/>
    <w:rsid w:val="004B7C4E"/>
    <w:rsid w:val="004C3A44"/>
    <w:rsid w:val="004D06F1"/>
    <w:rsid w:val="004D1C1A"/>
    <w:rsid w:val="004E5E37"/>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525E2"/>
    <w:rsid w:val="00556D28"/>
    <w:rsid w:val="00560A5A"/>
    <w:rsid w:val="00561B95"/>
    <w:rsid w:val="00565B17"/>
    <w:rsid w:val="005715F6"/>
    <w:rsid w:val="0058123D"/>
    <w:rsid w:val="0058784E"/>
    <w:rsid w:val="00590112"/>
    <w:rsid w:val="005943DB"/>
    <w:rsid w:val="005956C6"/>
    <w:rsid w:val="005968DF"/>
    <w:rsid w:val="005A4E94"/>
    <w:rsid w:val="005A74C6"/>
    <w:rsid w:val="005B193F"/>
    <w:rsid w:val="005B3EF9"/>
    <w:rsid w:val="005B41F4"/>
    <w:rsid w:val="005B48B6"/>
    <w:rsid w:val="005B48FC"/>
    <w:rsid w:val="005B5728"/>
    <w:rsid w:val="005B7F8E"/>
    <w:rsid w:val="005C161C"/>
    <w:rsid w:val="005C320D"/>
    <w:rsid w:val="005C6227"/>
    <w:rsid w:val="005D79D8"/>
    <w:rsid w:val="005E2D48"/>
    <w:rsid w:val="005E3228"/>
    <w:rsid w:val="005E4079"/>
    <w:rsid w:val="005F1911"/>
    <w:rsid w:val="005F3328"/>
    <w:rsid w:val="005F34FD"/>
    <w:rsid w:val="00605737"/>
    <w:rsid w:val="0060686C"/>
    <w:rsid w:val="00610E99"/>
    <w:rsid w:val="00611986"/>
    <w:rsid w:val="006155F4"/>
    <w:rsid w:val="00621FD1"/>
    <w:rsid w:val="0062216A"/>
    <w:rsid w:val="0062409B"/>
    <w:rsid w:val="00631344"/>
    <w:rsid w:val="0063300F"/>
    <w:rsid w:val="00633DF9"/>
    <w:rsid w:val="00635B18"/>
    <w:rsid w:val="00640CD1"/>
    <w:rsid w:val="00644685"/>
    <w:rsid w:val="00644F2F"/>
    <w:rsid w:val="0065355D"/>
    <w:rsid w:val="00655047"/>
    <w:rsid w:val="00667617"/>
    <w:rsid w:val="00674F64"/>
    <w:rsid w:val="00676EA1"/>
    <w:rsid w:val="006778F7"/>
    <w:rsid w:val="00677B79"/>
    <w:rsid w:val="00681EC9"/>
    <w:rsid w:val="00691EC1"/>
    <w:rsid w:val="00692E53"/>
    <w:rsid w:val="006942F8"/>
    <w:rsid w:val="0069444D"/>
    <w:rsid w:val="006A260A"/>
    <w:rsid w:val="006A33C7"/>
    <w:rsid w:val="006A736D"/>
    <w:rsid w:val="006B06F6"/>
    <w:rsid w:val="006B507A"/>
    <w:rsid w:val="006C19C7"/>
    <w:rsid w:val="006C1DD0"/>
    <w:rsid w:val="006C65B6"/>
    <w:rsid w:val="006D2C51"/>
    <w:rsid w:val="006D2E24"/>
    <w:rsid w:val="006D3754"/>
    <w:rsid w:val="006D4357"/>
    <w:rsid w:val="006D7153"/>
    <w:rsid w:val="006E0C5E"/>
    <w:rsid w:val="006E5B53"/>
    <w:rsid w:val="006E6A3C"/>
    <w:rsid w:val="006E6C16"/>
    <w:rsid w:val="006E7DD7"/>
    <w:rsid w:val="006E7E05"/>
    <w:rsid w:val="006F2FE4"/>
    <w:rsid w:val="006F715B"/>
    <w:rsid w:val="0070054D"/>
    <w:rsid w:val="007021A2"/>
    <w:rsid w:val="00705A9F"/>
    <w:rsid w:val="00707BD7"/>
    <w:rsid w:val="00711644"/>
    <w:rsid w:val="0071376E"/>
    <w:rsid w:val="00715C2F"/>
    <w:rsid w:val="00715CF6"/>
    <w:rsid w:val="007171B1"/>
    <w:rsid w:val="00721328"/>
    <w:rsid w:val="007214BF"/>
    <w:rsid w:val="00725404"/>
    <w:rsid w:val="00725502"/>
    <w:rsid w:val="00725833"/>
    <w:rsid w:val="00727DFA"/>
    <w:rsid w:val="00732A88"/>
    <w:rsid w:val="00733FC8"/>
    <w:rsid w:val="00735F38"/>
    <w:rsid w:val="00742F97"/>
    <w:rsid w:val="00742FEB"/>
    <w:rsid w:val="00743B54"/>
    <w:rsid w:val="0074619F"/>
    <w:rsid w:val="007469CE"/>
    <w:rsid w:val="00753A6D"/>
    <w:rsid w:val="00757900"/>
    <w:rsid w:val="007579C5"/>
    <w:rsid w:val="00757EBE"/>
    <w:rsid w:val="00757FB8"/>
    <w:rsid w:val="0076054E"/>
    <w:rsid w:val="00767AED"/>
    <w:rsid w:val="00770201"/>
    <w:rsid w:val="007722DD"/>
    <w:rsid w:val="007765FE"/>
    <w:rsid w:val="007774BE"/>
    <w:rsid w:val="00781472"/>
    <w:rsid w:val="00782C1C"/>
    <w:rsid w:val="00786D41"/>
    <w:rsid w:val="00792B1C"/>
    <w:rsid w:val="00794F11"/>
    <w:rsid w:val="00795202"/>
    <w:rsid w:val="007953EE"/>
    <w:rsid w:val="007970C4"/>
    <w:rsid w:val="00797AC3"/>
    <w:rsid w:val="007A559C"/>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03F5"/>
    <w:rsid w:val="00801AB8"/>
    <w:rsid w:val="008028C3"/>
    <w:rsid w:val="00806D35"/>
    <w:rsid w:val="00807C9D"/>
    <w:rsid w:val="008107BC"/>
    <w:rsid w:val="00811071"/>
    <w:rsid w:val="008139B0"/>
    <w:rsid w:val="00816D3B"/>
    <w:rsid w:val="00833C18"/>
    <w:rsid w:val="0083540F"/>
    <w:rsid w:val="00837974"/>
    <w:rsid w:val="00837F4F"/>
    <w:rsid w:val="00840A1D"/>
    <w:rsid w:val="00846B12"/>
    <w:rsid w:val="00846B20"/>
    <w:rsid w:val="00847E4A"/>
    <w:rsid w:val="00852823"/>
    <w:rsid w:val="00854E40"/>
    <w:rsid w:val="008558E9"/>
    <w:rsid w:val="0085632D"/>
    <w:rsid w:val="00863435"/>
    <w:rsid w:val="00864EBB"/>
    <w:rsid w:val="00865807"/>
    <w:rsid w:val="0087416D"/>
    <w:rsid w:val="0087460F"/>
    <w:rsid w:val="008764A0"/>
    <w:rsid w:val="00880ADA"/>
    <w:rsid w:val="00880D0D"/>
    <w:rsid w:val="0088194E"/>
    <w:rsid w:val="00883499"/>
    <w:rsid w:val="00883D24"/>
    <w:rsid w:val="008908B3"/>
    <w:rsid w:val="00890C1B"/>
    <w:rsid w:val="008922C7"/>
    <w:rsid w:val="008924EB"/>
    <w:rsid w:val="00894AD2"/>
    <w:rsid w:val="008A17BF"/>
    <w:rsid w:val="008A24CB"/>
    <w:rsid w:val="008A2C80"/>
    <w:rsid w:val="008A31B3"/>
    <w:rsid w:val="008A5E76"/>
    <w:rsid w:val="008B0C71"/>
    <w:rsid w:val="008B2473"/>
    <w:rsid w:val="008B368D"/>
    <w:rsid w:val="008B59C5"/>
    <w:rsid w:val="008C16BA"/>
    <w:rsid w:val="008C2811"/>
    <w:rsid w:val="008C3CA9"/>
    <w:rsid w:val="008C5A30"/>
    <w:rsid w:val="008C6743"/>
    <w:rsid w:val="008D0DC7"/>
    <w:rsid w:val="008D4710"/>
    <w:rsid w:val="008D517E"/>
    <w:rsid w:val="008D5431"/>
    <w:rsid w:val="008D65F6"/>
    <w:rsid w:val="008D6B16"/>
    <w:rsid w:val="008E4625"/>
    <w:rsid w:val="008E718F"/>
    <w:rsid w:val="008F00D0"/>
    <w:rsid w:val="008F14C3"/>
    <w:rsid w:val="008F36EF"/>
    <w:rsid w:val="008F44F8"/>
    <w:rsid w:val="008F5E1F"/>
    <w:rsid w:val="008F63E9"/>
    <w:rsid w:val="009003E6"/>
    <w:rsid w:val="00901471"/>
    <w:rsid w:val="00901EF0"/>
    <w:rsid w:val="0090274A"/>
    <w:rsid w:val="00902E6B"/>
    <w:rsid w:val="00904635"/>
    <w:rsid w:val="00906EEE"/>
    <w:rsid w:val="00907382"/>
    <w:rsid w:val="0090741A"/>
    <w:rsid w:val="00911170"/>
    <w:rsid w:val="009137D0"/>
    <w:rsid w:val="009160E2"/>
    <w:rsid w:val="00916BD1"/>
    <w:rsid w:val="00921906"/>
    <w:rsid w:val="00922ED0"/>
    <w:rsid w:val="00926ED4"/>
    <w:rsid w:val="00927186"/>
    <w:rsid w:val="0093182D"/>
    <w:rsid w:val="00932531"/>
    <w:rsid w:val="00932C9F"/>
    <w:rsid w:val="00932F10"/>
    <w:rsid w:val="009437E8"/>
    <w:rsid w:val="00943A2D"/>
    <w:rsid w:val="00951AD3"/>
    <w:rsid w:val="009541AE"/>
    <w:rsid w:val="00961178"/>
    <w:rsid w:val="00964A4B"/>
    <w:rsid w:val="00965FAD"/>
    <w:rsid w:val="0096611E"/>
    <w:rsid w:val="009673AF"/>
    <w:rsid w:val="009772B9"/>
    <w:rsid w:val="00983A8D"/>
    <w:rsid w:val="00984E18"/>
    <w:rsid w:val="00985E72"/>
    <w:rsid w:val="0099148F"/>
    <w:rsid w:val="009942F5"/>
    <w:rsid w:val="009956FD"/>
    <w:rsid w:val="0099786D"/>
    <w:rsid w:val="009A6617"/>
    <w:rsid w:val="009B19DC"/>
    <w:rsid w:val="009B38A1"/>
    <w:rsid w:val="009B3D46"/>
    <w:rsid w:val="009B59CA"/>
    <w:rsid w:val="009C6F7D"/>
    <w:rsid w:val="009D2A2D"/>
    <w:rsid w:val="009E2C2B"/>
    <w:rsid w:val="009E3403"/>
    <w:rsid w:val="009E401D"/>
    <w:rsid w:val="009F03D0"/>
    <w:rsid w:val="009F05E5"/>
    <w:rsid w:val="009F34D1"/>
    <w:rsid w:val="009F5688"/>
    <w:rsid w:val="009F67E6"/>
    <w:rsid w:val="009F7302"/>
    <w:rsid w:val="00A02C94"/>
    <w:rsid w:val="00A057D3"/>
    <w:rsid w:val="00A05F19"/>
    <w:rsid w:val="00A11CF1"/>
    <w:rsid w:val="00A1377B"/>
    <w:rsid w:val="00A154B6"/>
    <w:rsid w:val="00A16FBD"/>
    <w:rsid w:val="00A20D53"/>
    <w:rsid w:val="00A2111B"/>
    <w:rsid w:val="00A238CD"/>
    <w:rsid w:val="00A25FAB"/>
    <w:rsid w:val="00A31649"/>
    <w:rsid w:val="00A34A4A"/>
    <w:rsid w:val="00A36417"/>
    <w:rsid w:val="00A40F11"/>
    <w:rsid w:val="00A43898"/>
    <w:rsid w:val="00A43E69"/>
    <w:rsid w:val="00A450CE"/>
    <w:rsid w:val="00A46C5D"/>
    <w:rsid w:val="00A549B4"/>
    <w:rsid w:val="00A5612B"/>
    <w:rsid w:val="00A6082D"/>
    <w:rsid w:val="00A63294"/>
    <w:rsid w:val="00A63A2A"/>
    <w:rsid w:val="00A64C24"/>
    <w:rsid w:val="00A67531"/>
    <w:rsid w:val="00A70D34"/>
    <w:rsid w:val="00A71EF2"/>
    <w:rsid w:val="00A72D1C"/>
    <w:rsid w:val="00A74482"/>
    <w:rsid w:val="00A74EE0"/>
    <w:rsid w:val="00A76643"/>
    <w:rsid w:val="00A7749C"/>
    <w:rsid w:val="00A7786F"/>
    <w:rsid w:val="00A861CA"/>
    <w:rsid w:val="00A87C81"/>
    <w:rsid w:val="00A95B2F"/>
    <w:rsid w:val="00A96A59"/>
    <w:rsid w:val="00AA0986"/>
    <w:rsid w:val="00AB24A2"/>
    <w:rsid w:val="00AB4398"/>
    <w:rsid w:val="00AB581F"/>
    <w:rsid w:val="00AB6A36"/>
    <w:rsid w:val="00AB7DBB"/>
    <w:rsid w:val="00AC1A79"/>
    <w:rsid w:val="00AC1ADC"/>
    <w:rsid w:val="00AC2E6F"/>
    <w:rsid w:val="00AC3A72"/>
    <w:rsid w:val="00AD005C"/>
    <w:rsid w:val="00AD016B"/>
    <w:rsid w:val="00AD0A3F"/>
    <w:rsid w:val="00AD0D60"/>
    <w:rsid w:val="00AD2C6E"/>
    <w:rsid w:val="00AD445F"/>
    <w:rsid w:val="00AE0B89"/>
    <w:rsid w:val="00AE5EAC"/>
    <w:rsid w:val="00AE6CCF"/>
    <w:rsid w:val="00AF04F6"/>
    <w:rsid w:val="00AF089C"/>
    <w:rsid w:val="00AF20AC"/>
    <w:rsid w:val="00AF2727"/>
    <w:rsid w:val="00AF33E5"/>
    <w:rsid w:val="00B0073D"/>
    <w:rsid w:val="00B01550"/>
    <w:rsid w:val="00B04A3E"/>
    <w:rsid w:val="00B07B72"/>
    <w:rsid w:val="00B1049F"/>
    <w:rsid w:val="00B1085E"/>
    <w:rsid w:val="00B12A96"/>
    <w:rsid w:val="00B132E4"/>
    <w:rsid w:val="00B148F2"/>
    <w:rsid w:val="00B14C6E"/>
    <w:rsid w:val="00B16EE8"/>
    <w:rsid w:val="00B200EF"/>
    <w:rsid w:val="00B20140"/>
    <w:rsid w:val="00B218FE"/>
    <w:rsid w:val="00B21C59"/>
    <w:rsid w:val="00B3448D"/>
    <w:rsid w:val="00B3580E"/>
    <w:rsid w:val="00B41637"/>
    <w:rsid w:val="00B41A9A"/>
    <w:rsid w:val="00B430FF"/>
    <w:rsid w:val="00B43AE8"/>
    <w:rsid w:val="00B44107"/>
    <w:rsid w:val="00B44693"/>
    <w:rsid w:val="00B46DE4"/>
    <w:rsid w:val="00B54259"/>
    <w:rsid w:val="00B54CE6"/>
    <w:rsid w:val="00B54F0B"/>
    <w:rsid w:val="00B62043"/>
    <w:rsid w:val="00B64CDD"/>
    <w:rsid w:val="00B67CEE"/>
    <w:rsid w:val="00B72957"/>
    <w:rsid w:val="00B73956"/>
    <w:rsid w:val="00B75E79"/>
    <w:rsid w:val="00B8143C"/>
    <w:rsid w:val="00B84BD7"/>
    <w:rsid w:val="00B868AE"/>
    <w:rsid w:val="00B87690"/>
    <w:rsid w:val="00B87F6F"/>
    <w:rsid w:val="00B9040F"/>
    <w:rsid w:val="00B92C68"/>
    <w:rsid w:val="00B949C8"/>
    <w:rsid w:val="00B95683"/>
    <w:rsid w:val="00B979FB"/>
    <w:rsid w:val="00BA39CF"/>
    <w:rsid w:val="00BB21E0"/>
    <w:rsid w:val="00BB526C"/>
    <w:rsid w:val="00BC09CD"/>
    <w:rsid w:val="00BC0A4D"/>
    <w:rsid w:val="00BC18B3"/>
    <w:rsid w:val="00BC1A2B"/>
    <w:rsid w:val="00BC1BB2"/>
    <w:rsid w:val="00BC39F1"/>
    <w:rsid w:val="00BC75BD"/>
    <w:rsid w:val="00BD24D5"/>
    <w:rsid w:val="00BD5ED0"/>
    <w:rsid w:val="00BE5655"/>
    <w:rsid w:val="00BE62B0"/>
    <w:rsid w:val="00BF08BA"/>
    <w:rsid w:val="00BF2792"/>
    <w:rsid w:val="00BF3167"/>
    <w:rsid w:val="00BF4097"/>
    <w:rsid w:val="00BF4AA9"/>
    <w:rsid w:val="00BF74EE"/>
    <w:rsid w:val="00C02611"/>
    <w:rsid w:val="00C044C2"/>
    <w:rsid w:val="00C11DC8"/>
    <w:rsid w:val="00C139AD"/>
    <w:rsid w:val="00C14447"/>
    <w:rsid w:val="00C16318"/>
    <w:rsid w:val="00C1766C"/>
    <w:rsid w:val="00C26BEC"/>
    <w:rsid w:val="00C316A0"/>
    <w:rsid w:val="00C36E31"/>
    <w:rsid w:val="00C4146E"/>
    <w:rsid w:val="00C446A4"/>
    <w:rsid w:val="00C512D4"/>
    <w:rsid w:val="00C54610"/>
    <w:rsid w:val="00C57915"/>
    <w:rsid w:val="00C607E8"/>
    <w:rsid w:val="00C60F7D"/>
    <w:rsid w:val="00C62291"/>
    <w:rsid w:val="00C6515A"/>
    <w:rsid w:val="00C678CE"/>
    <w:rsid w:val="00C77966"/>
    <w:rsid w:val="00C81116"/>
    <w:rsid w:val="00C84880"/>
    <w:rsid w:val="00C85381"/>
    <w:rsid w:val="00C85EFB"/>
    <w:rsid w:val="00C85FDF"/>
    <w:rsid w:val="00C86EDD"/>
    <w:rsid w:val="00C87974"/>
    <w:rsid w:val="00C91C90"/>
    <w:rsid w:val="00C9344C"/>
    <w:rsid w:val="00C94273"/>
    <w:rsid w:val="00C95916"/>
    <w:rsid w:val="00C95AAC"/>
    <w:rsid w:val="00C972D6"/>
    <w:rsid w:val="00CA29EB"/>
    <w:rsid w:val="00CA3ADD"/>
    <w:rsid w:val="00CB1476"/>
    <w:rsid w:val="00CB169A"/>
    <w:rsid w:val="00CB7121"/>
    <w:rsid w:val="00CB79E0"/>
    <w:rsid w:val="00CC5F7C"/>
    <w:rsid w:val="00CD057C"/>
    <w:rsid w:val="00CD1128"/>
    <w:rsid w:val="00CD2C7B"/>
    <w:rsid w:val="00CE1CF8"/>
    <w:rsid w:val="00CE2BC2"/>
    <w:rsid w:val="00CE36C4"/>
    <w:rsid w:val="00CE533B"/>
    <w:rsid w:val="00CF48C8"/>
    <w:rsid w:val="00CF629A"/>
    <w:rsid w:val="00CF649A"/>
    <w:rsid w:val="00D1361C"/>
    <w:rsid w:val="00D22FB3"/>
    <w:rsid w:val="00D2717E"/>
    <w:rsid w:val="00D320E7"/>
    <w:rsid w:val="00D3269F"/>
    <w:rsid w:val="00D36416"/>
    <w:rsid w:val="00D40845"/>
    <w:rsid w:val="00D418BC"/>
    <w:rsid w:val="00D45A27"/>
    <w:rsid w:val="00D46E62"/>
    <w:rsid w:val="00D52541"/>
    <w:rsid w:val="00D549BD"/>
    <w:rsid w:val="00D54BA0"/>
    <w:rsid w:val="00D608D9"/>
    <w:rsid w:val="00D634C8"/>
    <w:rsid w:val="00D66E24"/>
    <w:rsid w:val="00D76D4E"/>
    <w:rsid w:val="00D806A3"/>
    <w:rsid w:val="00D814B6"/>
    <w:rsid w:val="00D83401"/>
    <w:rsid w:val="00D8399F"/>
    <w:rsid w:val="00D84FE2"/>
    <w:rsid w:val="00D864A7"/>
    <w:rsid w:val="00D87A84"/>
    <w:rsid w:val="00D95914"/>
    <w:rsid w:val="00DA1560"/>
    <w:rsid w:val="00DA5E27"/>
    <w:rsid w:val="00DA65EE"/>
    <w:rsid w:val="00DA7E5B"/>
    <w:rsid w:val="00DB0309"/>
    <w:rsid w:val="00DB16BA"/>
    <w:rsid w:val="00DB27C2"/>
    <w:rsid w:val="00DB5BCC"/>
    <w:rsid w:val="00DB5EA2"/>
    <w:rsid w:val="00DB6E4E"/>
    <w:rsid w:val="00DC4F3F"/>
    <w:rsid w:val="00DC5744"/>
    <w:rsid w:val="00DC619A"/>
    <w:rsid w:val="00DC7FC2"/>
    <w:rsid w:val="00DD1581"/>
    <w:rsid w:val="00DD2DB5"/>
    <w:rsid w:val="00DD2E0C"/>
    <w:rsid w:val="00DD3DB6"/>
    <w:rsid w:val="00DD4ED1"/>
    <w:rsid w:val="00DD6386"/>
    <w:rsid w:val="00DD686B"/>
    <w:rsid w:val="00DD7BE0"/>
    <w:rsid w:val="00DE3373"/>
    <w:rsid w:val="00DE40B6"/>
    <w:rsid w:val="00DE654E"/>
    <w:rsid w:val="00DE72B9"/>
    <w:rsid w:val="00DE76AB"/>
    <w:rsid w:val="00DF4ECA"/>
    <w:rsid w:val="00DF5183"/>
    <w:rsid w:val="00DF6697"/>
    <w:rsid w:val="00DF7AB5"/>
    <w:rsid w:val="00DF7F0A"/>
    <w:rsid w:val="00E042F6"/>
    <w:rsid w:val="00E16C0B"/>
    <w:rsid w:val="00E21013"/>
    <w:rsid w:val="00E2126D"/>
    <w:rsid w:val="00E21941"/>
    <w:rsid w:val="00E30D18"/>
    <w:rsid w:val="00E334D5"/>
    <w:rsid w:val="00E37D03"/>
    <w:rsid w:val="00E42AE8"/>
    <w:rsid w:val="00E444B2"/>
    <w:rsid w:val="00E50267"/>
    <w:rsid w:val="00E547B5"/>
    <w:rsid w:val="00E55C56"/>
    <w:rsid w:val="00E570B0"/>
    <w:rsid w:val="00E604F7"/>
    <w:rsid w:val="00E6312A"/>
    <w:rsid w:val="00E63F01"/>
    <w:rsid w:val="00E65448"/>
    <w:rsid w:val="00E678F0"/>
    <w:rsid w:val="00E71C8B"/>
    <w:rsid w:val="00E730C0"/>
    <w:rsid w:val="00E762DB"/>
    <w:rsid w:val="00E76DF9"/>
    <w:rsid w:val="00E76EA8"/>
    <w:rsid w:val="00E81B40"/>
    <w:rsid w:val="00E82677"/>
    <w:rsid w:val="00E85FE3"/>
    <w:rsid w:val="00E87D58"/>
    <w:rsid w:val="00E91BC8"/>
    <w:rsid w:val="00E95E02"/>
    <w:rsid w:val="00E97934"/>
    <w:rsid w:val="00EA6B31"/>
    <w:rsid w:val="00EB0060"/>
    <w:rsid w:val="00EB4263"/>
    <w:rsid w:val="00EB4308"/>
    <w:rsid w:val="00EC0694"/>
    <w:rsid w:val="00EC176E"/>
    <w:rsid w:val="00EC1E4F"/>
    <w:rsid w:val="00EC5723"/>
    <w:rsid w:val="00EC5DF0"/>
    <w:rsid w:val="00ED0AF6"/>
    <w:rsid w:val="00ED43D8"/>
    <w:rsid w:val="00ED590E"/>
    <w:rsid w:val="00ED5BEA"/>
    <w:rsid w:val="00EE1FB9"/>
    <w:rsid w:val="00EE2A12"/>
    <w:rsid w:val="00EE452B"/>
    <w:rsid w:val="00EE5B35"/>
    <w:rsid w:val="00EE7FAE"/>
    <w:rsid w:val="00EF409F"/>
    <w:rsid w:val="00EF491C"/>
    <w:rsid w:val="00EF6DB2"/>
    <w:rsid w:val="00F06DF3"/>
    <w:rsid w:val="00F0783A"/>
    <w:rsid w:val="00F10281"/>
    <w:rsid w:val="00F12122"/>
    <w:rsid w:val="00F13805"/>
    <w:rsid w:val="00F15584"/>
    <w:rsid w:val="00F163D7"/>
    <w:rsid w:val="00F20564"/>
    <w:rsid w:val="00F21B07"/>
    <w:rsid w:val="00F236A2"/>
    <w:rsid w:val="00F25AA0"/>
    <w:rsid w:val="00F27EC3"/>
    <w:rsid w:val="00F301A1"/>
    <w:rsid w:val="00F30F8C"/>
    <w:rsid w:val="00F35D52"/>
    <w:rsid w:val="00F363B7"/>
    <w:rsid w:val="00F37CA6"/>
    <w:rsid w:val="00F46A70"/>
    <w:rsid w:val="00F51913"/>
    <w:rsid w:val="00F53D85"/>
    <w:rsid w:val="00F55724"/>
    <w:rsid w:val="00F608BD"/>
    <w:rsid w:val="00F64235"/>
    <w:rsid w:val="00F666EF"/>
    <w:rsid w:val="00F67143"/>
    <w:rsid w:val="00F74868"/>
    <w:rsid w:val="00F755A4"/>
    <w:rsid w:val="00F76F7E"/>
    <w:rsid w:val="00F81417"/>
    <w:rsid w:val="00F854B9"/>
    <w:rsid w:val="00F877C0"/>
    <w:rsid w:val="00F91F00"/>
    <w:rsid w:val="00F9339D"/>
    <w:rsid w:val="00F938F5"/>
    <w:rsid w:val="00F94850"/>
    <w:rsid w:val="00F94EA1"/>
    <w:rsid w:val="00F95EEB"/>
    <w:rsid w:val="00F97E28"/>
    <w:rsid w:val="00FA1832"/>
    <w:rsid w:val="00FA586A"/>
    <w:rsid w:val="00FA6653"/>
    <w:rsid w:val="00FB1DFB"/>
    <w:rsid w:val="00FB2886"/>
    <w:rsid w:val="00FB50A2"/>
    <w:rsid w:val="00FB5266"/>
    <w:rsid w:val="00FB5C62"/>
    <w:rsid w:val="00FB74E0"/>
    <w:rsid w:val="00FC7D84"/>
    <w:rsid w:val="00FD24E2"/>
    <w:rsid w:val="00FD50D4"/>
    <w:rsid w:val="00FD6420"/>
    <w:rsid w:val="00FD6E74"/>
    <w:rsid w:val="00FE0424"/>
    <w:rsid w:val="00FE5055"/>
    <w:rsid w:val="00FE6524"/>
    <w:rsid w:val="00FF2CE6"/>
    <w:rsid w:val="00FF40A5"/>
    <w:rsid w:val="00FF64ED"/>
    <w:rsid w:val="027C16B8"/>
    <w:rsid w:val="032101FE"/>
    <w:rsid w:val="035D4211"/>
    <w:rsid w:val="037D5EE3"/>
    <w:rsid w:val="042F62B6"/>
    <w:rsid w:val="04CF6E29"/>
    <w:rsid w:val="050F05C1"/>
    <w:rsid w:val="059366CF"/>
    <w:rsid w:val="05D00163"/>
    <w:rsid w:val="06640499"/>
    <w:rsid w:val="077C34B8"/>
    <w:rsid w:val="07A209C4"/>
    <w:rsid w:val="07E55609"/>
    <w:rsid w:val="080D26DA"/>
    <w:rsid w:val="08284245"/>
    <w:rsid w:val="086F1260"/>
    <w:rsid w:val="0880226D"/>
    <w:rsid w:val="089F2BDE"/>
    <w:rsid w:val="08BB2505"/>
    <w:rsid w:val="09732581"/>
    <w:rsid w:val="099077F7"/>
    <w:rsid w:val="099A07E1"/>
    <w:rsid w:val="0A9B4FED"/>
    <w:rsid w:val="0B0C0A79"/>
    <w:rsid w:val="0B451F6A"/>
    <w:rsid w:val="0B9A495D"/>
    <w:rsid w:val="0C6F4C8D"/>
    <w:rsid w:val="0CE560AB"/>
    <w:rsid w:val="0D0E0EB6"/>
    <w:rsid w:val="0D5C6125"/>
    <w:rsid w:val="0DC14423"/>
    <w:rsid w:val="0DE142CB"/>
    <w:rsid w:val="0EC20452"/>
    <w:rsid w:val="0FDC1CDC"/>
    <w:rsid w:val="10223C48"/>
    <w:rsid w:val="10EA0134"/>
    <w:rsid w:val="12475EA9"/>
    <w:rsid w:val="12CD386A"/>
    <w:rsid w:val="133360BD"/>
    <w:rsid w:val="13F80189"/>
    <w:rsid w:val="146E4633"/>
    <w:rsid w:val="150412EA"/>
    <w:rsid w:val="153E0A4F"/>
    <w:rsid w:val="16DE6045"/>
    <w:rsid w:val="171438BA"/>
    <w:rsid w:val="17230955"/>
    <w:rsid w:val="176D1177"/>
    <w:rsid w:val="178D35C8"/>
    <w:rsid w:val="182770BA"/>
    <w:rsid w:val="18863017"/>
    <w:rsid w:val="18AC6D73"/>
    <w:rsid w:val="19061883"/>
    <w:rsid w:val="1B4716B4"/>
    <w:rsid w:val="1C08419D"/>
    <w:rsid w:val="1C7D1E5D"/>
    <w:rsid w:val="1D4D5FFD"/>
    <w:rsid w:val="1E3D18A3"/>
    <w:rsid w:val="1F7A0970"/>
    <w:rsid w:val="1FD22F20"/>
    <w:rsid w:val="209E2C67"/>
    <w:rsid w:val="216F32CA"/>
    <w:rsid w:val="21934B84"/>
    <w:rsid w:val="21DF3902"/>
    <w:rsid w:val="21F901D7"/>
    <w:rsid w:val="22124112"/>
    <w:rsid w:val="22433785"/>
    <w:rsid w:val="23F57352"/>
    <w:rsid w:val="245829D3"/>
    <w:rsid w:val="249A7996"/>
    <w:rsid w:val="24B959FC"/>
    <w:rsid w:val="267E2359"/>
    <w:rsid w:val="26BC7CBC"/>
    <w:rsid w:val="27447ED5"/>
    <w:rsid w:val="275F3A77"/>
    <w:rsid w:val="279A7D67"/>
    <w:rsid w:val="284F0253"/>
    <w:rsid w:val="28577CC1"/>
    <w:rsid w:val="285C501C"/>
    <w:rsid w:val="28644870"/>
    <w:rsid w:val="29A8113A"/>
    <w:rsid w:val="2AE949DF"/>
    <w:rsid w:val="2B141BDE"/>
    <w:rsid w:val="2B3B474B"/>
    <w:rsid w:val="2B8D044E"/>
    <w:rsid w:val="2C016BB8"/>
    <w:rsid w:val="2CA70830"/>
    <w:rsid w:val="2D224A7E"/>
    <w:rsid w:val="2D77461B"/>
    <w:rsid w:val="2E400C5F"/>
    <w:rsid w:val="2E5209E3"/>
    <w:rsid w:val="2EB01AFE"/>
    <w:rsid w:val="2FFA7C63"/>
    <w:rsid w:val="30592C7B"/>
    <w:rsid w:val="30D1119A"/>
    <w:rsid w:val="30F12F4C"/>
    <w:rsid w:val="3112402E"/>
    <w:rsid w:val="313C3C3D"/>
    <w:rsid w:val="313D3E38"/>
    <w:rsid w:val="32611BF0"/>
    <w:rsid w:val="33A83294"/>
    <w:rsid w:val="34011E26"/>
    <w:rsid w:val="341B4D23"/>
    <w:rsid w:val="348854FB"/>
    <w:rsid w:val="36A81FB2"/>
    <w:rsid w:val="3722158D"/>
    <w:rsid w:val="375E09FC"/>
    <w:rsid w:val="383A69FC"/>
    <w:rsid w:val="384D672F"/>
    <w:rsid w:val="38525FA9"/>
    <w:rsid w:val="39003F1D"/>
    <w:rsid w:val="39276876"/>
    <w:rsid w:val="392B2930"/>
    <w:rsid w:val="39900FC9"/>
    <w:rsid w:val="3AC853CC"/>
    <w:rsid w:val="3C582CD8"/>
    <w:rsid w:val="3E094E14"/>
    <w:rsid w:val="3E203975"/>
    <w:rsid w:val="3E2546CD"/>
    <w:rsid w:val="40531C58"/>
    <w:rsid w:val="41192D98"/>
    <w:rsid w:val="413E5CD9"/>
    <w:rsid w:val="425F778B"/>
    <w:rsid w:val="434150E2"/>
    <w:rsid w:val="43425F9D"/>
    <w:rsid w:val="43AE09CA"/>
    <w:rsid w:val="43F465D0"/>
    <w:rsid w:val="43F81C45"/>
    <w:rsid w:val="442A053D"/>
    <w:rsid w:val="44440739"/>
    <w:rsid w:val="446F65B8"/>
    <w:rsid w:val="4489146B"/>
    <w:rsid w:val="44E177B9"/>
    <w:rsid w:val="44F057A6"/>
    <w:rsid w:val="45535432"/>
    <w:rsid w:val="45A95346"/>
    <w:rsid w:val="46416F41"/>
    <w:rsid w:val="46C4203A"/>
    <w:rsid w:val="470E29AE"/>
    <w:rsid w:val="49134C56"/>
    <w:rsid w:val="49CB0CCD"/>
    <w:rsid w:val="4A3A6A54"/>
    <w:rsid w:val="4A9B157C"/>
    <w:rsid w:val="4AA610D6"/>
    <w:rsid w:val="4B0C055A"/>
    <w:rsid w:val="4C343A36"/>
    <w:rsid w:val="4C8B4A7C"/>
    <w:rsid w:val="4CFC368B"/>
    <w:rsid w:val="4D234663"/>
    <w:rsid w:val="4D714816"/>
    <w:rsid w:val="4E7D412D"/>
    <w:rsid w:val="4F086AAF"/>
    <w:rsid w:val="5069668A"/>
    <w:rsid w:val="50A83CB2"/>
    <w:rsid w:val="512B42F2"/>
    <w:rsid w:val="51B7313F"/>
    <w:rsid w:val="52344B41"/>
    <w:rsid w:val="538E5DEC"/>
    <w:rsid w:val="548D0188"/>
    <w:rsid w:val="55886BA1"/>
    <w:rsid w:val="568A7075"/>
    <w:rsid w:val="56D076DF"/>
    <w:rsid w:val="56E34736"/>
    <w:rsid w:val="56FB15A3"/>
    <w:rsid w:val="572C3C94"/>
    <w:rsid w:val="57806BBC"/>
    <w:rsid w:val="58963DA7"/>
    <w:rsid w:val="592C3305"/>
    <w:rsid w:val="596D0588"/>
    <w:rsid w:val="5982056A"/>
    <w:rsid w:val="5A2C7551"/>
    <w:rsid w:val="5A400720"/>
    <w:rsid w:val="5ABC05A6"/>
    <w:rsid w:val="5B836631"/>
    <w:rsid w:val="5C0E6052"/>
    <w:rsid w:val="5C6A7000"/>
    <w:rsid w:val="5CDA5E45"/>
    <w:rsid w:val="5CF4139A"/>
    <w:rsid w:val="5D693C9C"/>
    <w:rsid w:val="5DE973D6"/>
    <w:rsid w:val="5E8D2D21"/>
    <w:rsid w:val="5EBD1212"/>
    <w:rsid w:val="60C35EC4"/>
    <w:rsid w:val="61500EFF"/>
    <w:rsid w:val="61E909C7"/>
    <w:rsid w:val="61F41846"/>
    <w:rsid w:val="61FC36E1"/>
    <w:rsid w:val="623F329A"/>
    <w:rsid w:val="62695E27"/>
    <w:rsid w:val="628242DE"/>
    <w:rsid w:val="636127C3"/>
    <w:rsid w:val="64C44BB6"/>
    <w:rsid w:val="6541100E"/>
    <w:rsid w:val="654C0BA8"/>
    <w:rsid w:val="664352EB"/>
    <w:rsid w:val="66915BCA"/>
    <w:rsid w:val="672079BD"/>
    <w:rsid w:val="68103152"/>
    <w:rsid w:val="683E7EE4"/>
    <w:rsid w:val="696077C1"/>
    <w:rsid w:val="696610E4"/>
    <w:rsid w:val="6A4D65DE"/>
    <w:rsid w:val="6A7D1934"/>
    <w:rsid w:val="6A83721D"/>
    <w:rsid w:val="6AE21101"/>
    <w:rsid w:val="6B4F3B9E"/>
    <w:rsid w:val="6BD63153"/>
    <w:rsid w:val="6C5B55DC"/>
    <w:rsid w:val="6CAE03DD"/>
    <w:rsid w:val="6CE56E6B"/>
    <w:rsid w:val="6D032DAA"/>
    <w:rsid w:val="6D865EAD"/>
    <w:rsid w:val="6DEE0AAA"/>
    <w:rsid w:val="6E005A26"/>
    <w:rsid w:val="6E6329C5"/>
    <w:rsid w:val="6EEE586F"/>
    <w:rsid w:val="6EFF345A"/>
    <w:rsid w:val="6F0E41D6"/>
    <w:rsid w:val="6F563B40"/>
    <w:rsid w:val="6FB4540B"/>
    <w:rsid w:val="704863BD"/>
    <w:rsid w:val="70C73255"/>
    <w:rsid w:val="71610FBE"/>
    <w:rsid w:val="725008FF"/>
    <w:rsid w:val="72760778"/>
    <w:rsid w:val="74247693"/>
    <w:rsid w:val="743104E3"/>
    <w:rsid w:val="74320C3C"/>
    <w:rsid w:val="74513162"/>
    <w:rsid w:val="750D1BC6"/>
    <w:rsid w:val="75431AF8"/>
    <w:rsid w:val="757B75BC"/>
    <w:rsid w:val="767B20DE"/>
    <w:rsid w:val="76A665D3"/>
    <w:rsid w:val="76FC5AA1"/>
    <w:rsid w:val="772B58B2"/>
    <w:rsid w:val="78BD1F9D"/>
    <w:rsid w:val="79201CE1"/>
    <w:rsid w:val="79B14724"/>
    <w:rsid w:val="79EF4A48"/>
    <w:rsid w:val="7B3E0A41"/>
    <w:rsid w:val="7C323980"/>
    <w:rsid w:val="7D32101D"/>
    <w:rsid w:val="7E14791A"/>
    <w:rsid w:val="7F6F47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autoRedefine/>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autoRedefine/>
    <w:qFormat/>
    <w:uiPriority w:val="99"/>
    <w:rPr>
      <w:rFonts w:ascii="宋体"/>
      <w:sz w:val="18"/>
      <w:szCs w:val="18"/>
    </w:rPr>
  </w:style>
  <w:style w:type="paragraph" w:styleId="8">
    <w:name w:val="annotation text"/>
    <w:basedOn w:val="1"/>
    <w:link w:val="29"/>
    <w:autoRedefine/>
    <w:qFormat/>
    <w:uiPriority w:val="99"/>
    <w:pPr>
      <w:jc w:val="left"/>
    </w:pPr>
  </w:style>
  <w:style w:type="paragraph" w:styleId="9">
    <w:name w:val="Body Text"/>
    <w:basedOn w:val="1"/>
    <w:link w:val="30"/>
    <w:autoRedefine/>
    <w:qFormat/>
    <w:uiPriority w:val="99"/>
    <w:pPr>
      <w:spacing w:after="120"/>
    </w:pPr>
  </w:style>
  <w:style w:type="paragraph" w:styleId="10">
    <w:name w:val="Plain Text"/>
    <w:basedOn w:val="1"/>
    <w:link w:val="46"/>
    <w:autoRedefine/>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autoRedefine/>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FollowedHyperlink"/>
    <w:basedOn w:val="20"/>
    <w:autoRedefine/>
    <w:semiHidden/>
    <w:unhideWhenUsed/>
    <w:qFormat/>
    <w:uiPriority w:val="99"/>
    <w:rPr>
      <w:color w:val="800080"/>
      <w:u w:val="single"/>
    </w:rPr>
  </w:style>
  <w:style w:type="character" w:styleId="22">
    <w:name w:val="Hyperlink"/>
    <w:basedOn w:val="20"/>
    <w:autoRedefine/>
    <w:qFormat/>
    <w:uiPriority w:val="99"/>
    <w:rPr>
      <w:rFonts w:cs="Times New Roman"/>
      <w:color w:val="0000FF"/>
      <w:u w:val="single"/>
    </w:rPr>
  </w:style>
  <w:style w:type="character" w:styleId="23">
    <w:name w:val="annotation reference"/>
    <w:basedOn w:val="20"/>
    <w:autoRedefine/>
    <w:qFormat/>
    <w:uiPriority w:val="99"/>
    <w:rPr>
      <w:rFonts w:cs="Times New Roman"/>
      <w:sz w:val="21"/>
      <w:szCs w:val="21"/>
    </w:rPr>
  </w:style>
  <w:style w:type="character" w:customStyle="1" w:styleId="24">
    <w:name w:val="标题 1 Char"/>
    <w:basedOn w:val="20"/>
    <w:link w:val="2"/>
    <w:autoRedefine/>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autoRedefine/>
    <w:qFormat/>
    <w:locked/>
    <w:uiPriority w:val="99"/>
    <w:rPr>
      <w:rFonts w:ascii="Cambria" w:hAnsi="Cambria" w:eastAsia="宋体" w:cs="Times New Roman"/>
      <w:b/>
      <w:bCs/>
      <w:kern w:val="2"/>
      <w:sz w:val="32"/>
      <w:szCs w:val="32"/>
    </w:rPr>
  </w:style>
  <w:style w:type="character" w:customStyle="1" w:styleId="26">
    <w:name w:val="标题 3 Char"/>
    <w:basedOn w:val="20"/>
    <w:link w:val="4"/>
    <w:autoRedefine/>
    <w:qFormat/>
    <w:locked/>
    <w:uiPriority w:val="99"/>
    <w:rPr>
      <w:rFonts w:eastAsia="宋体" w:cs="Times New Roman"/>
      <w:b/>
      <w:sz w:val="32"/>
    </w:rPr>
  </w:style>
  <w:style w:type="character" w:customStyle="1" w:styleId="27">
    <w:name w:val="标题 4 Char"/>
    <w:basedOn w:val="20"/>
    <w:link w:val="5"/>
    <w:autoRedefine/>
    <w:qFormat/>
    <w:locked/>
    <w:uiPriority w:val="99"/>
    <w:rPr>
      <w:rFonts w:ascii="Arial" w:hAnsi="Arial" w:eastAsia="黑体" w:cs="Times New Roman"/>
      <w:b/>
      <w:bCs/>
      <w:kern w:val="2"/>
      <w:sz w:val="28"/>
      <w:szCs w:val="28"/>
    </w:rPr>
  </w:style>
  <w:style w:type="character" w:customStyle="1" w:styleId="28">
    <w:name w:val="文档结构图 Char"/>
    <w:basedOn w:val="20"/>
    <w:link w:val="7"/>
    <w:autoRedefine/>
    <w:qFormat/>
    <w:locked/>
    <w:uiPriority w:val="99"/>
    <w:rPr>
      <w:rFonts w:ascii="宋体" w:hAnsi="Times New Roman" w:eastAsia="宋体" w:cs="Times New Roman"/>
      <w:kern w:val="2"/>
      <w:sz w:val="18"/>
      <w:szCs w:val="18"/>
    </w:rPr>
  </w:style>
  <w:style w:type="character" w:customStyle="1" w:styleId="29">
    <w:name w:val="批注文字 Char"/>
    <w:basedOn w:val="20"/>
    <w:link w:val="8"/>
    <w:autoRedefine/>
    <w:qFormat/>
    <w:locked/>
    <w:uiPriority w:val="99"/>
    <w:rPr>
      <w:rFonts w:ascii="Times New Roman" w:hAnsi="Times New Roman" w:cs="Times New Roman"/>
      <w:kern w:val="2"/>
      <w:sz w:val="21"/>
    </w:rPr>
  </w:style>
  <w:style w:type="character" w:customStyle="1" w:styleId="30">
    <w:name w:val="正文文本 Char"/>
    <w:basedOn w:val="20"/>
    <w:link w:val="9"/>
    <w:autoRedefine/>
    <w:qFormat/>
    <w:locked/>
    <w:uiPriority w:val="99"/>
    <w:rPr>
      <w:rFonts w:ascii="Times New Roman" w:hAnsi="Times New Roman" w:eastAsia="宋体" w:cs="Times New Roman"/>
      <w:sz w:val="20"/>
      <w:szCs w:val="20"/>
    </w:rPr>
  </w:style>
  <w:style w:type="character" w:customStyle="1" w:styleId="31">
    <w:name w:val="批注框文本 Char"/>
    <w:basedOn w:val="20"/>
    <w:link w:val="11"/>
    <w:autoRedefine/>
    <w:qFormat/>
    <w:locked/>
    <w:uiPriority w:val="99"/>
    <w:rPr>
      <w:rFonts w:ascii="Times New Roman" w:hAnsi="Times New Roman" w:eastAsia="宋体" w:cs="Times New Roman"/>
      <w:kern w:val="2"/>
      <w:sz w:val="18"/>
      <w:szCs w:val="18"/>
    </w:rPr>
  </w:style>
  <w:style w:type="character" w:customStyle="1" w:styleId="32">
    <w:name w:val="页脚 Char"/>
    <w:basedOn w:val="20"/>
    <w:link w:val="12"/>
    <w:autoRedefine/>
    <w:qFormat/>
    <w:locked/>
    <w:uiPriority w:val="99"/>
    <w:rPr>
      <w:rFonts w:ascii="Times New Roman" w:hAnsi="Times New Roman" w:eastAsia="宋体" w:cs="Times New Roman"/>
      <w:sz w:val="18"/>
      <w:szCs w:val="18"/>
    </w:rPr>
  </w:style>
  <w:style w:type="character" w:customStyle="1" w:styleId="33">
    <w:name w:val="页眉 Char"/>
    <w:basedOn w:val="20"/>
    <w:link w:val="13"/>
    <w:autoRedefine/>
    <w:qFormat/>
    <w:locked/>
    <w:uiPriority w:val="99"/>
    <w:rPr>
      <w:rFonts w:ascii="Times New Roman" w:hAnsi="Times New Roman" w:eastAsia="宋体" w:cs="Times New Roman"/>
      <w:sz w:val="18"/>
      <w:szCs w:val="18"/>
    </w:rPr>
  </w:style>
  <w:style w:type="character" w:customStyle="1" w:styleId="34">
    <w:name w:val="正文首行缩进 Char"/>
    <w:basedOn w:val="30"/>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0"/>
    <w:rPr>
      <w:rFonts w:ascii="仿宋_GB2312" w:hAnsi="宋体" w:eastAsia="仿宋_GB2312"/>
      <w:sz w:val="31"/>
    </w:rPr>
  </w:style>
  <w:style w:type="paragraph" w:customStyle="1" w:styleId="36">
    <w:name w:val="正文缩进2格"/>
    <w:basedOn w:val="1"/>
    <w:link w:val="35"/>
    <w:autoRedefine/>
    <w:qFormat/>
    <w:uiPriority w:val="0"/>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autoRedefine/>
    <w:qFormat/>
    <w:uiPriority w:val="99"/>
    <w:pPr>
      <w:ind w:firstLine="420" w:firstLineChars="200"/>
    </w:pPr>
  </w:style>
  <w:style w:type="paragraph" w:customStyle="1" w:styleId="38">
    <w:name w:val="列出段落2"/>
    <w:basedOn w:val="1"/>
    <w:autoRedefine/>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basedOn w:val="20"/>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Char"/>
    <w:basedOn w:val="20"/>
    <w:link w:val="10"/>
    <w:autoRedefine/>
    <w:qFormat/>
    <w:locked/>
    <w:uiPriority w:val="99"/>
    <w:rPr>
      <w:rFonts w:ascii="宋体" w:hAnsi="Courier New" w:eastAsia="宋体" w:cs="Times New Roman"/>
      <w:kern w:val="2"/>
      <w:sz w:val="21"/>
      <w:szCs w:val="21"/>
    </w:rPr>
  </w:style>
  <w:style w:type="character" w:customStyle="1" w:styleId="47">
    <w:name w:val="未处理的提及1"/>
    <w:basedOn w:val="20"/>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basedOn w:val="20"/>
    <w:autoRedefine/>
    <w:semiHidden/>
    <w:qFormat/>
    <w:uiPriority w:val="99"/>
    <w:rPr>
      <w:rFonts w:ascii="Cambria" w:hAnsi="Cambria" w:eastAsia="宋体" w:cs="Times New Roman"/>
      <w:b/>
      <w:bCs/>
      <w:kern w:val="2"/>
      <w:sz w:val="28"/>
      <w:szCs w:val="28"/>
    </w:rPr>
  </w:style>
  <w:style w:type="paragraph" w:customStyle="1" w:styleId="53">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autoRedefine/>
    <w:qFormat/>
    <w:locked/>
    <w:uiPriority w:val="99"/>
    <w:rPr>
      <w:rFonts w:ascii="黑体" w:hAnsi="黑体" w:eastAsia="黑体" w:cs="宋体"/>
      <w:kern w:val="2"/>
      <w:sz w:val="22"/>
      <w:szCs w:val="22"/>
    </w:rPr>
  </w:style>
  <w:style w:type="paragraph" w:customStyle="1" w:styleId="56">
    <w:name w:val="SANGFOR_6_正文"/>
    <w:basedOn w:val="1"/>
    <w:autoRedefine/>
    <w:qFormat/>
    <w:uiPriority w:val="99"/>
    <w:pPr>
      <w:spacing w:line="360" w:lineRule="auto"/>
    </w:pPr>
    <w:rPr>
      <w:szCs w:val="24"/>
    </w:rPr>
  </w:style>
  <w:style w:type="paragraph" w:customStyle="1" w:styleId="57">
    <w:name w:val="font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58">
    <w:name w:val="xl65"/>
    <w:basedOn w:val="1"/>
    <w:autoRedefine/>
    <w:qFormat/>
    <w:uiPriority w:val="0"/>
    <w:pPr>
      <w:widowControl/>
      <w:spacing w:before="100" w:beforeAutospacing="1" w:after="100" w:afterAutospacing="1"/>
      <w:jc w:val="center"/>
    </w:pPr>
    <w:rPr>
      <w:rFonts w:ascii="宋体" w:hAnsi="宋体" w:cs="宋体"/>
      <w:kern w:val="0"/>
      <w:sz w:val="24"/>
      <w:szCs w:val="24"/>
    </w:rPr>
  </w:style>
  <w:style w:type="paragraph" w:customStyle="1" w:styleId="59">
    <w:name w:val="xl66"/>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60">
    <w:name w:val="xl67"/>
    <w:basedOn w:val="1"/>
    <w:autoRedefine/>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4"/>
      <w:szCs w:val="24"/>
    </w:rPr>
  </w:style>
  <w:style w:type="paragraph" w:customStyle="1" w:styleId="61">
    <w:name w:val="xl6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2">
    <w:name w:val="xl69"/>
    <w:basedOn w:val="1"/>
    <w:autoRedefine/>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63">
    <w:name w:val="xl70"/>
    <w:basedOn w:val="1"/>
    <w:autoRedefine/>
    <w:qFormat/>
    <w:uiPriority w:val="0"/>
    <w:pPr>
      <w:widowControl/>
      <w:pBdr>
        <w:left w:val="single" w:color="auto" w:sz="4" w:space="0"/>
      </w:pBdr>
      <w:spacing w:before="100" w:beforeAutospacing="1" w:after="100" w:afterAutospacing="1"/>
      <w:jc w:val="center"/>
    </w:pPr>
    <w:rPr>
      <w:rFonts w:ascii="宋体" w:hAnsi="宋体" w:cs="宋体"/>
      <w:kern w:val="0"/>
      <w:sz w:val="24"/>
      <w:szCs w:val="24"/>
    </w:rPr>
  </w:style>
  <w:style w:type="paragraph" w:customStyle="1" w:styleId="64">
    <w:name w:val="xl71"/>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5">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szCs w:val="24"/>
    </w:rPr>
  </w:style>
  <w:style w:type="paragraph" w:customStyle="1" w:styleId="6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68">
    <w:name w:val="xl75"/>
    <w:basedOn w:val="1"/>
    <w:autoRedefine/>
    <w:qFormat/>
    <w:uiPriority w:val="0"/>
    <w:pPr>
      <w:widowControl/>
      <w:spacing w:before="100" w:beforeAutospacing="1" w:after="100" w:afterAutospacing="1"/>
      <w:jc w:val="center"/>
    </w:pPr>
    <w:rPr>
      <w:kern w:val="0"/>
      <w:sz w:val="24"/>
      <w:szCs w:val="24"/>
    </w:rPr>
  </w:style>
  <w:style w:type="paragraph" w:customStyle="1" w:styleId="69">
    <w:name w:val="xl76"/>
    <w:basedOn w:val="1"/>
    <w:autoRedefine/>
    <w:qFormat/>
    <w:uiPriority w:val="0"/>
    <w:pPr>
      <w:widowControl/>
      <w:spacing w:before="100" w:beforeAutospacing="1" w:after="100" w:afterAutospacing="1"/>
      <w:jc w:val="right"/>
    </w:pPr>
    <w:rPr>
      <w:rFonts w:ascii="宋体" w:hAnsi="宋体" w:cs="宋体"/>
      <w:kern w:val="0"/>
      <w:sz w:val="20"/>
    </w:rPr>
  </w:style>
  <w:style w:type="paragraph" w:customStyle="1" w:styleId="70">
    <w:name w:val="xl77"/>
    <w:basedOn w:val="1"/>
    <w:autoRedefine/>
    <w:qFormat/>
    <w:uiPriority w:val="0"/>
    <w:pPr>
      <w:widowControl/>
      <w:spacing w:before="100" w:beforeAutospacing="1" w:after="100" w:afterAutospacing="1"/>
      <w:jc w:val="center"/>
    </w:pPr>
    <w:rPr>
      <w:rFonts w:ascii="宋体" w:hAnsi="宋体" w:cs="宋体"/>
      <w:b/>
      <w:bCs/>
      <w:kern w:val="0"/>
      <w:sz w:val="36"/>
      <w:szCs w:val="36"/>
    </w:rPr>
  </w:style>
  <w:style w:type="paragraph" w:customStyle="1" w:styleId="71">
    <w:name w:val="xl78"/>
    <w:basedOn w:val="1"/>
    <w:autoRedefine/>
    <w:qFormat/>
    <w:uiPriority w:val="0"/>
    <w:pPr>
      <w:widowControl/>
      <w:pBdr>
        <w:bottom w:val="single" w:color="auto" w:sz="4" w:space="0"/>
      </w:pBdr>
      <w:spacing w:before="100" w:beforeAutospacing="1" w:after="100" w:afterAutospacing="1"/>
      <w:jc w:val="right"/>
    </w:pPr>
    <w:rPr>
      <w:rFonts w:ascii="宋体" w:hAnsi="宋体" w:cs="宋体"/>
      <w:kern w:val="0"/>
      <w:sz w:val="24"/>
      <w:szCs w:val="24"/>
    </w:rPr>
  </w:style>
  <w:style w:type="paragraph" w:customStyle="1" w:styleId="7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3">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4">
    <w:name w:val="xl81"/>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15</Pages>
  <Words>6023</Words>
  <Characters>6252</Characters>
  <Lines>45</Lines>
  <Paragraphs>12</Paragraphs>
  <TotalTime>3</TotalTime>
  <ScaleCrop>false</ScaleCrop>
  <LinksUpToDate>false</LinksUpToDate>
  <CharactersWithSpaces>6452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2021-11-30T00:45:00Z</dcterms:created>
  <dc:creator>Administrator</dc:creator>
  <cp:lastModifiedBy>吴洪林</cp:lastModifiedBy>
  <cp:lastPrinted>2024-01-10T02:17:00Z</cp:lastPrinted>
  <dcterms:modified xsi:type="dcterms:W3CDTF">2026-01-12T03:56:24Z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7E296C3C19B94E01AB0821EE04CD4EB1</vt:lpwstr>
  </property>
  <property fmtid="{D5CDD505-2E9C-101B-9397-08002B2CF9AE}" pid="4" name="KSOTemplateDocerSaveRecord">
    <vt:lpwstr>eyJoZGlkIjoiZjg5YjI1ZjFkY2QyNGQ0MDg2NzMxMjJmZDg4ZTI1NmIiLCJ1c2VySWQiOiIxNjA0NzkzMjAxIn0=</vt:lpwstr>
  </property>
</Properties>
</file>