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DB49F1">
      <w:pPr>
        <w:adjustRightInd w:val="0"/>
        <w:snapToGrid w:val="0"/>
        <w:spacing w:before="120" w:after="120" w:line="276" w:lineRule="auto"/>
        <w:jc w:val="center"/>
        <w:rPr>
          <w:rFonts w:eastAsia="华文中宋"/>
          <w:color w:val="auto"/>
          <w:sz w:val="44"/>
          <w:szCs w:val="44"/>
          <w:highlight w:val="none"/>
        </w:rPr>
      </w:pPr>
      <w:r>
        <w:rPr>
          <w:rFonts w:hint="eastAsia" w:eastAsia="华文中宋"/>
          <w:color w:val="auto"/>
          <w:sz w:val="44"/>
          <w:szCs w:val="44"/>
          <w:highlight w:val="none"/>
        </w:rPr>
        <w:t>询价文件</w:t>
      </w:r>
    </w:p>
    <w:p w14:paraId="15E94C1F">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u w:val="single"/>
        </w:rPr>
        <w:t>吐鲁番开能环保能源有限公司</w:t>
      </w:r>
      <w:r>
        <w:rPr>
          <w:rFonts w:hint="eastAsia" w:eastAsia="仿宋_GB2312"/>
          <w:color w:val="auto"/>
          <w:sz w:val="32"/>
          <w:szCs w:val="32"/>
          <w:highlight w:val="none"/>
        </w:rPr>
        <w:t>需采购一家</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运输服务</w:t>
      </w:r>
      <w:r>
        <w:rPr>
          <w:rFonts w:eastAsia="仿宋_GB2312"/>
          <w:color w:val="auto"/>
          <w:sz w:val="32"/>
          <w:szCs w:val="32"/>
          <w:highlight w:val="none"/>
          <w:u w:val="single"/>
        </w:rPr>
        <w:t xml:space="preserve">       </w:t>
      </w:r>
      <w:r>
        <w:rPr>
          <w:rFonts w:hint="eastAsia" w:eastAsia="仿宋_GB2312"/>
          <w:color w:val="auto"/>
          <w:sz w:val="32"/>
          <w:szCs w:val="32"/>
          <w:highlight w:val="none"/>
        </w:rPr>
        <w:t>单位，现将相关情况介绍如下：</w:t>
      </w:r>
    </w:p>
    <w:p w14:paraId="344F3E54">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23E13EF9">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吐鲁番开能环保能源有限公司20</w:t>
      </w:r>
      <w:r>
        <w:rPr>
          <w:rFonts w:hint="eastAsia" w:eastAsia="仿宋_GB2312"/>
          <w:color w:val="auto"/>
          <w:sz w:val="32"/>
          <w:szCs w:val="32"/>
          <w:highlight w:val="none"/>
          <w:u w:val="single"/>
          <w:lang w:val="en-US" w:eastAsia="zh-CN"/>
        </w:rPr>
        <w:t>26</w:t>
      </w:r>
      <w:r>
        <w:rPr>
          <w:rFonts w:hint="eastAsia" w:eastAsia="仿宋_GB2312"/>
          <w:color w:val="auto"/>
          <w:sz w:val="32"/>
          <w:szCs w:val="32"/>
          <w:highlight w:val="none"/>
          <w:u w:val="single"/>
        </w:rPr>
        <w:t>-202</w:t>
      </w:r>
      <w:r>
        <w:rPr>
          <w:rFonts w:hint="eastAsia" w:eastAsia="仿宋_GB2312"/>
          <w:color w:val="auto"/>
          <w:sz w:val="32"/>
          <w:szCs w:val="32"/>
          <w:highlight w:val="none"/>
          <w:u w:val="single"/>
          <w:lang w:val="en-US" w:eastAsia="zh-CN"/>
        </w:rPr>
        <w:t>7</w:t>
      </w:r>
      <w:r>
        <w:rPr>
          <w:rFonts w:hint="eastAsia" w:eastAsia="仿宋_GB2312"/>
          <w:color w:val="auto"/>
          <w:sz w:val="32"/>
          <w:szCs w:val="32"/>
          <w:highlight w:val="none"/>
          <w:u w:val="single"/>
        </w:rPr>
        <w:t>年燃料及粉煤灰材料运输</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重新采购</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采购项目编号：TLFKN（2025）-FW-003-1</w:t>
      </w:r>
      <w:r>
        <w:rPr>
          <w:rFonts w:hint="eastAsia" w:eastAsia="仿宋_GB2312"/>
          <w:color w:val="auto"/>
          <w:sz w:val="32"/>
          <w:szCs w:val="32"/>
          <w:highlight w:val="none"/>
          <w:u w:val="single"/>
          <w:lang w:eastAsia="zh-CN"/>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0E22ADEF">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吐鲁番开能环保能源有限公司煤末/兰炭末</w:t>
      </w:r>
      <w:r>
        <w:rPr>
          <w:rFonts w:hint="eastAsia" w:eastAsia="仿宋_GB2312"/>
          <w:color w:val="auto"/>
          <w:sz w:val="32"/>
          <w:szCs w:val="32"/>
          <w:highlight w:val="none"/>
          <w:u w:val="single"/>
          <w:lang w:eastAsia="zh-CN"/>
        </w:rPr>
        <w:t>、粉煤灰</w:t>
      </w:r>
      <w:r>
        <w:rPr>
          <w:rFonts w:hint="eastAsia" w:eastAsia="仿宋_GB2312"/>
          <w:color w:val="auto"/>
          <w:sz w:val="32"/>
          <w:szCs w:val="32"/>
          <w:highlight w:val="none"/>
          <w:u w:val="single"/>
          <w:lang w:val="en-US" w:eastAsia="zh-CN"/>
        </w:rPr>
        <w:t>运输，其中煤末/兰炭末预估运输量为100000吨，</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粉煤灰</w:t>
      </w:r>
      <w:r>
        <w:rPr>
          <w:rFonts w:hint="eastAsia" w:eastAsia="仿宋_GB2312"/>
          <w:color w:val="auto"/>
          <w:sz w:val="32"/>
          <w:szCs w:val="32"/>
          <w:highlight w:val="none"/>
          <w:u w:val="single"/>
          <w:lang w:val="en-US" w:eastAsia="zh-CN"/>
        </w:rPr>
        <w:t>预估运输量为80000吨</w:t>
      </w:r>
      <w:r>
        <w:rPr>
          <w:rFonts w:hint="eastAsia" w:eastAsia="仿宋_GB2312"/>
          <w:color w:val="auto"/>
          <w:sz w:val="32"/>
          <w:szCs w:val="32"/>
          <w:highlight w:val="none"/>
          <w:u w:val="single"/>
        </w:rPr>
        <w:t>；</w:t>
      </w:r>
    </w:p>
    <w:p w14:paraId="1C2B7C9B">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w:t>
      </w:r>
      <w:r>
        <w:rPr>
          <w:rFonts w:hint="default" w:eastAsia="仿宋_GB2312"/>
          <w:color w:val="auto"/>
          <w:sz w:val="32"/>
          <w:szCs w:val="32"/>
          <w:highlight w:val="none"/>
          <w:u w:val="single"/>
          <w:lang w:val="en-US" w:eastAsia="zh-CN"/>
        </w:rPr>
        <w:t>新疆吐鲁番托克逊县阿乐惠镇圣雄工业园区电石厂区</w:t>
      </w:r>
      <w:r>
        <w:rPr>
          <w:rFonts w:hint="eastAsia" w:eastAsia="仿宋_GB2312"/>
          <w:color w:val="auto"/>
          <w:sz w:val="32"/>
          <w:szCs w:val="32"/>
          <w:highlight w:val="none"/>
          <w:u w:val="single"/>
        </w:rPr>
        <w:t>；</w:t>
      </w:r>
    </w:p>
    <w:p w14:paraId="66F0150C">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、服务时间：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自合同签订之日起满一年，</w:t>
      </w:r>
      <w:r>
        <w:rPr>
          <w:rFonts w:hint="eastAsia" w:eastAsia="仿宋_GB2312"/>
          <w:color w:val="auto"/>
          <w:sz w:val="32"/>
          <w:szCs w:val="32"/>
          <w:highlight w:val="none"/>
          <w:u w:val="single"/>
        </w:rPr>
        <w:t>预计</w:t>
      </w:r>
      <w:r>
        <w:rPr>
          <w:rFonts w:hint="eastAsia" w:eastAsia="仿宋_GB2312"/>
          <w:color w:val="auto"/>
          <w:sz w:val="32"/>
          <w:szCs w:val="32"/>
          <w:highlight w:val="none"/>
          <w:u w:val="single"/>
          <w:lang w:val="en-US" w:eastAsia="zh-CN"/>
        </w:rPr>
        <w:t>时间为</w:t>
      </w:r>
      <w:r>
        <w:rPr>
          <w:rFonts w:hint="eastAsia" w:eastAsia="仿宋_GB2312"/>
          <w:color w:val="auto"/>
          <w:sz w:val="32"/>
          <w:szCs w:val="32"/>
          <w:highlight w:val="none"/>
          <w:u w:val="single"/>
        </w:rPr>
        <w:t>202</w:t>
      </w:r>
      <w:r>
        <w:rPr>
          <w:rFonts w:hint="eastAsia" w:eastAsia="仿宋_GB2312"/>
          <w:color w:val="auto"/>
          <w:sz w:val="32"/>
          <w:szCs w:val="32"/>
          <w:highlight w:val="none"/>
          <w:u w:val="single"/>
          <w:lang w:val="en-US" w:eastAsia="zh-CN"/>
        </w:rPr>
        <w:t>6</w:t>
      </w:r>
      <w:r>
        <w:rPr>
          <w:rFonts w:hint="eastAsia" w:eastAsia="仿宋_GB2312"/>
          <w:color w:val="auto"/>
          <w:sz w:val="32"/>
          <w:szCs w:val="32"/>
          <w:highlight w:val="none"/>
          <w:u w:val="single"/>
        </w:rPr>
        <w:t>年</w:t>
      </w:r>
      <w:r>
        <w:rPr>
          <w:rFonts w:hint="eastAsia" w:eastAsia="仿宋_GB2312"/>
          <w:color w:val="auto"/>
          <w:sz w:val="32"/>
          <w:szCs w:val="32"/>
          <w:highlight w:val="none"/>
          <w:u w:val="single"/>
          <w:lang w:val="en-US" w:eastAsia="zh-CN"/>
        </w:rPr>
        <w:t>2</w:t>
      </w:r>
      <w:r>
        <w:rPr>
          <w:rFonts w:hint="eastAsia" w:eastAsia="仿宋_GB2312"/>
          <w:color w:val="auto"/>
          <w:sz w:val="32"/>
          <w:szCs w:val="32"/>
          <w:highlight w:val="none"/>
          <w:u w:val="single"/>
        </w:rPr>
        <w:t>月1日至202</w:t>
      </w:r>
      <w:r>
        <w:rPr>
          <w:rFonts w:hint="eastAsia" w:eastAsia="仿宋_GB2312"/>
          <w:color w:val="auto"/>
          <w:sz w:val="32"/>
          <w:szCs w:val="32"/>
          <w:highlight w:val="none"/>
          <w:u w:val="single"/>
          <w:lang w:val="en-US" w:eastAsia="zh-CN"/>
        </w:rPr>
        <w:t>7</w:t>
      </w:r>
      <w:r>
        <w:rPr>
          <w:rFonts w:hint="eastAsia" w:eastAsia="仿宋_GB2312"/>
          <w:color w:val="auto"/>
          <w:sz w:val="32"/>
          <w:szCs w:val="32"/>
          <w:highlight w:val="none"/>
          <w:u w:val="single"/>
        </w:rPr>
        <w:t>年</w:t>
      </w:r>
      <w:r>
        <w:rPr>
          <w:rFonts w:hint="eastAsia" w:eastAsia="仿宋_GB2312"/>
          <w:color w:val="auto"/>
          <w:sz w:val="32"/>
          <w:szCs w:val="32"/>
          <w:highlight w:val="none"/>
          <w:u w:val="single"/>
          <w:lang w:val="en-US" w:eastAsia="zh-CN"/>
        </w:rPr>
        <w:t>1</w:t>
      </w:r>
      <w:r>
        <w:rPr>
          <w:rFonts w:hint="eastAsia" w:eastAsia="仿宋_GB2312"/>
          <w:color w:val="auto"/>
          <w:sz w:val="32"/>
          <w:szCs w:val="32"/>
          <w:highlight w:val="none"/>
          <w:u w:val="single"/>
        </w:rPr>
        <w:t>月</w:t>
      </w:r>
      <w:r>
        <w:rPr>
          <w:rFonts w:hint="eastAsia" w:eastAsia="仿宋_GB2312"/>
          <w:color w:val="auto"/>
          <w:sz w:val="32"/>
          <w:szCs w:val="32"/>
          <w:highlight w:val="none"/>
          <w:u w:val="single"/>
          <w:lang w:val="en-US" w:eastAsia="zh-CN"/>
        </w:rPr>
        <w:t>31</w:t>
      </w:r>
      <w:r>
        <w:rPr>
          <w:rFonts w:hint="eastAsia" w:eastAsia="仿宋_GB2312"/>
          <w:color w:val="auto"/>
          <w:sz w:val="32"/>
          <w:szCs w:val="32"/>
          <w:highlight w:val="none"/>
          <w:u w:val="single"/>
        </w:rPr>
        <w:t>日</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78200360">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54F6CE16">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w:t>
      </w:r>
      <w:r>
        <w:rPr>
          <w:rFonts w:hint="eastAsia" w:ascii="Times New Roman" w:hAnsi="Times New Roman" w:eastAsia="仿宋_GB2312" w:cs="Times New Roman"/>
          <w:color w:val="auto"/>
          <w:sz w:val="32"/>
          <w:szCs w:val="32"/>
          <w:highlight w:val="none"/>
        </w:rPr>
        <w:t>站-招标采购栏目</w:t>
      </w:r>
      <w:r>
        <w:rPr>
          <w:rFonts w:hint="eastAsia" w:eastAsia="仿宋_GB2312"/>
          <w:color w:val="auto"/>
          <w:sz w:val="32"/>
          <w:szCs w:val="32"/>
          <w:highlight w:val="none"/>
        </w:rPr>
        <w:t>（</w:t>
      </w:r>
      <w:r>
        <w:rPr>
          <w:rFonts w:eastAsia="仿宋_GB2312"/>
          <w:color w:val="auto"/>
          <w:sz w:val="32"/>
          <w:szCs w:val="32"/>
          <w:highlight w:val="none"/>
        </w:rPr>
        <w:t>http://www.dgsy.com.cn/</w:t>
      </w:r>
      <w:r>
        <w:rPr>
          <w:rFonts w:hint="eastAsia" w:eastAsia="仿宋_GB2312"/>
          <w:color w:val="auto"/>
          <w:sz w:val="32"/>
          <w:szCs w:val="32"/>
          <w:highlight w:val="none"/>
        </w:rPr>
        <w:t>）发布。</w:t>
      </w:r>
    </w:p>
    <w:p w14:paraId="32D03D01">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47426931">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7D121714">
      <w:pPr>
        <w:spacing w:line="400" w:lineRule="exact"/>
        <w:ind w:firstLine="640" w:firstLineChars="200"/>
        <w:rPr>
          <w:rFonts w:hint="eastAsia" w:ascii="仿宋" w:hAnsi="仿宋" w:eastAsia="仿宋"/>
          <w:color w:val="auto"/>
          <w:sz w:val="32"/>
          <w:szCs w:val="32"/>
          <w:highlight w:val="none"/>
        </w:rPr>
      </w:pPr>
      <w:r>
        <w:rPr>
          <w:rFonts w:hint="eastAsia" w:ascii="仿宋" w:hAnsi="仿宋" w:eastAsia="仿宋"/>
          <w:color w:val="auto"/>
          <w:sz w:val="32"/>
          <w:szCs w:val="32"/>
          <w:highlight w:val="none"/>
        </w:rPr>
        <w:t>2、资质要求：响应人须具备道路运输经营许可证</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且</w:t>
      </w:r>
      <w:r>
        <w:rPr>
          <w:rFonts w:hint="eastAsia" w:ascii="仿宋" w:hAnsi="仿宋" w:eastAsia="仿宋"/>
          <w:color w:val="auto"/>
          <w:sz w:val="32"/>
          <w:szCs w:val="32"/>
          <w:highlight w:val="none"/>
          <w:lang w:val="en-US" w:eastAsia="zh-CN"/>
        </w:rPr>
        <w:t>资质</w:t>
      </w:r>
      <w:r>
        <w:rPr>
          <w:rFonts w:hint="eastAsia" w:ascii="仿宋" w:hAnsi="仿宋" w:eastAsia="仿宋"/>
          <w:color w:val="auto"/>
          <w:sz w:val="32"/>
          <w:szCs w:val="32"/>
          <w:highlight w:val="none"/>
        </w:rPr>
        <w:t>在有效期内。【提供资质证书复印件（加盖公章）】</w:t>
      </w:r>
    </w:p>
    <w:p w14:paraId="047E3C34">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3、业绩要求：具备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设备材料运输</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项目经验，要求</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2020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日起至</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2025</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30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日，完成至少</w:t>
      </w:r>
      <w:r>
        <w:rPr>
          <w:rFonts w:ascii="仿宋" w:hAnsi="仿宋" w:eastAsia="仿宋"/>
          <w:color w:val="auto"/>
          <w:sz w:val="32"/>
          <w:szCs w:val="32"/>
          <w:highlight w:val="none"/>
        </w:rPr>
        <w:t>1</w:t>
      </w:r>
      <w:r>
        <w:rPr>
          <w:rFonts w:hint="eastAsia" w:ascii="仿宋" w:hAnsi="仿宋" w:eastAsia="仿宋"/>
          <w:color w:val="auto"/>
          <w:sz w:val="32"/>
          <w:szCs w:val="32"/>
          <w:highlight w:val="none"/>
        </w:rPr>
        <w:t>个</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运输合同</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业绩。【按合同签订时间为准，须提供合同关键页复印件（包含但不限于合同首页、合同金额页、合同签字页等）、该合同期内任意一期发票复印件</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并加盖投标人公章。</w:t>
      </w:r>
    </w:p>
    <w:p w14:paraId="5F9C7205">
      <w:pPr>
        <w:adjustRightInd w:val="0"/>
        <w:snapToGrid w:val="0"/>
        <w:spacing w:line="600" w:lineRule="exact"/>
        <w:ind w:firstLine="640" w:firstLineChars="200"/>
        <w:rPr>
          <w:rFonts w:hint="eastAsia" w:eastAsia="仿宋_GB2312"/>
          <w:color w:val="auto"/>
          <w:sz w:val="32"/>
          <w:szCs w:val="32"/>
          <w:highlight w:val="none"/>
          <w:lang w:eastAsia="zh-CN"/>
        </w:rPr>
      </w:pPr>
      <w:r>
        <w:rPr>
          <w:rFonts w:hint="eastAsia" w:eastAsia="仿宋_GB2312"/>
          <w:color w:val="auto"/>
          <w:sz w:val="32"/>
          <w:szCs w:val="32"/>
          <w:highlight w:val="none"/>
        </w:rPr>
        <w:t>5、未被列入东实集团及下属企业</w:t>
      </w:r>
      <w:r>
        <w:rPr>
          <w:rFonts w:hint="eastAsia" w:ascii="仿宋" w:hAnsi="仿宋" w:eastAsia="仿宋"/>
          <w:color w:val="auto"/>
          <w:sz w:val="32"/>
          <w:szCs w:val="32"/>
          <w:highlight w:val="none"/>
          <w:lang w:val="en-US" w:eastAsia="zh-CN"/>
        </w:rPr>
        <w:t>相关</w:t>
      </w:r>
      <w:r>
        <w:rPr>
          <w:rFonts w:hint="eastAsia" w:eastAsia="仿宋_GB2312"/>
          <w:color w:val="auto"/>
          <w:sz w:val="32"/>
          <w:szCs w:val="32"/>
          <w:highlight w:val="none"/>
        </w:rPr>
        <w:t>领域黑名单。</w:t>
      </w:r>
    </w:p>
    <w:p w14:paraId="79311F7F">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6、本项目不接受联合体报价。</w:t>
      </w:r>
    </w:p>
    <w:p w14:paraId="098852D0">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37A30F3B">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具体要求详见本询价文件</w:t>
      </w:r>
      <w:r>
        <w:rPr>
          <w:rFonts w:hint="eastAsia" w:eastAsia="仿宋_GB2312"/>
          <w:color w:val="auto"/>
          <w:sz w:val="32"/>
          <w:szCs w:val="32"/>
          <w:highlight w:val="none"/>
          <w:u w:val="single"/>
          <w:lang w:val="en-US" w:eastAsia="zh-CN"/>
        </w:rPr>
        <w:t>附件六</w:t>
      </w:r>
      <w:r>
        <w:rPr>
          <w:rFonts w:hint="eastAsia" w:eastAsia="仿宋_GB2312"/>
          <w:color w:val="auto"/>
          <w:sz w:val="32"/>
          <w:szCs w:val="32"/>
          <w:highlight w:val="none"/>
          <w:u w:val="single"/>
        </w:rPr>
        <w:t>《</w:t>
      </w:r>
      <w:r>
        <w:rPr>
          <w:rFonts w:hint="eastAsia" w:eastAsia="仿宋_GB2312"/>
          <w:color w:val="auto"/>
          <w:sz w:val="32"/>
          <w:szCs w:val="32"/>
          <w:highlight w:val="none"/>
          <w:u w:val="single"/>
          <w:lang w:val="en-US" w:eastAsia="zh-CN"/>
        </w:rPr>
        <w:t>用户需求书</w:t>
      </w:r>
      <w:r>
        <w:rPr>
          <w:rFonts w:hint="eastAsia" w:eastAsia="仿宋_GB2312"/>
          <w:color w:val="auto"/>
          <w:sz w:val="32"/>
          <w:szCs w:val="32"/>
          <w:highlight w:val="none"/>
          <w:u w:val="single"/>
        </w:rPr>
        <w:t>》</w:t>
      </w:r>
      <w:r>
        <w:rPr>
          <w:rFonts w:hint="eastAsia" w:eastAsia="仿宋_GB2312"/>
          <w:color w:val="auto"/>
          <w:sz w:val="32"/>
          <w:szCs w:val="32"/>
          <w:highlight w:val="none"/>
        </w:rPr>
        <w:t>。响应人须仔细阅读本技术规范书，因未详细了解本技术规范书造成报价项目遗漏，由响应人自行负责。</w:t>
      </w:r>
    </w:p>
    <w:p w14:paraId="28A776F2">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2AC6BE5B">
      <w:pPr>
        <w:spacing w:line="600" w:lineRule="exact"/>
        <w:ind w:firstLine="640" w:firstLineChars="200"/>
        <w:rPr>
          <w:rFonts w:hint="eastAsia" w:eastAsia="仿宋_GB2312"/>
          <w:color w:val="auto"/>
          <w:sz w:val="32"/>
          <w:szCs w:val="32"/>
          <w:highlight w:val="none"/>
          <w:lang w:eastAsia="zh-CN"/>
        </w:rPr>
      </w:pPr>
      <w:bookmarkStart w:id="0" w:name="_Hlk38897553"/>
      <w:r>
        <w:rPr>
          <w:rFonts w:hint="eastAsia" w:eastAsia="仿宋_GB2312"/>
          <w:color w:val="auto"/>
          <w:sz w:val="32"/>
          <w:szCs w:val="32"/>
          <w:highlight w:val="none"/>
          <w:u w:val="single"/>
        </w:rPr>
        <w:t>项目运输周期</w:t>
      </w:r>
      <w:bookmarkEnd w:id="0"/>
      <w:r>
        <w:rPr>
          <w:rFonts w:hint="eastAsia" w:eastAsia="仿宋_GB2312"/>
          <w:color w:val="auto"/>
          <w:sz w:val="32"/>
          <w:szCs w:val="32"/>
          <w:highlight w:val="none"/>
          <w:u w:val="single"/>
          <w:lang w:eastAsia="zh-CN"/>
        </w:rPr>
        <w:t>：自合同签订之日起满一年，预计时间为2026年2月1日至2027年1月31日。</w:t>
      </w:r>
    </w:p>
    <w:p w14:paraId="1F65B70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六、支付方式</w:t>
      </w:r>
    </w:p>
    <w:p w14:paraId="6FB4E77E">
      <w:pPr>
        <w:adjustRightInd w:val="0"/>
        <w:snapToGrid w:val="0"/>
        <w:spacing w:line="600" w:lineRule="exact"/>
        <w:ind w:firstLine="640" w:firstLineChars="200"/>
        <w:outlineLvl w:val="1"/>
        <w:rPr>
          <w:rFonts w:hint="eastAsia" w:eastAsia="仿宋_GB2312"/>
          <w:color w:val="auto"/>
          <w:sz w:val="32"/>
          <w:szCs w:val="32"/>
          <w:highlight w:val="none"/>
          <w:u w:val="single"/>
        </w:rPr>
      </w:pPr>
      <w:r>
        <w:rPr>
          <w:rFonts w:hint="eastAsia" w:eastAsia="仿宋_GB2312"/>
          <w:color w:val="auto"/>
          <w:sz w:val="32"/>
          <w:szCs w:val="32"/>
          <w:highlight w:val="none"/>
          <w:u w:val="single"/>
        </w:rPr>
        <w:t>1.材料运达目的地后，中标人提供运输业务量确认审批表及收货单位的签收单经采购人审核无误后，中标人按运输业务量确认审批表确定的运输量以及合同单价开具有效的国内运输9%增值税专用发票，运输结算周期为按月结算。</w:t>
      </w:r>
    </w:p>
    <w:p w14:paraId="463FE281">
      <w:pPr>
        <w:adjustRightInd w:val="0"/>
        <w:snapToGrid w:val="0"/>
        <w:spacing w:line="600" w:lineRule="exact"/>
        <w:ind w:firstLine="640" w:firstLineChars="200"/>
        <w:outlineLvl w:val="1"/>
        <w:rPr>
          <w:rFonts w:hint="eastAsia" w:eastAsia="仿宋_GB2312"/>
          <w:color w:val="auto"/>
          <w:sz w:val="32"/>
          <w:szCs w:val="32"/>
          <w:highlight w:val="none"/>
          <w:u w:val="single"/>
        </w:rPr>
      </w:pPr>
      <w:r>
        <w:rPr>
          <w:rFonts w:hint="eastAsia" w:eastAsia="仿宋_GB2312"/>
          <w:color w:val="auto"/>
          <w:sz w:val="32"/>
          <w:szCs w:val="32"/>
          <w:highlight w:val="none"/>
          <w:u w:val="single"/>
        </w:rPr>
        <w:t>2.采购人收到中标人提供运输业务量确认审批表及有效的国内运输9%增值税专用发票后7个工作日内支付对应的运输款项。</w:t>
      </w:r>
    </w:p>
    <w:p w14:paraId="32EA4BBA">
      <w:pPr>
        <w:adjustRightInd w:val="0"/>
        <w:snapToGrid w:val="0"/>
        <w:spacing w:line="600" w:lineRule="exact"/>
        <w:ind w:firstLine="640" w:firstLineChars="200"/>
        <w:outlineLvl w:val="1"/>
        <w:rPr>
          <w:rFonts w:hint="eastAsia" w:eastAsia="仿宋_GB2312"/>
          <w:color w:val="auto"/>
          <w:sz w:val="32"/>
          <w:szCs w:val="32"/>
          <w:highlight w:val="none"/>
          <w:u w:val="single"/>
        </w:rPr>
      </w:pPr>
      <w:r>
        <w:rPr>
          <w:rFonts w:hint="eastAsia" w:eastAsia="仿宋_GB2312"/>
          <w:color w:val="auto"/>
          <w:sz w:val="32"/>
          <w:szCs w:val="32"/>
          <w:highlight w:val="none"/>
          <w:u w:val="single"/>
        </w:rPr>
        <w:t>3.结算方式：运输总价=运输单价×实际运输数量（实际运输数量以过磅重量为准）</w:t>
      </w:r>
      <w:r>
        <w:rPr>
          <w:rFonts w:hint="eastAsia" w:eastAsia="仿宋_GB2312"/>
          <w:color w:val="auto"/>
          <w:sz w:val="32"/>
          <w:szCs w:val="32"/>
          <w:highlight w:val="none"/>
          <w:u w:val="single"/>
          <w:lang w:val="en-US" w:eastAsia="zh-CN"/>
        </w:rPr>
        <w:t>合同运输周期实际运输总重量达到预计运输总重量的60%及以上，中标人所报固定运输单价不做调整；实际运输总量达不到预计运输总重量的60%，中标人所报固定运输单价上浮10%，在合同运输周期结束前按照上浮价格一次性结算差价金额。</w:t>
      </w:r>
    </w:p>
    <w:p w14:paraId="38B2201F">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3E4728DC">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eastAsia="仿宋_GB2312"/>
          <w:color w:val="auto"/>
          <w:sz w:val="32"/>
          <w:szCs w:val="32"/>
          <w:highlight w:val="non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人民币</w:t>
      </w:r>
      <w:r>
        <w:rPr>
          <w:rFonts w:hint="eastAsia" w:eastAsia="仿宋_GB2312"/>
          <w:color w:val="auto"/>
          <w:sz w:val="32"/>
          <w:szCs w:val="32"/>
          <w:highlight w:val="none"/>
          <w:u w:val="single"/>
          <w:lang w:val="en-US" w:eastAsia="zh-CN"/>
        </w:rPr>
        <w:t>2010000</w:t>
      </w:r>
      <w:r>
        <w:rPr>
          <w:rFonts w:hint="eastAsia" w:eastAsia="仿宋_GB2312"/>
          <w:color w:val="auto"/>
          <w:sz w:val="32"/>
          <w:szCs w:val="32"/>
          <w:highlight w:val="none"/>
          <w:u w:val="single"/>
        </w:rPr>
        <w:t>.00元整（大写：</w:t>
      </w:r>
      <w:r>
        <w:rPr>
          <w:rFonts w:hint="eastAsia" w:eastAsia="仿宋_GB2312"/>
          <w:color w:val="auto"/>
          <w:sz w:val="32"/>
          <w:szCs w:val="32"/>
          <w:highlight w:val="none"/>
          <w:u w:val="single"/>
          <w:lang w:val="en-US" w:eastAsia="zh-CN"/>
        </w:rPr>
        <w:t>贰佰零壹万元</w:t>
      </w:r>
      <w:r>
        <w:rPr>
          <w:rFonts w:hint="eastAsia" w:eastAsia="仿宋_GB2312"/>
          <w:color w:val="auto"/>
          <w:sz w:val="32"/>
          <w:szCs w:val="32"/>
          <w:highlight w:val="none"/>
          <w:u w:val="single"/>
        </w:rPr>
        <w:t>整）</w:t>
      </w:r>
      <w:r>
        <w:rPr>
          <w:rFonts w:hint="eastAsia" w:eastAsia="仿宋_GB2312"/>
          <w:color w:val="auto"/>
          <w:sz w:val="32"/>
          <w:szCs w:val="32"/>
          <w:highlight w:val="none"/>
        </w:rPr>
        <w:t>（含税）。</w:t>
      </w:r>
    </w:p>
    <w:p w14:paraId="5214F20C">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w:t>
      </w:r>
      <w:r>
        <w:rPr>
          <w:rFonts w:hint="eastAsia" w:eastAsia="仿宋_GB2312"/>
          <w:color w:val="auto"/>
          <w:sz w:val="32"/>
          <w:szCs w:val="32"/>
          <w:highlight w:val="none"/>
          <w:u w:val="single"/>
        </w:rPr>
        <w:t>固定单价暂定总价，实行固定价格报价，包括但不限于：完成本项目的成本</w:t>
      </w:r>
      <w:r>
        <w:rPr>
          <w:rFonts w:hint="eastAsia" w:eastAsia="仿宋_GB2312"/>
          <w:color w:val="auto"/>
          <w:sz w:val="32"/>
          <w:szCs w:val="32"/>
          <w:highlight w:val="none"/>
          <w:u w:val="single"/>
          <w:lang w:val="en-US" w:eastAsia="zh-CN"/>
        </w:rPr>
        <w:t>运费</w:t>
      </w:r>
      <w:r>
        <w:rPr>
          <w:rFonts w:hint="eastAsia" w:eastAsia="仿宋_GB2312"/>
          <w:color w:val="auto"/>
          <w:sz w:val="32"/>
          <w:szCs w:val="32"/>
          <w:highlight w:val="none"/>
          <w:u w:val="single"/>
        </w:rPr>
        <w:t>、税费、杂费、绑扎费（含钢绳、枕木等必要衬垫、绑扎物料的费用）、沿途有关的一切费用在项目过程中可能产生的一切费用。响应人已充分考虑了本项目服务内容及要求描述工作量可能与最终实际工作量存在差距的风险。</w:t>
      </w:r>
    </w:p>
    <w:p w14:paraId="6E8A2196">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八、定标</w:t>
      </w:r>
    </w:p>
    <w:p w14:paraId="6980E8EC">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本次项目采用询价方式进行采购，询价小组对各供应商响应文件进行审核，并根据质量和服务均能满足采购文件实质性响应要求且</w:t>
      </w:r>
      <w:r>
        <w:rPr>
          <w:rFonts w:hint="eastAsia" w:eastAsia="仿宋_GB2312"/>
          <w:color w:val="auto"/>
          <w:sz w:val="32"/>
          <w:szCs w:val="32"/>
          <w:highlight w:val="none"/>
          <w:u w:val="single"/>
          <w:lang w:val="en-US" w:eastAsia="zh-CN"/>
        </w:rPr>
        <w:t>不含税</w:t>
      </w:r>
      <w:r>
        <w:rPr>
          <w:rFonts w:hint="eastAsia" w:eastAsia="仿宋_GB2312"/>
          <w:color w:val="auto"/>
          <w:sz w:val="32"/>
          <w:szCs w:val="32"/>
          <w:highlight w:val="none"/>
          <w:u w:val="single"/>
        </w:rPr>
        <w:t>报价最低的原则，推荐成交候选供应商。</w:t>
      </w:r>
    </w:p>
    <w:p w14:paraId="36DF07AE">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询价结束后，招标采购工作小组将相关询价情况按程序审批并确定成交人。</w:t>
      </w:r>
    </w:p>
    <w:p w14:paraId="1374F6FC">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2E3094D9">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w:t>
      </w:r>
      <w:r>
        <w:rPr>
          <w:rFonts w:hint="eastAsia" w:eastAsia="仿宋_GB2312"/>
          <w:color w:val="auto"/>
          <w:sz w:val="32"/>
          <w:szCs w:val="32"/>
          <w:highlight w:val="none"/>
          <w:lang w:val="en-US" w:eastAsia="zh-CN"/>
        </w:rPr>
        <w:t>附件七合同模板</w:t>
      </w:r>
      <w:r>
        <w:rPr>
          <w:rFonts w:hint="eastAsia" w:eastAsia="仿宋_GB2312"/>
          <w:color w:val="auto"/>
          <w:sz w:val="32"/>
          <w:szCs w:val="32"/>
          <w:highlight w:val="none"/>
        </w:rPr>
        <w:t>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14:paraId="0186321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16FB6665">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62ADFD42">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报价函（模板）及报价清单；</w:t>
      </w:r>
    </w:p>
    <w:p w14:paraId="3A4EE483">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法定代表人身份</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14:paraId="4E2CBA5C">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49588CC7">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25EC5CAF">
      <w:pPr>
        <w:spacing w:line="600" w:lineRule="exact"/>
        <w:ind w:firstLine="640" w:firstLineChars="200"/>
        <w:rPr>
          <w:rFonts w:hint="eastAsia" w:eastAsia="仿宋_GB2312"/>
          <w:color w:val="auto"/>
          <w:sz w:val="32"/>
          <w:szCs w:val="32"/>
          <w:highlight w:val="none"/>
          <w:lang w:val="en-US" w:eastAsia="zh-CN"/>
        </w:rPr>
      </w:pPr>
      <w:r>
        <w:rPr>
          <w:rFonts w:eastAsia="仿宋_GB2312"/>
          <w:color w:val="auto"/>
          <w:sz w:val="32"/>
          <w:szCs w:val="32"/>
          <w:highlight w:val="none"/>
        </w:rPr>
        <w:t>5</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符合“响应人资格要求”对应的证明资料；</w:t>
      </w:r>
    </w:p>
    <w:p w14:paraId="5A2C5CC5">
      <w:pPr>
        <w:pStyle w:val="9"/>
        <w:ind w:left="0" w:leftChars="0" w:firstLine="640" w:firstLineChars="200"/>
        <w:rPr>
          <w:rFonts w:hint="eastAsia"/>
          <w:color w:val="auto"/>
          <w:highlight w:val="none"/>
          <w:lang w:val="en-US" w:eastAsia="zh-CN"/>
        </w:rPr>
      </w:pPr>
      <w:r>
        <w:rPr>
          <w:rFonts w:hint="eastAsia" w:ascii="Times New Roman" w:hAnsi="Times New Roman" w:eastAsia="仿宋_GB2312" w:cs="Times New Roman"/>
          <w:color w:val="auto"/>
          <w:kern w:val="2"/>
          <w:sz w:val="32"/>
          <w:szCs w:val="32"/>
          <w:highlight w:val="none"/>
          <w:lang w:val="en-US" w:eastAsia="zh-CN" w:bidi="ar-SA"/>
        </w:rPr>
        <w:t>6、</w:t>
      </w:r>
      <w:r>
        <w:rPr>
          <w:rFonts w:hint="eastAsia" w:eastAsia="仿宋_GB2312"/>
          <w:color w:val="auto"/>
          <w:sz w:val="32"/>
          <w:szCs w:val="32"/>
          <w:highlight w:val="none"/>
        </w:rPr>
        <w:t>商务技术偏离表（模板）</w:t>
      </w:r>
    </w:p>
    <w:p w14:paraId="6553704A">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7、</w:t>
      </w:r>
      <w:r>
        <w:rPr>
          <w:rFonts w:hint="eastAsia" w:eastAsia="仿宋_GB2312"/>
          <w:color w:val="auto"/>
          <w:sz w:val="32"/>
          <w:szCs w:val="32"/>
          <w:highlight w:val="none"/>
        </w:rPr>
        <w:t>响应人认为需要提供的其他资料。</w:t>
      </w:r>
    </w:p>
    <w:p w14:paraId="1CA7A371">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79F49805">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2253A078">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w:t>
      </w:r>
      <w:r>
        <w:rPr>
          <w:rFonts w:hint="eastAsia" w:eastAsia="仿宋_GB2312"/>
          <w:color w:val="auto"/>
          <w:sz w:val="32"/>
          <w:szCs w:val="32"/>
          <w:highlight w:val="none"/>
          <w:lang w:val="en-US" w:eastAsia="zh-CN"/>
        </w:rPr>
        <w:t>副本一份</w:t>
      </w:r>
      <w:r>
        <w:rPr>
          <w:rFonts w:hint="eastAsia" w:eastAsia="仿宋_GB2312"/>
          <w:color w:val="auto"/>
          <w:sz w:val="32"/>
          <w:szCs w:val="32"/>
          <w:highlight w:val="none"/>
        </w:rPr>
        <w:t>，并提供响应文件扫描件电子版（U盘）。</w:t>
      </w:r>
    </w:p>
    <w:p w14:paraId="053454AE">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highlight w:val="none"/>
          <w:u w:val="none"/>
          <w:lang w:val="en-US" w:eastAsia="zh-CN"/>
        </w:rPr>
      </w:pPr>
      <w:r>
        <w:rPr>
          <w:rFonts w:hint="eastAsia" w:ascii="黑体" w:hAnsi="黑体" w:eastAsia="黑体" w:cs="黑体"/>
          <w:i w:val="0"/>
          <w:iCs w:val="0"/>
          <w:caps w:val="0"/>
          <w:color w:val="auto"/>
          <w:spacing w:val="0"/>
          <w:sz w:val="32"/>
          <w:szCs w:val="32"/>
          <w:highlight w:val="none"/>
          <w:lang w:val="en-US" w:eastAsia="zh-CN"/>
        </w:rPr>
        <w:t>十二、</w:t>
      </w:r>
      <w:r>
        <w:rPr>
          <w:rFonts w:hint="eastAsia" w:ascii="黑体" w:hAnsi="黑体" w:eastAsia="黑体" w:cs="黑体"/>
          <w:i w:val="0"/>
          <w:iCs w:val="0"/>
          <w:caps w:val="0"/>
          <w:color w:val="auto"/>
          <w:spacing w:val="0"/>
          <w:sz w:val="32"/>
          <w:szCs w:val="32"/>
          <w:highlight w:val="none"/>
        </w:rPr>
        <w:t>保证金金额及缴纳方式</w:t>
      </w:r>
    </w:p>
    <w:p w14:paraId="6FF33E95">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eastAsia="仿宋_GB2312" w:cs="Times New Roman"/>
          <w:color w:val="auto"/>
          <w:sz w:val="32"/>
          <w:szCs w:val="32"/>
          <w:highlight w:val="none"/>
          <w:u w:val="single"/>
          <w:lang w:val="en-US" w:eastAsia="zh-CN"/>
        </w:rPr>
        <w:t>1、</w:t>
      </w:r>
      <w:r>
        <w:rPr>
          <w:rFonts w:hint="eastAsia" w:eastAsia="仿宋_GB2312"/>
          <w:color w:val="auto"/>
          <w:sz w:val="32"/>
          <w:szCs w:val="32"/>
          <w:highlight w:val="none"/>
          <w:u w:val="single"/>
        </w:rPr>
        <w:t>开标前，响应人应在项目开标前缴纳人民币</w:t>
      </w:r>
      <w:r>
        <w:rPr>
          <w:rFonts w:hint="eastAsia" w:eastAsia="仿宋_GB2312"/>
          <w:color w:val="auto"/>
          <w:sz w:val="32"/>
          <w:szCs w:val="32"/>
          <w:highlight w:val="none"/>
          <w:u w:val="single"/>
          <w:lang w:val="en-US" w:eastAsia="zh-CN"/>
        </w:rPr>
        <w:t>肆万元</w:t>
      </w:r>
      <w:r>
        <w:rPr>
          <w:rFonts w:hint="eastAsia" w:eastAsia="仿宋_GB2312"/>
          <w:color w:val="auto"/>
          <w:sz w:val="32"/>
          <w:szCs w:val="32"/>
          <w:highlight w:val="none"/>
          <w:u w:val="single"/>
        </w:rPr>
        <w:t>整（小写￥</w:t>
      </w:r>
      <w:r>
        <w:rPr>
          <w:rFonts w:hint="eastAsia" w:eastAsia="仿宋_GB2312"/>
          <w:color w:val="auto"/>
          <w:sz w:val="32"/>
          <w:szCs w:val="32"/>
          <w:highlight w:val="none"/>
          <w:u w:val="single"/>
          <w:lang w:val="en-US" w:eastAsia="zh-CN"/>
        </w:rPr>
        <w:t>400</w:t>
      </w:r>
      <w:r>
        <w:rPr>
          <w:rFonts w:hint="eastAsia" w:eastAsia="仿宋_GB2312"/>
          <w:color w:val="auto"/>
          <w:sz w:val="32"/>
          <w:szCs w:val="32"/>
          <w:highlight w:val="none"/>
          <w:u w:val="single"/>
        </w:rPr>
        <w:t>00.00元）至以下报价保证金专用账户（响应人与交款人名称必须一致，不接受个人名义转账）作为项目投标保证金。成交单位的投标保证金不退还，待双方签订合同后，转为履约保证金。未中标单位的保证金在项目中标确定后的10个工作日内无息退还</w:t>
      </w:r>
      <w:r>
        <w:rPr>
          <w:rFonts w:hint="eastAsia" w:ascii="Times New Roman" w:hAnsi="Times New Roman" w:eastAsia="仿宋_GB2312" w:cs="Times New Roman"/>
          <w:color w:val="auto"/>
          <w:sz w:val="32"/>
          <w:szCs w:val="32"/>
          <w:highlight w:val="none"/>
          <w:u w:val="single"/>
          <w:lang w:val="en-US" w:eastAsia="zh-CN"/>
        </w:rPr>
        <w:t>。</w:t>
      </w:r>
    </w:p>
    <w:p w14:paraId="5AA527EB">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报价保证金收款账户信息：</w:t>
      </w:r>
    </w:p>
    <w:p w14:paraId="5DAD1148">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帐户名称：吐鲁番开能环保能源有限公司</w:t>
      </w:r>
    </w:p>
    <w:p w14:paraId="1949BADC">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开户银行：中国工商银行股份有公司托克逊支行 </w:t>
      </w:r>
      <w:r>
        <w:rPr>
          <w:rFonts w:hint="eastAsia" w:eastAsia="仿宋_GB2312" w:cs="Times New Roman"/>
          <w:color w:val="auto"/>
          <w:sz w:val="32"/>
          <w:szCs w:val="32"/>
          <w:highlight w:val="none"/>
          <w:u w:val="single"/>
          <w:lang w:val="en-US" w:eastAsia="zh-CN"/>
        </w:rPr>
        <w:t xml:space="preserve">    </w:t>
      </w:r>
    </w:p>
    <w:p w14:paraId="21CEB15C">
      <w:pPr>
        <w:spacing w:line="600" w:lineRule="exact"/>
        <w:ind w:firstLine="640" w:firstLineChars="200"/>
        <w:rPr>
          <w:rFonts w:hint="eastAsia"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银行帐号：3005 2931 0920 0127 655 </w:t>
      </w:r>
      <w:r>
        <w:rPr>
          <w:rFonts w:hint="eastAsia" w:eastAsia="仿宋_GB2312" w:cs="Times New Roman"/>
          <w:color w:val="auto"/>
          <w:sz w:val="32"/>
          <w:szCs w:val="32"/>
          <w:highlight w:val="none"/>
          <w:u w:val="single"/>
          <w:lang w:val="en-US" w:eastAsia="zh-CN"/>
        </w:rPr>
        <w:t xml:space="preserve"> </w:t>
      </w:r>
    </w:p>
    <w:p w14:paraId="4F857AA2">
      <w:pPr>
        <w:spacing w:line="600" w:lineRule="exact"/>
        <w:ind w:firstLine="640" w:firstLineChars="200"/>
        <w:rPr>
          <w:rFonts w:hint="eastAsia"/>
          <w:color w:val="auto"/>
          <w:highlight w:val="none"/>
          <w:lang w:val="en-US" w:eastAsia="zh-CN"/>
        </w:rPr>
      </w:pPr>
      <w:r>
        <w:rPr>
          <w:rFonts w:hint="eastAsia" w:eastAsia="仿宋_GB2312" w:cs="Times New Roman"/>
          <w:color w:val="auto"/>
          <w:sz w:val="32"/>
          <w:szCs w:val="32"/>
          <w:highlight w:val="none"/>
          <w:u w:val="single"/>
          <w:lang w:val="en-US" w:eastAsia="zh-CN"/>
        </w:rPr>
        <w:t>2</w:t>
      </w:r>
      <w:r>
        <w:rPr>
          <w:rFonts w:hint="eastAsia" w:ascii="Times New Roman" w:hAnsi="Times New Roman" w:eastAsia="仿宋_GB2312" w:cs="Times New Roman"/>
          <w:color w:val="auto"/>
          <w:sz w:val="32"/>
          <w:szCs w:val="32"/>
          <w:highlight w:val="none"/>
          <w:u w:val="single"/>
          <w:lang w:val="en-US" w:eastAsia="zh-CN"/>
        </w:rPr>
        <w:t>、报价保证金在本项目合同签订后自动转为履约保证金。</w:t>
      </w:r>
    </w:p>
    <w:p w14:paraId="2667C025">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三</w:t>
      </w:r>
      <w:r>
        <w:rPr>
          <w:rFonts w:hint="eastAsia" w:eastAsia="黑体"/>
          <w:color w:val="auto"/>
          <w:sz w:val="32"/>
          <w:szCs w:val="32"/>
          <w:highlight w:val="none"/>
        </w:rPr>
        <w:t>、开标时间及地址</w:t>
      </w:r>
    </w:p>
    <w:p w14:paraId="294F6473">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、开标时间：</w:t>
      </w:r>
      <w:r>
        <w:rPr>
          <w:rFonts w:eastAsia="仿宋_GB2312"/>
          <w:b/>
          <w:color w:val="auto"/>
          <w:sz w:val="32"/>
          <w:szCs w:val="32"/>
          <w:highlight w:val="none"/>
          <w:u w:val="single"/>
        </w:rPr>
        <w:t>20</w:t>
      </w:r>
      <w:r>
        <w:rPr>
          <w:rFonts w:hint="eastAsia" w:eastAsia="仿宋_GB2312"/>
          <w:b/>
          <w:color w:val="auto"/>
          <w:sz w:val="32"/>
          <w:szCs w:val="32"/>
          <w:highlight w:val="none"/>
          <w:u w:val="single"/>
          <w:lang w:val="en-US" w:eastAsia="zh-CN"/>
        </w:rPr>
        <w:t>26</w:t>
      </w:r>
      <w:r>
        <w:rPr>
          <w:rFonts w:eastAsia="仿宋_GB2312"/>
          <w:b/>
          <w:color w:val="auto"/>
          <w:sz w:val="32"/>
          <w:szCs w:val="32"/>
          <w:highlight w:val="none"/>
          <w:u w:val="single"/>
        </w:rPr>
        <w:t xml:space="preserve"> </w:t>
      </w:r>
      <w:r>
        <w:rPr>
          <w:rFonts w:hint="eastAsia" w:eastAsia="仿宋_GB2312"/>
          <w:b/>
          <w:color w:val="auto"/>
          <w:sz w:val="32"/>
          <w:szCs w:val="32"/>
          <w:highlight w:val="none"/>
        </w:rPr>
        <w:t>年</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lang w:val="en-US" w:eastAsia="zh-CN"/>
        </w:rPr>
        <w:t>1</w:t>
      </w:r>
      <w:r>
        <w:rPr>
          <w:rFonts w:eastAsia="仿宋_GB2312"/>
          <w:b/>
          <w:color w:val="auto"/>
          <w:sz w:val="32"/>
          <w:szCs w:val="32"/>
          <w:highlight w:val="none"/>
          <w:u w:val="single"/>
        </w:rPr>
        <w:t xml:space="preserve"> </w:t>
      </w:r>
      <w:r>
        <w:rPr>
          <w:rFonts w:hint="eastAsia" w:eastAsia="仿宋_GB2312"/>
          <w:b/>
          <w:color w:val="auto"/>
          <w:sz w:val="32"/>
          <w:szCs w:val="32"/>
          <w:highlight w:val="none"/>
        </w:rPr>
        <w:t>月</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lang w:val="en-US" w:eastAsia="zh-CN"/>
        </w:rPr>
        <w:t>13</w:t>
      </w:r>
      <w:r>
        <w:rPr>
          <w:rFonts w:hint="eastAsia" w:eastAsia="仿宋_GB2312"/>
          <w:b/>
          <w:color w:val="auto"/>
          <w:sz w:val="32"/>
          <w:szCs w:val="32"/>
          <w:highlight w:val="none"/>
        </w:rPr>
        <w:t>日（星期</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lang w:val="en-US" w:eastAsia="zh-CN"/>
        </w:rPr>
        <w:t>二</w:t>
      </w:r>
      <w:r>
        <w:rPr>
          <w:rFonts w:eastAsia="仿宋_GB2312"/>
          <w:b/>
          <w:color w:val="auto"/>
          <w:sz w:val="32"/>
          <w:szCs w:val="32"/>
          <w:highlight w:val="none"/>
          <w:u w:val="single"/>
        </w:rPr>
        <w:t xml:space="preserve"> </w:t>
      </w:r>
      <w:r>
        <w:rPr>
          <w:rFonts w:hint="eastAsia" w:eastAsia="仿宋_GB2312"/>
          <w:b/>
          <w:color w:val="auto"/>
          <w:sz w:val="32"/>
          <w:szCs w:val="32"/>
          <w:highlight w:val="none"/>
        </w:rPr>
        <w:t>）</w:t>
      </w:r>
      <w:r>
        <w:rPr>
          <w:rFonts w:hint="eastAsia" w:eastAsia="仿宋_GB2312"/>
          <w:b/>
          <w:color w:val="auto"/>
          <w:sz w:val="32"/>
          <w:szCs w:val="32"/>
          <w:highlight w:val="none"/>
          <w:lang w:val="en-US" w:eastAsia="zh-CN"/>
        </w:rPr>
        <w:t>下</w:t>
      </w:r>
      <w:r>
        <w:rPr>
          <w:rFonts w:hint="eastAsia" w:eastAsia="仿宋_GB2312"/>
          <w:b/>
          <w:color w:val="auto"/>
          <w:sz w:val="32"/>
          <w:szCs w:val="32"/>
          <w:highlight w:val="none"/>
        </w:rPr>
        <w:t>午</w:t>
      </w:r>
      <w:r>
        <w:rPr>
          <w:rFonts w:hint="eastAsia" w:eastAsia="仿宋_GB2312"/>
          <w:b/>
          <w:color w:val="auto"/>
          <w:sz w:val="32"/>
          <w:szCs w:val="32"/>
          <w:highlight w:val="none"/>
          <w:u w:val="single"/>
          <w:lang w:val="en-US" w:eastAsia="zh-CN"/>
        </w:rPr>
        <w:t>16</w:t>
      </w:r>
      <w:r>
        <w:rPr>
          <w:rFonts w:eastAsia="仿宋_GB2312"/>
          <w:b/>
          <w:color w:val="auto"/>
          <w:sz w:val="32"/>
          <w:szCs w:val="32"/>
          <w:highlight w:val="none"/>
          <w:u w:val="single"/>
        </w:rPr>
        <w:t>:</w:t>
      </w:r>
      <w:r>
        <w:rPr>
          <w:rFonts w:hint="eastAsia" w:eastAsia="仿宋_GB2312"/>
          <w:b/>
          <w:color w:val="auto"/>
          <w:sz w:val="32"/>
          <w:szCs w:val="32"/>
          <w:highlight w:val="none"/>
          <w:u w:val="single"/>
          <w:lang w:val="en-US" w:eastAsia="zh-CN"/>
        </w:rPr>
        <w:t>0</w:t>
      </w:r>
      <w:r>
        <w:rPr>
          <w:rFonts w:eastAsia="仿宋_GB2312"/>
          <w:b/>
          <w:color w:val="auto"/>
          <w:sz w:val="32"/>
          <w:szCs w:val="32"/>
          <w:highlight w:val="none"/>
          <w:u w:val="single"/>
        </w:rPr>
        <w:t>0</w:t>
      </w:r>
      <w:r>
        <w:rPr>
          <w:rFonts w:hint="eastAsia" w:eastAsia="仿宋_GB2312"/>
          <w:b/>
          <w:color w:val="auto"/>
          <w:sz w:val="32"/>
          <w:szCs w:val="32"/>
          <w:highlight w:val="none"/>
        </w:rPr>
        <w:t>。</w:t>
      </w:r>
    </w:p>
    <w:p w14:paraId="1408B8CA">
      <w:pPr>
        <w:spacing w:line="600" w:lineRule="exact"/>
        <w:ind w:firstLine="643" w:firstLineChars="200"/>
        <w:rPr>
          <w:rFonts w:hint="eastAsia" w:eastAsia="仿宋_GB2312"/>
          <w:b/>
          <w:color w:val="auto"/>
          <w:sz w:val="32"/>
          <w:szCs w:val="32"/>
          <w:highlight w:val="none"/>
          <w:lang w:eastAsia="zh-CN"/>
        </w:rPr>
      </w:pPr>
      <w:r>
        <w:rPr>
          <w:rFonts w:eastAsia="仿宋_GB2312"/>
          <w:b/>
          <w:color w:val="auto"/>
          <w:sz w:val="32"/>
          <w:szCs w:val="32"/>
          <w:highlight w:val="none"/>
        </w:rPr>
        <w:t>2</w:t>
      </w:r>
      <w:r>
        <w:rPr>
          <w:rFonts w:hint="eastAsia" w:eastAsia="仿宋_GB2312"/>
          <w:b/>
          <w:color w:val="auto"/>
          <w:sz w:val="32"/>
          <w:szCs w:val="32"/>
          <w:highlight w:val="none"/>
        </w:rPr>
        <w:t>、开标地址：</w:t>
      </w:r>
      <w:r>
        <w:rPr>
          <w:rFonts w:eastAsia="仿宋_GB2312"/>
          <w:b/>
          <w:color w:val="auto"/>
          <w:sz w:val="32"/>
          <w:szCs w:val="32"/>
          <w:highlight w:val="none"/>
          <w:u w:val="single"/>
        </w:rPr>
        <w:t xml:space="preserve">  </w:t>
      </w:r>
      <w:r>
        <w:rPr>
          <w:rFonts w:hint="default" w:eastAsia="仿宋_GB2312"/>
          <w:b/>
          <w:color w:val="auto"/>
          <w:sz w:val="32"/>
          <w:szCs w:val="32"/>
          <w:highlight w:val="none"/>
          <w:u w:val="single"/>
          <w:lang w:val="en-US" w:eastAsia="zh-CN"/>
        </w:rPr>
        <w:t>新疆吐</w:t>
      </w:r>
      <w:bookmarkStart w:id="19" w:name="_GoBack"/>
      <w:bookmarkEnd w:id="19"/>
      <w:r>
        <w:rPr>
          <w:rFonts w:hint="default" w:eastAsia="仿宋_GB2312"/>
          <w:b/>
          <w:color w:val="auto"/>
          <w:sz w:val="32"/>
          <w:szCs w:val="32"/>
          <w:highlight w:val="none"/>
          <w:u w:val="single"/>
          <w:lang w:val="en-US" w:eastAsia="zh-CN"/>
        </w:rPr>
        <w:t>鲁番托克逊县阿乐惠镇圣雄工业园区电石厂区外101室</w:t>
      </w:r>
      <w:r>
        <w:rPr>
          <w:rFonts w:hint="eastAsia" w:eastAsia="仿宋_GB2312"/>
          <w:b/>
          <w:color w:val="auto"/>
          <w:sz w:val="32"/>
          <w:szCs w:val="32"/>
          <w:highlight w:val="none"/>
          <w:u w:val="single"/>
          <w:lang w:val="en-US" w:eastAsia="zh-CN"/>
        </w:rPr>
        <w:t>吐鲁番开能环保能源有限公司</w:t>
      </w:r>
      <w:r>
        <w:rPr>
          <w:rFonts w:hint="eastAsia" w:eastAsia="仿宋_GB2312"/>
          <w:b/>
          <w:color w:val="auto"/>
          <w:sz w:val="32"/>
          <w:szCs w:val="32"/>
          <w:highlight w:val="none"/>
          <w:u w:val="single"/>
        </w:rPr>
        <w:t>会议室</w:t>
      </w:r>
      <w:r>
        <w:rPr>
          <w:rFonts w:hint="eastAsia" w:eastAsia="仿宋_GB2312"/>
          <w:b/>
          <w:color w:val="auto"/>
          <w:sz w:val="32"/>
          <w:szCs w:val="32"/>
          <w:highlight w:val="none"/>
          <w:u w:val="single"/>
          <w:lang w:eastAsia="zh-CN"/>
        </w:rPr>
        <w:t>。</w:t>
      </w:r>
    </w:p>
    <w:p w14:paraId="3D50064D">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联系人：</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西尔扎提</w:t>
      </w:r>
      <w:r>
        <w:rPr>
          <w:rFonts w:eastAsia="仿宋_GB2312"/>
          <w:color w:val="auto"/>
          <w:sz w:val="32"/>
          <w:szCs w:val="32"/>
          <w:highlight w:val="none"/>
          <w:u w:val="single"/>
        </w:rPr>
        <w:t xml:space="preserve">         </w:t>
      </w:r>
    </w:p>
    <w:p w14:paraId="5BAA94F6">
      <w:pPr>
        <w:spacing w:line="600" w:lineRule="exact"/>
        <w:ind w:firstLine="640" w:firstLineChars="200"/>
        <w:rPr>
          <w:rFonts w:hint="default" w:ascii="黑体" w:hAnsi="黑体" w:eastAsia="黑体" w:cs="黑体"/>
          <w:i w:val="0"/>
          <w:iCs w:val="0"/>
          <w:caps w:val="0"/>
          <w:color w:val="auto"/>
          <w:spacing w:val="0"/>
          <w:sz w:val="32"/>
          <w:szCs w:val="32"/>
          <w:highlight w:val="none"/>
          <w:lang w:val="en-US" w:eastAsia="zh-CN"/>
        </w:rPr>
      </w:pPr>
      <w:r>
        <w:rPr>
          <w:rFonts w:hint="eastAsia" w:eastAsia="仿宋_GB2312"/>
          <w:color w:val="auto"/>
          <w:sz w:val="32"/>
          <w:szCs w:val="32"/>
          <w:highlight w:val="none"/>
        </w:rPr>
        <w:t>联系电话：</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17399956730</w:t>
      </w:r>
      <w:r>
        <w:rPr>
          <w:rFonts w:eastAsia="仿宋_GB2312"/>
          <w:color w:val="auto"/>
          <w:sz w:val="32"/>
          <w:szCs w:val="32"/>
          <w:highlight w:val="none"/>
          <w:u w:val="single"/>
        </w:rPr>
        <w:t xml:space="preserve">      </w:t>
      </w:r>
    </w:p>
    <w:p w14:paraId="299B667D">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四</w:t>
      </w:r>
      <w:r>
        <w:rPr>
          <w:rFonts w:hint="eastAsia" w:eastAsia="黑体"/>
          <w:color w:val="auto"/>
          <w:sz w:val="32"/>
          <w:szCs w:val="32"/>
          <w:highlight w:val="none"/>
        </w:rPr>
        <w:t>、注意事项</w:t>
      </w:r>
    </w:p>
    <w:p w14:paraId="42F41E18">
      <w:pPr>
        <w:spacing w:line="600" w:lineRule="exact"/>
        <w:ind w:firstLine="640" w:firstLineChars="200"/>
        <w:rPr>
          <w:rFonts w:eastAsia="仿宋_GB2312"/>
          <w:color w:val="auto"/>
          <w:sz w:val="32"/>
          <w:szCs w:val="32"/>
          <w:highlight w:val="none"/>
        </w:rPr>
      </w:pPr>
      <w:bookmarkStart w:id="1"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0B47A2CB">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24AF4CE5">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1"/>
    </w:p>
    <w:p w14:paraId="3A5A2250">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1B187E24">
      <w:pPr>
        <w:pStyle w:val="20"/>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lang w:val="en-US" w:eastAsia="zh-CN" w:bidi="ar-SA"/>
        </w:rPr>
        <w:t>本项目仅可提交一个报价方案，提交两个或以上报价方案的响应人视为无效报价。</w:t>
      </w:r>
    </w:p>
    <w:p w14:paraId="347262C9">
      <w:pPr>
        <w:pStyle w:val="20"/>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6、本项目不接受响应人其他附加条件。</w:t>
      </w:r>
    </w:p>
    <w:p w14:paraId="00205F88">
      <w:pPr>
        <w:pStyle w:val="20"/>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7、有下列情形之一的，报价保证金将被没收，并纳入采购人供应商黑名单：</w:t>
      </w:r>
    </w:p>
    <w:p w14:paraId="30F3A871">
      <w:pPr>
        <w:pStyle w:val="20"/>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（1）中标后无正当理由放弃中标或不与采购人签订合同。</w:t>
      </w:r>
    </w:p>
    <w:p w14:paraId="63A597EA">
      <w:pPr>
        <w:pStyle w:val="20"/>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（2）成交人将本项目转让给他人，或者在报价文件中未说明，且未经采购人同意，将中标项目分包给他人，采购人可没收其报价保证金。</w:t>
      </w:r>
    </w:p>
    <w:p w14:paraId="6E19D07A">
      <w:pPr>
        <w:widowControl/>
        <w:spacing w:line="600" w:lineRule="exact"/>
        <w:ind w:firstLine="640" w:firstLineChars="200"/>
        <w:jc w:val="left"/>
        <w:rPr>
          <w:rFonts w:eastAsia="仿宋_GB2312"/>
          <w:color w:val="auto"/>
          <w:sz w:val="32"/>
          <w:szCs w:val="32"/>
          <w:highlight w:val="none"/>
        </w:rPr>
      </w:pPr>
      <w:r>
        <w:rPr>
          <w:rFonts w:hint="eastAsia" w:ascii="Times New Roman" w:hAnsi="Times New Roman" w:eastAsia="仿宋_GB2312" w:cs="Times New Roman"/>
          <w:color w:val="auto"/>
          <w:kern w:val="2"/>
          <w:sz w:val="32"/>
          <w:szCs w:val="32"/>
          <w:highlight w:val="none"/>
          <w:lang w:val="en-US" w:eastAsia="zh-CN" w:bidi="ar-SA"/>
        </w:rPr>
        <w:t>（3）报价人提供虚假报价文件或虚假补充文件</w:t>
      </w:r>
      <w:r>
        <w:rPr>
          <w:rFonts w:hint="eastAsia" w:eastAsia="仿宋_GB2312" w:cs="Times New Roman"/>
          <w:color w:val="auto"/>
          <w:kern w:val="2"/>
          <w:sz w:val="32"/>
          <w:szCs w:val="32"/>
          <w:highlight w:val="none"/>
          <w:lang w:val="en-US" w:eastAsia="zh-CN" w:bidi="ar-SA"/>
        </w:rPr>
        <w:t>。</w:t>
      </w:r>
    </w:p>
    <w:p w14:paraId="0E4829A7">
      <w:pPr>
        <w:widowControl/>
        <w:spacing w:line="600" w:lineRule="exact"/>
        <w:jc w:val="left"/>
        <w:rPr>
          <w:rFonts w:eastAsia="仿宋_GB2312"/>
          <w:color w:val="auto"/>
          <w:sz w:val="32"/>
          <w:szCs w:val="32"/>
          <w:highlight w:val="none"/>
        </w:rPr>
      </w:pPr>
    </w:p>
    <w:p w14:paraId="02B1AC76">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none"/>
        </w:rPr>
        <w:t xml:space="preserve">   </w:t>
      </w:r>
      <w:r>
        <w:rPr>
          <w:rFonts w:hint="eastAsia" w:eastAsia="仿宋_GB2312"/>
          <w:color w:val="auto"/>
          <w:sz w:val="32"/>
          <w:szCs w:val="32"/>
          <w:highlight w:val="none"/>
          <w:u w:val="none"/>
          <w:lang w:val="en-US" w:eastAsia="zh-CN"/>
        </w:rPr>
        <w:t>吐鲁番开能环保能源有限</w:t>
      </w:r>
      <w:r>
        <w:rPr>
          <w:rFonts w:hint="eastAsia" w:eastAsia="仿宋_GB2312"/>
          <w:color w:val="auto"/>
          <w:sz w:val="32"/>
          <w:szCs w:val="32"/>
          <w:highlight w:val="none"/>
        </w:rPr>
        <w:t>公司</w:t>
      </w:r>
    </w:p>
    <w:p w14:paraId="269944FA">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single"/>
        </w:rPr>
        <w:t>20</w:t>
      </w:r>
      <w:r>
        <w:rPr>
          <w:rFonts w:hint="eastAsia" w:eastAsia="仿宋_GB2312"/>
          <w:color w:val="auto"/>
          <w:sz w:val="32"/>
          <w:szCs w:val="32"/>
          <w:highlight w:val="none"/>
          <w:u w:val="single"/>
          <w:lang w:val="en-US" w:eastAsia="zh-CN"/>
        </w:rPr>
        <w:t>26</w:t>
      </w:r>
      <w:r>
        <w:rPr>
          <w:rFonts w:eastAsia="仿宋_GB2312"/>
          <w:color w:val="auto"/>
          <w:sz w:val="32"/>
          <w:szCs w:val="32"/>
          <w:highlight w:val="none"/>
          <w:u w:val="single"/>
        </w:rPr>
        <w:t xml:space="preserve">  </w:t>
      </w:r>
      <w:r>
        <w:rPr>
          <w:rFonts w:hint="eastAsia" w:eastAsia="仿宋_GB2312"/>
          <w:color w:val="auto"/>
          <w:sz w:val="32"/>
          <w:szCs w:val="32"/>
          <w:highlight w:val="none"/>
        </w:rPr>
        <w:t>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w:t>
      </w:r>
      <w:r>
        <w:rPr>
          <w:rFonts w:eastAsia="仿宋_GB2312"/>
          <w:color w:val="auto"/>
          <w:sz w:val="32"/>
          <w:szCs w:val="32"/>
          <w:highlight w:val="none"/>
          <w:u w:val="single"/>
        </w:rPr>
        <w:t xml:space="preserve">  </w:t>
      </w:r>
      <w:r>
        <w:rPr>
          <w:rFonts w:hint="eastAsia" w:eastAsia="仿宋_GB2312"/>
          <w:color w:val="auto"/>
          <w:sz w:val="32"/>
          <w:szCs w:val="32"/>
          <w:highlight w:val="none"/>
        </w:rPr>
        <w:t>月</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7</w:t>
      </w:r>
      <w:r>
        <w:rPr>
          <w:rFonts w:hint="eastAsia" w:eastAsia="仿宋_GB2312"/>
          <w:color w:val="auto"/>
          <w:sz w:val="32"/>
          <w:szCs w:val="32"/>
          <w:highlight w:val="none"/>
        </w:rPr>
        <w:t>日</w:t>
      </w:r>
    </w:p>
    <w:p w14:paraId="764DFE70">
      <w:pPr>
        <w:widowControl/>
        <w:spacing w:line="600" w:lineRule="exact"/>
        <w:ind w:firstLine="640" w:firstLineChars="200"/>
        <w:jc w:val="left"/>
        <w:rPr>
          <w:rFonts w:eastAsia="仿宋_GB2312"/>
          <w:color w:val="auto"/>
          <w:sz w:val="32"/>
          <w:szCs w:val="32"/>
          <w:highlight w:val="yellow"/>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62CF1645">
      <w:pPr>
        <w:pStyle w:val="42"/>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14:paraId="4DD76801">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22"/>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395352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6EE5762F">
            <w:pPr>
              <w:pStyle w:val="13"/>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1F66E7A1">
            <w:pPr>
              <w:pStyle w:val="13"/>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5C456115">
            <w:pPr>
              <w:pStyle w:val="13"/>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0C08F0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3475BCA">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1B665A4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2E7CBD38">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u w:val="single"/>
              </w:rPr>
              <w:t>吐鲁番开能环保能源有限公司202</w:t>
            </w:r>
            <w:r>
              <w:rPr>
                <w:rFonts w:hint="eastAsia" w:eastAsia="仿宋_GB2312"/>
                <w:color w:val="auto"/>
                <w:sz w:val="32"/>
                <w:szCs w:val="32"/>
                <w:highlight w:val="none"/>
                <w:u w:val="single"/>
                <w:lang w:val="en-US" w:eastAsia="zh-CN"/>
              </w:rPr>
              <w:t>6</w:t>
            </w:r>
            <w:r>
              <w:rPr>
                <w:rFonts w:hint="eastAsia" w:eastAsia="仿宋_GB2312"/>
                <w:color w:val="auto"/>
                <w:sz w:val="32"/>
                <w:szCs w:val="32"/>
                <w:highlight w:val="none"/>
                <w:u w:val="single"/>
              </w:rPr>
              <w:t>-202</w:t>
            </w:r>
            <w:r>
              <w:rPr>
                <w:rFonts w:hint="eastAsia" w:eastAsia="仿宋_GB2312"/>
                <w:color w:val="auto"/>
                <w:sz w:val="32"/>
                <w:szCs w:val="32"/>
                <w:highlight w:val="none"/>
                <w:u w:val="single"/>
                <w:lang w:val="en-US" w:eastAsia="zh-CN"/>
              </w:rPr>
              <w:t>7</w:t>
            </w:r>
            <w:r>
              <w:rPr>
                <w:rFonts w:hint="eastAsia" w:eastAsia="仿宋_GB2312"/>
                <w:color w:val="auto"/>
                <w:sz w:val="32"/>
                <w:szCs w:val="32"/>
                <w:highlight w:val="none"/>
                <w:u w:val="single"/>
              </w:rPr>
              <w:t>年燃料及粉煤灰材料运输</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重新采购</w:t>
            </w:r>
            <w:r>
              <w:rPr>
                <w:rFonts w:hint="eastAsia" w:eastAsia="仿宋_GB2312"/>
                <w:color w:val="auto"/>
                <w:sz w:val="32"/>
                <w:szCs w:val="32"/>
                <w:highlight w:val="none"/>
                <w:u w:val="single"/>
                <w:lang w:eastAsia="zh-CN"/>
              </w:rPr>
              <w:t>）</w:t>
            </w:r>
          </w:p>
        </w:tc>
      </w:tr>
      <w:tr w14:paraId="604CFB5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134DD90">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37466672">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42D677FE">
            <w:pPr>
              <w:spacing w:line="360" w:lineRule="auto"/>
              <w:rPr>
                <w:rFonts w:eastAsia="仿宋_GB2312"/>
                <w:color w:val="auto"/>
                <w:sz w:val="32"/>
                <w:szCs w:val="32"/>
                <w:highlight w:val="none"/>
              </w:rPr>
            </w:pPr>
            <w:r>
              <w:rPr>
                <w:rFonts w:hint="eastAsia" w:eastAsia="仿宋_GB2312"/>
                <w:color w:val="auto"/>
                <w:sz w:val="32"/>
                <w:szCs w:val="32"/>
                <w:highlight w:val="none"/>
                <w:u w:val="single"/>
                <w:lang w:val="en-US" w:eastAsia="zh-CN"/>
              </w:rPr>
              <w:t>新疆</w:t>
            </w:r>
            <w:r>
              <w:rPr>
                <w:rFonts w:hint="default" w:eastAsia="仿宋_GB2312"/>
                <w:color w:val="auto"/>
                <w:sz w:val="32"/>
                <w:szCs w:val="32"/>
                <w:highlight w:val="none"/>
                <w:u w:val="single"/>
                <w:lang w:val="en-US" w:eastAsia="zh-CN"/>
              </w:rPr>
              <w:t>吐鲁番托克逊县阿乐惠镇圣雄工业园区电石厂区</w:t>
            </w:r>
          </w:p>
        </w:tc>
      </w:tr>
      <w:tr w14:paraId="3822739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506755C">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2</w:t>
            </w:r>
          </w:p>
        </w:tc>
        <w:tc>
          <w:tcPr>
            <w:tcW w:w="2275" w:type="dxa"/>
            <w:vAlign w:val="center"/>
          </w:tcPr>
          <w:p w14:paraId="44E23D68">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vAlign w:val="center"/>
          </w:tcPr>
          <w:p w14:paraId="60ED3749">
            <w:pPr>
              <w:spacing w:line="500" w:lineRule="exact"/>
              <w:jc w:val="left"/>
              <w:rPr>
                <w:rFonts w:eastAsia="仿宋_GB2312"/>
                <w:color w:val="auto"/>
                <w:sz w:val="32"/>
                <w:szCs w:val="32"/>
                <w:highlight w:val="none"/>
              </w:rPr>
            </w:pPr>
            <w:r>
              <w:rPr>
                <w:rFonts w:hint="eastAsia" w:eastAsia="仿宋_GB2312"/>
                <w:color w:val="auto"/>
                <w:sz w:val="32"/>
                <w:szCs w:val="32"/>
                <w:highlight w:val="none"/>
                <w:u w:val="single"/>
              </w:rPr>
              <w:t>项目运输周期</w:t>
            </w:r>
            <w:r>
              <w:rPr>
                <w:rFonts w:hint="eastAsia" w:eastAsia="仿宋_GB2312"/>
                <w:color w:val="auto"/>
                <w:sz w:val="32"/>
                <w:szCs w:val="32"/>
                <w:highlight w:val="none"/>
                <w:u w:val="single"/>
                <w:lang w:eastAsia="zh-CN"/>
              </w:rPr>
              <w:t>：自合同签订之日起满一年，预计时间为2026年2月1日至2027年1月31日 。</w:t>
            </w:r>
          </w:p>
        </w:tc>
      </w:tr>
      <w:tr w14:paraId="0CB551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CED8464">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3</w:t>
            </w:r>
          </w:p>
        </w:tc>
        <w:tc>
          <w:tcPr>
            <w:tcW w:w="2275" w:type="dxa"/>
            <w:vAlign w:val="center"/>
          </w:tcPr>
          <w:p w14:paraId="62813DE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14:paraId="79FA5371">
            <w:pPr>
              <w:adjustRightInd w:val="0"/>
              <w:snapToGrid w:val="0"/>
              <w:spacing w:line="560" w:lineRule="exact"/>
              <w:rPr>
                <w:rFonts w:eastAsia="仿宋_GB2312"/>
                <w:color w:val="auto"/>
                <w:sz w:val="32"/>
                <w:szCs w:val="32"/>
                <w:highlight w:val="none"/>
              </w:rPr>
            </w:pPr>
            <w:r>
              <w:rPr>
                <w:rFonts w:hint="eastAsia" w:ascii="仿宋" w:hAnsi="仿宋" w:eastAsia="仿宋"/>
                <w:color w:val="auto"/>
                <w:sz w:val="32"/>
                <w:szCs w:val="32"/>
                <w:highlight w:val="none"/>
              </w:rPr>
              <w:t>道路运输经营许可证</w:t>
            </w:r>
          </w:p>
        </w:tc>
      </w:tr>
      <w:tr w14:paraId="12F797D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B6B5325">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4</w:t>
            </w:r>
          </w:p>
        </w:tc>
        <w:tc>
          <w:tcPr>
            <w:tcW w:w="2275" w:type="dxa"/>
          </w:tcPr>
          <w:p w14:paraId="08DEED4F">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询价保证金金额及缴纳方式</w:t>
            </w:r>
          </w:p>
        </w:tc>
        <w:tc>
          <w:tcPr>
            <w:tcW w:w="5942" w:type="dxa"/>
            <w:vAlign w:val="center"/>
          </w:tcPr>
          <w:p w14:paraId="42D13AA4">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开标前，响应人应在项目开标前缴纳人民币肆万元整（小写￥40000.00元）至以下报价保证金专用账户（响应人与交款人名称必须一致，不接受个人名义转账）作为项目投标保证金。成交单位的投标保证金不退还，待双方签订合同后，转为履约保证金。未中标单位的保证金在项目中标确定后的10个工作日内无息退还。</w:t>
            </w:r>
          </w:p>
          <w:p w14:paraId="009A42EB">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报价保证金收款账户信息：</w:t>
            </w:r>
          </w:p>
          <w:p w14:paraId="06E40911">
            <w:pPr>
              <w:adjustRightInd w:val="0"/>
              <w:snapToGrid w:val="0"/>
              <w:spacing w:line="560" w:lineRule="exact"/>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 xml:space="preserve">帐户名称：吐鲁番开能环保能源有限公司；                            </w:t>
            </w:r>
          </w:p>
          <w:p w14:paraId="4B8630BD">
            <w:pPr>
              <w:adjustRightInd w:val="0"/>
              <w:snapToGrid w:val="0"/>
              <w:spacing w:line="560" w:lineRule="exact"/>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 xml:space="preserve">开户银行：中国工商银行股份有公司托克逊支行 ；                         </w:t>
            </w:r>
          </w:p>
          <w:p w14:paraId="6310F09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lang w:val="en-US" w:eastAsia="zh-CN"/>
              </w:rPr>
              <w:t xml:space="preserve">银行帐号：3005 2931 0920 0127 655        </w:t>
            </w:r>
          </w:p>
        </w:tc>
      </w:tr>
      <w:tr w14:paraId="3E75960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8C3FA81">
            <w:pPr>
              <w:spacing w:line="360" w:lineRule="auto"/>
              <w:jc w:val="center"/>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5</w:t>
            </w:r>
          </w:p>
        </w:tc>
        <w:tc>
          <w:tcPr>
            <w:tcW w:w="2275" w:type="dxa"/>
          </w:tcPr>
          <w:p w14:paraId="569D223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2835468D">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05A0BD0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0885BD4">
            <w:pPr>
              <w:spacing w:line="360" w:lineRule="auto"/>
              <w:jc w:val="center"/>
              <w:rPr>
                <w:rFonts w:eastAsia="仿宋_GB2312"/>
                <w:color w:val="auto"/>
                <w:sz w:val="32"/>
                <w:szCs w:val="32"/>
                <w:highlight w:val="none"/>
              </w:rPr>
            </w:pPr>
          </w:p>
        </w:tc>
        <w:tc>
          <w:tcPr>
            <w:tcW w:w="2275" w:type="dxa"/>
            <w:vAlign w:val="center"/>
          </w:tcPr>
          <w:p w14:paraId="6363AC72">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35C7B6C3">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28568C7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1F8B7F1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5A91A06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14F3A0D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10026C8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690CDCD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2F23D50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421C5F06">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004D436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5ADC70E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6D4A316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2C6ACB6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5D03F8F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516C05E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4EE8741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5DD8183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6B2E67CE">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20C1192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0A90F59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46DE8A9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58EEA0D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00C405B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4DB423D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5B7F2E72">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4F598830">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76206CE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07EFE85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4693ECB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0D7A6E4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15AF9FE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08AF606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77A8E0A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1094318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2DDBA9C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516A0486">
      <w:pPr>
        <w:rPr>
          <w:rFonts w:eastAsia="仿宋_GB2312"/>
          <w:color w:val="auto"/>
          <w:sz w:val="32"/>
          <w:szCs w:val="32"/>
          <w:highlight w:val="none"/>
        </w:rPr>
      </w:pPr>
    </w:p>
    <w:p w14:paraId="1C034318">
      <w:pPr>
        <w:rPr>
          <w:rFonts w:eastAsia="仿宋_GB2312"/>
          <w:color w:val="auto"/>
          <w:sz w:val="32"/>
          <w:szCs w:val="32"/>
          <w:highlight w:val="none"/>
        </w:rPr>
      </w:pPr>
    </w:p>
    <w:p w14:paraId="52B7D3CE">
      <w:pPr>
        <w:pStyle w:val="2"/>
        <w:ind w:left="0" w:leftChars="0" w:firstLine="0" w:firstLineChars="0"/>
        <w:rPr>
          <w:rFonts w:eastAsia="仿宋_GB2312"/>
          <w:color w:val="auto"/>
          <w:sz w:val="32"/>
          <w:szCs w:val="32"/>
          <w:highlight w:val="none"/>
        </w:rPr>
      </w:pPr>
    </w:p>
    <w:p w14:paraId="2C12A2BA">
      <w:pPr>
        <w:pStyle w:val="2"/>
        <w:ind w:left="0" w:leftChars="0" w:firstLine="0" w:firstLineChars="0"/>
        <w:rPr>
          <w:rFonts w:eastAsia="仿宋_GB2312"/>
          <w:color w:val="auto"/>
          <w:sz w:val="32"/>
          <w:szCs w:val="32"/>
          <w:highlight w:val="none"/>
        </w:rPr>
      </w:pPr>
    </w:p>
    <w:p w14:paraId="14E4EBA4">
      <w:pPr>
        <w:pStyle w:val="2"/>
        <w:ind w:left="0" w:leftChars="0" w:firstLine="0" w:firstLineChars="0"/>
        <w:rPr>
          <w:rFonts w:eastAsia="仿宋_GB2312"/>
          <w:color w:val="auto"/>
          <w:sz w:val="32"/>
          <w:szCs w:val="32"/>
          <w:highlight w:val="none"/>
        </w:rPr>
      </w:pPr>
    </w:p>
    <w:p w14:paraId="6F657E1D">
      <w:pPr>
        <w:pStyle w:val="2"/>
        <w:ind w:left="0" w:leftChars="0" w:firstLine="0" w:firstLineChars="0"/>
        <w:rPr>
          <w:rFonts w:eastAsia="仿宋_GB2312"/>
          <w:color w:val="auto"/>
          <w:sz w:val="32"/>
          <w:szCs w:val="32"/>
          <w:highlight w:val="none"/>
        </w:rPr>
      </w:pPr>
    </w:p>
    <w:p w14:paraId="36BDB36E">
      <w:pPr>
        <w:pStyle w:val="2"/>
        <w:ind w:left="0" w:leftChars="0" w:firstLine="0" w:firstLineChars="0"/>
        <w:rPr>
          <w:rFonts w:eastAsia="仿宋_GB2312"/>
          <w:color w:val="auto"/>
          <w:sz w:val="32"/>
          <w:szCs w:val="32"/>
          <w:highlight w:val="none"/>
        </w:rPr>
      </w:pPr>
    </w:p>
    <w:p w14:paraId="33206966">
      <w:pPr>
        <w:pStyle w:val="2"/>
        <w:ind w:left="0" w:leftChars="0" w:firstLine="0" w:firstLineChars="0"/>
        <w:rPr>
          <w:rFonts w:eastAsia="仿宋_GB2312"/>
          <w:color w:val="auto"/>
          <w:sz w:val="32"/>
          <w:szCs w:val="32"/>
          <w:highlight w:val="none"/>
        </w:rPr>
      </w:pPr>
    </w:p>
    <w:p w14:paraId="78BA20B2">
      <w:pPr>
        <w:pStyle w:val="2"/>
        <w:ind w:left="0" w:leftChars="0" w:firstLine="0" w:firstLineChars="0"/>
        <w:rPr>
          <w:rFonts w:eastAsia="仿宋_GB2312"/>
          <w:color w:val="auto"/>
          <w:sz w:val="32"/>
          <w:szCs w:val="32"/>
          <w:highlight w:val="none"/>
        </w:rPr>
      </w:pPr>
    </w:p>
    <w:p w14:paraId="7722055E">
      <w:pPr>
        <w:pStyle w:val="2"/>
        <w:ind w:left="0" w:leftChars="0" w:firstLine="0" w:firstLineChars="0"/>
        <w:rPr>
          <w:rFonts w:eastAsia="仿宋_GB2312"/>
          <w:color w:val="auto"/>
          <w:sz w:val="32"/>
          <w:szCs w:val="32"/>
          <w:highlight w:val="none"/>
        </w:rPr>
      </w:pPr>
    </w:p>
    <w:p w14:paraId="42B61E6C">
      <w:pPr>
        <w:pStyle w:val="2"/>
        <w:ind w:left="0" w:leftChars="0" w:firstLine="0" w:firstLineChars="0"/>
        <w:rPr>
          <w:rFonts w:eastAsia="仿宋_GB2312"/>
          <w:color w:val="auto"/>
          <w:sz w:val="32"/>
          <w:szCs w:val="32"/>
          <w:highlight w:val="none"/>
        </w:rPr>
      </w:pPr>
    </w:p>
    <w:p w14:paraId="27ECD22F">
      <w:pPr>
        <w:pStyle w:val="2"/>
        <w:ind w:left="0" w:leftChars="0" w:firstLine="0" w:firstLineChars="0"/>
        <w:rPr>
          <w:rFonts w:eastAsia="仿宋_GB2312"/>
          <w:color w:val="auto"/>
          <w:sz w:val="32"/>
          <w:szCs w:val="32"/>
          <w:highlight w:val="none"/>
        </w:rPr>
      </w:pPr>
    </w:p>
    <w:p w14:paraId="7A71F471">
      <w:pPr>
        <w:pStyle w:val="2"/>
        <w:ind w:left="0" w:leftChars="0" w:firstLine="0" w:firstLineChars="0"/>
        <w:rPr>
          <w:rFonts w:eastAsia="仿宋_GB2312"/>
          <w:color w:val="auto"/>
          <w:sz w:val="32"/>
          <w:szCs w:val="32"/>
          <w:highlight w:val="none"/>
        </w:rPr>
      </w:pPr>
    </w:p>
    <w:p w14:paraId="7D02FC8A">
      <w:pPr>
        <w:pStyle w:val="2"/>
        <w:ind w:left="0" w:leftChars="0" w:firstLine="0" w:firstLineChars="0"/>
        <w:rPr>
          <w:rFonts w:eastAsia="仿宋_GB2312"/>
          <w:color w:val="auto"/>
          <w:sz w:val="32"/>
          <w:szCs w:val="32"/>
          <w:highlight w:val="none"/>
        </w:rPr>
      </w:pPr>
    </w:p>
    <w:p w14:paraId="0AF5DBD4">
      <w:pPr>
        <w:pStyle w:val="2"/>
        <w:ind w:left="0" w:leftChars="0" w:firstLine="0" w:firstLineChars="0"/>
        <w:rPr>
          <w:rFonts w:eastAsia="仿宋_GB2312"/>
          <w:color w:val="auto"/>
          <w:sz w:val="32"/>
          <w:szCs w:val="32"/>
          <w:highlight w:val="none"/>
        </w:rPr>
      </w:pPr>
    </w:p>
    <w:p w14:paraId="5EBFD540">
      <w:pPr>
        <w:pStyle w:val="2"/>
        <w:ind w:left="0" w:leftChars="0" w:firstLine="0" w:firstLineChars="0"/>
        <w:rPr>
          <w:rFonts w:eastAsia="仿宋_GB2312"/>
          <w:color w:val="auto"/>
          <w:sz w:val="32"/>
          <w:szCs w:val="32"/>
          <w:highlight w:val="none"/>
        </w:rPr>
      </w:pPr>
    </w:p>
    <w:p w14:paraId="72568282">
      <w:pPr>
        <w:pStyle w:val="42"/>
        <w:ind w:firstLine="0" w:firstLineChars="0"/>
        <w:jc w:val="left"/>
        <w:outlineLvl w:val="1"/>
        <w:rPr>
          <w:rFonts w:hint="default" w:eastAsia="黑体"/>
          <w:color w:val="auto"/>
          <w:sz w:val="28"/>
          <w:szCs w:val="44"/>
          <w:highlight w:val="none"/>
          <w:lang w:val="en-US" w:eastAsia="zh-CN"/>
        </w:rPr>
      </w:pPr>
      <w:bookmarkStart w:id="2" w:name="_Hlk524442005"/>
      <w:r>
        <w:rPr>
          <w:rFonts w:hint="eastAsia" w:eastAsia="黑体"/>
          <w:color w:val="auto"/>
          <w:sz w:val="28"/>
          <w:szCs w:val="44"/>
          <w:highlight w:val="none"/>
        </w:rPr>
        <w:t>附件二报价函</w:t>
      </w:r>
      <w:r>
        <w:rPr>
          <w:rFonts w:hint="eastAsia" w:eastAsia="黑体"/>
          <w:color w:val="auto"/>
          <w:sz w:val="28"/>
          <w:szCs w:val="44"/>
          <w:highlight w:val="none"/>
          <w:lang w:val="en-US" w:eastAsia="zh-CN"/>
        </w:rPr>
        <w:t>及报价清单</w:t>
      </w:r>
    </w:p>
    <w:p w14:paraId="05D24A30">
      <w:pPr>
        <w:jc w:val="center"/>
        <w:rPr>
          <w:rFonts w:eastAsia="华文中宋"/>
          <w:color w:val="auto"/>
          <w:sz w:val="44"/>
          <w:szCs w:val="44"/>
          <w:highlight w:val="none"/>
        </w:rPr>
      </w:pPr>
      <w:r>
        <w:rPr>
          <w:rFonts w:hint="eastAsia" w:eastAsia="华文中宋"/>
          <w:color w:val="auto"/>
          <w:sz w:val="44"/>
          <w:szCs w:val="44"/>
          <w:highlight w:val="none"/>
        </w:rPr>
        <w:t>报价函</w:t>
      </w:r>
    </w:p>
    <w:p w14:paraId="6982E714">
      <w:pPr>
        <w:ind w:firstLine="560"/>
        <w:jc w:val="center"/>
        <w:rPr>
          <w:rFonts w:eastAsia="仿宋_GB2312"/>
          <w:color w:val="auto"/>
          <w:sz w:val="32"/>
          <w:szCs w:val="32"/>
          <w:highlight w:val="none"/>
        </w:rPr>
      </w:pPr>
    </w:p>
    <w:p w14:paraId="7B80A7CC">
      <w:pPr>
        <w:rPr>
          <w:rFonts w:eastAsia="仿宋_GB2312"/>
          <w:color w:val="auto"/>
          <w:sz w:val="32"/>
          <w:szCs w:val="32"/>
          <w:highlight w:val="none"/>
        </w:rPr>
      </w:pP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40D25F16">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吐鲁番开能环保能源有限公司202</w:t>
      </w:r>
      <w:r>
        <w:rPr>
          <w:rFonts w:hint="eastAsia" w:eastAsia="仿宋_GB2312"/>
          <w:color w:val="auto"/>
          <w:sz w:val="32"/>
          <w:szCs w:val="32"/>
          <w:highlight w:val="none"/>
          <w:u w:val="single"/>
          <w:lang w:val="en-US" w:eastAsia="zh-CN"/>
        </w:rPr>
        <w:t>6</w:t>
      </w:r>
      <w:r>
        <w:rPr>
          <w:rFonts w:hint="eastAsia" w:eastAsia="仿宋_GB2312"/>
          <w:color w:val="auto"/>
          <w:sz w:val="32"/>
          <w:szCs w:val="32"/>
          <w:highlight w:val="none"/>
          <w:u w:val="single"/>
        </w:rPr>
        <w:t>-202</w:t>
      </w:r>
      <w:r>
        <w:rPr>
          <w:rFonts w:hint="eastAsia" w:eastAsia="仿宋_GB2312"/>
          <w:color w:val="auto"/>
          <w:sz w:val="32"/>
          <w:szCs w:val="32"/>
          <w:highlight w:val="none"/>
          <w:u w:val="single"/>
          <w:lang w:val="en-US" w:eastAsia="zh-CN"/>
        </w:rPr>
        <w:t>7</w:t>
      </w:r>
      <w:r>
        <w:rPr>
          <w:rFonts w:hint="eastAsia" w:eastAsia="仿宋_GB2312"/>
          <w:color w:val="auto"/>
          <w:sz w:val="32"/>
          <w:szCs w:val="32"/>
          <w:highlight w:val="none"/>
          <w:u w:val="single"/>
        </w:rPr>
        <w:t>年燃料及粉煤灰材料运输项目</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重新采购</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rPr>
        <w:t>，我司愿意以含税价合计人民币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（小写）（含</w:t>
      </w:r>
      <w:r>
        <w:rPr>
          <w:rFonts w:hint="eastAsia" w:eastAsia="仿宋_GB2312"/>
          <w:color w:val="auto"/>
          <w:sz w:val="32"/>
          <w:szCs w:val="32"/>
          <w:highlight w:val="none"/>
          <w:u w:val="single"/>
          <w:lang w:val="en-US" w:eastAsia="zh-CN"/>
        </w:rPr>
        <w:t>xx</w:t>
      </w:r>
      <w:r>
        <w:rPr>
          <w:rFonts w:hint="eastAsia" w:eastAsia="仿宋_GB2312"/>
          <w:color w:val="auto"/>
          <w:sz w:val="32"/>
          <w:szCs w:val="32"/>
          <w:highlight w:val="none"/>
          <w:u w:val="single"/>
        </w:rPr>
        <w:t>%增值税专用发票）</w:t>
      </w:r>
      <w:r>
        <w:rPr>
          <w:rFonts w:hint="eastAsia" w:eastAsia="仿宋_GB2312"/>
          <w:color w:val="auto"/>
          <w:sz w:val="32"/>
          <w:szCs w:val="32"/>
          <w:highlight w:val="none"/>
        </w:rPr>
        <w:t>承接此项目。</w:t>
      </w:r>
    </w:p>
    <w:p w14:paraId="1F5F7913">
      <w:pPr>
        <w:rPr>
          <w:rFonts w:eastAsia="仿宋_GB2312"/>
          <w:color w:val="auto"/>
          <w:sz w:val="32"/>
          <w:szCs w:val="32"/>
          <w:highlight w:val="none"/>
        </w:rPr>
      </w:pPr>
    </w:p>
    <w:p w14:paraId="13887F0F">
      <w:pPr>
        <w:rPr>
          <w:rFonts w:eastAsia="仿宋_GB2312"/>
          <w:color w:val="auto"/>
          <w:sz w:val="32"/>
          <w:szCs w:val="32"/>
          <w:highlight w:val="none"/>
        </w:rPr>
      </w:pPr>
    </w:p>
    <w:p w14:paraId="640977EC">
      <w:pPr>
        <w:rPr>
          <w:rFonts w:eastAsia="仿宋_GB2312"/>
          <w:color w:val="auto"/>
          <w:sz w:val="32"/>
          <w:szCs w:val="32"/>
          <w:highlight w:val="none"/>
        </w:rPr>
      </w:pPr>
    </w:p>
    <w:p w14:paraId="345F8005">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5DD38D8D">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642D5B4D">
      <w:pPr>
        <w:jc w:val="left"/>
        <w:rPr>
          <w:rFonts w:eastAsia="仿宋_GB2312"/>
          <w:color w:val="auto"/>
          <w:sz w:val="32"/>
          <w:szCs w:val="32"/>
          <w:highlight w:val="none"/>
        </w:rPr>
      </w:pPr>
      <w:r>
        <w:rPr>
          <w:rFonts w:hint="eastAsia" w:eastAsia="仿宋_GB2312"/>
          <w:color w:val="auto"/>
          <w:sz w:val="32"/>
          <w:szCs w:val="32"/>
          <w:highlight w:val="none"/>
        </w:rPr>
        <w:t>联系人：</w:t>
      </w:r>
    </w:p>
    <w:p w14:paraId="654006C4">
      <w:pPr>
        <w:jc w:val="left"/>
        <w:rPr>
          <w:rFonts w:eastAsia="仿宋_GB2312"/>
          <w:color w:val="auto"/>
          <w:sz w:val="32"/>
          <w:szCs w:val="32"/>
          <w:highlight w:val="none"/>
        </w:rPr>
      </w:pPr>
      <w:r>
        <w:rPr>
          <w:rFonts w:hint="eastAsia" w:eastAsia="仿宋_GB2312"/>
          <w:color w:val="auto"/>
          <w:sz w:val="32"/>
          <w:szCs w:val="32"/>
          <w:highlight w:val="none"/>
        </w:rPr>
        <w:t>联系电话：</w:t>
      </w:r>
    </w:p>
    <w:p w14:paraId="19034043">
      <w:pPr>
        <w:jc w:val="left"/>
        <w:rPr>
          <w:rFonts w:eastAsia="仿宋_GB2312"/>
          <w:color w:val="auto"/>
          <w:sz w:val="32"/>
          <w:szCs w:val="32"/>
          <w:highlight w:val="none"/>
        </w:rPr>
      </w:pPr>
      <w:r>
        <w:rPr>
          <w:rFonts w:hint="eastAsia" w:eastAsia="仿宋_GB2312"/>
          <w:color w:val="auto"/>
          <w:sz w:val="32"/>
          <w:szCs w:val="32"/>
          <w:highlight w:val="none"/>
        </w:rPr>
        <w:t>日期：</w:t>
      </w:r>
    </w:p>
    <w:p w14:paraId="5CE71A56">
      <w:pPr>
        <w:jc w:val="center"/>
        <w:rPr>
          <w:rFonts w:eastAsia="仿宋_GB2312"/>
          <w:color w:val="auto"/>
          <w:sz w:val="32"/>
          <w:szCs w:val="32"/>
          <w:highlight w:val="none"/>
        </w:rPr>
      </w:pPr>
    </w:p>
    <w:p w14:paraId="51C8F880">
      <w:pPr>
        <w:jc w:val="center"/>
        <w:rPr>
          <w:rFonts w:eastAsia="仿宋_GB2312"/>
          <w:color w:val="auto"/>
          <w:sz w:val="32"/>
          <w:szCs w:val="32"/>
          <w:highlight w:val="none"/>
        </w:rPr>
      </w:pPr>
    </w:p>
    <w:p w14:paraId="3E7139A7">
      <w:pPr>
        <w:jc w:val="both"/>
        <w:rPr>
          <w:rFonts w:eastAsia="仿宋_GB2312"/>
          <w:color w:val="auto"/>
          <w:sz w:val="32"/>
          <w:szCs w:val="32"/>
          <w:highlight w:val="none"/>
        </w:rPr>
      </w:pPr>
    </w:p>
    <w:p w14:paraId="085F12AE">
      <w:pPr>
        <w:jc w:val="center"/>
        <w:rPr>
          <w:rFonts w:eastAsia="仿宋_GB2312"/>
          <w:color w:val="auto"/>
          <w:sz w:val="32"/>
          <w:szCs w:val="32"/>
          <w:highlight w:val="none"/>
        </w:rPr>
      </w:pPr>
    </w:p>
    <w:p w14:paraId="166057E1">
      <w:pPr>
        <w:jc w:val="center"/>
        <w:rPr>
          <w:rFonts w:eastAsia="仿宋_GB2312"/>
          <w:color w:val="auto"/>
          <w:sz w:val="32"/>
          <w:szCs w:val="32"/>
          <w:highlight w:val="none"/>
        </w:rPr>
      </w:pPr>
      <w:r>
        <w:rPr>
          <w:rFonts w:hint="eastAsia" w:eastAsia="华文中宋"/>
          <w:color w:val="auto"/>
          <w:sz w:val="44"/>
          <w:szCs w:val="44"/>
          <w:highlight w:val="none"/>
        </w:rPr>
        <w:t>报价清单</w:t>
      </w:r>
    </w:p>
    <w:tbl>
      <w:tblPr>
        <w:tblStyle w:val="22"/>
        <w:tblpPr w:leftFromText="180" w:rightFromText="180" w:vertAnchor="text" w:horzAnchor="page" w:tblpX="224" w:tblpY="183"/>
        <w:tblOverlap w:val="never"/>
        <w:tblW w:w="11449" w:type="dxa"/>
        <w:tblInd w:w="0" w:type="dxa"/>
        <w:tblLayout w:type="fixed"/>
        <w:tblCellMar>
          <w:top w:w="0" w:type="dxa"/>
          <w:left w:w="0" w:type="dxa"/>
          <w:bottom w:w="0" w:type="dxa"/>
          <w:right w:w="0" w:type="dxa"/>
        </w:tblCellMar>
      </w:tblPr>
      <w:tblGrid>
        <w:gridCol w:w="251"/>
        <w:gridCol w:w="686"/>
        <w:gridCol w:w="854"/>
        <w:gridCol w:w="794"/>
        <w:gridCol w:w="784"/>
        <w:gridCol w:w="1197"/>
        <w:gridCol w:w="1205"/>
        <w:gridCol w:w="1161"/>
        <w:gridCol w:w="1053"/>
        <w:gridCol w:w="1052"/>
        <w:gridCol w:w="1099"/>
        <w:gridCol w:w="1313"/>
      </w:tblGrid>
      <w:tr w14:paraId="156B1532">
        <w:tblPrEx>
          <w:tblCellMar>
            <w:top w:w="0" w:type="dxa"/>
            <w:left w:w="0" w:type="dxa"/>
            <w:bottom w:w="0" w:type="dxa"/>
            <w:right w:w="0" w:type="dxa"/>
          </w:tblCellMar>
        </w:tblPrEx>
        <w:trPr>
          <w:trHeight w:val="360" w:hRule="atLeast"/>
        </w:trPr>
        <w:tc>
          <w:tcPr>
            <w:tcW w:w="25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A87A9D">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序号</w:t>
            </w:r>
          </w:p>
        </w:tc>
        <w:tc>
          <w:tcPr>
            <w:tcW w:w="68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73C826">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设备/材料名称</w:t>
            </w:r>
          </w:p>
        </w:tc>
        <w:tc>
          <w:tcPr>
            <w:tcW w:w="85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273C9D">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运输包装方式</w:t>
            </w:r>
          </w:p>
        </w:tc>
        <w:tc>
          <w:tcPr>
            <w:tcW w:w="79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06474C">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运输距离（千米）</w:t>
            </w:r>
          </w:p>
        </w:tc>
        <w:tc>
          <w:tcPr>
            <w:tcW w:w="78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0DDA6C">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预计运输总重量（吨）</w:t>
            </w:r>
          </w:p>
        </w:tc>
        <w:tc>
          <w:tcPr>
            <w:tcW w:w="11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B33EAE">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起运地</w:t>
            </w:r>
          </w:p>
        </w:tc>
        <w:tc>
          <w:tcPr>
            <w:tcW w:w="12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AFF9EC">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目的地</w:t>
            </w:r>
          </w:p>
        </w:tc>
        <w:tc>
          <w:tcPr>
            <w:tcW w:w="116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C10A8D">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运输方式</w:t>
            </w:r>
          </w:p>
        </w:tc>
        <w:tc>
          <w:tcPr>
            <w:tcW w:w="105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E32E67">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单位</w:t>
            </w:r>
          </w:p>
        </w:tc>
        <w:tc>
          <w:tcPr>
            <w:tcW w:w="105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65FD72">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报价单价（元/吨）</w:t>
            </w:r>
          </w:p>
        </w:tc>
        <w:tc>
          <w:tcPr>
            <w:tcW w:w="10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B6B344">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总价（元 )</w:t>
            </w:r>
          </w:p>
        </w:tc>
        <w:tc>
          <w:tcPr>
            <w:tcW w:w="1313"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D372E0">
            <w:pPr>
              <w:widowControl/>
              <w:jc w:val="center"/>
              <w:textAlignment w:val="center"/>
              <w:rPr>
                <w:rFonts w:ascii="宋体" w:hAnsi="宋体" w:cs="宋体"/>
                <w:color w:val="auto"/>
                <w:szCs w:val="24"/>
                <w:highlight w:val="none"/>
              </w:rPr>
            </w:pPr>
            <w:r>
              <w:rPr>
                <w:rFonts w:hint="eastAsia" w:ascii="宋体" w:hAnsi="宋体" w:cs="宋体"/>
                <w:color w:val="auto"/>
                <w:szCs w:val="21"/>
                <w:highlight w:val="none"/>
                <w:lang w:bidi="ar"/>
              </w:rPr>
              <w:t>备注</w:t>
            </w:r>
          </w:p>
        </w:tc>
      </w:tr>
      <w:tr w14:paraId="4CD29455">
        <w:tblPrEx>
          <w:tblCellMar>
            <w:top w:w="0" w:type="dxa"/>
            <w:left w:w="0" w:type="dxa"/>
            <w:bottom w:w="0" w:type="dxa"/>
            <w:right w:w="0" w:type="dxa"/>
          </w:tblCellMar>
        </w:tblPrEx>
        <w:trPr>
          <w:trHeight w:val="1079" w:hRule="atLeast"/>
        </w:trPr>
        <w:tc>
          <w:tcPr>
            <w:tcW w:w="25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B18E7F">
            <w:pPr>
              <w:jc w:val="center"/>
              <w:rPr>
                <w:rFonts w:ascii="宋体" w:hAnsi="宋体" w:cs="宋体"/>
                <w:b/>
                <w:color w:val="auto"/>
                <w:sz w:val="18"/>
                <w:szCs w:val="18"/>
                <w:highlight w:val="none"/>
              </w:rPr>
            </w:pPr>
          </w:p>
        </w:tc>
        <w:tc>
          <w:tcPr>
            <w:tcW w:w="68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E4A0C3">
            <w:pPr>
              <w:jc w:val="center"/>
              <w:rPr>
                <w:rFonts w:ascii="宋体" w:hAnsi="宋体" w:cs="宋体"/>
                <w:b/>
                <w:color w:val="auto"/>
                <w:sz w:val="18"/>
                <w:szCs w:val="18"/>
                <w:highlight w:val="none"/>
              </w:rPr>
            </w:pPr>
          </w:p>
        </w:tc>
        <w:tc>
          <w:tcPr>
            <w:tcW w:w="85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E5B45E">
            <w:pPr>
              <w:jc w:val="center"/>
              <w:rPr>
                <w:rFonts w:ascii="宋体" w:hAnsi="宋体" w:cs="宋体"/>
                <w:b/>
                <w:color w:val="auto"/>
                <w:sz w:val="18"/>
                <w:szCs w:val="18"/>
                <w:highlight w:val="none"/>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C2993A">
            <w:pPr>
              <w:jc w:val="center"/>
              <w:rPr>
                <w:rFonts w:ascii="宋体" w:hAnsi="宋体" w:cs="宋体"/>
                <w:b/>
                <w:color w:val="auto"/>
                <w:sz w:val="18"/>
                <w:szCs w:val="18"/>
                <w:highlight w:val="none"/>
              </w:rPr>
            </w:pPr>
          </w:p>
        </w:tc>
        <w:tc>
          <w:tcPr>
            <w:tcW w:w="7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6D3554">
            <w:pPr>
              <w:jc w:val="center"/>
              <w:rPr>
                <w:rFonts w:ascii="宋体" w:hAnsi="宋体" w:cs="宋体"/>
                <w:b/>
                <w:color w:val="auto"/>
                <w:sz w:val="18"/>
                <w:szCs w:val="18"/>
                <w:highlight w:val="none"/>
              </w:rPr>
            </w:pPr>
          </w:p>
        </w:tc>
        <w:tc>
          <w:tcPr>
            <w:tcW w:w="11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E2C416">
            <w:pPr>
              <w:jc w:val="center"/>
              <w:rPr>
                <w:rFonts w:ascii="宋体" w:hAnsi="宋体" w:cs="宋体"/>
                <w:b/>
                <w:color w:val="auto"/>
                <w:sz w:val="18"/>
                <w:szCs w:val="18"/>
                <w:highlight w:val="none"/>
              </w:rPr>
            </w:pPr>
          </w:p>
        </w:tc>
        <w:tc>
          <w:tcPr>
            <w:tcW w:w="12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FCCD25">
            <w:pPr>
              <w:jc w:val="center"/>
              <w:rPr>
                <w:rFonts w:ascii="宋体" w:hAnsi="宋体" w:cs="宋体"/>
                <w:b/>
                <w:color w:val="auto"/>
                <w:sz w:val="18"/>
                <w:szCs w:val="18"/>
                <w:highlight w:val="none"/>
              </w:rPr>
            </w:pPr>
          </w:p>
        </w:tc>
        <w:tc>
          <w:tcPr>
            <w:tcW w:w="116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A528AB">
            <w:pPr>
              <w:jc w:val="center"/>
              <w:rPr>
                <w:rFonts w:ascii="宋体" w:hAnsi="宋体" w:cs="宋体"/>
                <w:b/>
                <w:color w:val="auto"/>
                <w:sz w:val="18"/>
                <w:szCs w:val="18"/>
                <w:highlight w:val="none"/>
              </w:rPr>
            </w:pPr>
          </w:p>
        </w:tc>
        <w:tc>
          <w:tcPr>
            <w:tcW w:w="105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916AA7">
            <w:pPr>
              <w:jc w:val="center"/>
              <w:rPr>
                <w:rFonts w:ascii="宋体" w:hAnsi="宋体" w:cs="宋体"/>
                <w:b/>
                <w:color w:val="auto"/>
                <w:sz w:val="18"/>
                <w:szCs w:val="18"/>
                <w:highlight w:val="none"/>
              </w:rPr>
            </w:pPr>
          </w:p>
        </w:tc>
        <w:tc>
          <w:tcPr>
            <w:tcW w:w="105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7A679C">
            <w:pPr>
              <w:jc w:val="center"/>
              <w:rPr>
                <w:rFonts w:ascii="宋体" w:hAnsi="宋体" w:cs="宋体"/>
                <w:b/>
                <w:color w:val="auto"/>
                <w:sz w:val="18"/>
                <w:szCs w:val="18"/>
                <w:highlight w:val="none"/>
              </w:rPr>
            </w:pPr>
          </w:p>
        </w:tc>
        <w:tc>
          <w:tcPr>
            <w:tcW w:w="10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6A054D">
            <w:pPr>
              <w:jc w:val="center"/>
              <w:rPr>
                <w:rFonts w:ascii="宋体" w:hAnsi="宋体" w:cs="宋体"/>
                <w:b/>
                <w:color w:val="auto"/>
                <w:sz w:val="18"/>
                <w:szCs w:val="18"/>
                <w:highlight w:val="none"/>
              </w:rPr>
            </w:pPr>
          </w:p>
        </w:tc>
        <w:tc>
          <w:tcPr>
            <w:tcW w:w="1313"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F169AD">
            <w:pPr>
              <w:jc w:val="center"/>
              <w:rPr>
                <w:rFonts w:ascii="宋体" w:hAnsi="宋体" w:cs="宋体"/>
                <w:color w:val="auto"/>
                <w:szCs w:val="24"/>
                <w:highlight w:val="none"/>
              </w:rPr>
            </w:pPr>
          </w:p>
        </w:tc>
      </w:tr>
      <w:tr w14:paraId="2F705EE1">
        <w:tblPrEx>
          <w:tblCellMar>
            <w:top w:w="0" w:type="dxa"/>
            <w:left w:w="0" w:type="dxa"/>
            <w:bottom w:w="0" w:type="dxa"/>
            <w:right w:w="0" w:type="dxa"/>
          </w:tblCellMar>
        </w:tblPrEx>
        <w:trPr>
          <w:trHeight w:val="1413" w:hRule="atLeast"/>
        </w:trPr>
        <w:tc>
          <w:tcPr>
            <w:tcW w:w="2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584773">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1</w:t>
            </w:r>
          </w:p>
        </w:tc>
        <w:tc>
          <w:tcPr>
            <w:tcW w:w="6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C248AE">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煤末/兰炭末</w:t>
            </w:r>
          </w:p>
        </w:tc>
        <w:tc>
          <w:tcPr>
            <w:tcW w:w="8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C72B7F">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裸装</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0C524C">
            <w:pPr>
              <w:widowControl/>
              <w:jc w:val="center"/>
              <w:textAlignment w:val="center"/>
              <w:rPr>
                <w:rFonts w:ascii="宋体" w:hAnsi="宋体" w:cs="宋体" w:eastAsiaTheme="minorEastAsia"/>
                <w:color w:val="auto"/>
                <w:sz w:val="18"/>
                <w:szCs w:val="18"/>
                <w:highlight w:val="none"/>
              </w:rPr>
            </w:pPr>
            <w:r>
              <w:rPr>
                <w:rFonts w:hint="eastAsia" w:ascii="宋体" w:hAnsi="宋体" w:cs="宋体"/>
                <w:color w:val="auto"/>
                <w:sz w:val="18"/>
                <w:szCs w:val="18"/>
                <w:highlight w:val="none"/>
                <w:lang w:bidi="ar"/>
              </w:rPr>
              <w:t>3</w:t>
            </w:r>
          </w:p>
        </w:tc>
        <w:tc>
          <w:tcPr>
            <w:tcW w:w="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200D26">
            <w:pPr>
              <w:widowControl/>
              <w:jc w:val="center"/>
              <w:textAlignment w:val="center"/>
              <w:rPr>
                <w:rFonts w:ascii="宋体" w:hAnsi="宋体" w:cs="宋体" w:eastAsiaTheme="minorEastAsia"/>
                <w:color w:val="auto"/>
                <w:sz w:val="18"/>
                <w:szCs w:val="18"/>
                <w:highlight w:val="none"/>
              </w:rPr>
            </w:pPr>
            <w:r>
              <w:rPr>
                <w:rFonts w:hint="eastAsia" w:ascii="宋体" w:hAnsi="宋体" w:cs="宋体"/>
                <w:color w:val="auto"/>
                <w:sz w:val="18"/>
                <w:szCs w:val="18"/>
                <w:highlight w:val="none"/>
                <w:lang w:bidi="ar"/>
              </w:rPr>
              <w:t>100000</w:t>
            </w:r>
          </w:p>
        </w:tc>
        <w:tc>
          <w:tcPr>
            <w:tcW w:w="11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F82459">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新疆圣雄电石有限公司原料堆场指定地点</w:t>
            </w:r>
          </w:p>
        </w:tc>
        <w:tc>
          <w:tcPr>
            <w:tcW w:w="12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17BE2D">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吐鲁番开能环保能源有限公司厂区干煤棚指定地点</w:t>
            </w:r>
          </w:p>
        </w:tc>
        <w:tc>
          <w:tcPr>
            <w:tcW w:w="11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7F8D24">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汽运</w:t>
            </w:r>
          </w:p>
        </w:tc>
        <w:tc>
          <w:tcPr>
            <w:tcW w:w="10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6082A6">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元/吨</w:t>
            </w:r>
          </w:p>
        </w:tc>
        <w:tc>
          <w:tcPr>
            <w:tcW w:w="10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0C16D0">
            <w:pPr>
              <w:jc w:val="center"/>
              <w:rPr>
                <w:rFonts w:ascii="宋体" w:hAnsi="宋体" w:cs="宋体"/>
                <w:color w:val="auto"/>
                <w:sz w:val="18"/>
                <w:szCs w:val="18"/>
                <w:highlight w:val="none"/>
              </w:rPr>
            </w:pPr>
          </w:p>
        </w:tc>
        <w:tc>
          <w:tcPr>
            <w:tcW w:w="10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812E79">
            <w:pPr>
              <w:widowControl/>
              <w:jc w:val="center"/>
              <w:textAlignment w:val="center"/>
              <w:rPr>
                <w:rFonts w:ascii="宋体" w:hAnsi="宋体" w:cs="宋体" w:eastAsiaTheme="minorEastAsia"/>
                <w:b/>
                <w:color w:val="auto"/>
                <w:sz w:val="18"/>
                <w:szCs w:val="18"/>
                <w:highlight w:val="none"/>
              </w:rPr>
            </w:pPr>
          </w:p>
        </w:tc>
        <w:tc>
          <w:tcPr>
            <w:tcW w:w="131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3EA8BB">
            <w:pPr>
              <w:rPr>
                <w:rFonts w:ascii="宋体" w:hAnsi="宋体" w:cs="宋体"/>
                <w:color w:val="auto"/>
                <w:szCs w:val="24"/>
                <w:highlight w:val="none"/>
              </w:rPr>
            </w:pPr>
            <w:r>
              <w:rPr>
                <w:rFonts w:hint="eastAsia" w:ascii="宋体" w:hAnsi="宋体" w:cs="宋体"/>
                <w:color w:val="auto"/>
                <w:szCs w:val="24"/>
                <w:highlight w:val="none"/>
              </w:rPr>
              <w:t>预计每月运输数量8333.33吨</w:t>
            </w:r>
          </w:p>
        </w:tc>
      </w:tr>
      <w:tr w14:paraId="1A516590">
        <w:tblPrEx>
          <w:tblCellMar>
            <w:top w:w="0" w:type="dxa"/>
            <w:left w:w="0" w:type="dxa"/>
            <w:bottom w:w="0" w:type="dxa"/>
            <w:right w:w="0" w:type="dxa"/>
          </w:tblCellMar>
        </w:tblPrEx>
        <w:trPr>
          <w:trHeight w:val="1440" w:hRule="atLeast"/>
        </w:trPr>
        <w:tc>
          <w:tcPr>
            <w:tcW w:w="2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4B4376">
            <w:pPr>
              <w:jc w:val="center"/>
              <w:rPr>
                <w:rFonts w:ascii="宋体" w:hAnsi="宋体" w:cs="宋体" w:eastAsiaTheme="minorEastAsia"/>
                <w:b/>
                <w:color w:val="auto"/>
                <w:sz w:val="18"/>
                <w:szCs w:val="18"/>
                <w:highlight w:val="none"/>
              </w:rPr>
            </w:pPr>
            <w:r>
              <w:rPr>
                <w:rFonts w:hint="eastAsia" w:ascii="宋体" w:hAnsi="宋体" w:cs="宋体"/>
                <w:b/>
                <w:color w:val="auto"/>
                <w:sz w:val="18"/>
                <w:szCs w:val="18"/>
                <w:highlight w:val="none"/>
              </w:rPr>
              <w:t>2</w:t>
            </w:r>
          </w:p>
        </w:tc>
        <w:tc>
          <w:tcPr>
            <w:tcW w:w="6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18B943">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粉煤灰</w:t>
            </w:r>
          </w:p>
        </w:tc>
        <w:tc>
          <w:tcPr>
            <w:tcW w:w="8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56F81D">
            <w:pPr>
              <w:widowControl/>
              <w:jc w:val="center"/>
              <w:textAlignment w:val="center"/>
              <w:rPr>
                <w:rFonts w:hint="eastAsia" w:ascii="宋体" w:hAnsi="宋体" w:eastAsia="宋体" w:cs="宋体"/>
                <w:color w:val="auto"/>
                <w:sz w:val="18"/>
                <w:szCs w:val="18"/>
                <w:highlight w:val="none"/>
                <w:lang w:eastAsia="zh-CN"/>
              </w:rPr>
            </w:pPr>
            <w:r>
              <w:rPr>
                <w:rFonts w:hint="eastAsia" w:ascii="宋体" w:hAnsi="宋体" w:cs="宋体"/>
                <w:color w:val="auto"/>
                <w:sz w:val="18"/>
                <w:szCs w:val="18"/>
                <w:highlight w:val="none"/>
                <w:lang w:val="en-US" w:eastAsia="zh-CN" w:bidi="ar"/>
              </w:rPr>
              <w:t>散装</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967AA0">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16</w:t>
            </w:r>
          </w:p>
        </w:tc>
        <w:tc>
          <w:tcPr>
            <w:tcW w:w="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355112">
            <w:pPr>
              <w:widowControl/>
              <w:jc w:val="center"/>
              <w:textAlignment w:val="center"/>
              <w:rPr>
                <w:rFonts w:hint="default" w:ascii="宋体" w:hAnsi="宋体" w:cs="宋体" w:eastAsiaTheme="minorEastAsia"/>
                <w:color w:val="auto"/>
                <w:sz w:val="18"/>
                <w:szCs w:val="18"/>
                <w:highlight w:val="none"/>
                <w:lang w:val="en-US" w:eastAsia="zh-CN"/>
              </w:rPr>
            </w:pPr>
            <w:r>
              <w:rPr>
                <w:rFonts w:hint="eastAsia" w:ascii="宋体" w:hAnsi="宋体" w:cs="宋体" w:eastAsiaTheme="minorEastAsia"/>
                <w:color w:val="auto"/>
                <w:sz w:val="18"/>
                <w:szCs w:val="18"/>
                <w:highlight w:val="none"/>
                <w:lang w:val="en-US" w:eastAsia="zh-CN" w:bidi="ar"/>
              </w:rPr>
              <w:t>80000</w:t>
            </w:r>
          </w:p>
        </w:tc>
        <w:tc>
          <w:tcPr>
            <w:tcW w:w="1197" w:type="dxa"/>
            <w:tcBorders>
              <w:left w:val="single" w:color="000000" w:sz="4" w:space="0"/>
              <w:right w:val="single" w:color="000000" w:sz="4" w:space="0"/>
            </w:tcBorders>
            <w:tcMar>
              <w:top w:w="15" w:type="dxa"/>
              <w:left w:w="15" w:type="dxa"/>
              <w:right w:w="15" w:type="dxa"/>
            </w:tcMar>
            <w:vAlign w:val="center"/>
          </w:tcPr>
          <w:p w14:paraId="3C06AF61">
            <w:pPr>
              <w:jc w:val="center"/>
              <w:rPr>
                <w:rFonts w:ascii="宋体" w:hAnsi="宋体" w:cs="宋体"/>
                <w:color w:val="auto"/>
                <w:sz w:val="18"/>
                <w:szCs w:val="18"/>
                <w:highlight w:val="none"/>
              </w:rPr>
            </w:pPr>
            <w:r>
              <w:rPr>
                <w:rFonts w:hint="eastAsia" w:ascii="宋体" w:hAnsi="宋体" w:cs="宋体"/>
                <w:color w:val="auto"/>
                <w:sz w:val="18"/>
                <w:szCs w:val="18"/>
                <w:highlight w:val="none"/>
                <w:lang w:bidi="ar"/>
              </w:rPr>
              <w:t>吐鲁番开能环保能源有限公司厂区除尘灰仓指定地点</w:t>
            </w:r>
          </w:p>
        </w:tc>
        <w:tc>
          <w:tcPr>
            <w:tcW w:w="12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49E788">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新疆圣雄能源股份有限公司灰场指定地点</w:t>
            </w:r>
          </w:p>
        </w:tc>
        <w:tc>
          <w:tcPr>
            <w:tcW w:w="11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72BE17D">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汽运</w:t>
            </w:r>
          </w:p>
        </w:tc>
        <w:tc>
          <w:tcPr>
            <w:tcW w:w="10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826BCF">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元/吨</w:t>
            </w:r>
          </w:p>
        </w:tc>
        <w:tc>
          <w:tcPr>
            <w:tcW w:w="10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C38356">
            <w:pPr>
              <w:jc w:val="center"/>
              <w:rPr>
                <w:rFonts w:ascii="宋体" w:hAnsi="宋体" w:cs="宋体"/>
                <w:color w:val="auto"/>
                <w:sz w:val="18"/>
                <w:szCs w:val="18"/>
                <w:highlight w:val="none"/>
              </w:rPr>
            </w:pPr>
          </w:p>
        </w:tc>
        <w:tc>
          <w:tcPr>
            <w:tcW w:w="10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BEE43C">
            <w:pPr>
              <w:widowControl/>
              <w:jc w:val="center"/>
              <w:textAlignment w:val="center"/>
              <w:rPr>
                <w:rFonts w:ascii="宋体" w:hAnsi="宋体" w:cs="宋体" w:eastAsiaTheme="minorEastAsia"/>
                <w:b/>
                <w:color w:val="auto"/>
                <w:sz w:val="18"/>
                <w:szCs w:val="18"/>
                <w:highlight w:val="none"/>
              </w:rPr>
            </w:pPr>
          </w:p>
        </w:tc>
        <w:tc>
          <w:tcPr>
            <w:tcW w:w="1313" w:type="dxa"/>
            <w:tcBorders>
              <w:left w:val="single" w:color="000000" w:sz="4" w:space="0"/>
              <w:right w:val="single" w:color="000000" w:sz="4" w:space="0"/>
            </w:tcBorders>
            <w:tcMar>
              <w:top w:w="15" w:type="dxa"/>
              <w:left w:w="15" w:type="dxa"/>
              <w:right w:w="15" w:type="dxa"/>
            </w:tcMar>
            <w:vAlign w:val="center"/>
          </w:tcPr>
          <w:p w14:paraId="3826EC51">
            <w:pPr>
              <w:jc w:val="center"/>
              <w:rPr>
                <w:rFonts w:ascii="宋体" w:hAnsi="宋体" w:cs="宋体"/>
                <w:color w:val="auto"/>
                <w:szCs w:val="24"/>
                <w:highlight w:val="none"/>
              </w:rPr>
            </w:pPr>
            <w:r>
              <w:rPr>
                <w:rFonts w:hint="eastAsia" w:ascii="宋体" w:hAnsi="宋体" w:cs="宋体"/>
                <w:color w:val="auto"/>
                <w:szCs w:val="24"/>
                <w:highlight w:val="none"/>
              </w:rPr>
              <w:t>预计每月运输数量</w:t>
            </w:r>
            <w:r>
              <w:rPr>
                <w:rFonts w:hint="eastAsia" w:ascii="宋体" w:hAnsi="宋体" w:cs="宋体"/>
                <w:color w:val="auto"/>
                <w:szCs w:val="24"/>
                <w:highlight w:val="none"/>
                <w:lang w:val="en-US" w:eastAsia="zh-CN"/>
              </w:rPr>
              <w:t>6666.67</w:t>
            </w:r>
            <w:r>
              <w:rPr>
                <w:rFonts w:hint="eastAsia" w:ascii="宋体" w:hAnsi="宋体" w:cs="宋体"/>
                <w:color w:val="auto"/>
                <w:szCs w:val="24"/>
                <w:highlight w:val="none"/>
              </w:rPr>
              <w:t>吨</w:t>
            </w:r>
          </w:p>
        </w:tc>
      </w:tr>
      <w:tr w14:paraId="10258F22">
        <w:tblPrEx>
          <w:tblCellMar>
            <w:top w:w="0" w:type="dxa"/>
            <w:left w:w="0" w:type="dxa"/>
            <w:bottom w:w="0" w:type="dxa"/>
            <w:right w:w="0" w:type="dxa"/>
          </w:tblCellMar>
        </w:tblPrEx>
        <w:trPr>
          <w:trHeight w:val="1150" w:hRule="atLeast"/>
        </w:trPr>
        <w:tc>
          <w:tcPr>
            <w:tcW w:w="9037" w:type="dxa"/>
            <w:gridSpan w:val="10"/>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14:paraId="26A07698">
            <w:pPr>
              <w:jc w:val="center"/>
              <w:rPr>
                <w:rFonts w:ascii="宋体" w:hAnsi="宋体" w:cs="宋体"/>
                <w:color w:val="auto"/>
                <w:sz w:val="18"/>
                <w:szCs w:val="18"/>
                <w:highlight w:val="none"/>
              </w:rPr>
            </w:pPr>
            <w:r>
              <w:rPr>
                <w:rFonts w:hint="eastAsia" w:ascii="宋体" w:hAnsi="宋体" w:cs="宋体"/>
                <w:color w:val="auto"/>
                <w:sz w:val="18"/>
                <w:szCs w:val="18"/>
                <w:highlight w:val="none"/>
              </w:rPr>
              <w:t>合计（大写）：</w:t>
            </w:r>
          </w:p>
        </w:tc>
        <w:tc>
          <w:tcPr>
            <w:tcW w:w="1099" w:type="dxa"/>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4E7D7B79">
            <w:pPr>
              <w:widowControl/>
              <w:jc w:val="center"/>
              <w:textAlignment w:val="center"/>
              <w:rPr>
                <w:rFonts w:ascii="宋体" w:hAnsi="宋体" w:cs="宋体" w:eastAsiaTheme="minorEastAsia"/>
                <w:b/>
                <w:color w:val="auto"/>
                <w:sz w:val="18"/>
                <w:szCs w:val="18"/>
                <w:highlight w:val="none"/>
                <w:lang w:bidi="ar"/>
              </w:rPr>
            </w:pPr>
          </w:p>
        </w:tc>
        <w:tc>
          <w:tcPr>
            <w:tcW w:w="1313" w:type="dxa"/>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6561FDA5">
            <w:pPr>
              <w:jc w:val="center"/>
              <w:rPr>
                <w:rFonts w:ascii="宋体" w:hAnsi="宋体" w:cs="宋体"/>
                <w:color w:val="auto"/>
                <w:szCs w:val="24"/>
                <w:highlight w:val="none"/>
              </w:rPr>
            </w:pPr>
          </w:p>
        </w:tc>
      </w:tr>
    </w:tbl>
    <w:p w14:paraId="4929D035">
      <w:pPr>
        <w:spacing w:line="360" w:lineRule="auto"/>
        <w:rPr>
          <w:rFonts w:ascii="宋体" w:hAnsi="宋体"/>
          <w:color w:val="auto"/>
          <w:sz w:val="24"/>
          <w:szCs w:val="24"/>
          <w:highlight w:val="none"/>
        </w:rPr>
      </w:pPr>
      <w:r>
        <w:rPr>
          <w:rFonts w:hint="eastAsia" w:ascii="宋体" w:hAnsi="宋体"/>
          <w:color w:val="auto"/>
          <w:sz w:val="24"/>
          <w:highlight w:val="none"/>
        </w:rPr>
        <w:t>说明：上表报价包括但不限于运费、税费、杂费、绑扎费（含钢绳、枕木等必要衬垫、绑扎物料的费用）、沿途有关的一切费用，为含税包干闭口价</w:t>
      </w:r>
      <w:r>
        <w:rPr>
          <w:rFonts w:hint="eastAsia"/>
          <w:color w:val="auto"/>
          <w:sz w:val="24"/>
          <w:highlight w:val="none"/>
        </w:rPr>
        <w:t>，本报价含税9%。</w:t>
      </w:r>
      <w:r>
        <w:rPr>
          <w:rFonts w:hint="eastAsia" w:ascii="仿宋_GB2312" w:hAnsi="微软雅黑" w:eastAsia="仿宋_GB2312" w:cs="仿宋_GB2312"/>
          <w:color w:val="auto"/>
          <w:sz w:val="24"/>
          <w:szCs w:val="24"/>
          <w:highlight w:val="none"/>
          <w:lang w:val="en-US" w:eastAsia="zh-CN" w:bidi="ar"/>
        </w:rPr>
        <w:t>合同运输周期实际运输总重量达到预计运输总重量的60%及以上，报价人所报固定运输单价不做调整；实际运输总量达不到预计运输总重量的60%，报价人所报固定运输单价上浮10%，在合同运输周期结束前按照上浮价格一次性结算差价金额。</w:t>
      </w:r>
    </w:p>
    <w:p w14:paraId="17A9722E">
      <w:pPr>
        <w:rPr>
          <w:color w:val="auto"/>
          <w:highlight w:val="none"/>
        </w:rPr>
      </w:pPr>
    </w:p>
    <w:p w14:paraId="741988A2">
      <w:pPr>
        <w:pStyle w:val="41"/>
        <w:ind w:right="160" w:firstLine="0" w:firstLineChars="0"/>
        <w:jc w:val="left"/>
        <w:rPr>
          <w:color w:val="auto"/>
          <w:highlight w:val="none"/>
        </w:rPr>
      </w:pPr>
    </w:p>
    <w:p w14:paraId="63307BB4">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105AD41B">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3460E02F">
      <w:pPr>
        <w:jc w:val="left"/>
        <w:rPr>
          <w:rFonts w:eastAsia="仿宋_GB2312"/>
          <w:color w:val="auto"/>
          <w:sz w:val="32"/>
          <w:szCs w:val="32"/>
          <w:highlight w:val="none"/>
        </w:rPr>
      </w:pPr>
      <w:r>
        <w:rPr>
          <w:rFonts w:hint="eastAsia" w:eastAsia="仿宋_GB2312"/>
          <w:color w:val="auto"/>
          <w:sz w:val="32"/>
          <w:szCs w:val="32"/>
          <w:highlight w:val="none"/>
        </w:rPr>
        <w:t>联系人：</w:t>
      </w:r>
    </w:p>
    <w:p w14:paraId="5E499C4D">
      <w:pPr>
        <w:jc w:val="left"/>
        <w:rPr>
          <w:rFonts w:eastAsia="仿宋_GB2312"/>
          <w:color w:val="auto"/>
          <w:sz w:val="32"/>
          <w:szCs w:val="32"/>
          <w:highlight w:val="none"/>
        </w:rPr>
      </w:pPr>
      <w:r>
        <w:rPr>
          <w:rFonts w:hint="eastAsia" w:eastAsia="仿宋_GB2312"/>
          <w:color w:val="auto"/>
          <w:sz w:val="32"/>
          <w:szCs w:val="32"/>
          <w:highlight w:val="none"/>
        </w:rPr>
        <w:t>联系电话：</w:t>
      </w:r>
    </w:p>
    <w:p w14:paraId="51B896F1">
      <w:pPr>
        <w:jc w:val="left"/>
        <w:rPr>
          <w:rFonts w:eastAsia="仿宋_GB2312"/>
          <w:color w:val="auto"/>
          <w:sz w:val="32"/>
          <w:szCs w:val="32"/>
          <w:highlight w:val="none"/>
        </w:rPr>
      </w:pPr>
      <w:r>
        <w:rPr>
          <w:rFonts w:hint="eastAsia" w:eastAsia="仿宋_GB2312"/>
          <w:color w:val="auto"/>
          <w:sz w:val="32"/>
          <w:szCs w:val="32"/>
          <w:highlight w:val="none"/>
        </w:rPr>
        <w:t>日期：</w:t>
      </w:r>
    </w:p>
    <w:p w14:paraId="3E54141A">
      <w:pPr>
        <w:pStyle w:val="2"/>
        <w:ind w:left="0" w:leftChars="0" w:firstLine="0" w:firstLineChars="0"/>
        <w:rPr>
          <w:rFonts w:eastAsia="仿宋_GB2312"/>
          <w:color w:val="auto"/>
          <w:sz w:val="32"/>
          <w:szCs w:val="32"/>
          <w:highlight w:val="none"/>
        </w:rPr>
      </w:pPr>
    </w:p>
    <w:p w14:paraId="1F81D35F">
      <w:pPr>
        <w:pStyle w:val="42"/>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附件三法人证明</w:t>
      </w:r>
    </w:p>
    <w:p w14:paraId="79AC1D5F">
      <w:pPr>
        <w:pStyle w:val="42"/>
        <w:ind w:firstLine="0" w:firstLineChars="0"/>
        <w:jc w:val="left"/>
        <w:rPr>
          <w:rFonts w:eastAsia="黑体"/>
          <w:color w:val="auto"/>
          <w:sz w:val="28"/>
          <w:szCs w:val="44"/>
          <w:highlight w:val="none"/>
        </w:rPr>
      </w:pPr>
    </w:p>
    <w:p w14:paraId="6E63B7CE">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20D52242">
      <w:pPr>
        <w:rPr>
          <w:rFonts w:eastAsia="仿宋_GB2312"/>
          <w:color w:val="auto"/>
          <w:sz w:val="32"/>
          <w:szCs w:val="32"/>
          <w:highlight w:val="none"/>
        </w:rPr>
      </w:pPr>
    </w:p>
    <w:p w14:paraId="22C9D3F6">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4261DE81">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0C111629">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69575412">
      <w:pPr>
        <w:spacing w:line="600" w:lineRule="exact"/>
        <w:rPr>
          <w:rFonts w:eastAsia="仿宋_GB2312"/>
          <w:color w:val="auto"/>
          <w:sz w:val="32"/>
          <w:szCs w:val="32"/>
          <w:highlight w:val="none"/>
        </w:rPr>
      </w:pPr>
    </w:p>
    <w:p w14:paraId="0ADFCD6E">
      <w:pPr>
        <w:spacing w:line="600" w:lineRule="exact"/>
        <w:rPr>
          <w:rFonts w:eastAsia="仿宋_GB2312"/>
          <w:color w:val="auto"/>
          <w:sz w:val="32"/>
          <w:szCs w:val="32"/>
          <w:highlight w:val="none"/>
        </w:rPr>
      </w:pPr>
    </w:p>
    <w:p w14:paraId="2D9A276D">
      <w:pPr>
        <w:spacing w:line="600" w:lineRule="exact"/>
        <w:rPr>
          <w:rFonts w:eastAsia="仿宋_GB2312"/>
          <w:color w:val="auto"/>
          <w:sz w:val="32"/>
          <w:szCs w:val="32"/>
          <w:highlight w:val="none"/>
        </w:rPr>
      </w:pPr>
    </w:p>
    <w:p w14:paraId="53F5C5FC">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28039210">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33A221EE">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6F16AD17">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648C99BA">
      <w:pPr>
        <w:rPr>
          <w:rFonts w:eastAsia="仿宋_GB2312"/>
          <w:color w:val="auto"/>
          <w:sz w:val="32"/>
          <w:szCs w:val="32"/>
          <w:highlight w:val="none"/>
        </w:rPr>
      </w:pPr>
    </w:p>
    <w:p w14:paraId="2625B581">
      <w:pPr>
        <w:widowControl/>
        <w:jc w:val="both"/>
        <w:rPr>
          <w:rFonts w:eastAsia="仿宋_GB2312"/>
          <w:color w:val="auto"/>
          <w:sz w:val="32"/>
          <w:szCs w:val="32"/>
          <w:highlight w:val="none"/>
        </w:rPr>
      </w:pPr>
      <w:bookmarkStart w:id="3" w:name="_Toc384752807"/>
    </w:p>
    <w:p w14:paraId="3CE4DF61">
      <w:pPr>
        <w:pStyle w:val="2"/>
        <w:rPr>
          <w:color w:val="auto"/>
          <w:highlight w:val="none"/>
        </w:rPr>
      </w:pPr>
    </w:p>
    <w:p w14:paraId="77AC9FEC">
      <w:pPr>
        <w:pStyle w:val="2"/>
        <w:rPr>
          <w:color w:val="auto"/>
          <w:highlight w:val="none"/>
        </w:rPr>
      </w:pPr>
    </w:p>
    <w:p w14:paraId="72E40F16">
      <w:pPr>
        <w:pStyle w:val="2"/>
        <w:rPr>
          <w:color w:val="auto"/>
          <w:highlight w:val="none"/>
        </w:rPr>
      </w:pPr>
    </w:p>
    <w:p w14:paraId="129D92ED">
      <w:pPr>
        <w:pStyle w:val="2"/>
        <w:ind w:left="0" w:leftChars="0" w:firstLine="0" w:firstLineChars="0"/>
        <w:rPr>
          <w:color w:val="auto"/>
          <w:highlight w:val="none"/>
        </w:rPr>
      </w:pPr>
    </w:p>
    <w:p w14:paraId="7A4AFD4F">
      <w:pPr>
        <w:pStyle w:val="42"/>
        <w:ind w:firstLine="0" w:firstLineChars="0"/>
        <w:jc w:val="left"/>
        <w:outlineLvl w:val="1"/>
        <w:rPr>
          <w:rFonts w:eastAsia="仿宋_GB2312"/>
          <w:b/>
          <w:color w:val="auto"/>
          <w:sz w:val="32"/>
          <w:szCs w:val="32"/>
          <w:highlight w:val="none"/>
        </w:rPr>
      </w:pPr>
      <w:bookmarkStart w:id="4" w:name="_Hlk40704362"/>
      <w:r>
        <w:rPr>
          <w:rFonts w:hint="eastAsia" w:eastAsia="黑体"/>
          <w:color w:val="auto"/>
          <w:sz w:val="28"/>
          <w:szCs w:val="44"/>
          <w:highlight w:val="none"/>
        </w:rPr>
        <w:t>附件四法人授权书</w:t>
      </w:r>
    </w:p>
    <w:p w14:paraId="1CE92CB6">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3"/>
    </w:p>
    <w:p w14:paraId="3A8C403A">
      <w:pPr>
        <w:pStyle w:val="41"/>
        <w:ind w:firstLine="0" w:firstLineChars="0"/>
        <w:rPr>
          <w:rFonts w:ascii="Times New Roman" w:hAnsi="Times New Roman"/>
          <w:color w:val="auto"/>
          <w:sz w:val="32"/>
          <w:szCs w:val="32"/>
          <w:highlight w:val="none"/>
        </w:rPr>
      </w:pPr>
    </w:p>
    <w:p w14:paraId="08C9A01D">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678EA5C4">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eastAsia="仿宋_GB2312"/>
          <w:color w:val="auto"/>
          <w:sz w:val="32"/>
          <w:szCs w:val="32"/>
          <w:highlight w:val="none"/>
          <w:u w:val="single"/>
        </w:rPr>
        <w:t>吐鲁番开能环保能源有限公司202</w:t>
      </w:r>
      <w:r>
        <w:rPr>
          <w:rFonts w:hint="eastAsia"/>
          <w:color w:val="auto"/>
          <w:sz w:val="32"/>
          <w:szCs w:val="32"/>
          <w:highlight w:val="none"/>
          <w:u w:val="single"/>
          <w:lang w:val="en-US" w:eastAsia="zh-CN"/>
        </w:rPr>
        <w:t>6</w:t>
      </w:r>
      <w:r>
        <w:rPr>
          <w:rFonts w:hint="eastAsia" w:eastAsia="仿宋_GB2312"/>
          <w:color w:val="auto"/>
          <w:sz w:val="32"/>
          <w:szCs w:val="32"/>
          <w:highlight w:val="none"/>
          <w:u w:val="single"/>
        </w:rPr>
        <w:t>-202</w:t>
      </w:r>
      <w:r>
        <w:rPr>
          <w:rFonts w:hint="eastAsia"/>
          <w:color w:val="auto"/>
          <w:sz w:val="32"/>
          <w:szCs w:val="32"/>
          <w:highlight w:val="none"/>
          <w:u w:val="single"/>
          <w:lang w:val="en-US" w:eastAsia="zh-CN"/>
        </w:rPr>
        <w:t>7</w:t>
      </w:r>
      <w:r>
        <w:rPr>
          <w:rFonts w:hint="eastAsia" w:eastAsia="仿宋_GB2312"/>
          <w:color w:val="auto"/>
          <w:sz w:val="32"/>
          <w:szCs w:val="32"/>
          <w:highlight w:val="none"/>
          <w:u w:val="single"/>
        </w:rPr>
        <w:t>年燃料及粉煤灰材料运输</w:t>
      </w:r>
      <w:r>
        <w:rPr>
          <w:rFonts w:hint="eastAsia"/>
          <w:color w:val="auto"/>
          <w:sz w:val="32"/>
          <w:szCs w:val="32"/>
          <w:highlight w:val="none"/>
          <w:u w:val="single"/>
        </w:rPr>
        <w:t>项目</w:t>
      </w:r>
      <w:r>
        <w:rPr>
          <w:rFonts w:hint="eastAsia"/>
          <w:color w:val="auto"/>
          <w:sz w:val="32"/>
          <w:szCs w:val="32"/>
          <w:highlight w:val="none"/>
          <w:u w:val="single"/>
          <w:lang w:eastAsia="zh-CN"/>
        </w:rPr>
        <w:t>（</w:t>
      </w:r>
      <w:r>
        <w:rPr>
          <w:rFonts w:hint="eastAsia"/>
          <w:color w:val="auto"/>
          <w:sz w:val="32"/>
          <w:szCs w:val="32"/>
          <w:highlight w:val="none"/>
          <w:u w:val="single"/>
          <w:lang w:val="en-US" w:eastAsia="zh-CN"/>
        </w:rPr>
        <w:t>重新采购</w:t>
      </w:r>
      <w:r>
        <w:rPr>
          <w:rFonts w:hint="eastAsia"/>
          <w:color w:val="auto"/>
          <w:sz w:val="32"/>
          <w:szCs w:val="32"/>
          <w:highlight w:val="none"/>
          <w:u w:val="single"/>
          <w:lang w:eastAsia="zh-CN"/>
        </w:rPr>
        <w:t>）</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4619D58D">
      <w:pPr>
        <w:pStyle w:val="41"/>
        <w:ind w:firstLine="659"/>
        <w:rPr>
          <w:rFonts w:ascii="Times New Roman" w:hAnsi="Times New Roman"/>
          <w:color w:val="auto"/>
          <w:sz w:val="32"/>
          <w:szCs w:val="32"/>
          <w:highlight w:val="none"/>
        </w:rPr>
      </w:pPr>
    </w:p>
    <w:p w14:paraId="765B522B">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日至</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日签字生效，有效期与询价有效期一致，特此声明。</w:t>
      </w:r>
    </w:p>
    <w:p w14:paraId="0B637DD3">
      <w:pPr>
        <w:pStyle w:val="41"/>
        <w:ind w:firstLine="659"/>
        <w:rPr>
          <w:rFonts w:ascii="Times New Roman" w:hAnsi="Times New Roman"/>
          <w:color w:val="auto"/>
          <w:sz w:val="32"/>
          <w:szCs w:val="32"/>
          <w:highlight w:val="none"/>
        </w:rPr>
      </w:pPr>
    </w:p>
    <w:p w14:paraId="7DB6CBCD">
      <w:pPr>
        <w:pStyle w:val="41"/>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3BBC03F2">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64D8F81D">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7351AC37">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0BFD178C">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234A28B5">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535154D3">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4"/>
    <w:p w14:paraId="58432453">
      <w:pPr>
        <w:pStyle w:val="42"/>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附件五承诺函</w:t>
      </w:r>
    </w:p>
    <w:p w14:paraId="0714A874">
      <w:pPr>
        <w:pStyle w:val="42"/>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2CD316B2">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吐鲁番开能环保能源有限公司</w:t>
      </w:r>
      <w:r>
        <w:rPr>
          <w:rFonts w:hint="eastAsia" w:eastAsia="仿宋_GB2312"/>
          <w:color w:val="auto"/>
          <w:sz w:val="32"/>
          <w:szCs w:val="32"/>
          <w:highlight w:val="none"/>
        </w:rPr>
        <w:t>：</w:t>
      </w:r>
    </w:p>
    <w:p w14:paraId="308F402E">
      <w:pPr>
        <w:pStyle w:val="41"/>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w:t>
      </w:r>
      <w:r>
        <w:rPr>
          <w:rFonts w:hint="eastAsia" w:eastAsia="仿宋_GB2312"/>
          <w:color w:val="auto"/>
          <w:sz w:val="32"/>
          <w:szCs w:val="32"/>
          <w:highlight w:val="none"/>
          <w:u w:val="single"/>
        </w:rPr>
        <w:t>吐鲁番开能环保能源有限公司202</w:t>
      </w:r>
      <w:r>
        <w:rPr>
          <w:rFonts w:hint="eastAsia"/>
          <w:color w:val="auto"/>
          <w:sz w:val="32"/>
          <w:szCs w:val="32"/>
          <w:highlight w:val="none"/>
          <w:u w:val="single"/>
          <w:lang w:val="en-US" w:eastAsia="zh-CN"/>
        </w:rPr>
        <w:t>6</w:t>
      </w:r>
      <w:r>
        <w:rPr>
          <w:rFonts w:hint="eastAsia" w:eastAsia="仿宋_GB2312"/>
          <w:color w:val="auto"/>
          <w:sz w:val="32"/>
          <w:szCs w:val="32"/>
          <w:highlight w:val="none"/>
          <w:u w:val="single"/>
        </w:rPr>
        <w:t>-202</w:t>
      </w:r>
      <w:r>
        <w:rPr>
          <w:rFonts w:hint="eastAsia"/>
          <w:color w:val="auto"/>
          <w:sz w:val="32"/>
          <w:szCs w:val="32"/>
          <w:highlight w:val="none"/>
          <w:u w:val="single"/>
          <w:lang w:val="en-US" w:eastAsia="zh-CN"/>
        </w:rPr>
        <w:t>7</w:t>
      </w:r>
      <w:r>
        <w:rPr>
          <w:rFonts w:hint="eastAsia" w:eastAsia="仿宋_GB2312"/>
          <w:color w:val="auto"/>
          <w:sz w:val="32"/>
          <w:szCs w:val="32"/>
          <w:highlight w:val="none"/>
          <w:u w:val="single"/>
        </w:rPr>
        <w:t>年燃料及粉煤灰材料运输</w:t>
      </w:r>
      <w:r>
        <w:rPr>
          <w:rFonts w:hint="eastAsia"/>
          <w:color w:val="auto"/>
          <w:sz w:val="32"/>
          <w:szCs w:val="32"/>
          <w:highlight w:val="none"/>
          <w:u w:val="single"/>
        </w:rPr>
        <w:t>项目</w:t>
      </w:r>
      <w:r>
        <w:rPr>
          <w:rFonts w:hint="eastAsia"/>
          <w:color w:val="auto"/>
          <w:sz w:val="32"/>
          <w:szCs w:val="32"/>
          <w:highlight w:val="none"/>
          <w:u w:val="single"/>
          <w:lang w:eastAsia="zh-CN"/>
        </w:rPr>
        <w:t>（</w:t>
      </w:r>
      <w:r>
        <w:rPr>
          <w:rFonts w:hint="eastAsia"/>
          <w:color w:val="auto"/>
          <w:sz w:val="32"/>
          <w:szCs w:val="32"/>
          <w:highlight w:val="none"/>
          <w:u w:val="single"/>
          <w:lang w:val="en-US" w:eastAsia="zh-CN"/>
        </w:rPr>
        <w:t>重新采购</w:t>
      </w:r>
      <w:r>
        <w:rPr>
          <w:rFonts w:hint="eastAsia"/>
          <w:color w:val="auto"/>
          <w:sz w:val="32"/>
          <w:szCs w:val="32"/>
          <w:highlight w:val="none"/>
          <w:u w:val="single"/>
          <w:lang w:eastAsia="zh-CN"/>
        </w:rPr>
        <w:t>）</w:t>
      </w:r>
      <w:r>
        <w:rPr>
          <w:rFonts w:hint="eastAsia" w:ascii="Times New Roman" w:hAnsi="Times New Roman"/>
          <w:color w:val="auto"/>
          <w:sz w:val="32"/>
          <w:szCs w:val="32"/>
          <w:highlight w:val="none"/>
        </w:rPr>
        <w:t>投标工作，作出以下承诺：</w:t>
      </w:r>
    </w:p>
    <w:p w14:paraId="6117CB64">
      <w:pPr>
        <w:pStyle w:val="41"/>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color w:val="auto"/>
          <w:sz w:val="32"/>
          <w:szCs w:val="32"/>
          <w:highlight w:val="none"/>
          <w:u w:val="single"/>
        </w:rPr>
        <w:t xml:space="preserve">  </w:t>
      </w:r>
      <w:r>
        <w:rPr>
          <w:rFonts w:hint="eastAsia"/>
          <w:color w:val="auto"/>
          <w:sz w:val="32"/>
          <w:szCs w:val="32"/>
          <w:highlight w:val="none"/>
          <w:u w:val="single"/>
        </w:rPr>
        <w:t>服务内容</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236C3117">
      <w:pPr>
        <w:pStyle w:val="41"/>
        <w:ind w:firstLine="659"/>
        <w:rPr>
          <w:rFonts w:ascii="Times New Roman" w:hAnsi="Times New Roman"/>
          <w:color w:val="auto"/>
          <w:sz w:val="32"/>
          <w:szCs w:val="32"/>
          <w:highlight w:val="none"/>
        </w:rPr>
      </w:pPr>
    </w:p>
    <w:p w14:paraId="192A248F">
      <w:pPr>
        <w:pStyle w:val="41"/>
        <w:ind w:firstLine="0" w:firstLineChars="0"/>
        <w:jc w:val="left"/>
        <w:rPr>
          <w:rFonts w:ascii="Times New Roman" w:hAnsi="Times New Roman"/>
          <w:color w:val="auto"/>
          <w:sz w:val="32"/>
          <w:szCs w:val="32"/>
          <w:highlight w:val="none"/>
        </w:rPr>
      </w:pPr>
    </w:p>
    <w:p w14:paraId="2E7A0F9D">
      <w:pPr>
        <w:jc w:val="left"/>
        <w:rPr>
          <w:rFonts w:eastAsia="仿宋"/>
          <w:color w:val="auto"/>
          <w:sz w:val="32"/>
          <w:szCs w:val="32"/>
          <w:highlight w:val="none"/>
        </w:rPr>
      </w:pPr>
    </w:p>
    <w:p w14:paraId="465F24C5">
      <w:pPr>
        <w:jc w:val="left"/>
        <w:rPr>
          <w:rFonts w:eastAsia="仿宋"/>
          <w:color w:val="auto"/>
          <w:sz w:val="32"/>
          <w:szCs w:val="32"/>
          <w:highlight w:val="none"/>
        </w:rPr>
      </w:pPr>
    </w:p>
    <w:p w14:paraId="7C945567">
      <w:pPr>
        <w:jc w:val="left"/>
        <w:rPr>
          <w:rFonts w:eastAsia="仿宋"/>
          <w:color w:val="auto"/>
          <w:sz w:val="32"/>
          <w:szCs w:val="32"/>
          <w:highlight w:val="none"/>
        </w:rPr>
      </w:pPr>
    </w:p>
    <w:p w14:paraId="2872B93F">
      <w:pPr>
        <w:pStyle w:val="41"/>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6D03CADF">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5D6A3817">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1DA72932">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38AAA546">
      <w:pPr>
        <w:pStyle w:val="41"/>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3ED06095">
      <w:pPr>
        <w:pStyle w:val="41"/>
        <w:ind w:firstLine="0" w:firstLineChars="0"/>
        <w:jc w:val="left"/>
        <w:rPr>
          <w:rFonts w:ascii="Times New Roman" w:hAnsi="Times New Roman"/>
          <w:color w:val="auto"/>
          <w:sz w:val="32"/>
          <w:szCs w:val="32"/>
          <w:highlight w:val="none"/>
        </w:rPr>
      </w:pPr>
    </w:p>
    <w:p w14:paraId="6961AE7C">
      <w:pPr>
        <w:pStyle w:val="41"/>
        <w:ind w:firstLine="0" w:firstLineChars="0"/>
        <w:jc w:val="left"/>
        <w:rPr>
          <w:rFonts w:ascii="Times New Roman" w:hAnsi="Times New Roman"/>
          <w:color w:val="auto"/>
          <w:sz w:val="32"/>
          <w:szCs w:val="32"/>
          <w:highlight w:val="none"/>
        </w:rPr>
      </w:pPr>
    </w:p>
    <w:p w14:paraId="36D16D5F">
      <w:pPr>
        <w:rPr>
          <w:color w:val="auto"/>
          <w:highlight w:val="none"/>
        </w:rPr>
      </w:pPr>
    </w:p>
    <w:p w14:paraId="146206B9">
      <w:pPr>
        <w:widowControl/>
        <w:jc w:val="left"/>
        <w:rPr>
          <w:rFonts w:eastAsia="黑体"/>
          <w:color w:val="auto"/>
          <w:sz w:val="28"/>
          <w:szCs w:val="44"/>
          <w:highlight w:val="none"/>
        </w:rPr>
      </w:pPr>
    </w:p>
    <w:p w14:paraId="6B8B1493">
      <w:pPr>
        <w:widowControl/>
        <w:jc w:val="left"/>
        <w:rPr>
          <w:rFonts w:eastAsia="黑体"/>
          <w:color w:val="auto"/>
          <w:sz w:val="28"/>
          <w:szCs w:val="44"/>
          <w:highlight w:val="none"/>
        </w:rPr>
      </w:pPr>
    </w:p>
    <w:p w14:paraId="7B465EAA">
      <w:pPr>
        <w:pStyle w:val="42"/>
        <w:ind w:firstLine="0" w:firstLineChars="0"/>
        <w:jc w:val="left"/>
        <w:outlineLvl w:val="1"/>
        <w:rPr>
          <w:rFonts w:eastAsia="黑体"/>
          <w:color w:val="auto"/>
          <w:sz w:val="28"/>
          <w:szCs w:val="44"/>
          <w:highlight w:val="none"/>
        </w:rPr>
      </w:pPr>
      <w:bookmarkStart w:id="5" w:name="_Hlk40704598"/>
      <w:r>
        <w:rPr>
          <w:rFonts w:hint="eastAsia" w:eastAsia="黑体"/>
          <w:color w:val="auto"/>
          <w:sz w:val="28"/>
          <w:szCs w:val="44"/>
          <w:highlight w:val="none"/>
        </w:rPr>
        <w:t>附件六</w:t>
      </w:r>
      <w:r>
        <w:rPr>
          <w:rFonts w:hint="eastAsia" w:eastAsia="黑体"/>
          <w:color w:val="auto"/>
          <w:sz w:val="28"/>
          <w:szCs w:val="44"/>
          <w:highlight w:val="none"/>
          <w:lang w:val="en-US" w:eastAsia="zh-CN"/>
        </w:rPr>
        <w:t xml:space="preserve"> </w:t>
      </w:r>
      <w:r>
        <w:rPr>
          <w:rFonts w:hint="eastAsia" w:eastAsia="黑体"/>
          <w:color w:val="auto"/>
          <w:sz w:val="28"/>
          <w:szCs w:val="44"/>
          <w:highlight w:val="none"/>
        </w:rPr>
        <w:t>用户需求书</w:t>
      </w:r>
    </w:p>
    <w:p w14:paraId="3AC2E7F8">
      <w:pPr>
        <w:pStyle w:val="20"/>
        <w:widowControl/>
        <w:spacing w:before="30" w:beforeAutospacing="0" w:after="30" w:afterAutospacing="0" w:line="560" w:lineRule="exact"/>
        <w:ind w:left="30" w:right="30"/>
        <w:rPr>
          <w:rFonts w:ascii="微软雅黑" w:hAnsi="微软雅黑" w:cs="微软雅黑"/>
          <w:color w:val="auto"/>
          <w:sz w:val="14"/>
          <w:szCs w:val="14"/>
          <w:highlight w:val="none"/>
        </w:rPr>
      </w:pPr>
      <w:r>
        <w:rPr>
          <w:rStyle w:val="25"/>
          <w:rFonts w:hint="eastAsia" w:ascii="宋体" w:hAnsi="宋体" w:cs="宋体"/>
          <w:color w:val="auto"/>
          <w:sz w:val="21"/>
          <w:szCs w:val="21"/>
          <w:highlight w:val="none"/>
        </w:rPr>
        <w:t>（一）项目运输基本信息表</w:t>
      </w:r>
    </w:p>
    <w:tbl>
      <w:tblPr>
        <w:tblStyle w:val="22"/>
        <w:tblpPr w:leftFromText="180" w:rightFromText="180" w:vertAnchor="text" w:horzAnchor="page" w:tblpX="1454" w:tblpY="415"/>
        <w:tblOverlap w:val="never"/>
        <w:tblW w:w="8314" w:type="dxa"/>
        <w:tblInd w:w="0" w:type="dxa"/>
        <w:tblLayout w:type="fixed"/>
        <w:tblCellMar>
          <w:top w:w="0" w:type="dxa"/>
          <w:left w:w="0" w:type="dxa"/>
          <w:bottom w:w="0" w:type="dxa"/>
          <w:right w:w="0" w:type="dxa"/>
        </w:tblCellMar>
      </w:tblPr>
      <w:tblGrid>
        <w:gridCol w:w="446"/>
        <w:gridCol w:w="804"/>
        <w:gridCol w:w="777"/>
        <w:gridCol w:w="863"/>
        <w:gridCol w:w="914"/>
        <w:gridCol w:w="1048"/>
        <w:gridCol w:w="1048"/>
        <w:gridCol w:w="1222"/>
        <w:gridCol w:w="1192"/>
      </w:tblGrid>
      <w:tr w14:paraId="08F339B0">
        <w:tblPrEx>
          <w:tblCellMar>
            <w:top w:w="0" w:type="dxa"/>
            <w:left w:w="0" w:type="dxa"/>
            <w:bottom w:w="0" w:type="dxa"/>
            <w:right w:w="0" w:type="dxa"/>
          </w:tblCellMar>
        </w:tblPrEx>
        <w:trPr>
          <w:trHeight w:val="1296" w:hRule="atLeast"/>
        </w:trPr>
        <w:tc>
          <w:tcPr>
            <w:tcW w:w="4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752B2E">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序号</w:t>
            </w:r>
          </w:p>
        </w:tc>
        <w:tc>
          <w:tcPr>
            <w:tcW w:w="8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1AF9CC">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运输材料名称</w:t>
            </w:r>
          </w:p>
        </w:tc>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42D514">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运输包装方式</w:t>
            </w:r>
          </w:p>
        </w:tc>
        <w:tc>
          <w:tcPr>
            <w:tcW w:w="8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ABD10D">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预计单边运输距离（千米）</w:t>
            </w:r>
          </w:p>
        </w:tc>
        <w:tc>
          <w:tcPr>
            <w:tcW w:w="91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9C38DB">
            <w:pPr>
              <w:widowControl/>
              <w:jc w:val="center"/>
              <w:textAlignment w:val="center"/>
              <w:rPr>
                <w:rFonts w:ascii="宋体" w:hAnsi="宋体" w:cs="宋体"/>
                <w:b/>
                <w:color w:val="auto"/>
                <w:sz w:val="18"/>
                <w:szCs w:val="18"/>
                <w:highlight w:val="none"/>
              </w:rPr>
            </w:pPr>
            <w:bookmarkStart w:id="6" w:name="_Hlk108134008"/>
            <w:r>
              <w:rPr>
                <w:rFonts w:hint="eastAsia" w:ascii="宋体" w:hAnsi="宋体" w:cs="宋体"/>
                <w:b/>
                <w:color w:val="auto"/>
                <w:sz w:val="18"/>
                <w:szCs w:val="18"/>
                <w:highlight w:val="none"/>
                <w:lang w:bidi="ar"/>
              </w:rPr>
              <w:t>预计运输总重量</w:t>
            </w:r>
            <w:bookmarkEnd w:id="6"/>
            <w:r>
              <w:rPr>
                <w:rFonts w:hint="eastAsia" w:ascii="宋体" w:hAnsi="宋体" w:cs="宋体"/>
                <w:b/>
                <w:color w:val="auto"/>
                <w:sz w:val="18"/>
                <w:szCs w:val="18"/>
                <w:highlight w:val="none"/>
                <w:lang w:bidi="ar"/>
              </w:rPr>
              <w:t>（吨）</w:t>
            </w:r>
          </w:p>
        </w:tc>
        <w:tc>
          <w:tcPr>
            <w:tcW w:w="10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6AE97D">
            <w:pPr>
              <w:widowControl/>
              <w:jc w:val="center"/>
              <w:textAlignment w:val="center"/>
              <w:rPr>
                <w:rFonts w:ascii="宋体" w:hAnsi="宋体" w:cs="宋体"/>
                <w:b/>
                <w:color w:val="auto"/>
                <w:sz w:val="18"/>
                <w:szCs w:val="18"/>
                <w:highlight w:val="none"/>
                <w:lang w:bidi="ar"/>
              </w:rPr>
            </w:pPr>
            <w:r>
              <w:rPr>
                <w:rFonts w:hint="eastAsia" w:ascii="宋体" w:hAnsi="宋体" w:cs="宋体"/>
                <w:b/>
                <w:color w:val="auto"/>
                <w:sz w:val="18"/>
                <w:szCs w:val="18"/>
                <w:highlight w:val="none"/>
                <w:lang w:bidi="ar"/>
              </w:rPr>
              <w:t>预计每月运输数量（吨）</w:t>
            </w:r>
          </w:p>
        </w:tc>
        <w:tc>
          <w:tcPr>
            <w:tcW w:w="104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4DC41C">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起运地</w:t>
            </w:r>
          </w:p>
        </w:tc>
        <w:tc>
          <w:tcPr>
            <w:tcW w:w="122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C69F45">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目的地</w:t>
            </w:r>
          </w:p>
        </w:tc>
        <w:tc>
          <w:tcPr>
            <w:tcW w:w="11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260008">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运输方式</w:t>
            </w:r>
          </w:p>
        </w:tc>
      </w:tr>
      <w:tr w14:paraId="164AC8E8">
        <w:tblPrEx>
          <w:tblCellMar>
            <w:top w:w="0" w:type="dxa"/>
            <w:left w:w="0" w:type="dxa"/>
            <w:bottom w:w="0" w:type="dxa"/>
            <w:right w:w="0" w:type="dxa"/>
          </w:tblCellMar>
        </w:tblPrEx>
        <w:trPr>
          <w:trHeight w:val="1485" w:hRule="atLeast"/>
        </w:trPr>
        <w:tc>
          <w:tcPr>
            <w:tcW w:w="4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C40C49">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1</w:t>
            </w:r>
          </w:p>
        </w:tc>
        <w:tc>
          <w:tcPr>
            <w:tcW w:w="8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6AF03E">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煤末/兰炭末</w:t>
            </w:r>
          </w:p>
        </w:tc>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38C48B">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裸装（根据业主要求挂篷布）</w:t>
            </w:r>
          </w:p>
        </w:tc>
        <w:tc>
          <w:tcPr>
            <w:tcW w:w="8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D10E3AF">
            <w:pPr>
              <w:widowControl/>
              <w:jc w:val="center"/>
              <w:textAlignment w:val="center"/>
              <w:rPr>
                <w:rFonts w:ascii="宋体" w:hAnsi="宋体" w:cs="宋体" w:eastAsiaTheme="minorEastAsia"/>
                <w:color w:val="auto"/>
                <w:sz w:val="18"/>
                <w:szCs w:val="18"/>
                <w:highlight w:val="none"/>
              </w:rPr>
            </w:pPr>
            <w:r>
              <w:rPr>
                <w:rFonts w:ascii="宋体" w:hAnsi="宋体" w:cs="宋体"/>
                <w:color w:val="auto"/>
                <w:sz w:val="18"/>
                <w:szCs w:val="18"/>
                <w:highlight w:val="none"/>
                <w:lang w:bidi="ar"/>
              </w:rPr>
              <w:t>3</w:t>
            </w:r>
          </w:p>
        </w:tc>
        <w:tc>
          <w:tcPr>
            <w:tcW w:w="91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255348">
            <w:pPr>
              <w:widowControl/>
              <w:jc w:val="center"/>
              <w:textAlignment w:val="center"/>
              <w:rPr>
                <w:rFonts w:ascii="宋体" w:hAnsi="宋体" w:cs="宋体" w:eastAsiaTheme="minorEastAsia"/>
                <w:color w:val="auto"/>
                <w:sz w:val="18"/>
                <w:szCs w:val="18"/>
                <w:highlight w:val="none"/>
              </w:rPr>
            </w:pPr>
            <w:r>
              <w:rPr>
                <w:rFonts w:hint="eastAsia" w:ascii="宋体" w:hAnsi="宋体" w:cs="宋体"/>
                <w:color w:val="auto"/>
                <w:sz w:val="18"/>
                <w:szCs w:val="18"/>
                <w:highlight w:val="none"/>
                <w:lang w:bidi="ar"/>
              </w:rPr>
              <w:t>100000</w:t>
            </w:r>
          </w:p>
        </w:tc>
        <w:tc>
          <w:tcPr>
            <w:tcW w:w="1048"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14:paraId="6EA8CEA8">
            <w:pPr>
              <w:widowControl/>
              <w:jc w:val="center"/>
              <w:textAlignment w:val="center"/>
              <w:rPr>
                <w:rFonts w:ascii="宋体" w:hAnsi="宋体" w:cs="宋体"/>
                <w:color w:val="auto"/>
                <w:sz w:val="18"/>
                <w:szCs w:val="18"/>
                <w:highlight w:val="none"/>
                <w:lang w:bidi="ar"/>
              </w:rPr>
            </w:pPr>
            <w:r>
              <w:rPr>
                <w:rFonts w:hint="eastAsia" w:ascii="宋体" w:hAnsi="宋体" w:cs="宋体"/>
                <w:color w:val="auto"/>
                <w:sz w:val="18"/>
                <w:szCs w:val="18"/>
                <w:highlight w:val="none"/>
                <w:lang w:bidi="ar"/>
              </w:rPr>
              <w:t>8333.33</w:t>
            </w:r>
          </w:p>
        </w:tc>
        <w:tc>
          <w:tcPr>
            <w:tcW w:w="1048"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14:paraId="406A2FFF">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新疆圣雄电石有限公司原料堆场指定地点</w:t>
            </w:r>
          </w:p>
        </w:tc>
        <w:tc>
          <w:tcPr>
            <w:tcW w:w="1222"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14:paraId="7B120704">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吐鲁番开能环保能源有限公司厂区干煤棚指定地点</w:t>
            </w:r>
          </w:p>
        </w:tc>
        <w:tc>
          <w:tcPr>
            <w:tcW w:w="11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708D65">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汽运</w:t>
            </w:r>
          </w:p>
        </w:tc>
      </w:tr>
      <w:tr w14:paraId="2D372960">
        <w:tblPrEx>
          <w:tblCellMar>
            <w:top w:w="0" w:type="dxa"/>
            <w:left w:w="0" w:type="dxa"/>
            <w:bottom w:w="0" w:type="dxa"/>
            <w:right w:w="0" w:type="dxa"/>
          </w:tblCellMar>
        </w:tblPrEx>
        <w:trPr>
          <w:trHeight w:val="1533" w:hRule="atLeast"/>
        </w:trPr>
        <w:tc>
          <w:tcPr>
            <w:tcW w:w="4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96475C">
            <w:pPr>
              <w:jc w:val="center"/>
              <w:rPr>
                <w:rFonts w:ascii="宋体" w:hAnsi="宋体" w:cs="宋体" w:eastAsiaTheme="minorEastAsia"/>
                <w:b/>
                <w:color w:val="auto"/>
                <w:sz w:val="18"/>
                <w:szCs w:val="18"/>
                <w:highlight w:val="none"/>
              </w:rPr>
            </w:pPr>
            <w:r>
              <w:rPr>
                <w:rFonts w:hint="eastAsia" w:ascii="宋体" w:hAnsi="宋体" w:cs="宋体"/>
                <w:b/>
                <w:color w:val="auto"/>
                <w:sz w:val="18"/>
                <w:szCs w:val="18"/>
                <w:highlight w:val="none"/>
              </w:rPr>
              <w:t>2</w:t>
            </w:r>
          </w:p>
        </w:tc>
        <w:tc>
          <w:tcPr>
            <w:tcW w:w="80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D9FFFA">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粉煤灰</w:t>
            </w:r>
          </w:p>
        </w:tc>
        <w:tc>
          <w:tcPr>
            <w:tcW w:w="7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A1B45F">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val="en-US" w:eastAsia="zh-CN" w:bidi="ar"/>
              </w:rPr>
              <w:t>散</w:t>
            </w:r>
            <w:r>
              <w:rPr>
                <w:rFonts w:hint="eastAsia" w:ascii="宋体" w:hAnsi="宋体" w:cs="宋体"/>
                <w:color w:val="auto"/>
                <w:sz w:val="18"/>
                <w:szCs w:val="18"/>
                <w:highlight w:val="none"/>
                <w:lang w:bidi="ar"/>
              </w:rPr>
              <w:t>装</w:t>
            </w:r>
          </w:p>
        </w:tc>
        <w:tc>
          <w:tcPr>
            <w:tcW w:w="86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CD4E3C">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16</w:t>
            </w:r>
          </w:p>
        </w:tc>
        <w:tc>
          <w:tcPr>
            <w:tcW w:w="914"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14:paraId="0648C645">
            <w:pPr>
              <w:widowControl/>
              <w:jc w:val="center"/>
              <w:textAlignment w:val="center"/>
              <w:rPr>
                <w:rFonts w:hint="default" w:ascii="宋体" w:hAnsi="宋体" w:cs="宋体" w:eastAsiaTheme="minorEastAsia"/>
                <w:color w:val="auto"/>
                <w:sz w:val="18"/>
                <w:szCs w:val="18"/>
                <w:highlight w:val="none"/>
                <w:lang w:val="en-US" w:eastAsia="zh-CN"/>
              </w:rPr>
            </w:pPr>
            <w:r>
              <w:rPr>
                <w:rFonts w:hint="eastAsia" w:ascii="宋体" w:hAnsi="宋体" w:cs="宋体" w:eastAsiaTheme="minorEastAsia"/>
                <w:color w:val="auto"/>
                <w:sz w:val="18"/>
                <w:szCs w:val="18"/>
                <w:highlight w:val="none"/>
                <w:lang w:val="en-US" w:eastAsia="zh-CN" w:bidi="ar"/>
              </w:rPr>
              <w:t>80000</w:t>
            </w:r>
          </w:p>
        </w:tc>
        <w:tc>
          <w:tcPr>
            <w:tcW w:w="104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2DB9AB8">
            <w:pPr>
              <w:widowControl/>
              <w:jc w:val="center"/>
              <w:textAlignment w:val="center"/>
              <w:rPr>
                <w:rFonts w:hint="default" w:ascii="宋体" w:hAnsi="宋体" w:eastAsia="宋体" w:cs="宋体"/>
                <w:color w:val="auto"/>
                <w:sz w:val="18"/>
                <w:szCs w:val="18"/>
                <w:highlight w:val="none"/>
                <w:lang w:val="en-US" w:eastAsia="zh-CN" w:bidi="ar"/>
              </w:rPr>
            </w:pPr>
            <w:r>
              <w:rPr>
                <w:rFonts w:hint="eastAsia" w:ascii="宋体" w:hAnsi="宋体" w:cs="宋体"/>
                <w:color w:val="auto"/>
                <w:sz w:val="18"/>
                <w:szCs w:val="18"/>
                <w:highlight w:val="none"/>
                <w:lang w:val="en-US" w:eastAsia="zh-CN" w:bidi="ar"/>
              </w:rPr>
              <w:t>6666.67</w:t>
            </w:r>
          </w:p>
        </w:tc>
        <w:tc>
          <w:tcPr>
            <w:tcW w:w="104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E1EB74B">
            <w:pPr>
              <w:jc w:val="center"/>
              <w:rPr>
                <w:rFonts w:ascii="宋体" w:hAnsi="宋体" w:cs="宋体"/>
                <w:color w:val="auto"/>
                <w:sz w:val="18"/>
                <w:szCs w:val="18"/>
                <w:highlight w:val="none"/>
              </w:rPr>
            </w:pPr>
            <w:r>
              <w:rPr>
                <w:rFonts w:hint="eastAsia" w:ascii="宋体" w:hAnsi="宋体" w:cs="宋体"/>
                <w:color w:val="auto"/>
                <w:sz w:val="18"/>
                <w:szCs w:val="18"/>
                <w:highlight w:val="none"/>
                <w:lang w:bidi="ar"/>
              </w:rPr>
              <w:t>吐鲁番开能环保能源有限公司厂区除尘灰仓指定地点</w:t>
            </w:r>
          </w:p>
        </w:tc>
        <w:tc>
          <w:tcPr>
            <w:tcW w:w="1222"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3CD4032">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新疆圣雄能源股份有限公司灰场指定地点</w:t>
            </w:r>
          </w:p>
        </w:tc>
        <w:tc>
          <w:tcPr>
            <w:tcW w:w="1192" w:type="dxa"/>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14:paraId="671E06BF">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汽运</w:t>
            </w:r>
          </w:p>
        </w:tc>
      </w:tr>
    </w:tbl>
    <w:p w14:paraId="016474F3">
      <w:pPr>
        <w:pStyle w:val="20"/>
        <w:widowControl/>
        <w:spacing w:before="30" w:beforeAutospacing="0" w:after="30" w:afterAutospacing="0" w:line="560" w:lineRule="exact"/>
        <w:ind w:left="30" w:right="30" w:firstLine="430"/>
        <w:rPr>
          <w:rFonts w:ascii="仿宋_GB2312" w:hAnsi="微软雅黑" w:eastAsia="仿宋_GB2312" w:cs="仿宋_GB2312"/>
          <w:color w:val="auto"/>
          <w:sz w:val="21"/>
          <w:szCs w:val="21"/>
          <w:highlight w:val="none"/>
          <w:lang w:bidi="ar"/>
        </w:rPr>
      </w:pPr>
      <w:r>
        <w:rPr>
          <w:rFonts w:hint="eastAsia" w:ascii="仿宋_GB2312" w:hAnsi="微软雅黑" w:eastAsia="仿宋_GB2312" w:cs="仿宋_GB2312"/>
          <w:color w:val="auto"/>
          <w:sz w:val="21"/>
          <w:szCs w:val="21"/>
          <w:highlight w:val="none"/>
          <w:lang w:bidi="ar"/>
        </w:rPr>
        <w:t xml:space="preserve"> </w:t>
      </w:r>
    </w:p>
    <w:p w14:paraId="248FCDFA">
      <w:pPr>
        <w:pStyle w:val="20"/>
        <w:widowControl/>
        <w:spacing w:before="30" w:beforeAutospacing="0" w:after="30" w:afterAutospacing="0" w:line="560" w:lineRule="exact"/>
        <w:ind w:left="30" w:right="30" w:firstLine="430"/>
        <w:rPr>
          <w:rFonts w:hint="eastAsia" w:ascii="仿宋_GB2312" w:hAnsi="微软雅黑" w:eastAsia="仿宋_GB2312" w:cs="仿宋_GB2312"/>
          <w:color w:val="auto"/>
          <w:sz w:val="21"/>
          <w:szCs w:val="21"/>
          <w:highlight w:val="none"/>
          <w:lang w:val="en-US" w:eastAsia="zh-CN" w:bidi="ar"/>
        </w:rPr>
      </w:pPr>
      <w:r>
        <w:rPr>
          <w:rFonts w:hint="eastAsia" w:ascii="仿宋_GB2312" w:hAnsi="微软雅黑" w:eastAsia="仿宋_GB2312" w:cs="仿宋_GB2312"/>
          <w:color w:val="auto"/>
          <w:sz w:val="21"/>
          <w:szCs w:val="21"/>
          <w:highlight w:val="none"/>
          <w:lang w:val="en-US" w:eastAsia="zh-CN" w:bidi="ar"/>
        </w:rPr>
        <w:t>注</w:t>
      </w:r>
      <w:r>
        <w:rPr>
          <w:rFonts w:hint="eastAsia" w:ascii="仿宋_GB2312" w:hAnsi="微软雅黑" w:eastAsia="仿宋_GB2312" w:cs="仿宋_GB2312"/>
          <w:color w:val="auto"/>
          <w:sz w:val="21"/>
          <w:szCs w:val="21"/>
          <w:highlight w:val="none"/>
          <w:lang w:bidi="ar"/>
        </w:rPr>
        <w:t>：</w:t>
      </w:r>
      <w:bookmarkStart w:id="7" w:name="_Hlk108134205"/>
      <w:r>
        <w:rPr>
          <w:rFonts w:hint="eastAsia" w:ascii="仿宋_GB2312" w:hAnsi="微软雅黑" w:eastAsia="仿宋_GB2312" w:cs="仿宋_GB2312"/>
          <w:color w:val="auto"/>
          <w:sz w:val="21"/>
          <w:szCs w:val="21"/>
          <w:highlight w:val="none"/>
          <w:lang w:val="en-US" w:eastAsia="zh-CN" w:bidi="ar"/>
        </w:rPr>
        <w:t>合同运输周期实际运输总重量达到预计运输总重量的60%及以上，中标人所报固定运输单价</w:t>
      </w:r>
      <w:bookmarkEnd w:id="7"/>
      <w:r>
        <w:rPr>
          <w:rFonts w:hint="eastAsia" w:ascii="仿宋_GB2312" w:hAnsi="微软雅黑" w:eastAsia="仿宋_GB2312" w:cs="仿宋_GB2312"/>
          <w:color w:val="auto"/>
          <w:sz w:val="21"/>
          <w:szCs w:val="21"/>
          <w:highlight w:val="none"/>
          <w:lang w:val="en-US" w:eastAsia="zh-CN" w:bidi="ar"/>
        </w:rPr>
        <w:t>不做调整；实际运输总量达不到预计运输总重量的60%，中标人所报固定运输单价上浮10%，在合同运输周期结束前按照上浮价格一次性结算差价金额。</w:t>
      </w:r>
    </w:p>
    <w:p w14:paraId="1E95287E">
      <w:pPr>
        <w:pStyle w:val="20"/>
        <w:widowControl/>
        <w:spacing w:before="30" w:beforeAutospacing="0" w:after="30" w:afterAutospacing="0" w:line="560" w:lineRule="exact"/>
        <w:ind w:left="30" w:right="30"/>
        <w:rPr>
          <w:rFonts w:ascii="微软雅黑" w:hAnsi="微软雅黑" w:cs="微软雅黑"/>
          <w:color w:val="auto"/>
          <w:sz w:val="14"/>
          <w:szCs w:val="14"/>
          <w:highlight w:val="none"/>
        </w:rPr>
      </w:pPr>
      <w:r>
        <w:rPr>
          <w:rStyle w:val="25"/>
          <w:rFonts w:hint="eastAsia" w:ascii="宋体" w:hAnsi="宋体" w:cs="宋体"/>
          <w:color w:val="auto"/>
          <w:sz w:val="21"/>
          <w:szCs w:val="21"/>
          <w:highlight w:val="none"/>
        </w:rPr>
        <w:t>（二）项目运输周期</w:t>
      </w:r>
    </w:p>
    <w:p w14:paraId="1D892FA1">
      <w:pPr>
        <w:pStyle w:val="20"/>
        <w:widowControl/>
        <w:spacing w:before="30" w:beforeAutospacing="0" w:after="30" w:afterAutospacing="0" w:line="560" w:lineRule="exact"/>
        <w:ind w:left="30" w:right="30" w:firstLine="430"/>
        <w:rPr>
          <w:rFonts w:ascii="微软雅黑" w:hAnsi="微软雅黑" w:eastAsia="微软雅黑" w:cs="微软雅黑"/>
          <w:color w:val="auto"/>
          <w:sz w:val="14"/>
          <w:szCs w:val="14"/>
          <w:highlight w:val="none"/>
        </w:rPr>
      </w:pPr>
      <w:r>
        <w:rPr>
          <w:rFonts w:hint="eastAsia" w:ascii="仿宋_GB2312" w:hAnsi="微软雅黑" w:eastAsia="仿宋_GB2312" w:cs="仿宋_GB2312"/>
          <w:color w:val="auto"/>
          <w:sz w:val="21"/>
          <w:szCs w:val="21"/>
          <w:highlight w:val="none"/>
        </w:rPr>
        <w:t xml:space="preserve">自合同签订之日起满一年，预计时间为2026年2月1日至2027年1月31日 </w:t>
      </w:r>
      <w:r>
        <w:rPr>
          <w:rFonts w:ascii="仿宋_GB2312" w:hAnsi="微软雅黑" w:eastAsia="仿宋_GB2312" w:cs="仿宋_GB2312"/>
          <w:color w:val="auto"/>
          <w:sz w:val="21"/>
          <w:szCs w:val="21"/>
          <w:highlight w:val="none"/>
        </w:rPr>
        <w:t>。</w:t>
      </w:r>
    </w:p>
    <w:p w14:paraId="226384A4">
      <w:pPr>
        <w:pStyle w:val="20"/>
        <w:widowControl/>
        <w:spacing w:before="30" w:beforeAutospacing="0" w:after="30" w:afterAutospacing="0" w:line="560" w:lineRule="exact"/>
        <w:ind w:left="30" w:right="30"/>
        <w:rPr>
          <w:rFonts w:ascii="微软雅黑" w:hAnsi="微软雅黑" w:cs="微软雅黑"/>
          <w:color w:val="auto"/>
          <w:sz w:val="14"/>
          <w:szCs w:val="14"/>
          <w:highlight w:val="none"/>
        </w:rPr>
      </w:pPr>
      <w:r>
        <w:rPr>
          <w:rStyle w:val="25"/>
          <w:rFonts w:hint="eastAsia" w:ascii="宋体" w:hAnsi="宋体" w:cs="宋体"/>
          <w:color w:val="auto"/>
          <w:sz w:val="21"/>
          <w:szCs w:val="21"/>
          <w:highlight w:val="none"/>
        </w:rPr>
        <w:t>（三）付款方式</w:t>
      </w:r>
    </w:p>
    <w:p w14:paraId="6379B93D">
      <w:pPr>
        <w:pStyle w:val="20"/>
        <w:widowControl/>
        <w:spacing w:before="30" w:beforeAutospacing="0" w:after="30" w:afterAutospacing="0" w:line="560" w:lineRule="exact"/>
        <w:ind w:left="28" w:right="28" w:firstLine="431"/>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1.材料运达目的地后，中标人提供运输业务量确认审批表及收货单位的签收单经采购人审核无误后，中标人按运输业务量确认审批表确定的运输量以及合同单价开具有效的国内运输9%增值税专用发票，运输结算周期为按月结算。</w:t>
      </w:r>
    </w:p>
    <w:p w14:paraId="24A944FB">
      <w:pPr>
        <w:pStyle w:val="20"/>
        <w:widowControl/>
        <w:spacing w:before="30" w:beforeAutospacing="0" w:after="30" w:afterAutospacing="0" w:line="560" w:lineRule="exact"/>
        <w:ind w:left="28" w:right="28" w:firstLine="431"/>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2.采购人收到中标人提供运输业务量确认审批表及有效的国内运输9%增值税专用发票后7个工作日内支付对应的运输款项。</w:t>
      </w:r>
    </w:p>
    <w:p w14:paraId="04DE5B62">
      <w:pPr>
        <w:pStyle w:val="20"/>
        <w:widowControl/>
        <w:spacing w:before="30" w:beforeAutospacing="0" w:after="30" w:afterAutospacing="0" w:line="560" w:lineRule="exact"/>
        <w:ind w:left="30" w:right="30" w:firstLine="430"/>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3.结算方式：运输总价=运输单价×实际运输数量（实际运输数量以过磅重量为准）</w:t>
      </w:r>
      <w:r>
        <w:rPr>
          <w:rFonts w:hint="eastAsia" w:ascii="仿宋_GB2312" w:hAnsi="微软雅黑" w:eastAsia="仿宋_GB2312" w:cs="仿宋_GB2312"/>
          <w:color w:val="auto"/>
          <w:sz w:val="21"/>
          <w:szCs w:val="21"/>
          <w:highlight w:val="none"/>
          <w:lang w:val="en-US" w:eastAsia="zh-CN" w:bidi="ar"/>
        </w:rPr>
        <w:t>合同运输周期实际运输总重量达到预计运输总重量的60%及以上，中标人所报固定运输单价不做调整；实际运输总量达不到预计运输总重量的60%，中标人所报固定运输单价上浮10%，在合同运输周期结束前按照上浮价格一次性结算差价金额。</w:t>
      </w:r>
    </w:p>
    <w:p w14:paraId="1D04186F">
      <w:pPr>
        <w:pStyle w:val="20"/>
        <w:widowControl/>
        <w:spacing w:before="30" w:beforeAutospacing="0" w:after="30" w:afterAutospacing="0" w:line="560" w:lineRule="exact"/>
        <w:ind w:left="30" w:right="30"/>
        <w:rPr>
          <w:rFonts w:ascii="微软雅黑" w:hAnsi="微软雅黑" w:cs="微软雅黑"/>
          <w:color w:val="auto"/>
          <w:sz w:val="14"/>
          <w:szCs w:val="14"/>
          <w:highlight w:val="none"/>
        </w:rPr>
      </w:pPr>
      <w:r>
        <w:rPr>
          <w:rStyle w:val="25"/>
          <w:rFonts w:hint="eastAsia" w:ascii="宋体" w:hAnsi="宋体" w:cs="宋体"/>
          <w:color w:val="auto"/>
          <w:sz w:val="21"/>
          <w:szCs w:val="21"/>
          <w:highlight w:val="none"/>
        </w:rPr>
        <w:t>（四）其他注意事项</w:t>
      </w:r>
    </w:p>
    <w:p w14:paraId="69FD4DAC">
      <w:pPr>
        <w:pStyle w:val="20"/>
        <w:widowControl/>
        <w:spacing w:before="30" w:beforeAutospacing="0" w:after="30" w:afterAutospacing="0" w:line="560" w:lineRule="exact"/>
        <w:ind w:left="30" w:right="30" w:firstLine="430"/>
        <w:rPr>
          <w:rFonts w:ascii="微软雅黑" w:hAnsi="微软雅黑" w:eastAsia="微软雅黑" w:cs="微软雅黑"/>
          <w:color w:val="auto"/>
          <w:sz w:val="14"/>
          <w:szCs w:val="14"/>
          <w:highlight w:val="none"/>
        </w:rPr>
      </w:pPr>
      <w:r>
        <w:rPr>
          <w:rFonts w:hint="eastAsia" w:ascii="微软雅黑" w:hAnsi="微软雅黑" w:eastAsia="微软雅黑" w:cs="微软雅黑"/>
          <w:color w:val="auto"/>
          <w:sz w:val="21"/>
          <w:szCs w:val="21"/>
          <w:highlight w:val="none"/>
        </w:rPr>
        <w:t>1.</w:t>
      </w:r>
      <w:r>
        <w:rPr>
          <w:rFonts w:ascii="仿宋_GB2312" w:hAnsi="微软雅黑" w:eastAsia="仿宋_GB2312" w:cs="仿宋_GB2312"/>
          <w:color w:val="auto"/>
          <w:sz w:val="21"/>
          <w:szCs w:val="21"/>
          <w:highlight w:val="none"/>
        </w:rPr>
        <w:t>本项目费用为</w:t>
      </w:r>
      <w:r>
        <w:rPr>
          <w:rFonts w:hint="eastAsia" w:ascii="仿宋_GB2312" w:hAnsi="微软雅黑" w:eastAsia="仿宋_GB2312" w:cs="仿宋_GB2312"/>
          <w:color w:val="auto"/>
          <w:sz w:val="21"/>
          <w:szCs w:val="21"/>
          <w:highlight w:val="none"/>
        </w:rPr>
        <w:t>固定单价，暂定</w:t>
      </w:r>
      <w:r>
        <w:rPr>
          <w:rFonts w:ascii="仿宋_GB2312" w:hAnsi="微软雅黑" w:eastAsia="仿宋_GB2312" w:cs="仿宋_GB2312"/>
          <w:color w:val="auto"/>
          <w:sz w:val="21"/>
          <w:szCs w:val="21"/>
          <w:highlight w:val="none"/>
        </w:rPr>
        <w:t>总价；</w:t>
      </w:r>
    </w:p>
    <w:p w14:paraId="5EE818E6">
      <w:pPr>
        <w:pStyle w:val="20"/>
        <w:widowControl/>
        <w:spacing w:before="30" w:beforeAutospacing="0" w:after="30" w:afterAutospacing="0" w:line="560" w:lineRule="exact"/>
        <w:ind w:left="30" w:right="30" w:firstLine="430"/>
        <w:rPr>
          <w:rFonts w:ascii="仿宋_GB2312" w:hAnsi="微软雅黑" w:eastAsia="仿宋_GB2312" w:cs="仿宋_GB2312"/>
          <w:color w:val="auto"/>
          <w:sz w:val="21"/>
          <w:szCs w:val="21"/>
          <w:highlight w:val="none"/>
        </w:rPr>
      </w:pPr>
      <w:r>
        <w:rPr>
          <w:rFonts w:hint="eastAsia" w:ascii="微软雅黑" w:hAnsi="微软雅黑" w:eastAsia="微软雅黑" w:cs="微软雅黑"/>
          <w:color w:val="auto"/>
          <w:sz w:val="21"/>
          <w:szCs w:val="21"/>
          <w:highlight w:val="none"/>
        </w:rPr>
        <w:t>2.</w:t>
      </w:r>
      <w:r>
        <w:rPr>
          <w:rFonts w:ascii="仿宋_GB2312" w:hAnsi="微软雅黑" w:eastAsia="仿宋_GB2312" w:cs="仿宋_GB2312"/>
          <w:color w:val="auto"/>
          <w:sz w:val="21"/>
          <w:szCs w:val="21"/>
          <w:highlight w:val="none"/>
        </w:rPr>
        <w:t>本项目不组织集中实地勘察，由</w:t>
      </w:r>
      <w:r>
        <w:rPr>
          <w:rFonts w:hint="eastAsia" w:ascii="仿宋_GB2312" w:hAnsi="微软雅黑" w:eastAsia="仿宋_GB2312" w:cs="仿宋_GB2312"/>
          <w:color w:val="auto"/>
          <w:sz w:val="21"/>
          <w:szCs w:val="21"/>
          <w:highlight w:val="none"/>
        </w:rPr>
        <w:t>报价</w:t>
      </w:r>
      <w:r>
        <w:rPr>
          <w:rFonts w:ascii="仿宋_GB2312" w:hAnsi="微软雅黑" w:eastAsia="仿宋_GB2312" w:cs="仿宋_GB2312"/>
          <w:color w:val="auto"/>
          <w:sz w:val="21"/>
          <w:szCs w:val="21"/>
          <w:highlight w:val="none"/>
        </w:rPr>
        <w:t>人自行前往</w:t>
      </w:r>
      <w:r>
        <w:rPr>
          <w:rFonts w:hint="eastAsia" w:ascii="仿宋_GB2312" w:hAnsi="微软雅黑" w:eastAsia="仿宋_GB2312" w:cs="仿宋_GB2312"/>
          <w:color w:val="auto"/>
          <w:sz w:val="21"/>
          <w:szCs w:val="21"/>
          <w:highlight w:val="none"/>
        </w:rPr>
        <w:t>。</w:t>
      </w:r>
    </w:p>
    <w:p w14:paraId="6B83722E">
      <w:pPr>
        <w:spacing w:line="360" w:lineRule="auto"/>
        <w:jc w:val="center"/>
        <w:rPr>
          <w:rFonts w:eastAsia="仿宋_GB2312"/>
          <w:color w:val="auto"/>
          <w:sz w:val="32"/>
          <w:szCs w:val="32"/>
          <w:highlight w:val="none"/>
        </w:rPr>
      </w:pPr>
    </w:p>
    <w:bookmarkEnd w:id="2"/>
    <w:bookmarkEnd w:id="5"/>
    <w:p w14:paraId="349F8AD2">
      <w:pPr>
        <w:spacing w:line="360" w:lineRule="auto"/>
        <w:jc w:val="both"/>
        <w:rPr>
          <w:rFonts w:eastAsia="仿宋_GB2312"/>
          <w:color w:val="auto"/>
          <w:sz w:val="32"/>
          <w:szCs w:val="32"/>
          <w:highlight w:val="none"/>
        </w:rPr>
      </w:pPr>
      <w:bookmarkStart w:id="8" w:name="_Toc148265712"/>
      <w:bookmarkEnd w:id="8"/>
    </w:p>
    <w:p w14:paraId="6DAFE596">
      <w:pPr>
        <w:pStyle w:val="2"/>
        <w:rPr>
          <w:rFonts w:eastAsia="仿宋_GB2312"/>
          <w:color w:val="auto"/>
          <w:sz w:val="32"/>
          <w:szCs w:val="32"/>
          <w:highlight w:val="none"/>
        </w:rPr>
      </w:pPr>
    </w:p>
    <w:p w14:paraId="1E03C1C8">
      <w:pPr>
        <w:pStyle w:val="2"/>
        <w:rPr>
          <w:rFonts w:eastAsia="仿宋_GB2312"/>
          <w:color w:val="auto"/>
          <w:sz w:val="32"/>
          <w:szCs w:val="32"/>
          <w:highlight w:val="none"/>
        </w:rPr>
      </w:pPr>
    </w:p>
    <w:p w14:paraId="5D366969">
      <w:pPr>
        <w:pStyle w:val="2"/>
        <w:rPr>
          <w:rFonts w:eastAsia="仿宋_GB2312"/>
          <w:color w:val="auto"/>
          <w:sz w:val="32"/>
          <w:szCs w:val="32"/>
          <w:highlight w:val="none"/>
        </w:rPr>
      </w:pPr>
    </w:p>
    <w:p w14:paraId="36ACB44E">
      <w:pPr>
        <w:pStyle w:val="2"/>
        <w:rPr>
          <w:rFonts w:eastAsia="仿宋_GB2312"/>
          <w:color w:val="auto"/>
          <w:sz w:val="32"/>
          <w:szCs w:val="32"/>
          <w:highlight w:val="none"/>
        </w:rPr>
      </w:pPr>
    </w:p>
    <w:p w14:paraId="098C7CC4">
      <w:pPr>
        <w:pStyle w:val="2"/>
        <w:rPr>
          <w:rFonts w:eastAsia="仿宋_GB2312"/>
          <w:color w:val="auto"/>
          <w:sz w:val="32"/>
          <w:szCs w:val="32"/>
          <w:highlight w:val="none"/>
        </w:rPr>
      </w:pPr>
    </w:p>
    <w:p w14:paraId="74708486">
      <w:pPr>
        <w:pStyle w:val="2"/>
        <w:rPr>
          <w:rFonts w:eastAsia="仿宋_GB2312"/>
          <w:color w:val="auto"/>
          <w:sz w:val="32"/>
          <w:szCs w:val="32"/>
          <w:highlight w:val="none"/>
        </w:rPr>
      </w:pPr>
    </w:p>
    <w:p w14:paraId="2C7BC585">
      <w:pPr>
        <w:pStyle w:val="2"/>
        <w:rPr>
          <w:rFonts w:eastAsia="仿宋_GB2312"/>
          <w:color w:val="auto"/>
          <w:sz w:val="32"/>
          <w:szCs w:val="32"/>
          <w:highlight w:val="none"/>
        </w:rPr>
      </w:pPr>
    </w:p>
    <w:p w14:paraId="0DFFAD04">
      <w:pPr>
        <w:pStyle w:val="2"/>
        <w:rPr>
          <w:rFonts w:eastAsia="仿宋_GB2312"/>
          <w:color w:val="auto"/>
          <w:sz w:val="32"/>
          <w:szCs w:val="32"/>
          <w:highlight w:val="none"/>
        </w:rPr>
      </w:pPr>
    </w:p>
    <w:p w14:paraId="5B6E97AC">
      <w:pPr>
        <w:pStyle w:val="2"/>
        <w:rPr>
          <w:rFonts w:eastAsia="仿宋_GB2312"/>
          <w:color w:val="auto"/>
          <w:sz w:val="32"/>
          <w:szCs w:val="32"/>
          <w:highlight w:val="none"/>
        </w:rPr>
      </w:pPr>
    </w:p>
    <w:p w14:paraId="7E17C48E">
      <w:pPr>
        <w:pStyle w:val="2"/>
        <w:rPr>
          <w:rFonts w:eastAsia="仿宋_GB2312"/>
          <w:color w:val="auto"/>
          <w:sz w:val="32"/>
          <w:szCs w:val="32"/>
          <w:highlight w:val="none"/>
        </w:rPr>
      </w:pPr>
    </w:p>
    <w:p w14:paraId="002F9242">
      <w:pPr>
        <w:pStyle w:val="2"/>
        <w:rPr>
          <w:rFonts w:eastAsia="仿宋_GB2312"/>
          <w:color w:val="auto"/>
          <w:sz w:val="32"/>
          <w:szCs w:val="32"/>
          <w:highlight w:val="none"/>
        </w:rPr>
      </w:pPr>
    </w:p>
    <w:p w14:paraId="241BC71D">
      <w:pPr>
        <w:pStyle w:val="41"/>
        <w:wordWrap w:val="0"/>
        <w:ind w:firstLine="0" w:firstLineChars="0"/>
        <w:jc w:val="left"/>
        <w:rPr>
          <w:rFonts w:eastAsia="黑体"/>
          <w:color w:val="auto"/>
          <w:sz w:val="28"/>
          <w:szCs w:val="44"/>
          <w:highlight w:val="none"/>
        </w:rPr>
      </w:pPr>
      <w:r>
        <w:rPr>
          <w:rFonts w:eastAsia="黑体"/>
          <w:color w:val="auto"/>
          <w:sz w:val="28"/>
          <w:szCs w:val="44"/>
          <w:highlight w:val="none"/>
        </w:rPr>
        <w:t>附件</w:t>
      </w:r>
      <w:r>
        <w:rPr>
          <w:rFonts w:hint="eastAsia" w:eastAsia="黑体"/>
          <w:color w:val="auto"/>
          <w:sz w:val="28"/>
          <w:szCs w:val="44"/>
          <w:highlight w:val="none"/>
          <w:lang w:val="en-US" w:eastAsia="zh-CN"/>
        </w:rPr>
        <w:t xml:space="preserve">七 </w:t>
      </w:r>
      <w:r>
        <w:rPr>
          <w:rFonts w:hint="eastAsia" w:eastAsia="黑体"/>
          <w:color w:val="auto"/>
          <w:sz w:val="28"/>
          <w:szCs w:val="44"/>
          <w:highlight w:val="none"/>
        </w:rPr>
        <w:t>合同模板</w:t>
      </w:r>
    </w:p>
    <w:p w14:paraId="15EF1B90">
      <w:pPr>
        <w:rPr>
          <w:color w:val="auto"/>
          <w:highlight w:val="none"/>
        </w:rPr>
      </w:pPr>
    </w:p>
    <w:p w14:paraId="75AF4349">
      <w:pPr>
        <w:jc w:val="center"/>
        <w:rPr>
          <w:b/>
          <w:color w:val="auto"/>
          <w:sz w:val="32"/>
          <w:szCs w:val="32"/>
          <w:highlight w:val="none"/>
        </w:rPr>
      </w:pPr>
      <w:r>
        <w:rPr>
          <w:rFonts w:hint="eastAsia"/>
          <w:b/>
          <w:color w:val="auto"/>
          <w:sz w:val="32"/>
          <w:szCs w:val="32"/>
          <w:highlight w:val="none"/>
        </w:rPr>
        <w:t>吐鲁番开能环保能源有限公司燃料及粉煤灰材料运输合同</w:t>
      </w:r>
    </w:p>
    <w:p w14:paraId="441E30D2">
      <w:pPr>
        <w:jc w:val="center"/>
        <w:rPr>
          <w:rFonts w:ascii="宋体" w:hAnsi="宋体" w:cs="宋体"/>
          <w:color w:val="auto"/>
          <w:highlight w:val="none"/>
        </w:rPr>
      </w:pPr>
    </w:p>
    <w:p w14:paraId="04A77C4F">
      <w:pPr>
        <w:ind w:firstLine="4200" w:firstLineChars="2000"/>
        <w:rPr>
          <w:rFonts w:ascii="宋体" w:hAnsi="宋体" w:cs="宋体"/>
          <w:color w:val="auto"/>
          <w:highlight w:val="none"/>
        </w:rPr>
      </w:pPr>
      <w:r>
        <w:rPr>
          <w:rFonts w:hint="eastAsia" w:ascii="宋体" w:hAnsi="宋体" w:cs="宋体"/>
          <w:color w:val="auto"/>
          <w:highlight w:val="none"/>
        </w:rPr>
        <w:t>甲方合同编号：</w:t>
      </w:r>
    </w:p>
    <w:p w14:paraId="3220CFE5">
      <w:pPr>
        <w:rPr>
          <w:rFonts w:ascii="宋体" w:hAnsi="宋体" w:cs="宋体"/>
          <w:color w:val="auto"/>
          <w:highlight w:val="none"/>
        </w:rPr>
      </w:pPr>
      <w:r>
        <w:rPr>
          <w:rFonts w:hint="eastAsia" w:ascii="宋体" w:hAnsi="宋体" w:cs="宋体"/>
          <w:color w:val="auto"/>
          <w:highlight w:val="none"/>
        </w:rPr>
        <w:t xml:space="preserve">                                        合同签订地点：新疆吐鲁番</w:t>
      </w:r>
    </w:p>
    <w:p w14:paraId="40184FA2">
      <w:pPr>
        <w:rPr>
          <w:rFonts w:ascii="宋体" w:hAnsi="宋体" w:cs="宋体"/>
          <w:color w:val="auto"/>
          <w:highlight w:val="none"/>
        </w:rPr>
      </w:pPr>
    </w:p>
    <w:p w14:paraId="1DAD6B47">
      <w:pPr>
        <w:rPr>
          <w:rFonts w:ascii="宋体" w:hAnsi="宋体" w:cs="宋体"/>
          <w:color w:val="auto"/>
          <w:highlight w:val="none"/>
        </w:rPr>
      </w:pPr>
      <w:r>
        <w:rPr>
          <w:rFonts w:hint="eastAsia" w:ascii="宋体" w:hAnsi="宋体" w:cs="宋体"/>
          <w:color w:val="auto"/>
          <w:highlight w:val="none"/>
        </w:rPr>
        <w:t>甲方：吐鲁番开能环保能源有限公司</w:t>
      </w:r>
    </w:p>
    <w:p w14:paraId="3AE858CC">
      <w:pPr>
        <w:rPr>
          <w:rFonts w:ascii="宋体" w:hAnsi="宋体" w:cs="宋体"/>
          <w:color w:val="auto"/>
          <w:highlight w:val="none"/>
        </w:rPr>
      </w:pPr>
      <w:r>
        <w:rPr>
          <w:rFonts w:hint="eastAsia" w:ascii="宋体" w:hAnsi="宋体" w:cs="宋体"/>
          <w:color w:val="auto"/>
          <w:highlight w:val="none"/>
        </w:rPr>
        <w:t>乙方：</w:t>
      </w:r>
    </w:p>
    <w:p w14:paraId="62924956">
      <w:pPr>
        <w:rPr>
          <w:rFonts w:ascii="宋体" w:hAnsi="宋体" w:cs="宋体"/>
          <w:color w:val="auto"/>
          <w:highlight w:val="none"/>
        </w:rPr>
      </w:pPr>
    </w:p>
    <w:p w14:paraId="4D549BE5">
      <w:pPr>
        <w:rPr>
          <w:rFonts w:ascii="宋体" w:hAnsi="宋体" w:cs="宋体"/>
          <w:color w:val="auto"/>
          <w:highlight w:val="none"/>
        </w:rPr>
      </w:pPr>
      <w:r>
        <w:rPr>
          <w:rFonts w:hint="eastAsia" w:ascii="宋体" w:hAnsi="宋体" w:cs="宋体"/>
          <w:color w:val="auto"/>
          <w:highlight w:val="none"/>
        </w:rPr>
        <w:t>根据《中华人民共和国民法典》及相关法律法规规定，甲乙双方本着诚信、平等、互利的原则，甲、乙双方就吐鲁番开能环保能源有限公司煤末/兰炭末及粉煤灰等材料运输事宜，经友好协商签订本合同供甲乙双方共同遵照执行。</w:t>
      </w:r>
    </w:p>
    <w:p w14:paraId="4F86E2BE">
      <w:pPr>
        <w:rPr>
          <w:rFonts w:ascii="宋体" w:hAnsi="宋体" w:cs="宋体"/>
          <w:color w:val="auto"/>
          <w:highlight w:val="none"/>
        </w:rPr>
      </w:pPr>
      <w:r>
        <w:rPr>
          <w:rFonts w:hint="eastAsia" w:ascii="宋体" w:hAnsi="宋体" w:cs="宋体"/>
          <w:color w:val="auto"/>
          <w:highlight w:val="none"/>
        </w:rPr>
        <w:t>一、材料名称、数量</w:t>
      </w:r>
    </w:p>
    <w:p w14:paraId="3E910D65">
      <w:pPr>
        <w:rPr>
          <w:rFonts w:ascii="宋体" w:hAnsi="宋体" w:cs="宋体"/>
          <w:color w:val="auto"/>
          <w:highlight w:val="none"/>
        </w:rPr>
      </w:pPr>
      <w:r>
        <w:rPr>
          <w:rFonts w:hint="eastAsia" w:ascii="宋体" w:hAnsi="宋体" w:cs="宋体"/>
          <w:color w:val="auto"/>
          <w:highlight w:val="none"/>
        </w:rPr>
        <w:t xml:space="preserve">材料名称：煤末/兰炭末及粉煤灰 </w:t>
      </w:r>
    </w:p>
    <w:p w14:paraId="2BF843EF">
      <w:pPr>
        <w:rPr>
          <w:rFonts w:ascii="宋体" w:hAnsi="宋体" w:cs="宋体"/>
          <w:color w:val="auto"/>
          <w:highlight w:val="none"/>
        </w:rPr>
      </w:pPr>
      <w:r>
        <w:rPr>
          <w:rFonts w:hint="eastAsia" w:ascii="宋体" w:hAnsi="宋体" w:cs="宋体"/>
          <w:color w:val="auto"/>
          <w:highlight w:val="none"/>
        </w:rPr>
        <w:t>材料预计运输数量：运输兰炭沫及粉煤灰预计共1</w:t>
      </w:r>
      <w:r>
        <w:rPr>
          <w:rFonts w:hint="eastAsia" w:ascii="宋体" w:hAnsi="宋体" w:cs="宋体"/>
          <w:color w:val="auto"/>
          <w:highlight w:val="none"/>
          <w:lang w:val="en-US" w:eastAsia="zh-CN"/>
        </w:rPr>
        <w:t>80000</w:t>
      </w:r>
      <w:r>
        <w:rPr>
          <w:rFonts w:hint="eastAsia" w:ascii="宋体" w:hAnsi="宋体" w:cs="宋体"/>
          <w:color w:val="auto"/>
          <w:highlight w:val="none"/>
        </w:rPr>
        <w:t>吨，其中兰炭末预计100000吨，粉煤灰预计</w:t>
      </w:r>
      <w:r>
        <w:rPr>
          <w:rFonts w:hint="eastAsia" w:ascii="宋体" w:hAnsi="宋体" w:cs="宋体"/>
          <w:color w:val="auto"/>
          <w:highlight w:val="none"/>
          <w:lang w:val="en-US" w:eastAsia="zh-CN"/>
        </w:rPr>
        <w:t>80000</w:t>
      </w:r>
      <w:r>
        <w:rPr>
          <w:rFonts w:hint="eastAsia" w:ascii="宋体" w:hAnsi="宋体" w:cs="宋体"/>
          <w:color w:val="auto"/>
          <w:highlight w:val="none"/>
        </w:rPr>
        <w:t>吨，按甲方需求发运（以实际发运时的运输数量为准）。</w:t>
      </w:r>
    </w:p>
    <w:p w14:paraId="2AE20CF5">
      <w:pPr>
        <w:rPr>
          <w:rFonts w:ascii="宋体" w:hAnsi="宋体" w:cs="宋体"/>
          <w:color w:val="auto"/>
          <w:highlight w:val="none"/>
        </w:rPr>
      </w:pPr>
      <w:r>
        <w:rPr>
          <w:rFonts w:hint="eastAsia" w:ascii="宋体" w:hAnsi="宋体" w:cs="宋体"/>
          <w:color w:val="auto"/>
          <w:highlight w:val="none"/>
        </w:rPr>
        <w:t>二、装载要求</w:t>
      </w:r>
    </w:p>
    <w:p w14:paraId="3F809C06">
      <w:pPr>
        <w:rPr>
          <w:rFonts w:ascii="宋体" w:hAnsi="宋体" w:cs="宋体"/>
          <w:color w:val="auto"/>
          <w:highlight w:val="none"/>
        </w:rPr>
      </w:pPr>
      <w:r>
        <w:rPr>
          <w:rFonts w:hint="eastAsia" w:ascii="宋体" w:hAnsi="宋体" w:cs="宋体"/>
          <w:color w:val="auto"/>
          <w:highlight w:val="none"/>
        </w:rPr>
        <w:t>产品绑扎、装载必须满足产品在运输过程中不被损耗及丢失的要求。因乙方对产品装载不符合要求造成甲方损失的应予以赔偿。</w:t>
      </w:r>
    </w:p>
    <w:p w14:paraId="4B52C25C">
      <w:pPr>
        <w:rPr>
          <w:rFonts w:ascii="宋体" w:hAnsi="宋体" w:cs="宋体"/>
          <w:color w:val="auto"/>
          <w:highlight w:val="none"/>
        </w:rPr>
      </w:pPr>
    </w:p>
    <w:p w14:paraId="46CF861C">
      <w:pPr>
        <w:rPr>
          <w:rFonts w:ascii="宋体" w:hAnsi="宋体" w:cs="宋体"/>
          <w:color w:val="auto"/>
          <w:highlight w:val="none"/>
        </w:rPr>
      </w:pPr>
      <w:r>
        <w:rPr>
          <w:rFonts w:hint="eastAsia" w:ascii="宋体" w:hAnsi="宋体" w:cs="宋体"/>
          <w:color w:val="auto"/>
          <w:highlight w:val="none"/>
        </w:rPr>
        <w:t>三、材料运输起止地点</w:t>
      </w:r>
    </w:p>
    <w:tbl>
      <w:tblPr>
        <w:tblStyle w:val="22"/>
        <w:tblW w:w="9264" w:type="dxa"/>
        <w:tblInd w:w="0" w:type="dxa"/>
        <w:tblLayout w:type="fixed"/>
        <w:tblCellMar>
          <w:top w:w="0" w:type="dxa"/>
          <w:left w:w="0" w:type="dxa"/>
          <w:bottom w:w="0" w:type="dxa"/>
          <w:right w:w="0" w:type="dxa"/>
        </w:tblCellMar>
      </w:tblPr>
      <w:tblGrid>
        <w:gridCol w:w="571"/>
        <w:gridCol w:w="954"/>
        <w:gridCol w:w="781"/>
        <w:gridCol w:w="825"/>
        <w:gridCol w:w="1410"/>
        <w:gridCol w:w="2018"/>
        <w:gridCol w:w="2705"/>
      </w:tblGrid>
      <w:tr w14:paraId="7C4B0DF3">
        <w:tblPrEx>
          <w:tblCellMar>
            <w:top w:w="0" w:type="dxa"/>
            <w:left w:w="0" w:type="dxa"/>
            <w:bottom w:w="0" w:type="dxa"/>
            <w:right w:w="0" w:type="dxa"/>
          </w:tblCellMar>
        </w:tblPrEx>
        <w:trPr>
          <w:trHeight w:val="1357" w:hRule="atLeast"/>
        </w:trPr>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9190CF">
            <w:pPr>
              <w:widowControl/>
              <w:jc w:val="center"/>
              <w:textAlignment w:val="center"/>
              <w:rPr>
                <w:rFonts w:ascii="宋体" w:hAnsi="宋体" w:cs="宋体"/>
                <w:b/>
                <w:color w:val="auto"/>
                <w:szCs w:val="24"/>
                <w:highlight w:val="none"/>
              </w:rPr>
            </w:pPr>
            <w:r>
              <w:rPr>
                <w:rFonts w:hint="eastAsia" w:ascii="宋体" w:hAnsi="宋体" w:cs="宋体"/>
                <w:b/>
                <w:color w:val="auto"/>
                <w:szCs w:val="24"/>
                <w:highlight w:val="none"/>
                <w:lang w:bidi="ar"/>
              </w:rPr>
              <w:t>序号</w:t>
            </w:r>
          </w:p>
        </w:tc>
        <w:tc>
          <w:tcPr>
            <w:tcW w:w="9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B9609E">
            <w:pPr>
              <w:widowControl/>
              <w:jc w:val="center"/>
              <w:textAlignment w:val="center"/>
              <w:rPr>
                <w:rFonts w:ascii="宋体" w:hAnsi="宋体" w:cs="宋体"/>
                <w:b/>
                <w:color w:val="auto"/>
                <w:szCs w:val="24"/>
                <w:highlight w:val="none"/>
              </w:rPr>
            </w:pPr>
            <w:r>
              <w:rPr>
                <w:rFonts w:hint="eastAsia" w:ascii="宋体" w:hAnsi="宋体" w:cs="宋体"/>
                <w:b/>
                <w:color w:val="auto"/>
                <w:szCs w:val="24"/>
                <w:highlight w:val="none"/>
                <w:lang w:bidi="ar"/>
              </w:rPr>
              <w:t>设备/材料名称</w:t>
            </w:r>
          </w:p>
        </w:tc>
        <w:tc>
          <w:tcPr>
            <w:tcW w:w="7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BEED1D">
            <w:pPr>
              <w:widowControl/>
              <w:jc w:val="center"/>
              <w:textAlignment w:val="center"/>
              <w:rPr>
                <w:rFonts w:ascii="宋体" w:hAnsi="宋体" w:cs="宋体"/>
                <w:b/>
                <w:color w:val="auto"/>
                <w:szCs w:val="24"/>
                <w:highlight w:val="none"/>
              </w:rPr>
            </w:pPr>
            <w:r>
              <w:rPr>
                <w:rFonts w:hint="eastAsia" w:ascii="宋体" w:hAnsi="宋体" w:cs="宋体"/>
                <w:b/>
                <w:color w:val="auto"/>
                <w:szCs w:val="24"/>
                <w:highlight w:val="none"/>
                <w:lang w:bidi="ar"/>
              </w:rPr>
              <w:t>运输距离（千米）</w:t>
            </w:r>
          </w:p>
        </w:tc>
        <w:tc>
          <w:tcPr>
            <w:tcW w:w="8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0B786D">
            <w:pPr>
              <w:widowControl/>
              <w:jc w:val="center"/>
              <w:textAlignment w:val="center"/>
              <w:rPr>
                <w:rFonts w:ascii="宋体" w:hAnsi="宋体" w:cs="宋体"/>
                <w:b/>
                <w:color w:val="auto"/>
                <w:szCs w:val="24"/>
                <w:highlight w:val="none"/>
              </w:rPr>
            </w:pPr>
            <w:r>
              <w:rPr>
                <w:rFonts w:hint="eastAsia" w:ascii="宋体" w:hAnsi="宋体" w:cs="宋体"/>
                <w:b/>
                <w:color w:val="auto"/>
                <w:szCs w:val="24"/>
                <w:highlight w:val="none"/>
                <w:lang w:bidi="ar"/>
              </w:rPr>
              <w:t>预计运输总重量（吨）</w:t>
            </w:r>
          </w:p>
        </w:tc>
        <w:tc>
          <w:tcPr>
            <w:tcW w:w="14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2133F9D">
            <w:pPr>
              <w:widowControl/>
              <w:jc w:val="center"/>
              <w:textAlignment w:val="center"/>
              <w:rPr>
                <w:rFonts w:ascii="宋体" w:hAnsi="宋体" w:cs="宋体"/>
                <w:b/>
                <w:color w:val="auto"/>
                <w:szCs w:val="21"/>
                <w:highlight w:val="none"/>
                <w:lang w:bidi="ar"/>
              </w:rPr>
            </w:pPr>
            <w:r>
              <w:rPr>
                <w:rFonts w:hint="eastAsia" w:ascii="宋体" w:hAnsi="宋体" w:cs="宋体"/>
                <w:b/>
                <w:color w:val="auto"/>
                <w:szCs w:val="21"/>
                <w:highlight w:val="none"/>
                <w:lang w:bidi="ar"/>
              </w:rPr>
              <w:t>预计每月运输数量（吨）</w:t>
            </w:r>
          </w:p>
        </w:tc>
        <w:tc>
          <w:tcPr>
            <w:tcW w:w="201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2BB2A3">
            <w:pPr>
              <w:widowControl/>
              <w:jc w:val="center"/>
              <w:textAlignment w:val="center"/>
              <w:rPr>
                <w:rFonts w:ascii="宋体" w:hAnsi="宋体" w:cs="宋体"/>
                <w:b/>
                <w:color w:val="auto"/>
                <w:szCs w:val="24"/>
                <w:highlight w:val="none"/>
              </w:rPr>
            </w:pPr>
            <w:r>
              <w:rPr>
                <w:rFonts w:hint="eastAsia" w:ascii="宋体" w:hAnsi="宋体" w:cs="宋体"/>
                <w:b/>
                <w:color w:val="auto"/>
                <w:szCs w:val="24"/>
                <w:highlight w:val="none"/>
                <w:lang w:bidi="ar"/>
              </w:rPr>
              <w:t>起运地</w:t>
            </w:r>
          </w:p>
        </w:tc>
        <w:tc>
          <w:tcPr>
            <w:tcW w:w="27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AEED0E">
            <w:pPr>
              <w:widowControl/>
              <w:jc w:val="center"/>
              <w:textAlignment w:val="center"/>
              <w:rPr>
                <w:rFonts w:ascii="宋体" w:hAnsi="宋体" w:cs="宋体"/>
                <w:b/>
                <w:color w:val="auto"/>
                <w:szCs w:val="24"/>
                <w:highlight w:val="none"/>
              </w:rPr>
            </w:pPr>
            <w:r>
              <w:rPr>
                <w:rFonts w:hint="eastAsia" w:ascii="宋体" w:hAnsi="宋体" w:cs="宋体"/>
                <w:b/>
                <w:color w:val="auto"/>
                <w:szCs w:val="24"/>
                <w:highlight w:val="none"/>
                <w:lang w:bidi="ar"/>
              </w:rPr>
              <w:t>目的地</w:t>
            </w:r>
          </w:p>
        </w:tc>
      </w:tr>
      <w:tr w14:paraId="1A179C73">
        <w:tblPrEx>
          <w:tblCellMar>
            <w:top w:w="0" w:type="dxa"/>
            <w:left w:w="0" w:type="dxa"/>
            <w:bottom w:w="0" w:type="dxa"/>
            <w:right w:w="0" w:type="dxa"/>
          </w:tblCellMar>
        </w:tblPrEx>
        <w:trPr>
          <w:trHeight w:val="1217" w:hRule="atLeast"/>
        </w:trPr>
        <w:tc>
          <w:tcPr>
            <w:tcW w:w="57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EDF175">
            <w:pPr>
              <w:widowControl/>
              <w:jc w:val="center"/>
              <w:textAlignment w:val="center"/>
              <w:rPr>
                <w:rFonts w:ascii="宋体" w:hAnsi="宋体" w:cs="宋体"/>
                <w:b/>
                <w:color w:val="auto"/>
                <w:szCs w:val="24"/>
                <w:highlight w:val="none"/>
              </w:rPr>
            </w:pPr>
            <w:r>
              <w:rPr>
                <w:rFonts w:hint="eastAsia" w:ascii="宋体" w:hAnsi="宋体" w:cs="宋体"/>
                <w:b/>
                <w:color w:val="auto"/>
                <w:szCs w:val="24"/>
                <w:highlight w:val="none"/>
                <w:lang w:bidi="ar"/>
              </w:rPr>
              <w:t>1</w:t>
            </w:r>
          </w:p>
        </w:tc>
        <w:tc>
          <w:tcPr>
            <w:tcW w:w="9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9279AD">
            <w:pPr>
              <w:widowControl/>
              <w:jc w:val="center"/>
              <w:textAlignment w:val="center"/>
              <w:rPr>
                <w:rFonts w:ascii="宋体" w:hAnsi="宋体" w:cs="宋体"/>
                <w:color w:val="auto"/>
                <w:szCs w:val="24"/>
                <w:highlight w:val="none"/>
              </w:rPr>
            </w:pPr>
            <w:r>
              <w:rPr>
                <w:rFonts w:hint="eastAsia" w:ascii="宋体" w:hAnsi="宋体" w:cs="宋体"/>
                <w:color w:val="auto"/>
                <w:szCs w:val="24"/>
                <w:highlight w:val="none"/>
                <w:lang w:bidi="ar"/>
              </w:rPr>
              <w:t>煤末/兰炭末</w:t>
            </w:r>
          </w:p>
        </w:tc>
        <w:tc>
          <w:tcPr>
            <w:tcW w:w="7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9D6CC9">
            <w:pPr>
              <w:widowControl/>
              <w:jc w:val="center"/>
              <w:textAlignment w:val="center"/>
              <w:rPr>
                <w:rFonts w:ascii="宋体" w:hAnsi="宋体" w:cs="宋体"/>
                <w:color w:val="auto"/>
                <w:szCs w:val="24"/>
                <w:highlight w:val="none"/>
              </w:rPr>
            </w:pPr>
            <w:r>
              <w:rPr>
                <w:rFonts w:hint="eastAsia" w:ascii="宋体" w:hAnsi="宋体" w:cs="宋体"/>
                <w:color w:val="auto"/>
                <w:szCs w:val="24"/>
                <w:highlight w:val="none"/>
                <w:lang w:bidi="ar"/>
              </w:rPr>
              <w:t>3</w:t>
            </w: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3A7372">
            <w:pPr>
              <w:widowControl/>
              <w:jc w:val="center"/>
              <w:textAlignment w:val="center"/>
              <w:rPr>
                <w:rFonts w:ascii="宋体" w:hAnsi="宋体" w:cs="宋体"/>
                <w:color w:val="auto"/>
                <w:szCs w:val="24"/>
                <w:highlight w:val="none"/>
              </w:rPr>
            </w:pPr>
            <w:r>
              <w:rPr>
                <w:rFonts w:hint="eastAsia" w:ascii="宋体" w:hAnsi="宋体" w:cs="宋体"/>
                <w:color w:val="auto"/>
                <w:szCs w:val="24"/>
                <w:highlight w:val="none"/>
              </w:rPr>
              <w:t>10</w:t>
            </w:r>
            <w:r>
              <w:rPr>
                <w:rFonts w:ascii="宋体" w:hAnsi="宋体" w:cs="宋体"/>
                <w:color w:val="auto"/>
                <w:szCs w:val="24"/>
                <w:highlight w:val="none"/>
              </w:rPr>
              <w:t>0000</w:t>
            </w:r>
          </w:p>
        </w:tc>
        <w:tc>
          <w:tcPr>
            <w:tcW w:w="14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2BB305">
            <w:pPr>
              <w:widowControl/>
              <w:jc w:val="cente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8333.33</w:t>
            </w:r>
          </w:p>
        </w:tc>
        <w:tc>
          <w:tcPr>
            <w:tcW w:w="201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8A73F5">
            <w:pPr>
              <w:widowControl/>
              <w:jc w:val="center"/>
              <w:textAlignment w:val="center"/>
              <w:rPr>
                <w:rFonts w:ascii="宋体" w:hAnsi="宋体" w:cs="宋体"/>
                <w:color w:val="auto"/>
                <w:szCs w:val="24"/>
                <w:highlight w:val="none"/>
              </w:rPr>
            </w:pPr>
            <w:r>
              <w:rPr>
                <w:rFonts w:hint="eastAsia" w:ascii="宋体" w:hAnsi="宋体" w:cs="宋体"/>
                <w:color w:val="auto"/>
                <w:szCs w:val="24"/>
                <w:highlight w:val="none"/>
                <w:lang w:bidi="ar"/>
              </w:rPr>
              <w:t>新疆圣雄电石有限公司原料堆场指定地点</w:t>
            </w:r>
          </w:p>
        </w:tc>
        <w:tc>
          <w:tcPr>
            <w:tcW w:w="27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6D3B7C">
            <w:pPr>
              <w:widowControl/>
              <w:jc w:val="center"/>
              <w:textAlignment w:val="center"/>
              <w:rPr>
                <w:rFonts w:ascii="宋体" w:hAnsi="宋体" w:cs="宋体"/>
                <w:color w:val="auto"/>
                <w:szCs w:val="24"/>
                <w:highlight w:val="none"/>
              </w:rPr>
            </w:pPr>
            <w:r>
              <w:rPr>
                <w:rFonts w:hint="eastAsia" w:ascii="宋体" w:hAnsi="宋体" w:cs="宋体"/>
                <w:color w:val="auto"/>
                <w:szCs w:val="24"/>
                <w:highlight w:val="none"/>
                <w:lang w:bidi="ar"/>
              </w:rPr>
              <w:t>吐鲁番开能环保能源有限公司厂区干煤棚指定地点</w:t>
            </w:r>
          </w:p>
        </w:tc>
      </w:tr>
      <w:tr w14:paraId="74E1F92E">
        <w:tblPrEx>
          <w:tblCellMar>
            <w:top w:w="0" w:type="dxa"/>
            <w:left w:w="0" w:type="dxa"/>
            <w:bottom w:w="0" w:type="dxa"/>
            <w:right w:w="0" w:type="dxa"/>
          </w:tblCellMar>
        </w:tblPrEx>
        <w:trPr>
          <w:trHeight w:val="988" w:hRule="atLeast"/>
        </w:trPr>
        <w:tc>
          <w:tcPr>
            <w:tcW w:w="571" w:type="dxa"/>
            <w:tcBorders>
              <w:left w:val="single" w:color="000000" w:sz="4" w:space="0"/>
              <w:bottom w:val="single" w:color="auto" w:sz="4" w:space="0"/>
              <w:right w:val="single" w:color="000000" w:sz="4" w:space="0"/>
            </w:tcBorders>
            <w:noWrap/>
            <w:tcMar>
              <w:top w:w="15" w:type="dxa"/>
              <w:left w:w="15" w:type="dxa"/>
              <w:right w:w="15" w:type="dxa"/>
            </w:tcMar>
            <w:vAlign w:val="center"/>
          </w:tcPr>
          <w:p w14:paraId="302AD286">
            <w:pPr>
              <w:jc w:val="center"/>
              <w:rPr>
                <w:rFonts w:ascii="宋体" w:hAnsi="宋体" w:cs="宋体"/>
                <w:b/>
                <w:color w:val="auto"/>
                <w:szCs w:val="24"/>
                <w:highlight w:val="none"/>
              </w:rPr>
            </w:pPr>
            <w:r>
              <w:rPr>
                <w:rFonts w:hint="eastAsia" w:ascii="宋体" w:hAnsi="宋体" w:cs="宋体"/>
                <w:b/>
                <w:color w:val="auto"/>
                <w:szCs w:val="24"/>
                <w:highlight w:val="none"/>
              </w:rPr>
              <w:t>2</w:t>
            </w:r>
          </w:p>
        </w:tc>
        <w:tc>
          <w:tcPr>
            <w:tcW w:w="9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E15163">
            <w:pPr>
              <w:widowControl/>
              <w:jc w:val="center"/>
              <w:textAlignment w:val="center"/>
              <w:rPr>
                <w:rFonts w:ascii="宋体" w:hAnsi="宋体" w:cs="宋体"/>
                <w:color w:val="auto"/>
                <w:szCs w:val="24"/>
                <w:highlight w:val="none"/>
              </w:rPr>
            </w:pPr>
            <w:r>
              <w:rPr>
                <w:rFonts w:hint="eastAsia" w:ascii="宋体" w:hAnsi="宋体" w:cs="宋体"/>
                <w:color w:val="auto"/>
                <w:szCs w:val="24"/>
                <w:highlight w:val="none"/>
                <w:lang w:bidi="ar"/>
              </w:rPr>
              <w:t>粉煤灰</w:t>
            </w:r>
          </w:p>
        </w:tc>
        <w:tc>
          <w:tcPr>
            <w:tcW w:w="78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81D663">
            <w:pPr>
              <w:widowControl/>
              <w:jc w:val="center"/>
              <w:textAlignment w:val="center"/>
              <w:rPr>
                <w:rFonts w:ascii="宋体" w:hAnsi="宋体" w:cs="宋体"/>
                <w:color w:val="auto"/>
                <w:szCs w:val="24"/>
                <w:highlight w:val="none"/>
              </w:rPr>
            </w:pPr>
            <w:r>
              <w:rPr>
                <w:rFonts w:hint="eastAsia" w:ascii="宋体" w:hAnsi="宋体" w:cs="宋体"/>
                <w:color w:val="auto"/>
                <w:szCs w:val="24"/>
                <w:highlight w:val="none"/>
                <w:lang w:bidi="ar"/>
              </w:rPr>
              <w:t>16</w:t>
            </w: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BF66FE">
            <w:pPr>
              <w:widowControl/>
              <w:jc w:val="center"/>
              <w:textAlignment w:val="center"/>
              <w:rPr>
                <w:rFonts w:hint="default" w:ascii="宋体" w:hAnsi="宋体" w:eastAsia="宋体" w:cs="宋体"/>
                <w:color w:val="auto"/>
                <w:szCs w:val="24"/>
                <w:highlight w:val="none"/>
                <w:lang w:val="en-US" w:eastAsia="zh-CN"/>
              </w:rPr>
            </w:pPr>
            <w:r>
              <w:rPr>
                <w:rFonts w:hint="eastAsia" w:ascii="宋体" w:hAnsi="宋体" w:cs="宋体"/>
                <w:color w:val="auto"/>
                <w:szCs w:val="24"/>
                <w:highlight w:val="none"/>
                <w:lang w:val="en-US" w:eastAsia="zh-CN"/>
              </w:rPr>
              <w:t>80000</w:t>
            </w:r>
          </w:p>
        </w:tc>
        <w:tc>
          <w:tcPr>
            <w:tcW w:w="1410" w:type="dxa"/>
            <w:tcBorders>
              <w:left w:val="single" w:color="000000" w:sz="4" w:space="0"/>
              <w:bottom w:val="single" w:color="auto" w:sz="4" w:space="0"/>
              <w:right w:val="single" w:color="000000" w:sz="4" w:space="0"/>
            </w:tcBorders>
            <w:tcMar>
              <w:top w:w="15" w:type="dxa"/>
              <w:left w:w="15" w:type="dxa"/>
              <w:right w:w="15" w:type="dxa"/>
            </w:tcMar>
            <w:vAlign w:val="center"/>
          </w:tcPr>
          <w:p w14:paraId="01554DE4">
            <w:pPr>
              <w:widowControl/>
              <w:jc w:val="center"/>
              <w:textAlignment w:val="center"/>
              <w:rPr>
                <w:rFonts w:hint="default" w:ascii="宋体" w:hAnsi="宋体" w:eastAsia="宋体" w:cs="宋体"/>
                <w:color w:val="auto"/>
                <w:szCs w:val="21"/>
                <w:highlight w:val="none"/>
                <w:lang w:val="en-US" w:eastAsia="zh-CN" w:bidi="ar"/>
              </w:rPr>
            </w:pPr>
            <w:r>
              <w:rPr>
                <w:rFonts w:hint="eastAsia" w:ascii="宋体" w:hAnsi="宋体" w:cs="宋体"/>
                <w:color w:val="auto"/>
                <w:szCs w:val="21"/>
                <w:highlight w:val="none"/>
                <w:lang w:val="en-US" w:eastAsia="zh-CN" w:bidi="ar"/>
              </w:rPr>
              <w:t>6666.67</w:t>
            </w:r>
          </w:p>
        </w:tc>
        <w:tc>
          <w:tcPr>
            <w:tcW w:w="2018" w:type="dxa"/>
            <w:tcBorders>
              <w:left w:val="single" w:color="000000" w:sz="4" w:space="0"/>
              <w:bottom w:val="single" w:color="auto" w:sz="4" w:space="0"/>
              <w:right w:val="single" w:color="000000" w:sz="4" w:space="0"/>
            </w:tcBorders>
            <w:tcMar>
              <w:top w:w="15" w:type="dxa"/>
              <w:left w:w="15" w:type="dxa"/>
              <w:right w:w="15" w:type="dxa"/>
            </w:tcMar>
            <w:vAlign w:val="center"/>
          </w:tcPr>
          <w:p w14:paraId="171BC70B">
            <w:pPr>
              <w:widowControl/>
              <w:jc w:val="center"/>
              <w:textAlignment w:val="center"/>
              <w:rPr>
                <w:rFonts w:ascii="宋体" w:hAnsi="宋体" w:cs="宋体"/>
                <w:color w:val="auto"/>
                <w:szCs w:val="24"/>
                <w:highlight w:val="none"/>
                <w:lang w:bidi="ar"/>
              </w:rPr>
            </w:pPr>
            <w:r>
              <w:rPr>
                <w:rFonts w:hint="eastAsia" w:ascii="宋体" w:hAnsi="宋体" w:cs="宋体"/>
                <w:color w:val="auto"/>
                <w:szCs w:val="24"/>
                <w:highlight w:val="none"/>
                <w:lang w:bidi="ar"/>
              </w:rPr>
              <w:t>吐鲁番开能环保能源有限公司厂区除尘灰仓指定地点</w:t>
            </w:r>
          </w:p>
        </w:tc>
        <w:tc>
          <w:tcPr>
            <w:tcW w:w="27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39C0BF">
            <w:pPr>
              <w:widowControl/>
              <w:jc w:val="center"/>
              <w:textAlignment w:val="center"/>
              <w:rPr>
                <w:rFonts w:ascii="宋体" w:hAnsi="宋体" w:cs="宋体"/>
                <w:color w:val="auto"/>
                <w:szCs w:val="24"/>
                <w:highlight w:val="none"/>
              </w:rPr>
            </w:pPr>
            <w:r>
              <w:rPr>
                <w:rFonts w:hint="eastAsia" w:ascii="宋体" w:hAnsi="宋体" w:cs="宋体"/>
                <w:color w:val="auto"/>
                <w:szCs w:val="24"/>
                <w:highlight w:val="none"/>
                <w:lang w:bidi="ar"/>
              </w:rPr>
              <w:t>新疆圣雄能源股份有限公司灰场指定地点</w:t>
            </w:r>
          </w:p>
        </w:tc>
      </w:tr>
    </w:tbl>
    <w:p w14:paraId="0CC832E4">
      <w:pPr>
        <w:rPr>
          <w:rFonts w:ascii="宋体" w:hAnsi="宋体" w:cs="宋体"/>
          <w:color w:val="auto"/>
          <w:highlight w:val="none"/>
        </w:rPr>
      </w:pPr>
      <w:r>
        <w:rPr>
          <w:rFonts w:hint="eastAsia" w:ascii="宋体" w:hAnsi="宋体" w:cs="宋体"/>
          <w:color w:val="auto"/>
          <w:highlight w:val="none"/>
        </w:rPr>
        <w:t>接货联系人：祝书签（19999546501）。</w:t>
      </w:r>
    </w:p>
    <w:p w14:paraId="18182093">
      <w:pPr>
        <w:rPr>
          <w:rFonts w:ascii="宋体" w:hAnsi="宋体" w:cs="宋体"/>
          <w:color w:val="auto"/>
          <w:highlight w:val="none"/>
        </w:rPr>
      </w:pPr>
      <w:r>
        <w:rPr>
          <w:rFonts w:hint="eastAsia" w:ascii="宋体" w:hAnsi="宋体" w:cs="宋体"/>
          <w:color w:val="auto"/>
          <w:highlight w:val="none"/>
        </w:rPr>
        <w:t>四、材料运输时间</w:t>
      </w:r>
    </w:p>
    <w:p w14:paraId="38EA8DCF">
      <w:pPr>
        <w:rPr>
          <w:rFonts w:ascii="宋体" w:hAnsi="宋体" w:cs="宋体"/>
          <w:color w:val="auto"/>
          <w:highlight w:val="none"/>
        </w:rPr>
      </w:pPr>
      <w:r>
        <w:rPr>
          <w:rFonts w:hint="eastAsia" w:ascii="宋体" w:hAnsi="宋体" w:cs="宋体"/>
          <w:color w:val="auto"/>
          <w:highlight w:val="none"/>
        </w:rPr>
        <w:t>1、材料启运前甲方提前1天通过电话或传真通知乙方。乙方接到甲方启运通知后，在指定时间内必须安排相应运输车辆到达指定地点等待装货，并不得以任何理由拒载或延期装载。一般情况下，在保证甲方燃料运入和粉煤灰运出最低需求的期限内且最长不超过12小时，将材料运至甲方指定地点。特殊情况延期应有相应的证明并第一时间通知甲方，所造成的损失由乙方承担。</w:t>
      </w:r>
    </w:p>
    <w:p w14:paraId="69E4B0C1">
      <w:pPr>
        <w:rPr>
          <w:rFonts w:ascii="宋体" w:hAnsi="宋体" w:cs="宋体"/>
          <w:color w:val="auto"/>
          <w:highlight w:val="none"/>
        </w:rPr>
      </w:pPr>
      <w:r>
        <w:rPr>
          <w:rFonts w:hint="eastAsia" w:ascii="宋体" w:hAnsi="宋体" w:cs="宋体"/>
          <w:color w:val="auto"/>
          <w:highlight w:val="none"/>
        </w:rPr>
        <w:t>2、材料预计运输时间：自合同签订之日起满一年，预计时间为202</w:t>
      </w:r>
      <w:r>
        <w:rPr>
          <w:rFonts w:hint="eastAsia" w:ascii="宋体" w:hAnsi="宋体" w:cs="宋体"/>
          <w:color w:val="auto"/>
          <w:highlight w:val="none"/>
          <w:lang w:val="en-US" w:eastAsia="zh-CN"/>
        </w:rPr>
        <w:t>6</w:t>
      </w:r>
      <w:r>
        <w:rPr>
          <w:rFonts w:hint="eastAsia" w:ascii="宋体" w:hAnsi="宋体" w:cs="宋体"/>
          <w:color w:val="auto"/>
          <w:highlight w:val="none"/>
        </w:rPr>
        <w:t>年</w:t>
      </w:r>
      <w:r>
        <w:rPr>
          <w:rFonts w:hint="eastAsia" w:ascii="宋体" w:hAnsi="宋体" w:cs="宋体"/>
          <w:color w:val="auto"/>
          <w:highlight w:val="none"/>
          <w:lang w:val="en-US" w:eastAsia="zh-CN"/>
        </w:rPr>
        <w:t>2</w:t>
      </w:r>
      <w:r>
        <w:rPr>
          <w:rFonts w:hint="eastAsia" w:ascii="宋体" w:hAnsi="宋体" w:cs="宋体"/>
          <w:color w:val="auto"/>
          <w:highlight w:val="none"/>
        </w:rPr>
        <w:t>月1日至202</w:t>
      </w:r>
      <w:r>
        <w:rPr>
          <w:rFonts w:hint="eastAsia" w:ascii="宋体" w:hAnsi="宋体" w:cs="宋体"/>
          <w:color w:val="auto"/>
          <w:highlight w:val="none"/>
          <w:lang w:val="en-US" w:eastAsia="zh-CN"/>
        </w:rPr>
        <w:t>7</w:t>
      </w:r>
      <w:r>
        <w:rPr>
          <w:rFonts w:hint="eastAsia" w:ascii="宋体" w:hAnsi="宋体" w:cs="宋体"/>
          <w:color w:val="auto"/>
          <w:highlight w:val="none"/>
        </w:rPr>
        <w:t>年</w:t>
      </w:r>
      <w:r>
        <w:rPr>
          <w:rFonts w:hint="eastAsia" w:ascii="宋体" w:hAnsi="宋体" w:cs="宋体"/>
          <w:color w:val="auto"/>
          <w:highlight w:val="none"/>
          <w:lang w:val="en-US" w:eastAsia="zh-CN"/>
        </w:rPr>
        <w:t>1</w:t>
      </w:r>
      <w:r>
        <w:rPr>
          <w:rFonts w:hint="eastAsia" w:ascii="宋体" w:hAnsi="宋体" w:cs="宋体"/>
          <w:color w:val="auto"/>
          <w:highlight w:val="none"/>
        </w:rPr>
        <w:t>月</w:t>
      </w:r>
      <w:r>
        <w:rPr>
          <w:rFonts w:hint="eastAsia" w:ascii="宋体" w:hAnsi="宋体" w:cs="宋体"/>
          <w:color w:val="auto"/>
          <w:highlight w:val="none"/>
          <w:lang w:val="en-US" w:eastAsia="zh-CN"/>
        </w:rPr>
        <w:t>31</w:t>
      </w:r>
      <w:r>
        <w:rPr>
          <w:rFonts w:hint="eastAsia" w:ascii="宋体" w:hAnsi="宋体" w:cs="宋体"/>
          <w:color w:val="auto"/>
          <w:highlight w:val="none"/>
        </w:rPr>
        <w:t>日，具体以甲方的实际需求时间为准。</w:t>
      </w:r>
    </w:p>
    <w:p w14:paraId="328B2159">
      <w:pPr>
        <w:rPr>
          <w:rFonts w:ascii="宋体" w:hAnsi="宋体" w:cs="宋体"/>
          <w:color w:val="auto"/>
          <w:highlight w:val="none"/>
        </w:rPr>
      </w:pPr>
      <w:r>
        <w:rPr>
          <w:rFonts w:hint="eastAsia" w:ascii="宋体" w:hAnsi="宋体" w:cs="宋体"/>
          <w:color w:val="auto"/>
          <w:highlight w:val="none"/>
        </w:rPr>
        <w:t>五、甲方责任</w:t>
      </w:r>
    </w:p>
    <w:p w14:paraId="6996F97B">
      <w:pPr>
        <w:rPr>
          <w:rFonts w:ascii="宋体" w:hAnsi="宋体" w:cs="宋体"/>
          <w:color w:val="auto"/>
          <w:highlight w:val="none"/>
        </w:rPr>
      </w:pPr>
      <w:r>
        <w:rPr>
          <w:rFonts w:hint="eastAsia" w:ascii="宋体" w:hAnsi="宋体" w:cs="宋体"/>
          <w:color w:val="auto"/>
          <w:highlight w:val="none"/>
        </w:rPr>
        <w:t>1、材料启运前甲方提前1天通过电话或传真通知乙方。</w:t>
      </w:r>
    </w:p>
    <w:p w14:paraId="34E13D25">
      <w:pPr>
        <w:rPr>
          <w:rFonts w:ascii="宋体" w:hAnsi="宋体" w:cs="宋体"/>
          <w:color w:val="auto"/>
          <w:highlight w:val="none"/>
        </w:rPr>
      </w:pPr>
      <w:r>
        <w:rPr>
          <w:rFonts w:hint="eastAsia" w:ascii="宋体" w:hAnsi="宋体" w:cs="宋体"/>
          <w:color w:val="auto"/>
          <w:highlight w:val="none"/>
        </w:rPr>
        <w:t>2、材料启运后，甲方需要变更目的地地点，乙方须予以支持，如因变更到货地点造成运输费用变化，甲乙双方另行协商确定运输费用。甲方变更收货人应书面通知乙方，乙方无条件接受，甲方无需增加任何费用。</w:t>
      </w:r>
    </w:p>
    <w:p w14:paraId="6696C267">
      <w:pPr>
        <w:rPr>
          <w:rFonts w:ascii="宋体" w:hAnsi="宋体" w:cs="宋体"/>
          <w:color w:val="auto"/>
          <w:highlight w:val="none"/>
        </w:rPr>
      </w:pPr>
      <w:r>
        <w:rPr>
          <w:rFonts w:hint="eastAsia" w:ascii="宋体" w:hAnsi="宋体" w:cs="宋体"/>
          <w:color w:val="auto"/>
          <w:highlight w:val="none"/>
        </w:rPr>
        <w:t>3、按时承付相应运输费用。</w:t>
      </w:r>
    </w:p>
    <w:p w14:paraId="02CBA24F">
      <w:pPr>
        <w:rPr>
          <w:rFonts w:ascii="宋体" w:hAnsi="宋体" w:cs="宋体"/>
          <w:color w:val="auto"/>
          <w:highlight w:val="none"/>
        </w:rPr>
      </w:pPr>
      <w:r>
        <w:rPr>
          <w:rFonts w:hint="eastAsia" w:ascii="宋体" w:hAnsi="宋体" w:cs="宋体"/>
          <w:color w:val="auto"/>
          <w:highlight w:val="none"/>
        </w:rPr>
        <w:t>六、乙方责任</w:t>
      </w:r>
    </w:p>
    <w:p w14:paraId="3B5DBE44">
      <w:pPr>
        <w:rPr>
          <w:rFonts w:ascii="宋体" w:hAnsi="宋体" w:cs="宋体"/>
          <w:color w:val="auto"/>
          <w:highlight w:val="none"/>
        </w:rPr>
      </w:pPr>
      <w:r>
        <w:rPr>
          <w:rFonts w:hint="eastAsia" w:ascii="宋体" w:hAnsi="宋体" w:cs="宋体"/>
          <w:color w:val="auto"/>
          <w:highlight w:val="none"/>
        </w:rPr>
        <w:t>1、接到甲方材料运输安排或计划后，按时安排安全、质量、技术等方面均符合规定要求的运输车辆到甲方指定的装货地点等待装货，装货完毕后及时起运，并在甲方规定时间内将材料如数送达到货指定地点。如果乙方不能在规定的期限内派相应运输车辆到甲方指定的装货地点等待装货或未能在甲方规定运输时间内将已装车的材料的送达甲方指定的到货地点，由此而造成甲方的各项费用损失或增加，则由乙方负责。</w:t>
      </w:r>
    </w:p>
    <w:p w14:paraId="61D941D6">
      <w:pPr>
        <w:rPr>
          <w:rFonts w:ascii="宋体" w:hAnsi="宋体" w:cs="宋体"/>
          <w:color w:val="auto"/>
          <w:highlight w:val="none"/>
        </w:rPr>
      </w:pPr>
      <w:r>
        <w:rPr>
          <w:rFonts w:hint="eastAsia" w:ascii="宋体" w:hAnsi="宋体" w:cs="宋体"/>
          <w:color w:val="auto"/>
          <w:highlight w:val="none"/>
        </w:rPr>
        <w:t>2、乙方必需保障甲方正常生产状况下燃料运入和粉煤灰运出的最低需求（保证甲方每日燃料库库存不低于</w:t>
      </w:r>
      <w:r>
        <w:rPr>
          <w:rFonts w:hint="eastAsia" w:ascii="宋体" w:hAnsi="宋体" w:cs="宋体"/>
          <w:color w:val="auto"/>
          <w:highlight w:val="none"/>
          <w:lang w:val="en-US" w:eastAsia="zh-CN"/>
        </w:rPr>
        <w:t>3</w:t>
      </w:r>
      <w:r>
        <w:rPr>
          <w:rFonts w:hint="eastAsia" w:ascii="宋体" w:hAnsi="宋体" w:cs="宋体"/>
          <w:color w:val="auto"/>
          <w:highlight w:val="none"/>
        </w:rPr>
        <w:t>00吨，每日粉煤灰仓灰位不高于8米），因乙方原因所造成的造成甲方的各项费用损失或增加，则由乙方负责。</w:t>
      </w:r>
    </w:p>
    <w:p w14:paraId="533D6B62">
      <w:pPr>
        <w:rPr>
          <w:rFonts w:ascii="宋体" w:hAnsi="宋体" w:cs="宋体"/>
          <w:color w:val="auto"/>
          <w:highlight w:val="none"/>
        </w:rPr>
      </w:pPr>
      <w:r>
        <w:rPr>
          <w:rFonts w:hint="eastAsia" w:ascii="宋体" w:hAnsi="宋体" w:cs="宋体"/>
          <w:color w:val="auto"/>
          <w:highlight w:val="none"/>
        </w:rPr>
        <w:t>2、乙方完成材料装卸完成后的24小时内需向甲方提供材料的装车磅单，甲方将对装车磅单进行复核及抽查，对于甲方提出的装车磅单需乙方澄清的，乙方应予以积极澄清或修改，若乙方无法澄清说明，甲方有权对需澄清的材料装车重量进行取证，核查清楚后再进行结算。</w:t>
      </w:r>
    </w:p>
    <w:p w14:paraId="0CAC01BE">
      <w:pPr>
        <w:rPr>
          <w:rFonts w:ascii="宋体" w:hAnsi="宋体" w:cs="宋体"/>
          <w:color w:val="auto"/>
          <w:highlight w:val="none"/>
        </w:rPr>
      </w:pPr>
      <w:r>
        <w:rPr>
          <w:rFonts w:hint="eastAsia" w:ascii="宋体" w:hAnsi="宋体" w:cs="宋体"/>
          <w:color w:val="auto"/>
          <w:highlight w:val="none"/>
        </w:rPr>
        <w:t>3、乙方转包或委托第三方运输，必须征得甲方的书面同意，而且应选择资质或运输设备优良的第三方，且承担第三方的全部责任。在第三方造成损失时，甲方可追究乙方及第三方责任。</w:t>
      </w:r>
    </w:p>
    <w:p w14:paraId="61383405">
      <w:pPr>
        <w:rPr>
          <w:rFonts w:ascii="宋体" w:hAnsi="宋体" w:cs="宋体"/>
          <w:color w:val="auto"/>
          <w:highlight w:val="none"/>
        </w:rPr>
      </w:pPr>
      <w:r>
        <w:rPr>
          <w:rFonts w:hint="eastAsia" w:ascii="宋体" w:hAnsi="宋体" w:cs="宋体"/>
          <w:color w:val="auto"/>
          <w:highlight w:val="none"/>
        </w:rPr>
        <w:t>4、乙方在实施运输过程中应严格遵守国家的各项法律法规，不得弄虚作假及作出虚假承诺，否则，由此造成的一切责任和损失由乙方承担。</w:t>
      </w:r>
    </w:p>
    <w:p w14:paraId="3D3C8441">
      <w:pPr>
        <w:rPr>
          <w:rFonts w:ascii="宋体" w:hAnsi="宋体" w:cs="宋体"/>
          <w:color w:val="auto"/>
          <w:highlight w:val="none"/>
        </w:rPr>
      </w:pPr>
      <w:r>
        <w:rPr>
          <w:rFonts w:hint="eastAsia" w:ascii="宋体" w:hAnsi="宋体" w:cs="宋体"/>
          <w:color w:val="auto"/>
          <w:highlight w:val="none"/>
        </w:rPr>
        <w:t>5、乙方在承运甲方材料的过程中，对其工作人员及司机的安全负全责，甲方概不承担。</w:t>
      </w:r>
    </w:p>
    <w:p w14:paraId="4A82A5A6">
      <w:pPr>
        <w:rPr>
          <w:rFonts w:ascii="宋体" w:hAnsi="宋体" w:cs="宋体"/>
          <w:color w:val="auto"/>
          <w:highlight w:val="none"/>
        </w:rPr>
      </w:pPr>
      <w:r>
        <w:rPr>
          <w:rFonts w:hint="eastAsia" w:ascii="宋体" w:hAnsi="宋体" w:cs="宋体"/>
          <w:color w:val="auto"/>
          <w:highlight w:val="none"/>
        </w:rPr>
        <w:t>6、乙方在运输甲方材料的过程中，未经甲方的书面同意，不得随意配载其它货物或拒绝承运货物。否则，应向甲方支付合同总金额5%的违约金并承担由此造成的一切损失。</w:t>
      </w:r>
    </w:p>
    <w:p w14:paraId="2DAE3792">
      <w:pPr>
        <w:rPr>
          <w:rFonts w:ascii="宋体" w:hAnsi="宋体" w:cs="宋体"/>
          <w:color w:val="auto"/>
          <w:highlight w:val="none"/>
        </w:rPr>
      </w:pPr>
      <w:r>
        <w:rPr>
          <w:rFonts w:hint="eastAsia" w:ascii="宋体" w:hAnsi="宋体" w:cs="宋体"/>
          <w:color w:val="auto"/>
          <w:highlight w:val="none"/>
        </w:rPr>
        <w:t>7、本合同所指的赔偿包括但不限于货物损失、运输费损失及因此而产生的律师费、差旅费、向第三方支付的违约金、赔偿金等，该赔偿应在赔偿责任产生之日起十五日内赔付完毕，逾期赔付按应赔付金额每日万分之八比例支付滞纳金。</w:t>
      </w:r>
    </w:p>
    <w:p w14:paraId="52C166B6">
      <w:pPr>
        <w:rPr>
          <w:rFonts w:ascii="宋体" w:hAnsi="宋体" w:cs="宋体"/>
          <w:color w:val="auto"/>
          <w:highlight w:val="none"/>
        </w:rPr>
      </w:pPr>
      <w:r>
        <w:rPr>
          <w:rFonts w:hint="eastAsia" w:ascii="宋体" w:hAnsi="宋体" w:cs="宋体"/>
          <w:color w:val="auto"/>
          <w:highlight w:val="none"/>
        </w:rPr>
        <w:t>七、运输费用和结算方式</w:t>
      </w:r>
    </w:p>
    <w:p w14:paraId="41B19547">
      <w:pPr>
        <w:rPr>
          <w:rFonts w:ascii="宋体" w:hAnsi="宋体" w:cs="宋体"/>
          <w:color w:val="auto"/>
          <w:highlight w:val="none"/>
        </w:rPr>
      </w:pPr>
      <w:r>
        <w:rPr>
          <w:rFonts w:hint="eastAsia" w:ascii="宋体" w:hAnsi="宋体" w:cs="宋体"/>
          <w:color w:val="auto"/>
          <w:highlight w:val="none"/>
        </w:rPr>
        <w:t>1、合同金额:合同采用固定单价形式，暂定总价为人民币</w:t>
      </w:r>
      <w:r>
        <w:rPr>
          <w:rFonts w:hint="eastAsia" w:ascii="宋体" w:hAnsi="宋体" w:cs="宋体"/>
          <w:b/>
          <w:color w:val="auto"/>
          <w:highlight w:val="none"/>
        </w:rPr>
        <w:t>XXX</w:t>
      </w:r>
      <w:r>
        <w:rPr>
          <w:rFonts w:hint="eastAsia" w:ascii="宋体" w:hAnsi="宋体" w:cs="宋体"/>
          <w:color w:val="auto"/>
          <w:highlight w:val="none"/>
        </w:rPr>
        <w:t>元（XXXX整），其中不含税运输费为XXXX元，税费为XXXX元，实际按固定单价</w:t>
      </w:r>
      <w:r>
        <w:rPr>
          <w:rFonts w:hint="eastAsia" w:ascii="宋体" w:hAnsi="宋体" w:cs="宋体"/>
          <w:b/>
          <w:color w:val="auto"/>
          <w:highlight w:val="none"/>
        </w:rPr>
        <w:t>×</w:t>
      </w:r>
      <w:r>
        <w:rPr>
          <w:rFonts w:hint="eastAsia" w:ascii="宋体" w:hAnsi="宋体" w:cs="宋体"/>
          <w:color w:val="auto"/>
          <w:highlight w:val="none"/>
        </w:rPr>
        <w:t>实际运输量的结算额为准。具体单价详见附件1，运输单价包括但不限于运费、税费、杂费、绑扎费（含钢绳、枕木等必要衬垫、绑扎物料的费用）、沿途有关的一切费用，为含税包干闭口价。</w:t>
      </w:r>
    </w:p>
    <w:p w14:paraId="07A9A496">
      <w:pPr>
        <w:spacing w:line="360" w:lineRule="auto"/>
        <w:rPr>
          <w:rFonts w:ascii="宋体" w:hAnsi="宋体"/>
          <w:color w:val="auto"/>
          <w:sz w:val="24"/>
          <w:szCs w:val="24"/>
          <w:highlight w:val="none"/>
        </w:rPr>
      </w:pPr>
      <w:r>
        <w:rPr>
          <w:rFonts w:hint="eastAsia" w:ascii="宋体" w:hAnsi="宋体" w:cs="宋体"/>
          <w:color w:val="auto"/>
          <w:highlight w:val="none"/>
        </w:rPr>
        <w:t>2、</w:t>
      </w:r>
      <w:r>
        <w:rPr>
          <w:rFonts w:hint="eastAsia" w:ascii="宋体" w:hAnsi="宋体" w:cs="宋体"/>
          <w:b/>
          <w:color w:val="auto"/>
          <w:highlight w:val="none"/>
        </w:rPr>
        <w:t>结算方式：运输总价=运输单价×实际运输数量（实际运输数量以过磅重量为准）。</w:t>
      </w:r>
      <w:r>
        <w:rPr>
          <w:rFonts w:hint="eastAsia" w:ascii="仿宋_GB2312" w:hAnsi="微软雅黑" w:eastAsia="仿宋_GB2312" w:cs="仿宋_GB2312"/>
          <w:color w:val="auto"/>
          <w:sz w:val="24"/>
          <w:szCs w:val="24"/>
          <w:highlight w:val="none"/>
          <w:lang w:val="en-US" w:eastAsia="zh-CN" w:bidi="ar"/>
        </w:rPr>
        <w:t>合同运输周期实际运输总重量达到预计运输总重量的60%及以上，合同固定运输单价不做调整；实际运输总量达不到预计运输总重量的60%，合同固定运输单价上浮10%，在合同运输周期结束前按照上浮价格一次性结算差价金额。</w:t>
      </w:r>
    </w:p>
    <w:p w14:paraId="4107D96F">
      <w:pPr>
        <w:rPr>
          <w:rFonts w:ascii="宋体" w:hAnsi="宋体" w:cs="宋体"/>
          <w:color w:val="auto"/>
          <w:highlight w:val="none"/>
        </w:rPr>
      </w:pPr>
      <w:r>
        <w:rPr>
          <w:rFonts w:hint="eastAsia" w:ascii="宋体" w:hAnsi="宋体" w:cs="宋体"/>
          <w:color w:val="auto"/>
          <w:highlight w:val="none"/>
        </w:rPr>
        <w:t>3、结算依据和运输费承付：</w:t>
      </w:r>
    </w:p>
    <w:p w14:paraId="334695A9">
      <w:pPr>
        <w:rPr>
          <w:rFonts w:ascii="宋体" w:hAnsi="宋体" w:cs="宋体"/>
          <w:color w:val="auto"/>
          <w:highlight w:val="none"/>
        </w:rPr>
      </w:pPr>
      <w:r>
        <w:rPr>
          <w:rFonts w:hint="eastAsia" w:ascii="宋体" w:hAnsi="宋体" w:cs="宋体"/>
          <w:color w:val="auto"/>
          <w:highlight w:val="none"/>
        </w:rPr>
        <w:t>3.1.材料运达目的地后，乙方提供运输业务量确认审批表（格式见附件2）及收货单位的签收单经甲方审核无误后，乙方按运输业务量确认审批表确定的运输量以及合同单价开具有效的国内运输9%增值税专用发票，运输结算周期为按月结算。</w:t>
      </w:r>
    </w:p>
    <w:p w14:paraId="4127BFF0">
      <w:pPr>
        <w:rPr>
          <w:rFonts w:ascii="宋体" w:hAnsi="宋体" w:cs="宋体"/>
          <w:color w:val="auto"/>
          <w:highlight w:val="none"/>
        </w:rPr>
      </w:pPr>
      <w:r>
        <w:rPr>
          <w:rFonts w:hint="eastAsia" w:ascii="宋体" w:hAnsi="宋体" w:cs="宋体"/>
          <w:color w:val="auto"/>
          <w:highlight w:val="none"/>
        </w:rPr>
        <w:t>3.2.甲方收到乙方提供运输业务量确认审批表（格式见附件2）及有效的国内运输9%增值税专用发票后7个工作日内支付对应的运输款项。如有掉失和其他违约情况，甲方在结算支付运输费过程中，有权按估计损失额和违约金额暂扣减部份或全部运输费作为损失抵押，直到处理结束后视实际情况扣减实际损失和应付违约金后，剩余的部份承付给乙方；如暂扣减的运输费不足以赔付实际损失和违约金，乙方负责另外赔付。</w:t>
      </w:r>
    </w:p>
    <w:p w14:paraId="210068C1">
      <w:pPr>
        <w:rPr>
          <w:rFonts w:ascii="宋体" w:hAnsi="宋体" w:cs="宋体"/>
          <w:color w:val="auto"/>
          <w:highlight w:val="none"/>
        </w:rPr>
      </w:pPr>
      <w:r>
        <w:rPr>
          <w:rFonts w:hint="eastAsia" w:ascii="宋体" w:hAnsi="宋体" w:cs="宋体"/>
          <w:color w:val="auto"/>
          <w:highlight w:val="none"/>
        </w:rPr>
        <w:t>3.3 合同费用支付方式：银行承兑汇票或电汇。</w:t>
      </w:r>
    </w:p>
    <w:p w14:paraId="782CE4C2">
      <w:pPr>
        <w:rPr>
          <w:rFonts w:ascii="宋体" w:hAnsi="宋体" w:cs="宋体"/>
          <w:color w:val="auto"/>
          <w:highlight w:val="none"/>
        </w:rPr>
      </w:pPr>
      <w:r>
        <w:rPr>
          <w:rFonts w:hint="eastAsia" w:ascii="宋体" w:hAnsi="宋体" w:cs="宋体"/>
          <w:color w:val="auto"/>
          <w:highlight w:val="none"/>
        </w:rPr>
        <w:t>八、违约责任</w:t>
      </w:r>
    </w:p>
    <w:p w14:paraId="7E6BFA5C">
      <w:pPr>
        <w:ind w:firstLine="0"/>
        <w:rPr>
          <w:rFonts w:hint="eastAsia" w:ascii="宋体" w:hAnsi="宋体" w:cs="宋体"/>
          <w:color w:val="auto"/>
          <w:highlight w:val="none"/>
        </w:rPr>
      </w:pPr>
      <w:r>
        <w:rPr>
          <w:rFonts w:hint="eastAsia" w:ascii="宋体" w:hAnsi="宋体" w:cs="宋体"/>
          <w:color w:val="auto"/>
          <w:highlight w:val="none"/>
        </w:rPr>
        <w:t>1、如因乙方原因未能保障甲方正常生产状况下燃料运入和粉煤灰运出的需求，按照紧急状况要对乙方相应经济考核，考核标准如下：</w:t>
      </w:r>
    </w:p>
    <w:p w14:paraId="4BDDD39A">
      <w:pPr>
        <w:ind w:firstLine="420"/>
        <w:rPr>
          <w:color w:val="auto"/>
          <w:highlight w:val="none"/>
        </w:rPr>
      </w:pPr>
      <w:r>
        <w:rPr>
          <w:rFonts w:hint="eastAsia" w:ascii="宋体" w:hAnsi="宋体" w:cs="宋体"/>
          <w:color w:val="auto"/>
          <w:highlight w:val="none"/>
        </w:rPr>
        <w:t>（</w:t>
      </w:r>
      <w:r>
        <w:rPr>
          <w:rFonts w:hint="eastAsia" w:ascii="宋体" w:hAnsi="宋体" w:cs="宋体"/>
          <w:color w:val="auto"/>
          <w:highlight w:val="none"/>
          <w:lang w:val="en-US" w:eastAsia="zh-CN"/>
        </w:rPr>
        <w:t>1</w:t>
      </w:r>
      <w:r>
        <w:rPr>
          <w:rFonts w:hint="eastAsia" w:ascii="宋体" w:hAnsi="宋体" w:cs="宋体"/>
          <w:color w:val="auto"/>
          <w:highlight w:val="none"/>
        </w:rPr>
        <w:t>）</w:t>
      </w:r>
      <w:r>
        <w:rPr>
          <w:rFonts w:hint="eastAsia" w:ascii="宋体" w:hAnsi="宋体" w:cs="宋体"/>
          <w:color w:val="auto"/>
          <w:highlight w:val="none"/>
          <w:lang w:val="en-US" w:eastAsia="zh-CN"/>
        </w:rPr>
        <w:t>连续2日</w:t>
      </w:r>
      <w:r>
        <w:rPr>
          <w:rFonts w:hint="eastAsia" w:ascii="宋体" w:hAnsi="宋体" w:cs="宋体"/>
          <w:color w:val="auto"/>
          <w:highlight w:val="none"/>
        </w:rPr>
        <w:t xml:space="preserve">甲方燃料库库存低于（ </w:t>
      </w:r>
      <w:r>
        <w:rPr>
          <w:rFonts w:ascii="宋体" w:hAnsi="宋体" w:cs="宋体"/>
          <w:color w:val="auto"/>
          <w:highlight w:val="none"/>
        </w:rPr>
        <w:t xml:space="preserve"> </w:t>
      </w:r>
      <w:r>
        <w:rPr>
          <w:rFonts w:hint="eastAsia" w:ascii="宋体" w:hAnsi="宋体" w:cs="宋体"/>
          <w:color w:val="auto"/>
          <w:highlight w:val="none"/>
          <w:lang w:val="en-US" w:eastAsia="zh-CN"/>
        </w:rPr>
        <w:t>3</w:t>
      </w:r>
      <w:r>
        <w:rPr>
          <w:rFonts w:ascii="宋体" w:hAnsi="宋体" w:cs="宋体"/>
          <w:color w:val="auto"/>
          <w:highlight w:val="none"/>
        </w:rPr>
        <w:t xml:space="preserve">00 </w:t>
      </w:r>
      <w:r>
        <w:rPr>
          <w:rFonts w:hint="eastAsia" w:ascii="宋体" w:hAnsi="宋体" w:cs="宋体"/>
          <w:color w:val="auto"/>
          <w:highlight w:val="none"/>
        </w:rPr>
        <w:t>）吨，每次考核</w:t>
      </w:r>
      <w:r>
        <w:rPr>
          <w:rFonts w:hint="eastAsia" w:ascii="宋体" w:hAnsi="宋体" w:cs="宋体"/>
          <w:color w:val="auto"/>
          <w:highlight w:val="none"/>
          <w:lang w:val="en-US" w:eastAsia="zh-CN"/>
        </w:rPr>
        <w:t>2</w:t>
      </w:r>
      <w:r>
        <w:rPr>
          <w:rFonts w:ascii="宋体" w:hAnsi="宋体" w:cs="宋体"/>
          <w:color w:val="auto"/>
          <w:highlight w:val="none"/>
        </w:rPr>
        <w:t>000</w:t>
      </w:r>
      <w:r>
        <w:rPr>
          <w:rFonts w:hint="eastAsia" w:ascii="宋体" w:hAnsi="宋体" w:cs="宋体"/>
          <w:color w:val="auto"/>
          <w:highlight w:val="none"/>
        </w:rPr>
        <w:t>元。</w:t>
      </w:r>
    </w:p>
    <w:p w14:paraId="0D189BAB">
      <w:pPr>
        <w:ind w:firstLine="420"/>
        <w:rPr>
          <w:rFonts w:ascii="宋体" w:hAnsi="宋体" w:cs="宋体"/>
          <w:color w:val="auto"/>
          <w:highlight w:val="none"/>
        </w:rPr>
      </w:pPr>
      <w:r>
        <w:rPr>
          <w:rFonts w:hint="eastAsia" w:ascii="宋体" w:hAnsi="宋体" w:cs="宋体"/>
          <w:color w:val="auto"/>
          <w:highlight w:val="none"/>
        </w:rPr>
        <w:t>（</w:t>
      </w:r>
      <w:r>
        <w:rPr>
          <w:rFonts w:hint="eastAsia" w:ascii="宋体" w:hAnsi="宋体" w:cs="宋体"/>
          <w:color w:val="auto"/>
          <w:highlight w:val="none"/>
          <w:lang w:val="en-US" w:eastAsia="zh-CN"/>
        </w:rPr>
        <w:t>2</w:t>
      </w:r>
      <w:r>
        <w:rPr>
          <w:rFonts w:hint="eastAsia" w:ascii="宋体" w:hAnsi="宋体" w:cs="宋体"/>
          <w:color w:val="auto"/>
          <w:highlight w:val="none"/>
        </w:rPr>
        <w:t>）如出现由于甲方燃料库空库，造成甲方停炉，乙方承担甲方全部损失。</w:t>
      </w:r>
    </w:p>
    <w:p w14:paraId="41B0B144">
      <w:pPr>
        <w:ind w:firstLine="420"/>
        <w:rPr>
          <w:rFonts w:hint="eastAsia" w:ascii="宋体" w:hAnsi="宋体" w:eastAsia="宋体" w:cs="宋体"/>
          <w:color w:val="auto"/>
          <w:highlight w:val="none"/>
          <w:lang w:eastAsia="zh-CN"/>
        </w:rPr>
      </w:pPr>
      <w:r>
        <w:rPr>
          <w:rFonts w:hint="eastAsia" w:ascii="宋体" w:hAnsi="宋体" w:cs="宋体"/>
          <w:color w:val="auto"/>
          <w:highlight w:val="none"/>
        </w:rPr>
        <w:t>（</w:t>
      </w:r>
      <w:r>
        <w:rPr>
          <w:rFonts w:hint="eastAsia" w:ascii="宋体" w:hAnsi="宋体" w:cs="宋体"/>
          <w:color w:val="auto"/>
          <w:highlight w:val="none"/>
          <w:lang w:val="en-US" w:eastAsia="zh-CN"/>
        </w:rPr>
        <w:t>3</w:t>
      </w:r>
      <w:r>
        <w:rPr>
          <w:rFonts w:hint="eastAsia" w:ascii="宋体" w:hAnsi="宋体" w:cs="宋体"/>
          <w:color w:val="auto"/>
          <w:highlight w:val="none"/>
        </w:rPr>
        <w:t xml:space="preserve">）每日甲方粉煤灰仓灰位高于（ </w:t>
      </w:r>
      <w:r>
        <w:rPr>
          <w:rFonts w:ascii="宋体" w:hAnsi="宋体" w:cs="宋体"/>
          <w:color w:val="auto"/>
          <w:highlight w:val="none"/>
        </w:rPr>
        <w:t xml:space="preserve">8 </w:t>
      </w:r>
      <w:r>
        <w:rPr>
          <w:rFonts w:hint="eastAsia" w:ascii="宋体" w:hAnsi="宋体" w:cs="宋体"/>
          <w:color w:val="auto"/>
          <w:highlight w:val="none"/>
        </w:rPr>
        <w:t>）米，每次考核</w:t>
      </w:r>
      <w:r>
        <w:rPr>
          <w:rFonts w:hint="eastAsia" w:ascii="宋体" w:hAnsi="宋体" w:cs="宋体"/>
          <w:color w:val="auto"/>
          <w:highlight w:val="none"/>
          <w:lang w:val="en-US" w:eastAsia="zh-CN"/>
        </w:rPr>
        <w:t>10</w:t>
      </w:r>
      <w:r>
        <w:rPr>
          <w:rFonts w:ascii="宋体" w:hAnsi="宋体" w:cs="宋体"/>
          <w:color w:val="auto"/>
          <w:highlight w:val="none"/>
        </w:rPr>
        <w:t>00</w:t>
      </w:r>
      <w:r>
        <w:rPr>
          <w:rFonts w:hint="eastAsia" w:ascii="宋体" w:hAnsi="宋体" w:cs="宋体"/>
          <w:color w:val="auto"/>
          <w:highlight w:val="none"/>
        </w:rPr>
        <w:t>元</w:t>
      </w:r>
      <w:r>
        <w:rPr>
          <w:rFonts w:hint="eastAsia" w:ascii="宋体" w:hAnsi="宋体" w:cs="宋体"/>
          <w:color w:val="auto"/>
          <w:highlight w:val="none"/>
          <w:lang w:eastAsia="zh-CN"/>
        </w:rPr>
        <w:t>。</w:t>
      </w:r>
    </w:p>
    <w:p w14:paraId="428794C3">
      <w:pPr>
        <w:pStyle w:val="2"/>
        <w:ind w:left="0" w:leftChars="0" w:firstLine="0" w:firstLineChars="0"/>
        <w:rPr>
          <w:rFonts w:ascii="宋体" w:hAnsi="宋体" w:cs="宋体"/>
          <w:color w:val="auto"/>
          <w:highlight w:val="none"/>
        </w:rPr>
      </w:pPr>
      <w:r>
        <w:rPr>
          <w:rFonts w:hint="eastAsia" w:ascii="宋体" w:hAnsi="宋体" w:cs="宋体"/>
          <w:color w:val="auto"/>
          <w:highlight w:val="none"/>
          <w:lang w:val="en-US" w:eastAsia="zh-CN"/>
        </w:rPr>
        <w:t xml:space="preserve">    </w:t>
      </w:r>
      <w:r>
        <w:rPr>
          <w:rFonts w:hint="eastAsia" w:ascii="宋体" w:hAnsi="宋体" w:cs="宋体"/>
          <w:color w:val="auto"/>
          <w:highlight w:val="none"/>
        </w:rPr>
        <w:t>（</w:t>
      </w:r>
      <w:r>
        <w:rPr>
          <w:rFonts w:hint="eastAsia" w:ascii="宋体" w:hAnsi="宋体" w:cs="宋体"/>
          <w:color w:val="auto"/>
          <w:highlight w:val="none"/>
          <w:lang w:val="en-US" w:eastAsia="zh-CN"/>
        </w:rPr>
        <w:t>4</w:t>
      </w:r>
      <w:r>
        <w:rPr>
          <w:rFonts w:hint="eastAsia" w:ascii="宋体" w:hAnsi="宋体" w:cs="宋体"/>
          <w:color w:val="auto"/>
          <w:highlight w:val="none"/>
        </w:rPr>
        <w:t>）如出现由于甲方粉煤灰仓满仓，造成甲方停炉，乙方承担甲方全部损失。</w:t>
      </w:r>
    </w:p>
    <w:p w14:paraId="41F86F71">
      <w:pPr>
        <w:ind w:firstLine="420"/>
        <w:rPr>
          <w:rFonts w:ascii="宋体" w:hAnsi="宋体" w:cs="宋体"/>
          <w:color w:val="auto"/>
          <w:highlight w:val="none"/>
        </w:rPr>
      </w:pPr>
      <w:r>
        <w:rPr>
          <w:rFonts w:hint="eastAsia" w:ascii="宋体" w:hAnsi="宋体" w:cs="宋体"/>
          <w:color w:val="auto"/>
          <w:highlight w:val="none"/>
        </w:rPr>
        <w:t>以上低于和高于的表述，包含本数。具体计量标准以甲方现场实际测量数据为准。</w:t>
      </w:r>
    </w:p>
    <w:p w14:paraId="6C49181A">
      <w:pPr>
        <w:rPr>
          <w:rFonts w:ascii="宋体" w:hAnsi="宋体" w:cs="宋体"/>
          <w:color w:val="auto"/>
          <w:highlight w:val="none"/>
        </w:rPr>
      </w:pPr>
      <w:r>
        <w:rPr>
          <w:rFonts w:hint="eastAsia" w:ascii="宋体" w:hAnsi="宋体" w:cs="宋体"/>
          <w:color w:val="auto"/>
          <w:highlight w:val="none"/>
        </w:rPr>
        <w:t>2、一旦乙方安排的运输工具延误到达现场2天，甲方有权另行委托安排发运事宜，乙方必须提供一切必要的配合，同时承担所有的运杂费等以及甲方由此遭受的其他额外费用。</w:t>
      </w:r>
    </w:p>
    <w:p w14:paraId="00058358">
      <w:pPr>
        <w:rPr>
          <w:rFonts w:ascii="宋体" w:hAnsi="宋体" w:cs="宋体"/>
          <w:color w:val="auto"/>
          <w:highlight w:val="none"/>
        </w:rPr>
      </w:pPr>
      <w:r>
        <w:rPr>
          <w:rFonts w:hint="eastAsia" w:ascii="宋体" w:hAnsi="宋体" w:cs="宋体"/>
          <w:color w:val="auto"/>
          <w:highlight w:val="none"/>
        </w:rPr>
        <w:t>3、如果乙方未按甲方要求将货物运至指定交货地，应负责免费将货物运至合同规定的交货地；因此造成交货期延误，乙方应按第八条第1款的规定向甲方支付违约金。</w:t>
      </w:r>
    </w:p>
    <w:p w14:paraId="42E75B52">
      <w:pPr>
        <w:rPr>
          <w:rFonts w:ascii="宋体" w:hAnsi="宋体" w:cs="宋体"/>
          <w:color w:val="auto"/>
          <w:highlight w:val="none"/>
        </w:rPr>
      </w:pPr>
      <w:r>
        <w:rPr>
          <w:rFonts w:hint="eastAsia" w:ascii="宋体" w:hAnsi="宋体" w:cs="宋体"/>
          <w:color w:val="auto"/>
          <w:highlight w:val="none"/>
        </w:rPr>
        <w:t>4、在运输过程中，由于乙方原因造成货物短缺、灭失等，乙方应按货物的实际损失（包括包装费、运杂费）向甲方偿付相应款项，并承担由此对甲方产生的全部损失。</w:t>
      </w:r>
    </w:p>
    <w:p w14:paraId="2AEC4E54">
      <w:pPr>
        <w:rPr>
          <w:rFonts w:ascii="宋体" w:hAnsi="宋体" w:cs="宋体"/>
          <w:color w:val="auto"/>
          <w:highlight w:val="none"/>
        </w:rPr>
      </w:pPr>
      <w:r>
        <w:rPr>
          <w:rFonts w:hint="eastAsia" w:ascii="宋体" w:hAnsi="宋体" w:cs="宋体"/>
          <w:color w:val="auto"/>
          <w:highlight w:val="none"/>
        </w:rPr>
        <w:t>5、乙方应在违约发生之日起十五日内向甲方支付违约金，逾期赔付按应赔付金额每日万分之八比例支付滞纳金。对于乙方违约应支付的违约金，甲方有权在应支付的运费中抵扣。</w:t>
      </w:r>
    </w:p>
    <w:p w14:paraId="4E84A6E1">
      <w:pPr>
        <w:rPr>
          <w:rFonts w:ascii="宋体" w:hAnsi="宋体" w:cs="宋体"/>
          <w:color w:val="auto"/>
          <w:highlight w:val="none"/>
        </w:rPr>
      </w:pPr>
      <w:r>
        <w:rPr>
          <w:rFonts w:hint="eastAsia" w:ascii="宋体" w:hAnsi="宋体" w:cs="宋体"/>
          <w:color w:val="auto"/>
          <w:highlight w:val="none"/>
        </w:rPr>
        <w:t>九、质量与安全</w:t>
      </w:r>
    </w:p>
    <w:p w14:paraId="6D28C156">
      <w:pPr>
        <w:rPr>
          <w:rFonts w:ascii="宋体" w:hAnsi="宋体" w:cs="宋体"/>
          <w:color w:val="auto"/>
          <w:highlight w:val="none"/>
        </w:rPr>
      </w:pPr>
      <w:r>
        <w:rPr>
          <w:rFonts w:hint="eastAsia" w:ascii="宋体" w:hAnsi="宋体" w:cs="宋体"/>
          <w:color w:val="auto"/>
          <w:highlight w:val="none"/>
        </w:rPr>
        <w:t>1、乙方应对本合同服务的质量、安全负责，保证货物无短缺、无损坏、无人为的变质，如有上述问题，应承担赔偿义务。签署本合同的乙方法定代表人或其委托代理人为本合同服务质量、安全总负责人，应对合同服务的质量、安全负全面责任。</w:t>
      </w:r>
    </w:p>
    <w:p w14:paraId="0C3B2AA1">
      <w:pPr>
        <w:rPr>
          <w:rFonts w:ascii="宋体" w:hAnsi="宋体" w:cs="宋体"/>
          <w:color w:val="auto"/>
          <w:highlight w:val="none"/>
        </w:rPr>
      </w:pPr>
      <w:r>
        <w:rPr>
          <w:rFonts w:hint="eastAsia" w:ascii="宋体" w:hAnsi="宋体" w:cs="宋体"/>
          <w:color w:val="auto"/>
          <w:highlight w:val="none"/>
        </w:rPr>
        <w:t>2、乙方应建立健全的质量、安全保证体系，参与合同服务的所有雇员及分包商都应具有相应的资质。</w:t>
      </w:r>
    </w:p>
    <w:p w14:paraId="4A37A498">
      <w:pPr>
        <w:rPr>
          <w:rFonts w:ascii="宋体" w:hAnsi="宋体" w:cs="宋体"/>
          <w:color w:val="auto"/>
          <w:highlight w:val="none"/>
        </w:rPr>
      </w:pPr>
      <w:r>
        <w:rPr>
          <w:rFonts w:hint="eastAsia" w:ascii="宋体" w:hAnsi="宋体" w:cs="宋体"/>
          <w:color w:val="auto"/>
          <w:highlight w:val="none"/>
        </w:rPr>
        <w:t>3、乙方操作人员必须对所操作物项，按其各自的作业规范和规程操作并由编制方案、程序的工程技术人员负责指导和协调。</w:t>
      </w:r>
    </w:p>
    <w:p w14:paraId="2BDDD4BD">
      <w:pPr>
        <w:rPr>
          <w:rFonts w:ascii="宋体" w:hAnsi="宋体" w:cs="宋体"/>
          <w:color w:val="auto"/>
          <w:highlight w:val="none"/>
        </w:rPr>
      </w:pPr>
      <w:r>
        <w:rPr>
          <w:rFonts w:hint="eastAsia" w:ascii="宋体" w:hAnsi="宋体" w:cs="宋体"/>
          <w:color w:val="auto"/>
          <w:highlight w:val="none"/>
        </w:rPr>
        <w:t>4、乙方应对其雇员进行安全方面的教育，由于乙方的原因导致的安全事故，由乙方承担相应责任及发生的费用，并保证甲方的权益不受到任何损害，乙方对乙方的雇员在运输过程中的安全负全责，甲方概不承担相关的赔偿责任。</w:t>
      </w:r>
    </w:p>
    <w:p w14:paraId="53731CA5">
      <w:pPr>
        <w:rPr>
          <w:rFonts w:ascii="宋体" w:hAnsi="宋体" w:cs="宋体"/>
          <w:color w:val="auto"/>
          <w:highlight w:val="none"/>
        </w:rPr>
      </w:pPr>
      <w:r>
        <w:rPr>
          <w:rFonts w:hint="eastAsia" w:ascii="宋体" w:hAnsi="宋体" w:cs="宋体"/>
          <w:color w:val="auto"/>
          <w:highlight w:val="none"/>
        </w:rPr>
        <w:t>5、合同服务质量与安全的检查和甲方的任何工作指令，不能免除乙方对合同服务质量、安全的任何责任。</w:t>
      </w:r>
    </w:p>
    <w:p w14:paraId="09F92578">
      <w:pPr>
        <w:rPr>
          <w:rFonts w:ascii="宋体" w:hAnsi="宋体" w:cs="宋体"/>
          <w:color w:val="auto"/>
          <w:highlight w:val="none"/>
        </w:rPr>
      </w:pPr>
      <w:r>
        <w:rPr>
          <w:rFonts w:hint="eastAsia" w:ascii="宋体" w:hAnsi="宋体" w:cs="宋体"/>
          <w:color w:val="auto"/>
          <w:highlight w:val="none"/>
        </w:rPr>
        <w:t>6、乙方必须遵守甲方关于设备材料运输及服务人员到现场需遵守的协议（见附件3），否则所造成的后果均由乙方承担，如因乙方原因造成相关方对甲方进行罚款，一切费用由乙方承担。</w:t>
      </w:r>
    </w:p>
    <w:p w14:paraId="7B89D852">
      <w:pPr>
        <w:pStyle w:val="2"/>
        <w:ind w:left="0" w:leftChars="0" w:firstLine="0" w:firstLineChars="0"/>
        <w:rPr>
          <w:rFonts w:ascii="宋体" w:hAnsi="宋体" w:cs="宋体"/>
          <w:color w:val="auto"/>
          <w:highlight w:val="none"/>
        </w:rPr>
      </w:pPr>
      <w:r>
        <w:rPr>
          <w:rFonts w:hint="eastAsia" w:ascii="宋体" w:hAnsi="宋体" w:cs="宋体"/>
          <w:color w:val="auto"/>
          <w:highlight w:val="none"/>
        </w:rPr>
        <w:t>十、履约担保</w:t>
      </w:r>
    </w:p>
    <w:p w14:paraId="3B698A88">
      <w:pPr>
        <w:spacing w:line="360" w:lineRule="auto"/>
        <w:rPr>
          <w:rFonts w:ascii="宋体" w:hAnsi="宋体" w:cs="宋体"/>
          <w:color w:val="auto"/>
          <w:highlight w:val="none"/>
        </w:rPr>
      </w:pPr>
      <w:r>
        <w:rPr>
          <w:rFonts w:hint="eastAsia" w:ascii="宋体" w:hAnsi="宋体" w:cs="宋体"/>
          <w:color w:val="auto"/>
          <w:highlight w:val="none"/>
        </w:rPr>
        <w:t xml:space="preserve">    </w:t>
      </w:r>
      <w:r>
        <w:rPr>
          <w:rFonts w:hint="eastAsia" w:ascii="宋体" w:hAnsi="宋体" w:cs="宋体"/>
          <w:color w:val="auto"/>
          <w:highlight w:val="none"/>
          <w:lang w:val="en-US" w:eastAsia="zh-CN"/>
        </w:rPr>
        <w:t>本合同的履约担保金额为人民币￥40000.00元 （大写：肆万元整），由乙方所缴纳的投标保证金转化。履约担保期限与合同履约期限保持一致；履约担保期限满，乙方向甲方提供履约保证金退还申请书，甲方审核无误后五个工作日内无息退还。若乙方不履行合同或者履行不符合合同约定或者有任何其他违约行为，甲方有权扣除乙方履约保证金，甲方暂扣的履约保证金金额不足以扣除违约赔偿费用的，甲方有权在乙方的结算款中扣除或由乙方自行补足，甲方在扣除该笔违约赔偿费用前书面通知乙方。</w:t>
      </w:r>
      <w:r>
        <w:rPr>
          <w:rFonts w:hint="eastAsia" w:ascii="宋体" w:hAnsi="宋体" w:cs="宋体"/>
          <w:color w:val="auto"/>
          <w:highlight w:val="none"/>
        </w:rPr>
        <w:t xml:space="preserve">   </w:t>
      </w:r>
      <w:r>
        <w:rPr>
          <w:rFonts w:hint="eastAsia" w:ascii="宋体" w:hAnsi="宋体"/>
          <w:color w:val="auto"/>
          <w:szCs w:val="21"/>
          <w:highlight w:val="none"/>
        </w:rPr>
        <w:t>。</w:t>
      </w:r>
    </w:p>
    <w:p w14:paraId="0009767D">
      <w:pPr>
        <w:rPr>
          <w:rFonts w:ascii="宋体" w:hAnsi="宋体" w:cs="宋体"/>
          <w:color w:val="auto"/>
          <w:highlight w:val="none"/>
        </w:rPr>
      </w:pPr>
      <w:r>
        <w:rPr>
          <w:rFonts w:hint="eastAsia" w:ascii="宋体" w:hAnsi="宋体" w:cs="宋体"/>
          <w:color w:val="auto"/>
          <w:highlight w:val="none"/>
        </w:rPr>
        <w:t>十一、其他事项</w:t>
      </w:r>
    </w:p>
    <w:p w14:paraId="60047A79">
      <w:pPr>
        <w:numPr>
          <w:ilvl w:val="0"/>
          <w:numId w:val="4"/>
        </w:numPr>
        <w:rPr>
          <w:rFonts w:ascii="宋体" w:hAnsi="宋体" w:cs="宋体"/>
          <w:color w:val="auto"/>
          <w:highlight w:val="none"/>
        </w:rPr>
      </w:pPr>
      <w:r>
        <w:rPr>
          <w:rFonts w:hint="eastAsia" w:ascii="宋体" w:hAnsi="宋体" w:cs="宋体"/>
          <w:color w:val="auto"/>
          <w:highlight w:val="none"/>
        </w:rPr>
        <w:t>甲方通知乙方运输合同所述材料，但乙方在规定时间内未能派车到指定地点，甲方除按合同约定追究乙方相应责任外，甲方还有权另请运输单位派车装运，发生超出本合同约定的费用部份的由乙方承担。如两次以上乙方不能按甲方指定时间派车到指定地点装运甲方材料，甲方有权单方面解除本合同，而无需承担任何责任。</w:t>
      </w:r>
    </w:p>
    <w:p w14:paraId="1E7DA745">
      <w:pPr>
        <w:numPr>
          <w:ilvl w:val="0"/>
          <w:numId w:val="4"/>
        </w:numPr>
        <w:rPr>
          <w:rFonts w:ascii="宋体" w:hAnsi="宋体" w:cs="宋体"/>
          <w:color w:val="auto"/>
          <w:highlight w:val="none"/>
        </w:rPr>
      </w:pPr>
      <w:r>
        <w:rPr>
          <w:rFonts w:hint="eastAsia" w:ascii="宋体" w:hAnsi="宋体" w:cs="宋体"/>
          <w:color w:val="auto"/>
          <w:highlight w:val="none"/>
        </w:rPr>
        <w:t>乙方有义务甄选原料堆场的燃料质量，尽力拉运高热值燃料。</w:t>
      </w:r>
    </w:p>
    <w:p w14:paraId="4ABA1A75">
      <w:pPr>
        <w:rPr>
          <w:rFonts w:ascii="宋体" w:hAnsi="宋体" w:cs="宋体"/>
          <w:color w:val="auto"/>
          <w:highlight w:val="none"/>
        </w:rPr>
      </w:pPr>
      <w:r>
        <w:rPr>
          <w:rFonts w:hint="eastAsia" w:ascii="宋体" w:hAnsi="宋体" w:cs="宋体"/>
          <w:color w:val="auto"/>
          <w:highlight w:val="none"/>
        </w:rPr>
        <w:t>2、本合同附件、甲方招标文件、乙方投标文件等作为本合同不可分割的一部分，与本合同具有同等的法律效力。</w:t>
      </w:r>
    </w:p>
    <w:p w14:paraId="55DFBB60">
      <w:pPr>
        <w:rPr>
          <w:rFonts w:ascii="宋体" w:hAnsi="宋体" w:cs="宋体"/>
          <w:color w:val="auto"/>
          <w:highlight w:val="none"/>
        </w:rPr>
      </w:pPr>
      <w:r>
        <w:rPr>
          <w:rFonts w:hint="eastAsia" w:ascii="宋体" w:hAnsi="宋体" w:cs="宋体"/>
          <w:color w:val="auto"/>
          <w:highlight w:val="none"/>
        </w:rPr>
        <w:t>3、本合同经双方法定代表人或授权代表签字并加盖合同专用章（或公章）至合同相关权利义务履行完毕后自行失效。</w:t>
      </w:r>
    </w:p>
    <w:p w14:paraId="4D58733B">
      <w:pPr>
        <w:rPr>
          <w:rFonts w:ascii="宋体" w:hAnsi="宋体" w:cs="宋体"/>
          <w:color w:val="auto"/>
          <w:highlight w:val="none"/>
        </w:rPr>
      </w:pPr>
      <w:r>
        <w:rPr>
          <w:rFonts w:hint="eastAsia" w:ascii="宋体" w:hAnsi="宋体" w:cs="宋体"/>
          <w:color w:val="auto"/>
          <w:highlight w:val="none"/>
        </w:rPr>
        <w:t>4、如有异议或未尽事宜，双方友好协商解决，协商不成可依法向甲方住所地具有管辖权的人民法院提起诉讼。</w:t>
      </w:r>
    </w:p>
    <w:p w14:paraId="07EA89DD">
      <w:pPr>
        <w:rPr>
          <w:rFonts w:ascii="宋体" w:hAnsi="宋体" w:cs="宋体"/>
          <w:color w:val="auto"/>
          <w:highlight w:val="none"/>
        </w:rPr>
      </w:pPr>
      <w:r>
        <w:rPr>
          <w:rFonts w:hint="eastAsia" w:ascii="宋体" w:hAnsi="宋体" w:cs="宋体"/>
          <w:color w:val="auto"/>
          <w:highlight w:val="none"/>
        </w:rPr>
        <w:t>5、甲乙双方应当严格遵守国家法律和廉政建设的规定与制度，以及相关行业行风建设的纪律和规定。若有违反，按照国家法律规定及相关制度进行处理。</w:t>
      </w:r>
    </w:p>
    <w:p w14:paraId="72B47A87">
      <w:pPr>
        <w:rPr>
          <w:rFonts w:ascii="宋体" w:hAnsi="宋体" w:cs="宋体"/>
          <w:color w:val="auto"/>
          <w:highlight w:val="none"/>
        </w:rPr>
      </w:pPr>
      <w:r>
        <w:rPr>
          <w:rFonts w:hint="eastAsia" w:ascii="宋体" w:hAnsi="宋体" w:cs="宋体"/>
          <w:color w:val="auto"/>
          <w:highlight w:val="none"/>
        </w:rPr>
        <w:t>6、本合同正本一式四份，甲乙双方各执两份，均具有同等的法律效力。</w:t>
      </w:r>
    </w:p>
    <w:p w14:paraId="2C1BCB0C">
      <w:pPr>
        <w:rPr>
          <w:rFonts w:ascii="宋体" w:hAnsi="宋体" w:cs="宋体"/>
          <w:color w:val="auto"/>
          <w:highlight w:val="none"/>
        </w:rPr>
      </w:pPr>
    </w:p>
    <w:p w14:paraId="35A4D4BB">
      <w:pPr>
        <w:rPr>
          <w:rFonts w:ascii="宋体" w:hAnsi="宋体" w:cs="宋体"/>
          <w:b/>
          <w:color w:val="auto"/>
          <w:highlight w:val="none"/>
        </w:rPr>
      </w:pPr>
    </w:p>
    <w:p w14:paraId="435A864C">
      <w:pPr>
        <w:rPr>
          <w:rFonts w:ascii="宋体" w:hAnsi="宋体" w:cs="宋体"/>
          <w:b/>
          <w:color w:val="auto"/>
          <w:highlight w:val="none"/>
        </w:rPr>
      </w:pPr>
      <w:r>
        <w:rPr>
          <w:rFonts w:hint="eastAsia" w:ascii="宋体" w:hAnsi="宋体" w:cs="宋体"/>
          <w:b/>
          <w:color w:val="auto"/>
          <w:highlight w:val="none"/>
        </w:rPr>
        <w:t>双方联系地址及签字：</w:t>
      </w:r>
    </w:p>
    <w:tbl>
      <w:tblPr>
        <w:tblStyle w:val="22"/>
        <w:tblpPr w:leftFromText="180" w:rightFromText="180" w:vertAnchor="text" w:horzAnchor="page" w:tblpX="1269" w:tblpY="400"/>
        <w:tblOverlap w:val="never"/>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3261"/>
        <w:gridCol w:w="1275"/>
        <w:gridCol w:w="3614"/>
      </w:tblGrid>
      <w:tr w14:paraId="50613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314" w:type="dxa"/>
            <w:vAlign w:val="center"/>
          </w:tcPr>
          <w:p w14:paraId="5C4FB346">
            <w:pPr>
              <w:rPr>
                <w:rFonts w:ascii="宋体" w:hAnsi="宋体"/>
                <w:b/>
                <w:color w:val="auto"/>
                <w:szCs w:val="21"/>
                <w:highlight w:val="none"/>
              </w:rPr>
            </w:pPr>
            <w:r>
              <w:rPr>
                <w:rFonts w:hint="eastAsia" w:ascii="宋体" w:hAnsi="宋体"/>
                <w:b/>
                <w:color w:val="auto"/>
                <w:szCs w:val="21"/>
                <w:highlight w:val="none"/>
              </w:rPr>
              <w:t>甲方名称</w:t>
            </w:r>
          </w:p>
        </w:tc>
        <w:tc>
          <w:tcPr>
            <w:tcW w:w="3261" w:type="dxa"/>
            <w:vAlign w:val="center"/>
          </w:tcPr>
          <w:p w14:paraId="59CCDB57">
            <w:pPr>
              <w:rPr>
                <w:rFonts w:ascii="宋体" w:hAnsi="宋体"/>
                <w:color w:val="auto"/>
                <w:szCs w:val="21"/>
                <w:highlight w:val="none"/>
              </w:rPr>
            </w:pPr>
            <w:r>
              <w:rPr>
                <w:rFonts w:hint="eastAsia" w:ascii="宋体" w:hAnsi="宋体"/>
                <w:color w:val="auto"/>
                <w:szCs w:val="21"/>
                <w:highlight w:val="none"/>
              </w:rPr>
              <w:t>吐鲁番开能环保能源有限公司</w:t>
            </w:r>
          </w:p>
        </w:tc>
        <w:tc>
          <w:tcPr>
            <w:tcW w:w="1275" w:type="dxa"/>
            <w:vAlign w:val="center"/>
          </w:tcPr>
          <w:p w14:paraId="38B1A13F">
            <w:pPr>
              <w:jc w:val="center"/>
              <w:rPr>
                <w:rFonts w:ascii="宋体" w:hAnsi="宋体"/>
                <w:b/>
                <w:color w:val="auto"/>
                <w:szCs w:val="21"/>
                <w:highlight w:val="none"/>
              </w:rPr>
            </w:pPr>
            <w:r>
              <w:rPr>
                <w:rFonts w:hint="eastAsia" w:ascii="宋体" w:hAnsi="宋体"/>
                <w:b/>
                <w:color w:val="auto"/>
                <w:szCs w:val="21"/>
                <w:highlight w:val="none"/>
              </w:rPr>
              <w:t>乙方名称</w:t>
            </w:r>
          </w:p>
        </w:tc>
        <w:tc>
          <w:tcPr>
            <w:tcW w:w="3614" w:type="dxa"/>
            <w:vAlign w:val="center"/>
          </w:tcPr>
          <w:p w14:paraId="2CA9614F">
            <w:pPr>
              <w:spacing w:line="264" w:lineRule="auto"/>
              <w:rPr>
                <w:rFonts w:ascii="宋体" w:hAnsi="宋体"/>
                <w:bCs/>
                <w:color w:val="auto"/>
                <w:szCs w:val="21"/>
                <w:highlight w:val="none"/>
              </w:rPr>
            </w:pPr>
          </w:p>
        </w:tc>
      </w:tr>
      <w:tr w14:paraId="19BA9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314" w:type="dxa"/>
            <w:vAlign w:val="center"/>
          </w:tcPr>
          <w:p w14:paraId="1D8F7769">
            <w:pPr>
              <w:rPr>
                <w:rFonts w:ascii="宋体" w:hAnsi="宋体"/>
                <w:b/>
                <w:color w:val="auto"/>
                <w:szCs w:val="21"/>
                <w:highlight w:val="none"/>
              </w:rPr>
            </w:pPr>
            <w:r>
              <w:rPr>
                <w:rFonts w:hint="eastAsia" w:ascii="宋体" w:hAnsi="宋体"/>
                <w:b/>
                <w:color w:val="auto"/>
                <w:szCs w:val="21"/>
                <w:highlight w:val="none"/>
              </w:rPr>
              <w:t xml:space="preserve">地 </w:t>
            </w:r>
            <w:r>
              <w:rPr>
                <w:rFonts w:ascii="宋体" w:hAnsi="宋体"/>
                <w:b/>
                <w:color w:val="auto"/>
                <w:szCs w:val="21"/>
                <w:highlight w:val="none"/>
              </w:rPr>
              <w:t xml:space="preserve">   </w:t>
            </w:r>
            <w:r>
              <w:rPr>
                <w:rFonts w:hint="eastAsia" w:ascii="宋体" w:hAnsi="宋体"/>
                <w:b/>
                <w:color w:val="auto"/>
                <w:szCs w:val="21"/>
                <w:highlight w:val="none"/>
              </w:rPr>
              <w:t>址</w:t>
            </w:r>
          </w:p>
          <w:p w14:paraId="171633CB">
            <w:pPr>
              <w:rPr>
                <w:rFonts w:ascii="宋体" w:hAnsi="宋体"/>
                <w:b/>
                <w:color w:val="auto"/>
                <w:szCs w:val="21"/>
                <w:highlight w:val="none"/>
              </w:rPr>
            </w:pPr>
          </w:p>
        </w:tc>
        <w:tc>
          <w:tcPr>
            <w:tcW w:w="3261" w:type="dxa"/>
            <w:vAlign w:val="center"/>
          </w:tcPr>
          <w:p w14:paraId="367B797A">
            <w:pPr>
              <w:rPr>
                <w:rFonts w:ascii="宋体" w:hAnsi="宋体"/>
                <w:color w:val="auto"/>
                <w:szCs w:val="21"/>
                <w:highlight w:val="none"/>
              </w:rPr>
            </w:pPr>
            <w:r>
              <w:rPr>
                <w:rFonts w:ascii="宋体" w:hAnsi="宋体"/>
                <w:color w:val="auto"/>
                <w:szCs w:val="21"/>
                <w:highlight w:val="none"/>
              </w:rPr>
              <w:t>新疆吐鲁番市托克逊县阿乐惠镇圣雄工业园区，电石厂区外101室</w:t>
            </w:r>
          </w:p>
        </w:tc>
        <w:tc>
          <w:tcPr>
            <w:tcW w:w="1275" w:type="dxa"/>
            <w:vAlign w:val="center"/>
          </w:tcPr>
          <w:p w14:paraId="12E6B053">
            <w:pPr>
              <w:jc w:val="center"/>
              <w:rPr>
                <w:rFonts w:ascii="宋体" w:hAnsi="宋体"/>
                <w:b/>
                <w:color w:val="auto"/>
                <w:szCs w:val="21"/>
                <w:highlight w:val="none"/>
              </w:rPr>
            </w:pPr>
            <w:r>
              <w:rPr>
                <w:rFonts w:hint="eastAsia" w:ascii="宋体" w:hAnsi="宋体"/>
                <w:b/>
                <w:color w:val="auto"/>
                <w:szCs w:val="21"/>
                <w:highlight w:val="none"/>
              </w:rPr>
              <w:t>地　　址</w:t>
            </w:r>
          </w:p>
        </w:tc>
        <w:tc>
          <w:tcPr>
            <w:tcW w:w="3614" w:type="dxa"/>
            <w:vAlign w:val="center"/>
          </w:tcPr>
          <w:p w14:paraId="40965860">
            <w:pPr>
              <w:spacing w:line="264" w:lineRule="auto"/>
              <w:rPr>
                <w:rFonts w:ascii="宋体" w:hAnsi="宋体"/>
                <w:color w:val="auto"/>
                <w:szCs w:val="21"/>
                <w:highlight w:val="none"/>
              </w:rPr>
            </w:pPr>
          </w:p>
        </w:tc>
      </w:tr>
      <w:tr w14:paraId="1A3EB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trPr>
        <w:tc>
          <w:tcPr>
            <w:tcW w:w="1314" w:type="dxa"/>
            <w:vAlign w:val="center"/>
          </w:tcPr>
          <w:p w14:paraId="13349134">
            <w:pPr>
              <w:rPr>
                <w:rFonts w:hint="eastAsia" w:ascii="宋体" w:hAnsi="宋体" w:eastAsia="宋体"/>
                <w:b/>
                <w:color w:val="auto"/>
                <w:szCs w:val="21"/>
                <w:highlight w:val="none"/>
                <w:lang w:eastAsia="zh-CN"/>
              </w:rPr>
            </w:pPr>
            <w:r>
              <w:rPr>
                <w:rFonts w:hint="eastAsia" w:ascii="宋体" w:hAnsi="宋体"/>
                <w:b/>
                <w:color w:val="auto"/>
                <w:szCs w:val="21"/>
                <w:highlight w:val="none"/>
              </w:rPr>
              <w:t>授权代表人</w:t>
            </w:r>
            <w:r>
              <w:rPr>
                <w:rFonts w:hint="eastAsia" w:ascii="宋体" w:hAnsi="宋体"/>
                <w:b/>
                <w:color w:val="auto"/>
                <w:szCs w:val="21"/>
                <w:highlight w:val="none"/>
                <w:lang w:eastAsia="zh-CN"/>
              </w:rPr>
              <w:t>（</w:t>
            </w:r>
            <w:r>
              <w:rPr>
                <w:rFonts w:hint="eastAsia" w:ascii="宋体" w:hAnsi="宋体"/>
                <w:b/>
                <w:color w:val="auto"/>
                <w:szCs w:val="21"/>
                <w:highlight w:val="none"/>
                <w:lang w:val="en-US" w:eastAsia="zh-CN"/>
              </w:rPr>
              <w:t>签字</w:t>
            </w:r>
            <w:r>
              <w:rPr>
                <w:rFonts w:hint="eastAsia" w:ascii="宋体" w:hAnsi="宋体"/>
                <w:b/>
                <w:color w:val="auto"/>
                <w:szCs w:val="21"/>
                <w:highlight w:val="none"/>
                <w:lang w:eastAsia="zh-CN"/>
              </w:rPr>
              <w:t>）</w:t>
            </w:r>
          </w:p>
        </w:tc>
        <w:tc>
          <w:tcPr>
            <w:tcW w:w="3261" w:type="dxa"/>
            <w:vAlign w:val="center"/>
          </w:tcPr>
          <w:p w14:paraId="43BF6A62">
            <w:pPr>
              <w:rPr>
                <w:rFonts w:ascii="宋体" w:hAnsi="宋体"/>
                <w:color w:val="auto"/>
                <w:w w:val="98"/>
                <w:szCs w:val="21"/>
                <w:highlight w:val="none"/>
              </w:rPr>
            </w:pPr>
          </w:p>
        </w:tc>
        <w:tc>
          <w:tcPr>
            <w:tcW w:w="1275" w:type="dxa"/>
            <w:vAlign w:val="center"/>
          </w:tcPr>
          <w:p w14:paraId="6273361A">
            <w:pPr>
              <w:jc w:val="center"/>
              <w:rPr>
                <w:rFonts w:hint="eastAsia" w:ascii="宋体" w:hAnsi="宋体" w:eastAsia="宋体"/>
                <w:b/>
                <w:color w:val="auto"/>
                <w:szCs w:val="21"/>
                <w:highlight w:val="none"/>
                <w:lang w:eastAsia="zh-CN"/>
              </w:rPr>
            </w:pPr>
            <w:r>
              <w:rPr>
                <w:rFonts w:hint="eastAsia" w:ascii="宋体" w:hAnsi="宋体"/>
                <w:b/>
                <w:color w:val="auto"/>
                <w:szCs w:val="21"/>
                <w:highlight w:val="none"/>
              </w:rPr>
              <w:t>授权代表人</w:t>
            </w:r>
            <w:r>
              <w:rPr>
                <w:rFonts w:hint="eastAsia" w:ascii="宋体" w:hAnsi="宋体"/>
                <w:b/>
                <w:color w:val="auto"/>
                <w:szCs w:val="21"/>
                <w:highlight w:val="none"/>
                <w:lang w:eastAsia="zh-CN"/>
              </w:rPr>
              <w:t>（</w:t>
            </w:r>
            <w:r>
              <w:rPr>
                <w:rFonts w:hint="eastAsia" w:ascii="宋体" w:hAnsi="宋体"/>
                <w:b/>
                <w:color w:val="auto"/>
                <w:szCs w:val="21"/>
                <w:highlight w:val="none"/>
                <w:lang w:val="en-US" w:eastAsia="zh-CN"/>
              </w:rPr>
              <w:t>签字</w:t>
            </w:r>
            <w:r>
              <w:rPr>
                <w:rFonts w:hint="eastAsia" w:ascii="宋体" w:hAnsi="宋体"/>
                <w:b/>
                <w:color w:val="auto"/>
                <w:szCs w:val="21"/>
                <w:highlight w:val="none"/>
                <w:lang w:eastAsia="zh-CN"/>
              </w:rPr>
              <w:t>）</w:t>
            </w:r>
          </w:p>
        </w:tc>
        <w:tc>
          <w:tcPr>
            <w:tcW w:w="3614" w:type="dxa"/>
            <w:vAlign w:val="center"/>
          </w:tcPr>
          <w:p w14:paraId="7D41AB46">
            <w:pPr>
              <w:spacing w:line="264" w:lineRule="auto"/>
              <w:rPr>
                <w:rFonts w:ascii="宋体" w:hAnsi="宋体"/>
                <w:color w:val="auto"/>
                <w:w w:val="98"/>
                <w:szCs w:val="21"/>
                <w:highlight w:val="none"/>
              </w:rPr>
            </w:pPr>
          </w:p>
        </w:tc>
      </w:tr>
      <w:tr w14:paraId="4707D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314" w:type="dxa"/>
            <w:tcBorders>
              <w:bottom w:val="single" w:color="auto" w:sz="4" w:space="0"/>
            </w:tcBorders>
            <w:vAlign w:val="center"/>
          </w:tcPr>
          <w:p w14:paraId="34AC53AC">
            <w:pPr>
              <w:rPr>
                <w:rFonts w:ascii="宋体" w:hAnsi="宋体"/>
                <w:b/>
                <w:color w:val="auto"/>
                <w:szCs w:val="21"/>
                <w:highlight w:val="none"/>
              </w:rPr>
            </w:pPr>
            <w:r>
              <w:rPr>
                <w:rFonts w:hint="eastAsia" w:ascii="宋体" w:hAnsi="宋体"/>
                <w:b/>
                <w:color w:val="auto"/>
                <w:szCs w:val="21"/>
                <w:highlight w:val="none"/>
              </w:rPr>
              <w:t>开 户 行</w:t>
            </w:r>
          </w:p>
        </w:tc>
        <w:tc>
          <w:tcPr>
            <w:tcW w:w="3261" w:type="dxa"/>
            <w:tcBorders>
              <w:bottom w:val="single" w:color="auto" w:sz="4" w:space="0"/>
            </w:tcBorders>
          </w:tcPr>
          <w:p w14:paraId="3B3BA720">
            <w:pPr>
              <w:rPr>
                <w:rFonts w:ascii="宋体" w:hAnsi="宋体"/>
                <w:color w:val="auto"/>
                <w:szCs w:val="21"/>
                <w:highlight w:val="none"/>
              </w:rPr>
            </w:pPr>
            <w:r>
              <w:rPr>
                <w:rFonts w:hint="eastAsia" w:ascii="宋体" w:hAnsi="宋体"/>
                <w:color w:val="auto"/>
                <w:szCs w:val="21"/>
                <w:highlight w:val="none"/>
              </w:rPr>
              <w:t>工行吐鲁番托克逊支行营业室</w:t>
            </w:r>
          </w:p>
        </w:tc>
        <w:tc>
          <w:tcPr>
            <w:tcW w:w="1275" w:type="dxa"/>
            <w:tcBorders>
              <w:bottom w:val="single" w:color="auto" w:sz="4" w:space="0"/>
            </w:tcBorders>
            <w:vAlign w:val="center"/>
          </w:tcPr>
          <w:p w14:paraId="170E0B44">
            <w:pPr>
              <w:jc w:val="center"/>
              <w:rPr>
                <w:rFonts w:ascii="宋体" w:hAnsi="宋体"/>
                <w:b/>
                <w:color w:val="auto"/>
                <w:szCs w:val="21"/>
                <w:highlight w:val="none"/>
              </w:rPr>
            </w:pPr>
            <w:r>
              <w:rPr>
                <w:rFonts w:hint="eastAsia" w:ascii="宋体" w:hAnsi="宋体"/>
                <w:b/>
                <w:color w:val="auto"/>
                <w:szCs w:val="21"/>
                <w:highlight w:val="none"/>
              </w:rPr>
              <w:t>开 户 行</w:t>
            </w:r>
          </w:p>
        </w:tc>
        <w:tc>
          <w:tcPr>
            <w:tcW w:w="3614" w:type="dxa"/>
            <w:tcBorders>
              <w:bottom w:val="single" w:color="auto" w:sz="4" w:space="0"/>
            </w:tcBorders>
          </w:tcPr>
          <w:p w14:paraId="654765CF">
            <w:pPr>
              <w:spacing w:line="264" w:lineRule="auto"/>
              <w:rPr>
                <w:rFonts w:ascii="宋体" w:hAnsi="宋体"/>
                <w:color w:val="auto"/>
                <w:szCs w:val="21"/>
                <w:highlight w:val="none"/>
              </w:rPr>
            </w:pPr>
          </w:p>
        </w:tc>
      </w:tr>
      <w:tr w14:paraId="6C122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1314" w:type="dxa"/>
            <w:vAlign w:val="center"/>
          </w:tcPr>
          <w:p w14:paraId="3213B130">
            <w:pPr>
              <w:rPr>
                <w:rFonts w:ascii="宋体" w:hAnsi="宋体"/>
                <w:b/>
                <w:color w:val="auto"/>
                <w:szCs w:val="21"/>
                <w:highlight w:val="none"/>
              </w:rPr>
            </w:pPr>
            <w:r>
              <w:rPr>
                <w:rFonts w:hint="eastAsia" w:ascii="宋体" w:hAnsi="宋体"/>
                <w:b/>
                <w:color w:val="auto"/>
                <w:szCs w:val="21"/>
                <w:highlight w:val="none"/>
              </w:rPr>
              <w:t>帐    号</w:t>
            </w:r>
          </w:p>
        </w:tc>
        <w:tc>
          <w:tcPr>
            <w:tcW w:w="3261" w:type="dxa"/>
          </w:tcPr>
          <w:p w14:paraId="776E609A">
            <w:pPr>
              <w:rPr>
                <w:rFonts w:ascii="宋体" w:hAnsi="宋体"/>
                <w:color w:val="auto"/>
                <w:szCs w:val="21"/>
                <w:highlight w:val="none"/>
              </w:rPr>
            </w:pPr>
            <w:r>
              <w:rPr>
                <w:rFonts w:ascii="宋体" w:hAnsi="宋体"/>
                <w:color w:val="auto"/>
                <w:szCs w:val="21"/>
                <w:highlight w:val="none"/>
              </w:rPr>
              <w:t>3005 2931 0920 0127 655</w:t>
            </w:r>
          </w:p>
        </w:tc>
        <w:tc>
          <w:tcPr>
            <w:tcW w:w="1275" w:type="dxa"/>
            <w:vAlign w:val="center"/>
          </w:tcPr>
          <w:p w14:paraId="7E01D024">
            <w:pPr>
              <w:jc w:val="center"/>
              <w:rPr>
                <w:rFonts w:ascii="宋体" w:hAnsi="宋体"/>
                <w:b/>
                <w:color w:val="auto"/>
                <w:szCs w:val="21"/>
                <w:highlight w:val="none"/>
              </w:rPr>
            </w:pPr>
            <w:r>
              <w:rPr>
                <w:rFonts w:hint="eastAsia" w:ascii="宋体" w:hAnsi="宋体"/>
                <w:b/>
                <w:color w:val="auto"/>
                <w:szCs w:val="21"/>
                <w:highlight w:val="none"/>
              </w:rPr>
              <w:t>帐    号</w:t>
            </w:r>
          </w:p>
        </w:tc>
        <w:tc>
          <w:tcPr>
            <w:tcW w:w="3614" w:type="dxa"/>
          </w:tcPr>
          <w:p w14:paraId="21631552">
            <w:pPr>
              <w:spacing w:line="264" w:lineRule="auto"/>
              <w:rPr>
                <w:rFonts w:ascii="宋体" w:hAnsi="宋体"/>
                <w:color w:val="auto"/>
                <w:szCs w:val="21"/>
                <w:highlight w:val="none"/>
              </w:rPr>
            </w:pPr>
          </w:p>
        </w:tc>
      </w:tr>
      <w:tr w14:paraId="6B5D2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314" w:type="dxa"/>
            <w:vAlign w:val="center"/>
          </w:tcPr>
          <w:p w14:paraId="0E6A724C">
            <w:pPr>
              <w:rPr>
                <w:rFonts w:ascii="宋体" w:hAnsi="宋体"/>
                <w:b/>
                <w:color w:val="auto"/>
                <w:szCs w:val="21"/>
                <w:highlight w:val="none"/>
              </w:rPr>
            </w:pPr>
            <w:r>
              <w:rPr>
                <w:rFonts w:hint="eastAsia" w:ascii="宋体" w:hAnsi="宋体"/>
                <w:b/>
                <w:color w:val="auto"/>
                <w:szCs w:val="21"/>
                <w:highlight w:val="none"/>
              </w:rPr>
              <w:t>税    号</w:t>
            </w:r>
          </w:p>
        </w:tc>
        <w:tc>
          <w:tcPr>
            <w:tcW w:w="3261" w:type="dxa"/>
            <w:vAlign w:val="center"/>
          </w:tcPr>
          <w:p w14:paraId="0E88F69F">
            <w:pPr>
              <w:rPr>
                <w:rFonts w:ascii="宋体" w:hAnsi="宋体"/>
                <w:color w:val="auto"/>
                <w:szCs w:val="21"/>
                <w:highlight w:val="none"/>
              </w:rPr>
            </w:pPr>
            <w:r>
              <w:rPr>
                <w:rFonts w:ascii="宋体" w:hAnsi="宋体"/>
                <w:color w:val="auto"/>
                <w:szCs w:val="21"/>
                <w:highlight w:val="none"/>
              </w:rPr>
              <w:t>91650422MA77W5397E</w:t>
            </w:r>
          </w:p>
        </w:tc>
        <w:tc>
          <w:tcPr>
            <w:tcW w:w="1275" w:type="dxa"/>
            <w:vAlign w:val="center"/>
          </w:tcPr>
          <w:p w14:paraId="0158D66F">
            <w:pPr>
              <w:jc w:val="center"/>
              <w:rPr>
                <w:rFonts w:ascii="宋体" w:hAnsi="宋体"/>
                <w:b/>
                <w:color w:val="auto"/>
                <w:szCs w:val="21"/>
                <w:highlight w:val="none"/>
              </w:rPr>
            </w:pPr>
            <w:r>
              <w:rPr>
                <w:rFonts w:hint="eastAsia" w:ascii="宋体" w:hAnsi="宋体"/>
                <w:b/>
                <w:color w:val="auto"/>
                <w:szCs w:val="21"/>
                <w:highlight w:val="none"/>
              </w:rPr>
              <w:t>税    号</w:t>
            </w:r>
          </w:p>
        </w:tc>
        <w:tc>
          <w:tcPr>
            <w:tcW w:w="3614" w:type="dxa"/>
            <w:vAlign w:val="center"/>
          </w:tcPr>
          <w:p w14:paraId="09D969B2">
            <w:pPr>
              <w:spacing w:line="264" w:lineRule="auto"/>
              <w:rPr>
                <w:rFonts w:ascii="宋体" w:hAnsi="宋体"/>
                <w:color w:val="auto"/>
                <w:szCs w:val="21"/>
                <w:highlight w:val="none"/>
              </w:rPr>
            </w:pPr>
          </w:p>
        </w:tc>
      </w:tr>
      <w:tr w14:paraId="129C9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314" w:type="dxa"/>
            <w:vAlign w:val="center"/>
          </w:tcPr>
          <w:p w14:paraId="1A0BDC97">
            <w:pPr>
              <w:rPr>
                <w:rFonts w:ascii="宋体" w:hAnsi="宋体"/>
                <w:b/>
                <w:color w:val="auto"/>
                <w:szCs w:val="21"/>
                <w:highlight w:val="none"/>
              </w:rPr>
            </w:pPr>
            <w:r>
              <w:rPr>
                <w:rFonts w:hint="eastAsia" w:ascii="宋体" w:hAnsi="宋体"/>
                <w:b/>
                <w:color w:val="auto"/>
                <w:szCs w:val="21"/>
                <w:highlight w:val="none"/>
              </w:rPr>
              <w:t>电    话</w:t>
            </w:r>
          </w:p>
        </w:tc>
        <w:tc>
          <w:tcPr>
            <w:tcW w:w="3261" w:type="dxa"/>
            <w:vAlign w:val="center"/>
          </w:tcPr>
          <w:p w14:paraId="208B9114">
            <w:pPr>
              <w:rPr>
                <w:rFonts w:ascii="宋体" w:hAnsi="宋体"/>
                <w:color w:val="auto"/>
                <w:w w:val="98"/>
                <w:szCs w:val="21"/>
                <w:highlight w:val="none"/>
              </w:rPr>
            </w:pPr>
            <w:r>
              <w:rPr>
                <w:rFonts w:hint="eastAsia" w:ascii="宋体" w:hAnsi="宋体"/>
                <w:color w:val="auto"/>
                <w:w w:val="98"/>
                <w:szCs w:val="21"/>
                <w:highlight w:val="none"/>
              </w:rPr>
              <w:t>1</w:t>
            </w:r>
            <w:r>
              <w:rPr>
                <w:rFonts w:ascii="宋体" w:hAnsi="宋体"/>
                <w:color w:val="auto"/>
                <w:w w:val="98"/>
                <w:szCs w:val="21"/>
                <w:highlight w:val="none"/>
              </w:rPr>
              <w:t>8139317730</w:t>
            </w:r>
          </w:p>
        </w:tc>
        <w:tc>
          <w:tcPr>
            <w:tcW w:w="1275" w:type="dxa"/>
            <w:vAlign w:val="center"/>
          </w:tcPr>
          <w:p w14:paraId="72B14333">
            <w:pPr>
              <w:jc w:val="center"/>
              <w:rPr>
                <w:rFonts w:ascii="宋体" w:hAnsi="宋体"/>
                <w:b/>
                <w:color w:val="auto"/>
                <w:szCs w:val="21"/>
                <w:highlight w:val="none"/>
              </w:rPr>
            </w:pPr>
            <w:r>
              <w:rPr>
                <w:rFonts w:hint="eastAsia" w:ascii="宋体" w:hAnsi="宋体"/>
                <w:b/>
                <w:color w:val="auto"/>
                <w:szCs w:val="21"/>
                <w:highlight w:val="none"/>
              </w:rPr>
              <w:t>电话</w:t>
            </w:r>
          </w:p>
        </w:tc>
        <w:tc>
          <w:tcPr>
            <w:tcW w:w="3614" w:type="dxa"/>
            <w:vAlign w:val="center"/>
          </w:tcPr>
          <w:p w14:paraId="33CF17E1">
            <w:pPr>
              <w:spacing w:line="264" w:lineRule="auto"/>
              <w:rPr>
                <w:rFonts w:ascii="宋体" w:hAnsi="宋体"/>
                <w:color w:val="auto"/>
                <w:w w:val="98"/>
                <w:szCs w:val="21"/>
                <w:highlight w:val="none"/>
              </w:rPr>
            </w:pPr>
          </w:p>
        </w:tc>
      </w:tr>
    </w:tbl>
    <w:p w14:paraId="056251D0">
      <w:pPr>
        <w:rPr>
          <w:rFonts w:ascii="宋体" w:hAnsi="宋体" w:cs="宋体"/>
          <w:b/>
          <w:color w:val="auto"/>
          <w:highlight w:val="none"/>
        </w:rPr>
      </w:pPr>
    </w:p>
    <w:p w14:paraId="1BB1AF70">
      <w:pPr>
        <w:rPr>
          <w:rFonts w:ascii="宋体" w:hAnsi="宋体" w:cs="宋体"/>
          <w:b/>
          <w:color w:val="auto"/>
          <w:szCs w:val="21"/>
          <w:highlight w:val="none"/>
        </w:rPr>
      </w:pPr>
    </w:p>
    <w:p w14:paraId="12532FD5">
      <w:pPr>
        <w:rPr>
          <w:rFonts w:ascii="宋体" w:hAnsi="宋体" w:cs="宋体"/>
          <w:b/>
          <w:color w:val="auto"/>
          <w:szCs w:val="21"/>
          <w:highlight w:val="none"/>
        </w:rPr>
      </w:pPr>
    </w:p>
    <w:p w14:paraId="34FEE605">
      <w:pPr>
        <w:pStyle w:val="2"/>
        <w:ind w:left="0" w:leftChars="0" w:firstLine="0" w:firstLineChars="0"/>
        <w:rPr>
          <w:rFonts w:ascii="宋体" w:hAnsi="宋体" w:cs="宋体"/>
          <w:b/>
          <w:color w:val="auto"/>
          <w:szCs w:val="21"/>
          <w:highlight w:val="none"/>
        </w:rPr>
      </w:pPr>
    </w:p>
    <w:p w14:paraId="6F908AD8">
      <w:pPr>
        <w:rPr>
          <w:rFonts w:ascii="宋体" w:hAnsi="宋体" w:cs="宋体"/>
          <w:b/>
          <w:color w:val="auto"/>
          <w:szCs w:val="21"/>
          <w:highlight w:val="none"/>
        </w:rPr>
      </w:pPr>
      <w:r>
        <w:rPr>
          <w:rFonts w:hint="eastAsia" w:ascii="宋体" w:hAnsi="宋体" w:cs="宋体"/>
          <w:b/>
          <w:color w:val="auto"/>
          <w:szCs w:val="21"/>
          <w:highlight w:val="none"/>
        </w:rPr>
        <w:t>附件1：价格表</w:t>
      </w:r>
    </w:p>
    <w:p w14:paraId="2C15D65F">
      <w:pPr>
        <w:rPr>
          <w:rFonts w:ascii="宋体" w:hAnsi="宋体" w:cs="宋体"/>
          <w:b/>
          <w:color w:val="auto"/>
          <w:szCs w:val="21"/>
          <w:highlight w:val="none"/>
        </w:rPr>
      </w:pPr>
    </w:p>
    <w:p w14:paraId="7AE2083D">
      <w:pPr>
        <w:rPr>
          <w:rFonts w:ascii="宋体" w:hAnsi="宋体" w:cs="宋体"/>
          <w:b/>
          <w:color w:val="auto"/>
          <w:szCs w:val="21"/>
          <w:highlight w:val="none"/>
        </w:rPr>
      </w:pPr>
    </w:p>
    <w:tbl>
      <w:tblPr>
        <w:tblStyle w:val="22"/>
        <w:tblpPr w:leftFromText="180" w:rightFromText="180" w:vertAnchor="text" w:horzAnchor="page" w:tblpX="224" w:tblpY="183"/>
        <w:tblOverlap w:val="never"/>
        <w:tblW w:w="11449" w:type="dxa"/>
        <w:tblInd w:w="0" w:type="dxa"/>
        <w:tblLayout w:type="fixed"/>
        <w:tblCellMar>
          <w:top w:w="0" w:type="dxa"/>
          <w:left w:w="0" w:type="dxa"/>
          <w:bottom w:w="0" w:type="dxa"/>
          <w:right w:w="0" w:type="dxa"/>
        </w:tblCellMar>
      </w:tblPr>
      <w:tblGrid>
        <w:gridCol w:w="251"/>
        <w:gridCol w:w="624"/>
        <w:gridCol w:w="916"/>
        <w:gridCol w:w="794"/>
        <w:gridCol w:w="784"/>
        <w:gridCol w:w="1197"/>
        <w:gridCol w:w="1205"/>
        <w:gridCol w:w="1161"/>
        <w:gridCol w:w="1053"/>
        <w:gridCol w:w="940"/>
        <w:gridCol w:w="945"/>
        <w:gridCol w:w="1579"/>
      </w:tblGrid>
      <w:tr w14:paraId="5EA33768">
        <w:tblPrEx>
          <w:tblCellMar>
            <w:top w:w="0" w:type="dxa"/>
            <w:left w:w="0" w:type="dxa"/>
            <w:bottom w:w="0" w:type="dxa"/>
            <w:right w:w="0" w:type="dxa"/>
          </w:tblCellMar>
        </w:tblPrEx>
        <w:trPr>
          <w:trHeight w:val="360" w:hRule="atLeast"/>
        </w:trPr>
        <w:tc>
          <w:tcPr>
            <w:tcW w:w="25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2AA492">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序号</w:t>
            </w:r>
          </w:p>
        </w:tc>
        <w:tc>
          <w:tcPr>
            <w:tcW w:w="62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504779">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设备/材料名称</w:t>
            </w:r>
          </w:p>
        </w:tc>
        <w:tc>
          <w:tcPr>
            <w:tcW w:w="91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8F565C">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运输包装方式</w:t>
            </w:r>
          </w:p>
        </w:tc>
        <w:tc>
          <w:tcPr>
            <w:tcW w:w="79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C672E4">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运输距离（千米）</w:t>
            </w:r>
          </w:p>
        </w:tc>
        <w:tc>
          <w:tcPr>
            <w:tcW w:w="78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E9C83AF">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预计运输总重量（吨）</w:t>
            </w:r>
          </w:p>
        </w:tc>
        <w:tc>
          <w:tcPr>
            <w:tcW w:w="119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BCB07D">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起运地</w:t>
            </w:r>
          </w:p>
        </w:tc>
        <w:tc>
          <w:tcPr>
            <w:tcW w:w="12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A9B799">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目的地</w:t>
            </w:r>
          </w:p>
        </w:tc>
        <w:tc>
          <w:tcPr>
            <w:tcW w:w="116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9048ED">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运输方式</w:t>
            </w:r>
          </w:p>
        </w:tc>
        <w:tc>
          <w:tcPr>
            <w:tcW w:w="105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D0B70A">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单位</w:t>
            </w:r>
          </w:p>
        </w:tc>
        <w:tc>
          <w:tcPr>
            <w:tcW w:w="94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4A40E59">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单价（元/吨）</w:t>
            </w:r>
          </w:p>
        </w:tc>
        <w:tc>
          <w:tcPr>
            <w:tcW w:w="94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CF6BDD">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总价（元 )</w:t>
            </w:r>
          </w:p>
        </w:tc>
        <w:tc>
          <w:tcPr>
            <w:tcW w:w="157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5BA8D3">
            <w:pPr>
              <w:widowControl/>
              <w:jc w:val="center"/>
              <w:textAlignment w:val="center"/>
              <w:rPr>
                <w:rFonts w:ascii="宋体" w:hAnsi="宋体" w:cs="宋体"/>
                <w:color w:val="auto"/>
                <w:szCs w:val="24"/>
                <w:highlight w:val="none"/>
              </w:rPr>
            </w:pPr>
            <w:r>
              <w:rPr>
                <w:rFonts w:hint="eastAsia" w:ascii="宋体" w:hAnsi="宋体" w:cs="宋体"/>
                <w:color w:val="auto"/>
                <w:szCs w:val="21"/>
                <w:highlight w:val="none"/>
                <w:lang w:bidi="ar"/>
              </w:rPr>
              <w:t>备注</w:t>
            </w:r>
          </w:p>
        </w:tc>
      </w:tr>
      <w:tr w14:paraId="797DA163">
        <w:tblPrEx>
          <w:tblCellMar>
            <w:top w:w="0" w:type="dxa"/>
            <w:left w:w="0" w:type="dxa"/>
            <w:bottom w:w="0" w:type="dxa"/>
            <w:right w:w="0" w:type="dxa"/>
          </w:tblCellMar>
        </w:tblPrEx>
        <w:trPr>
          <w:trHeight w:val="1079" w:hRule="atLeast"/>
        </w:trPr>
        <w:tc>
          <w:tcPr>
            <w:tcW w:w="25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D26EB4">
            <w:pPr>
              <w:jc w:val="center"/>
              <w:rPr>
                <w:rFonts w:ascii="宋体" w:hAnsi="宋体" w:cs="宋体"/>
                <w:b/>
                <w:color w:val="auto"/>
                <w:sz w:val="18"/>
                <w:szCs w:val="18"/>
                <w:highlight w:val="none"/>
              </w:rPr>
            </w:pPr>
          </w:p>
        </w:tc>
        <w:tc>
          <w:tcPr>
            <w:tcW w:w="62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3006A0">
            <w:pPr>
              <w:jc w:val="center"/>
              <w:rPr>
                <w:rFonts w:ascii="宋体" w:hAnsi="宋体" w:cs="宋体"/>
                <w:b/>
                <w:color w:val="auto"/>
                <w:sz w:val="18"/>
                <w:szCs w:val="18"/>
                <w:highlight w:val="none"/>
              </w:rPr>
            </w:pPr>
          </w:p>
        </w:tc>
        <w:tc>
          <w:tcPr>
            <w:tcW w:w="91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64A622">
            <w:pPr>
              <w:jc w:val="center"/>
              <w:rPr>
                <w:rFonts w:ascii="宋体" w:hAnsi="宋体" w:cs="宋体"/>
                <w:b/>
                <w:color w:val="auto"/>
                <w:sz w:val="18"/>
                <w:szCs w:val="18"/>
                <w:highlight w:val="none"/>
              </w:rPr>
            </w:pPr>
          </w:p>
        </w:tc>
        <w:tc>
          <w:tcPr>
            <w:tcW w:w="79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3BD38B">
            <w:pPr>
              <w:jc w:val="center"/>
              <w:rPr>
                <w:rFonts w:ascii="宋体" w:hAnsi="宋体" w:cs="宋体"/>
                <w:b/>
                <w:color w:val="auto"/>
                <w:sz w:val="18"/>
                <w:szCs w:val="18"/>
                <w:highlight w:val="none"/>
              </w:rPr>
            </w:pPr>
          </w:p>
        </w:tc>
        <w:tc>
          <w:tcPr>
            <w:tcW w:w="78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B976E6">
            <w:pPr>
              <w:jc w:val="center"/>
              <w:rPr>
                <w:rFonts w:ascii="宋体" w:hAnsi="宋体" w:cs="宋体"/>
                <w:b/>
                <w:color w:val="auto"/>
                <w:sz w:val="18"/>
                <w:szCs w:val="18"/>
                <w:highlight w:val="none"/>
              </w:rPr>
            </w:pPr>
          </w:p>
        </w:tc>
        <w:tc>
          <w:tcPr>
            <w:tcW w:w="119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C4C0E4">
            <w:pPr>
              <w:jc w:val="center"/>
              <w:rPr>
                <w:rFonts w:ascii="宋体" w:hAnsi="宋体" w:cs="宋体"/>
                <w:b/>
                <w:color w:val="auto"/>
                <w:sz w:val="18"/>
                <w:szCs w:val="18"/>
                <w:highlight w:val="none"/>
              </w:rPr>
            </w:pPr>
          </w:p>
        </w:tc>
        <w:tc>
          <w:tcPr>
            <w:tcW w:w="12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E16826">
            <w:pPr>
              <w:jc w:val="center"/>
              <w:rPr>
                <w:rFonts w:ascii="宋体" w:hAnsi="宋体" w:cs="宋体"/>
                <w:b/>
                <w:color w:val="auto"/>
                <w:sz w:val="18"/>
                <w:szCs w:val="18"/>
                <w:highlight w:val="none"/>
              </w:rPr>
            </w:pPr>
          </w:p>
        </w:tc>
        <w:tc>
          <w:tcPr>
            <w:tcW w:w="116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F00AD5">
            <w:pPr>
              <w:jc w:val="center"/>
              <w:rPr>
                <w:rFonts w:ascii="宋体" w:hAnsi="宋体" w:cs="宋体"/>
                <w:b/>
                <w:color w:val="auto"/>
                <w:sz w:val="18"/>
                <w:szCs w:val="18"/>
                <w:highlight w:val="none"/>
              </w:rPr>
            </w:pPr>
          </w:p>
        </w:tc>
        <w:tc>
          <w:tcPr>
            <w:tcW w:w="105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9AE141">
            <w:pPr>
              <w:jc w:val="center"/>
              <w:rPr>
                <w:rFonts w:ascii="宋体" w:hAnsi="宋体" w:cs="宋体"/>
                <w:b/>
                <w:color w:val="auto"/>
                <w:sz w:val="18"/>
                <w:szCs w:val="18"/>
                <w:highlight w:val="none"/>
              </w:rPr>
            </w:pPr>
          </w:p>
        </w:tc>
        <w:tc>
          <w:tcPr>
            <w:tcW w:w="94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A01D4C">
            <w:pPr>
              <w:jc w:val="center"/>
              <w:rPr>
                <w:rFonts w:ascii="宋体" w:hAnsi="宋体" w:cs="宋体"/>
                <w:b/>
                <w:color w:val="auto"/>
                <w:sz w:val="18"/>
                <w:szCs w:val="18"/>
                <w:highlight w:val="none"/>
              </w:rPr>
            </w:pPr>
          </w:p>
        </w:tc>
        <w:tc>
          <w:tcPr>
            <w:tcW w:w="94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2C622E">
            <w:pPr>
              <w:jc w:val="center"/>
              <w:rPr>
                <w:rFonts w:ascii="宋体" w:hAnsi="宋体" w:cs="宋体"/>
                <w:b/>
                <w:color w:val="auto"/>
                <w:sz w:val="18"/>
                <w:szCs w:val="18"/>
                <w:highlight w:val="none"/>
              </w:rPr>
            </w:pPr>
          </w:p>
        </w:tc>
        <w:tc>
          <w:tcPr>
            <w:tcW w:w="157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AFDD4E">
            <w:pPr>
              <w:jc w:val="center"/>
              <w:rPr>
                <w:rFonts w:ascii="宋体" w:hAnsi="宋体" w:cs="宋体"/>
                <w:color w:val="auto"/>
                <w:szCs w:val="24"/>
                <w:highlight w:val="none"/>
              </w:rPr>
            </w:pPr>
          </w:p>
        </w:tc>
      </w:tr>
      <w:tr w14:paraId="045840EA">
        <w:tblPrEx>
          <w:tblCellMar>
            <w:top w:w="0" w:type="dxa"/>
            <w:left w:w="0" w:type="dxa"/>
            <w:bottom w:w="0" w:type="dxa"/>
            <w:right w:w="0" w:type="dxa"/>
          </w:tblCellMar>
        </w:tblPrEx>
        <w:trPr>
          <w:trHeight w:val="1413" w:hRule="atLeast"/>
        </w:trPr>
        <w:tc>
          <w:tcPr>
            <w:tcW w:w="2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60D712">
            <w:pPr>
              <w:widowControl/>
              <w:jc w:val="center"/>
              <w:textAlignment w:val="center"/>
              <w:rPr>
                <w:rFonts w:ascii="宋体" w:hAnsi="宋体" w:cs="宋体"/>
                <w:b/>
                <w:color w:val="auto"/>
                <w:sz w:val="18"/>
                <w:szCs w:val="18"/>
                <w:highlight w:val="none"/>
              </w:rPr>
            </w:pPr>
            <w:r>
              <w:rPr>
                <w:rFonts w:hint="eastAsia" w:ascii="宋体" w:hAnsi="宋体" w:cs="宋体"/>
                <w:b/>
                <w:color w:val="auto"/>
                <w:sz w:val="18"/>
                <w:szCs w:val="18"/>
                <w:highlight w:val="none"/>
                <w:lang w:bidi="ar"/>
              </w:rPr>
              <w:t>1</w:t>
            </w:r>
          </w:p>
        </w:tc>
        <w:tc>
          <w:tcPr>
            <w:tcW w:w="6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1EAECF">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煤末/兰炭末</w:t>
            </w:r>
          </w:p>
        </w:tc>
        <w:tc>
          <w:tcPr>
            <w:tcW w:w="9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BF58CA">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裸装</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A09B0F">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3</w:t>
            </w:r>
          </w:p>
        </w:tc>
        <w:tc>
          <w:tcPr>
            <w:tcW w:w="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591D70">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100000</w:t>
            </w:r>
          </w:p>
        </w:tc>
        <w:tc>
          <w:tcPr>
            <w:tcW w:w="119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3682159">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新疆圣雄电石有限公司原料堆场指定地点</w:t>
            </w:r>
          </w:p>
        </w:tc>
        <w:tc>
          <w:tcPr>
            <w:tcW w:w="12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5B29EC">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吐鲁番开能环保能源有限公司厂区干煤棚指定地点</w:t>
            </w:r>
          </w:p>
        </w:tc>
        <w:tc>
          <w:tcPr>
            <w:tcW w:w="11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C3EFEA">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汽运</w:t>
            </w:r>
          </w:p>
        </w:tc>
        <w:tc>
          <w:tcPr>
            <w:tcW w:w="10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218438">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元/吨</w:t>
            </w:r>
          </w:p>
        </w:tc>
        <w:tc>
          <w:tcPr>
            <w:tcW w:w="9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E244F8">
            <w:pPr>
              <w:jc w:val="center"/>
              <w:rPr>
                <w:rFonts w:ascii="宋体" w:hAnsi="宋体" w:cs="宋体"/>
                <w:color w:val="auto"/>
                <w:sz w:val="18"/>
                <w:szCs w:val="18"/>
                <w:highlight w:val="none"/>
              </w:rPr>
            </w:pPr>
          </w:p>
        </w:tc>
        <w:tc>
          <w:tcPr>
            <w:tcW w:w="9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A9972B">
            <w:pPr>
              <w:widowControl/>
              <w:jc w:val="center"/>
              <w:textAlignment w:val="center"/>
              <w:rPr>
                <w:rFonts w:ascii="宋体" w:hAnsi="宋体" w:cs="宋体"/>
                <w:b/>
                <w:color w:val="auto"/>
                <w:sz w:val="18"/>
                <w:szCs w:val="18"/>
                <w:highlight w:val="none"/>
              </w:rPr>
            </w:pPr>
          </w:p>
        </w:tc>
        <w:tc>
          <w:tcPr>
            <w:tcW w:w="157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688799">
            <w:pPr>
              <w:rPr>
                <w:rFonts w:ascii="宋体" w:hAnsi="宋体" w:cs="宋体"/>
                <w:color w:val="auto"/>
                <w:szCs w:val="24"/>
                <w:highlight w:val="none"/>
              </w:rPr>
            </w:pPr>
          </w:p>
        </w:tc>
      </w:tr>
      <w:tr w14:paraId="61F72E5B">
        <w:tblPrEx>
          <w:tblCellMar>
            <w:top w:w="0" w:type="dxa"/>
            <w:left w:w="0" w:type="dxa"/>
            <w:bottom w:w="0" w:type="dxa"/>
            <w:right w:w="0" w:type="dxa"/>
          </w:tblCellMar>
        </w:tblPrEx>
        <w:trPr>
          <w:trHeight w:val="1440" w:hRule="atLeast"/>
        </w:trPr>
        <w:tc>
          <w:tcPr>
            <w:tcW w:w="2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8EA109">
            <w:pPr>
              <w:jc w:val="center"/>
              <w:rPr>
                <w:rFonts w:ascii="宋体" w:hAnsi="宋体" w:cs="宋体"/>
                <w:b/>
                <w:color w:val="auto"/>
                <w:sz w:val="18"/>
                <w:szCs w:val="18"/>
                <w:highlight w:val="none"/>
              </w:rPr>
            </w:pPr>
            <w:r>
              <w:rPr>
                <w:rFonts w:hint="eastAsia" w:ascii="宋体" w:hAnsi="宋体" w:cs="宋体"/>
                <w:b/>
                <w:color w:val="auto"/>
                <w:sz w:val="18"/>
                <w:szCs w:val="18"/>
                <w:highlight w:val="none"/>
              </w:rPr>
              <w:t>2</w:t>
            </w:r>
          </w:p>
        </w:tc>
        <w:tc>
          <w:tcPr>
            <w:tcW w:w="62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126233">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粉煤灰</w:t>
            </w:r>
          </w:p>
        </w:tc>
        <w:tc>
          <w:tcPr>
            <w:tcW w:w="9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B23F31">
            <w:pPr>
              <w:widowControl/>
              <w:jc w:val="center"/>
              <w:textAlignment w:val="center"/>
              <w:rPr>
                <w:rFonts w:hint="eastAsia" w:ascii="宋体" w:hAnsi="宋体" w:eastAsia="宋体" w:cs="宋体"/>
                <w:color w:val="auto"/>
                <w:sz w:val="18"/>
                <w:szCs w:val="18"/>
                <w:highlight w:val="none"/>
                <w:lang w:eastAsia="zh-CN"/>
              </w:rPr>
            </w:pPr>
            <w:r>
              <w:rPr>
                <w:rFonts w:hint="eastAsia" w:ascii="宋体" w:hAnsi="宋体" w:cs="宋体"/>
                <w:color w:val="auto"/>
                <w:sz w:val="18"/>
                <w:szCs w:val="18"/>
                <w:highlight w:val="none"/>
                <w:lang w:val="en-US" w:eastAsia="zh-CN" w:bidi="ar"/>
              </w:rPr>
              <w:t>散装</w:t>
            </w:r>
          </w:p>
        </w:tc>
        <w:tc>
          <w:tcPr>
            <w:tcW w:w="7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D16667">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16</w:t>
            </w:r>
          </w:p>
        </w:tc>
        <w:tc>
          <w:tcPr>
            <w:tcW w:w="7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945A79">
            <w:pPr>
              <w:widowControl/>
              <w:jc w:val="center"/>
              <w:textAlignment w:val="center"/>
              <w:rPr>
                <w:rFonts w:hint="default" w:ascii="宋体" w:hAnsi="宋体" w:eastAsia="宋体" w:cs="宋体"/>
                <w:color w:val="auto"/>
                <w:sz w:val="18"/>
                <w:szCs w:val="18"/>
                <w:highlight w:val="none"/>
                <w:lang w:val="en-US" w:eastAsia="zh-CN"/>
              </w:rPr>
            </w:pPr>
            <w:r>
              <w:rPr>
                <w:rFonts w:hint="eastAsia" w:ascii="宋体" w:hAnsi="宋体" w:cs="宋体"/>
                <w:color w:val="auto"/>
                <w:sz w:val="18"/>
                <w:szCs w:val="18"/>
                <w:highlight w:val="none"/>
                <w:lang w:val="en-US" w:eastAsia="zh-CN" w:bidi="ar"/>
              </w:rPr>
              <w:t>80000</w:t>
            </w:r>
          </w:p>
        </w:tc>
        <w:tc>
          <w:tcPr>
            <w:tcW w:w="1197" w:type="dxa"/>
            <w:tcBorders>
              <w:left w:val="single" w:color="000000" w:sz="4" w:space="0"/>
              <w:right w:val="single" w:color="000000" w:sz="4" w:space="0"/>
            </w:tcBorders>
            <w:tcMar>
              <w:top w:w="15" w:type="dxa"/>
              <w:left w:w="15" w:type="dxa"/>
              <w:right w:w="15" w:type="dxa"/>
            </w:tcMar>
            <w:vAlign w:val="center"/>
          </w:tcPr>
          <w:p w14:paraId="65211120">
            <w:pPr>
              <w:jc w:val="center"/>
              <w:rPr>
                <w:rFonts w:ascii="宋体" w:hAnsi="宋体" w:cs="宋体"/>
                <w:color w:val="auto"/>
                <w:sz w:val="18"/>
                <w:szCs w:val="18"/>
                <w:highlight w:val="none"/>
              </w:rPr>
            </w:pPr>
            <w:r>
              <w:rPr>
                <w:rFonts w:hint="eastAsia" w:ascii="宋体" w:hAnsi="宋体" w:cs="宋体"/>
                <w:color w:val="auto"/>
                <w:sz w:val="18"/>
                <w:szCs w:val="18"/>
                <w:highlight w:val="none"/>
                <w:lang w:bidi="ar"/>
              </w:rPr>
              <w:t>吐鲁番开能环保能源有限公司厂区除尘灰仓指定地点</w:t>
            </w:r>
          </w:p>
        </w:tc>
        <w:tc>
          <w:tcPr>
            <w:tcW w:w="12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37FC31">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新疆圣雄能源股份有限公司灰场指定地点</w:t>
            </w:r>
          </w:p>
        </w:tc>
        <w:tc>
          <w:tcPr>
            <w:tcW w:w="116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C18E40">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汽运</w:t>
            </w:r>
          </w:p>
        </w:tc>
        <w:tc>
          <w:tcPr>
            <w:tcW w:w="105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8CB0D2D">
            <w:pPr>
              <w:widowControl/>
              <w:jc w:val="center"/>
              <w:textAlignment w:val="center"/>
              <w:rPr>
                <w:rFonts w:ascii="宋体" w:hAnsi="宋体" w:cs="宋体"/>
                <w:color w:val="auto"/>
                <w:sz w:val="18"/>
                <w:szCs w:val="18"/>
                <w:highlight w:val="none"/>
              </w:rPr>
            </w:pPr>
            <w:r>
              <w:rPr>
                <w:rFonts w:hint="eastAsia" w:ascii="宋体" w:hAnsi="宋体" w:cs="宋体"/>
                <w:color w:val="auto"/>
                <w:sz w:val="18"/>
                <w:szCs w:val="18"/>
                <w:highlight w:val="none"/>
                <w:lang w:bidi="ar"/>
              </w:rPr>
              <w:t>元/吨</w:t>
            </w:r>
          </w:p>
        </w:tc>
        <w:tc>
          <w:tcPr>
            <w:tcW w:w="9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9D7BA85">
            <w:pPr>
              <w:jc w:val="center"/>
              <w:rPr>
                <w:rFonts w:ascii="宋体" w:hAnsi="宋体" w:cs="宋体"/>
                <w:color w:val="auto"/>
                <w:sz w:val="18"/>
                <w:szCs w:val="18"/>
                <w:highlight w:val="none"/>
              </w:rPr>
            </w:pPr>
          </w:p>
        </w:tc>
        <w:tc>
          <w:tcPr>
            <w:tcW w:w="9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99C943">
            <w:pPr>
              <w:widowControl/>
              <w:jc w:val="center"/>
              <w:textAlignment w:val="center"/>
              <w:rPr>
                <w:rFonts w:ascii="宋体" w:hAnsi="宋体" w:cs="宋体"/>
                <w:b/>
                <w:color w:val="auto"/>
                <w:sz w:val="18"/>
                <w:szCs w:val="18"/>
                <w:highlight w:val="none"/>
              </w:rPr>
            </w:pPr>
          </w:p>
        </w:tc>
        <w:tc>
          <w:tcPr>
            <w:tcW w:w="1579" w:type="dxa"/>
            <w:tcBorders>
              <w:left w:val="single" w:color="000000" w:sz="4" w:space="0"/>
              <w:right w:val="single" w:color="000000" w:sz="4" w:space="0"/>
            </w:tcBorders>
            <w:tcMar>
              <w:top w:w="15" w:type="dxa"/>
              <w:left w:w="15" w:type="dxa"/>
              <w:right w:w="15" w:type="dxa"/>
            </w:tcMar>
            <w:vAlign w:val="center"/>
          </w:tcPr>
          <w:p w14:paraId="7942D32F">
            <w:pPr>
              <w:jc w:val="center"/>
              <w:rPr>
                <w:rFonts w:ascii="宋体" w:hAnsi="宋体" w:cs="宋体"/>
                <w:color w:val="auto"/>
                <w:szCs w:val="24"/>
                <w:highlight w:val="none"/>
              </w:rPr>
            </w:pPr>
          </w:p>
        </w:tc>
      </w:tr>
      <w:tr w14:paraId="5BB0092B">
        <w:tblPrEx>
          <w:tblCellMar>
            <w:top w:w="0" w:type="dxa"/>
            <w:left w:w="0" w:type="dxa"/>
            <w:bottom w:w="0" w:type="dxa"/>
            <w:right w:w="0" w:type="dxa"/>
          </w:tblCellMar>
        </w:tblPrEx>
        <w:trPr>
          <w:trHeight w:val="1150" w:hRule="atLeast"/>
        </w:trPr>
        <w:tc>
          <w:tcPr>
            <w:tcW w:w="8925" w:type="dxa"/>
            <w:gridSpan w:val="10"/>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14:paraId="3C430AA0">
            <w:pPr>
              <w:jc w:val="center"/>
              <w:rPr>
                <w:rFonts w:ascii="宋体" w:hAnsi="宋体" w:cs="宋体"/>
                <w:color w:val="auto"/>
                <w:sz w:val="18"/>
                <w:szCs w:val="18"/>
                <w:highlight w:val="none"/>
              </w:rPr>
            </w:pPr>
            <w:r>
              <w:rPr>
                <w:rFonts w:hint="eastAsia" w:ascii="宋体" w:hAnsi="宋体" w:cs="宋体"/>
                <w:color w:val="auto"/>
                <w:sz w:val="18"/>
                <w:szCs w:val="18"/>
                <w:highlight w:val="none"/>
              </w:rPr>
              <w:t>合计(大写）：</w:t>
            </w:r>
          </w:p>
        </w:tc>
        <w:tc>
          <w:tcPr>
            <w:tcW w:w="945" w:type="dxa"/>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14:paraId="65E0C929">
            <w:pPr>
              <w:widowControl/>
              <w:jc w:val="center"/>
              <w:textAlignment w:val="center"/>
              <w:rPr>
                <w:rFonts w:ascii="宋体" w:hAnsi="宋体" w:cs="宋体"/>
                <w:b/>
                <w:color w:val="auto"/>
                <w:sz w:val="18"/>
                <w:szCs w:val="18"/>
                <w:highlight w:val="none"/>
                <w:lang w:bidi="ar"/>
              </w:rPr>
            </w:pPr>
          </w:p>
        </w:tc>
        <w:tc>
          <w:tcPr>
            <w:tcW w:w="1579" w:type="dxa"/>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14:paraId="38EE2DC8">
            <w:pPr>
              <w:jc w:val="center"/>
              <w:rPr>
                <w:rFonts w:ascii="宋体" w:hAnsi="宋体" w:cs="宋体"/>
                <w:color w:val="auto"/>
                <w:szCs w:val="24"/>
                <w:highlight w:val="none"/>
              </w:rPr>
            </w:pPr>
          </w:p>
        </w:tc>
      </w:tr>
    </w:tbl>
    <w:p w14:paraId="1BEADACC">
      <w:pPr>
        <w:rPr>
          <w:rFonts w:ascii="宋体" w:hAnsi="宋体" w:cs="宋体"/>
          <w:b/>
          <w:color w:val="auto"/>
          <w:szCs w:val="21"/>
          <w:highlight w:val="none"/>
        </w:rPr>
      </w:pPr>
    </w:p>
    <w:p w14:paraId="3B4B98F6">
      <w:pPr>
        <w:rPr>
          <w:rFonts w:ascii="宋体" w:hAnsi="宋体" w:cs="宋体"/>
          <w:b/>
          <w:color w:val="auto"/>
          <w:szCs w:val="21"/>
          <w:highlight w:val="none"/>
        </w:rPr>
      </w:pPr>
    </w:p>
    <w:p w14:paraId="2120C9B8">
      <w:pPr>
        <w:rPr>
          <w:rFonts w:ascii="宋体" w:hAnsi="宋体" w:cs="宋体"/>
          <w:b/>
          <w:color w:val="auto"/>
          <w:szCs w:val="21"/>
          <w:highlight w:val="none"/>
        </w:rPr>
      </w:pPr>
      <w:r>
        <w:rPr>
          <w:rFonts w:hint="eastAsia" w:ascii="宋体" w:hAnsi="宋体" w:cs="宋体"/>
          <w:b/>
          <w:color w:val="auto"/>
          <w:szCs w:val="21"/>
          <w:highlight w:val="none"/>
        </w:rPr>
        <w:t>附件2：运输业务量确认审批表</w:t>
      </w:r>
    </w:p>
    <w:p w14:paraId="37442F80">
      <w:pPr>
        <w:rPr>
          <w:rFonts w:ascii="宋体" w:hAnsi="宋体" w:cs="宋体"/>
          <w:b/>
          <w:color w:val="auto"/>
          <w:szCs w:val="21"/>
          <w:highlight w:val="none"/>
        </w:rPr>
      </w:pPr>
    </w:p>
    <w:p w14:paraId="5DDCEAEA">
      <w:pPr>
        <w:rPr>
          <w:rFonts w:ascii="宋体" w:hAnsi="宋体" w:cs="宋体"/>
          <w:color w:val="auto"/>
          <w:szCs w:val="21"/>
          <w:highlight w:val="none"/>
        </w:rPr>
      </w:pPr>
      <w:r>
        <w:rPr>
          <w:rFonts w:hint="eastAsia" w:ascii="宋体" w:hAnsi="宋体" w:cs="宋体"/>
          <w:color w:val="auto"/>
          <w:szCs w:val="24"/>
          <w:highlight w:val="none"/>
        </w:rPr>
        <w:object>
          <v:shape id="_x0000_i1025" o:spt="75" type="#_x0000_t75" style="height:231pt;width:482.5pt;" o:ole="t" filled="f" o:preferrelative="t" stroked="f" coordsize="21600,21600">
            <v:path/>
            <v:fill on="f" focussize="0,0"/>
            <v:stroke on="f" joinstyle="miter"/>
            <v:imagedata r:id="rId7" o:title=""/>
            <o:lock v:ext="edit" aspectratio="t"/>
            <w10:wrap type="none"/>
            <w10:anchorlock/>
          </v:shape>
          <o:OLEObject Type="Embed" ProgID="Excel.Sheet.12" ShapeID="_x0000_i1025" DrawAspect="Content" ObjectID="_1468075725" r:id="rId6">
            <o:LockedField>false</o:LockedField>
          </o:OLEObject>
        </w:object>
      </w:r>
    </w:p>
    <w:p w14:paraId="7143D8CA">
      <w:pPr>
        <w:rPr>
          <w:rFonts w:ascii="宋体" w:hAnsi="宋体" w:cs="宋体"/>
          <w:color w:val="auto"/>
          <w:szCs w:val="21"/>
          <w:highlight w:val="none"/>
        </w:rPr>
      </w:pPr>
    </w:p>
    <w:p w14:paraId="6DCFD664">
      <w:pPr>
        <w:pStyle w:val="2"/>
        <w:ind w:left="0" w:leftChars="0" w:firstLine="0" w:firstLineChars="0"/>
        <w:rPr>
          <w:rFonts w:ascii="宋体" w:hAnsi="宋体" w:cs="宋体"/>
          <w:color w:val="auto"/>
          <w:szCs w:val="21"/>
          <w:highlight w:val="none"/>
        </w:rPr>
      </w:pPr>
    </w:p>
    <w:p w14:paraId="349F0FDA">
      <w:pPr>
        <w:pStyle w:val="2"/>
        <w:rPr>
          <w:rFonts w:ascii="宋体" w:hAnsi="宋体" w:cs="宋体"/>
          <w:color w:val="auto"/>
          <w:szCs w:val="21"/>
          <w:highlight w:val="none"/>
        </w:rPr>
      </w:pPr>
    </w:p>
    <w:p w14:paraId="6AB8431E">
      <w:pPr>
        <w:rPr>
          <w:rFonts w:ascii="宋体" w:hAnsi="宋体" w:cs="宋体"/>
          <w:color w:val="auto"/>
          <w:szCs w:val="21"/>
          <w:highlight w:val="none"/>
        </w:rPr>
      </w:pPr>
      <w:r>
        <w:rPr>
          <w:rFonts w:hint="eastAsia" w:ascii="宋体" w:hAnsi="宋体" w:cs="宋体"/>
          <w:b/>
          <w:color w:val="auto"/>
          <w:szCs w:val="24"/>
          <w:highlight w:val="none"/>
        </w:rPr>
        <w:t>附件3： 货物运输安健环协议</w:t>
      </w:r>
    </w:p>
    <w:p w14:paraId="5EEF8937">
      <w:pPr>
        <w:spacing w:line="400" w:lineRule="exact"/>
        <w:jc w:val="center"/>
        <w:rPr>
          <w:rFonts w:ascii="宋体" w:hAnsi="宋体" w:cs="宋体"/>
          <w:b/>
          <w:color w:val="auto"/>
          <w:szCs w:val="24"/>
          <w:highlight w:val="none"/>
        </w:rPr>
      </w:pPr>
    </w:p>
    <w:p w14:paraId="4D517ACC">
      <w:pPr>
        <w:spacing w:line="400" w:lineRule="exact"/>
        <w:jc w:val="center"/>
        <w:rPr>
          <w:rFonts w:ascii="宋体" w:hAnsi="宋体" w:cs="宋体"/>
          <w:b/>
          <w:color w:val="auto"/>
          <w:szCs w:val="24"/>
          <w:highlight w:val="none"/>
        </w:rPr>
      </w:pPr>
      <w:r>
        <w:rPr>
          <w:rFonts w:hint="eastAsia" w:ascii="宋体" w:hAnsi="宋体" w:cs="宋体"/>
          <w:b/>
          <w:color w:val="auto"/>
          <w:szCs w:val="24"/>
          <w:highlight w:val="none"/>
        </w:rPr>
        <w:t>货物运输安健环协议</w:t>
      </w:r>
    </w:p>
    <w:p w14:paraId="27D62872">
      <w:pPr>
        <w:spacing w:line="400" w:lineRule="exact"/>
        <w:rPr>
          <w:rFonts w:ascii="宋体" w:hAnsi="宋体" w:cs="宋体"/>
          <w:color w:val="auto"/>
          <w:szCs w:val="21"/>
          <w:highlight w:val="none"/>
        </w:rPr>
      </w:pPr>
      <w:r>
        <w:rPr>
          <w:rFonts w:hint="eastAsia" w:ascii="宋体" w:hAnsi="宋体" w:cs="宋体"/>
          <w:color w:val="auto"/>
          <w:szCs w:val="21"/>
          <w:highlight w:val="none"/>
        </w:rPr>
        <w:t>甲方：吐鲁番开能环保能源有限公司</w:t>
      </w:r>
    </w:p>
    <w:p w14:paraId="6C229C96">
      <w:pPr>
        <w:spacing w:line="400" w:lineRule="exact"/>
        <w:rPr>
          <w:rFonts w:ascii="宋体" w:hAnsi="宋体" w:cs="宋体"/>
          <w:color w:val="auto"/>
          <w:szCs w:val="21"/>
          <w:highlight w:val="none"/>
        </w:rPr>
      </w:pPr>
      <w:r>
        <w:rPr>
          <w:rFonts w:hint="eastAsia" w:ascii="宋体" w:hAnsi="宋体" w:cs="宋体"/>
          <w:color w:val="auto"/>
          <w:szCs w:val="21"/>
          <w:highlight w:val="none"/>
        </w:rPr>
        <w:t>乙方：</w:t>
      </w:r>
    </w:p>
    <w:p w14:paraId="66C1B9AA">
      <w:pPr>
        <w:spacing w:line="400" w:lineRule="exact"/>
        <w:rPr>
          <w:rFonts w:ascii="宋体" w:hAnsi="宋体" w:cs="宋体"/>
          <w:color w:val="auto"/>
          <w:szCs w:val="21"/>
          <w:highlight w:val="none"/>
        </w:rPr>
      </w:pPr>
    </w:p>
    <w:p w14:paraId="759FFB52">
      <w:pPr>
        <w:spacing w:line="400" w:lineRule="exact"/>
        <w:ind w:firstLine="420" w:firstLineChars="200"/>
        <w:rPr>
          <w:rFonts w:ascii="宋体" w:hAnsi="宋体" w:cs="宋体"/>
          <w:color w:val="auto"/>
          <w:szCs w:val="21"/>
          <w:highlight w:val="none"/>
        </w:rPr>
      </w:pPr>
      <w:r>
        <w:rPr>
          <w:rFonts w:hint="eastAsia" w:ascii="宋体" w:hAnsi="宋体" w:cs="宋体"/>
          <w:color w:val="auto"/>
          <w:szCs w:val="21"/>
          <w:highlight w:val="none"/>
        </w:rPr>
        <w:t>为保证各项运输作业顺利进行，减少和杜绝运输违章、安全事故，加强现场安全文明管理，凡进入现场的司机及服务人员必须执行下列安全管理要求：</w:t>
      </w:r>
    </w:p>
    <w:p w14:paraId="772C1ECE">
      <w:pPr>
        <w:spacing w:line="400" w:lineRule="exact"/>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rPr>
        <w:tab/>
      </w:r>
      <w:r>
        <w:rPr>
          <w:rFonts w:hint="eastAsia" w:ascii="宋体" w:hAnsi="宋体" w:cs="宋体"/>
          <w:color w:val="auto"/>
          <w:szCs w:val="21"/>
          <w:highlight w:val="none"/>
        </w:rPr>
        <w:t>乙方应建立安全管理体系、安全管理组织机构，明确项目负责人，配有专职安全员建立安全管理网络，专职安全人员的数量应按项目总人员数的3%配备，为其雇佣的从业人员提供安全法规知识、安全规章制度、安全操作规程和安全操作技能教育和培训。</w:t>
      </w:r>
    </w:p>
    <w:p w14:paraId="6A2969F8">
      <w:pPr>
        <w:spacing w:line="400" w:lineRule="exact"/>
        <w:rPr>
          <w:rFonts w:ascii="宋体" w:hAnsi="宋体" w:cs="宋体"/>
          <w:color w:val="auto"/>
          <w:szCs w:val="21"/>
          <w:highlight w:val="none"/>
        </w:rPr>
      </w:pPr>
      <w:r>
        <w:rPr>
          <w:rFonts w:hint="eastAsia" w:ascii="宋体" w:hAnsi="宋体" w:cs="宋体"/>
          <w:color w:val="auto"/>
          <w:szCs w:val="21"/>
          <w:highlight w:val="none"/>
        </w:rPr>
        <w:t>2、乙方应当接受甲方的安全管理监督，遵守甲方的安全规章制度，并按时参加甲方组织的安全会议。</w:t>
      </w:r>
    </w:p>
    <w:p w14:paraId="3EFE35C1">
      <w:pPr>
        <w:spacing w:line="400" w:lineRule="exact"/>
        <w:rPr>
          <w:rFonts w:ascii="宋体" w:hAnsi="宋体" w:cs="宋体"/>
          <w:color w:val="auto"/>
          <w:szCs w:val="21"/>
          <w:highlight w:val="none"/>
        </w:rPr>
      </w:pPr>
      <w:r>
        <w:rPr>
          <w:rFonts w:hint="eastAsia" w:ascii="宋体" w:hAnsi="宋体" w:cs="宋体"/>
          <w:color w:val="auto"/>
          <w:szCs w:val="21"/>
          <w:highlight w:val="none"/>
        </w:rPr>
        <w:t>3、一般安全管理规定</w:t>
      </w:r>
    </w:p>
    <w:p w14:paraId="1F0207A8">
      <w:pPr>
        <w:spacing w:line="400" w:lineRule="exact"/>
        <w:rPr>
          <w:rFonts w:ascii="宋体" w:hAnsi="宋体" w:cs="宋体"/>
          <w:color w:val="auto"/>
          <w:szCs w:val="21"/>
          <w:highlight w:val="none"/>
        </w:rPr>
      </w:pPr>
      <w:r>
        <w:rPr>
          <w:rFonts w:hint="eastAsia" w:ascii="宋体" w:hAnsi="宋体" w:cs="宋体"/>
          <w:color w:val="auto"/>
          <w:szCs w:val="21"/>
          <w:highlight w:val="none"/>
        </w:rPr>
        <w:t>3.1、设备材料运输必须由安全、质量、技术等方面均符合规定要求的车辆(船)运输，应做好每趟次运输安全管理工作，乙方驾驶员应当驾驶与其从业资格类别相符的车辆(船舶)，驾驶货运车辆时，应当随身携带从业资格证。</w:t>
      </w:r>
    </w:p>
    <w:p w14:paraId="00BC60E4">
      <w:pPr>
        <w:spacing w:line="400" w:lineRule="exact"/>
        <w:rPr>
          <w:rFonts w:ascii="宋体" w:hAnsi="宋体" w:cs="宋体"/>
          <w:color w:val="auto"/>
          <w:szCs w:val="21"/>
          <w:highlight w:val="none"/>
        </w:rPr>
      </w:pPr>
      <w:r>
        <w:rPr>
          <w:rFonts w:hint="eastAsia" w:ascii="宋体" w:hAnsi="宋体" w:cs="宋体"/>
          <w:color w:val="auto"/>
          <w:szCs w:val="21"/>
          <w:highlight w:val="none"/>
        </w:rPr>
        <w:t>3.2、设备材料运输全过程的安全由乙方负责。承运设备、材料过程中，一旦出险，在尽力抢救使设备损失降到最低限度的前提下，应及时通知吐鲁番开能环保能源有限公司、保险公司及相关单位。</w:t>
      </w:r>
    </w:p>
    <w:p w14:paraId="1B42692E">
      <w:pPr>
        <w:spacing w:line="400" w:lineRule="exact"/>
        <w:rPr>
          <w:rFonts w:ascii="宋体" w:hAnsi="宋体" w:cs="宋体"/>
          <w:color w:val="auto"/>
          <w:szCs w:val="21"/>
          <w:highlight w:val="none"/>
        </w:rPr>
      </w:pPr>
      <w:r>
        <w:rPr>
          <w:rFonts w:hint="eastAsia" w:ascii="宋体" w:hAnsi="宋体" w:cs="宋体"/>
          <w:color w:val="auto"/>
          <w:szCs w:val="21"/>
          <w:highlight w:val="none"/>
        </w:rPr>
        <w:t>3.3乙方应当按照国家有关规定在其重型货运车辆配置通信、应急救援物资,驾驶人员不得疲劳驾驶。</w:t>
      </w:r>
    </w:p>
    <w:p w14:paraId="14E737F5">
      <w:pPr>
        <w:spacing w:line="400" w:lineRule="exact"/>
        <w:rPr>
          <w:rFonts w:ascii="宋体" w:hAnsi="宋体" w:cs="宋体"/>
          <w:color w:val="auto"/>
          <w:szCs w:val="21"/>
          <w:highlight w:val="none"/>
        </w:rPr>
      </w:pPr>
      <w:r>
        <w:rPr>
          <w:rFonts w:hint="eastAsia" w:ascii="宋体" w:hAnsi="宋体" w:cs="宋体"/>
          <w:color w:val="auto"/>
          <w:szCs w:val="21"/>
          <w:highlight w:val="none"/>
        </w:rPr>
        <w:t>3.5、乙方在实施运输过程中，应始终保证设备、材料在装货到车板时双方确认的数量和质量的完整性。</w:t>
      </w:r>
    </w:p>
    <w:p w14:paraId="556EACA5">
      <w:pPr>
        <w:spacing w:line="400" w:lineRule="exact"/>
        <w:rPr>
          <w:rFonts w:ascii="宋体" w:hAnsi="宋体" w:cs="宋体"/>
          <w:color w:val="auto"/>
          <w:szCs w:val="21"/>
          <w:highlight w:val="none"/>
        </w:rPr>
      </w:pPr>
      <w:r>
        <w:rPr>
          <w:rFonts w:hint="eastAsia" w:ascii="宋体" w:hAnsi="宋体" w:cs="宋体"/>
          <w:color w:val="auto"/>
          <w:szCs w:val="21"/>
          <w:highlight w:val="none"/>
        </w:rPr>
        <w:t>3.6、乙方在实施运输过程中应严格遵守国家的各项法律法规，否则，由此造成的一切损失由乙运方承担。</w:t>
      </w:r>
    </w:p>
    <w:p w14:paraId="6FC83AEC">
      <w:pPr>
        <w:spacing w:line="400" w:lineRule="exact"/>
        <w:rPr>
          <w:rFonts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rPr>
        <w:tab/>
      </w:r>
      <w:r>
        <w:rPr>
          <w:rFonts w:hint="eastAsia" w:ascii="宋体" w:hAnsi="宋体" w:cs="宋体"/>
          <w:color w:val="auto"/>
          <w:szCs w:val="21"/>
          <w:highlight w:val="none"/>
        </w:rPr>
        <w:t>装车（装船）、绑扎及场内行驶</w:t>
      </w:r>
    </w:p>
    <w:p w14:paraId="18BD6674">
      <w:pPr>
        <w:spacing w:line="400" w:lineRule="exact"/>
        <w:rPr>
          <w:rFonts w:ascii="宋体" w:hAnsi="宋体" w:cs="宋体"/>
          <w:color w:val="auto"/>
          <w:szCs w:val="21"/>
          <w:highlight w:val="none"/>
        </w:rPr>
      </w:pPr>
      <w:r>
        <w:rPr>
          <w:rFonts w:hint="eastAsia" w:ascii="宋体" w:hAnsi="宋体" w:cs="宋体"/>
          <w:color w:val="auto"/>
          <w:szCs w:val="21"/>
          <w:highlight w:val="none"/>
        </w:rPr>
        <w:t>4.1、装货和卸货过程，作业区域及周围，不得有非作业人员经过和停留。</w:t>
      </w:r>
    </w:p>
    <w:p w14:paraId="1C002D10">
      <w:pPr>
        <w:spacing w:line="400" w:lineRule="exact"/>
        <w:rPr>
          <w:rFonts w:ascii="宋体" w:hAnsi="宋体" w:cs="宋体"/>
          <w:color w:val="auto"/>
          <w:szCs w:val="21"/>
          <w:highlight w:val="none"/>
        </w:rPr>
      </w:pPr>
      <w:r>
        <w:rPr>
          <w:rFonts w:hint="eastAsia" w:ascii="宋体" w:hAnsi="宋体" w:cs="宋体"/>
          <w:color w:val="auto"/>
          <w:szCs w:val="21"/>
          <w:highlight w:val="none"/>
        </w:rPr>
        <w:t>4.2、装运物件长度超过后栏板时，不得遮挡号牌、转向灯、尾灯和制动灯。</w:t>
      </w:r>
    </w:p>
    <w:p w14:paraId="26566D32">
      <w:pPr>
        <w:spacing w:line="400" w:lineRule="exact"/>
        <w:rPr>
          <w:rFonts w:ascii="宋体" w:hAnsi="宋体" w:cs="宋体"/>
          <w:color w:val="auto"/>
          <w:szCs w:val="21"/>
          <w:highlight w:val="none"/>
        </w:rPr>
      </w:pPr>
      <w:r>
        <w:rPr>
          <w:rFonts w:hint="eastAsia" w:ascii="宋体" w:hAnsi="宋体" w:cs="宋体"/>
          <w:color w:val="auto"/>
          <w:szCs w:val="21"/>
          <w:highlight w:val="none"/>
        </w:rPr>
        <w:t>4.3、易滚动的物件沿其滚动方向用楔子垫牢。</w:t>
      </w:r>
    </w:p>
    <w:p w14:paraId="2FA3DA46">
      <w:pPr>
        <w:spacing w:line="400" w:lineRule="exact"/>
        <w:rPr>
          <w:rFonts w:ascii="宋体" w:hAnsi="宋体" w:cs="宋体"/>
          <w:color w:val="auto"/>
          <w:szCs w:val="21"/>
          <w:highlight w:val="none"/>
        </w:rPr>
      </w:pPr>
      <w:r>
        <w:rPr>
          <w:rFonts w:hint="eastAsia" w:ascii="宋体" w:hAnsi="宋体" w:cs="宋体"/>
          <w:color w:val="auto"/>
          <w:szCs w:val="21"/>
          <w:highlight w:val="none"/>
        </w:rPr>
        <w:t>4.4、装运物件应垫稳、绑扎牢固，不得超载。</w:t>
      </w:r>
    </w:p>
    <w:p w14:paraId="256F5772">
      <w:pPr>
        <w:spacing w:line="400" w:lineRule="exact"/>
        <w:rPr>
          <w:rFonts w:ascii="宋体" w:hAnsi="宋体" w:cs="宋体"/>
          <w:color w:val="auto"/>
          <w:szCs w:val="21"/>
          <w:highlight w:val="none"/>
        </w:rPr>
      </w:pPr>
      <w:r>
        <w:rPr>
          <w:rFonts w:hint="eastAsia" w:ascii="宋体" w:hAnsi="宋体" w:cs="宋体"/>
          <w:color w:val="auto"/>
          <w:szCs w:val="21"/>
          <w:highlight w:val="none"/>
        </w:rPr>
        <w:t>4.5、对未超出车厢/平板长度的物件绑扎至少2度；超出车厢/平板的物件至少绑扎3度；对超高、超宽容易晃动的物件，交叉绑扎。绑扎绳用钢丝绳或者专用绑扎带，但都应用链条葫芦或专用绑扎带收紧。</w:t>
      </w:r>
    </w:p>
    <w:p w14:paraId="72099D39">
      <w:pPr>
        <w:spacing w:line="400" w:lineRule="exact"/>
        <w:rPr>
          <w:rFonts w:ascii="宋体" w:hAnsi="宋体" w:cs="宋体"/>
          <w:color w:val="auto"/>
          <w:szCs w:val="21"/>
          <w:highlight w:val="none"/>
        </w:rPr>
      </w:pPr>
      <w:r>
        <w:rPr>
          <w:rFonts w:hint="eastAsia" w:ascii="宋体" w:hAnsi="宋体" w:cs="宋体"/>
          <w:color w:val="auto"/>
          <w:szCs w:val="21"/>
          <w:highlight w:val="none"/>
        </w:rPr>
        <w:t>4.6、所有绑扎工具必须合格有效，不得使用不合格索具。</w:t>
      </w:r>
    </w:p>
    <w:p w14:paraId="5325521B">
      <w:pPr>
        <w:spacing w:line="400" w:lineRule="exact"/>
        <w:rPr>
          <w:rFonts w:ascii="宋体" w:hAnsi="宋体" w:cs="宋体"/>
          <w:color w:val="auto"/>
          <w:szCs w:val="21"/>
          <w:highlight w:val="none"/>
        </w:rPr>
      </w:pPr>
      <w:r>
        <w:rPr>
          <w:rFonts w:hint="eastAsia" w:ascii="宋体" w:hAnsi="宋体" w:cs="宋体"/>
          <w:color w:val="auto"/>
          <w:szCs w:val="21"/>
          <w:highlight w:val="none"/>
        </w:rPr>
        <w:t>4.7、绑扎加固过程中，要充分考虑长途运输加固钢绳与设备摩擦而造成的设备磨损事宜，做好足够的防磨措施。</w:t>
      </w:r>
    </w:p>
    <w:p w14:paraId="02A5B4D4">
      <w:pPr>
        <w:spacing w:line="400" w:lineRule="exact"/>
        <w:rPr>
          <w:rFonts w:ascii="宋体" w:hAnsi="宋体" w:cs="宋体"/>
          <w:color w:val="auto"/>
          <w:szCs w:val="21"/>
          <w:highlight w:val="none"/>
        </w:rPr>
      </w:pPr>
      <w:r>
        <w:rPr>
          <w:rFonts w:hint="eastAsia" w:ascii="宋体" w:hAnsi="宋体" w:cs="宋体"/>
          <w:color w:val="auto"/>
          <w:szCs w:val="21"/>
          <w:highlight w:val="none"/>
        </w:rPr>
        <w:t>4.8、运输超长物件时，应设置超长架，超长架固定在车厢上，物件与超长架及车厢应捆绑牢固。</w:t>
      </w:r>
    </w:p>
    <w:p w14:paraId="3DFC9FAD">
      <w:pPr>
        <w:spacing w:line="400" w:lineRule="exact"/>
        <w:rPr>
          <w:rFonts w:ascii="宋体" w:hAnsi="宋体" w:cs="宋体"/>
          <w:color w:val="auto"/>
          <w:szCs w:val="21"/>
          <w:highlight w:val="none"/>
        </w:rPr>
      </w:pPr>
      <w:r>
        <w:rPr>
          <w:rFonts w:hint="eastAsia" w:ascii="宋体" w:hAnsi="宋体" w:cs="宋体"/>
          <w:color w:val="auto"/>
          <w:szCs w:val="21"/>
          <w:highlight w:val="none"/>
        </w:rPr>
        <w:t>4.9、进入现场的车辆必须停靠在指定位置，不得乱停乱放；未到达卸货地点前不得解除任何绑扎、固定物。</w:t>
      </w:r>
    </w:p>
    <w:p w14:paraId="4F9C5E49">
      <w:pPr>
        <w:spacing w:line="400" w:lineRule="exact"/>
        <w:rPr>
          <w:rFonts w:ascii="宋体" w:hAnsi="宋体" w:cs="宋体"/>
          <w:color w:val="auto"/>
          <w:szCs w:val="21"/>
          <w:highlight w:val="none"/>
        </w:rPr>
      </w:pPr>
      <w:r>
        <w:rPr>
          <w:rFonts w:hint="eastAsia" w:ascii="宋体" w:hAnsi="宋体" w:cs="宋体"/>
          <w:color w:val="auto"/>
          <w:szCs w:val="21"/>
          <w:highlight w:val="none"/>
        </w:rPr>
        <w:t>4.10、运输车辆在现场内行驶时，应根据现场限速标志执行。没有限速标志的，一般来说主干道速度不得超过30km/h，其他道路不得超过20km/h</w:t>
      </w:r>
    </w:p>
    <w:p w14:paraId="26F4C970">
      <w:pPr>
        <w:spacing w:line="400" w:lineRule="exact"/>
        <w:rPr>
          <w:rFonts w:ascii="宋体" w:hAnsi="宋体" w:cs="宋体"/>
          <w:color w:val="auto"/>
          <w:szCs w:val="21"/>
          <w:highlight w:val="none"/>
        </w:rPr>
      </w:pPr>
      <w:r>
        <w:rPr>
          <w:rFonts w:hint="eastAsia" w:ascii="宋体" w:hAnsi="宋体" w:cs="宋体"/>
          <w:color w:val="auto"/>
          <w:szCs w:val="21"/>
          <w:highlight w:val="none"/>
        </w:rPr>
        <w:t>4.11、卸货时物项供方需对货物表面垃圾、随车废物、绑扎物、包装物清理干净，并随车带走；</w:t>
      </w:r>
    </w:p>
    <w:p w14:paraId="19E448AA">
      <w:pPr>
        <w:spacing w:line="400" w:lineRule="exact"/>
        <w:rPr>
          <w:rFonts w:ascii="宋体" w:hAnsi="宋体" w:cs="宋体"/>
          <w:color w:val="auto"/>
          <w:szCs w:val="21"/>
          <w:highlight w:val="none"/>
        </w:rPr>
      </w:pPr>
      <w:r>
        <w:rPr>
          <w:rFonts w:hint="eastAsia" w:ascii="宋体" w:hAnsi="宋体" w:cs="宋体"/>
          <w:color w:val="auto"/>
          <w:szCs w:val="21"/>
          <w:highlight w:val="none"/>
        </w:rPr>
        <w:t>5、</w:t>
      </w:r>
      <w:r>
        <w:rPr>
          <w:rFonts w:hint="eastAsia" w:ascii="宋体" w:hAnsi="宋体" w:cs="宋体"/>
          <w:color w:val="auto"/>
          <w:szCs w:val="21"/>
          <w:highlight w:val="none"/>
        </w:rPr>
        <w:tab/>
      </w:r>
      <w:r>
        <w:rPr>
          <w:rFonts w:hint="eastAsia" w:ascii="宋体" w:hAnsi="宋体" w:cs="宋体"/>
          <w:color w:val="auto"/>
          <w:szCs w:val="21"/>
          <w:highlight w:val="none"/>
        </w:rPr>
        <w:t>人员进入现场安全管理规定</w:t>
      </w:r>
    </w:p>
    <w:p w14:paraId="28C5A96D">
      <w:pPr>
        <w:spacing w:line="400" w:lineRule="exact"/>
        <w:rPr>
          <w:rFonts w:ascii="宋体" w:hAnsi="宋体" w:cs="宋体"/>
          <w:color w:val="auto"/>
          <w:szCs w:val="21"/>
          <w:highlight w:val="none"/>
        </w:rPr>
      </w:pPr>
      <w:r>
        <w:rPr>
          <w:rFonts w:hint="eastAsia" w:ascii="宋体" w:hAnsi="宋体" w:cs="宋体"/>
          <w:color w:val="auto"/>
          <w:szCs w:val="21"/>
          <w:highlight w:val="none"/>
        </w:rPr>
        <w:t>5.1、服务人员（送货司机及厂家代表）必须遵守现场安全管理制度。</w:t>
      </w:r>
    </w:p>
    <w:p w14:paraId="42DA0D6E">
      <w:pPr>
        <w:spacing w:line="400" w:lineRule="exact"/>
        <w:rPr>
          <w:rFonts w:ascii="宋体" w:hAnsi="宋体" w:cs="宋体"/>
          <w:color w:val="auto"/>
          <w:szCs w:val="21"/>
          <w:highlight w:val="none"/>
        </w:rPr>
      </w:pPr>
      <w:r>
        <w:rPr>
          <w:rFonts w:hint="eastAsia" w:ascii="宋体" w:hAnsi="宋体" w:cs="宋体"/>
          <w:color w:val="auto"/>
          <w:szCs w:val="21"/>
          <w:highlight w:val="none"/>
        </w:rPr>
        <w:t>5.2、进入工地堆场及库区、施工现场服务人员必须穿工作服、工作鞋，不准穿背心、短裤、裙子、拖鞋、凉鞋、高跟鞋。</w:t>
      </w:r>
    </w:p>
    <w:p w14:paraId="0C165C66">
      <w:pPr>
        <w:spacing w:line="400" w:lineRule="exact"/>
        <w:rPr>
          <w:rFonts w:ascii="宋体" w:hAnsi="宋体" w:cs="宋体"/>
          <w:color w:val="auto"/>
          <w:szCs w:val="21"/>
          <w:highlight w:val="none"/>
        </w:rPr>
      </w:pPr>
      <w:r>
        <w:rPr>
          <w:rFonts w:hint="eastAsia" w:ascii="宋体" w:hAnsi="宋体" w:cs="宋体"/>
          <w:color w:val="auto"/>
          <w:szCs w:val="21"/>
          <w:highlight w:val="none"/>
        </w:rPr>
        <w:t>5.3、进入堆场及库区、施工现场服务人员必须带好安全帽，作业中不准将安全帽取下、垫坐。</w:t>
      </w:r>
    </w:p>
    <w:p w14:paraId="71C02359">
      <w:pPr>
        <w:spacing w:line="400" w:lineRule="exact"/>
        <w:rPr>
          <w:rFonts w:ascii="宋体" w:hAnsi="宋体" w:cs="宋体"/>
          <w:color w:val="auto"/>
          <w:szCs w:val="21"/>
          <w:highlight w:val="none"/>
        </w:rPr>
      </w:pPr>
      <w:r>
        <w:rPr>
          <w:rFonts w:hint="eastAsia" w:ascii="宋体" w:hAnsi="宋体" w:cs="宋体"/>
          <w:color w:val="auto"/>
          <w:szCs w:val="21"/>
          <w:highlight w:val="none"/>
        </w:rPr>
        <w:t>5.4、进入高出作业区现场服务人员必须佩戴安全带，作业中必须将安全带扣挂在腰部以上牢固可靠处，不准将安全带作为它用。</w:t>
      </w:r>
    </w:p>
    <w:p w14:paraId="6491780B">
      <w:pPr>
        <w:spacing w:line="400" w:lineRule="exact"/>
        <w:rPr>
          <w:rFonts w:ascii="宋体" w:hAnsi="宋体" w:cs="宋体"/>
          <w:color w:val="auto"/>
          <w:szCs w:val="21"/>
          <w:highlight w:val="none"/>
        </w:rPr>
      </w:pPr>
      <w:r>
        <w:rPr>
          <w:rFonts w:hint="eastAsia" w:ascii="宋体" w:hAnsi="宋体" w:cs="宋体"/>
          <w:color w:val="auto"/>
          <w:szCs w:val="21"/>
          <w:highlight w:val="none"/>
        </w:rPr>
        <w:t>5.5、进入施工现场，必须严格遵守劳动纪律，保持现场的文明与卫生，不准戏耍、打闹、睡觉，不准乱丢垃圾，不准随地便溺。</w:t>
      </w:r>
    </w:p>
    <w:p w14:paraId="1B140CEC">
      <w:pPr>
        <w:spacing w:line="400" w:lineRule="exact"/>
        <w:rPr>
          <w:rFonts w:ascii="宋体" w:hAnsi="宋体" w:cs="宋体"/>
          <w:color w:val="auto"/>
          <w:szCs w:val="21"/>
          <w:highlight w:val="none"/>
        </w:rPr>
      </w:pPr>
      <w:r>
        <w:rPr>
          <w:rFonts w:hint="eastAsia" w:ascii="宋体" w:hAnsi="宋体" w:cs="宋体"/>
          <w:color w:val="auto"/>
          <w:szCs w:val="21"/>
          <w:highlight w:val="none"/>
        </w:rPr>
        <w:t>5.6、行走时必须走安全通道，必须遵守限速要求，不准超速行驶。</w:t>
      </w:r>
    </w:p>
    <w:p w14:paraId="20223257">
      <w:pPr>
        <w:spacing w:line="400" w:lineRule="exact"/>
        <w:rPr>
          <w:rFonts w:ascii="宋体" w:hAnsi="宋体" w:cs="宋体"/>
          <w:color w:val="auto"/>
          <w:szCs w:val="21"/>
          <w:highlight w:val="none"/>
        </w:rPr>
      </w:pPr>
      <w:r>
        <w:rPr>
          <w:rFonts w:hint="eastAsia" w:ascii="宋体" w:hAnsi="宋体" w:cs="宋体"/>
          <w:color w:val="auto"/>
          <w:szCs w:val="21"/>
          <w:highlight w:val="none"/>
        </w:rPr>
        <w:t>5.7、进入施工现场必须爱护安全设施，不准乱动、乱拆、破坏安全设施。</w:t>
      </w:r>
    </w:p>
    <w:p w14:paraId="29C628A2">
      <w:pPr>
        <w:spacing w:line="400" w:lineRule="exact"/>
        <w:rPr>
          <w:rFonts w:ascii="宋体" w:hAnsi="宋体" w:cs="宋体"/>
          <w:color w:val="auto"/>
          <w:szCs w:val="21"/>
          <w:highlight w:val="none"/>
        </w:rPr>
      </w:pPr>
      <w:r>
        <w:rPr>
          <w:rFonts w:hint="eastAsia" w:ascii="宋体" w:hAnsi="宋体" w:cs="宋体"/>
          <w:color w:val="auto"/>
          <w:szCs w:val="21"/>
          <w:highlight w:val="none"/>
        </w:rPr>
        <w:t>5.8、进入堆场及库区、施工现场服务人员严禁流动吸烟，严禁在库区、燃料区域、易燃易爆区域吸烟。</w:t>
      </w:r>
    </w:p>
    <w:p w14:paraId="0CCFCAF6">
      <w:pPr>
        <w:spacing w:line="400" w:lineRule="exact"/>
        <w:rPr>
          <w:rFonts w:ascii="宋体" w:hAnsi="宋体" w:cs="宋体"/>
          <w:color w:val="auto"/>
          <w:szCs w:val="21"/>
          <w:highlight w:val="none"/>
        </w:rPr>
      </w:pPr>
      <w:r>
        <w:rPr>
          <w:rFonts w:hint="eastAsia" w:ascii="宋体" w:hAnsi="宋体" w:cs="宋体"/>
          <w:color w:val="auto"/>
          <w:szCs w:val="21"/>
          <w:highlight w:val="none"/>
        </w:rPr>
        <w:t>6、</w:t>
      </w:r>
      <w:r>
        <w:rPr>
          <w:rFonts w:hint="eastAsia" w:ascii="宋体" w:hAnsi="宋体" w:cs="宋体"/>
          <w:color w:val="auto"/>
          <w:szCs w:val="21"/>
          <w:highlight w:val="none"/>
        </w:rPr>
        <w:tab/>
      </w:r>
      <w:r>
        <w:rPr>
          <w:rFonts w:hint="eastAsia" w:ascii="宋体" w:hAnsi="宋体" w:cs="宋体"/>
          <w:color w:val="auto"/>
          <w:szCs w:val="21"/>
          <w:highlight w:val="none"/>
        </w:rPr>
        <w:t>罚则</w:t>
      </w:r>
    </w:p>
    <w:p w14:paraId="6CCC9925">
      <w:pPr>
        <w:spacing w:line="400" w:lineRule="exact"/>
        <w:rPr>
          <w:rFonts w:ascii="宋体" w:hAnsi="宋体" w:cs="宋体"/>
          <w:color w:val="auto"/>
          <w:szCs w:val="21"/>
          <w:highlight w:val="none"/>
        </w:rPr>
      </w:pPr>
      <w:r>
        <w:rPr>
          <w:rFonts w:hint="eastAsia" w:ascii="宋体" w:hAnsi="宋体" w:cs="宋体"/>
          <w:color w:val="auto"/>
          <w:szCs w:val="21"/>
          <w:highlight w:val="none"/>
        </w:rPr>
        <w:t>6.1.设备材料运输及服务人员应严格遵守以上安全管理规定，如因乙方违反以上规定造成甲方受到业主或施工现场等处罚，一切责任（罚款等）均由乙方承担，甲方有权中止合同及更换运输商。</w:t>
      </w:r>
    </w:p>
    <w:p w14:paraId="07C070B5">
      <w:pPr>
        <w:spacing w:line="400" w:lineRule="exact"/>
        <w:rPr>
          <w:rFonts w:ascii="宋体" w:hAnsi="宋体" w:cs="宋体"/>
          <w:color w:val="auto"/>
          <w:szCs w:val="21"/>
          <w:highlight w:val="none"/>
        </w:rPr>
      </w:pPr>
    </w:p>
    <w:p w14:paraId="7A219A98">
      <w:pPr>
        <w:spacing w:line="400" w:lineRule="exact"/>
        <w:rPr>
          <w:rFonts w:ascii="宋体" w:hAnsi="宋体" w:cs="宋体"/>
          <w:color w:val="auto"/>
          <w:szCs w:val="21"/>
          <w:highlight w:val="none"/>
        </w:rPr>
      </w:pPr>
      <w:r>
        <w:rPr>
          <w:rFonts w:hint="eastAsia" w:ascii="宋体" w:hAnsi="宋体" w:cs="宋体"/>
          <w:color w:val="auto"/>
          <w:szCs w:val="21"/>
          <w:highlight w:val="none"/>
        </w:rPr>
        <w:t>甲方：吐鲁番开能环保能源有限公司          乙方：</w:t>
      </w:r>
    </w:p>
    <w:p w14:paraId="3B272F50">
      <w:pPr>
        <w:spacing w:line="400" w:lineRule="exact"/>
        <w:rPr>
          <w:rFonts w:ascii="宋体" w:hAnsi="宋体" w:cs="宋体"/>
          <w:color w:val="auto"/>
          <w:highlight w:val="none"/>
        </w:rPr>
      </w:pPr>
      <w:r>
        <w:rPr>
          <w:rFonts w:hint="eastAsia" w:ascii="宋体" w:hAnsi="宋体" w:cs="宋体"/>
          <w:color w:val="auto"/>
          <w:szCs w:val="21"/>
          <w:highlight w:val="none"/>
        </w:rPr>
        <w:t>盖章：                                    盖章：</w:t>
      </w:r>
    </w:p>
    <w:p w14:paraId="1F26C685">
      <w:pPr>
        <w:rPr>
          <w:rFonts w:ascii="宋体" w:hAnsi="宋体" w:cs="宋体"/>
          <w:color w:val="auto"/>
          <w:highlight w:val="none"/>
        </w:rPr>
      </w:pPr>
    </w:p>
    <w:p w14:paraId="1832BB4A">
      <w:pPr>
        <w:rPr>
          <w:rFonts w:ascii="宋体" w:hAnsi="宋体" w:cs="宋体"/>
          <w:color w:val="auto"/>
          <w:highlight w:val="none"/>
        </w:rPr>
      </w:pPr>
    </w:p>
    <w:p w14:paraId="60F7FF64">
      <w:pPr>
        <w:rPr>
          <w:rFonts w:ascii="宋体" w:hAnsi="宋体" w:cs="宋体"/>
          <w:color w:val="auto"/>
          <w:highlight w:val="none"/>
        </w:rPr>
      </w:pPr>
    </w:p>
    <w:p w14:paraId="746F49DD">
      <w:pPr>
        <w:rPr>
          <w:rFonts w:ascii="宋体" w:hAnsi="宋体" w:cs="宋体"/>
          <w:color w:val="auto"/>
          <w:szCs w:val="21"/>
          <w:highlight w:val="none"/>
        </w:rPr>
      </w:pPr>
      <w:r>
        <w:rPr>
          <w:rFonts w:hint="eastAsia" w:ascii="宋体" w:hAnsi="宋体" w:cs="宋体"/>
          <w:b/>
          <w:color w:val="auto"/>
          <w:szCs w:val="24"/>
          <w:highlight w:val="none"/>
        </w:rPr>
        <w:t>附件4： 阳光合作协议</w:t>
      </w:r>
    </w:p>
    <w:p w14:paraId="6EE39C36">
      <w:pPr>
        <w:rPr>
          <w:rFonts w:ascii="宋体" w:hAnsi="宋体" w:cs="宋体"/>
          <w:color w:val="auto"/>
          <w:highlight w:val="none"/>
        </w:rPr>
      </w:pPr>
    </w:p>
    <w:p w14:paraId="03655C67">
      <w:pPr>
        <w:jc w:val="center"/>
        <w:rPr>
          <w:rFonts w:ascii="宋体" w:hAnsi="宋体" w:cs="宋体"/>
          <w:b/>
          <w:bCs/>
          <w:color w:val="auto"/>
          <w:sz w:val="32"/>
          <w:szCs w:val="32"/>
          <w:highlight w:val="none"/>
        </w:rPr>
      </w:pPr>
    </w:p>
    <w:p w14:paraId="0C5C45B5">
      <w:pPr>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阳光合作协议</w:t>
      </w:r>
    </w:p>
    <w:p w14:paraId="11D1DB9C">
      <w:pPr>
        <w:jc w:val="center"/>
        <w:rPr>
          <w:rFonts w:ascii="宋体" w:hAnsi="宋体" w:cs="宋体"/>
          <w:b/>
          <w:bCs/>
          <w:color w:val="auto"/>
          <w:sz w:val="32"/>
          <w:szCs w:val="32"/>
          <w:highlight w:val="none"/>
        </w:rPr>
      </w:pPr>
    </w:p>
    <w:p w14:paraId="199F37A9">
      <w:pPr>
        <w:spacing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rPr>
        <w:t>甲方（全称）：</w:t>
      </w:r>
      <w:r>
        <w:rPr>
          <w:rFonts w:hint="eastAsia" w:ascii="宋体" w:hAnsi="宋体" w:cs="宋体"/>
          <w:color w:val="auto"/>
          <w:szCs w:val="21"/>
          <w:highlight w:val="none"/>
          <w:u w:val="single"/>
        </w:rPr>
        <w:t>吐鲁番开能环保能源有限公司</w:t>
      </w:r>
      <w:r>
        <w:rPr>
          <w:rFonts w:hint="eastAsia" w:ascii="宋体" w:hAnsi="宋体" w:cs="宋体"/>
          <w:color w:val="auto"/>
          <w:szCs w:val="21"/>
          <w:highlight w:val="none"/>
        </w:rPr>
        <w:t xml:space="preserve">  </w:t>
      </w:r>
    </w:p>
    <w:p w14:paraId="207D3D1A">
      <w:pPr>
        <w:spacing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rPr>
        <w:t>乙方（全称）：</w:t>
      </w:r>
    </w:p>
    <w:p w14:paraId="68AE7861">
      <w:pPr>
        <w:spacing w:line="360" w:lineRule="auto"/>
        <w:ind w:firstLine="420" w:firstLineChars="200"/>
        <w:rPr>
          <w:rFonts w:ascii="宋体" w:hAnsi="宋体" w:cs="宋体"/>
          <w:color w:val="auto"/>
          <w:szCs w:val="21"/>
          <w:highlight w:val="none"/>
        </w:rPr>
      </w:pPr>
    </w:p>
    <w:p w14:paraId="1F5D09AD">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甲乙双方于   年  月   日签署了</w:t>
      </w:r>
      <w:r>
        <w:rPr>
          <w:rFonts w:hint="eastAsia" w:ascii="宋体" w:hAnsi="宋体" w:cs="宋体"/>
          <w:color w:val="auto"/>
          <w:szCs w:val="21"/>
          <w:highlight w:val="none"/>
          <w:u w:val="single"/>
        </w:rPr>
        <w:t>吐鲁番开能环保能源有限公司【煤末及粉煤灰】运输合同</w:t>
      </w:r>
      <w:r>
        <w:rPr>
          <w:rFonts w:hint="eastAsia" w:ascii="宋体" w:hAnsi="宋体" w:cs="宋体"/>
          <w:color w:val="auto"/>
          <w:szCs w:val="21"/>
          <w:highlight w:val="none"/>
        </w:rPr>
        <w:t>（以下简称原合同），为加强双方阳光合作，保证职员职业安全，甲乙双方经协商签订本协议并作为双方共同遵守的阳光合作行为准则。</w:t>
      </w:r>
    </w:p>
    <w:p w14:paraId="58D5CA12">
      <w:pPr>
        <w:numPr>
          <w:ilvl w:val="0"/>
          <w:numId w:val="5"/>
        </w:numPr>
        <w:spacing w:line="360" w:lineRule="auto"/>
        <w:ind w:firstLine="420" w:firstLineChars="200"/>
        <w:rPr>
          <w:rFonts w:ascii="宋体" w:hAnsi="宋体" w:cs="宋体"/>
          <w:b/>
          <w:bCs/>
          <w:color w:val="auto"/>
          <w:szCs w:val="21"/>
          <w:highlight w:val="none"/>
        </w:rPr>
      </w:pPr>
      <w:r>
        <w:rPr>
          <w:rFonts w:hint="eastAsia" w:ascii="宋体" w:hAnsi="宋体" w:cs="宋体"/>
          <w:b/>
          <w:bCs/>
          <w:color w:val="auto"/>
          <w:szCs w:val="21"/>
          <w:highlight w:val="none"/>
        </w:rPr>
        <w:t>甲方责任</w:t>
      </w:r>
    </w:p>
    <w:p w14:paraId="43B41F4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1.甲方有责任向乙方介绍本单位有关采购管理通用原则和本协议的规定。</w:t>
      </w:r>
    </w:p>
    <w:p w14:paraId="058EDB21">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2.甲方有责任对本单位相关人员进行阳光合作教育。</w:t>
      </w:r>
    </w:p>
    <w:p w14:paraId="04AA8507">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3.甲方人员应严格遵守本单位有关阳关合作管理的规定，不得接受乙方任何形式的回扣、实物、现金、有价证券、礼券等有价物品，不得参与乙方提供的旅游或其他可能影响职务行为公正履行的活动。</w:t>
      </w:r>
    </w:p>
    <w:p w14:paraId="27264C63">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4.甲方人员如违反阳光合作管理制度及本协议规定，甲方视情节轻重、影响大小给予行政及经济处罚。</w:t>
      </w:r>
    </w:p>
    <w:p w14:paraId="38B5352D">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5.对于乙方举报甲方人员违反阳关合作规定的情况，甲方应及时进行调查，根据调查情况进行处理，并将调查结果向乙方反馈。</w:t>
      </w:r>
    </w:p>
    <w:p w14:paraId="10CDFE1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6.接受举报的一方应为举报方保密，不得对举报方进行报复，对举报属实和严格遵守《阳关合作协议》的合作方，在同等条件下给予后续合作的优先权。</w:t>
      </w:r>
    </w:p>
    <w:p w14:paraId="378182D0">
      <w:pPr>
        <w:spacing w:line="360" w:lineRule="auto"/>
        <w:ind w:firstLine="420" w:firstLineChars="200"/>
        <w:rPr>
          <w:rFonts w:ascii="宋体" w:hAnsi="宋体" w:cs="宋体"/>
          <w:b/>
          <w:bCs/>
          <w:color w:val="auto"/>
          <w:szCs w:val="21"/>
          <w:highlight w:val="none"/>
        </w:rPr>
      </w:pPr>
      <w:r>
        <w:rPr>
          <w:rFonts w:hint="eastAsia" w:ascii="宋体" w:hAnsi="宋体" w:cs="宋体"/>
          <w:b/>
          <w:bCs/>
          <w:color w:val="auto"/>
          <w:szCs w:val="21"/>
          <w:highlight w:val="none"/>
        </w:rPr>
        <w:t>二、乙方责任</w:t>
      </w:r>
    </w:p>
    <w:p w14:paraId="67BB11C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1.乙方应保证乙方人员了解甲方有关采购管理通用原则和本协议的规定，并遵照执行。</w:t>
      </w:r>
    </w:p>
    <w:p w14:paraId="220CB467">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2.乙方不得以任何形式给予甲方人员回扣、赠送实物、现金、有价证券、礼券等有价物品或提供旅游等其他可能影响职务行为公正履行的活动（以下统称“财物”）。</w:t>
      </w:r>
    </w:p>
    <w:p w14:paraId="3DE86F5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3.乙方有责任接受甲方对乙方在合作期间阳光合作管理执行情况的监督，并对甲方相关调查工作主动配合。</w:t>
      </w:r>
    </w:p>
    <w:p w14:paraId="2E3916BB">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4.乙方有义务就甲方人员任何形式的索取或收受财物的行为及时向甲方（直接联系人为东莞实业投资控股集团有限公司</w:t>
      </w:r>
      <w:r>
        <w:rPr>
          <w:rFonts w:hint="eastAsia" w:ascii="宋体" w:hAnsi="宋体" w:cs="宋体"/>
          <w:color w:val="auto"/>
          <w:szCs w:val="21"/>
          <w:highlight w:val="none"/>
          <w:lang w:val="en-US" w:eastAsia="zh-CN"/>
        </w:rPr>
        <w:t>风控法务</w:t>
      </w:r>
      <w:r>
        <w:rPr>
          <w:rFonts w:hint="eastAsia" w:ascii="宋体" w:hAnsi="宋体" w:cs="宋体"/>
          <w:color w:val="auto"/>
          <w:szCs w:val="21"/>
          <w:highlight w:val="none"/>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以上及类似情况或者如因乙方在合作期间贿赂甲方人员，被司法机关立案查处核实属实的，甲方有权解除原合同，如甲方解除原合同的，则乙方应退还甲方所支付的所有款项并按原合同和本合同约定承担违约责任，且五年之内不得作为东实集团（东莞实业投资控股集团有限公司及下属子公司）合格供应商。</w:t>
      </w:r>
    </w:p>
    <w:p w14:paraId="3A92B43E">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5.甲方接受乙方匿名举报，保证为举报者的信息保密，常设举报部门及电话：</w:t>
      </w:r>
    </w:p>
    <w:p w14:paraId="56254169">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举报受理部门:东莞实业投资控股集团有限公司</w:t>
      </w:r>
      <w:r>
        <w:rPr>
          <w:rFonts w:hint="eastAsia" w:ascii="宋体" w:hAnsi="宋体" w:cs="宋体"/>
          <w:color w:val="auto"/>
          <w:szCs w:val="21"/>
          <w:highlight w:val="none"/>
          <w:lang w:val="en-US" w:eastAsia="zh-CN"/>
        </w:rPr>
        <w:t>风控法务</w:t>
      </w:r>
      <w:r>
        <w:rPr>
          <w:rFonts w:hint="eastAsia" w:ascii="宋体" w:hAnsi="宋体" w:cs="宋体"/>
          <w:color w:val="auto"/>
          <w:szCs w:val="21"/>
          <w:highlight w:val="none"/>
        </w:rPr>
        <w:t>部</w:t>
      </w:r>
    </w:p>
    <w:p w14:paraId="6AA19D73">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东实集团举报邮箱：dgsyxf@163.com</w:t>
      </w:r>
    </w:p>
    <w:p w14:paraId="7F2B663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东实集团举报电话：0769-28820703（周一至周五9:00-12:00和14:00-18:00）</w:t>
      </w:r>
    </w:p>
    <w:p w14:paraId="4ACD2E9A">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邮寄地址：东莞市东城区八一路1号机关二号大院9号楼，东莞实业投资控股集团有限公司</w:t>
      </w:r>
      <w:r>
        <w:rPr>
          <w:rFonts w:hint="eastAsia" w:ascii="宋体" w:hAnsi="宋体" w:cs="宋体"/>
          <w:color w:val="auto"/>
          <w:szCs w:val="21"/>
          <w:highlight w:val="none"/>
          <w:lang w:val="en-US" w:eastAsia="zh-CN"/>
        </w:rPr>
        <w:t>风控法务</w:t>
      </w:r>
      <w:r>
        <w:rPr>
          <w:rFonts w:hint="eastAsia" w:ascii="宋体" w:hAnsi="宋体" w:cs="宋体"/>
          <w:color w:val="auto"/>
          <w:szCs w:val="21"/>
          <w:highlight w:val="none"/>
        </w:rPr>
        <w:t>部收，邮编523000。</w:t>
      </w:r>
    </w:p>
    <w:p w14:paraId="2C9EA8E7">
      <w:pPr>
        <w:spacing w:line="360" w:lineRule="auto"/>
        <w:ind w:firstLine="420" w:firstLineChars="200"/>
        <w:rPr>
          <w:rFonts w:ascii="宋体" w:hAnsi="宋体" w:cs="宋体"/>
          <w:b/>
          <w:bCs/>
          <w:color w:val="auto"/>
          <w:szCs w:val="21"/>
          <w:highlight w:val="none"/>
        </w:rPr>
      </w:pPr>
      <w:r>
        <w:rPr>
          <w:rFonts w:hint="eastAsia" w:ascii="宋体" w:hAnsi="宋体" w:cs="宋体"/>
          <w:b/>
          <w:bCs/>
          <w:color w:val="auto"/>
          <w:szCs w:val="21"/>
          <w:highlight w:val="none"/>
        </w:rPr>
        <w:t>三、其他</w:t>
      </w:r>
    </w:p>
    <w:p w14:paraId="5E711668">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1.本协议是原合同的补充协议，与原合同有同等的法律效力。</w:t>
      </w:r>
    </w:p>
    <w:p w14:paraId="4050050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2.本协议一式 肆 份，甲方 贰 份，乙方 贰 份，具有同等法律效力。</w:t>
      </w:r>
    </w:p>
    <w:p w14:paraId="4606EA0C">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3.本协议经双方签署后生效。</w:t>
      </w:r>
    </w:p>
    <w:p w14:paraId="5092C595">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甲方（公章）：吐鲁番开能环保能源       乙方（公章）：                            </w:t>
      </w:r>
    </w:p>
    <w:p w14:paraId="327E27D7">
      <w:pPr>
        <w:spacing w:line="360" w:lineRule="auto"/>
        <w:rPr>
          <w:rFonts w:ascii="宋体" w:hAnsi="宋体" w:cs="宋体"/>
          <w:color w:val="auto"/>
          <w:szCs w:val="21"/>
          <w:highlight w:val="none"/>
        </w:rPr>
      </w:pPr>
      <w:r>
        <w:rPr>
          <w:rFonts w:hint="eastAsia" w:ascii="宋体" w:hAnsi="宋体" w:cs="宋体"/>
          <w:color w:val="auto"/>
          <w:szCs w:val="21"/>
          <w:highlight w:val="none"/>
        </w:rPr>
        <w:t>有限公司</w:t>
      </w:r>
    </w:p>
    <w:p w14:paraId="49912120">
      <w:pPr>
        <w:spacing w:line="360" w:lineRule="auto"/>
        <w:rPr>
          <w:rFonts w:ascii="宋体" w:hAnsi="宋体" w:cs="宋体"/>
          <w:color w:val="auto"/>
          <w:szCs w:val="21"/>
          <w:highlight w:val="none"/>
        </w:rPr>
      </w:pPr>
    </w:p>
    <w:p w14:paraId="68B3DC43">
      <w:pPr>
        <w:spacing w:line="360" w:lineRule="auto"/>
        <w:rPr>
          <w:rFonts w:ascii="宋体" w:hAnsi="宋体" w:cs="宋体"/>
          <w:color w:val="auto"/>
          <w:szCs w:val="21"/>
          <w:highlight w:val="none"/>
        </w:rPr>
      </w:pPr>
      <w:r>
        <w:rPr>
          <w:rFonts w:hint="eastAsia" w:ascii="宋体" w:hAnsi="宋体" w:cs="宋体"/>
          <w:color w:val="auto"/>
          <w:szCs w:val="21"/>
          <w:highlight w:val="none"/>
        </w:rPr>
        <w:t>法定代表人（授权代表）：                法定代表人（授权代表）：</w:t>
      </w:r>
    </w:p>
    <w:p w14:paraId="41C2F119">
      <w:pPr>
        <w:spacing w:line="360" w:lineRule="auto"/>
        <w:rPr>
          <w:rFonts w:ascii="宋体" w:hAnsi="宋体" w:cs="宋体"/>
          <w:color w:val="auto"/>
          <w:szCs w:val="21"/>
          <w:highlight w:val="none"/>
        </w:rPr>
      </w:pPr>
    </w:p>
    <w:p w14:paraId="3640B575">
      <w:pPr>
        <w:spacing w:line="360" w:lineRule="auto"/>
        <w:rPr>
          <w:rFonts w:ascii="宋体" w:hAnsi="宋体" w:cs="宋体"/>
          <w:color w:val="auto"/>
          <w:szCs w:val="21"/>
          <w:highlight w:val="none"/>
        </w:rPr>
      </w:pPr>
      <w:r>
        <w:rPr>
          <w:rFonts w:hint="eastAsia" w:ascii="宋体" w:hAnsi="宋体" w:cs="宋体"/>
          <w:color w:val="auto"/>
          <w:szCs w:val="21"/>
          <w:highlight w:val="none"/>
        </w:rPr>
        <w:t>签约日期： 年  月  日                    签约日期： 年  月  日</w:t>
      </w:r>
    </w:p>
    <w:p w14:paraId="5136B3F0">
      <w:pPr>
        <w:pStyle w:val="2"/>
        <w:ind w:left="0" w:leftChars="0" w:firstLine="0" w:firstLineChars="0"/>
        <w:rPr>
          <w:color w:val="auto"/>
          <w:highlight w:val="none"/>
        </w:rPr>
      </w:pPr>
    </w:p>
    <w:p w14:paraId="49296332">
      <w:pPr>
        <w:pStyle w:val="42"/>
        <w:spacing w:line="360" w:lineRule="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附件八 报价保证金汇入情况说明</w:t>
      </w:r>
    </w:p>
    <w:p w14:paraId="06C11450">
      <w:pPr>
        <w:widowControl/>
        <w:spacing w:line="360" w:lineRule="auto"/>
        <w:jc w:val="center"/>
        <w:rPr>
          <w:rFonts w:ascii="仿宋" w:hAnsi="仿宋" w:eastAsia="仿宋" w:cs="仿宋"/>
          <w:b/>
          <w:bCs/>
          <w:color w:val="auto"/>
          <w:sz w:val="32"/>
          <w:szCs w:val="32"/>
          <w:highlight w:val="none"/>
        </w:rPr>
      </w:pPr>
      <w:bookmarkStart w:id="9" w:name="_Toc12220"/>
      <w:bookmarkStart w:id="10" w:name="_Toc28801"/>
      <w:bookmarkStart w:id="11" w:name="_Toc30346"/>
      <w:bookmarkStart w:id="12" w:name="_Toc1367"/>
      <w:bookmarkStart w:id="13" w:name="_Toc3118"/>
      <w:bookmarkStart w:id="14" w:name="_Toc3217"/>
      <w:bookmarkStart w:id="15" w:name="_Toc30323"/>
      <w:bookmarkStart w:id="16" w:name="_Toc32088"/>
      <w:bookmarkStart w:id="17" w:name="_Toc5428"/>
      <w:bookmarkStart w:id="18" w:name="_Toc10037"/>
      <w:r>
        <w:rPr>
          <w:rFonts w:hint="eastAsia" w:ascii="仿宋" w:hAnsi="仿宋" w:eastAsia="仿宋" w:cs="仿宋"/>
          <w:b/>
          <w:bCs/>
          <w:color w:val="auto"/>
          <w:sz w:val="32"/>
          <w:szCs w:val="32"/>
          <w:highlight w:val="none"/>
        </w:rPr>
        <w:t>报价保证金汇入情况说明</w:t>
      </w:r>
      <w:bookmarkEnd w:id="9"/>
      <w:bookmarkEnd w:id="10"/>
      <w:bookmarkEnd w:id="11"/>
      <w:bookmarkEnd w:id="12"/>
      <w:bookmarkEnd w:id="13"/>
      <w:bookmarkEnd w:id="14"/>
      <w:bookmarkEnd w:id="15"/>
      <w:bookmarkEnd w:id="16"/>
      <w:bookmarkEnd w:id="17"/>
      <w:bookmarkEnd w:id="18"/>
    </w:p>
    <w:p w14:paraId="0DA55275">
      <w:pPr>
        <w:spacing w:line="360" w:lineRule="auto"/>
        <w:ind w:firstLine="420" w:firstLineChars="200"/>
        <w:rPr>
          <w:rFonts w:ascii="仿宋" w:hAnsi="仿宋" w:eastAsia="仿宋" w:cs="仿宋"/>
          <w:b/>
          <w:color w:val="auto"/>
          <w:szCs w:val="21"/>
          <w:highlight w:val="none"/>
        </w:rPr>
      </w:pPr>
      <w:r>
        <w:rPr>
          <w:rFonts w:hint="eastAsia" w:ascii="仿宋" w:hAnsi="仿宋" w:eastAsia="仿宋" w:cs="仿宋"/>
          <w:b/>
          <w:color w:val="auto"/>
          <w:szCs w:val="21"/>
          <w:highlight w:val="none"/>
        </w:rPr>
        <w:t>致：</w:t>
      </w:r>
      <w:r>
        <w:rPr>
          <w:rFonts w:hint="eastAsia" w:ascii="仿宋" w:hAnsi="仿宋" w:eastAsia="仿宋" w:cs="仿宋"/>
          <w:b/>
          <w:color w:val="auto"/>
          <w:szCs w:val="21"/>
          <w:highlight w:val="none"/>
          <w:lang w:val="en-US" w:eastAsia="zh-CN"/>
        </w:rPr>
        <w:t>吐鲁番</w:t>
      </w:r>
      <w:r>
        <w:rPr>
          <w:rFonts w:hint="eastAsia" w:ascii="仿宋" w:hAnsi="仿宋" w:eastAsia="仿宋" w:cs="仿宋"/>
          <w:b/>
          <w:color w:val="auto"/>
          <w:szCs w:val="21"/>
          <w:highlight w:val="none"/>
        </w:rPr>
        <w:t>开能环保能源有限公司</w:t>
      </w:r>
    </w:p>
    <w:p w14:paraId="0868C96F">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本单位已按</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u w:val="single"/>
          <w:lang w:val="zh-CN"/>
        </w:rPr>
        <w:t>项目名称）</w:t>
      </w:r>
      <w:r>
        <w:rPr>
          <w:rFonts w:hint="eastAsia" w:ascii="仿宋" w:hAnsi="仿宋" w:eastAsia="仿宋" w:cs="仿宋"/>
          <w:color w:val="auto"/>
          <w:szCs w:val="21"/>
          <w:highlight w:val="none"/>
        </w:rPr>
        <w:t>的采购文件要求，于</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日前以</w:t>
      </w:r>
      <w:r>
        <w:rPr>
          <w:rFonts w:hint="eastAsia" w:ascii="仿宋" w:hAnsi="仿宋" w:eastAsia="仿宋" w:cs="仿宋"/>
          <w:color w:val="auto"/>
          <w:szCs w:val="21"/>
          <w:highlight w:val="none"/>
          <w:u w:val="single"/>
        </w:rPr>
        <w:t xml:space="preserve">    （付款形式）  </w:t>
      </w:r>
      <w:r>
        <w:rPr>
          <w:rFonts w:hint="eastAsia" w:ascii="仿宋" w:hAnsi="仿宋" w:eastAsia="仿宋" w:cs="仿宋"/>
          <w:color w:val="auto"/>
          <w:szCs w:val="21"/>
          <w:highlight w:val="none"/>
        </w:rPr>
        <w:t>方式汇入指定帐户（帐户名称：</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，帐号 </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,开户银行：</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w:t>
      </w:r>
    </w:p>
    <w:p w14:paraId="2BE719E9">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本单位报价保证金的汇款情况：（详见附件－报价保证金进帐单）</w:t>
      </w:r>
    </w:p>
    <w:p w14:paraId="44AF1725">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汇出时间：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w:t>
      </w:r>
    </w:p>
    <w:p w14:paraId="0AFC537C">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汇款金额：（大写）人民币</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元（小写：￥</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w:t>
      </w:r>
    </w:p>
    <w:p w14:paraId="1F7EC9E7">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汇款帐户名称：</w:t>
      </w:r>
      <w:r>
        <w:rPr>
          <w:rFonts w:hint="eastAsia" w:ascii="仿宋" w:hAnsi="仿宋" w:eastAsia="仿宋" w:cs="仿宋"/>
          <w:color w:val="auto"/>
          <w:szCs w:val="21"/>
          <w:highlight w:val="none"/>
          <w:u w:val="single"/>
        </w:rPr>
        <w:t xml:space="preserve">  （必须是报价时使用的帐户名）   </w:t>
      </w:r>
    </w:p>
    <w:p w14:paraId="71134692">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帐    号：</w:t>
      </w:r>
      <w:r>
        <w:rPr>
          <w:rFonts w:hint="eastAsia" w:ascii="仿宋" w:hAnsi="仿宋" w:eastAsia="仿宋" w:cs="仿宋"/>
          <w:color w:val="auto"/>
          <w:szCs w:val="21"/>
          <w:highlight w:val="none"/>
          <w:u w:val="single"/>
        </w:rPr>
        <w:t xml:space="preserve">      （必须是报价时使用的帐号）     </w:t>
      </w:r>
    </w:p>
    <w:p w14:paraId="619FFF9D">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开户银行：</w:t>
      </w:r>
      <w:r>
        <w:rPr>
          <w:rFonts w:hint="eastAsia" w:ascii="仿宋" w:hAnsi="仿宋" w:eastAsia="仿宋" w:cs="仿宋"/>
          <w:color w:val="auto"/>
          <w:szCs w:val="21"/>
          <w:highlight w:val="none"/>
          <w:u w:val="single"/>
        </w:rPr>
        <w:t xml:space="preserve">         省    市                    </w:t>
      </w:r>
    </w:p>
    <w:p w14:paraId="7995F853">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本单位谨承诺上述资料是正确、真实的，如因上述证明与事实不符导致的一切损失，本单位保证承担赔偿等一切法律责任。</w:t>
      </w:r>
    </w:p>
    <w:p w14:paraId="70FF925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报价保证金退回时，请按上述资料退回。</w:t>
      </w:r>
    </w:p>
    <w:p w14:paraId="5048B3A9">
      <w:pPr>
        <w:spacing w:line="360" w:lineRule="auto"/>
        <w:ind w:right="844" w:rightChars="402"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（单位公章）</w:t>
      </w:r>
    </w:p>
    <w:p w14:paraId="20DF643F">
      <w:pPr>
        <w:spacing w:line="360" w:lineRule="auto"/>
        <w:ind w:right="627" w:rightChars="299"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年  月  日</w:t>
      </w:r>
    </w:p>
    <w:p w14:paraId="43DA008F">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单位名称：</w:t>
      </w:r>
      <w:r>
        <w:rPr>
          <w:rFonts w:hint="eastAsia" w:ascii="仿宋" w:hAnsi="仿宋" w:eastAsia="仿宋" w:cs="仿宋"/>
          <w:color w:val="auto"/>
          <w:szCs w:val="21"/>
          <w:highlight w:val="none"/>
          <w:u w:val="single"/>
        </w:rPr>
        <w:t xml:space="preserve">                   </w:t>
      </w:r>
    </w:p>
    <w:p w14:paraId="496A76A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w:t>
      </w:r>
      <w:r>
        <w:rPr>
          <w:rFonts w:hint="eastAsia" w:ascii="仿宋" w:hAnsi="仿宋" w:eastAsia="仿宋" w:cs="仿宋"/>
          <w:color w:val="auto"/>
          <w:szCs w:val="21"/>
          <w:highlight w:val="none"/>
          <w:u w:val="single"/>
        </w:rPr>
        <w:t xml:space="preserve">                     </w:t>
      </w:r>
    </w:p>
    <w:p w14:paraId="35FDF3F0">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单位电话：</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w:t>
      </w:r>
    </w:p>
    <w:p w14:paraId="10AFA403">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联系人手机：</w:t>
      </w:r>
      <w:r>
        <w:rPr>
          <w:rFonts w:hint="eastAsia" w:ascii="仿宋" w:hAnsi="仿宋" w:eastAsia="仿宋" w:cs="仿宋"/>
          <w:color w:val="auto"/>
          <w:szCs w:val="21"/>
          <w:highlight w:val="none"/>
          <w:u w:val="single"/>
        </w:rPr>
        <w:t xml:space="preserve">                </w:t>
      </w:r>
    </w:p>
    <w:p w14:paraId="3E439BAD">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附：我方报价保证金汇款凭证</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14:paraId="61086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5000" w:type="pct"/>
            <w:tcBorders>
              <w:top w:val="single" w:color="auto" w:sz="4" w:space="0"/>
              <w:left w:val="single" w:color="auto" w:sz="4" w:space="0"/>
              <w:bottom w:val="single" w:color="auto" w:sz="4" w:space="0"/>
              <w:right w:val="single" w:color="auto" w:sz="4" w:space="0"/>
            </w:tcBorders>
            <w:vAlign w:val="center"/>
          </w:tcPr>
          <w:p w14:paraId="4A2EBE63">
            <w:pPr>
              <w:tabs>
                <w:tab w:val="left" w:pos="3885"/>
              </w:tabs>
              <w:spacing w:line="360" w:lineRule="auto"/>
              <w:ind w:firstLine="420" w:firstLineChars="200"/>
              <w:jc w:val="center"/>
              <w:rPr>
                <w:rFonts w:ascii="仿宋" w:hAnsi="仿宋" w:eastAsia="仿宋" w:cs="仿宋"/>
                <w:color w:val="auto"/>
                <w:szCs w:val="21"/>
                <w:highlight w:val="none"/>
              </w:rPr>
            </w:pPr>
            <w:r>
              <w:rPr>
                <w:rFonts w:hint="eastAsia" w:ascii="仿宋" w:hAnsi="仿宋" w:eastAsia="仿宋" w:cs="仿宋"/>
                <w:color w:val="auto"/>
                <w:szCs w:val="21"/>
                <w:highlight w:val="none"/>
              </w:rPr>
              <w:t>（粘贴汇款单或转账凭证复印件，并在骑缝上加盖公章，或是直接把转账凭证复印到此张纸上）</w:t>
            </w:r>
          </w:p>
        </w:tc>
      </w:tr>
    </w:tbl>
    <w:p w14:paraId="1075FAAA">
      <w:pPr>
        <w:pStyle w:val="42"/>
        <w:numPr>
          <w:ilvl w:val="255"/>
          <w:numId w:val="0"/>
        </w:numPr>
        <w:spacing w:line="360" w:lineRule="auto"/>
        <w:jc w:val="left"/>
        <w:outlineLvl w:val="1"/>
        <w:rPr>
          <w:rFonts w:hint="eastAsia" w:eastAsia="黑体"/>
          <w:color w:val="auto"/>
          <w:sz w:val="28"/>
          <w:szCs w:val="44"/>
          <w:highlight w:val="none"/>
        </w:rPr>
      </w:pPr>
    </w:p>
    <w:p w14:paraId="6DA3E4B2">
      <w:pPr>
        <w:pStyle w:val="42"/>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附件九 营业执照复印件</w:t>
      </w:r>
      <w:r>
        <w:rPr>
          <w:rFonts w:hint="eastAsia" w:eastAsia="黑体"/>
          <w:color w:val="auto"/>
          <w:sz w:val="28"/>
          <w:szCs w:val="44"/>
          <w:highlight w:val="none"/>
          <w:lang w:val="en-US" w:eastAsia="zh-CN"/>
        </w:rPr>
        <w:t>及道路运输经营许可证</w:t>
      </w:r>
      <w:r>
        <w:rPr>
          <w:rFonts w:hint="eastAsia" w:eastAsia="黑体"/>
          <w:color w:val="auto"/>
          <w:sz w:val="28"/>
          <w:szCs w:val="44"/>
          <w:highlight w:val="none"/>
        </w:rPr>
        <w:t>（加盖公章）</w:t>
      </w:r>
    </w:p>
    <w:p w14:paraId="661DAB80">
      <w:pPr>
        <w:pStyle w:val="2"/>
        <w:ind w:left="0" w:leftChars="0" w:firstLine="0" w:firstLineChars="0"/>
        <w:rPr>
          <w:rFonts w:eastAsia="仿宋_GB2312"/>
          <w:color w:val="auto"/>
          <w:sz w:val="32"/>
          <w:szCs w:val="32"/>
          <w:highlight w:val="none"/>
        </w:rPr>
      </w:pPr>
    </w:p>
    <w:p w14:paraId="1F9BF86F">
      <w:pPr>
        <w:pStyle w:val="2"/>
        <w:ind w:left="0" w:leftChars="0" w:firstLine="0" w:firstLineChars="0"/>
        <w:rPr>
          <w:rFonts w:eastAsia="仿宋_GB2312"/>
          <w:color w:val="auto"/>
          <w:sz w:val="32"/>
          <w:szCs w:val="32"/>
          <w:highlight w:val="none"/>
        </w:rPr>
      </w:pPr>
    </w:p>
    <w:p w14:paraId="496413BE">
      <w:pPr>
        <w:pStyle w:val="2"/>
        <w:ind w:left="0" w:leftChars="0" w:firstLine="0" w:firstLineChars="0"/>
        <w:rPr>
          <w:rFonts w:eastAsia="仿宋_GB2312"/>
          <w:color w:val="auto"/>
          <w:sz w:val="32"/>
          <w:szCs w:val="32"/>
          <w:highlight w:val="none"/>
        </w:rPr>
      </w:pPr>
    </w:p>
    <w:p w14:paraId="66CB45AF">
      <w:pPr>
        <w:pStyle w:val="2"/>
        <w:ind w:left="0" w:leftChars="0" w:firstLine="0" w:firstLineChars="0"/>
        <w:rPr>
          <w:rFonts w:eastAsia="仿宋_GB2312"/>
          <w:color w:val="auto"/>
          <w:sz w:val="32"/>
          <w:szCs w:val="32"/>
          <w:highlight w:val="none"/>
        </w:rPr>
      </w:pPr>
    </w:p>
    <w:p w14:paraId="051030E1">
      <w:pPr>
        <w:pStyle w:val="2"/>
        <w:ind w:left="0" w:leftChars="0" w:firstLine="0" w:firstLineChars="0"/>
        <w:rPr>
          <w:rFonts w:eastAsia="仿宋_GB2312"/>
          <w:color w:val="auto"/>
          <w:sz w:val="32"/>
          <w:szCs w:val="32"/>
          <w:highlight w:val="none"/>
        </w:rPr>
      </w:pPr>
    </w:p>
    <w:p w14:paraId="6EE872FC">
      <w:pPr>
        <w:pStyle w:val="2"/>
        <w:ind w:left="0" w:leftChars="0" w:firstLine="0" w:firstLineChars="0"/>
        <w:rPr>
          <w:rFonts w:eastAsia="仿宋_GB2312"/>
          <w:color w:val="auto"/>
          <w:sz w:val="32"/>
          <w:szCs w:val="32"/>
          <w:highlight w:val="none"/>
        </w:rPr>
      </w:pPr>
    </w:p>
    <w:p w14:paraId="5191BFEB">
      <w:pPr>
        <w:pStyle w:val="2"/>
        <w:ind w:left="0" w:leftChars="0" w:firstLine="0" w:firstLineChars="0"/>
        <w:rPr>
          <w:rFonts w:eastAsia="仿宋_GB2312"/>
          <w:color w:val="auto"/>
          <w:sz w:val="32"/>
          <w:szCs w:val="32"/>
          <w:highlight w:val="none"/>
        </w:rPr>
      </w:pPr>
    </w:p>
    <w:p w14:paraId="584BBBB0">
      <w:pPr>
        <w:pStyle w:val="2"/>
        <w:ind w:left="0" w:leftChars="0" w:firstLine="0" w:firstLineChars="0"/>
        <w:rPr>
          <w:rFonts w:eastAsia="仿宋_GB2312"/>
          <w:color w:val="auto"/>
          <w:sz w:val="32"/>
          <w:szCs w:val="32"/>
          <w:highlight w:val="none"/>
        </w:rPr>
      </w:pPr>
    </w:p>
    <w:p w14:paraId="01B745D1">
      <w:pPr>
        <w:pStyle w:val="2"/>
        <w:ind w:left="0" w:leftChars="0" w:firstLine="0" w:firstLineChars="0"/>
        <w:rPr>
          <w:rFonts w:eastAsia="仿宋_GB2312"/>
          <w:color w:val="auto"/>
          <w:sz w:val="32"/>
          <w:szCs w:val="32"/>
          <w:highlight w:val="none"/>
        </w:rPr>
      </w:pPr>
    </w:p>
    <w:p w14:paraId="4DE36B1F">
      <w:pPr>
        <w:pStyle w:val="2"/>
        <w:ind w:left="0" w:leftChars="0" w:firstLine="0" w:firstLineChars="0"/>
        <w:rPr>
          <w:rFonts w:eastAsia="仿宋_GB2312"/>
          <w:color w:val="auto"/>
          <w:sz w:val="32"/>
          <w:szCs w:val="32"/>
          <w:highlight w:val="none"/>
        </w:rPr>
      </w:pPr>
    </w:p>
    <w:p w14:paraId="43D85977">
      <w:pPr>
        <w:pStyle w:val="2"/>
        <w:ind w:left="0" w:leftChars="0" w:firstLine="0" w:firstLineChars="0"/>
        <w:rPr>
          <w:rFonts w:eastAsia="仿宋_GB2312"/>
          <w:color w:val="auto"/>
          <w:sz w:val="32"/>
          <w:szCs w:val="32"/>
          <w:highlight w:val="none"/>
        </w:rPr>
      </w:pPr>
    </w:p>
    <w:p w14:paraId="053FFE53">
      <w:pPr>
        <w:pStyle w:val="2"/>
        <w:ind w:left="0" w:leftChars="0" w:firstLine="0" w:firstLineChars="0"/>
        <w:rPr>
          <w:rFonts w:eastAsia="仿宋_GB2312"/>
          <w:color w:val="auto"/>
          <w:sz w:val="32"/>
          <w:szCs w:val="32"/>
          <w:highlight w:val="none"/>
        </w:rPr>
      </w:pPr>
    </w:p>
    <w:p w14:paraId="7782C93A">
      <w:pPr>
        <w:pStyle w:val="2"/>
        <w:ind w:left="0" w:leftChars="0" w:firstLine="0" w:firstLineChars="0"/>
        <w:rPr>
          <w:rFonts w:eastAsia="仿宋_GB2312"/>
          <w:color w:val="auto"/>
          <w:sz w:val="32"/>
          <w:szCs w:val="32"/>
          <w:highlight w:val="none"/>
        </w:rPr>
      </w:pPr>
    </w:p>
    <w:p w14:paraId="5A454B1E">
      <w:pPr>
        <w:pStyle w:val="2"/>
        <w:ind w:left="0" w:leftChars="0" w:firstLine="0" w:firstLineChars="0"/>
        <w:rPr>
          <w:rFonts w:eastAsia="仿宋_GB2312"/>
          <w:color w:val="auto"/>
          <w:sz w:val="32"/>
          <w:szCs w:val="32"/>
          <w:highlight w:val="none"/>
        </w:rPr>
      </w:pPr>
    </w:p>
    <w:p w14:paraId="155E978C">
      <w:pPr>
        <w:pStyle w:val="2"/>
        <w:ind w:left="0" w:leftChars="0" w:firstLine="0" w:firstLineChars="0"/>
        <w:rPr>
          <w:rFonts w:eastAsia="仿宋_GB2312"/>
          <w:color w:val="auto"/>
          <w:sz w:val="32"/>
          <w:szCs w:val="32"/>
          <w:highlight w:val="none"/>
        </w:rPr>
      </w:pPr>
    </w:p>
    <w:p w14:paraId="3523A77B">
      <w:pPr>
        <w:pStyle w:val="2"/>
        <w:ind w:left="0" w:leftChars="0" w:firstLine="0" w:firstLineChars="0"/>
        <w:rPr>
          <w:rFonts w:eastAsia="仿宋_GB2312"/>
          <w:color w:val="auto"/>
          <w:sz w:val="32"/>
          <w:szCs w:val="32"/>
          <w:highlight w:val="none"/>
        </w:rPr>
      </w:pPr>
    </w:p>
    <w:p w14:paraId="6A551A2D">
      <w:pPr>
        <w:pStyle w:val="2"/>
        <w:ind w:left="0" w:leftChars="0" w:firstLine="0" w:firstLineChars="0"/>
        <w:rPr>
          <w:rFonts w:eastAsia="仿宋_GB2312"/>
          <w:color w:val="auto"/>
          <w:sz w:val="32"/>
          <w:szCs w:val="32"/>
          <w:highlight w:val="none"/>
        </w:rPr>
      </w:pPr>
    </w:p>
    <w:p w14:paraId="29E0D2BB">
      <w:pPr>
        <w:pStyle w:val="42"/>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附件十 同类项目业绩合同（加盖公章）</w:t>
      </w:r>
    </w:p>
    <w:p w14:paraId="46D2C7D3">
      <w:pPr>
        <w:pStyle w:val="42"/>
        <w:spacing w:line="360" w:lineRule="auto"/>
        <w:ind w:firstLine="0" w:firstLineChars="0"/>
        <w:jc w:val="left"/>
        <w:outlineLvl w:val="1"/>
        <w:rPr>
          <w:rFonts w:eastAsia="黑体"/>
          <w:color w:val="auto"/>
          <w:sz w:val="28"/>
          <w:szCs w:val="44"/>
          <w:highlight w:val="none"/>
        </w:rPr>
      </w:pPr>
      <w:r>
        <w:rPr>
          <w:rFonts w:hint="eastAsia" w:ascii="仿宋_GB2312" w:hAnsi="仿宋_GB2312" w:eastAsia="仿宋_GB2312" w:cs="仿宋_GB2312"/>
          <w:color w:val="auto"/>
          <w:sz w:val="32"/>
          <w:szCs w:val="32"/>
          <w:highlight w:val="none"/>
        </w:rPr>
        <w:t>提供过往业绩合同主要页复印件（包含但不限于合同首页、合同金额页、合同盖章签字页等）及该项目任意一期已开具的发票复印件（加盖公章）】；</w:t>
      </w:r>
    </w:p>
    <w:p w14:paraId="4BD24079">
      <w:pPr>
        <w:pStyle w:val="2"/>
        <w:ind w:left="0" w:leftChars="0" w:firstLine="0" w:firstLineChars="0"/>
        <w:rPr>
          <w:rFonts w:eastAsia="仿宋_GB2312"/>
          <w:color w:val="auto"/>
          <w:sz w:val="32"/>
          <w:szCs w:val="32"/>
          <w:highlight w:val="none"/>
        </w:rPr>
      </w:pPr>
    </w:p>
    <w:p w14:paraId="7B81E6E6">
      <w:pPr>
        <w:pStyle w:val="2"/>
        <w:ind w:left="0" w:leftChars="0" w:firstLine="0" w:firstLineChars="0"/>
        <w:rPr>
          <w:rFonts w:eastAsia="仿宋_GB2312"/>
          <w:color w:val="auto"/>
          <w:sz w:val="32"/>
          <w:szCs w:val="32"/>
          <w:highlight w:val="none"/>
        </w:rPr>
      </w:pPr>
    </w:p>
    <w:p w14:paraId="286AF398">
      <w:pPr>
        <w:pStyle w:val="2"/>
        <w:ind w:left="0" w:leftChars="0" w:firstLine="0" w:firstLineChars="0"/>
        <w:rPr>
          <w:rFonts w:eastAsia="仿宋_GB2312"/>
          <w:color w:val="auto"/>
          <w:sz w:val="32"/>
          <w:szCs w:val="32"/>
          <w:highlight w:val="none"/>
        </w:rPr>
      </w:pPr>
    </w:p>
    <w:p w14:paraId="7EC1F620">
      <w:pPr>
        <w:pStyle w:val="2"/>
        <w:ind w:left="0" w:leftChars="0" w:firstLine="0" w:firstLineChars="0"/>
        <w:rPr>
          <w:rFonts w:eastAsia="仿宋_GB2312"/>
          <w:color w:val="auto"/>
          <w:sz w:val="32"/>
          <w:szCs w:val="32"/>
          <w:highlight w:val="none"/>
        </w:rPr>
      </w:pPr>
    </w:p>
    <w:p w14:paraId="7C6468BC">
      <w:pPr>
        <w:pStyle w:val="2"/>
        <w:ind w:left="0" w:leftChars="0" w:firstLine="0" w:firstLineChars="0"/>
        <w:rPr>
          <w:rFonts w:eastAsia="仿宋_GB2312"/>
          <w:color w:val="auto"/>
          <w:sz w:val="32"/>
          <w:szCs w:val="32"/>
          <w:highlight w:val="none"/>
        </w:rPr>
      </w:pPr>
    </w:p>
    <w:p w14:paraId="5387E17B">
      <w:pPr>
        <w:pStyle w:val="2"/>
        <w:ind w:left="0" w:leftChars="0" w:firstLine="0" w:firstLineChars="0"/>
        <w:rPr>
          <w:rFonts w:eastAsia="仿宋_GB2312"/>
          <w:color w:val="auto"/>
          <w:sz w:val="32"/>
          <w:szCs w:val="32"/>
          <w:highlight w:val="none"/>
        </w:rPr>
      </w:pPr>
    </w:p>
    <w:p w14:paraId="7162FBF0">
      <w:pPr>
        <w:pStyle w:val="2"/>
        <w:ind w:left="0" w:leftChars="0" w:firstLine="0" w:firstLineChars="0"/>
        <w:rPr>
          <w:rFonts w:eastAsia="仿宋_GB2312"/>
          <w:color w:val="auto"/>
          <w:sz w:val="32"/>
          <w:szCs w:val="32"/>
          <w:highlight w:val="none"/>
        </w:rPr>
      </w:pPr>
    </w:p>
    <w:p w14:paraId="711EDF57">
      <w:pPr>
        <w:pStyle w:val="2"/>
        <w:ind w:left="0" w:leftChars="0" w:firstLine="0" w:firstLineChars="0"/>
        <w:rPr>
          <w:rFonts w:eastAsia="仿宋_GB2312"/>
          <w:color w:val="auto"/>
          <w:sz w:val="32"/>
          <w:szCs w:val="32"/>
          <w:highlight w:val="none"/>
        </w:rPr>
      </w:pPr>
    </w:p>
    <w:p w14:paraId="47C3B1E1">
      <w:pPr>
        <w:pStyle w:val="2"/>
        <w:ind w:left="0" w:leftChars="0" w:firstLine="0" w:firstLineChars="0"/>
        <w:rPr>
          <w:rFonts w:eastAsia="仿宋_GB2312"/>
          <w:color w:val="auto"/>
          <w:sz w:val="32"/>
          <w:szCs w:val="32"/>
          <w:highlight w:val="none"/>
        </w:rPr>
      </w:pPr>
    </w:p>
    <w:p w14:paraId="286F7403">
      <w:pPr>
        <w:pStyle w:val="2"/>
        <w:ind w:left="0" w:leftChars="0" w:firstLine="0" w:firstLineChars="0"/>
        <w:rPr>
          <w:rFonts w:eastAsia="仿宋_GB2312"/>
          <w:color w:val="auto"/>
          <w:sz w:val="32"/>
          <w:szCs w:val="32"/>
          <w:highlight w:val="none"/>
        </w:rPr>
      </w:pPr>
    </w:p>
    <w:p w14:paraId="6B22B67F">
      <w:pPr>
        <w:pStyle w:val="2"/>
        <w:ind w:left="0" w:leftChars="0" w:firstLine="0" w:firstLineChars="0"/>
        <w:rPr>
          <w:rFonts w:eastAsia="仿宋_GB2312"/>
          <w:color w:val="auto"/>
          <w:sz w:val="32"/>
          <w:szCs w:val="32"/>
          <w:highlight w:val="none"/>
        </w:rPr>
      </w:pPr>
    </w:p>
    <w:p w14:paraId="6EEEB7FA">
      <w:pPr>
        <w:pStyle w:val="2"/>
        <w:ind w:left="0" w:leftChars="0" w:firstLine="0" w:firstLineChars="0"/>
        <w:rPr>
          <w:rFonts w:eastAsia="仿宋_GB2312"/>
          <w:color w:val="auto"/>
          <w:sz w:val="32"/>
          <w:szCs w:val="32"/>
          <w:highlight w:val="none"/>
        </w:rPr>
      </w:pPr>
    </w:p>
    <w:p w14:paraId="76804B5F">
      <w:pPr>
        <w:pStyle w:val="2"/>
        <w:ind w:left="0" w:leftChars="0" w:firstLine="0" w:firstLineChars="0"/>
        <w:rPr>
          <w:rFonts w:eastAsia="仿宋_GB2312"/>
          <w:color w:val="auto"/>
          <w:sz w:val="32"/>
          <w:szCs w:val="32"/>
          <w:highlight w:val="none"/>
        </w:rPr>
      </w:pPr>
    </w:p>
    <w:p w14:paraId="3D155A89">
      <w:pPr>
        <w:pStyle w:val="2"/>
        <w:ind w:left="0" w:leftChars="0" w:firstLine="0" w:firstLineChars="0"/>
        <w:rPr>
          <w:rFonts w:eastAsia="仿宋_GB2312"/>
          <w:color w:val="auto"/>
          <w:sz w:val="32"/>
          <w:szCs w:val="32"/>
          <w:highlight w:val="none"/>
        </w:rPr>
      </w:pPr>
    </w:p>
    <w:p w14:paraId="63A3C58D">
      <w:pPr>
        <w:spacing w:before="332" w:beforeLines="100" w:after="332" w:afterLines="100"/>
        <w:outlineLvl w:val="1"/>
        <w:rPr>
          <w:rFonts w:ascii="宋体" w:hAnsi="宋体" w:eastAsia="黑体" w:cs="宋体"/>
          <w:b/>
          <w:bCs/>
          <w:color w:val="auto"/>
          <w:sz w:val="44"/>
          <w:szCs w:val="44"/>
          <w:highlight w:val="none"/>
        </w:rPr>
      </w:pPr>
      <w:r>
        <w:rPr>
          <w:rFonts w:eastAsia="黑体"/>
          <w:color w:val="auto"/>
          <w:sz w:val="28"/>
          <w:szCs w:val="44"/>
          <w:highlight w:val="none"/>
        </w:rPr>
        <w:t>附件</w:t>
      </w:r>
      <w:r>
        <w:rPr>
          <w:rFonts w:hint="eastAsia" w:eastAsia="黑体"/>
          <w:color w:val="auto"/>
          <w:sz w:val="28"/>
          <w:szCs w:val="44"/>
          <w:highlight w:val="none"/>
        </w:rPr>
        <w:t>十一商务偏离表</w:t>
      </w:r>
    </w:p>
    <w:p w14:paraId="37882192">
      <w:pPr>
        <w:spacing w:before="332" w:beforeLines="100" w:after="332" w:afterLines="100"/>
        <w:jc w:val="center"/>
        <w:outlineLvl w:val="1"/>
        <w:rPr>
          <w:rFonts w:ascii="宋体" w:hAnsi="宋体" w:cs="宋体"/>
          <w:b/>
          <w:bCs/>
          <w:color w:val="auto"/>
          <w:sz w:val="44"/>
          <w:szCs w:val="44"/>
          <w:highlight w:val="none"/>
        </w:rPr>
      </w:pPr>
      <w:r>
        <w:rPr>
          <w:rFonts w:hint="eastAsia" w:ascii="宋体" w:hAnsi="宋体" w:cs="宋体"/>
          <w:b/>
          <w:bCs/>
          <w:color w:val="auto"/>
          <w:sz w:val="44"/>
          <w:szCs w:val="44"/>
          <w:highlight w:val="none"/>
        </w:rPr>
        <w:t>商务/技术条款偏离表</w:t>
      </w:r>
    </w:p>
    <w:p w14:paraId="2258AF74">
      <w:pPr>
        <w:spacing w:line="360" w:lineRule="auto"/>
        <w:rPr>
          <w:rFonts w:ascii="宋体" w:hAnsi="宋体" w:cs="宋体"/>
          <w:color w:val="auto"/>
          <w:sz w:val="24"/>
          <w:highlight w:val="none"/>
        </w:rPr>
      </w:pPr>
      <w:r>
        <w:rPr>
          <w:rFonts w:hint="eastAsia" w:ascii="宋体" w:hAnsi="宋体" w:cs="宋体"/>
          <w:color w:val="auto"/>
          <w:sz w:val="24"/>
          <w:highlight w:val="none"/>
        </w:rPr>
        <w:t>项目名称：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采购编号：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120"/>
        <w:gridCol w:w="1958"/>
        <w:gridCol w:w="1955"/>
        <w:gridCol w:w="832"/>
        <w:gridCol w:w="831"/>
      </w:tblGrid>
      <w:tr w14:paraId="36C0C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7341D0EC">
            <w:pPr>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2120" w:type="dxa"/>
            <w:vAlign w:val="center"/>
          </w:tcPr>
          <w:p w14:paraId="62F9D231">
            <w:pPr>
              <w:jc w:val="center"/>
              <w:rPr>
                <w:rFonts w:ascii="宋体" w:hAnsi="宋体" w:cs="宋体"/>
                <w:b/>
                <w:color w:val="auto"/>
                <w:sz w:val="24"/>
                <w:highlight w:val="none"/>
              </w:rPr>
            </w:pPr>
            <w:r>
              <w:rPr>
                <w:rFonts w:hint="eastAsia" w:ascii="宋体" w:hAnsi="宋体" w:cs="宋体"/>
                <w:b/>
                <w:color w:val="auto"/>
                <w:sz w:val="24"/>
                <w:highlight w:val="none"/>
              </w:rPr>
              <w:t>项目名称</w:t>
            </w:r>
          </w:p>
        </w:tc>
        <w:tc>
          <w:tcPr>
            <w:tcW w:w="1958" w:type="dxa"/>
            <w:vAlign w:val="center"/>
          </w:tcPr>
          <w:p w14:paraId="30BF871B">
            <w:pPr>
              <w:jc w:val="center"/>
              <w:rPr>
                <w:rFonts w:ascii="宋体" w:hAnsi="宋体" w:cs="宋体"/>
                <w:b/>
                <w:color w:val="auto"/>
                <w:sz w:val="24"/>
                <w:highlight w:val="none"/>
              </w:rPr>
            </w:pPr>
            <w:r>
              <w:rPr>
                <w:rFonts w:hint="eastAsia" w:ascii="宋体" w:hAnsi="宋体" w:cs="宋体"/>
                <w:b/>
                <w:color w:val="auto"/>
                <w:sz w:val="24"/>
                <w:highlight w:val="none"/>
              </w:rPr>
              <w:t>询价文件商务/技术条款</w:t>
            </w:r>
          </w:p>
        </w:tc>
        <w:tc>
          <w:tcPr>
            <w:tcW w:w="1955" w:type="dxa"/>
            <w:vAlign w:val="center"/>
          </w:tcPr>
          <w:p w14:paraId="2E2BCE1C">
            <w:pPr>
              <w:jc w:val="center"/>
              <w:rPr>
                <w:rFonts w:ascii="宋体" w:hAnsi="宋体" w:cs="宋体"/>
                <w:b/>
                <w:color w:val="auto"/>
                <w:sz w:val="24"/>
                <w:highlight w:val="none"/>
              </w:rPr>
            </w:pPr>
            <w:r>
              <w:rPr>
                <w:rFonts w:hint="eastAsia" w:ascii="宋体" w:hAnsi="宋体" w:cs="宋体"/>
                <w:b/>
                <w:color w:val="auto"/>
                <w:sz w:val="24"/>
                <w:highlight w:val="none"/>
              </w:rPr>
              <w:t>报价文件商务/技术条款</w:t>
            </w:r>
          </w:p>
        </w:tc>
        <w:tc>
          <w:tcPr>
            <w:tcW w:w="832" w:type="dxa"/>
            <w:vAlign w:val="center"/>
          </w:tcPr>
          <w:p w14:paraId="0ACBF679">
            <w:pPr>
              <w:jc w:val="center"/>
              <w:rPr>
                <w:rFonts w:ascii="宋体" w:hAnsi="宋体" w:cs="宋体"/>
                <w:b/>
                <w:color w:val="auto"/>
                <w:sz w:val="24"/>
                <w:highlight w:val="none"/>
              </w:rPr>
            </w:pPr>
            <w:r>
              <w:rPr>
                <w:rFonts w:hint="eastAsia" w:ascii="宋体" w:hAnsi="宋体" w:cs="宋体"/>
                <w:b/>
                <w:color w:val="auto"/>
                <w:sz w:val="24"/>
                <w:highlight w:val="none"/>
              </w:rPr>
              <w:t>偏离</w:t>
            </w:r>
          </w:p>
        </w:tc>
        <w:tc>
          <w:tcPr>
            <w:tcW w:w="831" w:type="dxa"/>
            <w:vAlign w:val="center"/>
          </w:tcPr>
          <w:p w14:paraId="662F34A5">
            <w:pPr>
              <w:jc w:val="center"/>
              <w:rPr>
                <w:rFonts w:ascii="宋体" w:hAnsi="宋体" w:cs="宋体"/>
                <w:b/>
                <w:color w:val="auto"/>
                <w:sz w:val="24"/>
                <w:highlight w:val="none"/>
              </w:rPr>
            </w:pPr>
            <w:r>
              <w:rPr>
                <w:rFonts w:hint="eastAsia" w:ascii="宋体" w:hAnsi="宋体" w:cs="宋体"/>
                <w:b/>
                <w:color w:val="auto"/>
                <w:sz w:val="24"/>
                <w:highlight w:val="none"/>
              </w:rPr>
              <w:t>说明</w:t>
            </w:r>
          </w:p>
        </w:tc>
      </w:tr>
      <w:tr w14:paraId="18580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7ED93C8">
            <w:pPr>
              <w:jc w:val="center"/>
              <w:rPr>
                <w:rFonts w:ascii="宋体" w:hAnsi="宋体" w:cs="宋体"/>
                <w:color w:val="auto"/>
                <w:sz w:val="24"/>
                <w:highlight w:val="none"/>
              </w:rPr>
            </w:pPr>
          </w:p>
        </w:tc>
        <w:tc>
          <w:tcPr>
            <w:tcW w:w="2120" w:type="dxa"/>
            <w:vAlign w:val="center"/>
          </w:tcPr>
          <w:p w14:paraId="378504E2">
            <w:pPr>
              <w:jc w:val="center"/>
              <w:rPr>
                <w:rFonts w:ascii="宋体" w:hAnsi="宋体" w:cs="宋体"/>
                <w:color w:val="auto"/>
                <w:sz w:val="24"/>
                <w:highlight w:val="none"/>
              </w:rPr>
            </w:pPr>
          </w:p>
        </w:tc>
        <w:tc>
          <w:tcPr>
            <w:tcW w:w="1958" w:type="dxa"/>
            <w:vAlign w:val="center"/>
          </w:tcPr>
          <w:p w14:paraId="503D501E">
            <w:pPr>
              <w:jc w:val="center"/>
              <w:rPr>
                <w:rFonts w:ascii="宋体" w:hAnsi="宋体" w:cs="宋体"/>
                <w:color w:val="auto"/>
                <w:sz w:val="24"/>
                <w:highlight w:val="none"/>
              </w:rPr>
            </w:pPr>
          </w:p>
        </w:tc>
        <w:tc>
          <w:tcPr>
            <w:tcW w:w="1955" w:type="dxa"/>
            <w:vAlign w:val="center"/>
          </w:tcPr>
          <w:p w14:paraId="236149CB">
            <w:pPr>
              <w:jc w:val="center"/>
              <w:rPr>
                <w:rFonts w:ascii="宋体" w:hAnsi="宋体" w:cs="宋体"/>
                <w:color w:val="auto"/>
                <w:sz w:val="24"/>
                <w:highlight w:val="none"/>
              </w:rPr>
            </w:pPr>
          </w:p>
        </w:tc>
        <w:tc>
          <w:tcPr>
            <w:tcW w:w="832" w:type="dxa"/>
            <w:vAlign w:val="center"/>
          </w:tcPr>
          <w:p w14:paraId="0A437C66">
            <w:pPr>
              <w:jc w:val="center"/>
              <w:rPr>
                <w:rFonts w:ascii="宋体" w:hAnsi="宋体" w:cs="宋体"/>
                <w:color w:val="auto"/>
                <w:sz w:val="24"/>
                <w:highlight w:val="none"/>
              </w:rPr>
            </w:pPr>
          </w:p>
        </w:tc>
        <w:tc>
          <w:tcPr>
            <w:tcW w:w="831" w:type="dxa"/>
            <w:vAlign w:val="center"/>
          </w:tcPr>
          <w:p w14:paraId="107FB203">
            <w:pPr>
              <w:jc w:val="center"/>
              <w:rPr>
                <w:rFonts w:ascii="宋体" w:hAnsi="宋体" w:cs="宋体"/>
                <w:color w:val="auto"/>
                <w:sz w:val="24"/>
                <w:highlight w:val="none"/>
              </w:rPr>
            </w:pPr>
          </w:p>
        </w:tc>
      </w:tr>
      <w:tr w14:paraId="0B3B7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390D71A0">
            <w:pPr>
              <w:jc w:val="center"/>
              <w:rPr>
                <w:rFonts w:ascii="宋体" w:hAnsi="宋体" w:cs="宋体"/>
                <w:color w:val="auto"/>
                <w:sz w:val="24"/>
                <w:highlight w:val="none"/>
              </w:rPr>
            </w:pPr>
          </w:p>
        </w:tc>
        <w:tc>
          <w:tcPr>
            <w:tcW w:w="2120" w:type="dxa"/>
            <w:vAlign w:val="center"/>
          </w:tcPr>
          <w:p w14:paraId="00F6695B">
            <w:pPr>
              <w:jc w:val="center"/>
              <w:rPr>
                <w:rFonts w:ascii="宋体" w:hAnsi="宋体" w:cs="宋体"/>
                <w:color w:val="auto"/>
                <w:sz w:val="24"/>
                <w:highlight w:val="none"/>
              </w:rPr>
            </w:pPr>
          </w:p>
        </w:tc>
        <w:tc>
          <w:tcPr>
            <w:tcW w:w="1958" w:type="dxa"/>
            <w:vAlign w:val="center"/>
          </w:tcPr>
          <w:p w14:paraId="4F41FF31">
            <w:pPr>
              <w:jc w:val="center"/>
              <w:rPr>
                <w:rFonts w:ascii="宋体" w:hAnsi="宋体" w:cs="宋体"/>
                <w:color w:val="auto"/>
                <w:sz w:val="24"/>
                <w:highlight w:val="none"/>
              </w:rPr>
            </w:pPr>
          </w:p>
        </w:tc>
        <w:tc>
          <w:tcPr>
            <w:tcW w:w="1955" w:type="dxa"/>
            <w:vAlign w:val="center"/>
          </w:tcPr>
          <w:p w14:paraId="38E5C22D">
            <w:pPr>
              <w:jc w:val="center"/>
              <w:rPr>
                <w:rFonts w:ascii="宋体" w:hAnsi="宋体" w:cs="宋体"/>
                <w:color w:val="auto"/>
                <w:sz w:val="24"/>
                <w:highlight w:val="none"/>
              </w:rPr>
            </w:pPr>
          </w:p>
        </w:tc>
        <w:tc>
          <w:tcPr>
            <w:tcW w:w="832" w:type="dxa"/>
            <w:vAlign w:val="center"/>
          </w:tcPr>
          <w:p w14:paraId="2CBB66AB">
            <w:pPr>
              <w:jc w:val="center"/>
              <w:rPr>
                <w:rFonts w:ascii="宋体" w:hAnsi="宋体" w:cs="宋体"/>
                <w:color w:val="auto"/>
                <w:sz w:val="24"/>
                <w:highlight w:val="none"/>
              </w:rPr>
            </w:pPr>
          </w:p>
        </w:tc>
        <w:tc>
          <w:tcPr>
            <w:tcW w:w="831" w:type="dxa"/>
            <w:vAlign w:val="center"/>
          </w:tcPr>
          <w:p w14:paraId="5FDD9DC9">
            <w:pPr>
              <w:jc w:val="center"/>
              <w:rPr>
                <w:rFonts w:ascii="宋体" w:hAnsi="宋体" w:cs="宋体"/>
                <w:color w:val="auto"/>
                <w:sz w:val="24"/>
                <w:highlight w:val="none"/>
              </w:rPr>
            </w:pPr>
          </w:p>
        </w:tc>
      </w:tr>
      <w:tr w14:paraId="0FDCE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129FFDA">
            <w:pPr>
              <w:jc w:val="center"/>
              <w:rPr>
                <w:rFonts w:ascii="宋体" w:hAnsi="宋体" w:cs="宋体"/>
                <w:color w:val="auto"/>
                <w:sz w:val="24"/>
                <w:highlight w:val="none"/>
              </w:rPr>
            </w:pPr>
          </w:p>
        </w:tc>
        <w:tc>
          <w:tcPr>
            <w:tcW w:w="2120" w:type="dxa"/>
            <w:vAlign w:val="center"/>
          </w:tcPr>
          <w:p w14:paraId="4713BFF0">
            <w:pPr>
              <w:jc w:val="center"/>
              <w:rPr>
                <w:rFonts w:ascii="宋体" w:hAnsi="宋体" w:cs="宋体"/>
                <w:color w:val="auto"/>
                <w:sz w:val="24"/>
                <w:highlight w:val="none"/>
              </w:rPr>
            </w:pPr>
          </w:p>
        </w:tc>
        <w:tc>
          <w:tcPr>
            <w:tcW w:w="1958" w:type="dxa"/>
            <w:vAlign w:val="center"/>
          </w:tcPr>
          <w:p w14:paraId="79CE627F">
            <w:pPr>
              <w:jc w:val="center"/>
              <w:rPr>
                <w:rFonts w:ascii="宋体" w:hAnsi="宋体" w:cs="宋体"/>
                <w:color w:val="auto"/>
                <w:sz w:val="24"/>
                <w:highlight w:val="none"/>
              </w:rPr>
            </w:pPr>
          </w:p>
        </w:tc>
        <w:tc>
          <w:tcPr>
            <w:tcW w:w="1955" w:type="dxa"/>
            <w:vAlign w:val="center"/>
          </w:tcPr>
          <w:p w14:paraId="775EF6ED">
            <w:pPr>
              <w:jc w:val="center"/>
              <w:rPr>
                <w:rFonts w:ascii="宋体" w:hAnsi="宋体" w:cs="宋体"/>
                <w:color w:val="auto"/>
                <w:sz w:val="24"/>
                <w:highlight w:val="none"/>
              </w:rPr>
            </w:pPr>
          </w:p>
        </w:tc>
        <w:tc>
          <w:tcPr>
            <w:tcW w:w="832" w:type="dxa"/>
            <w:vAlign w:val="center"/>
          </w:tcPr>
          <w:p w14:paraId="5A4FD10A">
            <w:pPr>
              <w:jc w:val="center"/>
              <w:rPr>
                <w:rFonts w:ascii="宋体" w:hAnsi="宋体" w:cs="宋体"/>
                <w:color w:val="auto"/>
                <w:sz w:val="24"/>
                <w:highlight w:val="none"/>
              </w:rPr>
            </w:pPr>
          </w:p>
        </w:tc>
        <w:tc>
          <w:tcPr>
            <w:tcW w:w="831" w:type="dxa"/>
            <w:vAlign w:val="center"/>
          </w:tcPr>
          <w:p w14:paraId="4FAA0578">
            <w:pPr>
              <w:jc w:val="center"/>
              <w:rPr>
                <w:rFonts w:ascii="宋体" w:hAnsi="宋体" w:cs="宋体"/>
                <w:color w:val="auto"/>
                <w:sz w:val="24"/>
                <w:highlight w:val="none"/>
              </w:rPr>
            </w:pPr>
          </w:p>
        </w:tc>
      </w:tr>
      <w:tr w14:paraId="5B408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75D33FB">
            <w:pPr>
              <w:jc w:val="center"/>
              <w:rPr>
                <w:rFonts w:ascii="宋体" w:hAnsi="宋体" w:cs="宋体"/>
                <w:color w:val="auto"/>
                <w:sz w:val="24"/>
                <w:highlight w:val="none"/>
              </w:rPr>
            </w:pPr>
          </w:p>
        </w:tc>
        <w:tc>
          <w:tcPr>
            <w:tcW w:w="2120" w:type="dxa"/>
            <w:vAlign w:val="center"/>
          </w:tcPr>
          <w:p w14:paraId="2465638A">
            <w:pPr>
              <w:jc w:val="center"/>
              <w:rPr>
                <w:rFonts w:ascii="宋体" w:hAnsi="宋体" w:cs="宋体"/>
                <w:color w:val="auto"/>
                <w:sz w:val="24"/>
                <w:highlight w:val="none"/>
              </w:rPr>
            </w:pPr>
          </w:p>
        </w:tc>
        <w:tc>
          <w:tcPr>
            <w:tcW w:w="1958" w:type="dxa"/>
            <w:vAlign w:val="center"/>
          </w:tcPr>
          <w:p w14:paraId="5D88654F">
            <w:pPr>
              <w:jc w:val="center"/>
              <w:rPr>
                <w:rFonts w:ascii="宋体" w:hAnsi="宋体" w:cs="宋体"/>
                <w:color w:val="auto"/>
                <w:sz w:val="24"/>
                <w:highlight w:val="none"/>
              </w:rPr>
            </w:pPr>
          </w:p>
        </w:tc>
        <w:tc>
          <w:tcPr>
            <w:tcW w:w="1955" w:type="dxa"/>
            <w:vAlign w:val="center"/>
          </w:tcPr>
          <w:p w14:paraId="60CD082F">
            <w:pPr>
              <w:jc w:val="center"/>
              <w:rPr>
                <w:rFonts w:ascii="宋体" w:hAnsi="宋体" w:cs="宋体"/>
                <w:color w:val="auto"/>
                <w:sz w:val="24"/>
                <w:highlight w:val="none"/>
              </w:rPr>
            </w:pPr>
          </w:p>
        </w:tc>
        <w:tc>
          <w:tcPr>
            <w:tcW w:w="832" w:type="dxa"/>
            <w:vAlign w:val="center"/>
          </w:tcPr>
          <w:p w14:paraId="6A2DA10B">
            <w:pPr>
              <w:jc w:val="center"/>
              <w:rPr>
                <w:rFonts w:ascii="宋体" w:hAnsi="宋体" w:cs="宋体"/>
                <w:color w:val="auto"/>
                <w:sz w:val="24"/>
                <w:highlight w:val="none"/>
              </w:rPr>
            </w:pPr>
          </w:p>
        </w:tc>
        <w:tc>
          <w:tcPr>
            <w:tcW w:w="831" w:type="dxa"/>
            <w:vAlign w:val="center"/>
          </w:tcPr>
          <w:p w14:paraId="14387713">
            <w:pPr>
              <w:jc w:val="center"/>
              <w:rPr>
                <w:rFonts w:ascii="宋体" w:hAnsi="宋体" w:cs="宋体"/>
                <w:color w:val="auto"/>
                <w:sz w:val="24"/>
                <w:highlight w:val="none"/>
              </w:rPr>
            </w:pPr>
          </w:p>
        </w:tc>
      </w:tr>
      <w:tr w14:paraId="25CF9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C7502C0">
            <w:pPr>
              <w:jc w:val="center"/>
              <w:rPr>
                <w:rFonts w:ascii="宋体" w:hAnsi="宋体" w:cs="宋体"/>
                <w:color w:val="auto"/>
                <w:sz w:val="24"/>
                <w:highlight w:val="none"/>
              </w:rPr>
            </w:pPr>
          </w:p>
        </w:tc>
        <w:tc>
          <w:tcPr>
            <w:tcW w:w="2120" w:type="dxa"/>
            <w:vAlign w:val="center"/>
          </w:tcPr>
          <w:p w14:paraId="56C0FCC0">
            <w:pPr>
              <w:jc w:val="center"/>
              <w:rPr>
                <w:rFonts w:ascii="宋体" w:hAnsi="宋体" w:cs="宋体"/>
                <w:color w:val="auto"/>
                <w:sz w:val="24"/>
                <w:highlight w:val="none"/>
              </w:rPr>
            </w:pPr>
          </w:p>
        </w:tc>
        <w:tc>
          <w:tcPr>
            <w:tcW w:w="1958" w:type="dxa"/>
            <w:vAlign w:val="center"/>
          </w:tcPr>
          <w:p w14:paraId="3C90AE59">
            <w:pPr>
              <w:jc w:val="center"/>
              <w:rPr>
                <w:rFonts w:ascii="宋体" w:hAnsi="宋体" w:cs="宋体"/>
                <w:color w:val="auto"/>
                <w:sz w:val="24"/>
                <w:highlight w:val="none"/>
              </w:rPr>
            </w:pPr>
          </w:p>
        </w:tc>
        <w:tc>
          <w:tcPr>
            <w:tcW w:w="1955" w:type="dxa"/>
            <w:vAlign w:val="center"/>
          </w:tcPr>
          <w:p w14:paraId="24713903">
            <w:pPr>
              <w:jc w:val="center"/>
              <w:rPr>
                <w:rFonts w:ascii="宋体" w:hAnsi="宋体" w:cs="宋体"/>
                <w:color w:val="auto"/>
                <w:sz w:val="24"/>
                <w:highlight w:val="none"/>
              </w:rPr>
            </w:pPr>
          </w:p>
        </w:tc>
        <w:tc>
          <w:tcPr>
            <w:tcW w:w="832" w:type="dxa"/>
            <w:vAlign w:val="center"/>
          </w:tcPr>
          <w:p w14:paraId="7530D3C0">
            <w:pPr>
              <w:jc w:val="center"/>
              <w:rPr>
                <w:rFonts w:ascii="宋体" w:hAnsi="宋体" w:cs="宋体"/>
                <w:color w:val="auto"/>
                <w:sz w:val="24"/>
                <w:highlight w:val="none"/>
              </w:rPr>
            </w:pPr>
          </w:p>
        </w:tc>
        <w:tc>
          <w:tcPr>
            <w:tcW w:w="831" w:type="dxa"/>
            <w:vAlign w:val="center"/>
          </w:tcPr>
          <w:p w14:paraId="3EEC5521">
            <w:pPr>
              <w:jc w:val="center"/>
              <w:rPr>
                <w:rFonts w:ascii="宋体" w:hAnsi="宋体" w:cs="宋体"/>
                <w:color w:val="auto"/>
                <w:sz w:val="24"/>
                <w:highlight w:val="none"/>
              </w:rPr>
            </w:pPr>
          </w:p>
        </w:tc>
      </w:tr>
      <w:tr w14:paraId="5856A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4E2ED909">
            <w:pPr>
              <w:jc w:val="center"/>
              <w:rPr>
                <w:rFonts w:ascii="宋体" w:hAnsi="宋体" w:cs="宋体"/>
                <w:color w:val="auto"/>
                <w:sz w:val="24"/>
                <w:highlight w:val="none"/>
              </w:rPr>
            </w:pPr>
          </w:p>
        </w:tc>
        <w:tc>
          <w:tcPr>
            <w:tcW w:w="2120" w:type="dxa"/>
            <w:vAlign w:val="center"/>
          </w:tcPr>
          <w:p w14:paraId="0957C1E5">
            <w:pPr>
              <w:jc w:val="center"/>
              <w:rPr>
                <w:rFonts w:ascii="宋体" w:hAnsi="宋体" w:cs="宋体"/>
                <w:color w:val="auto"/>
                <w:sz w:val="24"/>
                <w:highlight w:val="none"/>
              </w:rPr>
            </w:pPr>
          </w:p>
        </w:tc>
        <w:tc>
          <w:tcPr>
            <w:tcW w:w="1958" w:type="dxa"/>
            <w:vAlign w:val="center"/>
          </w:tcPr>
          <w:p w14:paraId="7075D871">
            <w:pPr>
              <w:jc w:val="center"/>
              <w:rPr>
                <w:rFonts w:ascii="宋体" w:hAnsi="宋体" w:cs="宋体"/>
                <w:color w:val="auto"/>
                <w:sz w:val="24"/>
                <w:highlight w:val="none"/>
              </w:rPr>
            </w:pPr>
          </w:p>
        </w:tc>
        <w:tc>
          <w:tcPr>
            <w:tcW w:w="1955" w:type="dxa"/>
            <w:vAlign w:val="center"/>
          </w:tcPr>
          <w:p w14:paraId="489AE05C">
            <w:pPr>
              <w:jc w:val="center"/>
              <w:rPr>
                <w:rFonts w:ascii="宋体" w:hAnsi="宋体" w:cs="宋体"/>
                <w:color w:val="auto"/>
                <w:sz w:val="24"/>
                <w:highlight w:val="none"/>
              </w:rPr>
            </w:pPr>
          </w:p>
        </w:tc>
        <w:tc>
          <w:tcPr>
            <w:tcW w:w="832" w:type="dxa"/>
            <w:vAlign w:val="center"/>
          </w:tcPr>
          <w:p w14:paraId="51C6A007">
            <w:pPr>
              <w:jc w:val="center"/>
              <w:rPr>
                <w:rFonts w:ascii="宋体" w:hAnsi="宋体" w:cs="宋体"/>
                <w:color w:val="auto"/>
                <w:sz w:val="24"/>
                <w:highlight w:val="none"/>
              </w:rPr>
            </w:pPr>
          </w:p>
        </w:tc>
        <w:tc>
          <w:tcPr>
            <w:tcW w:w="831" w:type="dxa"/>
            <w:vAlign w:val="center"/>
          </w:tcPr>
          <w:p w14:paraId="7CCC71F2">
            <w:pPr>
              <w:jc w:val="center"/>
              <w:rPr>
                <w:rFonts w:ascii="宋体" w:hAnsi="宋体" w:cs="宋体"/>
                <w:color w:val="auto"/>
                <w:sz w:val="24"/>
                <w:highlight w:val="none"/>
              </w:rPr>
            </w:pPr>
          </w:p>
        </w:tc>
      </w:tr>
      <w:tr w14:paraId="1FD40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19B31AB">
            <w:pPr>
              <w:jc w:val="center"/>
              <w:rPr>
                <w:rFonts w:ascii="宋体" w:hAnsi="宋体" w:cs="宋体"/>
                <w:color w:val="auto"/>
                <w:sz w:val="24"/>
                <w:highlight w:val="none"/>
              </w:rPr>
            </w:pPr>
          </w:p>
        </w:tc>
        <w:tc>
          <w:tcPr>
            <w:tcW w:w="2120" w:type="dxa"/>
            <w:vAlign w:val="center"/>
          </w:tcPr>
          <w:p w14:paraId="7A6DAD57">
            <w:pPr>
              <w:jc w:val="center"/>
              <w:rPr>
                <w:rFonts w:ascii="宋体" w:hAnsi="宋体" w:cs="宋体"/>
                <w:color w:val="auto"/>
                <w:sz w:val="24"/>
                <w:highlight w:val="none"/>
              </w:rPr>
            </w:pPr>
          </w:p>
        </w:tc>
        <w:tc>
          <w:tcPr>
            <w:tcW w:w="1958" w:type="dxa"/>
            <w:vAlign w:val="center"/>
          </w:tcPr>
          <w:p w14:paraId="4D3E7B56">
            <w:pPr>
              <w:jc w:val="center"/>
              <w:rPr>
                <w:rFonts w:ascii="宋体" w:hAnsi="宋体" w:cs="宋体"/>
                <w:color w:val="auto"/>
                <w:sz w:val="24"/>
                <w:highlight w:val="none"/>
              </w:rPr>
            </w:pPr>
          </w:p>
        </w:tc>
        <w:tc>
          <w:tcPr>
            <w:tcW w:w="1955" w:type="dxa"/>
            <w:vAlign w:val="center"/>
          </w:tcPr>
          <w:p w14:paraId="199C1564">
            <w:pPr>
              <w:jc w:val="center"/>
              <w:rPr>
                <w:rFonts w:ascii="宋体" w:hAnsi="宋体" w:cs="宋体"/>
                <w:color w:val="auto"/>
                <w:sz w:val="24"/>
                <w:highlight w:val="none"/>
              </w:rPr>
            </w:pPr>
          </w:p>
        </w:tc>
        <w:tc>
          <w:tcPr>
            <w:tcW w:w="832" w:type="dxa"/>
            <w:vAlign w:val="center"/>
          </w:tcPr>
          <w:p w14:paraId="3E9AEBCD">
            <w:pPr>
              <w:jc w:val="center"/>
              <w:rPr>
                <w:rFonts w:ascii="宋体" w:hAnsi="宋体" w:cs="宋体"/>
                <w:color w:val="auto"/>
                <w:sz w:val="24"/>
                <w:highlight w:val="none"/>
              </w:rPr>
            </w:pPr>
          </w:p>
        </w:tc>
        <w:tc>
          <w:tcPr>
            <w:tcW w:w="831" w:type="dxa"/>
            <w:vAlign w:val="center"/>
          </w:tcPr>
          <w:p w14:paraId="51B2C8B2">
            <w:pPr>
              <w:jc w:val="center"/>
              <w:rPr>
                <w:rFonts w:ascii="宋体" w:hAnsi="宋体" w:cs="宋体"/>
                <w:color w:val="auto"/>
                <w:sz w:val="24"/>
                <w:highlight w:val="none"/>
              </w:rPr>
            </w:pPr>
          </w:p>
        </w:tc>
      </w:tr>
      <w:tr w14:paraId="3692C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FD9F60C">
            <w:pPr>
              <w:jc w:val="center"/>
              <w:rPr>
                <w:rFonts w:ascii="宋体" w:hAnsi="宋体" w:cs="宋体"/>
                <w:color w:val="auto"/>
                <w:sz w:val="24"/>
                <w:highlight w:val="none"/>
              </w:rPr>
            </w:pPr>
          </w:p>
        </w:tc>
        <w:tc>
          <w:tcPr>
            <w:tcW w:w="2120" w:type="dxa"/>
            <w:vAlign w:val="center"/>
          </w:tcPr>
          <w:p w14:paraId="0D892FCB">
            <w:pPr>
              <w:jc w:val="center"/>
              <w:rPr>
                <w:rFonts w:ascii="宋体" w:hAnsi="宋体" w:cs="宋体"/>
                <w:color w:val="auto"/>
                <w:sz w:val="24"/>
                <w:highlight w:val="none"/>
              </w:rPr>
            </w:pPr>
          </w:p>
        </w:tc>
        <w:tc>
          <w:tcPr>
            <w:tcW w:w="1958" w:type="dxa"/>
            <w:vAlign w:val="center"/>
          </w:tcPr>
          <w:p w14:paraId="00B761A7">
            <w:pPr>
              <w:jc w:val="center"/>
              <w:rPr>
                <w:rFonts w:ascii="宋体" w:hAnsi="宋体" w:cs="宋体"/>
                <w:color w:val="auto"/>
                <w:sz w:val="24"/>
                <w:highlight w:val="none"/>
              </w:rPr>
            </w:pPr>
          </w:p>
        </w:tc>
        <w:tc>
          <w:tcPr>
            <w:tcW w:w="1955" w:type="dxa"/>
            <w:vAlign w:val="center"/>
          </w:tcPr>
          <w:p w14:paraId="00D3B554">
            <w:pPr>
              <w:jc w:val="center"/>
              <w:rPr>
                <w:rFonts w:ascii="宋体" w:hAnsi="宋体" w:cs="宋体"/>
                <w:color w:val="auto"/>
                <w:sz w:val="24"/>
                <w:highlight w:val="none"/>
              </w:rPr>
            </w:pPr>
          </w:p>
        </w:tc>
        <w:tc>
          <w:tcPr>
            <w:tcW w:w="832" w:type="dxa"/>
            <w:vAlign w:val="center"/>
          </w:tcPr>
          <w:p w14:paraId="09615E36">
            <w:pPr>
              <w:jc w:val="center"/>
              <w:rPr>
                <w:rFonts w:ascii="宋体" w:hAnsi="宋体" w:cs="宋体"/>
                <w:color w:val="auto"/>
                <w:sz w:val="24"/>
                <w:highlight w:val="none"/>
              </w:rPr>
            </w:pPr>
          </w:p>
        </w:tc>
        <w:tc>
          <w:tcPr>
            <w:tcW w:w="831" w:type="dxa"/>
            <w:vAlign w:val="center"/>
          </w:tcPr>
          <w:p w14:paraId="18CC342A">
            <w:pPr>
              <w:jc w:val="center"/>
              <w:rPr>
                <w:rFonts w:ascii="宋体" w:hAnsi="宋体" w:cs="宋体"/>
                <w:color w:val="auto"/>
                <w:sz w:val="24"/>
                <w:highlight w:val="none"/>
              </w:rPr>
            </w:pPr>
          </w:p>
        </w:tc>
      </w:tr>
      <w:tr w14:paraId="638C1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533BBAB8">
            <w:pPr>
              <w:jc w:val="center"/>
              <w:rPr>
                <w:rFonts w:ascii="宋体" w:hAnsi="宋体" w:cs="宋体"/>
                <w:color w:val="auto"/>
                <w:sz w:val="24"/>
                <w:highlight w:val="none"/>
              </w:rPr>
            </w:pPr>
          </w:p>
        </w:tc>
        <w:tc>
          <w:tcPr>
            <w:tcW w:w="2120" w:type="dxa"/>
            <w:vAlign w:val="center"/>
          </w:tcPr>
          <w:p w14:paraId="181474BB">
            <w:pPr>
              <w:jc w:val="center"/>
              <w:rPr>
                <w:rFonts w:ascii="宋体" w:hAnsi="宋体" w:cs="宋体"/>
                <w:color w:val="auto"/>
                <w:sz w:val="24"/>
                <w:highlight w:val="none"/>
              </w:rPr>
            </w:pPr>
          </w:p>
        </w:tc>
        <w:tc>
          <w:tcPr>
            <w:tcW w:w="1958" w:type="dxa"/>
            <w:vAlign w:val="center"/>
          </w:tcPr>
          <w:p w14:paraId="233B4623">
            <w:pPr>
              <w:jc w:val="center"/>
              <w:rPr>
                <w:rFonts w:ascii="宋体" w:hAnsi="宋体" w:cs="宋体"/>
                <w:color w:val="auto"/>
                <w:sz w:val="24"/>
                <w:highlight w:val="none"/>
              </w:rPr>
            </w:pPr>
          </w:p>
        </w:tc>
        <w:tc>
          <w:tcPr>
            <w:tcW w:w="1955" w:type="dxa"/>
            <w:vAlign w:val="center"/>
          </w:tcPr>
          <w:p w14:paraId="6B1715D6">
            <w:pPr>
              <w:jc w:val="center"/>
              <w:rPr>
                <w:rFonts w:ascii="宋体" w:hAnsi="宋体" w:cs="宋体"/>
                <w:color w:val="auto"/>
                <w:sz w:val="24"/>
                <w:highlight w:val="none"/>
              </w:rPr>
            </w:pPr>
          </w:p>
        </w:tc>
        <w:tc>
          <w:tcPr>
            <w:tcW w:w="832" w:type="dxa"/>
            <w:vAlign w:val="center"/>
          </w:tcPr>
          <w:p w14:paraId="0B1BAE4E">
            <w:pPr>
              <w:jc w:val="center"/>
              <w:rPr>
                <w:rFonts w:ascii="宋体" w:hAnsi="宋体" w:cs="宋体"/>
                <w:color w:val="auto"/>
                <w:sz w:val="24"/>
                <w:highlight w:val="none"/>
              </w:rPr>
            </w:pPr>
          </w:p>
        </w:tc>
        <w:tc>
          <w:tcPr>
            <w:tcW w:w="831" w:type="dxa"/>
            <w:vAlign w:val="center"/>
          </w:tcPr>
          <w:p w14:paraId="7E523F51">
            <w:pPr>
              <w:jc w:val="center"/>
              <w:rPr>
                <w:rFonts w:ascii="宋体" w:hAnsi="宋体" w:cs="宋体"/>
                <w:color w:val="auto"/>
                <w:sz w:val="24"/>
                <w:highlight w:val="none"/>
              </w:rPr>
            </w:pPr>
          </w:p>
        </w:tc>
      </w:tr>
    </w:tbl>
    <w:p w14:paraId="6526432E">
      <w:pPr>
        <w:ind w:firstLine="480" w:firstLineChars="200"/>
        <w:jc w:val="left"/>
        <w:rPr>
          <w:rFonts w:ascii="宋体" w:hAnsi="宋体" w:cs="宋体"/>
          <w:color w:val="auto"/>
          <w:sz w:val="24"/>
          <w:highlight w:val="none"/>
        </w:rPr>
      </w:pPr>
    </w:p>
    <w:p w14:paraId="3F92F283">
      <w:pPr>
        <w:spacing w:line="360" w:lineRule="exact"/>
        <w:jc w:val="left"/>
        <w:rPr>
          <w:rFonts w:ascii="宋体" w:hAnsi="宋体" w:cs="宋体"/>
          <w:color w:val="auto"/>
          <w:sz w:val="24"/>
          <w:highlight w:val="none"/>
        </w:rPr>
      </w:pPr>
      <w:r>
        <w:rPr>
          <w:rFonts w:hint="eastAsia" w:ascii="宋体" w:hAnsi="宋体" w:cs="宋体"/>
          <w:color w:val="auto"/>
          <w:sz w:val="24"/>
          <w:highlight w:val="none"/>
        </w:rPr>
        <w:t>注：</w:t>
      </w:r>
    </w:p>
    <w:p w14:paraId="0B6AC2BD">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1、响应人应对照询价文件商务要求，在“偏离”项中填写“正”、“负”或“无”，逐条说明已对询价文件的商务内容做出了实质性的报价，并申明与询价文件的偏差和例外。</w:t>
      </w:r>
    </w:p>
    <w:p w14:paraId="31E8167C">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2、商务条款包括但不限于合格供应商条件、服务期限、付款方式、品牌等要求。</w:t>
      </w:r>
    </w:p>
    <w:p w14:paraId="769A01AE">
      <w:pPr>
        <w:pStyle w:val="12"/>
        <w:rPr>
          <w:color w:val="auto"/>
          <w:highlight w:val="none"/>
        </w:rPr>
      </w:pPr>
      <w:r>
        <w:rPr>
          <w:rFonts w:hint="eastAsia"/>
          <w:color w:val="auto"/>
          <w:highlight w:val="none"/>
        </w:rPr>
        <w:t xml:space="preserve">  </w:t>
      </w:r>
      <w:r>
        <w:rPr>
          <w:rFonts w:hint="eastAsia" w:ascii="宋体" w:hAnsi="宋体" w:cs="宋体"/>
          <w:color w:val="auto"/>
          <w:sz w:val="24"/>
          <w:highlight w:val="none"/>
        </w:rPr>
        <w:t xml:space="preserve">  3、技术条款包括但不限于附件</w:t>
      </w:r>
      <w:r>
        <w:rPr>
          <w:rFonts w:hint="eastAsia" w:ascii="宋体" w:hAnsi="宋体" w:cs="宋体"/>
          <w:color w:val="auto"/>
          <w:sz w:val="24"/>
          <w:highlight w:val="none"/>
          <w:lang w:val="en-US" w:eastAsia="zh-CN"/>
        </w:rPr>
        <w:t>六</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用户需求书</w:t>
      </w:r>
      <w:r>
        <w:rPr>
          <w:rFonts w:hint="eastAsia" w:ascii="宋体" w:hAnsi="宋体" w:cs="宋体"/>
          <w:color w:val="auto"/>
          <w:sz w:val="24"/>
          <w:highlight w:val="none"/>
        </w:rPr>
        <w:t>》中的各项技术要求。</w:t>
      </w:r>
    </w:p>
    <w:p w14:paraId="5A5CF63B">
      <w:pPr>
        <w:spacing w:line="360" w:lineRule="exact"/>
        <w:ind w:firstLine="480" w:firstLineChars="200"/>
        <w:jc w:val="left"/>
        <w:rPr>
          <w:rFonts w:ascii="宋体" w:hAnsi="宋体" w:cs="宋体"/>
          <w:color w:val="auto"/>
          <w:sz w:val="24"/>
          <w:highlight w:val="none"/>
        </w:rPr>
      </w:pPr>
    </w:p>
    <w:p w14:paraId="7AE799B6">
      <w:pPr>
        <w:spacing w:line="360" w:lineRule="exact"/>
        <w:ind w:firstLine="480" w:firstLineChars="200"/>
        <w:jc w:val="left"/>
        <w:rPr>
          <w:rFonts w:ascii="宋体" w:hAnsi="宋体" w:cs="宋体"/>
          <w:color w:val="auto"/>
          <w:sz w:val="24"/>
          <w:highlight w:val="none"/>
        </w:rPr>
      </w:pPr>
    </w:p>
    <w:p w14:paraId="6C6DF144">
      <w:pPr>
        <w:spacing w:line="360" w:lineRule="exact"/>
        <w:ind w:firstLine="480" w:firstLineChars="200"/>
        <w:jc w:val="left"/>
        <w:rPr>
          <w:rFonts w:ascii="宋体" w:hAnsi="宋体" w:cs="宋体"/>
          <w:color w:val="auto"/>
          <w:sz w:val="24"/>
          <w:highlight w:val="none"/>
        </w:rPr>
      </w:pPr>
    </w:p>
    <w:p w14:paraId="7C2AAE5F">
      <w:pPr>
        <w:pStyle w:val="12"/>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响应人名称（加盖公章）：</w:t>
      </w:r>
    </w:p>
    <w:p w14:paraId="6D043437">
      <w:pPr>
        <w:pStyle w:val="12"/>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响应人法定代表人或受委托人（签名或盖私章）：</w:t>
      </w:r>
    </w:p>
    <w:p w14:paraId="433EA669">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日      期：</w:t>
      </w:r>
    </w:p>
    <w:p w14:paraId="155B7036">
      <w:pPr>
        <w:pStyle w:val="2"/>
        <w:ind w:left="0" w:leftChars="0" w:firstLine="0" w:firstLineChars="0"/>
        <w:rPr>
          <w:rFonts w:eastAsia="仿宋_GB2312"/>
          <w:color w:val="auto"/>
          <w:sz w:val="32"/>
          <w:szCs w:val="32"/>
          <w:highlight w:val="none"/>
        </w:rPr>
      </w:pP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BAE4E8">
    <w:pPr>
      <w:pStyle w:val="17"/>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61217F16">
                <w:pPr>
                  <w:pStyle w:val="1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D0A6A">
    <w:pPr>
      <w:pStyle w:val="1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CFF6BA"/>
    <w:multiLevelType w:val="singleLevel"/>
    <w:tmpl w:val="BECFF6BA"/>
    <w:lvl w:ilvl="0" w:tentative="0">
      <w:start w:val="1"/>
      <w:numFmt w:val="chineseCounting"/>
      <w:suff w:val="nothing"/>
      <w:lvlText w:val="%1、"/>
      <w:lvlJc w:val="left"/>
      <w:rPr>
        <w:rFonts w:hint="eastAsia"/>
      </w:rPr>
    </w:lvl>
  </w:abstractNum>
  <w:abstractNum w:abstractNumId="1">
    <w:nsid w:val="02BA4E6F"/>
    <w:multiLevelType w:val="multilevel"/>
    <w:tmpl w:val="02BA4E6F"/>
    <w:lvl w:ilvl="0" w:tentative="0">
      <w:start w:val="1"/>
      <w:numFmt w:val="bullet"/>
      <w:pStyle w:val="59"/>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3F4D1D03"/>
    <w:multiLevelType w:val="multilevel"/>
    <w:tmpl w:val="3F4D1D0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099A159"/>
    <w:multiLevelType w:val="singleLevel"/>
    <w:tmpl w:val="6099A159"/>
    <w:lvl w:ilvl="0" w:tentative="0">
      <w:start w:val="1"/>
      <w:numFmt w:val="decimal"/>
      <w:suff w:val="nothing"/>
      <w:lvlText w:val="%1、"/>
      <w:lvlJc w:val="left"/>
      <w:rPr>
        <w:rFonts w:cs="Times New Roman"/>
      </w:rPr>
    </w:lvl>
  </w:abstractNum>
  <w:abstractNum w:abstractNumId="4">
    <w:nsid w:val="68B40337"/>
    <w:multiLevelType w:val="multilevel"/>
    <w:tmpl w:val="68B40337"/>
    <w:lvl w:ilvl="0" w:tentative="0">
      <w:start w:val="1"/>
      <w:numFmt w:val="japaneseCounting"/>
      <w:pStyle w:val="50"/>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WM5ZmE1ZTg2YWQyZjkyNDFjNDRlY2FmM2Y3Yzg0ZDM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2E0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8F0228"/>
    <w:rsid w:val="035D4211"/>
    <w:rsid w:val="037D5EE3"/>
    <w:rsid w:val="04CF6E29"/>
    <w:rsid w:val="05111DAD"/>
    <w:rsid w:val="059366CF"/>
    <w:rsid w:val="05BE2E3E"/>
    <w:rsid w:val="05D00163"/>
    <w:rsid w:val="06F15928"/>
    <w:rsid w:val="077C34B8"/>
    <w:rsid w:val="07A209C4"/>
    <w:rsid w:val="080D26DA"/>
    <w:rsid w:val="08284245"/>
    <w:rsid w:val="086F1260"/>
    <w:rsid w:val="0880226D"/>
    <w:rsid w:val="089F2BDE"/>
    <w:rsid w:val="08BB2505"/>
    <w:rsid w:val="099A07E1"/>
    <w:rsid w:val="0A9B4FED"/>
    <w:rsid w:val="0B0C0A79"/>
    <w:rsid w:val="0B451F6A"/>
    <w:rsid w:val="0BA14D3A"/>
    <w:rsid w:val="0C6F4C8D"/>
    <w:rsid w:val="0D0E0EB6"/>
    <w:rsid w:val="0DE142CB"/>
    <w:rsid w:val="0FDC1CDC"/>
    <w:rsid w:val="10223C48"/>
    <w:rsid w:val="104502E7"/>
    <w:rsid w:val="11A97DFC"/>
    <w:rsid w:val="12475EA9"/>
    <w:rsid w:val="133360BD"/>
    <w:rsid w:val="137F7471"/>
    <w:rsid w:val="146E4633"/>
    <w:rsid w:val="150412EA"/>
    <w:rsid w:val="171438BA"/>
    <w:rsid w:val="17230955"/>
    <w:rsid w:val="172309AA"/>
    <w:rsid w:val="180F5427"/>
    <w:rsid w:val="182770BA"/>
    <w:rsid w:val="18863017"/>
    <w:rsid w:val="18AC6D73"/>
    <w:rsid w:val="1B4716B4"/>
    <w:rsid w:val="1BEE7E74"/>
    <w:rsid w:val="1C08419D"/>
    <w:rsid w:val="1D4D5FFD"/>
    <w:rsid w:val="1E1216D7"/>
    <w:rsid w:val="1EB43554"/>
    <w:rsid w:val="1F7A0970"/>
    <w:rsid w:val="209E2C67"/>
    <w:rsid w:val="21581D11"/>
    <w:rsid w:val="216D1D4D"/>
    <w:rsid w:val="216F32CA"/>
    <w:rsid w:val="22124112"/>
    <w:rsid w:val="225C19C8"/>
    <w:rsid w:val="23F57352"/>
    <w:rsid w:val="249A7996"/>
    <w:rsid w:val="261C543B"/>
    <w:rsid w:val="267E2359"/>
    <w:rsid w:val="26BC7CBC"/>
    <w:rsid w:val="270B17B9"/>
    <w:rsid w:val="27447ED5"/>
    <w:rsid w:val="275F3A77"/>
    <w:rsid w:val="284F0253"/>
    <w:rsid w:val="28644870"/>
    <w:rsid w:val="28941B11"/>
    <w:rsid w:val="2A891206"/>
    <w:rsid w:val="2AC5216B"/>
    <w:rsid w:val="2AE949DF"/>
    <w:rsid w:val="2B2C3F7A"/>
    <w:rsid w:val="2B325AD0"/>
    <w:rsid w:val="2B3B474B"/>
    <w:rsid w:val="2B8D044E"/>
    <w:rsid w:val="2B8E43CA"/>
    <w:rsid w:val="2C016BB8"/>
    <w:rsid w:val="2D77461B"/>
    <w:rsid w:val="2E015014"/>
    <w:rsid w:val="2E400C5F"/>
    <w:rsid w:val="2E5209E3"/>
    <w:rsid w:val="2EB01AFE"/>
    <w:rsid w:val="2F02606D"/>
    <w:rsid w:val="30592C7B"/>
    <w:rsid w:val="30D1119A"/>
    <w:rsid w:val="30F12F4C"/>
    <w:rsid w:val="3112402E"/>
    <w:rsid w:val="313D3E38"/>
    <w:rsid w:val="32207B6B"/>
    <w:rsid w:val="32611BF0"/>
    <w:rsid w:val="33A83294"/>
    <w:rsid w:val="34011E26"/>
    <w:rsid w:val="341B4D23"/>
    <w:rsid w:val="345C5D91"/>
    <w:rsid w:val="35613714"/>
    <w:rsid w:val="358C4411"/>
    <w:rsid w:val="36A81FB2"/>
    <w:rsid w:val="3722158D"/>
    <w:rsid w:val="375E09FC"/>
    <w:rsid w:val="38525FA9"/>
    <w:rsid w:val="39003F1D"/>
    <w:rsid w:val="39276876"/>
    <w:rsid w:val="392B2930"/>
    <w:rsid w:val="3AB56764"/>
    <w:rsid w:val="3AC853CC"/>
    <w:rsid w:val="3B66136D"/>
    <w:rsid w:val="3C582CD8"/>
    <w:rsid w:val="3E094E14"/>
    <w:rsid w:val="3E2546CD"/>
    <w:rsid w:val="3E5874B7"/>
    <w:rsid w:val="40531C58"/>
    <w:rsid w:val="41192D98"/>
    <w:rsid w:val="413E5CD9"/>
    <w:rsid w:val="43425F9D"/>
    <w:rsid w:val="43F465D0"/>
    <w:rsid w:val="442A053D"/>
    <w:rsid w:val="44440739"/>
    <w:rsid w:val="446F65B8"/>
    <w:rsid w:val="44F057A6"/>
    <w:rsid w:val="45A95346"/>
    <w:rsid w:val="46416F41"/>
    <w:rsid w:val="464E48D9"/>
    <w:rsid w:val="467D6748"/>
    <w:rsid w:val="46C4203A"/>
    <w:rsid w:val="470E29AE"/>
    <w:rsid w:val="47946434"/>
    <w:rsid w:val="49CB0CCD"/>
    <w:rsid w:val="4AA610D6"/>
    <w:rsid w:val="4AD618B2"/>
    <w:rsid w:val="4B0C055A"/>
    <w:rsid w:val="4C1B7A56"/>
    <w:rsid w:val="4C610D2E"/>
    <w:rsid w:val="4C8B4A7C"/>
    <w:rsid w:val="4CFC368B"/>
    <w:rsid w:val="4E7D412D"/>
    <w:rsid w:val="4EBE4481"/>
    <w:rsid w:val="4F086AAF"/>
    <w:rsid w:val="5069668A"/>
    <w:rsid w:val="50A83CB2"/>
    <w:rsid w:val="512B42F2"/>
    <w:rsid w:val="5247520B"/>
    <w:rsid w:val="538E5DEC"/>
    <w:rsid w:val="56D076DF"/>
    <w:rsid w:val="56E34736"/>
    <w:rsid w:val="56FB15A3"/>
    <w:rsid w:val="572C3C94"/>
    <w:rsid w:val="57806BBC"/>
    <w:rsid w:val="58963DA7"/>
    <w:rsid w:val="592C3305"/>
    <w:rsid w:val="5A2C7551"/>
    <w:rsid w:val="5A400720"/>
    <w:rsid w:val="5B33669F"/>
    <w:rsid w:val="5B397B76"/>
    <w:rsid w:val="5C072B21"/>
    <w:rsid w:val="5CF4139A"/>
    <w:rsid w:val="5D693C9C"/>
    <w:rsid w:val="5D9D7735"/>
    <w:rsid w:val="5DE973D6"/>
    <w:rsid w:val="5E5E457D"/>
    <w:rsid w:val="5E8D2D21"/>
    <w:rsid w:val="5EBD1212"/>
    <w:rsid w:val="5F1D6CF6"/>
    <w:rsid w:val="5F616FA8"/>
    <w:rsid w:val="5FAD0DCB"/>
    <w:rsid w:val="60C82A21"/>
    <w:rsid w:val="61EE5BEB"/>
    <w:rsid w:val="623F329A"/>
    <w:rsid w:val="62695E27"/>
    <w:rsid w:val="628242DE"/>
    <w:rsid w:val="62BE7007"/>
    <w:rsid w:val="636127C3"/>
    <w:rsid w:val="637528F4"/>
    <w:rsid w:val="6381342F"/>
    <w:rsid w:val="650B601A"/>
    <w:rsid w:val="6541100E"/>
    <w:rsid w:val="654C0BA8"/>
    <w:rsid w:val="664352EB"/>
    <w:rsid w:val="672079BD"/>
    <w:rsid w:val="683E7EE4"/>
    <w:rsid w:val="69356912"/>
    <w:rsid w:val="696610E4"/>
    <w:rsid w:val="6A83721D"/>
    <w:rsid w:val="6AE21101"/>
    <w:rsid w:val="6B4F3B9E"/>
    <w:rsid w:val="6B59484F"/>
    <w:rsid w:val="6BD63153"/>
    <w:rsid w:val="6BFE0B4D"/>
    <w:rsid w:val="6C5B55DC"/>
    <w:rsid w:val="6C920FC8"/>
    <w:rsid w:val="6CAE03DD"/>
    <w:rsid w:val="6CE56E6B"/>
    <w:rsid w:val="6D032DAA"/>
    <w:rsid w:val="6DFD769B"/>
    <w:rsid w:val="6E005A26"/>
    <w:rsid w:val="6E6329C5"/>
    <w:rsid w:val="6EFF345A"/>
    <w:rsid w:val="6F0E41D6"/>
    <w:rsid w:val="6F4F7C8F"/>
    <w:rsid w:val="6FB4540B"/>
    <w:rsid w:val="70C73255"/>
    <w:rsid w:val="71126C39"/>
    <w:rsid w:val="715F328E"/>
    <w:rsid w:val="71610FBE"/>
    <w:rsid w:val="725008FF"/>
    <w:rsid w:val="72760778"/>
    <w:rsid w:val="73034614"/>
    <w:rsid w:val="743104E3"/>
    <w:rsid w:val="74320C3C"/>
    <w:rsid w:val="74513162"/>
    <w:rsid w:val="75431AF8"/>
    <w:rsid w:val="757B75BC"/>
    <w:rsid w:val="76A665D3"/>
    <w:rsid w:val="78BD1F9D"/>
    <w:rsid w:val="79201CE1"/>
    <w:rsid w:val="79B14724"/>
    <w:rsid w:val="7B3E0A41"/>
    <w:rsid w:val="7C323980"/>
    <w:rsid w:val="7CD715B4"/>
    <w:rsid w:val="7D730629"/>
    <w:rsid w:val="7E01395C"/>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5">
    <w:name w:val="heading 1"/>
    <w:basedOn w:val="1"/>
    <w:next w:val="1"/>
    <w:link w:val="29"/>
    <w:qFormat/>
    <w:uiPriority w:val="99"/>
    <w:pPr>
      <w:keepNext/>
      <w:keepLines/>
      <w:spacing w:before="340" w:after="330" w:line="578" w:lineRule="auto"/>
      <w:outlineLvl w:val="0"/>
    </w:pPr>
    <w:rPr>
      <w:b/>
      <w:bCs/>
      <w:kern w:val="44"/>
      <w:sz w:val="44"/>
      <w:szCs w:val="44"/>
    </w:rPr>
  </w:style>
  <w:style w:type="paragraph" w:styleId="6">
    <w:name w:val="heading 2"/>
    <w:basedOn w:val="1"/>
    <w:next w:val="1"/>
    <w:link w:val="30"/>
    <w:qFormat/>
    <w:uiPriority w:val="99"/>
    <w:pPr>
      <w:keepNext/>
      <w:keepLines/>
      <w:spacing w:before="260" w:after="260" w:line="416" w:lineRule="auto"/>
      <w:outlineLvl w:val="1"/>
    </w:pPr>
    <w:rPr>
      <w:rFonts w:ascii="Cambria" w:hAnsi="Cambria"/>
      <w:b/>
      <w:bCs/>
      <w:sz w:val="32"/>
      <w:szCs w:val="32"/>
    </w:rPr>
  </w:style>
  <w:style w:type="paragraph" w:styleId="7">
    <w:name w:val="heading 3"/>
    <w:basedOn w:val="1"/>
    <w:next w:val="1"/>
    <w:link w:val="31"/>
    <w:qFormat/>
    <w:uiPriority w:val="99"/>
    <w:pPr>
      <w:keepNext/>
      <w:keepLines/>
      <w:widowControl/>
      <w:spacing w:before="260" w:after="260" w:line="413" w:lineRule="auto"/>
      <w:outlineLvl w:val="2"/>
    </w:pPr>
    <w:rPr>
      <w:rFonts w:ascii="Calibri" w:hAnsi="Calibri" w:cs="宋体"/>
      <w:b/>
      <w:sz w:val="32"/>
      <w:szCs w:val="22"/>
    </w:rPr>
  </w:style>
  <w:style w:type="paragraph" w:styleId="8">
    <w:name w:val="heading 4"/>
    <w:basedOn w:val="1"/>
    <w:next w:val="1"/>
    <w:link w:val="32"/>
    <w:qFormat/>
    <w:uiPriority w:val="99"/>
    <w:pPr>
      <w:keepNext/>
      <w:keepLines/>
      <w:spacing w:before="280" w:after="290" w:line="376" w:lineRule="auto"/>
      <w:outlineLvl w:val="3"/>
    </w:pPr>
    <w:rPr>
      <w:rFonts w:ascii="Arial" w:hAnsi="Arial" w:eastAsia="黑体"/>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99"/>
    <w:pPr>
      <w:ind w:left="567" w:leftChars="270" w:firstLine="420" w:firstLineChars="200"/>
    </w:pPr>
    <w:rPr>
      <w:color w:val="000000"/>
    </w:rPr>
  </w:style>
  <w:style w:type="paragraph" w:styleId="3">
    <w:name w:val="Body Text Indent"/>
    <w:basedOn w:val="1"/>
    <w:next w:val="4"/>
    <w:qFormat/>
    <w:uiPriority w:val="0"/>
    <w:pPr>
      <w:spacing w:after="120"/>
      <w:ind w:left="420" w:leftChars="200"/>
    </w:pPr>
  </w:style>
  <w:style w:type="paragraph" w:styleId="4">
    <w:name w:val="envelope return"/>
    <w:basedOn w:val="1"/>
    <w:unhideWhenUsed/>
    <w:qFormat/>
    <w:uiPriority w:val="99"/>
    <w:rPr>
      <w:rFonts w:hint="eastAsia" w:ascii="Arial" w:hAnsi="Arial"/>
    </w:rPr>
  </w:style>
  <w:style w:type="paragraph" w:styleId="9">
    <w:name w:val="Normal Indent"/>
    <w:basedOn w:val="1"/>
    <w:link w:val="49"/>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10">
    <w:name w:val="Document Map"/>
    <w:basedOn w:val="1"/>
    <w:link w:val="33"/>
    <w:qFormat/>
    <w:uiPriority w:val="99"/>
    <w:rPr>
      <w:rFonts w:ascii="宋体"/>
      <w:sz w:val="18"/>
      <w:szCs w:val="18"/>
    </w:rPr>
  </w:style>
  <w:style w:type="paragraph" w:styleId="11">
    <w:name w:val="annotation text"/>
    <w:basedOn w:val="1"/>
    <w:link w:val="34"/>
    <w:qFormat/>
    <w:uiPriority w:val="99"/>
    <w:pPr>
      <w:jc w:val="left"/>
    </w:pPr>
  </w:style>
  <w:style w:type="paragraph" w:styleId="12">
    <w:name w:val="Body Text"/>
    <w:basedOn w:val="1"/>
    <w:next w:val="13"/>
    <w:link w:val="35"/>
    <w:qFormat/>
    <w:uiPriority w:val="99"/>
    <w:pPr>
      <w:spacing w:after="120"/>
    </w:pPr>
  </w:style>
  <w:style w:type="paragraph" w:styleId="13">
    <w:name w:val="Body Text First Indent"/>
    <w:basedOn w:val="12"/>
    <w:next w:val="14"/>
    <w:link w:val="39"/>
    <w:qFormat/>
    <w:uiPriority w:val="99"/>
    <w:pPr>
      <w:widowControl/>
      <w:ind w:firstLine="420" w:firstLineChars="100"/>
    </w:pPr>
    <w:rPr>
      <w:rFonts w:ascii="Calibri" w:hAnsi="Calibri" w:cs="宋体"/>
      <w:szCs w:val="22"/>
    </w:rPr>
  </w:style>
  <w:style w:type="paragraph" w:customStyle="1" w:styleId="14">
    <w:name w:val="样式 正文首行缩进 + 首行缩进:  1 字符"/>
    <w:basedOn w:val="1"/>
    <w:next w:val="1"/>
    <w:qFormat/>
    <w:uiPriority w:val="0"/>
    <w:pPr>
      <w:ind w:firstLine="200" w:firstLineChars="200"/>
    </w:pPr>
    <w:rPr>
      <w:rFonts w:cs="宋体"/>
    </w:rPr>
  </w:style>
  <w:style w:type="paragraph" w:styleId="15">
    <w:name w:val="Plain Text"/>
    <w:basedOn w:val="1"/>
    <w:link w:val="51"/>
    <w:qFormat/>
    <w:uiPriority w:val="99"/>
    <w:pPr>
      <w:tabs>
        <w:tab w:val="left" w:pos="-105"/>
      </w:tabs>
      <w:spacing w:line="440" w:lineRule="exact"/>
      <w:ind w:right="-147" w:rightChars="-70"/>
      <w:outlineLvl w:val="2"/>
    </w:pPr>
    <w:rPr>
      <w:rFonts w:ascii="宋体" w:hAnsi="Courier New"/>
      <w:sz w:val="24"/>
      <w:szCs w:val="21"/>
    </w:rPr>
  </w:style>
  <w:style w:type="paragraph" w:styleId="16">
    <w:name w:val="Balloon Text"/>
    <w:basedOn w:val="1"/>
    <w:link w:val="36"/>
    <w:qFormat/>
    <w:uiPriority w:val="99"/>
    <w:rPr>
      <w:sz w:val="18"/>
      <w:szCs w:val="18"/>
    </w:rPr>
  </w:style>
  <w:style w:type="paragraph" w:styleId="17">
    <w:name w:val="footer"/>
    <w:basedOn w:val="1"/>
    <w:link w:val="37"/>
    <w:qFormat/>
    <w:uiPriority w:val="99"/>
    <w:pPr>
      <w:tabs>
        <w:tab w:val="center" w:pos="4153"/>
        <w:tab w:val="right" w:pos="8306"/>
      </w:tabs>
      <w:snapToGrid w:val="0"/>
      <w:jc w:val="left"/>
    </w:pPr>
    <w:rPr>
      <w:sz w:val="18"/>
      <w:szCs w:val="18"/>
    </w:rPr>
  </w:style>
  <w:style w:type="paragraph" w:styleId="18">
    <w:name w:val="header"/>
    <w:basedOn w:val="1"/>
    <w:link w:val="38"/>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20">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1">
    <w:name w:val="annotation subject"/>
    <w:basedOn w:val="11"/>
    <w:next w:val="11"/>
    <w:link w:val="56"/>
    <w:semiHidden/>
    <w:qFormat/>
    <w:uiPriority w:val="99"/>
    <w:rPr>
      <w:b/>
      <w:bCs/>
    </w:rPr>
  </w:style>
  <w:style w:type="table" w:styleId="23">
    <w:name w:val="Table Grid"/>
    <w:basedOn w:val="22"/>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locked/>
    <w:uiPriority w:val="22"/>
    <w:rPr>
      <w:b/>
    </w:rPr>
  </w:style>
  <w:style w:type="character" w:styleId="26">
    <w:name w:val="Hyperlink"/>
    <w:basedOn w:val="24"/>
    <w:qFormat/>
    <w:uiPriority w:val="99"/>
    <w:rPr>
      <w:rFonts w:cs="Times New Roman"/>
      <w:color w:val="0000FF"/>
      <w:u w:val="single"/>
    </w:rPr>
  </w:style>
  <w:style w:type="character" w:styleId="27">
    <w:name w:val="annotation reference"/>
    <w:basedOn w:val="24"/>
    <w:qFormat/>
    <w:uiPriority w:val="99"/>
    <w:rPr>
      <w:rFonts w:cs="Times New Roman"/>
      <w:sz w:val="21"/>
      <w:szCs w:val="21"/>
    </w:rPr>
  </w:style>
  <w:style w:type="paragraph" w:customStyle="1" w:styleId="28">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9">
    <w:name w:val="标题 1 Char"/>
    <w:basedOn w:val="24"/>
    <w:link w:val="5"/>
    <w:qFormat/>
    <w:locked/>
    <w:uiPriority w:val="99"/>
    <w:rPr>
      <w:rFonts w:ascii="Times New Roman" w:hAnsi="Times New Roman" w:eastAsia="宋体" w:cs="Times New Roman"/>
      <w:b/>
      <w:bCs/>
      <w:kern w:val="44"/>
      <w:sz w:val="44"/>
      <w:szCs w:val="44"/>
    </w:rPr>
  </w:style>
  <w:style w:type="character" w:customStyle="1" w:styleId="30">
    <w:name w:val="标题 2 Char"/>
    <w:basedOn w:val="24"/>
    <w:link w:val="6"/>
    <w:qFormat/>
    <w:locked/>
    <w:uiPriority w:val="99"/>
    <w:rPr>
      <w:rFonts w:ascii="Cambria" w:hAnsi="Cambria" w:eastAsia="宋体" w:cs="Times New Roman"/>
      <w:b/>
      <w:bCs/>
      <w:kern w:val="2"/>
      <w:sz w:val="32"/>
      <w:szCs w:val="32"/>
    </w:rPr>
  </w:style>
  <w:style w:type="character" w:customStyle="1" w:styleId="31">
    <w:name w:val="标题 3 Char"/>
    <w:basedOn w:val="24"/>
    <w:link w:val="7"/>
    <w:qFormat/>
    <w:locked/>
    <w:uiPriority w:val="99"/>
    <w:rPr>
      <w:rFonts w:eastAsia="宋体" w:cs="Times New Roman"/>
      <w:b/>
      <w:sz w:val="32"/>
    </w:rPr>
  </w:style>
  <w:style w:type="character" w:customStyle="1" w:styleId="32">
    <w:name w:val="标题 4 Char"/>
    <w:basedOn w:val="24"/>
    <w:link w:val="8"/>
    <w:qFormat/>
    <w:locked/>
    <w:uiPriority w:val="99"/>
    <w:rPr>
      <w:rFonts w:ascii="Arial" w:hAnsi="Arial" w:eastAsia="黑体" w:cs="Times New Roman"/>
      <w:b/>
      <w:bCs/>
      <w:kern w:val="2"/>
      <w:sz w:val="28"/>
      <w:szCs w:val="28"/>
    </w:rPr>
  </w:style>
  <w:style w:type="character" w:customStyle="1" w:styleId="33">
    <w:name w:val="文档结构图 Char"/>
    <w:basedOn w:val="24"/>
    <w:link w:val="10"/>
    <w:qFormat/>
    <w:locked/>
    <w:uiPriority w:val="99"/>
    <w:rPr>
      <w:rFonts w:ascii="宋体" w:hAnsi="Times New Roman" w:eastAsia="宋体" w:cs="Times New Roman"/>
      <w:kern w:val="2"/>
      <w:sz w:val="18"/>
      <w:szCs w:val="18"/>
    </w:rPr>
  </w:style>
  <w:style w:type="character" w:customStyle="1" w:styleId="34">
    <w:name w:val="批注文字 Char"/>
    <w:basedOn w:val="24"/>
    <w:link w:val="11"/>
    <w:qFormat/>
    <w:locked/>
    <w:uiPriority w:val="99"/>
    <w:rPr>
      <w:rFonts w:ascii="Times New Roman" w:hAnsi="Times New Roman" w:cs="Times New Roman"/>
      <w:kern w:val="2"/>
      <w:sz w:val="21"/>
    </w:rPr>
  </w:style>
  <w:style w:type="character" w:customStyle="1" w:styleId="35">
    <w:name w:val="正文文本 Char"/>
    <w:basedOn w:val="24"/>
    <w:link w:val="12"/>
    <w:qFormat/>
    <w:locked/>
    <w:uiPriority w:val="99"/>
    <w:rPr>
      <w:rFonts w:ascii="Times New Roman" w:hAnsi="Times New Roman" w:eastAsia="宋体" w:cs="Times New Roman"/>
      <w:sz w:val="20"/>
      <w:szCs w:val="20"/>
    </w:rPr>
  </w:style>
  <w:style w:type="character" w:customStyle="1" w:styleId="36">
    <w:name w:val="批注框文本 Char"/>
    <w:basedOn w:val="24"/>
    <w:link w:val="16"/>
    <w:qFormat/>
    <w:locked/>
    <w:uiPriority w:val="99"/>
    <w:rPr>
      <w:rFonts w:ascii="Times New Roman" w:hAnsi="Times New Roman" w:eastAsia="宋体" w:cs="Times New Roman"/>
      <w:kern w:val="2"/>
      <w:sz w:val="18"/>
      <w:szCs w:val="18"/>
    </w:rPr>
  </w:style>
  <w:style w:type="character" w:customStyle="1" w:styleId="37">
    <w:name w:val="页脚 Char"/>
    <w:basedOn w:val="24"/>
    <w:link w:val="17"/>
    <w:qFormat/>
    <w:locked/>
    <w:uiPriority w:val="99"/>
    <w:rPr>
      <w:rFonts w:ascii="Times New Roman" w:hAnsi="Times New Roman" w:eastAsia="宋体" w:cs="Times New Roman"/>
      <w:sz w:val="18"/>
      <w:szCs w:val="18"/>
    </w:rPr>
  </w:style>
  <w:style w:type="character" w:customStyle="1" w:styleId="38">
    <w:name w:val="页眉 Char"/>
    <w:basedOn w:val="24"/>
    <w:link w:val="18"/>
    <w:qFormat/>
    <w:locked/>
    <w:uiPriority w:val="99"/>
    <w:rPr>
      <w:rFonts w:ascii="Times New Roman" w:hAnsi="Times New Roman" w:eastAsia="宋体" w:cs="Times New Roman"/>
      <w:sz w:val="18"/>
      <w:szCs w:val="18"/>
    </w:rPr>
  </w:style>
  <w:style w:type="character" w:customStyle="1" w:styleId="39">
    <w:name w:val="正文首行缩进 Char"/>
    <w:basedOn w:val="35"/>
    <w:link w:val="13"/>
    <w:qFormat/>
    <w:locked/>
    <w:uiPriority w:val="99"/>
    <w:rPr>
      <w:rFonts w:ascii="Times New Roman" w:hAnsi="Times New Roman" w:eastAsia="宋体" w:cs="Times New Roman"/>
      <w:sz w:val="20"/>
      <w:szCs w:val="20"/>
    </w:rPr>
  </w:style>
  <w:style w:type="character" w:customStyle="1" w:styleId="40">
    <w:name w:val="正文缩进2格 Char"/>
    <w:link w:val="41"/>
    <w:qFormat/>
    <w:locked/>
    <w:uiPriority w:val="99"/>
    <w:rPr>
      <w:rFonts w:ascii="仿宋_GB2312" w:hAnsi="宋体" w:eastAsia="仿宋_GB2312"/>
      <w:sz w:val="31"/>
    </w:rPr>
  </w:style>
  <w:style w:type="paragraph" w:customStyle="1" w:styleId="41">
    <w:name w:val="正文缩进2格"/>
    <w:basedOn w:val="1"/>
    <w:link w:val="40"/>
    <w:qFormat/>
    <w:uiPriority w:val="99"/>
    <w:pPr>
      <w:spacing w:line="600" w:lineRule="exact"/>
      <w:ind w:firstLine="639" w:firstLineChars="206"/>
    </w:pPr>
    <w:rPr>
      <w:rFonts w:ascii="仿宋_GB2312" w:hAnsi="宋体" w:eastAsia="仿宋_GB2312"/>
      <w:kern w:val="0"/>
      <w:sz w:val="31"/>
      <w:szCs w:val="31"/>
    </w:rPr>
  </w:style>
  <w:style w:type="paragraph" w:customStyle="1" w:styleId="42">
    <w:name w:val="列出段落1"/>
    <w:basedOn w:val="1"/>
    <w:qFormat/>
    <w:uiPriority w:val="99"/>
    <w:pPr>
      <w:ind w:firstLine="420" w:firstLineChars="200"/>
    </w:pPr>
  </w:style>
  <w:style w:type="paragraph" w:customStyle="1" w:styleId="43">
    <w:name w:val="列出段落2"/>
    <w:basedOn w:val="1"/>
    <w:qFormat/>
    <w:uiPriority w:val="99"/>
    <w:pPr>
      <w:ind w:firstLine="420" w:firstLineChars="200"/>
    </w:pPr>
  </w:style>
  <w:style w:type="paragraph" w:styleId="44">
    <w:name w:val="List Paragraph"/>
    <w:basedOn w:val="1"/>
    <w:qFormat/>
    <w:uiPriority w:val="99"/>
    <w:pPr>
      <w:ind w:firstLine="420" w:firstLineChars="200"/>
    </w:pPr>
  </w:style>
  <w:style w:type="character" w:customStyle="1" w:styleId="45">
    <w:name w:val="fontstyle01"/>
    <w:basedOn w:val="24"/>
    <w:qFormat/>
    <w:uiPriority w:val="99"/>
    <w:rPr>
      <w:rFonts w:ascii="仿宋" w:hAnsi="仿宋" w:eastAsia="仿宋" w:cs="Times New Roman"/>
      <w:color w:val="000000"/>
      <w:sz w:val="28"/>
      <w:szCs w:val="28"/>
    </w:rPr>
  </w:style>
  <w:style w:type="character" w:customStyle="1" w:styleId="46">
    <w:name w:val="！正文 Char"/>
    <w:link w:val="47"/>
    <w:qFormat/>
    <w:locked/>
    <w:uiPriority w:val="99"/>
    <w:rPr>
      <w:rFonts w:ascii="Arial" w:hAnsi="Arial"/>
      <w:sz w:val="24"/>
    </w:rPr>
  </w:style>
  <w:style w:type="paragraph" w:customStyle="1" w:styleId="47">
    <w:name w:val="！正文"/>
    <w:basedOn w:val="1"/>
    <w:link w:val="46"/>
    <w:qFormat/>
    <w:uiPriority w:val="99"/>
    <w:pPr>
      <w:spacing w:line="360" w:lineRule="auto"/>
      <w:ind w:firstLine="200" w:firstLineChars="200"/>
    </w:pPr>
    <w:rPr>
      <w:rFonts w:ascii="Arial" w:hAnsi="Arial" w:eastAsia="等线"/>
      <w:kern w:val="0"/>
      <w:sz w:val="24"/>
      <w:szCs w:val="24"/>
    </w:rPr>
  </w:style>
  <w:style w:type="paragraph" w:customStyle="1" w:styleId="48">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9">
    <w:name w:val="正文缩进 Char"/>
    <w:link w:val="9"/>
    <w:qFormat/>
    <w:locked/>
    <w:uiPriority w:val="99"/>
    <w:rPr>
      <w:sz w:val="24"/>
    </w:rPr>
  </w:style>
  <w:style w:type="paragraph" w:customStyle="1" w:styleId="50">
    <w:name w:val="标准书脚_奇数页"/>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51">
    <w:name w:val="纯文本 Char"/>
    <w:basedOn w:val="24"/>
    <w:link w:val="15"/>
    <w:qFormat/>
    <w:locked/>
    <w:uiPriority w:val="99"/>
    <w:rPr>
      <w:rFonts w:ascii="宋体" w:hAnsi="Courier New" w:eastAsia="宋体" w:cs="Times New Roman"/>
      <w:kern w:val="2"/>
      <w:sz w:val="21"/>
      <w:szCs w:val="21"/>
    </w:rPr>
  </w:style>
  <w:style w:type="character" w:customStyle="1" w:styleId="52">
    <w:name w:val="未处理的提及1"/>
    <w:basedOn w:val="24"/>
    <w:semiHidden/>
    <w:qFormat/>
    <w:uiPriority w:val="99"/>
    <w:rPr>
      <w:rFonts w:cs="Times New Roman"/>
      <w:color w:val="605E5C"/>
      <w:shd w:val="clear" w:color="auto" w:fill="E1DFDD"/>
    </w:rPr>
  </w:style>
  <w:style w:type="paragraph" w:customStyle="1" w:styleId="53">
    <w:name w:val="样式"/>
    <w:basedOn w:val="1"/>
    <w:next w:val="44"/>
    <w:qFormat/>
    <w:uiPriority w:val="99"/>
    <w:pPr>
      <w:ind w:firstLine="420" w:firstLineChars="200"/>
    </w:pPr>
    <w:rPr>
      <w:rFonts w:ascii="Calibri" w:hAnsi="Calibri"/>
      <w:szCs w:val="22"/>
    </w:rPr>
  </w:style>
  <w:style w:type="character" w:customStyle="1" w:styleId="54">
    <w:name w:val="Body Text Indent 2 Char Char"/>
    <w:link w:val="55"/>
    <w:qFormat/>
    <w:locked/>
    <w:uiPriority w:val="99"/>
  </w:style>
  <w:style w:type="paragraph" w:customStyle="1" w:styleId="55">
    <w:name w:val="正文文本缩进 21"/>
    <w:basedOn w:val="1"/>
    <w:link w:val="54"/>
    <w:qFormat/>
    <w:uiPriority w:val="99"/>
    <w:pPr>
      <w:adjustRightInd w:val="0"/>
      <w:spacing w:line="480" w:lineRule="auto"/>
      <w:ind w:firstLine="540"/>
    </w:pPr>
    <w:rPr>
      <w:rFonts w:ascii="Calibri" w:hAnsi="Calibri" w:eastAsia="等线"/>
      <w:kern w:val="0"/>
      <w:sz w:val="20"/>
    </w:rPr>
  </w:style>
  <w:style w:type="character" w:customStyle="1" w:styleId="56">
    <w:name w:val="批注主题 Char"/>
    <w:basedOn w:val="34"/>
    <w:link w:val="21"/>
    <w:semiHidden/>
    <w:qFormat/>
    <w:locked/>
    <w:uiPriority w:val="99"/>
    <w:rPr>
      <w:rFonts w:ascii="Times New Roman" w:hAnsi="Times New Roman" w:eastAsia="宋体" w:cs="Times New Roman"/>
      <w:b/>
      <w:bCs/>
      <w:kern w:val="2"/>
      <w:sz w:val="21"/>
    </w:rPr>
  </w:style>
  <w:style w:type="character" w:customStyle="1" w:styleId="57">
    <w:name w:val="标题 4 字符"/>
    <w:basedOn w:val="24"/>
    <w:semiHidden/>
    <w:qFormat/>
    <w:uiPriority w:val="99"/>
    <w:rPr>
      <w:rFonts w:ascii="Cambria" w:hAnsi="Cambria" w:eastAsia="宋体" w:cs="Times New Roman"/>
      <w:b/>
      <w:bCs/>
      <w:kern w:val="2"/>
      <w:sz w:val="28"/>
      <w:szCs w:val="28"/>
    </w:rPr>
  </w:style>
  <w:style w:type="paragraph" w:customStyle="1" w:styleId="58">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9">
    <w:name w:val="致远要点"/>
    <w:basedOn w:val="44"/>
    <w:link w:val="60"/>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0">
    <w:name w:val="致远要点 字符"/>
    <w:basedOn w:val="24"/>
    <w:link w:val="59"/>
    <w:qFormat/>
    <w:locked/>
    <w:uiPriority w:val="99"/>
    <w:rPr>
      <w:rFonts w:ascii="黑体" w:hAnsi="黑体" w:eastAsia="黑体" w:cs="宋体"/>
      <w:kern w:val="2"/>
      <w:sz w:val="22"/>
      <w:szCs w:val="22"/>
    </w:rPr>
  </w:style>
  <w:style w:type="paragraph" w:customStyle="1" w:styleId="61">
    <w:name w:val="SANGFOR_6_正文"/>
    <w:basedOn w:val="1"/>
    <w:qFormat/>
    <w:uiPriority w:val="99"/>
    <w:pPr>
      <w:spacing w:line="360" w:lineRule="auto"/>
    </w:pPr>
    <w:rPr>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31</Pages>
  <Words>3859</Words>
  <Characters>4039</Characters>
  <Lines>4</Lines>
  <Paragraphs>7</Paragraphs>
  <TotalTime>103</TotalTime>
  <ScaleCrop>false</ScaleCrop>
  <LinksUpToDate>false</LinksUpToDate>
  <CharactersWithSpaces>4224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86138</dc:creator>
  <cp:lastModifiedBy>LV</cp:lastModifiedBy>
  <cp:lastPrinted>2020-06-08T08:11:00Z</cp:lastPrinted>
  <dcterms:modified xsi:type="dcterms:W3CDTF">2026-01-07T07:00:14Z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9C06B65765CB4A429B468F47EEFAB073</vt:lpwstr>
  </property>
  <property fmtid="{D5CDD505-2E9C-101B-9397-08002B2CF9AE}" pid="4" name="KSOTemplateDocerSaveRecord">
    <vt:lpwstr>eyJoZGlkIjoiNzNiNTM0Mjk3Nzk4YWY0OGVhMjUyNDM2Y2U4ZDA1ZTYiLCJ1c2VySWQiOiI5NDA4NDc3MTEifQ==</vt:lpwstr>
  </property>
</Properties>
</file>