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我司（东莞市新东欣环保投资有限公司）拟采购一批生产物资，现将相关情况介绍如下：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新东欣公司2025年生产物资采购（第23批）项目，含</w:t>
      </w:r>
      <w:r>
        <w:rPr>
          <w:rFonts w:hint="eastAsia" w:eastAsia="仿宋"/>
          <w:lang w:val="en-US" w:eastAsia="zh-CN"/>
        </w:rPr>
        <w:t>二</w:t>
      </w:r>
      <w:r>
        <w:rPr>
          <w:rFonts w:hint="eastAsia" w:eastAsia="仿宋"/>
          <w:lang w:eastAsia="zh-CN"/>
        </w:rPr>
        <w:t>个子包：</w:t>
      </w:r>
      <w:r>
        <w:rPr>
          <w:rFonts w:hint="eastAsia" w:eastAsia="仿宋"/>
          <w:lang w:val="en-US" w:eastAsia="zh-CN"/>
        </w:rPr>
        <w:t>A包电气仪表；B包五金</w:t>
      </w:r>
      <w:r>
        <w:rPr>
          <w:rFonts w:hint="default" w:eastAsia="仿宋"/>
          <w:lang w:val="en-US" w:eastAsia="zh-CN"/>
        </w:rPr>
        <w:t>备件</w:t>
      </w:r>
      <w:r>
        <w:rPr>
          <w:rFonts w:hint="default" w:eastAsia="仿宋"/>
        </w:rPr>
        <w:t>及其他物资</w:t>
      </w:r>
      <w:r>
        <w:rPr>
          <w:rFonts w:hint="eastAsia" w:eastAsia="仿宋"/>
          <w:lang w:val="en-US" w:eastAsia="zh-CN"/>
        </w:rPr>
        <w:t>。</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三、报价人资格要求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报价人须根据所参加的子包类型</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rPr>
        <w:t>报价人有依法缴纳税收</w:t>
      </w:r>
      <w:r>
        <w:rPr>
          <w:rFonts w:hint="eastAsia" w:eastAsia="仿宋"/>
          <w:lang w:val="en-US" w:eastAsia="zh-CN"/>
        </w:rPr>
        <w:t>且无欠税</w:t>
      </w:r>
      <w:r>
        <w:rPr>
          <w:rFonts w:hint="eastAsia" w:eastAsia="仿宋"/>
        </w:rPr>
        <w:t>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711F1616">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二</w:t>
      </w:r>
      <w:r>
        <w:rPr>
          <w:rFonts w:hint="eastAsia" w:eastAsia="仿宋"/>
          <w:b/>
          <w:bCs/>
        </w:rPr>
        <w:t>个子包：</w:t>
      </w:r>
      <w:r>
        <w:rPr>
          <w:rFonts w:hint="eastAsia" w:eastAsia="仿宋"/>
          <w:lang w:val="en-US" w:eastAsia="zh-CN"/>
        </w:rPr>
        <w:t>A包电气仪表；B包五金</w:t>
      </w:r>
      <w:r>
        <w:rPr>
          <w:rFonts w:hint="default" w:eastAsia="仿宋"/>
          <w:lang w:val="en-US" w:eastAsia="zh-CN"/>
        </w:rPr>
        <w:t>备件</w:t>
      </w:r>
      <w:r>
        <w:rPr>
          <w:rFonts w:hint="default" w:eastAsia="仿宋"/>
        </w:rPr>
        <w:t>及其他物资</w:t>
      </w:r>
      <w:r>
        <w:rPr>
          <w:rFonts w:hint="eastAsia" w:eastAsia="仿宋"/>
          <w:lang w:val="en-US" w:eastAsia="zh-CN"/>
        </w:rPr>
        <w:t>。</w:t>
      </w:r>
      <w:r>
        <w:rPr>
          <w:rFonts w:hint="eastAsia" w:eastAsia="仿宋"/>
          <w:b/>
          <w:bCs/>
        </w:rPr>
        <w:t>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4BFE491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新东欣公司2025年生产物资采购（第23批）项目</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4CE20F79">
      <w:pPr>
        <w:numPr>
          <w:ilvl w:val="0"/>
          <w:numId w:val="1"/>
        </w:numPr>
        <w:ind w:firstLine="560"/>
        <w:rPr>
          <w:rFonts w:eastAsia="仿宋"/>
        </w:rPr>
      </w:pPr>
      <w:r>
        <w:rPr>
          <w:rFonts w:hint="eastAsia" w:eastAsia="仿宋"/>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5F85A97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w:t>
      </w:r>
      <w:r>
        <w:rPr>
          <w:rFonts w:hint="eastAsia" w:eastAsia="仿宋"/>
          <w:lang w:val="en-US" w:eastAsia="zh-CN"/>
        </w:rPr>
        <w:t>及装卸</w:t>
      </w:r>
      <w:r>
        <w:rPr>
          <w:rFonts w:hint="eastAsia" w:eastAsia="仿宋"/>
        </w:rPr>
        <w:t>过程中所产生运输、装卸、搬运费用由</w:t>
      </w:r>
      <w:r>
        <w:rPr>
          <w:rFonts w:hint="eastAsia" w:eastAsia="仿宋"/>
          <w:lang w:val="en-US" w:eastAsia="zh-CN"/>
        </w:rPr>
        <w:t>成交人</w:t>
      </w:r>
      <w:r>
        <w:rPr>
          <w:rFonts w:hint="eastAsia" w:eastAsia="仿宋"/>
        </w:rPr>
        <w:t>负责。</w:t>
      </w:r>
    </w:p>
    <w:p w14:paraId="193093AC">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A741728">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2FFB3171">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60695EF5">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hint="eastAsia" w:eastAsia="仿宋"/>
          <w:lang w:val="en-US" w:eastAsia="zh-CN"/>
        </w:rPr>
        <w:t>1、</w:t>
      </w: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r>
        <w:rPr>
          <w:rFonts w:hint="eastAsia" w:eastAsia="仿宋"/>
        </w:rPr>
        <w:t>如最低报价出现两家或以上报价人报价相同的，则从最低报价的报价人中采取随机抽取的方式确定成交人。</w:t>
      </w:r>
    </w:p>
    <w:p w14:paraId="0F02338D">
      <w:pPr>
        <w:ind w:firstLine="560"/>
        <w:rPr>
          <w:rFonts w:hint="default" w:eastAsia="仿宋"/>
        </w:rPr>
      </w:pPr>
      <w:r>
        <w:rPr>
          <w:rFonts w:hint="eastAsia" w:eastAsia="仿宋"/>
          <w:lang w:val="en-US" w:eastAsia="zh-CN"/>
        </w:rPr>
        <w:t>2、如本项目发生多次采购，</w:t>
      </w:r>
      <w:r>
        <w:rPr>
          <w:rFonts w:hint="default" w:eastAsia="仿宋"/>
        </w:rPr>
        <w:t>根据以下情况可以现场申请转换采购方式继续采购：</w:t>
      </w:r>
    </w:p>
    <w:p w14:paraId="0C0A96F4">
      <w:pPr>
        <w:ind w:firstLine="560"/>
        <w:rPr>
          <w:rFonts w:hint="default" w:eastAsia="仿宋"/>
        </w:rPr>
      </w:pPr>
      <w:r>
        <w:rPr>
          <w:rFonts w:hint="default" w:eastAsia="仿宋"/>
        </w:rPr>
        <w:t>（1）当有效供应商只有2家时，经招采小组论证，采购文件没有不合理条款、采购程序符合规定的，经采购人和作出实质性响应的供应商代表同意后，可现场更改为2家供应商继续竞争性谈判采购。</w:t>
      </w:r>
    </w:p>
    <w:p w14:paraId="50C56C9D">
      <w:pPr>
        <w:ind w:firstLine="560"/>
        <w:rPr>
          <w:rFonts w:hint="default" w:eastAsia="仿宋"/>
        </w:rPr>
      </w:pPr>
      <w:r>
        <w:rPr>
          <w:rFonts w:hint="default" w:eastAsia="仿宋"/>
        </w:rPr>
        <w:t>（2）当有效供应商只有1家时，经招采小组论证，采购文件没有不合理条款、采购程序符合规定的，经采购人和作出实质性响应的供应商代表同意后，可现场更改为1家供应商继续定向谈判采购。</w:t>
      </w:r>
    </w:p>
    <w:p w14:paraId="32C02FFE">
      <w:pPr>
        <w:ind w:firstLine="560"/>
        <w:rPr>
          <w:rFonts w:hint="default" w:eastAsia="仿宋"/>
        </w:rPr>
      </w:pPr>
      <w:r>
        <w:rPr>
          <w:rFonts w:hint="default" w:eastAsia="仿宋"/>
        </w:rPr>
        <w:t>（3）若不同意转换采购方式，退出投标的供应商，投标保证金按采购文件规定退还。</w:t>
      </w:r>
    </w:p>
    <w:p w14:paraId="4ED83CF2">
      <w:pPr>
        <w:ind w:firstLine="560"/>
        <w:rPr>
          <w:rFonts w:eastAsia="仿宋"/>
        </w:rPr>
      </w:pPr>
      <w:r>
        <w:rPr>
          <w:rFonts w:hint="eastAsia" w:eastAsia="仿宋"/>
          <w:lang w:eastAsia="zh-CN"/>
        </w:rPr>
        <w:t>3</w:t>
      </w:r>
      <w:r>
        <w:rPr>
          <w:rFonts w:hint="default" w:eastAsia="仿宋"/>
        </w:rPr>
        <w:t>、如采购人对采购标的整体或主要部件有约定</w:t>
      </w:r>
      <w:r>
        <w:rPr>
          <w:rFonts w:hint="eastAsia" w:eastAsia="仿宋"/>
          <w:lang w:val="en-US" w:eastAsia="zh-CN"/>
        </w:rPr>
        <w:t>多个</w:t>
      </w:r>
      <w:r>
        <w:rPr>
          <w:rFonts w:hint="default" w:eastAsia="仿宋"/>
        </w:rPr>
        <w:t>品牌，采用最低评标价法的，提供相同品牌产品的不同投标人参加同一合同项下投标的，以其中通过资格审查、符合性审查且报价最低的参加评标（或参与转方式采购）；报价相同的，采取随机抽取方式确定，其他投标无效。</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根据所投标包清单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w:t>
      </w:r>
      <w:r>
        <w:rPr>
          <w:rFonts w:hint="eastAsia" w:eastAsia="仿宋"/>
          <w:lang w:val="en-US" w:eastAsia="zh-CN"/>
        </w:rPr>
        <w:t>且无欠税的</w:t>
      </w:r>
      <w:r>
        <w:rPr>
          <w:rFonts w:hint="eastAsia" w:eastAsia="仿宋"/>
        </w:rPr>
        <w:t>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本项目实行线上投标方式，报价人需严格按照要求进行报价。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1、报价人须严格按照采购人提供的表单格式及要求报价，</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08092C8">
      <w:pPr>
        <w:ind w:firstLine="560" w:firstLineChars="200"/>
        <w:rPr>
          <w:rFonts w:hint="eastAsia" w:eastAsia="宋体"/>
          <w:lang w:val="en-US" w:eastAsia="zh-CN"/>
        </w:rPr>
      </w:pPr>
      <w:r>
        <w:rPr>
          <w:rFonts w:hint="default" w:ascii="Times New Roman" w:hAnsi="Times New Roman" w:eastAsia="仿宋" w:cs="Times New Roman"/>
        </w:rPr>
        <w:t>3</w:t>
      </w:r>
      <w:r>
        <w:rPr>
          <w:rFonts w:hint="eastAsia" w:eastAsia="仿宋"/>
        </w:rPr>
        <w:t xml:space="preserve">、不符合本项要求的报价文件为无效报价。 </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12</w:t>
      </w:r>
      <w:r>
        <w:rPr>
          <w:rFonts w:eastAsia="仿宋"/>
        </w:rPr>
        <w:t>月</w:t>
      </w:r>
      <w:r>
        <w:rPr>
          <w:rFonts w:hint="eastAsia" w:eastAsia="仿宋"/>
          <w:lang w:val="en-US" w:eastAsia="zh-CN"/>
        </w:rPr>
        <w:t>29</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一</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0A599EA1">
      <w:pPr>
        <w:ind w:firstLine="560"/>
        <w:rPr>
          <w:rFonts w:hint="eastAsia" w:eastAsia="仿宋"/>
        </w:rPr>
      </w:pPr>
      <w:r>
        <w:rPr>
          <w:rFonts w:hint="eastAsia" w:eastAsia="仿宋"/>
        </w:rPr>
        <w:t>线下开标地址：广东东实环境股份有限公司管理中心6楼6C开标室。</w:t>
      </w:r>
    </w:p>
    <w:p w14:paraId="769CB7C3">
      <w:pPr>
        <w:pStyle w:val="2"/>
        <w:rPr>
          <w:rFonts w:hint="eastAsia" w:eastAsia="仿宋"/>
          <w:b/>
          <w:bCs/>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17FF027A">
      <w:pPr>
        <w:pStyle w:val="2"/>
        <w:rPr>
          <w:rFonts w:hint="eastAsia" w:eastAsia="仿宋"/>
          <w:b/>
          <w:bCs/>
        </w:rPr>
      </w:pPr>
      <w:r>
        <w:rPr>
          <w:rFonts w:hint="eastAsia" w:eastAsia="仿宋"/>
          <w:lang w:val="en-US" w:eastAsia="zh-CN"/>
        </w:rPr>
        <w:t>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39E53EA5">
      <w:pPr>
        <w:ind w:firstLine="560"/>
        <w:rPr>
          <w:rFonts w:eastAsia="仿宋"/>
        </w:rPr>
      </w:pPr>
      <w:r>
        <w:rPr>
          <w:rFonts w:hint="eastAsia" w:eastAsia="仿宋"/>
          <w:lang w:val="en-US" w:eastAsia="zh-CN"/>
        </w:rPr>
        <w:t>7</w:t>
      </w:r>
      <w:r>
        <w:rPr>
          <w:rFonts w:eastAsia="仿宋"/>
        </w:rPr>
        <w:t>、本项目不接受报价人其他附加条件。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3）报价人提供虚假报价文件或虚假补充文件。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、有下列情形之一的，视为报价人串通询价，其响应无效</w:t>
      </w:r>
      <w:r>
        <w:rPr>
          <w:rFonts w:hint="eastAsia" w:eastAsia="仿宋"/>
          <w:lang w:eastAsia="zh-CN"/>
        </w:rPr>
        <w:t>，并将被纳入采购人供应商黑名单</w:t>
      </w:r>
      <w:r>
        <w:rPr>
          <w:rFonts w:eastAsia="仿宋"/>
        </w:rPr>
        <w:t>：</w:t>
      </w:r>
    </w:p>
    <w:p w14:paraId="06D98F78">
      <w:pPr>
        <w:ind w:firstLine="560"/>
        <w:rPr>
          <w:rFonts w:eastAsia="仿宋"/>
        </w:rPr>
      </w:pPr>
      <w:r>
        <w:rPr>
          <w:rFonts w:eastAsia="仿宋"/>
        </w:rPr>
        <w:t>（1）不同报价人的响应文件由同一单位或者个人编制；</w:t>
      </w:r>
    </w:p>
    <w:p w14:paraId="3EDFB570">
      <w:pPr>
        <w:ind w:firstLine="560"/>
        <w:rPr>
          <w:rFonts w:eastAsia="仿宋"/>
        </w:rPr>
      </w:pPr>
      <w:r>
        <w:rPr>
          <w:rFonts w:eastAsia="仿宋"/>
        </w:rPr>
        <w:t>（2）不同报价人委托同一单位或者个人办理响应事宜；</w:t>
      </w:r>
    </w:p>
    <w:p w14:paraId="4AAABEB0">
      <w:pPr>
        <w:ind w:firstLine="560"/>
        <w:rPr>
          <w:rFonts w:eastAsia="仿宋"/>
        </w:rPr>
      </w:pPr>
      <w:r>
        <w:rPr>
          <w:rFonts w:eastAsia="仿宋"/>
        </w:rPr>
        <w:t>（3）不同报价人的响应文件载明的项目管理成员或者联系人员为同一人；</w:t>
      </w:r>
    </w:p>
    <w:p w14:paraId="30102730">
      <w:pPr>
        <w:ind w:firstLine="560"/>
        <w:rPr>
          <w:rFonts w:eastAsia="仿宋"/>
        </w:rPr>
      </w:pPr>
      <w:r>
        <w:rPr>
          <w:rFonts w:eastAsia="仿宋"/>
        </w:rPr>
        <w:t>（4）不同报价人的响应文件异常一致或者响应报价呈规律性差异；</w:t>
      </w:r>
    </w:p>
    <w:p w14:paraId="4EE6C341">
      <w:pPr>
        <w:ind w:firstLine="560"/>
        <w:rPr>
          <w:rFonts w:eastAsia="仿宋"/>
        </w:rPr>
      </w:pPr>
      <w:r>
        <w:rPr>
          <w:rFonts w:eastAsia="仿宋"/>
        </w:rPr>
        <w:t>（5）不同报价人的响应文件相互混装；</w:t>
      </w:r>
    </w:p>
    <w:p w14:paraId="3E92D961">
      <w:pPr>
        <w:ind w:firstLine="560"/>
        <w:rPr>
          <w:rFonts w:eastAsia="仿宋"/>
        </w:rPr>
      </w:pPr>
      <w:r>
        <w:rPr>
          <w:rFonts w:eastAsia="仿宋"/>
        </w:rPr>
        <w:t>（6）不同报价人的响应保证金从同一单位或者个人的账户转出。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12</w:t>
      </w:r>
      <w:r>
        <w:rPr>
          <w:rFonts w:eastAsia="仿宋"/>
        </w:rPr>
        <w:t>月</w:t>
      </w:r>
      <w:r>
        <w:rPr>
          <w:rFonts w:hint="eastAsia" w:eastAsia="仿宋"/>
          <w:lang w:val="en-US" w:eastAsia="zh-CN"/>
        </w:rPr>
        <w:t>19</w:t>
      </w:r>
      <w:bookmarkStart w:id="7" w:name="_GoBack"/>
      <w:bookmarkEnd w:id="7"/>
      <w:r>
        <w:rPr>
          <w:rFonts w:hint="default" w:eastAsia="仿宋"/>
          <w:lang w:val="en-US" w:eastAsia="zh-CN"/>
        </w:rPr>
        <w:t>日</w:t>
      </w:r>
      <w:r>
        <w:rPr>
          <w:rFonts w:hint="default"/>
          <w:lang w:val="en-US" w:eastAsia="zh-CN"/>
        </w:rPr>
        <w:br w:type="page"/>
      </w:r>
    </w:p>
    <w:p w14:paraId="058AA8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新东欣公司2025年生产物资采购（第23批）项目</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4AA5C6D0">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191" w:right="1587" w:bottom="1191" w:left="1587" w:header="567" w:footer="567" w:gutter="0"/>
          <w:pgNumType w:fmt="decimal"/>
          <w:cols w:space="0" w:num="1"/>
          <w:rtlGutter w:val="0"/>
          <w:docGrid w:type="linesAndChars" w:linePitch="381" w:charSpace="0"/>
        </w:sectPr>
      </w:pPr>
    </w:p>
    <w:p w14:paraId="38621C37">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新东欣公司2025年生产物资采购（第23批）项目</w:t>
      </w:r>
      <w:r>
        <w:rPr>
          <w:rFonts w:hint="eastAsia" w:eastAsia="仿宋" w:cs="Times New Roman"/>
          <w:color w:val="000000"/>
          <w:sz w:val="30"/>
          <w:szCs w:val="30"/>
          <w:u w:val="single"/>
          <w:lang w:val="en-US" w:eastAsia="zh-CN"/>
        </w:rPr>
        <w:t xml:space="preserve">  包</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新东欣公司2025年生产物资采购（第23批）项目  包</w:t>
      </w:r>
    </w:p>
    <w:p w14:paraId="5CD515B4">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所投标包</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eastAsia="仿宋"/>
          <w:sz w:val="30"/>
          <w:szCs w:val="30"/>
        </w:rPr>
        <w:t>报价人地址：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新东欣公司2025年生产物资采购（第23批）项目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4558030" cy="2765425"/>
            <wp:effectExtent l="0" t="0" r="13970" b="158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4558030" cy="276542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rPr>
        <w:t>两份证明材料可参考下面样式</w:t>
      </w:r>
      <w:r>
        <w:rPr>
          <w:rFonts w:hint="eastAsia" w:eastAsia="仿宋"/>
          <w:b w:val="0"/>
          <w:bCs w:val="0"/>
          <w:szCs w:val="44"/>
          <w:lang w:eastAsia="zh-CN"/>
        </w:rPr>
        <w:t>：</w:t>
      </w:r>
    </w:p>
    <w:p w14:paraId="2C89CA64">
      <w:pPr>
        <w:pStyle w:val="31"/>
        <w:numPr>
          <w:ilvl w:val="-1"/>
          <w:numId w:val="0"/>
        </w:numPr>
        <w:spacing w:line="360" w:lineRule="auto"/>
        <w:ind w:left="0" w:firstLine="0" w:firstLineChars="0"/>
        <w:outlineLvl w:val="1"/>
        <w:rPr>
          <w:rFonts w:hint="default" w:eastAsia="仿宋"/>
          <w:b/>
          <w:bCs/>
          <w:szCs w:val="44"/>
          <w:lang w:val="en-US" w:eastAsia="zh-CN"/>
        </w:rPr>
      </w:pPr>
      <w:r>
        <w:drawing>
          <wp:inline distT="0" distB="0" distL="114300" distR="114300">
            <wp:extent cx="2559050" cy="287972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559050" cy="2879725"/>
                    </a:xfrm>
                    <a:prstGeom prst="rect">
                      <a:avLst/>
                    </a:prstGeom>
                    <a:noFill/>
                    <a:ln>
                      <a:noFill/>
                    </a:ln>
                  </pic:spPr>
                </pic:pic>
              </a:graphicData>
            </a:graphic>
          </wp:inline>
        </w:drawing>
      </w:r>
      <w:r>
        <w:drawing>
          <wp:inline distT="0" distB="0" distL="114300" distR="114300">
            <wp:extent cx="2442845" cy="2879725"/>
            <wp:effectExtent l="0" t="0" r="1460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442845" cy="2879725"/>
                    </a:xfrm>
                    <a:prstGeom prst="rect">
                      <a:avLst/>
                    </a:prstGeom>
                    <a:noFill/>
                    <a:ln>
                      <a:noFill/>
                    </a:ln>
                  </pic:spPr>
                </pic:pic>
              </a:graphicData>
            </a:graphic>
          </wp:inline>
        </w:drawing>
      </w:r>
    </w:p>
    <w:p w14:paraId="2B01FF54">
      <w:pPr>
        <w:pStyle w:val="31"/>
        <w:numPr>
          <w:ilvl w:val="-1"/>
          <w:numId w:val="0"/>
        </w:numPr>
        <w:spacing w:line="360" w:lineRule="auto"/>
        <w:ind w:left="0" w:firstLine="0" w:firstLineChars="0"/>
        <w:outlineLvl w:val="1"/>
        <w:rPr>
          <w:rFonts w:eastAsia="仿宋"/>
          <w:b/>
          <w:bCs/>
          <w:szCs w:val="44"/>
        </w:rPr>
      </w:pPr>
    </w:p>
    <w:p w14:paraId="01B0359C">
      <w:pPr>
        <w:spacing w:line="360" w:lineRule="auto"/>
        <w:ind w:left="0" w:firstLineChars="0"/>
        <w:outlineLvl w:val="1"/>
        <w:rPr>
          <w:rFonts w:eastAsia="仿宋"/>
          <w:b/>
          <w:bCs/>
          <w:szCs w:val="44"/>
        </w:rPr>
      </w:pPr>
      <w:r>
        <w:rPr>
          <w:rFonts w:eastAsia="仿宋"/>
          <w:b/>
          <w:bCs/>
          <w:szCs w:val="44"/>
        </w:rPr>
        <w:br w:type="page"/>
      </w:r>
    </w:p>
    <w:p w14:paraId="52D6152A">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新东欣公司2025年生产物资采购（第23批）项目</w:t>
      </w:r>
      <w:r>
        <w:rPr>
          <w:rFonts w:hint="eastAsia" w:eastAsia="宋体"/>
          <w:b/>
          <w:sz w:val="28"/>
          <w:szCs w:val="28"/>
          <w:lang w:val="en-US" w:eastAsia="zh-CN"/>
        </w:rPr>
        <w:t xml:space="preserve">  包</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新东欣公司2025年生产物资采购（第23批）项目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2F49F580">
      <w:pPr>
        <w:spacing w:line="360" w:lineRule="auto"/>
        <w:ind w:firstLine="442"/>
        <w:rPr>
          <w:b/>
          <w:bCs/>
          <w:color w:val="000000"/>
          <w:kern w:val="0"/>
          <w:sz w:val="22"/>
          <w:szCs w:val="22"/>
        </w:rPr>
      </w:pPr>
      <w:r>
        <w:rPr>
          <w:rFonts w:eastAsia="宋体"/>
          <w:b/>
          <w:bCs/>
          <w:color w:val="000000"/>
          <w:kern w:val="0"/>
          <w:sz w:val="22"/>
          <w:szCs w:val="22"/>
        </w:rPr>
        <w:t>二、供货时间、地点</w:t>
      </w:r>
    </w:p>
    <w:p w14:paraId="55D54E67">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FBB360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4EFA9F0B">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hint="eastAsia" w:eastAsia="宋体"/>
          <w:color w:val="000000"/>
          <w:kern w:val="0"/>
          <w:sz w:val="22"/>
          <w:szCs w:val="22"/>
          <w:lang w:eastAsia="zh-CN"/>
        </w:rPr>
        <w:t>（</w:t>
      </w:r>
      <w:r>
        <w:rPr>
          <w:rFonts w:hint="eastAsia" w:eastAsia="宋体"/>
          <w:color w:val="000000"/>
          <w:kern w:val="0"/>
          <w:sz w:val="22"/>
          <w:szCs w:val="22"/>
          <w:lang w:val="en-US" w:eastAsia="zh-CN"/>
        </w:rPr>
        <w:t>如有</w:t>
      </w:r>
      <w:r>
        <w:rPr>
          <w:rFonts w:hint="eastAsia" w:eastAsia="宋体"/>
          <w:color w:val="000000"/>
          <w:kern w:val="0"/>
          <w:sz w:val="22"/>
          <w:szCs w:val="22"/>
          <w:lang w:eastAsia="zh-CN"/>
        </w:rPr>
        <w:t>）</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4CC7ABC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28D918E">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B27C0C6">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新东欣公司2025年生产物资采购（第23批）项目   包</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eastAsia" w:eastAsia="宋体" w:cs="Times New Roman"/>
          <w:color w:val="auto"/>
          <w:sz w:val="20"/>
          <w:lang w:val="en-US" w:eastAsia="zh-CN"/>
        </w:rPr>
        <w:t>风控法务部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4BE9"/>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2667E"/>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1F95069"/>
    <w:rsid w:val="021A2A52"/>
    <w:rsid w:val="029D518A"/>
    <w:rsid w:val="02A56B33"/>
    <w:rsid w:val="02C67CBC"/>
    <w:rsid w:val="02EA68D9"/>
    <w:rsid w:val="03011BBD"/>
    <w:rsid w:val="033D6FF3"/>
    <w:rsid w:val="03465822"/>
    <w:rsid w:val="035945C8"/>
    <w:rsid w:val="035971F7"/>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316449"/>
    <w:rsid w:val="099A07E1"/>
    <w:rsid w:val="09A25BC1"/>
    <w:rsid w:val="09D81A6A"/>
    <w:rsid w:val="09DC0C8E"/>
    <w:rsid w:val="0A006E13"/>
    <w:rsid w:val="0A0B79BB"/>
    <w:rsid w:val="0A5E16A3"/>
    <w:rsid w:val="0A9B4FED"/>
    <w:rsid w:val="0AAC1C4F"/>
    <w:rsid w:val="0AB2043C"/>
    <w:rsid w:val="0AD23C64"/>
    <w:rsid w:val="0AEA6D11"/>
    <w:rsid w:val="0B2E3403"/>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D53BD"/>
    <w:rsid w:val="0D602DCE"/>
    <w:rsid w:val="0D654380"/>
    <w:rsid w:val="0D6E7E4F"/>
    <w:rsid w:val="0D76388D"/>
    <w:rsid w:val="0D931D58"/>
    <w:rsid w:val="0DB31DEC"/>
    <w:rsid w:val="0DCC0E17"/>
    <w:rsid w:val="0DE723C8"/>
    <w:rsid w:val="0DE75043"/>
    <w:rsid w:val="0E00658D"/>
    <w:rsid w:val="0E040548"/>
    <w:rsid w:val="0E13081C"/>
    <w:rsid w:val="0E1D6807"/>
    <w:rsid w:val="0E3073B0"/>
    <w:rsid w:val="0E48117C"/>
    <w:rsid w:val="0E5021DC"/>
    <w:rsid w:val="0E5754BA"/>
    <w:rsid w:val="0E711C44"/>
    <w:rsid w:val="0E736CD5"/>
    <w:rsid w:val="0E7E71C1"/>
    <w:rsid w:val="0E8A7042"/>
    <w:rsid w:val="0E9D4E90"/>
    <w:rsid w:val="0EDC425B"/>
    <w:rsid w:val="0EE620C6"/>
    <w:rsid w:val="0EEA7093"/>
    <w:rsid w:val="0F0353BE"/>
    <w:rsid w:val="0F232F72"/>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212B0"/>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67401F"/>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077A60"/>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6D5B95"/>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430028"/>
    <w:rsid w:val="1E586E00"/>
    <w:rsid w:val="1E795192"/>
    <w:rsid w:val="1E854FF8"/>
    <w:rsid w:val="1EFB1E2F"/>
    <w:rsid w:val="1F544624"/>
    <w:rsid w:val="1F636358"/>
    <w:rsid w:val="1F7D61B1"/>
    <w:rsid w:val="1F9E4D3D"/>
    <w:rsid w:val="1FA5244E"/>
    <w:rsid w:val="1FAE3131"/>
    <w:rsid w:val="1FC37E92"/>
    <w:rsid w:val="1FC81641"/>
    <w:rsid w:val="1FD6042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20414F"/>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911553"/>
    <w:rsid w:val="2BE4050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6055E3"/>
    <w:rsid w:val="2F794705"/>
    <w:rsid w:val="2F85376B"/>
    <w:rsid w:val="2F87636D"/>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1B7CF6"/>
    <w:rsid w:val="3227669B"/>
    <w:rsid w:val="324174AE"/>
    <w:rsid w:val="324B718F"/>
    <w:rsid w:val="32926B61"/>
    <w:rsid w:val="32A73BD8"/>
    <w:rsid w:val="32B53D75"/>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31C20"/>
    <w:rsid w:val="35B74E33"/>
    <w:rsid w:val="35B97A4F"/>
    <w:rsid w:val="35C801EB"/>
    <w:rsid w:val="35DD616C"/>
    <w:rsid w:val="35F76384"/>
    <w:rsid w:val="36184F24"/>
    <w:rsid w:val="363175BA"/>
    <w:rsid w:val="364E2EC6"/>
    <w:rsid w:val="36576BE3"/>
    <w:rsid w:val="36945AC1"/>
    <w:rsid w:val="369712A0"/>
    <w:rsid w:val="36AF1C49"/>
    <w:rsid w:val="36B35958"/>
    <w:rsid w:val="36B4631F"/>
    <w:rsid w:val="37224531"/>
    <w:rsid w:val="37294C63"/>
    <w:rsid w:val="372D5A03"/>
    <w:rsid w:val="37325CC3"/>
    <w:rsid w:val="375C0B95"/>
    <w:rsid w:val="375E09FC"/>
    <w:rsid w:val="37603B1D"/>
    <w:rsid w:val="376C29D1"/>
    <w:rsid w:val="37743447"/>
    <w:rsid w:val="37B011AF"/>
    <w:rsid w:val="37CD13CC"/>
    <w:rsid w:val="3814146F"/>
    <w:rsid w:val="3840706B"/>
    <w:rsid w:val="38431D54"/>
    <w:rsid w:val="38525FA9"/>
    <w:rsid w:val="38537267"/>
    <w:rsid w:val="38560CAC"/>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9E774F"/>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87623F"/>
    <w:rsid w:val="3D997D89"/>
    <w:rsid w:val="3DA0644D"/>
    <w:rsid w:val="3DBE3DB7"/>
    <w:rsid w:val="3DCB592E"/>
    <w:rsid w:val="3DD220B1"/>
    <w:rsid w:val="3DD64651"/>
    <w:rsid w:val="3DF639CB"/>
    <w:rsid w:val="3E094E14"/>
    <w:rsid w:val="3E101AFB"/>
    <w:rsid w:val="3E533DF8"/>
    <w:rsid w:val="3E871BA4"/>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646D4D"/>
    <w:rsid w:val="417F2403"/>
    <w:rsid w:val="41990EF7"/>
    <w:rsid w:val="419B49AF"/>
    <w:rsid w:val="41CC6917"/>
    <w:rsid w:val="41D262DE"/>
    <w:rsid w:val="41D91E5C"/>
    <w:rsid w:val="420430F3"/>
    <w:rsid w:val="423074E9"/>
    <w:rsid w:val="42443D76"/>
    <w:rsid w:val="424835C8"/>
    <w:rsid w:val="424E7962"/>
    <w:rsid w:val="424F2049"/>
    <w:rsid w:val="429B3630"/>
    <w:rsid w:val="42B53ECA"/>
    <w:rsid w:val="42B85BBD"/>
    <w:rsid w:val="43003087"/>
    <w:rsid w:val="43020C9F"/>
    <w:rsid w:val="430B1EF0"/>
    <w:rsid w:val="43193376"/>
    <w:rsid w:val="43425F9D"/>
    <w:rsid w:val="43652977"/>
    <w:rsid w:val="439A32A1"/>
    <w:rsid w:val="43A63197"/>
    <w:rsid w:val="43A810FE"/>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7565D5"/>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D3526"/>
    <w:rsid w:val="4C9E5354"/>
    <w:rsid w:val="4CB01ADF"/>
    <w:rsid w:val="4CFC368B"/>
    <w:rsid w:val="4D317D0C"/>
    <w:rsid w:val="4D4163C5"/>
    <w:rsid w:val="4D4D524B"/>
    <w:rsid w:val="4D6052C2"/>
    <w:rsid w:val="4D807D17"/>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CF132A"/>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697C38"/>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52687"/>
    <w:rsid w:val="55E95892"/>
    <w:rsid w:val="55EE10FA"/>
    <w:rsid w:val="562468CA"/>
    <w:rsid w:val="56305B3D"/>
    <w:rsid w:val="56612C13"/>
    <w:rsid w:val="56771F2B"/>
    <w:rsid w:val="567C1313"/>
    <w:rsid w:val="56802191"/>
    <w:rsid w:val="56877243"/>
    <w:rsid w:val="56A33C92"/>
    <w:rsid w:val="56C113ED"/>
    <w:rsid w:val="56C54297"/>
    <w:rsid w:val="56F42740"/>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C43F3C"/>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127D5"/>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BB6808"/>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4FA4EBA"/>
    <w:rsid w:val="650C7919"/>
    <w:rsid w:val="6541100E"/>
    <w:rsid w:val="65666607"/>
    <w:rsid w:val="657368CF"/>
    <w:rsid w:val="65A77B75"/>
    <w:rsid w:val="65CF7529"/>
    <w:rsid w:val="65D8147F"/>
    <w:rsid w:val="65E100EE"/>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692ECE"/>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10078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A23B81"/>
    <w:rsid w:val="6BBB5226"/>
    <w:rsid w:val="6C063FA6"/>
    <w:rsid w:val="6C5A163D"/>
    <w:rsid w:val="6C5B55DC"/>
    <w:rsid w:val="6C5B59F4"/>
    <w:rsid w:val="6C810F02"/>
    <w:rsid w:val="6C971E08"/>
    <w:rsid w:val="6CDF0B06"/>
    <w:rsid w:val="6CE801F9"/>
    <w:rsid w:val="6CF81772"/>
    <w:rsid w:val="6CFB032A"/>
    <w:rsid w:val="6D101894"/>
    <w:rsid w:val="6D350D33"/>
    <w:rsid w:val="6D3B2A1F"/>
    <w:rsid w:val="6D4D08D5"/>
    <w:rsid w:val="6D675F16"/>
    <w:rsid w:val="6D811705"/>
    <w:rsid w:val="6D8426D3"/>
    <w:rsid w:val="6DA37B6D"/>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6F2442"/>
    <w:rsid w:val="70AD2192"/>
    <w:rsid w:val="70E17439"/>
    <w:rsid w:val="70EE4DF0"/>
    <w:rsid w:val="71704BE3"/>
    <w:rsid w:val="71C902E0"/>
    <w:rsid w:val="71D945B4"/>
    <w:rsid w:val="71DA38AC"/>
    <w:rsid w:val="71E04C6F"/>
    <w:rsid w:val="71E13D84"/>
    <w:rsid w:val="721466C7"/>
    <w:rsid w:val="723441C8"/>
    <w:rsid w:val="7237788D"/>
    <w:rsid w:val="723C2CA8"/>
    <w:rsid w:val="72454CB9"/>
    <w:rsid w:val="725B146D"/>
    <w:rsid w:val="7260231B"/>
    <w:rsid w:val="72921444"/>
    <w:rsid w:val="72A86ED7"/>
    <w:rsid w:val="72AC6591"/>
    <w:rsid w:val="72D8486C"/>
    <w:rsid w:val="72DD17C7"/>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BA62EA"/>
    <w:rsid w:val="7DC51E91"/>
    <w:rsid w:val="7DF06799"/>
    <w:rsid w:val="7DF82266"/>
    <w:rsid w:val="7E0D21BD"/>
    <w:rsid w:val="7E592820"/>
    <w:rsid w:val="7E6A2DE1"/>
    <w:rsid w:val="7E831A25"/>
    <w:rsid w:val="7ECA5B41"/>
    <w:rsid w:val="7ED44A81"/>
    <w:rsid w:val="7EFB5427"/>
    <w:rsid w:val="7EFC5586"/>
    <w:rsid w:val="7EFD41D5"/>
    <w:rsid w:val="7F060203"/>
    <w:rsid w:val="7F1502FE"/>
    <w:rsid w:val="7F655D20"/>
    <w:rsid w:val="7F86416E"/>
    <w:rsid w:val="7F9F2001"/>
    <w:rsid w:val="7FBA6610"/>
    <w:rsid w:val="7FE64B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6888</Words>
  <Characters>7098</Characters>
  <Lines>76</Lines>
  <Paragraphs>21</Paragraphs>
  <TotalTime>0</TotalTime>
  <ScaleCrop>false</ScaleCrop>
  <LinksUpToDate>false</LinksUpToDate>
  <CharactersWithSpaces>7137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2025-12-01T09:49:00Z</cp:lastPrinted>
  <dcterms:modified xsi:type="dcterms:W3CDTF">2025-12-19T02:07:35Z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