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095C4D">
      <w:pPr>
        <w:widowControl/>
        <w:shd w:val="clear"/>
        <w:spacing w:line="360" w:lineRule="auto"/>
        <w:ind w:right="-26"/>
        <w:jc w:val="center"/>
        <w:textAlignment w:val="bottom"/>
        <w:rPr>
          <w:rFonts w:hAnsi="宋体"/>
          <w:b/>
          <w:color w:val="auto"/>
          <w:sz w:val="52"/>
          <w:szCs w:val="52"/>
          <w:highlight w:val="none"/>
        </w:rPr>
      </w:pPr>
      <w:bookmarkStart w:id="306" w:name="_GoBack"/>
      <w:bookmarkEnd w:id="306"/>
    </w:p>
    <w:p w14:paraId="07F288FF">
      <w:pPr>
        <w:pStyle w:val="20"/>
        <w:shd w:val="clear"/>
        <w:rPr>
          <w:color w:val="auto"/>
          <w:highlight w:val="none"/>
        </w:rPr>
      </w:pPr>
    </w:p>
    <w:p w14:paraId="77745B34">
      <w:pPr>
        <w:widowControl/>
        <w:shd w:val="clear"/>
        <w:spacing w:line="360" w:lineRule="auto"/>
        <w:ind w:right="-26"/>
        <w:jc w:val="center"/>
        <w:textAlignment w:val="bottom"/>
        <w:rPr>
          <w:rFonts w:hAnsi="宋体"/>
          <w:b/>
          <w:color w:val="auto"/>
          <w:sz w:val="72"/>
          <w:highlight w:val="none"/>
        </w:rPr>
      </w:pPr>
    </w:p>
    <w:p w14:paraId="3415AD9E">
      <w:pPr>
        <w:shd w:val="clear"/>
        <w:snapToGrid w:val="0"/>
        <w:jc w:val="center"/>
        <w:outlineLvl w:val="0"/>
        <w:rPr>
          <w:rFonts w:ascii="黑体" w:hAnsi="华文中宋" w:eastAsia="黑体" w:cs="华文中宋"/>
          <w:b/>
          <w:bCs/>
          <w:color w:val="auto"/>
          <w:sz w:val="72"/>
          <w:szCs w:val="72"/>
          <w:highlight w:val="none"/>
        </w:rPr>
      </w:pPr>
      <w:bookmarkStart w:id="0" w:name="_Toc5586"/>
      <w:r>
        <w:rPr>
          <w:rFonts w:hint="eastAsia" w:ascii="黑体" w:hAnsi="华文中宋" w:eastAsia="黑体" w:cs="华文中宋"/>
          <w:b/>
          <w:bCs/>
          <w:color w:val="auto"/>
          <w:sz w:val="72"/>
          <w:szCs w:val="72"/>
          <w:highlight w:val="none"/>
        </w:rPr>
        <w:t>竞争性磋商文件</w:t>
      </w:r>
      <w:bookmarkEnd w:id="0"/>
    </w:p>
    <w:p w14:paraId="7059082E">
      <w:pPr>
        <w:widowControl/>
        <w:shd w:val="clear"/>
        <w:spacing w:line="360" w:lineRule="auto"/>
        <w:ind w:right="-26"/>
        <w:jc w:val="center"/>
        <w:textAlignment w:val="bottom"/>
        <w:rPr>
          <w:rFonts w:hAnsi="宋体"/>
          <w:b/>
          <w:color w:val="auto"/>
          <w:sz w:val="44"/>
          <w:highlight w:val="none"/>
        </w:rPr>
      </w:pPr>
    </w:p>
    <w:p w14:paraId="1BB3FD12">
      <w:pPr>
        <w:widowControl/>
        <w:shd w:val="clear"/>
        <w:spacing w:line="360" w:lineRule="auto"/>
        <w:ind w:right="-26"/>
        <w:jc w:val="center"/>
        <w:textAlignment w:val="bottom"/>
        <w:rPr>
          <w:rFonts w:hAnsi="宋体"/>
          <w:b/>
          <w:color w:val="auto"/>
          <w:sz w:val="44"/>
          <w:highlight w:val="none"/>
        </w:rPr>
      </w:pPr>
    </w:p>
    <w:p w14:paraId="179F7014">
      <w:pPr>
        <w:widowControl/>
        <w:shd w:val="clear"/>
        <w:spacing w:line="360" w:lineRule="auto"/>
        <w:ind w:right="-26"/>
        <w:jc w:val="center"/>
        <w:textAlignment w:val="bottom"/>
        <w:rPr>
          <w:rFonts w:hAnsi="宋体"/>
          <w:b/>
          <w:color w:val="auto"/>
          <w:sz w:val="44"/>
          <w:highlight w:val="none"/>
        </w:rPr>
      </w:pPr>
    </w:p>
    <w:p w14:paraId="365E090E">
      <w:pPr>
        <w:widowControl/>
        <w:shd w:val="clear"/>
        <w:spacing w:line="360" w:lineRule="auto"/>
        <w:ind w:right="-26"/>
        <w:jc w:val="center"/>
        <w:textAlignment w:val="bottom"/>
        <w:rPr>
          <w:rFonts w:hAnsi="宋体"/>
          <w:b/>
          <w:color w:val="auto"/>
          <w:sz w:val="44"/>
          <w:highlight w:val="none"/>
        </w:rPr>
      </w:pPr>
      <w:r>
        <w:rPr>
          <w:color w:val="auto"/>
          <w:sz w:val="44"/>
          <w:highlight w:val="none"/>
        </w:rPr>
        <mc:AlternateContent>
          <mc:Choice Requires="wps">
            <w:drawing>
              <wp:anchor distT="0" distB="0" distL="114300" distR="114300" simplePos="0" relativeHeight="251660288" behindDoc="1" locked="0" layoutInCell="1" allowOverlap="1">
                <wp:simplePos x="0" y="0"/>
                <wp:positionH relativeFrom="column">
                  <wp:posOffset>99695</wp:posOffset>
                </wp:positionH>
                <wp:positionV relativeFrom="paragraph">
                  <wp:posOffset>123825</wp:posOffset>
                </wp:positionV>
                <wp:extent cx="5093335" cy="2282190"/>
                <wp:effectExtent l="0" t="0" r="12065" b="3810"/>
                <wp:wrapNone/>
                <wp:docPr id="3" name="文本框 6"/>
                <wp:cNvGraphicFramePr/>
                <a:graphic xmlns:a="http://schemas.openxmlformats.org/drawingml/2006/main">
                  <a:graphicData uri="http://schemas.microsoft.com/office/word/2010/wordprocessingShape">
                    <wps:wsp>
                      <wps:cNvSpPr txBox="1"/>
                      <wps:spPr>
                        <a:xfrm>
                          <a:off x="0" y="0"/>
                          <a:ext cx="5093335" cy="2282190"/>
                        </a:xfrm>
                        <a:prstGeom prst="rect">
                          <a:avLst/>
                        </a:prstGeom>
                        <a:gradFill rotWithShape="0">
                          <a:gsLst>
                            <a:gs pos="0">
                              <a:srgbClr val="FFFFFF"/>
                            </a:gs>
                            <a:gs pos="100000">
                              <a:srgbClr val="FFFFFF"/>
                            </a:gs>
                          </a:gsLst>
                          <a:lin ang="0"/>
                          <a:tileRect/>
                        </a:gradFill>
                        <a:ln w="15875">
                          <a:noFill/>
                        </a:ln>
                        <a:effectLst/>
                      </wps:spPr>
                      <wps:txbx>
                        <w:txbxContent>
                          <w:p w14:paraId="61A1E4C4">
                            <w:pPr>
                              <w:keepNext w:val="0"/>
                              <w:keepLines w:val="0"/>
                              <w:pageBreakBefore w:val="0"/>
                              <w:widowControl/>
                              <w:kinsoku/>
                              <w:wordWrap/>
                              <w:overflowPunct/>
                              <w:topLinePunct w:val="0"/>
                              <w:bidi w:val="0"/>
                              <w:adjustRightInd w:val="0"/>
                              <w:snapToGrid/>
                              <w:spacing w:line="360" w:lineRule="auto"/>
                              <w:ind w:left="1606" w:right="0" w:hanging="1606" w:hangingChars="500"/>
                              <w:jc w:val="both"/>
                              <w:textAlignment w:val="bottom"/>
                              <w:rPr>
                                <w:rFonts w:hint="eastAsia" w:ascii="黑体" w:hAnsi="黑体" w:eastAsia="黑体" w:cs="黑体"/>
                                <w:b/>
                                <w:sz w:val="32"/>
                                <w:lang w:eastAsia="zh-CN"/>
                              </w:rPr>
                            </w:pPr>
                            <w:r>
                              <w:rPr>
                                <w:rFonts w:hint="eastAsia" w:ascii="黑体" w:hAnsi="黑体" w:eastAsia="黑体" w:cs="黑体"/>
                                <w:b/>
                                <w:sz w:val="32"/>
                              </w:rPr>
                              <w:t>项目名称：东实·滨湖苑项目（东莞市厚街镇厚山配售型保障性住房项目）营销中心及样板间软装</w:t>
                            </w:r>
                          </w:p>
                          <w:p w14:paraId="753C5C24">
                            <w:pPr>
                              <w:keepNext w:val="0"/>
                              <w:keepLines w:val="0"/>
                              <w:pageBreakBefore w:val="0"/>
                              <w:widowControl/>
                              <w:kinsoku/>
                              <w:wordWrap/>
                              <w:overflowPunct/>
                              <w:topLinePunct w:val="0"/>
                              <w:bidi w:val="0"/>
                              <w:adjustRightInd w:val="0"/>
                              <w:snapToGrid/>
                              <w:spacing w:line="360" w:lineRule="auto"/>
                              <w:ind w:right="0"/>
                              <w:jc w:val="both"/>
                              <w:textAlignment w:val="bottom"/>
                              <w:rPr>
                                <w:rFonts w:hint="eastAsia" w:ascii="黑体" w:hAnsi="黑体" w:eastAsia="黑体" w:cs="黑体"/>
                                <w:b/>
                                <w:sz w:val="32"/>
                                <w:lang w:val="en-US" w:eastAsia="zh-CN"/>
                              </w:rPr>
                            </w:pPr>
                            <w:r>
                              <w:rPr>
                                <w:rFonts w:hint="eastAsia" w:ascii="黑体" w:hAnsi="黑体" w:eastAsia="黑体" w:cs="黑体"/>
                                <w:b/>
                                <w:sz w:val="32"/>
                              </w:rPr>
                              <w:t>项目</w:t>
                            </w:r>
                            <w:r>
                              <w:rPr>
                                <w:rFonts w:hint="eastAsia" w:ascii="黑体" w:hAnsi="黑体" w:eastAsia="黑体" w:cs="黑体"/>
                                <w:b/>
                                <w:color w:val="auto"/>
                                <w:sz w:val="32"/>
                                <w:highlight w:val="none"/>
                              </w:rPr>
                              <w:t>编号：</w:t>
                            </w:r>
                            <w:r>
                              <w:rPr>
                                <w:rFonts w:hint="eastAsia" w:ascii="黑体" w:hAnsi="黑体" w:eastAsia="黑体" w:cs="黑体"/>
                                <w:b/>
                                <w:color w:val="auto"/>
                                <w:sz w:val="32"/>
                                <w:highlight w:val="none"/>
                                <w:lang w:eastAsia="zh-CN"/>
                              </w:rPr>
                              <w:t>DGQS-HJB-01-003-020(2025）</w:t>
                            </w:r>
                          </w:p>
                          <w:p w14:paraId="71D1CA44">
                            <w:pPr>
                              <w:keepNext w:val="0"/>
                              <w:keepLines w:val="0"/>
                              <w:pageBreakBefore w:val="0"/>
                              <w:widowControl/>
                              <w:kinsoku/>
                              <w:wordWrap/>
                              <w:overflowPunct/>
                              <w:topLinePunct w:val="0"/>
                              <w:bidi w:val="0"/>
                              <w:adjustRightInd w:val="0"/>
                              <w:snapToGrid/>
                              <w:spacing w:line="360" w:lineRule="auto"/>
                              <w:ind w:right="0"/>
                              <w:textAlignment w:val="bottom"/>
                              <w:rPr>
                                <w:rFonts w:hint="eastAsia" w:ascii="黑体" w:hAnsi="黑体" w:eastAsia="黑体" w:cs="黑体"/>
                                <w:b/>
                                <w:color w:val="auto"/>
                                <w:sz w:val="32"/>
                                <w:highlight w:val="none"/>
                                <w:lang w:eastAsia="zh-CN"/>
                              </w:rPr>
                            </w:pPr>
                            <w:r>
                              <w:rPr>
                                <w:rFonts w:hint="eastAsia" w:ascii="黑体" w:hAnsi="黑体" w:eastAsia="黑体" w:cs="黑体"/>
                                <w:b/>
                                <w:color w:val="auto"/>
                                <w:sz w:val="32"/>
                                <w:highlight w:val="none"/>
                              </w:rPr>
                              <w:t>采 购 人：</w:t>
                            </w:r>
                            <w:r>
                              <w:rPr>
                                <w:rFonts w:hint="eastAsia" w:ascii="黑体" w:hAnsi="黑体" w:eastAsia="黑体" w:cs="黑体"/>
                                <w:b/>
                                <w:color w:val="auto"/>
                                <w:sz w:val="32"/>
                                <w:highlight w:val="none"/>
                                <w:lang w:eastAsia="zh-CN"/>
                              </w:rPr>
                              <w:t>东莞市东厚安居建设有限公司</w:t>
                            </w:r>
                          </w:p>
                          <w:p w14:paraId="49DCE0F8"/>
                        </w:txbxContent>
                      </wps:txbx>
                      <wps:bodyPr upright="1"/>
                    </wps:wsp>
                  </a:graphicData>
                </a:graphic>
              </wp:anchor>
            </w:drawing>
          </mc:Choice>
          <mc:Fallback>
            <w:pict>
              <v:shape id="文本框 6" o:spid="_x0000_s1026" o:spt="202" type="#_x0000_t202" style="position:absolute;left:0pt;margin-left:7.85pt;margin-top:9.75pt;height:179.7pt;width:401.05pt;z-index:-251656192;mso-width-relative:page;mso-height-relative:page;" fillcolor="#FFFFFF" filled="t" stroked="f" coordsize="21600,21600" o:gfxdata="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fRef22gAAAAkBAAAPAAAAAAAAAAEAIAAAACIAAABk&#10;cnMvZG93bnJldi54bWxQSwECFAAUAAAACACHTuJAtF29NQQCAAAXBAAADgAAAAAAAAABACAAAAAp&#10;AQAAZHJzL2Uyb0RvYy54bWxQSwUGAAAAAAYABgBZAQAAnwUAAAAA&#10;">
                <v:fill type="gradient" on="t" color2="#FFFFFF" angle="90" focus="100%" focussize="0,0">
                  <o:fill type="gradientUnscaled" v:ext="backwardCompatible"/>
                </v:fill>
                <v:stroke on="f" weight="1.25pt"/>
                <v:imagedata o:title=""/>
                <o:lock v:ext="edit" aspectratio="f"/>
                <v:textbox>
                  <w:txbxContent>
                    <w:p w14:paraId="61A1E4C4">
                      <w:pPr>
                        <w:keepNext w:val="0"/>
                        <w:keepLines w:val="0"/>
                        <w:pageBreakBefore w:val="0"/>
                        <w:widowControl/>
                        <w:kinsoku/>
                        <w:wordWrap/>
                        <w:overflowPunct/>
                        <w:topLinePunct w:val="0"/>
                        <w:bidi w:val="0"/>
                        <w:adjustRightInd w:val="0"/>
                        <w:snapToGrid/>
                        <w:spacing w:line="360" w:lineRule="auto"/>
                        <w:ind w:left="1606" w:right="0" w:hanging="1606" w:hangingChars="500"/>
                        <w:jc w:val="both"/>
                        <w:textAlignment w:val="bottom"/>
                        <w:rPr>
                          <w:rFonts w:hint="eastAsia" w:ascii="黑体" w:hAnsi="黑体" w:eastAsia="黑体" w:cs="黑体"/>
                          <w:b/>
                          <w:sz w:val="32"/>
                          <w:lang w:eastAsia="zh-CN"/>
                        </w:rPr>
                      </w:pPr>
                      <w:r>
                        <w:rPr>
                          <w:rFonts w:hint="eastAsia" w:ascii="黑体" w:hAnsi="黑体" w:eastAsia="黑体" w:cs="黑体"/>
                          <w:b/>
                          <w:sz w:val="32"/>
                        </w:rPr>
                        <w:t>项目名称：东实·滨湖苑项目（东莞市厚街镇厚山配售型保障性住房项目）营销中心及样板间软装</w:t>
                      </w:r>
                    </w:p>
                    <w:p w14:paraId="753C5C24">
                      <w:pPr>
                        <w:keepNext w:val="0"/>
                        <w:keepLines w:val="0"/>
                        <w:pageBreakBefore w:val="0"/>
                        <w:widowControl/>
                        <w:kinsoku/>
                        <w:wordWrap/>
                        <w:overflowPunct/>
                        <w:topLinePunct w:val="0"/>
                        <w:bidi w:val="0"/>
                        <w:adjustRightInd w:val="0"/>
                        <w:snapToGrid/>
                        <w:spacing w:line="360" w:lineRule="auto"/>
                        <w:ind w:right="0"/>
                        <w:jc w:val="both"/>
                        <w:textAlignment w:val="bottom"/>
                        <w:rPr>
                          <w:rFonts w:hint="eastAsia" w:ascii="黑体" w:hAnsi="黑体" w:eastAsia="黑体" w:cs="黑体"/>
                          <w:b/>
                          <w:sz w:val="32"/>
                          <w:lang w:val="en-US" w:eastAsia="zh-CN"/>
                        </w:rPr>
                      </w:pPr>
                      <w:r>
                        <w:rPr>
                          <w:rFonts w:hint="eastAsia" w:ascii="黑体" w:hAnsi="黑体" w:eastAsia="黑体" w:cs="黑体"/>
                          <w:b/>
                          <w:sz w:val="32"/>
                        </w:rPr>
                        <w:t>项目</w:t>
                      </w:r>
                      <w:r>
                        <w:rPr>
                          <w:rFonts w:hint="eastAsia" w:ascii="黑体" w:hAnsi="黑体" w:eastAsia="黑体" w:cs="黑体"/>
                          <w:b/>
                          <w:color w:val="auto"/>
                          <w:sz w:val="32"/>
                          <w:highlight w:val="none"/>
                        </w:rPr>
                        <w:t>编号：</w:t>
                      </w:r>
                      <w:r>
                        <w:rPr>
                          <w:rFonts w:hint="eastAsia" w:ascii="黑体" w:hAnsi="黑体" w:eastAsia="黑体" w:cs="黑体"/>
                          <w:b/>
                          <w:color w:val="auto"/>
                          <w:sz w:val="32"/>
                          <w:highlight w:val="none"/>
                          <w:lang w:eastAsia="zh-CN"/>
                        </w:rPr>
                        <w:t>DGQS-HJB-01-003-020(2025）</w:t>
                      </w:r>
                    </w:p>
                    <w:p w14:paraId="71D1CA44">
                      <w:pPr>
                        <w:keepNext w:val="0"/>
                        <w:keepLines w:val="0"/>
                        <w:pageBreakBefore w:val="0"/>
                        <w:widowControl/>
                        <w:kinsoku/>
                        <w:wordWrap/>
                        <w:overflowPunct/>
                        <w:topLinePunct w:val="0"/>
                        <w:bidi w:val="0"/>
                        <w:adjustRightInd w:val="0"/>
                        <w:snapToGrid/>
                        <w:spacing w:line="360" w:lineRule="auto"/>
                        <w:ind w:right="0"/>
                        <w:textAlignment w:val="bottom"/>
                        <w:rPr>
                          <w:rFonts w:hint="eastAsia" w:ascii="黑体" w:hAnsi="黑体" w:eastAsia="黑体" w:cs="黑体"/>
                          <w:b/>
                          <w:color w:val="auto"/>
                          <w:sz w:val="32"/>
                          <w:highlight w:val="none"/>
                          <w:lang w:eastAsia="zh-CN"/>
                        </w:rPr>
                      </w:pPr>
                      <w:r>
                        <w:rPr>
                          <w:rFonts w:hint="eastAsia" w:ascii="黑体" w:hAnsi="黑体" w:eastAsia="黑体" w:cs="黑体"/>
                          <w:b/>
                          <w:color w:val="auto"/>
                          <w:sz w:val="32"/>
                          <w:highlight w:val="none"/>
                        </w:rPr>
                        <w:t>采 购 人：</w:t>
                      </w:r>
                      <w:r>
                        <w:rPr>
                          <w:rFonts w:hint="eastAsia" w:ascii="黑体" w:hAnsi="黑体" w:eastAsia="黑体" w:cs="黑体"/>
                          <w:b/>
                          <w:color w:val="auto"/>
                          <w:sz w:val="32"/>
                          <w:highlight w:val="none"/>
                          <w:lang w:eastAsia="zh-CN"/>
                        </w:rPr>
                        <w:t>东莞市东厚安居建设有限公司</w:t>
                      </w:r>
                    </w:p>
                    <w:p w14:paraId="49DCE0F8"/>
                  </w:txbxContent>
                </v:textbox>
              </v:shape>
            </w:pict>
          </mc:Fallback>
        </mc:AlternateContent>
      </w:r>
    </w:p>
    <w:p w14:paraId="340DD431">
      <w:pPr>
        <w:widowControl/>
        <w:shd w:val="clear"/>
        <w:spacing w:line="360" w:lineRule="auto"/>
        <w:ind w:right="-26"/>
        <w:jc w:val="center"/>
        <w:textAlignment w:val="bottom"/>
        <w:rPr>
          <w:rFonts w:hAnsi="宋体"/>
          <w:b/>
          <w:color w:val="auto"/>
          <w:sz w:val="44"/>
          <w:highlight w:val="none"/>
        </w:rPr>
      </w:pPr>
    </w:p>
    <w:p w14:paraId="254A7AA0">
      <w:pPr>
        <w:widowControl/>
        <w:shd w:val="clear"/>
        <w:spacing w:line="360" w:lineRule="auto"/>
        <w:ind w:right="-26"/>
        <w:jc w:val="center"/>
        <w:textAlignment w:val="bottom"/>
        <w:rPr>
          <w:rFonts w:hAnsi="宋体"/>
          <w:b/>
          <w:color w:val="auto"/>
          <w:sz w:val="44"/>
          <w:highlight w:val="none"/>
        </w:rPr>
      </w:pPr>
    </w:p>
    <w:p w14:paraId="30CC814F">
      <w:pPr>
        <w:widowControl/>
        <w:shd w:val="clear"/>
        <w:spacing w:line="360" w:lineRule="auto"/>
        <w:ind w:right="-26"/>
        <w:jc w:val="center"/>
        <w:textAlignment w:val="bottom"/>
        <w:rPr>
          <w:rFonts w:hAnsi="宋体"/>
          <w:b/>
          <w:color w:val="auto"/>
          <w:sz w:val="44"/>
          <w:highlight w:val="none"/>
        </w:rPr>
      </w:pPr>
    </w:p>
    <w:p w14:paraId="508C3178">
      <w:pPr>
        <w:widowControl/>
        <w:shd w:val="clear"/>
        <w:spacing w:line="360" w:lineRule="auto"/>
        <w:ind w:right="-26"/>
        <w:jc w:val="center"/>
        <w:textAlignment w:val="bottom"/>
        <w:rPr>
          <w:rFonts w:hAnsi="宋体"/>
          <w:b/>
          <w:color w:val="auto"/>
          <w:sz w:val="44"/>
          <w:highlight w:val="none"/>
        </w:rPr>
      </w:pPr>
    </w:p>
    <w:p w14:paraId="4E97A626">
      <w:pPr>
        <w:widowControl/>
        <w:shd w:val="clear"/>
        <w:spacing w:line="360" w:lineRule="auto"/>
        <w:ind w:right="-26"/>
        <w:jc w:val="center"/>
        <w:textAlignment w:val="bottom"/>
        <w:rPr>
          <w:rFonts w:hAnsi="宋体"/>
          <w:b/>
          <w:color w:val="auto"/>
          <w:sz w:val="44"/>
          <w:highlight w:val="none"/>
        </w:rPr>
      </w:pPr>
    </w:p>
    <w:p w14:paraId="1A11350B">
      <w:pPr>
        <w:widowControl/>
        <w:shd w:val="clear"/>
        <w:spacing w:line="360" w:lineRule="auto"/>
        <w:ind w:right="-26"/>
        <w:textAlignment w:val="bottom"/>
        <w:rPr>
          <w:rFonts w:hAnsi="宋体"/>
          <w:b/>
          <w:color w:val="auto"/>
          <w:sz w:val="32"/>
          <w:highlight w:val="none"/>
        </w:rPr>
      </w:pPr>
    </w:p>
    <w:p w14:paraId="340EA130">
      <w:pPr>
        <w:widowControl/>
        <w:shd w:val="clear"/>
        <w:spacing w:line="360" w:lineRule="auto"/>
        <w:ind w:right="0" w:firstLine="0" w:firstLineChars="0"/>
        <w:jc w:val="center"/>
        <w:textAlignment w:val="bottom"/>
        <w:outlineLvl w:val="0"/>
        <w:rPr>
          <w:rFonts w:ascii="黑体" w:hAnsi="黑体" w:eastAsia="黑体" w:cs="黑体"/>
          <w:b/>
          <w:color w:val="auto"/>
          <w:sz w:val="32"/>
          <w:highlight w:val="none"/>
        </w:rPr>
      </w:pPr>
      <w:r>
        <w:rPr>
          <w:rFonts w:hint="eastAsia" w:ascii="黑体" w:hAnsi="黑体" w:eastAsia="黑体" w:cs="黑体"/>
          <w:b/>
          <w:color w:val="auto"/>
          <w:sz w:val="32"/>
          <w:highlight w:val="none"/>
          <w:lang w:eastAsia="zh-CN"/>
        </w:rPr>
        <w:t>广东有德招标采购有限公司</w:t>
      </w:r>
    </w:p>
    <w:p w14:paraId="3A6CC490">
      <w:pPr>
        <w:widowControl/>
        <w:shd w:val="clear"/>
        <w:spacing w:line="360" w:lineRule="auto"/>
        <w:ind w:right="0" w:firstLine="0"/>
        <w:jc w:val="center"/>
        <w:textAlignment w:val="bottom"/>
        <w:rPr>
          <w:rFonts w:ascii="黑体" w:hAnsi="黑体" w:eastAsia="黑体" w:cs="黑体"/>
          <w:b/>
          <w:color w:val="auto"/>
          <w:sz w:val="32"/>
          <w:highlight w:val="none"/>
        </w:rPr>
      </w:pPr>
      <w:r>
        <w:rPr>
          <w:rFonts w:hint="eastAsia" w:ascii="黑体" w:hAnsi="黑体" w:eastAsia="黑体" w:cs="黑体"/>
          <w:b/>
          <w:color w:val="auto"/>
          <w:sz w:val="32"/>
          <w:highlight w:val="none"/>
          <w:lang w:eastAsia="zh-CN"/>
        </w:rPr>
        <w:t>二〇二</w:t>
      </w:r>
      <w:r>
        <w:rPr>
          <w:rFonts w:hint="eastAsia" w:ascii="黑体" w:hAnsi="黑体" w:eastAsia="黑体" w:cs="黑体"/>
          <w:b/>
          <w:color w:val="auto"/>
          <w:sz w:val="32"/>
          <w:highlight w:val="none"/>
          <w:lang w:val="en-US" w:eastAsia="zh-CN"/>
        </w:rPr>
        <w:t>五</w:t>
      </w:r>
      <w:r>
        <w:rPr>
          <w:rFonts w:hint="eastAsia" w:ascii="黑体" w:hAnsi="黑体" w:eastAsia="黑体" w:cs="黑体"/>
          <w:b/>
          <w:color w:val="auto"/>
          <w:sz w:val="32"/>
          <w:highlight w:val="none"/>
        </w:rPr>
        <w:t>年</w:t>
      </w:r>
      <w:r>
        <w:rPr>
          <w:rFonts w:hint="eastAsia" w:ascii="黑体" w:hAnsi="黑体" w:eastAsia="黑体" w:cs="黑体"/>
          <w:b/>
          <w:color w:val="auto"/>
          <w:sz w:val="32"/>
          <w:highlight w:val="none"/>
          <w:lang w:val="en-US" w:eastAsia="zh-CN"/>
        </w:rPr>
        <w:t>十二</w:t>
      </w:r>
      <w:r>
        <w:rPr>
          <w:rFonts w:hint="eastAsia" w:ascii="黑体" w:hAnsi="黑体" w:eastAsia="黑体" w:cs="黑体"/>
          <w:b/>
          <w:color w:val="auto"/>
          <w:sz w:val="32"/>
          <w:highlight w:val="none"/>
        </w:rPr>
        <w:t>月</w:t>
      </w:r>
    </w:p>
    <w:p w14:paraId="74548BCF">
      <w:pPr>
        <w:widowControl/>
        <w:shd w:val="clear"/>
        <w:spacing w:line="360" w:lineRule="auto"/>
        <w:ind w:right="-26" w:hanging="480"/>
        <w:jc w:val="center"/>
        <w:textAlignment w:val="bottom"/>
        <w:rPr>
          <w:rFonts w:ascii="黑体" w:hAnsi="黑体" w:eastAsia="黑体" w:cs="黑体"/>
          <w:b/>
          <w:color w:val="auto"/>
          <w:sz w:val="32"/>
          <w:highlight w:val="none"/>
        </w:rPr>
      </w:pPr>
    </w:p>
    <w:p w14:paraId="59CBBBFE">
      <w:pPr>
        <w:shd w:val="clear"/>
        <w:jc w:val="both"/>
        <w:rPr>
          <w:rFonts w:hAnsi="宋体"/>
          <w:color w:val="auto"/>
          <w:highlight w:val="none"/>
          <w:lang w:val="zh-CN"/>
        </w:rPr>
        <w:sectPr>
          <w:headerReference r:id="rId4" w:type="first"/>
          <w:headerReference r:id="rId3" w:type="default"/>
          <w:footerReference r:id="rId5" w:type="default"/>
          <w:footerReference r:id="rId6" w:type="even"/>
          <w:type w:val="nextColumn"/>
          <w:pgSz w:w="11907" w:h="16840"/>
          <w:pgMar w:top="1440" w:right="1800" w:bottom="1440" w:left="1800" w:header="851" w:footer="992" w:gutter="0"/>
          <w:pgBorders>
            <w:top w:val="none" w:sz="0" w:space="0"/>
            <w:left w:val="none" w:sz="0" w:space="0"/>
            <w:bottom w:val="none" w:sz="0" w:space="0"/>
            <w:right w:val="none" w:sz="0" w:space="0"/>
          </w:pgBorders>
          <w:pgNumType w:fmt="decimal" w:start="0"/>
          <w:cols w:space="720" w:num="1"/>
          <w:docGrid w:type="lines" w:linePitch="312" w:charSpace="0"/>
        </w:sectPr>
      </w:pPr>
      <w:bookmarkStart w:id="1" w:name="_Toc13507"/>
    </w:p>
    <w:bookmarkEnd w:id="1"/>
    <w:p w14:paraId="50D20746">
      <w:pPr>
        <w:shd w:val="clear"/>
        <w:spacing w:line="360" w:lineRule="auto"/>
        <w:ind w:left="48" w:leftChars="20"/>
        <w:jc w:val="center"/>
        <w:rPr>
          <w:rFonts w:ascii="黑体" w:hAnsi="黑体" w:eastAsia="黑体" w:cs="黑体"/>
          <w:color w:val="auto"/>
          <w:sz w:val="32"/>
          <w:szCs w:val="32"/>
          <w:highlight w:val="none"/>
        </w:rPr>
      </w:pPr>
      <w:bookmarkStart w:id="2" w:name="_Toc27261"/>
      <w:r>
        <w:rPr>
          <w:rFonts w:hint="eastAsia" w:ascii="黑体" w:hAnsi="黑体" w:eastAsia="黑体" w:cs="黑体"/>
          <w:color w:val="auto"/>
          <w:sz w:val="32"/>
          <w:szCs w:val="32"/>
          <w:highlight w:val="none"/>
        </w:rPr>
        <w:t>温馨提示</w:t>
      </w:r>
    </w:p>
    <w:p w14:paraId="2385D2AD">
      <w:pPr>
        <w:shd w:val="clear"/>
        <w:spacing w:line="360" w:lineRule="auto"/>
        <w:jc w:val="center"/>
        <w:rPr>
          <w:rFonts w:ascii="黑体" w:hAnsi="黑体" w:eastAsia="黑体" w:cs="黑体"/>
          <w:color w:val="auto"/>
          <w:highlight w:val="none"/>
        </w:rPr>
      </w:pPr>
      <w:r>
        <w:rPr>
          <w:rFonts w:hint="eastAsia" w:ascii="黑体" w:hAnsi="黑体" w:eastAsia="黑体" w:cs="黑体"/>
          <w:color w:val="auto"/>
          <w:highlight w:val="none"/>
        </w:rPr>
        <w:t>（本提示内容非磋商文件的组成部分，仅为善意提醒。如有不一致，以磋商文件为准）</w:t>
      </w:r>
    </w:p>
    <w:p w14:paraId="09D67413">
      <w:pPr>
        <w:shd w:val="clear"/>
        <w:spacing w:line="360" w:lineRule="auto"/>
        <w:ind w:left="48" w:leftChars="20"/>
        <w:jc w:val="center"/>
        <w:rPr>
          <w:rFonts w:ascii="黑体" w:hAnsi="黑体" w:eastAsia="黑体" w:cs="黑体"/>
          <w:color w:val="auto"/>
          <w:sz w:val="32"/>
          <w:szCs w:val="32"/>
          <w:highlight w:val="none"/>
        </w:rPr>
      </w:pPr>
    </w:p>
    <w:p w14:paraId="00F6EB2A">
      <w:pPr>
        <w:numPr>
          <w:ilvl w:val="0"/>
          <w:numId w:val="9"/>
        </w:numPr>
        <w:shd w:val="clear"/>
        <w:spacing w:line="360" w:lineRule="auto"/>
        <w:ind w:left="180" w:firstLine="48" w:firstLineChars="20"/>
        <w:jc w:val="both"/>
        <w:rPr>
          <w:rFonts w:ascii="黑体" w:hAnsi="黑体" w:eastAsia="黑体" w:cs="黑体"/>
          <w:color w:val="auto"/>
          <w:highlight w:val="none"/>
        </w:rPr>
      </w:pPr>
      <w:r>
        <w:rPr>
          <w:rFonts w:hint="eastAsia" w:ascii="黑体" w:hAnsi="黑体" w:eastAsia="黑体" w:cs="黑体"/>
          <w:color w:val="auto"/>
          <w:highlight w:val="none"/>
        </w:rPr>
        <w:t>磋商截止时间一到，采购代理机构不接收供应商的任何相关磋商资料、文件。为此，请适当提前到达。</w:t>
      </w:r>
    </w:p>
    <w:p w14:paraId="364977D3">
      <w:pPr>
        <w:numPr>
          <w:ilvl w:val="0"/>
          <w:numId w:val="9"/>
        </w:numPr>
        <w:shd w:val="clear"/>
        <w:spacing w:line="360" w:lineRule="auto"/>
        <w:ind w:left="180" w:firstLine="48" w:firstLineChars="20"/>
        <w:jc w:val="both"/>
        <w:rPr>
          <w:rFonts w:ascii="黑体" w:hAnsi="黑体" w:eastAsia="黑体" w:cs="黑体"/>
          <w:color w:val="auto"/>
          <w:highlight w:val="none"/>
        </w:rPr>
      </w:pPr>
      <w:r>
        <w:rPr>
          <w:rFonts w:hint="eastAsia" w:ascii="黑体" w:hAnsi="黑体" w:eastAsia="黑体" w:cs="黑体"/>
          <w:color w:val="auto"/>
          <w:highlight w:val="none"/>
        </w:rPr>
        <w:t>磋商保证金必须于磋商截止时间前到达磋商文件中所注明账户。由于转账当天不一定能够达账，为避免因磋商保证金未到账而导致磋商被拒，建议至少提前2个工作日转账。</w:t>
      </w:r>
    </w:p>
    <w:p w14:paraId="1AA1ECA9">
      <w:pPr>
        <w:numPr>
          <w:ilvl w:val="0"/>
          <w:numId w:val="9"/>
        </w:numPr>
        <w:shd w:val="clear"/>
        <w:spacing w:line="360" w:lineRule="auto"/>
        <w:ind w:left="180" w:firstLine="48" w:firstLineChars="20"/>
        <w:jc w:val="both"/>
        <w:rPr>
          <w:rFonts w:ascii="黑体" w:hAnsi="黑体" w:eastAsia="黑体" w:cs="黑体"/>
          <w:color w:val="auto"/>
          <w:highlight w:val="none"/>
        </w:rPr>
      </w:pPr>
      <w:r>
        <w:rPr>
          <w:rFonts w:hint="eastAsia" w:ascii="黑体" w:hAnsi="黑体" w:eastAsia="黑体" w:cs="黑体"/>
          <w:color w:val="auto"/>
          <w:highlight w:val="none"/>
        </w:rPr>
        <w:t>请正确填写《报价一览表》。多子包项目请仔细检查子包号，子包号与子包名称必须对应。</w:t>
      </w:r>
    </w:p>
    <w:p w14:paraId="1F334D58">
      <w:pPr>
        <w:numPr>
          <w:ilvl w:val="0"/>
          <w:numId w:val="9"/>
        </w:numPr>
        <w:shd w:val="clear"/>
        <w:spacing w:line="360" w:lineRule="auto"/>
        <w:ind w:left="180" w:firstLine="48" w:firstLineChars="20"/>
        <w:jc w:val="both"/>
        <w:rPr>
          <w:rFonts w:ascii="黑体" w:hAnsi="黑体" w:eastAsia="黑体" w:cs="黑体"/>
          <w:color w:val="auto"/>
          <w:highlight w:val="none"/>
        </w:rPr>
      </w:pPr>
      <w:r>
        <w:rPr>
          <w:rFonts w:hint="eastAsia" w:ascii="黑体" w:hAnsi="黑体" w:eastAsia="黑体" w:cs="黑体"/>
          <w:color w:val="auto"/>
          <w:highlight w:val="none"/>
        </w:rPr>
        <w:t>请仔细检查磋商响应文件是否已按磋商文件要求盖章、签名、签署日期。</w:t>
      </w:r>
    </w:p>
    <w:p w14:paraId="68246AA2">
      <w:pPr>
        <w:numPr>
          <w:ilvl w:val="0"/>
          <w:numId w:val="9"/>
        </w:numPr>
        <w:shd w:val="clear"/>
        <w:spacing w:line="360" w:lineRule="auto"/>
        <w:ind w:left="180" w:firstLine="48" w:firstLineChars="20"/>
        <w:jc w:val="both"/>
        <w:outlineLvl w:val="0"/>
        <w:rPr>
          <w:rFonts w:ascii="黑体" w:hAnsi="黑体" w:eastAsia="黑体" w:cs="黑体"/>
          <w:color w:val="auto"/>
          <w:highlight w:val="none"/>
        </w:rPr>
      </w:pPr>
      <w:bookmarkStart w:id="3" w:name="_Toc17927"/>
      <w:r>
        <w:rPr>
          <w:rFonts w:hint="eastAsia" w:ascii="黑体" w:hAnsi="黑体" w:eastAsia="黑体" w:cs="黑体"/>
          <w:color w:val="auto"/>
          <w:highlight w:val="none"/>
        </w:rPr>
        <w:t>磋商响应文件应按顺序编制页码。</w:t>
      </w:r>
      <w:bookmarkEnd w:id="3"/>
    </w:p>
    <w:p w14:paraId="55D4D218">
      <w:pPr>
        <w:numPr>
          <w:ilvl w:val="0"/>
          <w:numId w:val="9"/>
        </w:numPr>
        <w:shd w:val="clear"/>
        <w:spacing w:line="360" w:lineRule="auto"/>
        <w:ind w:left="180" w:firstLine="48" w:firstLineChars="20"/>
        <w:jc w:val="both"/>
        <w:rPr>
          <w:rFonts w:ascii="黑体" w:hAnsi="黑体" w:eastAsia="黑体" w:cs="黑体"/>
          <w:color w:val="auto"/>
          <w:highlight w:val="none"/>
        </w:rPr>
      </w:pPr>
      <w:r>
        <w:rPr>
          <w:rFonts w:hint="eastAsia" w:ascii="黑体" w:hAnsi="黑体" w:eastAsia="黑体" w:cs="黑体"/>
          <w:color w:val="auto"/>
          <w:highlight w:val="none"/>
        </w:rPr>
        <w:t>如所投产品属于许可证管理范围内的，须提交相应的许可证复印件。</w:t>
      </w:r>
    </w:p>
    <w:p w14:paraId="1D3BF01C">
      <w:pPr>
        <w:numPr>
          <w:ilvl w:val="0"/>
          <w:numId w:val="9"/>
        </w:numPr>
        <w:shd w:val="clear"/>
        <w:spacing w:line="360" w:lineRule="auto"/>
        <w:ind w:left="180" w:firstLine="48" w:firstLineChars="20"/>
        <w:jc w:val="both"/>
        <w:rPr>
          <w:rFonts w:ascii="黑体" w:hAnsi="黑体" w:eastAsia="黑体" w:cs="黑体"/>
          <w:color w:val="auto"/>
          <w:highlight w:val="none"/>
        </w:rPr>
      </w:pPr>
      <w:r>
        <w:rPr>
          <w:rFonts w:hint="eastAsia" w:ascii="黑体" w:hAnsi="黑体" w:eastAsia="黑体" w:cs="黑体"/>
          <w:color w:val="auto"/>
          <w:highlight w:val="none"/>
        </w:rPr>
        <w:t>为了提高采购效率，节约社会交易成本与时间，望购买了磋商文件而决定不参加本次磋商的供应商，在磋商响应文件递交截止时间的3日前，按《磋商邀请函》中的联系方式，以书面形式告知采购代理机构。对您的支持与配合，谨此致谢。</w:t>
      </w:r>
    </w:p>
    <w:p w14:paraId="4C3E40FC">
      <w:pPr>
        <w:numPr>
          <w:ilvl w:val="0"/>
          <w:numId w:val="9"/>
        </w:numPr>
        <w:shd w:val="clear"/>
        <w:spacing w:line="360" w:lineRule="auto"/>
        <w:ind w:left="180" w:firstLine="48" w:firstLineChars="20"/>
        <w:jc w:val="both"/>
        <w:rPr>
          <w:rFonts w:ascii="黑体" w:hAnsi="黑体" w:eastAsia="黑体" w:cs="黑体"/>
          <w:color w:val="auto"/>
          <w:highlight w:val="none"/>
        </w:rPr>
      </w:pPr>
      <w:r>
        <w:rPr>
          <w:rFonts w:hint="eastAsia" w:ascii="黑体" w:hAnsi="黑体" w:eastAsia="黑体" w:cs="黑体"/>
          <w:color w:val="auto"/>
          <w:highlight w:val="none"/>
        </w:rPr>
        <w:t>如需供应商支付的各种费用，如磋商文件售价、工程图纸押金、保证金和采购代理服务费等，磋商文件将书面详细告知，请供应商按磋商文件规定的方式和金额支付。</w:t>
      </w:r>
    </w:p>
    <w:p w14:paraId="4A25AD69">
      <w:pPr>
        <w:shd w:val="clear"/>
        <w:jc w:val="center"/>
        <w:rPr>
          <w:rFonts w:hAnsi="宋体"/>
          <w:b/>
          <w:bCs/>
          <w:color w:val="auto"/>
          <w:sz w:val="32"/>
          <w:szCs w:val="32"/>
          <w:highlight w:val="none"/>
          <w:lang w:val="zh-CN"/>
        </w:rPr>
      </w:pPr>
    </w:p>
    <w:p w14:paraId="0493A60C">
      <w:pPr>
        <w:pStyle w:val="12"/>
        <w:shd w:val="clear"/>
        <w:ind w:firstLine="643"/>
        <w:rPr>
          <w:rFonts w:hAnsi="宋体"/>
          <w:b/>
          <w:bCs/>
          <w:color w:val="auto"/>
          <w:sz w:val="32"/>
          <w:szCs w:val="32"/>
          <w:highlight w:val="none"/>
          <w:lang w:val="zh-CN"/>
        </w:rPr>
        <w:sectPr>
          <w:headerReference r:id="rId7" w:type="default"/>
          <w:footerReference r:id="rId8"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2"/>
          <w:cols w:space="425" w:num="1"/>
          <w:docGrid w:type="lines" w:linePitch="312" w:charSpace="0"/>
        </w:sectPr>
      </w:pPr>
    </w:p>
    <w:p w14:paraId="68B8586E">
      <w:pPr>
        <w:shd w:val="clear"/>
        <w:rPr>
          <w:color w:val="auto"/>
          <w:highlight w:val="none"/>
        </w:rPr>
      </w:pPr>
    </w:p>
    <w:p w14:paraId="6A182FFE">
      <w:pPr>
        <w:shd w:val="clear"/>
        <w:jc w:val="center"/>
        <w:rPr>
          <w:rFonts w:hAnsi="宋体"/>
          <w:b/>
          <w:bCs/>
          <w:color w:val="auto"/>
          <w:sz w:val="32"/>
          <w:szCs w:val="32"/>
          <w:highlight w:val="none"/>
          <w:lang w:val="zh-CN"/>
        </w:rPr>
      </w:pPr>
      <w:r>
        <w:rPr>
          <w:rFonts w:hAnsi="宋体"/>
          <w:b/>
          <w:bCs/>
          <w:color w:val="auto"/>
          <w:sz w:val="32"/>
          <w:szCs w:val="32"/>
          <w:highlight w:val="none"/>
          <w:lang w:val="zh-CN"/>
        </w:rPr>
        <w:t>目录</w:t>
      </w:r>
      <w:bookmarkStart w:id="4" w:name="_Toc396137229"/>
    </w:p>
    <w:p w14:paraId="4CA36E85">
      <w:pPr>
        <w:shd w:val="clear"/>
        <w:spacing w:line="360" w:lineRule="auto"/>
        <w:jc w:val="both"/>
        <w:rPr>
          <w:b/>
          <w:bCs/>
          <w:color w:val="auto"/>
          <w:sz w:val="44"/>
          <w:szCs w:val="44"/>
          <w:highlight w:val="none"/>
        </w:rPr>
      </w:pPr>
    </w:p>
    <w:p w14:paraId="0F16C560">
      <w:pPr>
        <w:pStyle w:val="187"/>
        <w:shd w:val="clear"/>
        <w:tabs>
          <w:tab w:val="right" w:leader="dot" w:pos="8306"/>
        </w:tabs>
        <w:spacing w:line="360" w:lineRule="auto"/>
        <w:jc w:val="center"/>
        <w:rPr>
          <w:b/>
          <w:bCs/>
          <w:color w:val="auto"/>
          <w:sz w:val="32"/>
          <w:szCs w:val="32"/>
          <w:highlight w:val="none"/>
        </w:rPr>
      </w:pPr>
      <w:r>
        <w:rPr>
          <w:b/>
          <w:bCs/>
          <w:color w:val="auto"/>
          <w:sz w:val="32"/>
          <w:szCs w:val="32"/>
          <w:highlight w:val="none"/>
        </w:rPr>
        <w:fldChar w:fldCharType="begin"/>
      </w:r>
      <w:r>
        <w:rPr>
          <w:b/>
          <w:bCs/>
          <w:color w:val="auto"/>
          <w:sz w:val="32"/>
          <w:szCs w:val="32"/>
          <w:highlight w:val="none"/>
        </w:rPr>
        <w:instrText xml:space="preserve">TOC \o "1-1" \h \u </w:instrText>
      </w:r>
      <w:r>
        <w:rPr>
          <w:b/>
          <w:bCs/>
          <w:color w:val="auto"/>
          <w:sz w:val="32"/>
          <w:szCs w:val="32"/>
          <w:highlight w:val="none"/>
        </w:rPr>
        <w:fldChar w:fldCharType="separate"/>
      </w:r>
      <w:r>
        <w:rPr>
          <w:color w:val="auto"/>
          <w:highlight w:val="none"/>
        </w:rPr>
        <w:fldChar w:fldCharType="begin"/>
      </w:r>
      <w:r>
        <w:rPr>
          <w:color w:val="auto"/>
          <w:highlight w:val="none"/>
        </w:rPr>
        <w:instrText xml:space="preserve"> HYPERLINK \l "_Toc3573" </w:instrText>
      </w:r>
      <w:r>
        <w:rPr>
          <w:color w:val="auto"/>
          <w:highlight w:val="none"/>
        </w:rPr>
        <w:fldChar w:fldCharType="separate"/>
      </w:r>
      <w:r>
        <w:rPr>
          <w:rFonts w:hAnsi="宋体"/>
          <w:b/>
          <w:bCs/>
          <w:color w:val="auto"/>
          <w:kern w:val="44"/>
          <w:sz w:val="32"/>
          <w:szCs w:val="48"/>
          <w:highlight w:val="none"/>
          <w:lang w:val="zh-CN"/>
        </w:rPr>
        <w:t xml:space="preserve">第一篇 </w:t>
      </w:r>
      <w:r>
        <w:rPr>
          <w:rFonts w:hint="eastAsia" w:hAnsi="宋体"/>
          <w:b/>
          <w:bCs/>
          <w:color w:val="auto"/>
          <w:kern w:val="44"/>
          <w:sz w:val="32"/>
          <w:szCs w:val="48"/>
          <w:highlight w:val="none"/>
        </w:rPr>
        <w:t>磋商邀请书</w:t>
      </w:r>
      <w:r>
        <w:rPr>
          <w:b/>
          <w:bCs/>
          <w:color w:val="auto"/>
          <w:sz w:val="32"/>
          <w:szCs w:val="32"/>
          <w:highlight w:val="none"/>
        </w:rPr>
        <w:tab/>
      </w:r>
      <w:r>
        <w:rPr>
          <w:b/>
          <w:bCs/>
          <w:color w:val="auto"/>
          <w:sz w:val="32"/>
          <w:szCs w:val="32"/>
          <w:highlight w:val="none"/>
        </w:rPr>
        <w:fldChar w:fldCharType="begin"/>
      </w:r>
      <w:r>
        <w:rPr>
          <w:b/>
          <w:bCs/>
          <w:color w:val="auto"/>
          <w:sz w:val="32"/>
          <w:szCs w:val="32"/>
          <w:highlight w:val="none"/>
        </w:rPr>
        <w:instrText xml:space="preserve"> PAGEREF _Toc3573 \h </w:instrText>
      </w:r>
      <w:r>
        <w:rPr>
          <w:b/>
          <w:bCs/>
          <w:color w:val="auto"/>
          <w:sz w:val="32"/>
          <w:szCs w:val="32"/>
          <w:highlight w:val="none"/>
        </w:rPr>
        <w:fldChar w:fldCharType="separate"/>
      </w:r>
      <w:r>
        <w:rPr>
          <w:b/>
          <w:bCs/>
          <w:color w:val="auto"/>
          <w:sz w:val="32"/>
          <w:szCs w:val="32"/>
          <w:highlight w:val="none"/>
        </w:rPr>
        <w:t>4</w:t>
      </w:r>
      <w:r>
        <w:rPr>
          <w:b/>
          <w:bCs/>
          <w:color w:val="auto"/>
          <w:sz w:val="32"/>
          <w:szCs w:val="32"/>
          <w:highlight w:val="none"/>
        </w:rPr>
        <w:fldChar w:fldCharType="end"/>
      </w:r>
      <w:r>
        <w:rPr>
          <w:b/>
          <w:bCs/>
          <w:color w:val="auto"/>
          <w:sz w:val="32"/>
          <w:szCs w:val="32"/>
          <w:highlight w:val="none"/>
        </w:rPr>
        <w:fldChar w:fldCharType="end"/>
      </w:r>
    </w:p>
    <w:p w14:paraId="411FCD20">
      <w:pPr>
        <w:pStyle w:val="187"/>
        <w:shd w:val="clear"/>
        <w:tabs>
          <w:tab w:val="right" w:leader="dot" w:pos="8306"/>
        </w:tabs>
        <w:spacing w:line="360" w:lineRule="auto"/>
        <w:jc w:val="center"/>
        <w:rPr>
          <w:b/>
          <w:bCs/>
          <w:color w:val="auto"/>
          <w:sz w:val="32"/>
          <w:szCs w:val="32"/>
          <w:highlight w:val="none"/>
        </w:rPr>
      </w:pPr>
      <w:r>
        <w:rPr>
          <w:color w:val="auto"/>
          <w:highlight w:val="none"/>
        </w:rPr>
        <w:fldChar w:fldCharType="begin"/>
      </w:r>
      <w:r>
        <w:rPr>
          <w:color w:val="auto"/>
          <w:highlight w:val="none"/>
        </w:rPr>
        <w:instrText xml:space="preserve"> HYPERLINK \l "_Toc17779" </w:instrText>
      </w:r>
      <w:r>
        <w:rPr>
          <w:color w:val="auto"/>
          <w:highlight w:val="none"/>
        </w:rPr>
        <w:fldChar w:fldCharType="separate"/>
      </w:r>
      <w:r>
        <w:rPr>
          <w:rFonts w:hAnsi="宋体"/>
          <w:b/>
          <w:bCs/>
          <w:color w:val="auto"/>
          <w:kern w:val="44"/>
          <w:sz w:val="32"/>
          <w:szCs w:val="48"/>
          <w:highlight w:val="none"/>
          <w:lang w:val="zh-CN"/>
        </w:rPr>
        <w:t xml:space="preserve">第二篇 </w:t>
      </w:r>
      <w:r>
        <w:rPr>
          <w:rFonts w:hint="eastAsia" w:hAnsi="宋体"/>
          <w:b/>
          <w:bCs/>
          <w:color w:val="auto"/>
          <w:kern w:val="44"/>
          <w:sz w:val="32"/>
          <w:szCs w:val="48"/>
          <w:highlight w:val="none"/>
          <w:lang w:val="zh-CN"/>
        </w:rPr>
        <w:t>供应商须知</w:t>
      </w:r>
      <w:r>
        <w:rPr>
          <w:b/>
          <w:bCs/>
          <w:color w:val="auto"/>
          <w:sz w:val="32"/>
          <w:szCs w:val="32"/>
          <w:highlight w:val="none"/>
        </w:rPr>
        <w:tab/>
      </w:r>
      <w:r>
        <w:rPr>
          <w:b/>
          <w:bCs/>
          <w:color w:val="auto"/>
          <w:sz w:val="32"/>
          <w:szCs w:val="32"/>
          <w:highlight w:val="none"/>
        </w:rPr>
        <w:fldChar w:fldCharType="begin"/>
      </w:r>
      <w:r>
        <w:rPr>
          <w:b/>
          <w:bCs/>
          <w:color w:val="auto"/>
          <w:sz w:val="32"/>
          <w:szCs w:val="32"/>
          <w:highlight w:val="none"/>
        </w:rPr>
        <w:instrText xml:space="preserve"> PAGEREF _Toc17779 \h </w:instrText>
      </w:r>
      <w:r>
        <w:rPr>
          <w:b/>
          <w:bCs/>
          <w:color w:val="auto"/>
          <w:sz w:val="32"/>
          <w:szCs w:val="32"/>
          <w:highlight w:val="none"/>
        </w:rPr>
        <w:fldChar w:fldCharType="separate"/>
      </w:r>
      <w:r>
        <w:rPr>
          <w:b/>
          <w:bCs/>
          <w:color w:val="auto"/>
          <w:sz w:val="32"/>
          <w:szCs w:val="32"/>
          <w:highlight w:val="none"/>
        </w:rPr>
        <w:t>6</w:t>
      </w:r>
      <w:r>
        <w:rPr>
          <w:b/>
          <w:bCs/>
          <w:color w:val="auto"/>
          <w:sz w:val="32"/>
          <w:szCs w:val="32"/>
          <w:highlight w:val="none"/>
        </w:rPr>
        <w:fldChar w:fldCharType="end"/>
      </w:r>
      <w:r>
        <w:rPr>
          <w:b/>
          <w:bCs/>
          <w:color w:val="auto"/>
          <w:sz w:val="32"/>
          <w:szCs w:val="32"/>
          <w:highlight w:val="none"/>
        </w:rPr>
        <w:fldChar w:fldCharType="end"/>
      </w:r>
    </w:p>
    <w:p w14:paraId="3C5DAF52">
      <w:pPr>
        <w:pStyle w:val="187"/>
        <w:shd w:val="clear"/>
        <w:tabs>
          <w:tab w:val="right" w:leader="dot" w:pos="8306"/>
        </w:tabs>
        <w:spacing w:line="360" w:lineRule="auto"/>
        <w:jc w:val="center"/>
        <w:rPr>
          <w:b/>
          <w:bCs/>
          <w:color w:val="auto"/>
          <w:sz w:val="32"/>
          <w:szCs w:val="32"/>
          <w:highlight w:val="none"/>
        </w:rPr>
      </w:pPr>
      <w:r>
        <w:rPr>
          <w:color w:val="auto"/>
          <w:highlight w:val="none"/>
        </w:rPr>
        <w:fldChar w:fldCharType="begin"/>
      </w:r>
      <w:r>
        <w:rPr>
          <w:color w:val="auto"/>
          <w:highlight w:val="none"/>
        </w:rPr>
        <w:instrText xml:space="preserve"> HYPERLINK \l "_Toc22134" </w:instrText>
      </w:r>
      <w:r>
        <w:rPr>
          <w:color w:val="auto"/>
          <w:highlight w:val="none"/>
        </w:rPr>
        <w:fldChar w:fldCharType="separate"/>
      </w:r>
      <w:r>
        <w:rPr>
          <w:rFonts w:hAnsi="宋体"/>
          <w:b/>
          <w:bCs/>
          <w:color w:val="auto"/>
          <w:kern w:val="44"/>
          <w:sz w:val="32"/>
          <w:szCs w:val="48"/>
          <w:highlight w:val="none"/>
          <w:lang w:val="zh-CN"/>
        </w:rPr>
        <w:t xml:space="preserve">第三篇 </w:t>
      </w:r>
      <w:r>
        <w:rPr>
          <w:rFonts w:hint="eastAsia" w:hAnsi="宋体"/>
          <w:b/>
          <w:bCs/>
          <w:color w:val="auto"/>
          <w:kern w:val="44"/>
          <w:sz w:val="32"/>
          <w:szCs w:val="48"/>
          <w:highlight w:val="none"/>
          <w:lang w:val="zh-CN"/>
        </w:rPr>
        <w:t>用户需求书</w:t>
      </w:r>
      <w:r>
        <w:rPr>
          <w:b/>
          <w:bCs/>
          <w:color w:val="auto"/>
          <w:sz w:val="32"/>
          <w:szCs w:val="32"/>
          <w:highlight w:val="none"/>
        </w:rPr>
        <w:tab/>
      </w:r>
      <w:r>
        <w:rPr>
          <w:b/>
          <w:bCs/>
          <w:color w:val="auto"/>
          <w:sz w:val="32"/>
          <w:szCs w:val="32"/>
          <w:highlight w:val="none"/>
        </w:rPr>
        <w:fldChar w:fldCharType="begin"/>
      </w:r>
      <w:r>
        <w:rPr>
          <w:b/>
          <w:bCs/>
          <w:color w:val="auto"/>
          <w:sz w:val="32"/>
          <w:szCs w:val="32"/>
          <w:highlight w:val="none"/>
        </w:rPr>
        <w:instrText xml:space="preserve"> PAGEREF _Toc22134 \h </w:instrText>
      </w:r>
      <w:r>
        <w:rPr>
          <w:b/>
          <w:bCs/>
          <w:color w:val="auto"/>
          <w:sz w:val="32"/>
          <w:szCs w:val="32"/>
          <w:highlight w:val="none"/>
        </w:rPr>
        <w:fldChar w:fldCharType="separate"/>
      </w:r>
      <w:r>
        <w:rPr>
          <w:b/>
          <w:bCs/>
          <w:color w:val="auto"/>
          <w:sz w:val="32"/>
          <w:szCs w:val="32"/>
          <w:highlight w:val="none"/>
        </w:rPr>
        <w:t>17</w:t>
      </w:r>
      <w:r>
        <w:rPr>
          <w:b/>
          <w:bCs/>
          <w:color w:val="auto"/>
          <w:sz w:val="32"/>
          <w:szCs w:val="32"/>
          <w:highlight w:val="none"/>
        </w:rPr>
        <w:fldChar w:fldCharType="end"/>
      </w:r>
      <w:r>
        <w:rPr>
          <w:b/>
          <w:bCs/>
          <w:color w:val="auto"/>
          <w:sz w:val="32"/>
          <w:szCs w:val="32"/>
          <w:highlight w:val="none"/>
        </w:rPr>
        <w:fldChar w:fldCharType="end"/>
      </w:r>
    </w:p>
    <w:p w14:paraId="0EEBFEBC">
      <w:pPr>
        <w:pStyle w:val="187"/>
        <w:shd w:val="clear"/>
        <w:tabs>
          <w:tab w:val="right" w:leader="dot" w:pos="8306"/>
        </w:tabs>
        <w:spacing w:line="360" w:lineRule="auto"/>
        <w:jc w:val="center"/>
        <w:rPr>
          <w:b/>
          <w:bCs/>
          <w:color w:val="auto"/>
          <w:sz w:val="32"/>
          <w:szCs w:val="32"/>
          <w:highlight w:val="none"/>
        </w:rPr>
      </w:pPr>
      <w:r>
        <w:rPr>
          <w:color w:val="auto"/>
          <w:highlight w:val="none"/>
        </w:rPr>
        <w:fldChar w:fldCharType="begin"/>
      </w:r>
      <w:r>
        <w:rPr>
          <w:color w:val="auto"/>
          <w:highlight w:val="none"/>
        </w:rPr>
        <w:instrText xml:space="preserve"> HYPERLINK \l "_Toc28792" </w:instrText>
      </w:r>
      <w:r>
        <w:rPr>
          <w:color w:val="auto"/>
          <w:highlight w:val="none"/>
        </w:rPr>
        <w:fldChar w:fldCharType="separate"/>
      </w:r>
      <w:r>
        <w:rPr>
          <w:rFonts w:hAnsi="宋体"/>
          <w:b/>
          <w:bCs/>
          <w:color w:val="auto"/>
          <w:kern w:val="44"/>
          <w:sz w:val="32"/>
          <w:szCs w:val="48"/>
          <w:highlight w:val="none"/>
          <w:lang w:val="zh-CN"/>
        </w:rPr>
        <w:t xml:space="preserve">第四篇 </w:t>
      </w:r>
      <w:r>
        <w:rPr>
          <w:rFonts w:hint="eastAsia" w:hAnsi="宋体"/>
          <w:b/>
          <w:bCs/>
          <w:color w:val="auto"/>
          <w:kern w:val="44"/>
          <w:sz w:val="32"/>
          <w:szCs w:val="48"/>
          <w:highlight w:val="none"/>
          <w:lang w:val="zh-CN"/>
        </w:rPr>
        <w:t>评审工作大纲</w:t>
      </w:r>
      <w:r>
        <w:rPr>
          <w:b/>
          <w:bCs/>
          <w:color w:val="auto"/>
          <w:sz w:val="32"/>
          <w:szCs w:val="32"/>
          <w:highlight w:val="none"/>
        </w:rPr>
        <w:tab/>
      </w:r>
      <w:r>
        <w:rPr>
          <w:b/>
          <w:bCs/>
          <w:color w:val="auto"/>
          <w:sz w:val="32"/>
          <w:szCs w:val="32"/>
          <w:highlight w:val="none"/>
        </w:rPr>
        <w:fldChar w:fldCharType="begin"/>
      </w:r>
      <w:r>
        <w:rPr>
          <w:b/>
          <w:bCs/>
          <w:color w:val="auto"/>
          <w:sz w:val="32"/>
          <w:szCs w:val="32"/>
          <w:highlight w:val="none"/>
        </w:rPr>
        <w:instrText xml:space="preserve"> PAGEREF _Toc28792 \h </w:instrText>
      </w:r>
      <w:r>
        <w:rPr>
          <w:b/>
          <w:bCs/>
          <w:color w:val="auto"/>
          <w:sz w:val="32"/>
          <w:szCs w:val="32"/>
          <w:highlight w:val="none"/>
        </w:rPr>
        <w:fldChar w:fldCharType="separate"/>
      </w:r>
      <w:r>
        <w:rPr>
          <w:b/>
          <w:bCs/>
          <w:color w:val="auto"/>
          <w:sz w:val="32"/>
          <w:szCs w:val="32"/>
          <w:highlight w:val="none"/>
        </w:rPr>
        <w:t>21</w:t>
      </w:r>
      <w:r>
        <w:rPr>
          <w:b/>
          <w:bCs/>
          <w:color w:val="auto"/>
          <w:sz w:val="32"/>
          <w:szCs w:val="32"/>
          <w:highlight w:val="none"/>
        </w:rPr>
        <w:fldChar w:fldCharType="end"/>
      </w:r>
      <w:r>
        <w:rPr>
          <w:b/>
          <w:bCs/>
          <w:color w:val="auto"/>
          <w:sz w:val="32"/>
          <w:szCs w:val="32"/>
          <w:highlight w:val="none"/>
        </w:rPr>
        <w:fldChar w:fldCharType="end"/>
      </w:r>
    </w:p>
    <w:p w14:paraId="3E482CE3">
      <w:pPr>
        <w:pStyle w:val="187"/>
        <w:shd w:val="clear"/>
        <w:tabs>
          <w:tab w:val="right" w:leader="dot" w:pos="8306"/>
        </w:tabs>
        <w:spacing w:line="360" w:lineRule="auto"/>
        <w:jc w:val="center"/>
        <w:rPr>
          <w:b/>
          <w:bCs/>
          <w:color w:val="auto"/>
          <w:sz w:val="32"/>
          <w:szCs w:val="32"/>
          <w:highlight w:val="none"/>
        </w:rPr>
      </w:pPr>
      <w:r>
        <w:rPr>
          <w:color w:val="auto"/>
          <w:highlight w:val="none"/>
        </w:rPr>
        <w:fldChar w:fldCharType="begin"/>
      </w:r>
      <w:r>
        <w:rPr>
          <w:color w:val="auto"/>
          <w:highlight w:val="none"/>
        </w:rPr>
        <w:instrText xml:space="preserve"> HYPERLINK \l "_Toc3360" </w:instrText>
      </w:r>
      <w:r>
        <w:rPr>
          <w:color w:val="auto"/>
          <w:highlight w:val="none"/>
        </w:rPr>
        <w:fldChar w:fldCharType="separate"/>
      </w:r>
      <w:r>
        <w:rPr>
          <w:rFonts w:hAnsi="宋体"/>
          <w:b/>
          <w:bCs/>
          <w:color w:val="auto"/>
          <w:sz w:val="32"/>
          <w:szCs w:val="32"/>
          <w:highlight w:val="none"/>
        </w:rPr>
        <w:t xml:space="preserve">第五篇 </w:t>
      </w:r>
      <w:r>
        <w:rPr>
          <w:rFonts w:hint="eastAsia" w:hAnsi="宋体"/>
          <w:b/>
          <w:bCs/>
          <w:color w:val="auto"/>
          <w:kern w:val="44"/>
          <w:sz w:val="32"/>
          <w:szCs w:val="48"/>
          <w:highlight w:val="none"/>
          <w:lang w:val="zh-CN"/>
        </w:rPr>
        <w:t>合同条款格式</w:t>
      </w:r>
      <w:r>
        <w:rPr>
          <w:b/>
          <w:bCs/>
          <w:color w:val="auto"/>
          <w:sz w:val="32"/>
          <w:szCs w:val="32"/>
          <w:highlight w:val="none"/>
        </w:rPr>
        <w:tab/>
      </w:r>
      <w:r>
        <w:rPr>
          <w:b/>
          <w:bCs/>
          <w:color w:val="auto"/>
          <w:sz w:val="32"/>
          <w:szCs w:val="32"/>
          <w:highlight w:val="none"/>
        </w:rPr>
        <w:fldChar w:fldCharType="begin"/>
      </w:r>
      <w:r>
        <w:rPr>
          <w:b/>
          <w:bCs/>
          <w:color w:val="auto"/>
          <w:sz w:val="32"/>
          <w:szCs w:val="32"/>
          <w:highlight w:val="none"/>
        </w:rPr>
        <w:instrText xml:space="preserve"> PAGEREF _Toc3360 \h </w:instrText>
      </w:r>
      <w:r>
        <w:rPr>
          <w:b/>
          <w:bCs/>
          <w:color w:val="auto"/>
          <w:sz w:val="32"/>
          <w:szCs w:val="32"/>
          <w:highlight w:val="none"/>
        </w:rPr>
        <w:fldChar w:fldCharType="separate"/>
      </w:r>
      <w:r>
        <w:rPr>
          <w:b/>
          <w:bCs/>
          <w:color w:val="auto"/>
          <w:sz w:val="32"/>
          <w:szCs w:val="32"/>
          <w:highlight w:val="none"/>
        </w:rPr>
        <w:t>28</w:t>
      </w:r>
      <w:r>
        <w:rPr>
          <w:b/>
          <w:bCs/>
          <w:color w:val="auto"/>
          <w:sz w:val="32"/>
          <w:szCs w:val="32"/>
          <w:highlight w:val="none"/>
        </w:rPr>
        <w:fldChar w:fldCharType="end"/>
      </w:r>
      <w:r>
        <w:rPr>
          <w:b/>
          <w:bCs/>
          <w:color w:val="auto"/>
          <w:sz w:val="32"/>
          <w:szCs w:val="32"/>
          <w:highlight w:val="none"/>
        </w:rPr>
        <w:fldChar w:fldCharType="end"/>
      </w:r>
    </w:p>
    <w:p w14:paraId="1C32F753">
      <w:pPr>
        <w:pStyle w:val="187"/>
        <w:shd w:val="clear"/>
        <w:tabs>
          <w:tab w:val="right" w:leader="dot" w:pos="8306"/>
        </w:tabs>
        <w:spacing w:line="360" w:lineRule="auto"/>
        <w:jc w:val="center"/>
        <w:rPr>
          <w:rFonts w:hint="eastAsia" w:eastAsia="宋体"/>
          <w:b/>
          <w:bCs/>
          <w:color w:val="auto"/>
          <w:sz w:val="32"/>
          <w:szCs w:val="32"/>
          <w:highlight w:val="none"/>
          <w:lang w:val="en-US" w:eastAsia="zh-CN"/>
        </w:rPr>
      </w:pPr>
      <w:r>
        <w:rPr>
          <w:color w:val="auto"/>
          <w:highlight w:val="none"/>
        </w:rPr>
        <w:fldChar w:fldCharType="begin"/>
      </w:r>
      <w:r>
        <w:rPr>
          <w:color w:val="auto"/>
          <w:highlight w:val="none"/>
        </w:rPr>
        <w:instrText xml:space="preserve"> HYPERLINK \l "_Toc9129" </w:instrText>
      </w:r>
      <w:r>
        <w:rPr>
          <w:color w:val="auto"/>
          <w:highlight w:val="none"/>
        </w:rPr>
        <w:fldChar w:fldCharType="separate"/>
      </w:r>
      <w:r>
        <w:rPr>
          <w:rFonts w:hint="eastAsia" w:hAnsi="宋体"/>
          <w:b/>
          <w:bCs/>
          <w:color w:val="auto"/>
          <w:kern w:val="44"/>
          <w:sz w:val="32"/>
          <w:szCs w:val="48"/>
          <w:highlight w:val="none"/>
          <w:lang w:val="zh-CN"/>
        </w:rPr>
        <w:t>第六篇</w:t>
      </w:r>
      <w:r>
        <w:rPr>
          <w:rFonts w:hint="eastAsia" w:hAnsi="宋体"/>
          <w:b/>
          <w:bCs/>
          <w:color w:val="auto"/>
          <w:kern w:val="44"/>
          <w:sz w:val="32"/>
          <w:szCs w:val="48"/>
          <w:highlight w:val="none"/>
        </w:rPr>
        <w:t xml:space="preserve"> </w:t>
      </w:r>
      <w:r>
        <w:rPr>
          <w:rFonts w:hint="eastAsia" w:hAnsi="宋体"/>
          <w:b/>
          <w:bCs/>
          <w:color w:val="auto"/>
          <w:kern w:val="44"/>
          <w:sz w:val="32"/>
          <w:szCs w:val="48"/>
          <w:highlight w:val="none"/>
          <w:lang w:val="zh-CN"/>
        </w:rPr>
        <w:t>磋商响应文件格式</w:t>
      </w:r>
      <w:r>
        <w:rPr>
          <w:b/>
          <w:bCs/>
          <w:color w:val="auto"/>
          <w:sz w:val="32"/>
          <w:szCs w:val="32"/>
          <w:highlight w:val="none"/>
        </w:rPr>
        <w:tab/>
      </w:r>
      <w:r>
        <w:rPr>
          <w:rFonts w:hint="eastAsia"/>
          <w:b/>
          <w:bCs/>
          <w:color w:val="auto"/>
          <w:sz w:val="32"/>
          <w:szCs w:val="32"/>
          <w:highlight w:val="none"/>
          <w:lang w:val="en-US" w:eastAsia="zh-CN"/>
        </w:rPr>
        <w:t>4</w:t>
      </w:r>
      <w:r>
        <w:rPr>
          <w:b/>
          <w:bCs/>
          <w:color w:val="auto"/>
          <w:sz w:val="32"/>
          <w:szCs w:val="32"/>
          <w:highlight w:val="none"/>
        </w:rPr>
        <w:fldChar w:fldCharType="end"/>
      </w:r>
      <w:r>
        <w:rPr>
          <w:rFonts w:hint="eastAsia"/>
          <w:b/>
          <w:bCs/>
          <w:color w:val="auto"/>
          <w:sz w:val="32"/>
          <w:szCs w:val="32"/>
          <w:highlight w:val="none"/>
          <w:lang w:val="en-US" w:eastAsia="zh-CN"/>
        </w:rPr>
        <w:t>0</w:t>
      </w:r>
    </w:p>
    <w:p w14:paraId="6FB14CD4">
      <w:pPr>
        <w:shd w:val="clear"/>
        <w:spacing w:line="360" w:lineRule="auto"/>
        <w:jc w:val="center"/>
        <w:rPr>
          <w:b/>
          <w:bCs/>
          <w:color w:val="auto"/>
          <w:sz w:val="32"/>
          <w:szCs w:val="32"/>
          <w:highlight w:val="none"/>
        </w:rPr>
      </w:pPr>
      <w:r>
        <w:rPr>
          <w:b/>
          <w:bCs/>
          <w:color w:val="auto"/>
          <w:sz w:val="32"/>
          <w:szCs w:val="32"/>
          <w:highlight w:val="none"/>
        </w:rPr>
        <w:fldChar w:fldCharType="end"/>
      </w:r>
    </w:p>
    <w:p w14:paraId="1C0841C6">
      <w:pPr>
        <w:shd w:val="clear"/>
        <w:spacing w:line="240" w:lineRule="auto"/>
        <w:jc w:val="left"/>
        <w:rPr>
          <w:b/>
          <w:bCs/>
          <w:color w:val="auto"/>
          <w:sz w:val="32"/>
          <w:szCs w:val="32"/>
          <w:highlight w:val="none"/>
        </w:rPr>
      </w:pPr>
      <w:r>
        <w:rPr>
          <w:b/>
          <w:bCs/>
          <w:color w:val="auto"/>
          <w:sz w:val="32"/>
          <w:szCs w:val="32"/>
          <w:highlight w:val="none"/>
        </w:rPr>
        <w:br w:type="page"/>
      </w:r>
    </w:p>
    <w:bookmarkEnd w:id="4"/>
    <w:p w14:paraId="020B48FC">
      <w:pPr>
        <w:pStyle w:val="2"/>
        <w:keepNext/>
        <w:keepLines/>
        <w:pageBreakBefore/>
        <w:numPr>
          <w:ilvl w:val="0"/>
          <w:numId w:val="10"/>
        </w:numPr>
        <w:shd w:val="clear"/>
        <w:tabs>
          <w:tab w:val="left" w:pos="1080"/>
        </w:tabs>
        <w:spacing w:line="360" w:lineRule="auto"/>
        <w:ind w:left="1078" w:hanging="1262" w:hangingChars="449"/>
        <w:jc w:val="center"/>
        <w:rPr>
          <w:rFonts w:hAnsi="宋体"/>
          <w:b/>
          <w:bCs/>
          <w:color w:val="auto"/>
          <w:kern w:val="44"/>
          <w:sz w:val="28"/>
          <w:szCs w:val="28"/>
          <w:highlight w:val="none"/>
          <w:lang w:val="zh-CN"/>
        </w:rPr>
      </w:pPr>
      <w:bookmarkStart w:id="5" w:name="_Toc3573"/>
      <w:r>
        <w:rPr>
          <w:rFonts w:hint="eastAsia" w:hAnsi="宋体"/>
          <w:b/>
          <w:bCs/>
          <w:color w:val="auto"/>
          <w:kern w:val="44"/>
          <w:sz w:val="28"/>
          <w:szCs w:val="28"/>
          <w:highlight w:val="none"/>
        </w:rPr>
        <w:t>磋商邀请书</w:t>
      </w:r>
      <w:bookmarkEnd w:id="2"/>
      <w:bookmarkEnd w:id="5"/>
    </w:p>
    <w:p w14:paraId="187F342E">
      <w:pPr>
        <w:keepNext w:val="0"/>
        <w:keepLines w:val="0"/>
        <w:pageBreakBefore w:val="0"/>
        <w:widowControl/>
        <w:shd w:val="clear"/>
        <w:tabs>
          <w:tab w:val="left" w:pos="-360"/>
        </w:tabs>
        <w:kinsoku/>
        <w:overflowPunct/>
        <w:topLinePunct w:val="0"/>
        <w:bidi w:val="0"/>
        <w:adjustRightInd/>
        <w:snapToGrid/>
        <w:spacing w:line="360" w:lineRule="auto"/>
        <w:ind w:right="-34" w:firstLine="420" w:firstLineChars="200"/>
        <w:jc w:val="both"/>
        <w:textAlignment w:val="bottom"/>
        <w:rPr>
          <w:rFonts w:hAnsi="宋体"/>
          <w:color w:val="auto"/>
          <w:sz w:val="21"/>
          <w:szCs w:val="21"/>
          <w:highlight w:val="none"/>
        </w:rPr>
      </w:pPr>
      <w:r>
        <w:rPr>
          <w:rFonts w:hint="eastAsia" w:hAnsi="宋体"/>
          <w:color w:val="auto"/>
          <w:sz w:val="21"/>
          <w:szCs w:val="21"/>
          <w:highlight w:val="none"/>
          <w:lang w:eastAsia="zh-CN"/>
        </w:rPr>
        <w:t>广东有德招标采购有限公司</w:t>
      </w:r>
      <w:r>
        <w:rPr>
          <w:rFonts w:hint="eastAsia" w:hAnsi="宋体"/>
          <w:color w:val="auto"/>
          <w:sz w:val="21"/>
          <w:szCs w:val="21"/>
          <w:highlight w:val="none"/>
        </w:rPr>
        <w:t>（以下简称“采购代理机构”）受</w:t>
      </w:r>
      <w:r>
        <w:rPr>
          <w:rFonts w:hint="eastAsia" w:hAnsi="宋体"/>
          <w:color w:val="auto"/>
          <w:sz w:val="21"/>
          <w:szCs w:val="21"/>
          <w:highlight w:val="none"/>
          <w:lang w:eastAsia="zh-CN"/>
        </w:rPr>
        <w:t>东莞市东厚安居建设有限公司</w:t>
      </w:r>
      <w:r>
        <w:rPr>
          <w:rFonts w:hint="eastAsia" w:hAnsi="宋体"/>
          <w:color w:val="auto"/>
          <w:sz w:val="21"/>
          <w:szCs w:val="21"/>
          <w:highlight w:val="none"/>
        </w:rPr>
        <w:t>（以下简称“采购人”）的委托，为东实·滨湖苑项目（东莞市厚街镇厚山配售型保障性住房项目）营销中心及样板间软装(项目编号：</w:t>
      </w:r>
      <w:r>
        <w:rPr>
          <w:rFonts w:hint="eastAsia" w:ascii="宋体" w:hAnsi="宋体" w:eastAsia="宋体" w:cs="宋体"/>
          <w:color w:val="auto"/>
          <w:sz w:val="21"/>
          <w:szCs w:val="21"/>
          <w:highlight w:val="none"/>
        </w:rPr>
        <w:t>DGQS-HJB-01-003-020(2025）</w:t>
      </w:r>
      <w:r>
        <w:rPr>
          <w:rFonts w:hint="eastAsia" w:hAnsi="宋体"/>
          <w:color w:val="auto"/>
          <w:sz w:val="21"/>
          <w:szCs w:val="21"/>
          <w:highlight w:val="none"/>
        </w:rPr>
        <w:t>)采购所需的服务。本项目采用竞争性磋商采购方式，欢迎合格供应商就本项目提交密封磋商。</w:t>
      </w:r>
    </w:p>
    <w:p w14:paraId="77405187">
      <w:pPr>
        <w:keepNext w:val="0"/>
        <w:keepLines w:val="0"/>
        <w:pageBreakBefore w:val="0"/>
        <w:shd w:val="clear"/>
        <w:kinsoku/>
        <w:overflowPunct/>
        <w:topLinePunct w:val="0"/>
        <w:bidi w:val="0"/>
        <w:snapToGrid/>
        <w:spacing w:line="360" w:lineRule="auto"/>
        <w:rPr>
          <w:rFonts w:hAnsi="宋体"/>
          <w:b/>
          <w:color w:val="auto"/>
          <w:sz w:val="21"/>
          <w:szCs w:val="21"/>
          <w:highlight w:val="none"/>
        </w:rPr>
      </w:pPr>
      <w:bookmarkStart w:id="6" w:name="_Toc4600"/>
      <w:r>
        <w:rPr>
          <w:rFonts w:hint="eastAsia" w:hAnsi="宋体"/>
          <w:b/>
          <w:color w:val="auto"/>
          <w:sz w:val="21"/>
          <w:szCs w:val="21"/>
          <w:highlight w:val="none"/>
        </w:rPr>
        <w:t>一、采购项目概况</w:t>
      </w:r>
    </w:p>
    <w:p w14:paraId="114A29FA">
      <w:pPr>
        <w:keepNext w:val="0"/>
        <w:keepLines w:val="0"/>
        <w:pageBreakBefore w:val="0"/>
        <w:shd w:val="clear"/>
        <w:kinsoku/>
        <w:overflowPunct/>
        <w:topLinePunct w:val="0"/>
        <w:bidi w:val="0"/>
        <w:snapToGrid/>
        <w:spacing w:line="360" w:lineRule="auto"/>
        <w:ind w:firstLine="420" w:firstLineChars="200"/>
        <w:rPr>
          <w:rFonts w:hint="eastAsia" w:hAnsi="宋体" w:eastAsia="宋体"/>
          <w:color w:val="auto"/>
          <w:sz w:val="21"/>
          <w:szCs w:val="21"/>
          <w:highlight w:val="none"/>
          <w:lang w:eastAsia="zh-CN"/>
        </w:rPr>
      </w:pPr>
      <w:r>
        <w:rPr>
          <w:rFonts w:hAnsi="宋体"/>
          <w:color w:val="auto"/>
          <w:sz w:val="21"/>
          <w:szCs w:val="21"/>
          <w:highlight w:val="none"/>
        </w:rPr>
        <w:t>1</w:t>
      </w:r>
      <w:r>
        <w:rPr>
          <w:rFonts w:hint="eastAsia" w:hAnsi="宋体"/>
          <w:color w:val="auto"/>
          <w:sz w:val="21"/>
          <w:szCs w:val="21"/>
          <w:highlight w:val="none"/>
        </w:rPr>
        <w:t>、采购</w:t>
      </w:r>
      <w:r>
        <w:rPr>
          <w:rFonts w:hAnsi="宋体"/>
          <w:color w:val="auto"/>
          <w:sz w:val="21"/>
          <w:szCs w:val="21"/>
          <w:highlight w:val="none"/>
        </w:rPr>
        <w:t>项目名称</w:t>
      </w:r>
      <w:r>
        <w:rPr>
          <w:rFonts w:hint="eastAsia" w:hAnsi="宋体"/>
          <w:color w:val="auto"/>
          <w:sz w:val="21"/>
          <w:szCs w:val="21"/>
          <w:highlight w:val="none"/>
        </w:rPr>
        <w:t>：</w:t>
      </w:r>
      <w:r>
        <w:rPr>
          <w:rFonts w:hint="eastAsia" w:ascii="宋体" w:hAnsi="宋体" w:eastAsia="宋体" w:cs="宋体"/>
          <w:color w:val="auto"/>
          <w:sz w:val="21"/>
          <w:szCs w:val="21"/>
          <w:highlight w:val="none"/>
          <w:u w:val="single"/>
        </w:rPr>
        <w:t>东实·滨湖苑项目（东莞市厚街镇厚山配售型保障性住房项目）营销中心及样板间软装</w:t>
      </w:r>
    </w:p>
    <w:p w14:paraId="76894B1D">
      <w:pPr>
        <w:keepNext w:val="0"/>
        <w:keepLines w:val="0"/>
        <w:pageBreakBefore w:val="0"/>
        <w:shd w:val="clear"/>
        <w:kinsoku/>
        <w:overflowPunct/>
        <w:topLinePunct w:val="0"/>
        <w:bidi w:val="0"/>
        <w:snapToGrid/>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2、</w:t>
      </w:r>
      <w:r>
        <w:rPr>
          <w:rFonts w:hAnsi="宋体"/>
          <w:color w:val="auto"/>
          <w:sz w:val="21"/>
          <w:szCs w:val="21"/>
          <w:highlight w:val="none"/>
        </w:rPr>
        <w:t>预算金额（</w:t>
      </w:r>
      <w:r>
        <w:rPr>
          <w:rFonts w:hint="eastAsia" w:hAnsi="宋体"/>
          <w:color w:val="auto"/>
          <w:sz w:val="21"/>
          <w:szCs w:val="21"/>
          <w:highlight w:val="none"/>
        </w:rPr>
        <w:t>元</w:t>
      </w:r>
      <w:r>
        <w:rPr>
          <w:rFonts w:hAnsi="宋体"/>
          <w:color w:val="auto"/>
          <w:sz w:val="21"/>
          <w:szCs w:val="21"/>
          <w:highlight w:val="none"/>
        </w:rPr>
        <w:t>）</w:t>
      </w:r>
      <w:r>
        <w:rPr>
          <w:rFonts w:hint="eastAsia" w:hAnsi="宋体"/>
          <w:color w:val="auto"/>
          <w:sz w:val="21"/>
          <w:szCs w:val="21"/>
          <w:highlight w:val="none"/>
        </w:rPr>
        <w:t>：</w:t>
      </w:r>
      <w:r>
        <w:rPr>
          <w:rFonts w:hint="eastAsia" w:hAnsi="宋体" w:cs="宋体"/>
          <w:color w:val="auto"/>
          <w:sz w:val="21"/>
          <w:szCs w:val="21"/>
          <w:highlight w:val="none"/>
          <w:u w:val="single"/>
          <w:lang w:val="en-US" w:eastAsia="zh-CN"/>
        </w:rPr>
        <w:t>1,060,284.15</w:t>
      </w:r>
      <w:r>
        <w:rPr>
          <w:rFonts w:hint="eastAsia" w:ascii="宋体" w:hAnsi="宋体" w:eastAsia="宋体" w:cs="宋体"/>
          <w:color w:val="auto"/>
          <w:sz w:val="21"/>
          <w:szCs w:val="21"/>
          <w:highlight w:val="none"/>
        </w:rPr>
        <w:t>元</w:t>
      </w:r>
      <w:r>
        <w:rPr>
          <w:rFonts w:hint="eastAsia" w:hAnsi="宋体" w:cs="宋体"/>
          <w:color w:val="auto"/>
          <w:sz w:val="21"/>
          <w:szCs w:val="21"/>
          <w:highlight w:val="none"/>
          <w:lang w:eastAsia="zh-CN"/>
        </w:rPr>
        <w:t>（</w:t>
      </w:r>
      <w:r>
        <w:rPr>
          <w:rFonts w:hint="eastAsia" w:hAnsi="宋体" w:cs="宋体"/>
          <w:color w:val="auto"/>
          <w:sz w:val="21"/>
          <w:szCs w:val="21"/>
          <w:highlight w:val="none"/>
          <w:lang w:val="en-US" w:eastAsia="zh-CN"/>
        </w:rPr>
        <w:t>大写：壹佰零陆万零贰佰捌拾肆元壹角伍分</w:t>
      </w:r>
      <w:r>
        <w:rPr>
          <w:rFonts w:hint="eastAsia" w:hAnsi="宋体" w:cs="宋体"/>
          <w:color w:val="auto"/>
          <w:sz w:val="21"/>
          <w:szCs w:val="21"/>
          <w:highlight w:val="none"/>
          <w:lang w:eastAsia="zh-CN"/>
        </w:rPr>
        <w:t>）</w:t>
      </w:r>
    </w:p>
    <w:p w14:paraId="70D8BF3B">
      <w:pPr>
        <w:keepNext w:val="0"/>
        <w:keepLines w:val="0"/>
        <w:pageBreakBefore w:val="0"/>
        <w:shd w:val="clear"/>
        <w:kinsoku/>
        <w:overflowPunct/>
        <w:topLinePunct w:val="0"/>
        <w:bidi w:val="0"/>
        <w:snapToGrid/>
        <w:spacing w:line="360" w:lineRule="auto"/>
        <w:ind w:firstLine="630" w:firstLineChars="300"/>
        <w:rPr>
          <w:rFonts w:hint="eastAsia" w:hAnsi="宋体"/>
          <w:color w:val="auto"/>
          <w:sz w:val="21"/>
          <w:szCs w:val="21"/>
          <w:highlight w:val="none"/>
          <w:u w:val="none"/>
          <w:lang w:eastAsia="zh-CN"/>
        </w:rPr>
      </w:pPr>
      <w:r>
        <w:rPr>
          <w:rFonts w:hint="eastAsia" w:hAnsi="宋体"/>
          <w:color w:val="auto"/>
          <w:sz w:val="21"/>
          <w:szCs w:val="21"/>
          <w:highlight w:val="none"/>
          <w:lang w:eastAsia="zh-CN"/>
        </w:rPr>
        <w:t>最高限价（元）：</w:t>
      </w:r>
      <w:r>
        <w:rPr>
          <w:rFonts w:hint="eastAsia" w:ascii="宋体" w:hAnsi="宋体" w:eastAsia="宋体" w:cs="宋体"/>
          <w:color w:val="auto"/>
          <w:sz w:val="21"/>
          <w:szCs w:val="21"/>
          <w:highlight w:val="none"/>
          <w:u w:val="single"/>
        </w:rPr>
        <w:t>992</w:t>
      </w:r>
      <w:r>
        <w:rPr>
          <w:rFonts w:hint="eastAsia" w:hAnsi="宋体" w:cs="宋体"/>
          <w:color w:val="auto"/>
          <w:sz w:val="21"/>
          <w:szCs w:val="21"/>
          <w:highlight w:val="none"/>
          <w:u w:val="single"/>
          <w:lang w:val="en-US" w:eastAsia="zh-CN"/>
        </w:rPr>
        <w:t>,</w:t>
      </w:r>
      <w:r>
        <w:rPr>
          <w:rFonts w:hint="eastAsia" w:ascii="宋体" w:hAnsi="宋体" w:eastAsia="宋体" w:cs="宋体"/>
          <w:color w:val="auto"/>
          <w:sz w:val="21"/>
          <w:szCs w:val="21"/>
          <w:highlight w:val="none"/>
          <w:u w:val="single"/>
        </w:rPr>
        <w:t>315.4</w:t>
      </w:r>
      <w:r>
        <w:rPr>
          <w:rFonts w:hint="eastAsia" w:hAnsi="宋体" w:cs="宋体"/>
          <w:color w:val="auto"/>
          <w:sz w:val="21"/>
          <w:szCs w:val="21"/>
          <w:highlight w:val="none"/>
          <w:u w:val="single"/>
          <w:lang w:val="en-US" w:eastAsia="zh-CN"/>
        </w:rPr>
        <w:t>7</w:t>
      </w:r>
      <w:r>
        <w:rPr>
          <w:rFonts w:hint="eastAsia" w:ascii="宋体" w:hAnsi="宋体" w:eastAsia="宋体" w:cs="宋体"/>
          <w:color w:val="auto"/>
          <w:sz w:val="21"/>
          <w:szCs w:val="21"/>
          <w:highlight w:val="none"/>
        </w:rPr>
        <w:t>元（</w:t>
      </w:r>
      <w:r>
        <w:rPr>
          <w:rFonts w:hint="eastAsia" w:hAnsi="宋体" w:cs="宋体"/>
          <w:color w:val="auto"/>
          <w:sz w:val="21"/>
          <w:szCs w:val="21"/>
          <w:highlight w:val="none"/>
          <w:lang w:val="en-US" w:eastAsia="zh-CN"/>
        </w:rPr>
        <w:t>大写：玖拾玖万贰仟叁佰壹拾伍元肆角柒分</w:t>
      </w:r>
      <w:r>
        <w:rPr>
          <w:rFonts w:hint="eastAsia" w:ascii="宋体" w:hAnsi="宋体" w:eastAsia="宋体" w:cs="宋体"/>
          <w:color w:val="auto"/>
          <w:sz w:val="21"/>
          <w:szCs w:val="21"/>
          <w:highlight w:val="none"/>
        </w:rPr>
        <w:t>）</w:t>
      </w:r>
      <w:r>
        <w:rPr>
          <w:rFonts w:hint="eastAsia" w:hAnsi="宋体"/>
          <w:color w:val="auto"/>
          <w:sz w:val="21"/>
          <w:szCs w:val="21"/>
          <w:highlight w:val="none"/>
          <w:u w:val="none"/>
          <w:lang w:eastAsia="zh-CN"/>
        </w:rPr>
        <w:t>。</w:t>
      </w:r>
    </w:p>
    <w:p w14:paraId="625E25FA">
      <w:pPr>
        <w:keepNext w:val="0"/>
        <w:keepLines w:val="0"/>
        <w:pageBreakBefore w:val="0"/>
        <w:shd w:val="clear"/>
        <w:kinsoku/>
        <w:overflowPunct/>
        <w:topLinePunct w:val="0"/>
        <w:bidi w:val="0"/>
        <w:snapToGrid/>
        <w:spacing w:line="360" w:lineRule="auto"/>
        <w:ind w:firstLine="630" w:firstLineChars="300"/>
        <w:rPr>
          <w:rFonts w:hint="eastAsia" w:hAnsi="宋体"/>
          <w:color w:val="auto"/>
          <w:sz w:val="21"/>
          <w:szCs w:val="21"/>
          <w:highlight w:val="none"/>
          <w:u w:val="none"/>
          <w:lang w:val="en-US" w:eastAsia="zh-CN"/>
        </w:rPr>
      </w:pPr>
      <w:r>
        <w:rPr>
          <w:rFonts w:hint="eastAsia" w:hAnsi="宋体"/>
          <w:color w:val="auto"/>
          <w:sz w:val="21"/>
          <w:szCs w:val="21"/>
          <w:highlight w:val="none"/>
          <w:u w:val="none"/>
          <w:lang w:eastAsia="zh-CN"/>
        </w:rPr>
        <w:t>（</w:t>
      </w:r>
      <w:r>
        <w:rPr>
          <w:rFonts w:hint="eastAsia" w:hAnsi="宋体"/>
          <w:color w:val="auto"/>
          <w:sz w:val="21"/>
          <w:szCs w:val="21"/>
          <w:highlight w:val="none"/>
          <w:u w:val="none"/>
          <w:lang w:val="en-US" w:eastAsia="zh-CN"/>
        </w:rPr>
        <w:t>已包含安全生产措施费，安全生产措施费为固定不变价</w:t>
      </w:r>
      <w:r>
        <w:rPr>
          <w:rFonts w:hint="eastAsia" w:hAnsi="宋体"/>
          <w:color w:val="auto"/>
          <w:sz w:val="21"/>
          <w:szCs w:val="21"/>
          <w:highlight w:val="none"/>
          <w:u w:val="none"/>
          <w:lang w:eastAsia="zh-CN"/>
        </w:rPr>
        <w:t>）</w:t>
      </w:r>
    </w:p>
    <w:p w14:paraId="1BABD9AD">
      <w:pPr>
        <w:keepNext w:val="0"/>
        <w:keepLines w:val="0"/>
        <w:pageBreakBefore w:val="0"/>
        <w:shd w:val="clear"/>
        <w:kinsoku/>
        <w:overflowPunct/>
        <w:topLinePunct w:val="0"/>
        <w:bidi w:val="0"/>
        <w:snapToGrid/>
        <w:spacing w:line="360" w:lineRule="auto"/>
        <w:ind w:firstLine="420" w:firstLineChars="200"/>
        <w:rPr>
          <w:rFonts w:hAnsi="宋体"/>
          <w:color w:val="auto"/>
          <w:sz w:val="21"/>
          <w:szCs w:val="21"/>
          <w:highlight w:val="none"/>
        </w:rPr>
      </w:pPr>
      <w:r>
        <w:rPr>
          <w:rFonts w:hint="eastAsia" w:hAnsi="宋体"/>
          <w:color w:val="auto"/>
          <w:sz w:val="21"/>
          <w:szCs w:val="21"/>
          <w:highlight w:val="none"/>
        </w:rPr>
        <w:t>3、项目内容</w:t>
      </w:r>
    </w:p>
    <w:tbl>
      <w:tblPr>
        <w:tblStyle w:val="53"/>
        <w:tblW w:w="484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0"/>
        <w:gridCol w:w="2444"/>
      </w:tblGrid>
      <w:tr w14:paraId="49B52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3642" w:type="pct"/>
            <w:vAlign w:val="center"/>
          </w:tcPr>
          <w:p w14:paraId="10E994B9">
            <w:pPr>
              <w:keepNext w:val="0"/>
              <w:keepLines w:val="0"/>
              <w:pageBreakBefore w:val="0"/>
              <w:shd w:val="clear"/>
              <w:kinsoku/>
              <w:overflowPunct/>
              <w:topLinePunct w:val="0"/>
              <w:bidi w:val="0"/>
              <w:snapToGrid/>
              <w:spacing w:line="360" w:lineRule="auto"/>
              <w:jc w:val="center"/>
              <w:rPr>
                <w:rFonts w:hAnsi="宋体"/>
                <w:color w:val="auto"/>
                <w:kern w:val="28"/>
                <w:sz w:val="21"/>
                <w:szCs w:val="21"/>
                <w:highlight w:val="none"/>
              </w:rPr>
            </w:pPr>
            <w:r>
              <w:rPr>
                <w:rFonts w:hint="eastAsia" w:hAnsi="宋体"/>
                <w:color w:val="auto"/>
                <w:kern w:val="28"/>
                <w:sz w:val="21"/>
                <w:szCs w:val="21"/>
                <w:highlight w:val="none"/>
              </w:rPr>
              <w:t>项目内容</w:t>
            </w:r>
          </w:p>
        </w:tc>
        <w:tc>
          <w:tcPr>
            <w:tcW w:w="1357" w:type="pct"/>
            <w:vAlign w:val="center"/>
          </w:tcPr>
          <w:p w14:paraId="07FE6176">
            <w:pPr>
              <w:keepNext w:val="0"/>
              <w:keepLines w:val="0"/>
              <w:pageBreakBefore w:val="0"/>
              <w:shd w:val="clear"/>
              <w:kinsoku/>
              <w:overflowPunct/>
              <w:topLinePunct w:val="0"/>
              <w:bidi w:val="0"/>
              <w:snapToGrid/>
              <w:spacing w:line="360" w:lineRule="auto"/>
              <w:jc w:val="center"/>
              <w:rPr>
                <w:rFonts w:hAnsi="宋体"/>
                <w:color w:val="auto"/>
                <w:kern w:val="28"/>
                <w:sz w:val="21"/>
                <w:szCs w:val="21"/>
                <w:highlight w:val="none"/>
              </w:rPr>
            </w:pPr>
            <w:r>
              <w:rPr>
                <w:rFonts w:hint="eastAsia" w:hAnsi="宋体"/>
                <w:color w:val="auto"/>
                <w:kern w:val="28"/>
                <w:sz w:val="21"/>
                <w:szCs w:val="21"/>
                <w:highlight w:val="none"/>
              </w:rPr>
              <w:t>采购服务单位数量</w:t>
            </w:r>
          </w:p>
        </w:tc>
      </w:tr>
      <w:tr w14:paraId="29FE4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3642" w:type="pct"/>
            <w:vAlign w:val="center"/>
          </w:tcPr>
          <w:p w14:paraId="03EEB4FA">
            <w:pPr>
              <w:keepNext w:val="0"/>
              <w:keepLines w:val="0"/>
              <w:pageBreakBefore w:val="0"/>
              <w:shd w:val="clear"/>
              <w:kinsoku/>
              <w:overflowPunct/>
              <w:topLinePunct w:val="0"/>
              <w:bidi w:val="0"/>
              <w:snapToGrid/>
              <w:spacing w:line="360" w:lineRule="auto"/>
              <w:jc w:val="center"/>
              <w:rPr>
                <w:rFonts w:hint="eastAsia" w:hAnsi="宋体" w:eastAsia="宋体"/>
                <w:color w:val="auto"/>
                <w:sz w:val="21"/>
                <w:szCs w:val="21"/>
                <w:highlight w:val="none"/>
                <w:lang w:eastAsia="zh-CN"/>
              </w:rPr>
            </w:pPr>
            <w:r>
              <w:rPr>
                <w:rFonts w:hint="eastAsia" w:hAnsi="宋体" w:eastAsia="宋体"/>
                <w:color w:val="auto"/>
                <w:sz w:val="21"/>
                <w:szCs w:val="21"/>
                <w:highlight w:val="none"/>
                <w:lang w:val="en-US" w:eastAsia="zh-CN"/>
              </w:rPr>
              <w:t>东实·滨湖苑项目(东莞市厚街镇厚山配售型保障性住房项目)营销中心及样板间软装</w:t>
            </w:r>
          </w:p>
        </w:tc>
        <w:tc>
          <w:tcPr>
            <w:tcW w:w="1357" w:type="pct"/>
            <w:vAlign w:val="center"/>
          </w:tcPr>
          <w:p w14:paraId="568F551E">
            <w:pPr>
              <w:keepNext w:val="0"/>
              <w:keepLines w:val="0"/>
              <w:pageBreakBefore w:val="0"/>
              <w:shd w:val="clear"/>
              <w:kinsoku/>
              <w:overflowPunct/>
              <w:topLinePunct w:val="0"/>
              <w:bidi w:val="0"/>
              <w:snapToGrid/>
              <w:spacing w:line="360" w:lineRule="auto"/>
              <w:jc w:val="center"/>
              <w:rPr>
                <w:rFonts w:hint="eastAsia" w:hAnsi="宋体" w:eastAsia="宋体"/>
                <w:color w:val="auto"/>
                <w:sz w:val="21"/>
                <w:szCs w:val="21"/>
                <w:highlight w:val="none"/>
                <w:lang w:val="en-US" w:eastAsia="zh-CN"/>
              </w:rPr>
            </w:pPr>
            <w:r>
              <w:rPr>
                <w:rFonts w:hint="eastAsia" w:hAnsi="宋体"/>
                <w:color w:val="auto"/>
                <w:sz w:val="21"/>
                <w:szCs w:val="21"/>
                <w:highlight w:val="none"/>
              </w:rPr>
              <w:t>1</w:t>
            </w:r>
            <w:r>
              <w:rPr>
                <w:rFonts w:hint="eastAsia" w:hAnsi="宋体"/>
                <w:color w:val="auto"/>
                <w:sz w:val="21"/>
                <w:szCs w:val="21"/>
                <w:highlight w:val="none"/>
                <w:lang w:val="en-US" w:eastAsia="zh-CN"/>
              </w:rPr>
              <w:t>项</w:t>
            </w:r>
          </w:p>
        </w:tc>
      </w:tr>
    </w:tbl>
    <w:p w14:paraId="140D9530">
      <w:pPr>
        <w:keepNext w:val="0"/>
        <w:keepLines w:val="0"/>
        <w:pageBreakBefore w:val="0"/>
        <w:shd w:val="clear"/>
        <w:kinsoku/>
        <w:overflowPunct/>
        <w:topLinePunct w:val="0"/>
        <w:bidi w:val="0"/>
        <w:snapToGrid/>
        <w:spacing w:line="360" w:lineRule="auto"/>
        <w:ind w:firstLine="420" w:firstLineChars="200"/>
        <w:rPr>
          <w:rFonts w:hAnsi="宋体"/>
          <w:color w:val="auto"/>
          <w:sz w:val="21"/>
          <w:szCs w:val="21"/>
          <w:highlight w:val="none"/>
        </w:rPr>
      </w:pPr>
      <w:r>
        <w:rPr>
          <w:rFonts w:hint="eastAsia" w:hAnsi="宋体"/>
          <w:color w:val="auto"/>
          <w:sz w:val="21"/>
          <w:szCs w:val="21"/>
          <w:highlight w:val="none"/>
          <w:lang w:val="en-US" w:eastAsia="zh-CN"/>
        </w:rPr>
        <w:t>4</w:t>
      </w:r>
      <w:r>
        <w:rPr>
          <w:rFonts w:hint="eastAsia" w:hAnsi="宋体"/>
          <w:color w:val="auto"/>
          <w:sz w:val="21"/>
          <w:szCs w:val="21"/>
          <w:highlight w:val="none"/>
        </w:rPr>
        <w:t>、项目需求</w:t>
      </w:r>
    </w:p>
    <w:p w14:paraId="64C30DE7">
      <w:pPr>
        <w:keepNext w:val="0"/>
        <w:keepLines w:val="0"/>
        <w:pageBreakBefore w:val="0"/>
        <w:shd w:val="clear"/>
        <w:kinsoku/>
        <w:overflowPunct/>
        <w:topLinePunct w:val="0"/>
        <w:bidi w:val="0"/>
        <w:snapToGrid/>
        <w:spacing w:line="360" w:lineRule="auto"/>
        <w:ind w:firstLine="420" w:firstLineChars="200"/>
        <w:rPr>
          <w:rFonts w:hAnsi="宋体"/>
          <w:color w:val="auto"/>
          <w:sz w:val="21"/>
          <w:szCs w:val="21"/>
          <w:highlight w:val="none"/>
        </w:rPr>
      </w:pPr>
      <w:r>
        <w:rPr>
          <w:rFonts w:hint="eastAsia" w:hAnsi="宋体"/>
          <w:color w:val="auto"/>
          <w:sz w:val="21"/>
          <w:szCs w:val="21"/>
          <w:highlight w:val="none"/>
        </w:rPr>
        <w:t>详细内容请参阅采购文件第三部分《用户需求书》。</w:t>
      </w:r>
    </w:p>
    <w:p w14:paraId="59A1285A">
      <w:pPr>
        <w:keepNext w:val="0"/>
        <w:keepLines w:val="0"/>
        <w:pageBreakBefore w:val="0"/>
        <w:widowControl/>
        <w:shd w:val="clear"/>
        <w:kinsoku/>
        <w:overflowPunct/>
        <w:topLinePunct w:val="0"/>
        <w:bidi w:val="0"/>
        <w:adjustRightInd/>
        <w:snapToGrid/>
        <w:spacing w:line="360" w:lineRule="auto"/>
        <w:outlineLvl w:val="0"/>
        <w:rPr>
          <w:rFonts w:hAnsi="宋体"/>
          <w:b/>
          <w:bCs/>
          <w:color w:val="auto"/>
          <w:kern w:val="28"/>
          <w:sz w:val="21"/>
          <w:szCs w:val="21"/>
          <w:highlight w:val="none"/>
        </w:rPr>
      </w:pPr>
      <w:r>
        <w:rPr>
          <w:rFonts w:hint="eastAsia" w:hAnsi="宋体"/>
          <w:b/>
          <w:bCs/>
          <w:color w:val="auto"/>
          <w:kern w:val="28"/>
          <w:sz w:val="21"/>
          <w:szCs w:val="21"/>
          <w:highlight w:val="none"/>
          <w:lang w:val="zh-CN"/>
        </w:rPr>
        <w:t>二、供应商须满足以下资格条件</w:t>
      </w:r>
      <w:bookmarkEnd w:id="6"/>
    </w:p>
    <w:p w14:paraId="378F2E7D">
      <w:pPr>
        <w:keepNext w:val="0"/>
        <w:keepLines w:val="0"/>
        <w:pageBreakBefore w:val="0"/>
        <w:shd w:val="clear"/>
        <w:kinsoku/>
        <w:overflowPunct/>
        <w:topLinePunct w:val="0"/>
        <w:bidi w:val="0"/>
        <w:snapToGrid/>
        <w:spacing w:line="360" w:lineRule="auto"/>
        <w:ind w:firstLine="420" w:firstLineChars="200"/>
        <w:rPr>
          <w:rFonts w:hint="eastAsia" w:hAnsi="宋体"/>
          <w:color w:val="auto"/>
          <w:sz w:val="21"/>
          <w:szCs w:val="21"/>
          <w:highlight w:val="none"/>
        </w:rPr>
      </w:pPr>
      <w:bookmarkStart w:id="7" w:name="_Toc8581"/>
      <w:bookmarkStart w:id="8" w:name="_Toc396137230"/>
      <w:r>
        <w:rPr>
          <w:rFonts w:hint="eastAsia" w:hAnsi="宋体"/>
          <w:color w:val="auto"/>
          <w:sz w:val="21"/>
          <w:szCs w:val="21"/>
          <w:highlight w:val="none"/>
        </w:rPr>
        <w:t>1、供应商须为在中华人民共和国境内登记注册的具有独立承担民事责任能力的法人或其他组织。</w:t>
      </w:r>
    </w:p>
    <w:p w14:paraId="31D49610">
      <w:pPr>
        <w:keepNext w:val="0"/>
        <w:keepLines w:val="0"/>
        <w:pageBreakBefore w:val="0"/>
        <w:shd w:val="clear"/>
        <w:kinsoku/>
        <w:overflowPunct/>
        <w:topLinePunct w:val="0"/>
        <w:bidi w:val="0"/>
        <w:snapToGrid/>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2、供应商的单位负责人为同一人或者存在直接控股、管理关系的不同供应商，不得参加同一合同项下的采购活动。</w:t>
      </w:r>
    </w:p>
    <w:p w14:paraId="559359F5">
      <w:pPr>
        <w:keepNext w:val="0"/>
        <w:keepLines w:val="0"/>
        <w:pageBreakBefore w:val="0"/>
        <w:shd w:val="clear"/>
        <w:kinsoku/>
        <w:overflowPunct/>
        <w:topLinePunct w:val="0"/>
        <w:bidi w:val="0"/>
        <w:snapToGrid/>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3、供应商参加采购活动前3年内，在经营活动中没有重大违法记录（提供书面声明函</w:t>
      </w:r>
      <w:r>
        <w:rPr>
          <w:rFonts w:hint="eastAsia" w:hAnsi="宋体"/>
          <w:color w:val="auto"/>
          <w:sz w:val="21"/>
          <w:szCs w:val="21"/>
          <w:highlight w:val="none"/>
          <w:lang w:eastAsia="zh-CN"/>
        </w:rPr>
        <w:t>，</w:t>
      </w:r>
      <w:r>
        <w:rPr>
          <w:rFonts w:hint="eastAsia" w:hAnsi="宋体"/>
          <w:color w:val="auto"/>
          <w:sz w:val="21"/>
          <w:szCs w:val="21"/>
          <w:highlight w:val="none"/>
          <w:lang w:val="en-US" w:eastAsia="zh-CN"/>
        </w:rPr>
        <w:t>详见响应文件格式</w:t>
      </w:r>
      <w:r>
        <w:rPr>
          <w:rFonts w:hint="eastAsia" w:hAnsi="宋体"/>
          <w:color w:val="auto"/>
          <w:sz w:val="21"/>
          <w:szCs w:val="21"/>
          <w:highlight w:val="none"/>
        </w:rPr>
        <w:t>）。重大违法记录，是指投标人因违法经营受到刑事处罚或者责令停产停业、吊销许可证或者执照、较大数额罚款等行政处罚。（根据财库〔2022〕3号文，“较大数额罚 款”认定为200万元以上的罚款，法律、行政法规以及国务院有关部门明确规定相关领域“较大数额罚款”标准高于200万元的，从其规定）。</w:t>
      </w:r>
    </w:p>
    <w:p w14:paraId="5B1F22AB">
      <w:pPr>
        <w:keepNext w:val="0"/>
        <w:keepLines w:val="0"/>
        <w:pageBreakBefore w:val="0"/>
        <w:shd w:val="clear"/>
        <w:kinsoku/>
        <w:overflowPunct/>
        <w:topLinePunct w:val="0"/>
        <w:bidi w:val="0"/>
        <w:snapToGrid/>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4、供应商未被列入“信用中国”网站(www.creditchina.gov.cn)“失信被执行人或重大税收违法失信主体或政府采购严重违法失信行为记录名单”（以采购代理机构磋商截止日当天在“信用中国”网站（www.creditchina.gov.cn）查询结果为准，如相关失信记录已失效，供应商需提供相关证明资料）。</w:t>
      </w:r>
    </w:p>
    <w:p w14:paraId="6378A1C6">
      <w:pPr>
        <w:spacing w:line="360" w:lineRule="auto"/>
        <w:ind w:firstLine="420" w:firstLineChars="200"/>
        <w:rPr>
          <w:rFonts w:hint="eastAsia" w:ascii="宋体" w:hAnsi="宋体" w:eastAsia="宋体" w:cs="宋体"/>
          <w:color w:val="auto"/>
          <w:sz w:val="21"/>
          <w:szCs w:val="21"/>
          <w:highlight w:val="none"/>
          <w:lang w:eastAsia="zh-CN"/>
        </w:rPr>
      </w:pPr>
      <w:r>
        <w:rPr>
          <w:rFonts w:hint="eastAsia" w:hAnsi="宋体"/>
          <w:color w:val="auto"/>
          <w:sz w:val="21"/>
          <w:szCs w:val="21"/>
          <w:highlight w:val="none"/>
        </w:rPr>
        <w:t>5、供应商未被列入东实集团及下属企业工程建设领域黑名单【以东莞实业投资控股集团有限公司发文（东实通〔2021〕44号）、（东实通〔2021〕98号）、（东实通〔2022〕75号）、（东实通〔2023〕37号）、（东实通〔2024〕163号）、（东实通〔2024〕195号）</w:t>
      </w:r>
      <w:r>
        <w:rPr>
          <w:rFonts w:hint="eastAsia" w:hAnsi="宋体"/>
          <w:color w:val="auto"/>
          <w:sz w:val="21"/>
          <w:szCs w:val="21"/>
          <w:highlight w:val="none"/>
          <w:lang w:eastAsia="zh-CN"/>
        </w:rPr>
        <w:t>、（东实通[2025〕157号）</w:t>
      </w:r>
      <w:r>
        <w:rPr>
          <w:rFonts w:hint="eastAsia" w:hAnsi="宋体"/>
          <w:color w:val="auto"/>
          <w:sz w:val="21"/>
          <w:szCs w:val="21"/>
          <w:highlight w:val="none"/>
        </w:rPr>
        <w:t>及下属企业发文为准，如有最新发文通知，按最新文件执行】。</w:t>
      </w:r>
    </w:p>
    <w:p w14:paraId="6E4C9A4F">
      <w:pPr>
        <w:keepNext w:val="0"/>
        <w:keepLines w:val="0"/>
        <w:pageBreakBefore w:val="0"/>
        <w:shd w:val="clear"/>
        <w:kinsoku/>
        <w:overflowPunct/>
        <w:topLinePunct w:val="0"/>
        <w:bidi w:val="0"/>
        <w:snapToGrid/>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lang w:val="en-US" w:eastAsia="zh-CN"/>
        </w:rPr>
        <w:t>6</w:t>
      </w:r>
      <w:r>
        <w:rPr>
          <w:rFonts w:hint="eastAsia" w:hAnsi="宋体"/>
          <w:color w:val="auto"/>
          <w:sz w:val="21"/>
          <w:szCs w:val="21"/>
          <w:highlight w:val="none"/>
        </w:rPr>
        <w:t>、本项目不接受联合体磋商。</w:t>
      </w:r>
    </w:p>
    <w:p w14:paraId="016806CA">
      <w:pPr>
        <w:keepNext w:val="0"/>
        <w:keepLines w:val="0"/>
        <w:pageBreakBefore w:val="0"/>
        <w:shd w:val="clear"/>
        <w:kinsoku/>
        <w:overflowPunct/>
        <w:topLinePunct w:val="0"/>
        <w:bidi w:val="0"/>
        <w:snapToGrid/>
        <w:spacing w:line="360" w:lineRule="auto"/>
        <w:outlineLvl w:val="0"/>
        <w:rPr>
          <w:rFonts w:hAnsi="宋体"/>
          <w:b/>
          <w:bCs/>
          <w:color w:val="auto"/>
          <w:sz w:val="21"/>
          <w:szCs w:val="21"/>
          <w:highlight w:val="none"/>
        </w:rPr>
      </w:pPr>
      <w:r>
        <w:rPr>
          <w:rFonts w:hint="eastAsia" w:hAnsi="宋体"/>
          <w:b/>
          <w:bCs/>
          <w:color w:val="auto"/>
          <w:sz w:val="21"/>
          <w:szCs w:val="21"/>
          <w:highlight w:val="none"/>
        </w:rPr>
        <w:t>三、获取磋商文件</w:t>
      </w:r>
      <w:bookmarkEnd w:id="7"/>
    </w:p>
    <w:p w14:paraId="46365196">
      <w:pPr>
        <w:keepNext w:val="0"/>
        <w:keepLines w:val="0"/>
        <w:pageBreakBefore w:val="0"/>
        <w:widowControl/>
        <w:shd w:val="clear"/>
        <w:kinsoku/>
        <w:overflowPunct/>
        <w:topLinePunct w:val="0"/>
        <w:bidi w:val="0"/>
        <w:adjustRightInd/>
        <w:snapToGrid/>
        <w:spacing w:line="360" w:lineRule="auto"/>
        <w:ind w:left="0" w:right="0" w:firstLine="420" w:firstLineChars="200"/>
        <w:textAlignment w:val="bottom"/>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本项目不进行实名登记报名，拟参加磋商的供应商于磋商截止时间前自行网上下载采购文件。采购文件下载地址：中国招标投标公共服务平台（http://www.cebpubservice.com/）、</w:t>
      </w:r>
      <w:r>
        <w:rPr>
          <w:rFonts w:hint="eastAsia" w:ascii="宋体" w:hAnsi="宋体" w:eastAsia="宋体" w:cs="宋体"/>
          <w:strike w:val="0"/>
          <w:color w:val="auto"/>
          <w:kern w:val="2"/>
          <w:sz w:val="21"/>
          <w:szCs w:val="21"/>
          <w:highlight w:val="none"/>
        </w:rPr>
        <w:t>东莞实业投资控股集团有限公司-招标采购栏目（http://www.dgsy.com.cn/）、</w:t>
      </w:r>
      <w:r>
        <w:rPr>
          <w:rFonts w:hint="eastAsia" w:hAnsi="宋体" w:cs="宋体"/>
          <w:strike w:val="0"/>
          <w:color w:val="auto"/>
          <w:kern w:val="2"/>
          <w:sz w:val="21"/>
          <w:szCs w:val="21"/>
          <w:highlight w:val="none"/>
          <w:lang w:eastAsia="zh-CN"/>
        </w:rPr>
        <w:t>广东有德招标采购有限公司官网</w:t>
      </w:r>
      <w:r>
        <w:rPr>
          <w:rFonts w:hint="eastAsia" w:ascii="宋体" w:hAnsi="宋体" w:eastAsia="宋体" w:cs="宋体"/>
          <w:color w:val="auto"/>
          <w:kern w:val="2"/>
          <w:sz w:val="21"/>
          <w:szCs w:val="21"/>
          <w:highlight w:val="none"/>
          <w:lang w:eastAsia="zh-CN"/>
        </w:rPr>
        <w:t>（http://www.youde.net/）</w:t>
      </w:r>
      <w:r>
        <w:rPr>
          <w:rFonts w:hint="eastAsia" w:ascii="宋体" w:hAnsi="宋体" w:eastAsia="宋体" w:cs="宋体"/>
          <w:color w:val="auto"/>
          <w:kern w:val="2"/>
          <w:sz w:val="21"/>
          <w:szCs w:val="21"/>
          <w:highlight w:val="none"/>
        </w:rPr>
        <w:t>。</w:t>
      </w:r>
    </w:p>
    <w:p w14:paraId="72336133">
      <w:pPr>
        <w:pStyle w:val="64"/>
        <w:spacing w:line="360" w:lineRule="auto"/>
        <w:rPr>
          <w:rFonts w:ascii="宋体" w:hAnsi="宋体" w:eastAsia="宋体" w:cs="宋体"/>
          <w:bCs/>
          <w:color w:val="auto"/>
          <w:sz w:val="21"/>
          <w:szCs w:val="21"/>
          <w:highlight w:val="none"/>
        </w:rPr>
      </w:pPr>
      <w:r>
        <w:rPr>
          <w:rFonts w:hint="eastAsia" w:ascii="宋体" w:hAnsi="宋体" w:eastAsia="宋体" w:cs="宋体"/>
          <w:color w:val="auto"/>
          <w:kern w:val="2"/>
          <w:sz w:val="21"/>
          <w:szCs w:val="21"/>
          <w:highlight w:val="none"/>
        </w:rPr>
        <w:t>采购结果公告发布媒介：</w:t>
      </w:r>
      <w:r>
        <w:rPr>
          <w:rFonts w:hint="eastAsia" w:ascii="宋体" w:hAnsi="宋体" w:eastAsia="宋体" w:cs="宋体"/>
          <w:color w:val="auto"/>
          <w:sz w:val="21"/>
          <w:szCs w:val="21"/>
          <w:highlight w:val="none"/>
        </w:rPr>
        <w:t>东莞实业投资控股集团有限公司-招标采购栏目（http://www.dgsy.com.cn/）。</w:t>
      </w:r>
    </w:p>
    <w:p w14:paraId="5C58F580">
      <w:pPr>
        <w:keepNext w:val="0"/>
        <w:keepLines w:val="0"/>
        <w:pageBreakBefore w:val="0"/>
        <w:widowControl/>
        <w:shd w:val="clear"/>
        <w:kinsoku/>
        <w:overflowPunct/>
        <w:topLinePunct w:val="0"/>
        <w:bidi w:val="0"/>
        <w:snapToGrid/>
        <w:spacing w:line="360" w:lineRule="auto"/>
        <w:ind w:firstLine="0" w:firstLineChars="0"/>
        <w:textAlignment w:val="auto"/>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四、接收响应文件的时间、地点、截止时间，开启响应文件时间、地点</w:t>
      </w:r>
    </w:p>
    <w:p w14:paraId="6FF8A1FF">
      <w:pPr>
        <w:pStyle w:val="64"/>
        <w:spacing w:line="360" w:lineRule="auto"/>
        <w:rPr>
          <w:rFonts w:hint="eastAsia" w:ascii="宋体" w:hAnsi="宋体" w:eastAsia="宋体" w:cs="宋体"/>
          <w:color w:val="auto"/>
          <w:kern w:val="2"/>
          <w:sz w:val="21"/>
          <w:szCs w:val="21"/>
          <w:highlight w:val="none"/>
        </w:rPr>
      </w:pPr>
      <w:bookmarkStart w:id="9" w:name="_Toc26926"/>
      <w:r>
        <w:rPr>
          <w:rFonts w:hint="eastAsia" w:ascii="宋体" w:hAnsi="宋体" w:eastAsia="宋体" w:cs="宋体"/>
          <w:color w:val="auto"/>
          <w:kern w:val="2"/>
          <w:sz w:val="21"/>
          <w:szCs w:val="21"/>
          <w:highlight w:val="none"/>
        </w:rPr>
        <w:t>1、接收响应文件的时间：2025年</w:t>
      </w:r>
      <w:r>
        <w:rPr>
          <w:rFonts w:hint="eastAsia" w:hAnsi="宋体" w:cs="宋体"/>
          <w:color w:val="auto"/>
          <w:kern w:val="2"/>
          <w:sz w:val="21"/>
          <w:szCs w:val="21"/>
          <w:highlight w:val="none"/>
          <w:lang w:val="en-US" w:eastAsia="zh-CN"/>
        </w:rPr>
        <w:t>12</w:t>
      </w:r>
      <w:r>
        <w:rPr>
          <w:rFonts w:hint="eastAsia" w:ascii="宋体" w:hAnsi="宋体" w:eastAsia="宋体" w:cs="宋体"/>
          <w:color w:val="auto"/>
          <w:kern w:val="2"/>
          <w:sz w:val="21"/>
          <w:szCs w:val="21"/>
          <w:highlight w:val="none"/>
        </w:rPr>
        <w:t>月</w:t>
      </w:r>
      <w:r>
        <w:rPr>
          <w:rFonts w:hint="eastAsia" w:hAnsi="宋体" w:cs="宋体"/>
          <w:color w:val="auto"/>
          <w:kern w:val="2"/>
          <w:sz w:val="21"/>
          <w:szCs w:val="21"/>
          <w:highlight w:val="none"/>
          <w:lang w:val="en-US" w:eastAsia="zh-CN"/>
        </w:rPr>
        <w:t>29</w:t>
      </w:r>
      <w:r>
        <w:rPr>
          <w:rFonts w:hint="eastAsia" w:ascii="宋体" w:hAnsi="宋体" w:eastAsia="宋体" w:cs="宋体"/>
          <w:color w:val="auto"/>
          <w:kern w:val="2"/>
          <w:sz w:val="21"/>
          <w:szCs w:val="21"/>
          <w:highlight w:val="none"/>
        </w:rPr>
        <w:t>日</w:t>
      </w:r>
      <w:r>
        <w:rPr>
          <w:rFonts w:hint="eastAsia" w:hAnsi="宋体" w:cs="宋体"/>
          <w:color w:val="auto"/>
          <w:kern w:val="2"/>
          <w:sz w:val="21"/>
          <w:szCs w:val="21"/>
          <w:highlight w:val="none"/>
          <w:lang w:val="en-US" w:eastAsia="zh-CN"/>
        </w:rPr>
        <w:t>下</w:t>
      </w:r>
      <w:r>
        <w:rPr>
          <w:rFonts w:hint="eastAsia" w:ascii="宋体" w:hAnsi="宋体" w:eastAsia="宋体" w:cs="宋体"/>
          <w:color w:val="auto"/>
          <w:kern w:val="2"/>
          <w:sz w:val="21"/>
          <w:szCs w:val="21"/>
          <w:highlight w:val="none"/>
        </w:rPr>
        <w:t>午</w:t>
      </w:r>
      <w:r>
        <w:rPr>
          <w:rFonts w:hint="eastAsia" w:hAnsi="宋体" w:cs="宋体"/>
          <w:color w:val="auto"/>
          <w:kern w:val="2"/>
          <w:sz w:val="21"/>
          <w:szCs w:val="21"/>
          <w:highlight w:val="none"/>
          <w:lang w:val="en-US" w:eastAsia="zh-CN"/>
        </w:rPr>
        <w:t>14</w:t>
      </w:r>
      <w:r>
        <w:rPr>
          <w:rFonts w:hint="eastAsia" w:ascii="宋体" w:hAnsi="宋体" w:eastAsia="宋体" w:cs="宋体"/>
          <w:color w:val="auto"/>
          <w:kern w:val="2"/>
          <w:sz w:val="21"/>
          <w:szCs w:val="21"/>
          <w:highlight w:val="none"/>
        </w:rPr>
        <w:t>:00～</w:t>
      </w:r>
      <w:r>
        <w:rPr>
          <w:rFonts w:hint="eastAsia" w:hAnsi="宋体" w:cs="宋体"/>
          <w:color w:val="auto"/>
          <w:kern w:val="2"/>
          <w:sz w:val="21"/>
          <w:szCs w:val="21"/>
          <w:highlight w:val="none"/>
          <w:lang w:val="en-US" w:eastAsia="zh-CN"/>
        </w:rPr>
        <w:t>14</w:t>
      </w:r>
      <w:r>
        <w:rPr>
          <w:rFonts w:hint="eastAsia" w:ascii="宋体" w:hAnsi="宋体" w:eastAsia="宋体" w:cs="宋体"/>
          <w:color w:val="auto"/>
          <w:kern w:val="2"/>
          <w:sz w:val="21"/>
          <w:szCs w:val="21"/>
          <w:highlight w:val="none"/>
        </w:rPr>
        <w:t>:</w:t>
      </w:r>
      <w:r>
        <w:rPr>
          <w:rFonts w:hint="eastAsia" w:hAnsi="宋体" w:cs="宋体"/>
          <w:color w:val="auto"/>
          <w:kern w:val="2"/>
          <w:sz w:val="21"/>
          <w:szCs w:val="21"/>
          <w:highlight w:val="none"/>
          <w:lang w:val="en-US" w:eastAsia="zh-CN"/>
        </w:rPr>
        <w:t>30</w:t>
      </w:r>
      <w:r>
        <w:rPr>
          <w:rFonts w:hint="eastAsia" w:ascii="宋体" w:hAnsi="宋体" w:eastAsia="宋体" w:cs="宋体"/>
          <w:color w:val="auto"/>
          <w:kern w:val="2"/>
          <w:sz w:val="21"/>
          <w:szCs w:val="21"/>
          <w:highlight w:val="none"/>
        </w:rPr>
        <w:t>。</w:t>
      </w:r>
    </w:p>
    <w:p w14:paraId="104E557D">
      <w:pPr>
        <w:pStyle w:val="64"/>
        <w:spacing w:line="360" w:lineRule="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2、接收响应文件截止时间及开启响应文件时间：2025年</w:t>
      </w:r>
      <w:r>
        <w:rPr>
          <w:rFonts w:hint="eastAsia" w:hAnsi="宋体" w:cs="宋体"/>
          <w:color w:val="auto"/>
          <w:kern w:val="2"/>
          <w:sz w:val="21"/>
          <w:szCs w:val="21"/>
          <w:highlight w:val="none"/>
          <w:lang w:val="en-US" w:eastAsia="zh-CN"/>
        </w:rPr>
        <w:t>12</w:t>
      </w:r>
      <w:r>
        <w:rPr>
          <w:rFonts w:hint="eastAsia" w:ascii="宋体" w:hAnsi="宋体" w:eastAsia="宋体" w:cs="宋体"/>
          <w:color w:val="auto"/>
          <w:kern w:val="2"/>
          <w:sz w:val="21"/>
          <w:szCs w:val="21"/>
          <w:highlight w:val="none"/>
        </w:rPr>
        <w:t>月</w:t>
      </w:r>
      <w:r>
        <w:rPr>
          <w:rFonts w:hint="eastAsia" w:hAnsi="宋体" w:cs="宋体"/>
          <w:color w:val="auto"/>
          <w:kern w:val="2"/>
          <w:sz w:val="21"/>
          <w:szCs w:val="21"/>
          <w:highlight w:val="none"/>
          <w:lang w:val="en-US" w:eastAsia="zh-CN"/>
        </w:rPr>
        <w:t>29</w:t>
      </w:r>
      <w:r>
        <w:rPr>
          <w:rFonts w:hint="eastAsia" w:ascii="宋体" w:hAnsi="宋体" w:eastAsia="宋体" w:cs="宋体"/>
          <w:color w:val="auto"/>
          <w:kern w:val="2"/>
          <w:sz w:val="21"/>
          <w:szCs w:val="21"/>
          <w:highlight w:val="none"/>
        </w:rPr>
        <w:t>日</w:t>
      </w:r>
      <w:r>
        <w:rPr>
          <w:rFonts w:hint="eastAsia" w:hAnsi="宋体" w:cs="宋体"/>
          <w:color w:val="auto"/>
          <w:kern w:val="2"/>
          <w:sz w:val="21"/>
          <w:szCs w:val="21"/>
          <w:highlight w:val="none"/>
          <w:lang w:val="en-US" w:eastAsia="zh-CN"/>
        </w:rPr>
        <w:t>下</w:t>
      </w:r>
      <w:r>
        <w:rPr>
          <w:rFonts w:hint="eastAsia" w:ascii="宋体" w:hAnsi="宋体" w:eastAsia="宋体" w:cs="宋体"/>
          <w:color w:val="auto"/>
          <w:kern w:val="2"/>
          <w:sz w:val="21"/>
          <w:szCs w:val="21"/>
          <w:highlight w:val="none"/>
        </w:rPr>
        <w:t>午</w:t>
      </w:r>
      <w:r>
        <w:rPr>
          <w:rFonts w:hint="eastAsia" w:hAnsi="宋体" w:cs="宋体"/>
          <w:color w:val="auto"/>
          <w:kern w:val="2"/>
          <w:sz w:val="21"/>
          <w:szCs w:val="21"/>
          <w:highlight w:val="none"/>
          <w:lang w:val="en-US" w:eastAsia="zh-CN"/>
        </w:rPr>
        <w:t>14</w:t>
      </w:r>
      <w:r>
        <w:rPr>
          <w:rFonts w:hint="eastAsia" w:ascii="宋体" w:hAnsi="宋体" w:eastAsia="宋体" w:cs="宋体"/>
          <w:color w:val="auto"/>
          <w:kern w:val="2"/>
          <w:sz w:val="21"/>
          <w:szCs w:val="21"/>
          <w:highlight w:val="none"/>
        </w:rPr>
        <w:t>:</w:t>
      </w:r>
      <w:r>
        <w:rPr>
          <w:rFonts w:hint="eastAsia" w:hAnsi="宋体" w:cs="宋体"/>
          <w:color w:val="auto"/>
          <w:kern w:val="2"/>
          <w:sz w:val="21"/>
          <w:szCs w:val="21"/>
          <w:highlight w:val="none"/>
          <w:lang w:val="en-US" w:eastAsia="zh-CN"/>
        </w:rPr>
        <w:t>30</w:t>
      </w:r>
      <w:r>
        <w:rPr>
          <w:rFonts w:hint="eastAsia" w:ascii="宋体" w:hAnsi="宋体" w:eastAsia="宋体" w:cs="宋体"/>
          <w:color w:val="auto"/>
          <w:kern w:val="2"/>
          <w:sz w:val="21"/>
          <w:szCs w:val="21"/>
          <w:highlight w:val="none"/>
        </w:rPr>
        <w:t>。</w:t>
      </w:r>
    </w:p>
    <w:p w14:paraId="7E28C24F">
      <w:pPr>
        <w:pStyle w:val="64"/>
        <w:spacing w:line="360" w:lineRule="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3、接收响应文件地点：</w:t>
      </w:r>
      <w:r>
        <w:rPr>
          <w:rFonts w:hint="eastAsia" w:hAnsi="宋体" w:cs="宋体"/>
          <w:color w:val="auto"/>
          <w:kern w:val="2"/>
          <w:sz w:val="21"/>
          <w:szCs w:val="21"/>
          <w:highlight w:val="none"/>
          <w:lang w:eastAsia="zh-CN"/>
        </w:rPr>
        <w:t>广东省东莞市东城街道新源路海德琥珀台6栋1703室</w:t>
      </w:r>
    </w:p>
    <w:p w14:paraId="03F5CCCB">
      <w:pPr>
        <w:keepNext w:val="0"/>
        <w:keepLines w:val="0"/>
        <w:pageBreakBefore w:val="0"/>
        <w:shd w:val="clear"/>
        <w:kinsoku/>
        <w:overflowPunct/>
        <w:topLinePunct w:val="0"/>
        <w:bidi w:val="0"/>
        <w:snapToGrid/>
        <w:spacing w:line="360" w:lineRule="auto"/>
        <w:outlineLvl w:val="0"/>
        <w:rPr>
          <w:rFonts w:hAnsi="宋体"/>
          <w:b/>
          <w:bCs/>
          <w:color w:val="auto"/>
          <w:sz w:val="21"/>
          <w:szCs w:val="21"/>
          <w:highlight w:val="none"/>
        </w:rPr>
      </w:pPr>
      <w:r>
        <w:rPr>
          <w:rFonts w:hint="eastAsia" w:hAnsi="宋体"/>
          <w:b/>
          <w:bCs/>
          <w:color w:val="auto"/>
          <w:sz w:val="21"/>
          <w:szCs w:val="21"/>
          <w:highlight w:val="none"/>
        </w:rPr>
        <w:t>五、</w:t>
      </w:r>
      <w:r>
        <w:rPr>
          <w:rFonts w:hint="eastAsia" w:hAnsi="宋体"/>
          <w:b/>
          <w:color w:val="auto"/>
          <w:sz w:val="21"/>
          <w:szCs w:val="21"/>
          <w:highlight w:val="none"/>
        </w:rPr>
        <w:t>采购代理机构</w:t>
      </w:r>
      <w:r>
        <w:rPr>
          <w:rFonts w:hint="eastAsia" w:hAnsi="宋体"/>
          <w:b/>
          <w:bCs/>
          <w:color w:val="auto"/>
          <w:sz w:val="21"/>
          <w:szCs w:val="21"/>
          <w:highlight w:val="none"/>
        </w:rPr>
        <w:t>及采购人</w:t>
      </w:r>
      <w:r>
        <w:rPr>
          <w:rFonts w:hint="eastAsia" w:hAnsi="宋体"/>
          <w:b/>
          <w:color w:val="auto"/>
          <w:sz w:val="21"/>
          <w:szCs w:val="21"/>
          <w:highlight w:val="none"/>
        </w:rPr>
        <w:t>的地址和联系方式</w:t>
      </w:r>
      <w:r>
        <w:rPr>
          <w:rFonts w:hint="eastAsia" w:hAnsi="宋体"/>
          <w:b/>
          <w:bCs/>
          <w:color w:val="auto"/>
          <w:sz w:val="21"/>
          <w:szCs w:val="21"/>
          <w:highlight w:val="none"/>
        </w:rPr>
        <w:t>：</w:t>
      </w:r>
      <w:bookmarkEnd w:id="9"/>
    </w:p>
    <w:p w14:paraId="5B50CA69">
      <w:pPr>
        <w:keepNext w:val="0"/>
        <w:keepLines w:val="0"/>
        <w:pageBreakBefore w:val="0"/>
        <w:shd w:val="clear"/>
        <w:kinsoku/>
        <w:overflowPunct/>
        <w:topLinePunct w:val="0"/>
        <w:bidi w:val="0"/>
        <w:snapToGrid/>
        <w:spacing w:line="360" w:lineRule="auto"/>
        <w:ind w:right="-34" w:firstLine="424" w:firstLineChars="202"/>
        <w:jc w:val="both"/>
        <w:rPr>
          <w:rFonts w:hint="eastAsia" w:hAnsi="宋体" w:eastAsia="宋体"/>
          <w:color w:val="auto"/>
          <w:sz w:val="21"/>
          <w:szCs w:val="21"/>
          <w:highlight w:val="none"/>
          <w:lang w:eastAsia="zh-CN"/>
        </w:rPr>
      </w:pPr>
      <w:r>
        <w:rPr>
          <w:rFonts w:hint="eastAsia" w:hAnsi="宋体"/>
          <w:color w:val="auto"/>
          <w:sz w:val="21"/>
          <w:szCs w:val="21"/>
          <w:highlight w:val="none"/>
        </w:rPr>
        <w:t>采购代理机构：</w:t>
      </w:r>
      <w:r>
        <w:rPr>
          <w:rFonts w:hint="eastAsia" w:hAnsi="宋体"/>
          <w:color w:val="auto"/>
          <w:sz w:val="21"/>
          <w:szCs w:val="21"/>
          <w:highlight w:val="none"/>
          <w:lang w:eastAsia="zh-CN"/>
        </w:rPr>
        <w:t>广东有德招标采购有限公司</w:t>
      </w:r>
    </w:p>
    <w:p w14:paraId="1C9C0213">
      <w:pPr>
        <w:keepNext w:val="0"/>
        <w:keepLines w:val="0"/>
        <w:pageBreakBefore w:val="0"/>
        <w:shd w:val="clear"/>
        <w:kinsoku/>
        <w:overflowPunct/>
        <w:topLinePunct w:val="0"/>
        <w:bidi w:val="0"/>
        <w:snapToGrid/>
        <w:spacing w:line="360" w:lineRule="auto"/>
        <w:ind w:right="-34" w:firstLine="424" w:firstLineChars="202"/>
        <w:jc w:val="both"/>
        <w:rPr>
          <w:rFonts w:hint="eastAsia" w:hAnsi="宋体" w:eastAsia="宋体"/>
          <w:color w:val="auto"/>
          <w:sz w:val="21"/>
          <w:szCs w:val="21"/>
          <w:highlight w:val="none"/>
          <w:lang w:eastAsia="zh-CN"/>
        </w:rPr>
      </w:pPr>
      <w:r>
        <w:rPr>
          <w:rFonts w:hAnsi="宋体"/>
          <w:color w:val="auto"/>
          <w:sz w:val="21"/>
          <w:szCs w:val="21"/>
          <w:highlight w:val="none"/>
        </w:rPr>
        <w:t>地    址：</w:t>
      </w:r>
      <w:r>
        <w:rPr>
          <w:rFonts w:hint="eastAsia" w:hAnsi="宋体" w:cs="宋体"/>
          <w:color w:val="auto"/>
          <w:sz w:val="21"/>
          <w:szCs w:val="21"/>
          <w:highlight w:val="none"/>
          <w:lang w:eastAsia="zh-CN"/>
        </w:rPr>
        <w:t>广东省东莞市东城街道新源路海德琥珀台6栋1703室</w:t>
      </w:r>
    </w:p>
    <w:p w14:paraId="2CAAB3AF">
      <w:pPr>
        <w:keepNext w:val="0"/>
        <w:keepLines w:val="0"/>
        <w:pageBreakBefore w:val="0"/>
        <w:shd w:val="clear"/>
        <w:kinsoku/>
        <w:overflowPunct/>
        <w:topLinePunct w:val="0"/>
        <w:bidi w:val="0"/>
        <w:snapToGrid/>
        <w:spacing w:line="360" w:lineRule="auto"/>
        <w:ind w:right="-34" w:firstLine="424" w:firstLineChars="202"/>
        <w:jc w:val="both"/>
        <w:rPr>
          <w:rFonts w:hint="eastAsia" w:hAnsi="宋体" w:eastAsia="宋体"/>
          <w:color w:val="auto"/>
          <w:sz w:val="21"/>
          <w:szCs w:val="21"/>
          <w:highlight w:val="none"/>
          <w:lang w:eastAsia="zh-CN"/>
        </w:rPr>
      </w:pPr>
      <w:r>
        <w:rPr>
          <w:rFonts w:hint="eastAsia" w:hAnsi="宋体"/>
          <w:color w:val="auto"/>
          <w:sz w:val="21"/>
          <w:szCs w:val="21"/>
          <w:highlight w:val="none"/>
        </w:rPr>
        <w:t>项目</w:t>
      </w:r>
      <w:r>
        <w:rPr>
          <w:rFonts w:hAnsi="宋体"/>
          <w:color w:val="auto"/>
          <w:sz w:val="21"/>
          <w:szCs w:val="21"/>
          <w:highlight w:val="none"/>
        </w:rPr>
        <w:t>联系人:</w:t>
      </w:r>
      <w:r>
        <w:rPr>
          <w:rFonts w:hint="eastAsia" w:hAnsi="宋体"/>
          <w:color w:val="auto"/>
          <w:sz w:val="21"/>
          <w:szCs w:val="21"/>
          <w:highlight w:val="none"/>
        </w:rPr>
        <w:t xml:space="preserve"> </w:t>
      </w:r>
      <w:r>
        <w:rPr>
          <w:rFonts w:hint="eastAsia" w:hAnsi="宋体"/>
          <w:color w:val="auto"/>
          <w:sz w:val="21"/>
          <w:szCs w:val="21"/>
          <w:highlight w:val="none"/>
          <w:lang w:val="en-US" w:eastAsia="zh-CN"/>
        </w:rPr>
        <w:t>陈工</w:t>
      </w:r>
    </w:p>
    <w:p w14:paraId="14E8822D">
      <w:pPr>
        <w:keepNext w:val="0"/>
        <w:keepLines w:val="0"/>
        <w:pageBreakBefore w:val="0"/>
        <w:shd w:val="clear"/>
        <w:kinsoku/>
        <w:overflowPunct/>
        <w:topLinePunct w:val="0"/>
        <w:bidi w:val="0"/>
        <w:snapToGrid/>
        <w:spacing w:line="360" w:lineRule="auto"/>
        <w:ind w:right="-34" w:firstLine="424" w:firstLineChars="202"/>
        <w:jc w:val="both"/>
        <w:rPr>
          <w:rFonts w:hint="eastAsia" w:hAnsi="宋体" w:eastAsia="宋体"/>
          <w:color w:val="auto"/>
          <w:sz w:val="21"/>
          <w:szCs w:val="21"/>
          <w:highlight w:val="none"/>
          <w:lang w:eastAsia="zh-CN"/>
        </w:rPr>
      </w:pPr>
      <w:r>
        <w:rPr>
          <w:rFonts w:hAnsi="宋体"/>
          <w:color w:val="auto"/>
          <w:sz w:val="21"/>
          <w:szCs w:val="21"/>
          <w:highlight w:val="none"/>
        </w:rPr>
        <w:t>电    话：</w:t>
      </w:r>
      <w:r>
        <w:rPr>
          <w:rFonts w:hint="eastAsia" w:ascii="宋体" w:hAnsi="宋体" w:eastAsia="宋体" w:cs="宋体"/>
          <w:color w:val="auto"/>
          <w:sz w:val="21"/>
          <w:szCs w:val="21"/>
          <w:highlight w:val="none"/>
          <w:lang w:val="en-US" w:eastAsia="zh-CN"/>
        </w:rPr>
        <w:t>0769-23362836-801</w:t>
      </w:r>
      <w:r>
        <w:rPr>
          <w:rFonts w:hint="eastAsia" w:hAnsi="宋体" w:cs="宋体"/>
          <w:color w:val="auto"/>
          <w:sz w:val="21"/>
          <w:szCs w:val="21"/>
          <w:highlight w:val="none"/>
          <w:lang w:val="en-US" w:eastAsia="zh-CN"/>
        </w:rPr>
        <w:t>7</w:t>
      </w:r>
    </w:p>
    <w:p w14:paraId="16962926">
      <w:pPr>
        <w:keepNext w:val="0"/>
        <w:keepLines w:val="0"/>
        <w:pageBreakBefore w:val="0"/>
        <w:shd w:val="clear"/>
        <w:kinsoku/>
        <w:overflowPunct/>
        <w:topLinePunct w:val="0"/>
        <w:bidi w:val="0"/>
        <w:snapToGrid/>
        <w:spacing w:line="360" w:lineRule="auto"/>
        <w:ind w:right="-34" w:firstLine="424" w:firstLineChars="202"/>
        <w:jc w:val="both"/>
        <w:rPr>
          <w:rFonts w:hint="eastAsia" w:hAnsi="宋体" w:eastAsia="宋体"/>
          <w:color w:val="auto"/>
          <w:sz w:val="21"/>
          <w:szCs w:val="21"/>
          <w:highlight w:val="none"/>
          <w:lang w:eastAsia="zh-CN"/>
        </w:rPr>
      </w:pPr>
      <w:r>
        <w:rPr>
          <w:rFonts w:hint="eastAsia" w:hAnsi="宋体"/>
          <w:color w:val="auto"/>
          <w:sz w:val="21"/>
          <w:szCs w:val="21"/>
          <w:highlight w:val="none"/>
        </w:rPr>
        <w:t>邮    箱</w:t>
      </w:r>
      <w:r>
        <w:rPr>
          <w:rFonts w:hAnsi="宋体"/>
          <w:color w:val="auto"/>
          <w:sz w:val="21"/>
          <w:szCs w:val="21"/>
          <w:highlight w:val="none"/>
        </w:rPr>
        <w:t>：</w:t>
      </w:r>
      <w:r>
        <w:rPr>
          <w:rFonts w:hint="eastAsia" w:hAnsi="宋体" w:cs="宋体"/>
          <w:color w:val="auto"/>
          <w:sz w:val="21"/>
          <w:szCs w:val="21"/>
          <w:highlight w:val="none"/>
          <w:lang w:val="en-US" w:eastAsia="zh-CN"/>
        </w:rPr>
        <w:t>youdedg</w:t>
      </w:r>
      <w:r>
        <w:rPr>
          <w:rFonts w:hint="eastAsia" w:ascii="宋体" w:hAnsi="宋体" w:eastAsia="宋体" w:cs="宋体"/>
          <w:color w:val="auto"/>
          <w:sz w:val="21"/>
          <w:szCs w:val="21"/>
          <w:highlight w:val="none"/>
          <w:lang w:eastAsia="zh-CN"/>
        </w:rPr>
        <w:t>@</w:t>
      </w:r>
      <w:r>
        <w:rPr>
          <w:rFonts w:hint="eastAsia" w:hAnsi="宋体" w:cs="宋体"/>
          <w:color w:val="auto"/>
          <w:sz w:val="21"/>
          <w:szCs w:val="21"/>
          <w:highlight w:val="none"/>
          <w:lang w:val="en-US" w:eastAsia="zh-CN"/>
        </w:rPr>
        <w:t>163</w:t>
      </w:r>
      <w:r>
        <w:rPr>
          <w:rFonts w:hint="eastAsia" w:ascii="宋体" w:hAnsi="宋体" w:eastAsia="宋体" w:cs="宋体"/>
          <w:color w:val="auto"/>
          <w:sz w:val="21"/>
          <w:szCs w:val="21"/>
          <w:highlight w:val="none"/>
          <w:lang w:eastAsia="zh-CN"/>
        </w:rPr>
        <w:t>.com</w:t>
      </w:r>
    </w:p>
    <w:p w14:paraId="1F995712">
      <w:pPr>
        <w:keepNext w:val="0"/>
        <w:keepLines w:val="0"/>
        <w:pageBreakBefore w:val="0"/>
        <w:shd w:val="clear"/>
        <w:kinsoku/>
        <w:overflowPunct/>
        <w:topLinePunct w:val="0"/>
        <w:bidi w:val="0"/>
        <w:snapToGrid/>
        <w:spacing w:line="360" w:lineRule="auto"/>
        <w:ind w:right="-34" w:firstLine="424" w:firstLineChars="202"/>
        <w:jc w:val="both"/>
        <w:rPr>
          <w:rFonts w:hint="eastAsia" w:hAnsi="宋体" w:eastAsia="宋体"/>
          <w:color w:val="auto"/>
          <w:sz w:val="21"/>
          <w:szCs w:val="21"/>
          <w:highlight w:val="none"/>
          <w:lang w:eastAsia="zh-CN"/>
        </w:rPr>
      </w:pPr>
      <w:r>
        <w:rPr>
          <w:rFonts w:hint="eastAsia" w:hAnsi="宋体"/>
          <w:color w:val="auto"/>
          <w:sz w:val="21"/>
          <w:szCs w:val="21"/>
          <w:highlight w:val="none"/>
        </w:rPr>
        <w:t>采 购 人：</w:t>
      </w:r>
      <w:r>
        <w:rPr>
          <w:rFonts w:hint="eastAsia" w:hAnsi="宋体"/>
          <w:color w:val="auto"/>
          <w:sz w:val="21"/>
          <w:szCs w:val="21"/>
          <w:highlight w:val="none"/>
          <w:lang w:eastAsia="zh-CN"/>
        </w:rPr>
        <w:t>东莞市东厚安居建设有限公司</w:t>
      </w:r>
    </w:p>
    <w:p w14:paraId="33C25619">
      <w:pPr>
        <w:keepNext w:val="0"/>
        <w:keepLines w:val="0"/>
        <w:pageBreakBefore w:val="0"/>
        <w:shd w:val="clear"/>
        <w:kinsoku/>
        <w:overflowPunct/>
        <w:topLinePunct w:val="0"/>
        <w:bidi w:val="0"/>
        <w:snapToGrid/>
        <w:spacing w:line="360" w:lineRule="auto"/>
        <w:ind w:right="-34" w:firstLine="424" w:firstLineChars="202"/>
        <w:jc w:val="both"/>
        <w:rPr>
          <w:rFonts w:hint="eastAsia" w:hAnsi="宋体"/>
          <w:color w:val="auto"/>
          <w:sz w:val="21"/>
          <w:szCs w:val="21"/>
          <w:highlight w:val="none"/>
        </w:rPr>
      </w:pPr>
      <w:r>
        <w:rPr>
          <w:rFonts w:hint="eastAsia" w:hAnsi="宋体"/>
          <w:color w:val="auto"/>
          <w:sz w:val="21"/>
          <w:szCs w:val="21"/>
          <w:highlight w:val="none"/>
        </w:rPr>
        <w:t>地    址：</w:t>
      </w:r>
      <w:r>
        <w:rPr>
          <w:rFonts w:hint="eastAsia" w:ascii="宋体" w:hAnsi="宋体" w:eastAsia="宋体" w:cs="宋体"/>
          <w:color w:val="auto"/>
          <w:sz w:val="21"/>
          <w:szCs w:val="21"/>
          <w:highlight w:val="none"/>
        </w:rPr>
        <w:t>广东省东莞市厚街镇莞太路厚街段279号1号楼312室</w:t>
      </w:r>
    </w:p>
    <w:p w14:paraId="3AEC09AC">
      <w:pPr>
        <w:keepNext w:val="0"/>
        <w:keepLines w:val="0"/>
        <w:pageBreakBefore w:val="0"/>
        <w:shd w:val="clear"/>
        <w:kinsoku/>
        <w:overflowPunct/>
        <w:topLinePunct w:val="0"/>
        <w:bidi w:val="0"/>
        <w:snapToGrid/>
        <w:spacing w:line="360" w:lineRule="auto"/>
        <w:ind w:right="-34" w:firstLine="424" w:firstLineChars="202"/>
        <w:jc w:val="both"/>
        <w:rPr>
          <w:rFonts w:hint="eastAsia" w:hAnsi="宋体" w:eastAsia="宋体"/>
          <w:color w:val="auto"/>
          <w:sz w:val="21"/>
          <w:szCs w:val="21"/>
          <w:highlight w:val="none"/>
          <w:lang w:eastAsia="zh-CN"/>
        </w:rPr>
      </w:pPr>
      <w:r>
        <w:rPr>
          <w:rFonts w:hint="eastAsia" w:hAnsi="宋体"/>
          <w:color w:val="auto"/>
          <w:sz w:val="21"/>
          <w:szCs w:val="21"/>
          <w:highlight w:val="none"/>
        </w:rPr>
        <w:t>联 系 人：</w:t>
      </w:r>
      <w:r>
        <w:rPr>
          <w:rFonts w:hint="eastAsia" w:hAnsi="宋体"/>
          <w:color w:val="auto"/>
          <w:sz w:val="21"/>
          <w:szCs w:val="21"/>
          <w:highlight w:val="none"/>
          <w:lang w:eastAsia="zh-CN"/>
        </w:rPr>
        <w:t>吴</w:t>
      </w:r>
      <w:r>
        <w:rPr>
          <w:rFonts w:hint="eastAsia" w:hAnsi="宋体"/>
          <w:color w:val="auto"/>
          <w:sz w:val="21"/>
          <w:szCs w:val="21"/>
          <w:highlight w:val="none"/>
          <w:lang w:val="en-US" w:eastAsia="zh-CN"/>
        </w:rPr>
        <w:t>先生</w:t>
      </w:r>
    </w:p>
    <w:p w14:paraId="00505526">
      <w:pPr>
        <w:keepNext w:val="0"/>
        <w:keepLines w:val="0"/>
        <w:pageBreakBefore w:val="0"/>
        <w:shd w:val="clear"/>
        <w:kinsoku/>
        <w:overflowPunct/>
        <w:topLinePunct w:val="0"/>
        <w:bidi w:val="0"/>
        <w:snapToGrid/>
        <w:spacing w:line="360" w:lineRule="auto"/>
        <w:ind w:right="-34" w:firstLine="424" w:firstLineChars="202"/>
        <w:jc w:val="both"/>
        <w:rPr>
          <w:rFonts w:hint="eastAsia"/>
          <w:b/>
          <w:color w:val="auto"/>
          <w:sz w:val="21"/>
          <w:szCs w:val="21"/>
          <w:highlight w:val="none"/>
        </w:rPr>
      </w:pPr>
      <w:r>
        <w:rPr>
          <w:rFonts w:hint="eastAsia" w:hAnsi="宋体"/>
          <w:color w:val="auto"/>
          <w:sz w:val="21"/>
          <w:szCs w:val="21"/>
          <w:highlight w:val="none"/>
        </w:rPr>
        <w:t>电    话：0769-23366373</w:t>
      </w:r>
    </w:p>
    <w:p w14:paraId="3111E82E">
      <w:pPr>
        <w:keepNext w:val="0"/>
        <w:keepLines w:val="0"/>
        <w:pageBreakBefore w:val="0"/>
        <w:shd w:val="clear"/>
        <w:kinsoku/>
        <w:overflowPunct/>
        <w:topLinePunct w:val="0"/>
        <w:bidi w:val="0"/>
        <w:snapToGrid/>
        <w:spacing w:line="360" w:lineRule="auto"/>
        <w:ind w:firstLine="422" w:firstLineChars="200"/>
        <w:jc w:val="right"/>
        <w:rPr>
          <w:rFonts w:hint="eastAsia" w:eastAsia="宋体"/>
          <w:b/>
          <w:color w:val="auto"/>
          <w:sz w:val="21"/>
          <w:szCs w:val="21"/>
          <w:highlight w:val="none"/>
          <w:lang w:eastAsia="zh-CN"/>
        </w:rPr>
      </w:pPr>
      <w:r>
        <w:rPr>
          <w:rFonts w:hint="eastAsia"/>
          <w:b/>
          <w:color w:val="auto"/>
          <w:sz w:val="21"/>
          <w:szCs w:val="21"/>
          <w:highlight w:val="none"/>
          <w:lang w:eastAsia="zh-CN"/>
        </w:rPr>
        <w:t>东莞市东厚安居建设有限公司</w:t>
      </w:r>
    </w:p>
    <w:p w14:paraId="456D81E3">
      <w:pPr>
        <w:keepNext w:val="0"/>
        <w:keepLines w:val="0"/>
        <w:pageBreakBefore w:val="0"/>
        <w:shd w:val="clear"/>
        <w:kinsoku/>
        <w:overflowPunct/>
        <w:topLinePunct w:val="0"/>
        <w:bidi w:val="0"/>
        <w:snapToGrid/>
        <w:spacing w:line="360" w:lineRule="auto"/>
        <w:ind w:firstLine="422" w:firstLineChars="200"/>
        <w:jc w:val="right"/>
        <w:rPr>
          <w:rFonts w:hint="eastAsia" w:eastAsia="宋体"/>
          <w:b/>
          <w:color w:val="auto"/>
          <w:sz w:val="21"/>
          <w:szCs w:val="21"/>
          <w:highlight w:val="none"/>
          <w:lang w:eastAsia="zh-CN"/>
        </w:rPr>
      </w:pPr>
      <w:r>
        <w:rPr>
          <w:rFonts w:hint="eastAsia"/>
          <w:b/>
          <w:color w:val="auto"/>
          <w:sz w:val="21"/>
          <w:szCs w:val="21"/>
          <w:highlight w:val="none"/>
          <w:lang w:eastAsia="zh-CN"/>
        </w:rPr>
        <w:t>广东有德招标采购有限公司</w:t>
      </w:r>
    </w:p>
    <w:p w14:paraId="674E96E0">
      <w:pPr>
        <w:keepNext w:val="0"/>
        <w:keepLines w:val="0"/>
        <w:pageBreakBefore w:val="0"/>
        <w:shd w:val="clear"/>
        <w:kinsoku/>
        <w:wordWrap w:val="0"/>
        <w:overflowPunct/>
        <w:topLinePunct w:val="0"/>
        <w:bidi w:val="0"/>
        <w:snapToGrid/>
        <w:spacing w:line="360" w:lineRule="auto"/>
        <w:ind w:right="-34" w:firstLine="426" w:firstLineChars="202"/>
        <w:jc w:val="right"/>
        <w:rPr>
          <w:rFonts w:hAnsi="宋体"/>
          <w:color w:val="auto"/>
          <w:sz w:val="21"/>
          <w:szCs w:val="21"/>
          <w:highlight w:val="none"/>
        </w:rPr>
      </w:pPr>
      <w:r>
        <w:rPr>
          <w:rFonts w:hint="eastAsia" w:hAnsi="宋体"/>
          <w:b/>
          <w:color w:val="auto"/>
          <w:sz w:val="21"/>
          <w:szCs w:val="21"/>
          <w:highlight w:val="none"/>
          <w:lang w:eastAsia="zh-CN"/>
        </w:rPr>
        <w:t>202</w:t>
      </w:r>
      <w:r>
        <w:rPr>
          <w:rFonts w:hint="eastAsia" w:hAnsi="宋体"/>
          <w:b/>
          <w:color w:val="auto"/>
          <w:sz w:val="21"/>
          <w:szCs w:val="21"/>
          <w:highlight w:val="none"/>
          <w:lang w:val="en-US" w:eastAsia="zh-CN"/>
        </w:rPr>
        <w:t>5</w:t>
      </w:r>
      <w:r>
        <w:rPr>
          <w:rFonts w:hint="eastAsia" w:hAnsi="宋体"/>
          <w:b/>
          <w:color w:val="auto"/>
          <w:sz w:val="21"/>
          <w:szCs w:val="21"/>
          <w:highlight w:val="none"/>
        </w:rPr>
        <w:t>年</w:t>
      </w:r>
      <w:r>
        <w:rPr>
          <w:rFonts w:hint="eastAsia" w:hAnsi="宋体"/>
          <w:b/>
          <w:color w:val="auto"/>
          <w:sz w:val="21"/>
          <w:szCs w:val="21"/>
          <w:highlight w:val="none"/>
          <w:lang w:val="en-US" w:eastAsia="zh-CN"/>
        </w:rPr>
        <w:t>12</w:t>
      </w:r>
      <w:r>
        <w:rPr>
          <w:rFonts w:hint="eastAsia" w:hAnsi="宋体"/>
          <w:b/>
          <w:color w:val="auto"/>
          <w:sz w:val="21"/>
          <w:szCs w:val="21"/>
          <w:highlight w:val="none"/>
        </w:rPr>
        <w:t>月</w:t>
      </w:r>
      <w:r>
        <w:rPr>
          <w:rFonts w:hint="eastAsia" w:hAnsi="宋体"/>
          <w:b/>
          <w:color w:val="auto"/>
          <w:sz w:val="21"/>
          <w:szCs w:val="21"/>
          <w:highlight w:val="none"/>
          <w:lang w:val="en-US" w:eastAsia="zh-CN"/>
        </w:rPr>
        <w:t>18</w:t>
      </w:r>
      <w:r>
        <w:rPr>
          <w:rFonts w:hint="eastAsia" w:hAnsi="宋体"/>
          <w:b/>
          <w:color w:val="auto"/>
          <w:sz w:val="21"/>
          <w:szCs w:val="21"/>
          <w:highlight w:val="none"/>
        </w:rPr>
        <w:t>日</w:t>
      </w:r>
    </w:p>
    <w:p w14:paraId="5F4F4235">
      <w:pPr>
        <w:pStyle w:val="2"/>
        <w:keepNext/>
        <w:keepLines/>
        <w:pageBreakBefore/>
        <w:numPr>
          <w:ilvl w:val="0"/>
          <w:numId w:val="10"/>
        </w:numPr>
        <w:shd w:val="clear"/>
        <w:tabs>
          <w:tab w:val="left" w:pos="1080"/>
        </w:tabs>
        <w:spacing w:line="360" w:lineRule="auto"/>
        <w:ind w:left="1262" w:hanging="1262" w:hangingChars="449"/>
        <w:jc w:val="center"/>
        <w:rPr>
          <w:rFonts w:hAnsi="宋体"/>
          <w:b/>
          <w:bCs/>
          <w:color w:val="auto"/>
          <w:kern w:val="44"/>
          <w:sz w:val="28"/>
          <w:szCs w:val="28"/>
          <w:highlight w:val="none"/>
          <w:lang w:val="zh-CN"/>
        </w:rPr>
      </w:pPr>
      <w:bookmarkStart w:id="10" w:name="_Toc17779"/>
      <w:bookmarkStart w:id="11" w:name="_Toc16634"/>
      <w:r>
        <w:rPr>
          <w:rFonts w:hint="eastAsia" w:hAnsi="宋体"/>
          <w:b/>
          <w:bCs/>
          <w:color w:val="auto"/>
          <w:kern w:val="44"/>
          <w:sz w:val="28"/>
          <w:szCs w:val="28"/>
          <w:highlight w:val="none"/>
          <w:lang w:val="zh-CN"/>
        </w:rPr>
        <w:t>供应商须知</w:t>
      </w:r>
      <w:bookmarkEnd w:id="8"/>
      <w:bookmarkEnd w:id="10"/>
      <w:bookmarkEnd w:id="11"/>
    </w:p>
    <w:p w14:paraId="07C01EDC">
      <w:pPr>
        <w:pStyle w:val="3"/>
        <w:shd w:val="clear"/>
        <w:adjustRightInd/>
        <w:spacing w:line="360" w:lineRule="auto"/>
        <w:ind w:firstLine="0" w:firstLineChars="0"/>
        <w:jc w:val="center"/>
        <w:rPr>
          <w:color w:val="auto"/>
          <w:sz w:val="28"/>
          <w:szCs w:val="28"/>
          <w:highlight w:val="none"/>
        </w:rPr>
      </w:pPr>
      <w:bookmarkStart w:id="12" w:name="_Toc12804"/>
      <w:bookmarkStart w:id="13" w:name="_Toc102277756"/>
      <w:bookmarkStart w:id="14" w:name="_Toc5203"/>
      <w:bookmarkStart w:id="15" w:name="_Toc466786434"/>
      <w:bookmarkStart w:id="16" w:name="_Toc6968687"/>
      <w:bookmarkStart w:id="17" w:name="_Toc7897861"/>
      <w:bookmarkStart w:id="18" w:name="_Toc6882675"/>
      <w:bookmarkStart w:id="19" w:name="_Toc507407359"/>
      <w:r>
        <w:rPr>
          <w:rFonts w:hint="eastAsia"/>
          <w:color w:val="auto"/>
          <w:sz w:val="28"/>
          <w:szCs w:val="28"/>
          <w:highlight w:val="none"/>
        </w:rPr>
        <w:t>一、说  明</w:t>
      </w:r>
      <w:bookmarkEnd w:id="12"/>
      <w:bookmarkEnd w:id="13"/>
      <w:bookmarkEnd w:id="14"/>
      <w:bookmarkEnd w:id="15"/>
      <w:bookmarkEnd w:id="16"/>
      <w:bookmarkEnd w:id="17"/>
      <w:bookmarkEnd w:id="18"/>
      <w:bookmarkEnd w:id="19"/>
    </w:p>
    <w:p w14:paraId="7DCD9F09">
      <w:pPr>
        <w:pStyle w:val="4"/>
        <w:shd w:val="clear"/>
        <w:adjustRightInd/>
        <w:spacing w:line="360" w:lineRule="auto"/>
        <w:ind w:firstLine="420" w:firstLineChars="200"/>
        <w:rPr>
          <w:rFonts w:hAnsi="宋体"/>
          <w:color w:val="auto"/>
          <w:sz w:val="21"/>
          <w:szCs w:val="21"/>
          <w:highlight w:val="none"/>
        </w:rPr>
      </w:pPr>
      <w:bookmarkStart w:id="20" w:name="_Toc475249114"/>
      <w:bookmarkStart w:id="21" w:name="_Toc24987"/>
      <w:bookmarkStart w:id="22" w:name="_Toc3730"/>
      <w:bookmarkStart w:id="23" w:name="_Toc7897862"/>
      <w:r>
        <w:rPr>
          <w:rFonts w:hint="eastAsia" w:hAnsi="宋体"/>
          <w:color w:val="auto"/>
          <w:sz w:val="21"/>
          <w:szCs w:val="21"/>
          <w:highlight w:val="none"/>
        </w:rPr>
        <w:t>1.适用范围</w:t>
      </w:r>
      <w:bookmarkEnd w:id="20"/>
      <w:bookmarkEnd w:id="21"/>
      <w:bookmarkEnd w:id="22"/>
      <w:bookmarkEnd w:id="23"/>
    </w:p>
    <w:p w14:paraId="769D176B">
      <w:pPr>
        <w:shd w:val="clear"/>
        <w:spacing w:line="360" w:lineRule="auto"/>
        <w:ind w:firstLine="420" w:firstLineChars="200"/>
        <w:textAlignment w:val="baseline"/>
        <w:rPr>
          <w:rFonts w:hAnsi="宋体"/>
          <w:color w:val="auto"/>
          <w:sz w:val="21"/>
          <w:szCs w:val="21"/>
          <w:highlight w:val="none"/>
        </w:rPr>
      </w:pPr>
      <w:r>
        <w:rPr>
          <w:rFonts w:hint="eastAsia" w:hAnsi="宋体"/>
          <w:color w:val="auto"/>
          <w:sz w:val="21"/>
          <w:szCs w:val="21"/>
          <w:highlight w:val="none"/>
        </w:rPr>
        <w:t>1.1本磋商文件仅适用于本次采购邀请中所叙述的项目。</w:t>
      </w:r>
    </w:p>
    <w:p w14:paraId="19A6136E">
      <w:pPr>
        <w:shd w:val="clear"/>
        <w:spacing w:line="360" w:lineRule="auto"/>
        <w:ind w:firstLine="420" w:firstLineChars="200"/>
        <w:textAlignment w:val="baseline"/>
        <w:rPr>
          <w:rFonts w:hAnsi="宋体"/>
          <w:color w:val="auto"/>
          <w:sz w:val="21"/>
          <w:szCs w:val="21"/>
          <w:highlight w:val="none"/>
        </w:rPr>
      </w:pPr>
      <w:r>
        <w:rPr>
          <w:rFonts w:hint="eastAsia" w:hAnsi="宋体"/>
          <w:color w:val="auto"/>
          <w:sz w:val="21"/>
          <w:szCs w:val="21"/>
          <w:highlight w:val="none"/>
        </w:rPr>
        <w:t>1.2本磋商文件的解释权在采购代理机构。</w:t>
      </w:r>
    </w:p>
    <w:p w14:paraId="5B166B21">
      <w:pPr>
        <w:pStyle w:val="4"/>
        <w:shd w:val="clear"/>
        <w:adjustRightInd/>
        <w:spacing w:line="360" w:lineRule="auto"/>
        <w:ind w:firstLine="420" w:firstLineChars="200"/>
        <w:rPr>
          <w:rFonts w:hAnsi="宋体"/>
          <w:color w:val="auto"/>
          <w:sz w:val="21"/>
          <w:szCs w:val="21"/>
          <w:highlight w:val="none"/>
        </w:rPr>
      </w:pPr>
      <w:bookmarkStart w:id="24" w:name="_Toc9738"/>
      <w:bookmarkStart w:id="25" w:name="_Toc598"/>
      <w:bookmarkStart w:id="26" w:name="_Toc475249115"/>
      <w:bookmarkStart w:id="27" w:name="_Toc7897863"/>
      <w:r>
        <w:rPr>
          <w:rFonts w:hint="eastAsia" w:hAnsi="宋体"/>
          <w:color w:val="auto"/>
          <w:sz w:val="21"/>
          <w:szCs w:val="21"/>
          <w:highlight w:val="none"/>
        </w:rPr>
        <w:t>2.定义</w:t>
      </w:r>
      <w:bookmarkEnd w:id="24"/>
      <w:bookmarkEnd w:id="25"/>
      <w:bookmarkEnd w:id="26"/>
      <w:bookmarkEnd w:id="27"/>
    </w:p>
    <w:p w14:paraId="41A007CE">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2.1“采购人”是指</w:t>
      </w:r>
      <w:r>
        <w:rPr>
          <w:rFonts w:hint="eastAsia" w:hAnsi="宋体"/>
          <w:color w:val="auto"/>
          <w:sz w:val="21"/>
          <w:szCs w:val="21"/>
          <w:highlight w:val="none"/>
          <w:lang w:eastAsia="zh-CN"/>
        </w:rPr>
        <w:t>东莞市东厚安居建设有限公司</w:t>
      </w:r>
      <w:r>
        <w:rPr>
          <w:rFonts w:hint="eastAsia" w:hAnsi="宋体"/>
          <w:color w:val="auto"/>
          <w:sz w:val="21"/>
          <w:szCs w:val="21"/>
          <w:highlight w:val="none"/>
        </w:rPr>
        <w:t>。</w:t>
      </w:r>
    </w:p>
    <w:p w14:paraId="21EAE48C">
      <w:pPr>
        <w:shd w:val="clear"/>
        <w:spacing w:line="360" w:lineRule="auto"/>
        <w:ind w:firstLine="420" w:firstLineChars="200"/>
        <w:rPr>
          <w:rFonts w:hAnsi="宋体"/>
          <w:b/>
          <w:color w:val="auto"/>
          <w:sz w:val="21"/>
          <w:szCs w:val="21"/>
          <w:highlight w:val="none"/>
        </w:rPr>
      </w:pPr>
      <w:r>
        <w:rPr>
          <w:rFonts w:hint="eastAsia" w:hAnsi="宋体"/>
          <w:color w:val="auto"/>
          <w:sz w:val="21"/>
          <w:szCs w:val="21"/>
          <w:highlight w:val="none"/>
        </w:rPr>
        <w:t>2.2“采购代理机构”是指</w:t>
      </w:r>
      <w:r>
        <w:rPr>
          <w:rFonts w:hint="eastAsia" w:hAnsi="宋体"/>
          <w:color w:val="auto"/>
          <w:sz w:val="21"/>
          <w:szCs w:val="21"/>
          <w:highlight w:val="none"/>
          <w:lang w:eastAsia="zh-CN"/>
        </w:rPr>
        <w:t>广东有德招标采购有限公司</w:t>
      </w:r>
      <w:r>
        <w:rPr>
          <w:rFonts w:hint="eastAsia" w:hAnsi="宋体"/>
          <w:color w:val="auto"/>
          <w:sz w:val="21"/>
          <w:szCs w:val="21"/>
          <w:highlight w:val="none"/>
        </w:rPr>
        <w:t>。</w:t>
      </w:r>
    </w:p>
    <w:p w14:paraId="1DF696A0">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2.3“供应商”指向采购代理机构提交响应文件的法人。</w:t>
      </w:r>
    </w:p>
    <w:p w14:paraId="1EF660FD">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2.4 货物：卖方按磋商文件规定向买方提供的货物。</w:t>
      </w:r>
    </w:p>
    <w:p w14:paraId="4314ABDF">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2.5 服务：磋商文件规定卖方必须承担的咨询、技术协助、培训及其它相关义务。</w:t>
      </w:r>
    </w:p>
    <w:p w14:paraId="48BCFD63">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2.6 语言：磋商文件的语言为简体中文。</w:t>
      </w:r>
    </w:p>
    <w:p w14:paraId="5266C0CD">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2.7 日期：指公历日。</w:t>
      </w:r>
    </w:p>
    <w:p w14:paraId="1777BCCD">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2.8 时间：指北京时间。</w:t>
      </w:r>
    </w:p>
    <w:p w14:paraId="5403F841">
      <w:pPr>
        <w:pStyle w:val="4"/>
        <w:shd w:val="clear"/>
        <w:adjustRightInd/>
        <w:spacing w:line="360" w:lineRule="auto"/>
        <w:ind w:firstLine="420" w:firstLineChars="200"/>
        <w:rPr>
          <w:rFonts w:hAnsi="宋体"/>
          <w:color w:val="auto"/>
          <w:sz w:val="21"/>
          <w:szCs w:val="21"/>
          <w:highlight w:val="none"/>
        </w:rPr>
      </w:pPr>
      <w:bookmarkStart w:id="28" w:name="_Toc24709"/>
      <w:bookmarkStart w:id="29" w:name="_Toc367"/>
      <w:bookmarkStart w:id="30" w:name="_Toc110953831"/>
      <w:bookmarkStart w:id="31" w:name="_Toc7897864"/>
      <w:bookmarkStart w:id="32" w:name="_Toc507407360"/>
      <w:bookmarkStart w:id="33" w:name="_Toc102277757"/>
      <w:bookmarkStart w:id="34" w:name="_Toc466786435"/>
      <w:bookmarkStart w:id="35" w:name="_Toc6968688"/>
      <w:bookmarkStart w:id="36" w:name="_Toc6882676"/>
      <w:r>
        <w:rPr>
          <w:rFonts w:hint="eastAsia" w:hAnsi="宋体"/>
          <w:color w:val="auto"/>
          <w:sz w:val="21"/>
          <w:szCs w:val="21"/>
          <w:highlight w:val="none"/>
        </w:rPr>
        <w:t>3.适用法律</w:t>
      </w:r>
      <w:bookmarkEnd w:id="28"/>
      <w:bookmarkEnd w:id="29"/>
      <w:bookmarkEnd w:id="30"/>
      <w:bookmarkEnd w:id="31"/>
    </w:p>
    <w:p w14:paraId="10C073C8">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采购人、供应商和采购代理机构均应当参照</w:t>
      </w:r>
      <w:r>
        <w:rPr>
          <w:rFonts w:hint="eastAsia" w:hAnsi="宋体"/>
          <w:color w:val="auto"/>
          <w:sz w:val="21"/>
          <w:szCs w:val="21"/>
          <w:highlight w:val="none"/>
          <w:lang w:eastAsia="zh-CN"/>
        </w:rPr>
        <w:t>东莞市东厚安居建设有限公司</w:t>
      </w:r>
      <w:r>
        <w:rPr>
          <w:rFonts w:hint="eastAsia" w:hAnsi="宋体"/>
          <w:color w:val="auto"/>
          <w:sz w:val="21"/>
          <w:szCs w:val="21"/>
          <w:highlight w:val="none"/>
        </w:rPr>
        <w:t>相关招标采购规定执行。</w:t>
      </w:r>
    </w:p>
    <w:p w14:paraId="386A210F">
      <w:pPr>
        <w:pStyle w:val="4"/>
        <w:shd w:val="clear"/>
        <w:adjustRightInd/>
        <w:spacing w:line="360" w:lineRule="auto"/>
        <w:ind w:firstLine="420" w:firstLineChars="200"/>
        <w:rPr>
          <w:rFonts w:hAnsi="宋体"/>
          <w:color w:val="auto"/>
          <w:sz w:val="21"/>
          <w:szCs w:val="21"/>
          <w:highlight w:val="none"/>
          <w:lang w:val="zh-CN"/>
        </w:rPr>
      </w:pPr>
      <w:bookmarkStart w:id="37" w:name="_Toc20707"/>
      <w:bookmarkStart w:id="38" w:name="_Toc7897866"/>
      <w:bookmarkStart w:id="39" w:name="_Toc10397"/>
      <w:bookmarkStart w:id="40" w:name="_Toc110953833"/>
      <w:r>
        <w:rPr>
          <w:rFonts w:hint="eastAsia" w:hAnsi="宋体"/>
          <w:color w:val="auto"/>
          <w:sz w:val="21"/>
          <w:szCs w:val="21"/>
          <w:highlight w:val="none"/>
          <w:lang w:val="zh-CN"/>
        </w:rPr>
        <w:t>4</w:t>
      </w:r>
      <w:r>
        <w:rPr>
          <w:rFonts w:hint="eastAsia" w:hAnsi="宋体"/>
          <w:color w:val="auto"/>
          <w:sz w:val="21"/>
          <w:szCs w:val="21"/>
          <w:highlight w:val="none"/>
        </w:rPr>
        <w:t>.</w:t>
      </w:r>
      <w:r>
        <w:rPr>
          <w:rFonts w:hint="eastAsia" w:hAnsi="宋体"/>
          <w:color w:val="auto"/>
          <w:sz w:val="21"/>
          <w:szCs w:val="21"/>
          <w:highlight w:val="none"/>
          <w:lang w:val="zh-CN"/>
        </w:rPr>
        <w:t>本项目不接受联合体磋商。</w:t>
      </w:r>
      <w:bookmarkEnd w:id="37"/>
    </w:p>
    <w:p w14:paraId="195CB4AC">
      <w:pPr>
        <w:pStyle w:val="4"/>
        <w:shd w:val="clear"/>
        <w:adjustRightInd/>
        <w:spacing w:line="360" w:lineRule="auto"/>
        <w:ind w:firstLine="420" w:firstLineChars="200"/>
        <w:rPr>
          <w:rFonts w:hAnsi="宋体"/>
          <w:bCs/>
          <w:color w:val="auto"/>
          <w:sz w:val="21"/>
          <w:szCs w:val="21"/>
          <w:highlight w:val="none"/>
        </w:rPr>
      </w:pPr>
      <w:bookmarkStart w:id="41" w:name="_Toc10368"/>
      <w:r>
        <w:rPr>
          <w:rFonts w:hint="eastAsia" w:hAnsi="宋体"/>
          <w:color w:val="auto"/>
          <w:sz w:val="21"/>
          <w:szCs w:val="21"/>
          <w:highlight w:val="none"/>
        </w:rPr>
        <w:t>5.禁止事项</w:t>
      </w:r>
      <w:bookmarkEnd w:id="38"/>
      <w:bookmarkEnd w:id="39"/>
      <w:bookmarkEnd w:id="40"/>
      <w:bookmarkEnd w:id="41"/>
    </w:p>
    <w:p w14:paraId="096B4ABA">
      <w:pPr>
        <w:shd w:val="clear"/>
        <w:spacing w:line="360" w:lineRule="auto"/>
        <w:ind w:firstLine="420" w:firstLineChars="200"/>
        <w:rPr>
          <w:rFonts w:hAnsi="宋体"/>
          <w:color w:val="auto"/>
          <w:sz w:val="21"/>
          <w:szCs w:val="21"/>
          <w:highlight w:val="none"/>
        </w:rPr>
      </w:pPr>
      <w:bookmarkStart w:id="42" w:name="_Toc98126218"/>
      <w:bookmarkStart w:id="43" w:name="_Toc98126293"/>
      <w:r>
        <w:rPr>
          <w:rFonts w:hint="eastAsia" w:hAnsi="宋体"/>
          <w:color w:val="auto"/>
          <w:sz w:val="21"/>
          <w:szCs w:val="21"/>
          <w:highlight w:val="none"/>
        </w:rPr>
        <w:t>5.1采购人、供应商和采购代理机构不得相互串通损害国家利益、社会公共利益和其他当事人的合法权益。</w:t>
      </w:r>
    </w:p>
    <w:p w14:paraId="0DE58F2E">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5.2供应商不得向采购人、采购代理机构、磋商小组的组成人员行贿或者采取其他不正当手段谋取成交。</w:t>
      </w:r>
      <w:bookmarkEnd w:id="42"/>
      <w:bookmarkEnd w:id="43"/>
    </w:p>
    <w:p w14:paraId="793B0DC5">
      <w:pPr>
        <w:shd w:val="clear"/>
        <w:spacing w:line="360" w:lineRule="auto"/>
        <w:ind w:firstLine="420" w:firstLineChars="200"/>
        <w:rPr>
          <w:rFonts w:hAnsi="宋体"/>
          <w:color w:val="auto"/>
          <w:sz w:val="21"/>
          <w:szCs w:val="21"/>
          <w:highlight w:val="none"/>
        </w:rPr>
      </w:pPr>
      <w:bookmarkStart w:id="44" w:name="_Toc98126294"/>
      <w:bookmarkStart w:id="45" w:name="_Toc98126219"/>
      <w:r>
        <w:rPr>
          <w:rFonts w:hint="eastAsia" w:hAnsi="宋体"/>
          <w:color w:val="auto"/>
          <w:sz w:val="21"/>
          <w:szCs w:val="21"/>
          <w:highlight w:val="none"/>
        </w:rPr>
        <w:t>5.3采购代理机构不得向采购人行贿或者采取其他不正当手段谋取非法利益。</w:t>
      </w:r>
      <w:bookmarkEnd w:id="44"/>
      <w:bookmarkEnd w:id="45"/>
    </w:p>
    <w:p w14:paraId="0E7839E9">
      <w:pPr>
        <w:shd w:val="clear"/>
        <w:spacing w:line="360" w:lineRule="auto"/>
        <w:ind w:firstLine="420" w:firstLineChars="200"/>
        <w:rPr>
          <w:rFonts w:hAnsi="宋体"/>
          <w:color w:val="auto"/>
          <w:sz w:val="21"/>
          <w:szCs w:val="21"/>
          <w:highlight w:val="none"/>
        </w:rPr>
      </w:pPr>
      <w:bookmarkStart w:id="46" w:name="_Toc98126220"/>
      <w:bookmarkStart w:id="47" w:name="_Toc98126295"/>
      <w:r>
        <w:rPr>
          <w:rFonts w:hint="eastAsia" w:hAnsi="宋体"/>
          <w:color w:val="auto"/>
          <w:sz w:val="21"/>
          <w:szCs w:val="21"/>
          <w:highlight w:val="none"/>
        </w:rPr>
        <w:t>5.4除供应商被要求对响应文件进行质疑澄清外，从开启响应文件之时起至授予合同止，供应商不得就与其响应文件有关的事项主动与磋商小组、采购人以及采购代理机构接触。</w:t>
      </w:r>
      <w:bookmarkEnd w:id="46"/>
      <w:bookmarkEnd w:id="47"/>
    </w:p>
    <w:p w14:paraId="1256633A">
      <w:pPr>
        <w:pStyle w:val="4"/>
        <w:shd w:val="clear"/>
        <w:adjustRightInd/>
        <w:spacing w:line="360" w:lineRule="auto"/>
        <w:ind w:firstLine="420" w:firstLineChars="200"/>
        <w:rPr>
          <w:rFonts w:hAnsi="宋体"/>
          <w:bCs/>
          <w:color w:val="auto"/>
          <w:sz w:val="21"/>
          <w:szCs w:val="21"/>
          <w:highlight w:val="none"/>
        </w:rPr>
      </w:pPr>
      <w:bookmarkStart w:id="48" w:name="_Toc25870"/>
      <w:bookmarkStart w:id="49" w:name="_Toc7897867"/>
      <w:bookmarkStart w:id="50" w:name="_Toc110953834"/>
      <w:bookmarkStart w:id="51" w:name="_Toc2863"/>
      <w:r>
        <w:rPr>
          <w:rFonts w:hint="eastAsia" w:hAnsi="宋体"/>
          <w:color w:val="auto"/>
          <w:sz w:val="21"/>
          <w:szCs w:val="21"/>
          <w:highlight w:val="none"/>
        </w:rPr>
        <w:t>6.保密及其它注意事项</w:t>
      </w:r>
      <w:bookmarkEnd w:id="48"/>
      <w:bookmarkEnd w:id="49"/>
      <w:bookmarkEnd w:id="50"/>
      <w:bookmarkEnd w:id="51"/>
    </w:p>
    <w:p w14:paraId="02E703FC">
      <w:pPr>
        <w:shd w:val="clear"/>
        <w:spacing w:line="360" w:lineRule="auto"/>
        <w:ind w:firstLine="420" w:firstLineChars="200"/>
        <w:rPr>
          <w:rFonts w:hAnsi="宋体"/>
          <w:color w:val="auto"/>
          <w:sz w:val="21"/>
          <w:szCs w:val="21"/>
          <w:highlight w:val="none"/>
        </w:rPr>
      </w:pPr>
      <w:bookmarkStart w:id="52" w:name="_Toc98126297"/>
      <w:bookmarkStart w:id="53" w:name="_Toc98126222"/>
      <w:r>
        <w:rPr>
          <w:rFonts w:hint="eastAsia" w:hAnsi="宋体"/>
          <w:color w:val="auto"/>
          <w:sz w:val="21"/>
          <w:szCs w:val="21"/>
          <w:highlight w:val="none"/>
        </w:rPr>
        <w:t>6.1凡参与采购工作的有关人员均应自觉接受有关主管部门的监督，不得向他人透露可能影响公平竞争的有关情况。</w:t>
      </w:r>
      <w:bookmarkEnd w:id="52"/>
      <w:bookmarkEnd w:id="53"/>
    </w:p>
    <w:p w14:paraId="23BFC0DC">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6.2开启响应文件后，直至向成交供应商发出《成交通知书》止，凡与审查、澄清、评估和比较有关资料以及评审意见等，均不得向供应商及与评审无关的其他人透露。在采购工作结束后，与评审情况有接触的任何人，不得将评审情况扩散出磋商小组人员之外。</w:t>
      </w:r>
    </w:p>
    <w:p w14:paraId="54DCD5A3">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6.3在评审期间，供应商不得向磋商小组成员询问评审情况，不得进行旨在影响评审结果的活动。</w:t>
      </w:r>
    </w:p>
    <w:p w14:paraId="27E72A68">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6.4磋商小组不向未成交供应商解释落选原因，不退还响应文件。</w:t>
      </w:r>
    </w:p>
    <w:p w14:paraId="03DED304">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6.5所有供应商自行承担与响应有关的全部费用。采购人和采购代理机构在任何情况下均不承担该费用。</w:t>
      </w:r>
    </w:p>
    <w:p w14:paraId="4677EC68">
      <w:pPr>
        <w:pStyle w:val="4"/>
        <w:shd w:val="clear"/>
        <w:adjustRightInd/>
        <w:spacing w:line="360" w:lineRule="auto"/>
        <w:ind w:firstLine="420" w:firstLineChars="200"/>
        <w:rPr>
          <w:rFonts w:hAnsi="宋体"/>
          <w:color w:val="auto"/>
          <w:sz w:val="21"/>
          <w:szCs w:val="21"/>
          <w:highlight w:val="none"/>
        </w:rPr>
      </w:pPr>
      <w:bookmarkStart w:id="54" w:name="_Toc497016085"/>
      <w:bookmarkStart w:id="55" w:name="_Toc27298"/>
      <w:bookmarkStart w:id="56" w:name="_Toc13371"/>
      <w:bookmarkStart w:id="57" w:name="_Toc7897868"/>
      <w:r>
        <w:rPr>
          <w:rFonts w:hint="eastAsia" w:hAnsi="宋体"/>
          <w:color w:val="auto"/>
          <w:sz w:val="21"/>
          <w:szCs w:val="21"/>
          <w:highlight w:val="none"/>
        </w:rPr>
        <w:t>7.供应商诚信管理</w:t>
      </w:r>
      <w:bookmarkEnd w:id="54"/>
      <w:bookmarkEnd w:id="55"/>
      <w:bookmarkEnd w:id="56"/>
      <w:bookmarkEnd w:id="57"/>
    </w:p>
    <w:p w14:paraId="7B352A36">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7.1供应商在本磋商项目的竞争中应自觉遵循诚实信用原则，不得存在腐败、欺诈或其他严重违背诚信原则的行为。“腐败行为”是指提供、给予任何有价值的东西来影响采购人员在采购过程或合同实施过程中的行为；“欺诈行为”是指为了影响采购过程或合同实施过程而谎报、隐瞒事实，损害采购人的利益，包括供应商之间串通响应（递交响应书之前或之后），人为地使响应丧失竞争性，损害采购人从公开竞争中所能获得的权益。</w:t>
      </w:r>
    </w:p>
    <w:p w14:paraId="2FA88AB8">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7.2如果采购人或采购代理机构有证据表明供应商在本磋商项目的竞争中存在腐败、欺诈或其他严重违背诚信原则的行为，则将拒绝其响应。</w:t>
      </w:r>
    </w:p>
    <w:p w14:paraId="65D89026">
      <w:pPr>
        <w:shd w:val="clear"/>
        <w:spacing w:line="360" w:lineRule="auto"/>
        <w:rPr>
          <w:rFonts w:hAnsi="宋体"/>
          <w:color w:val="auto"/>
          <w:sz w:val="21"/>
          <w:szCs w:val="21"/>
          <w:highlight w:val="none"/>
        </w:rPr>
      </w:pPr>
    </w:p>
    <w:p w14:paraId="43002D75">
      <w:pPr>
        <w:pStyle w:val="3"/>
        <w:shd w:val="clear"/>
        <w:adjustRightInd/>
        <w:spacing w:line="360" w:lineRule="auto"/>
        <w:ind w:firstLine="0" w:firstLineChars="0"/>
        <w:jc w:val="center"/>
        <w:rPr>
          <w:color w:val="auto"/>
          <w:sz w:val="28"/>
          <w:szCs w:val="28"/>
          <w:highlight w:val="none"/>
        </w:rPr>
      </w:pPr>
      <w:bookmarkStart w:id="58" w:name="_Toc17498"/>
      <w:bookmarkStart w:id="59" w:name="_Toc7897869"/>
      <w:bookmarkStart w:id="60" w:name="_Toc23741"/>
      <w:r>
        <w:rPr>
          <w:rFonts w:hint="eastAsia"/>
          <w:color w:val="auto"/>
          <w:sz w:val="28"/>
          <w:szCs w:val="28"/>
          <w:highlight w:val="none"/>
        </w:rPr>
        <w:t>二、磋商文件说明</w:t>
      </w:r>
      <w:bookmarkEnd w:id="32"/>
      <w:bookmarkEnd w:id="33"/>
      <w:bookmarkEnd w:id="34"/>
      <w:bookmarkEnd w:id="35"/>
      <w:bookmarkEnd w:id="36"/>
      <w:bookmarkEnd w:id="58"/>
      <w:bookmarkEnd w:id="59"/>
      <w:bookmarkEnd w:id="60"/>
    </w:p>
    <w:p w14:paraId="27EC6BE9">
      <w:pPr>
        <w:pStyle w:val="4"/>
        <w:shd w:val="clear"/>
        <w:adjustRightInd/>
        <w:spacing w:line="360" w:lineRule="auto"/>
        <w:ind w:firstLine="420" w:firstLineChars="200"/>
        <w:rPr>
          <w:rFonts w:hAnsi="宋体"/>
          <w:color w:val="auto"/>
          <w:sz w:val="21"/>
          <w:szCs w:val="21"/>
          <w:highlight w:val="none"/>
        </w:rPr>
      </w:pPr>
      <w:bookmarkStart w:id="61" w:name="_Toc110953836"/>
      <w:bookmarkStart w:id="62" w:name="_Toc23606"/>
      <w:bookmarkStart w:id="63" w:name="_Toc29560"/>
      <w:bookmarkStart w:id="64" w:name="_Toc7897870"/>
      <w:bookmarkStart w:id="65" w:name="_Toc6968689"/>
      <w:bookmarkStart w:id="66" w:name="_Toc6882677"/>
      <w:bookmarkStart w:id="67" w:name="_Toc507407361"/>
      <w:bookmarkStart w:id="68" w:name="_Toc466786436"/>
      <w:bookmarkStart w:id="69" w:name="_Toc102277758"/>
      <w:r>
        <w:rPr>
          <w:rFonts w:hint="eastAsia" w:hAnsi="宋体"/>
          <w:color w:val="auto"/>
          <w:sz w:val="21"/>
          <w:szCs w:val="21"/>
          <w:highlight w:val="none"/>
        </w:rPr>
        <w:t>8.磋商文件构成</w:t>
      </w:r>
      <w:bookmarkEnd w:id="61"/>
      <w:bookmarkEnd w:id="62"/>
      <w:bookmarkEnd w:id="63"/>
      <w:bookmarkEnd w:id="64"/>
    </w:p>
    <w:p w14:paraId="77765D82">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8.1磋商文件用以阐明项目情况、评审程序、评审办法、定标标准和合同条款参考范本和响应文件的制作等，由磋商邀请书、供应商须知、用户需求书、合同范本和响应文件格式构成。</w:t>
      </w:r>
    </w:p>
    <w:p w14:paraId="6282E0CE">
      <w:pPr>
        <w:pStyle w:val="4"/>
        <w:shd w:val="clear"/>
        <w:adjustRightInd/>
        <w:spacing w:line="360" w:lineRule="auto"/>
        <w:ind w:firstLine="420" w:firstLineChars="200"/>
        <w:rPr>
          <w:rFonts w:hAnsi="宋体"/>
          <w:color w:val="auto"/>
          <w:sz w:val="21"/>
          <w:szCs w:val="21"/>
          <w:highlight w:val="none"/>
        </w:rPr>
      </w:pPr>
      <w:bookmarkStart w:id="70" w:name="_Toc7897871"/>
      <w:bookmarkStart w:id="71" w:name="_Toc110953837"/>
      <w:bookmarkStart w:id="72" w:name="_Toc16827"/>
      <w:bookmarkStart w:id="73" w:name="_Toc19701"/>
      <w:r>
        <w:rPr>
          <w:rFonts w:hint="eastAsia" w:hAnsi="宋体"/>
          <w:color w:val="auto"/>
          <w:sz w:val="21"/>
          <w:szCs w:val="21"/>
          <w:highlight w:val="none"/>
        </w:rPr>
        <w:t>9.磋商文件的修改</w:t>
      </w:r>
      <w:bookmarkEnd w:id="70"/>
      <w:bookmarkEnd w:id="71"/>
      <w:bookmarkEnd w:id="72"/>
      <w:bookmarkEnd w:id="73"/>
    </w:p>
    <w:p w14:paraId="061789CC">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9.1提交首次响应文件截止之日前，采购人、采购代理机构或者磋商小组可以对已发出的磋商文件进行必要的澄清或者修改，澄清或者修改的内容作为磋商文件的组成部分。澄清或者修改的内容可能影响响应文件编制的，将在提交首次响应文件截止时间5日前以书面形式通知所有获取磋商文件的供应商。</w:t>
      </w:r>
    </w:p>
    <w:p w14:paraId="20B0D985">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9.2如果修改的时间距响应文件递交截止时间不足5日的，将相应顺延递交首次响应文件截止时间。</w:t>
      </w:r>
    </w:p>
    <w:p w14:paraId="5E417E65">
      <w:pPr>
        <w:pStyle w:val="12"/>
        <w:shd w:val="clear"/>
        <w:ind w:firstLine="400"/>
        <w:rPr>
          <w:color w:val="auto"/>
          <w:highlight w:val="none"/>
        </w:rPr>
      </w:pPr>
    </w:p>
    <w:bookmarkEnd w:id="65"/>
    <w:bookmarkEnd w:id="66"/>
    <w:bookmarkEnd w:id="67"/>
    <w:bookmarkEnd w:id="68"/>
    <w:bookmarkEnd w:id="69"/>
    <w:p w14:paraId="16E714D9">
      <w:pPr>
        <w:pStyle w:val="3"/>
        <w:shd w:val="clear"/>
        <w:adjustRightInd/>
        <w:spacing w:line="360" w:lineRule="auto"/>
        <w:ind w:firstLine="0" w:firstLineChars="0"/>
        <w:jc w:val="center"/>
        <w:rPr>
          <w:color w:val="auto"/>
          <w:sz w:val="28"/>
          <w:szCs w:val="28"/>
          <w:highlight w:val="none"/>
        </w:rPr>
      </w:pPr>
      <w:bookmarkStart w:id="74" w:name="_Toc15398"/>
      <w:bookmarkStart w:id="75" w:name="_Toc7897872"/>
      <w:bookmarkStart w:id="76" w:name="_Toc110953838"/>
      <w:bookmarkStart w:id="77" w:name="_Toc18245"/>
      <w:bookmarkStart w:id="78" w:name="_Toc6882678"/>
      <w:bookmarkStart w:id="79" w:name="_Toc102277759"/>
      <w:bookmarkStart w:id="80" w:name="_Toc6968690"/>
      <w:bookmarkStart w:id="81" w:name="_Toc507407362"/>
      <w:bookmarkStart w:id="82" w:name="_Toc466786437"/>
      <w:r>
        <w:rPr>
          <w:rFonts w:hint="eastAsia"/>
          <w:color w:val="auto"/>
          <w:sz w:val="28"/>
          <w:szCs w:val="28"/>
          <w:highlight w:val="none"/>
        </w:rPr>
        <w:t>三、响应文件的制作</w:t>
      </w:r>
      <w:bookmarkEnd w:id="74"/>
      <w:bookmarkEnd w:id="75"/>
      <w:bookmarkEnd w:id="76"/>
      <w:bookmarkEnd w:id="77"/>
    </w:p>
    <w:p w14:paraId="557DE0B6">
      <w:pPr>
        <w:pStyle w:val="4"/>
        <w:shd w:val="clear"/>
        <w:adjustRightInd/>
        <w:spacing w:line="360" w:lineRule="auto"/>
        <w:ind w:firstLine="420" w:firstLineChars="200"/>
        <w:rPr>
          <w:rFonts w:hAnsi="宋体"/>
          <w:color w:val="auto"/>
          <w:sz w:val="21"/>
          <w:szCs w:val="21"/>
          <w:highlight w:val="none"/>
        </w:rPr>
      </w:pPr>
      <w:bookmarkStart w:id="83" w:name="_Toc7897873"/>
      <w:bookmarkStart w:id="84" w:name="_Toc15756"/>
      <w:bookmarkStart w:id="85" w:name="_Toc110953839"/>
      <w:bookmarkStart w:id="86" w:name="_Toc23789"/>
      <w:r>
        <w:rPr>
          <w:rFonts w:hint="eastAsia" w:hAnsi="宋体"/>
          <w:color w:val="auto"/>
          <w:sz w:val="21"/>
          <w:szCs w:val="21"/>
          <w:highlight w:val="none"/>
        </w:rPr>
        <w:t>10.制作要求</w:t>
      </w:r>
      <w:bookmarkEnd w:id="83"/>
      <w:bookmarkEnd w:id="84"/>
      <w:bookmarkEnd w:id="85"/>
      <w:bookmarkEnd w:id="86"/>
    </w:p>
    <w:p w14:paraId="3D2C9544">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10.1供应商应当仔细阅读磋商文件的所有内容，按磋商文件的要求提供响应文件，并保证所提供的全部资料的真实性及对磋商文件作出实质性响应。</w:t>
      </w:r>
    </w:p>
    <w:p w14:paraId="749D2531">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10.2供应商应按磋商文件中提供的响应文件格式制作响应文件。如有关表格不能满足填报需要，可以对表格格式作出相应调整，但不得更改表格的实质性内容。</w:t>
      </w:r>
    </w:p>
    <w:p w14:paraId="1BB5ECF1">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u w:val="single"/>
        </w:rPr>
        <w:t>10.</w:t>
      </w:r>
      <w:r>
        <w:rPr>
          <w:rFonts w:hint="eastAsia" w:hAnsi="宋体"/>
          <w:b/>
          <w:color w:val="auto"/>
          <w:sz w:val="21"/>
          <w:szCs w:val="21"/>
          <w:highlight w:val="none"/>
          <w:u w:val="single"/>
        </w:rPr>
        <w:t>3供应商应提供正本一份、副本</w:t>
      </w:r>
      <w:r>
        <w:rPr>
          <w:rFonts w:hint="eastAsia" w:hAnsi="宋体"/>
          <w:b/>
          <w:color w:val="auto"/>
          <w:sz w:val="21"/>
          <w:szCs w:val="21"/>
          <w:highlight w:val="none"/>
          <w:u w:val="single"/>
          <w:lang w:eastAsia="zh-CN"/>
        </w:rPr>
        <w:t>三</w:t>
      </w:r>
      <w:r>
        <w:rPr>
          <w:rFonts w:hint="eastAsia" w:hAnsi="宋体"/>
          <w:b/>
          <w:color w:val="auto"/>
          <w:sz w:val="21"/>
          <w:szCs w:val="21"/>
          <w:highlight w:val="none"/>
          <w:u w:val="single"/>
        </w:rPr>
        <w:t>份、</w:t>
      </w:r>
      <w:r>
        <w:rPr>
          <w:rFonts w:hint="eastAsia" w:hAnsi="宋体"/>
          <w:b/>
          <w:color w:val="auto"/>
          <w:sz w:val="21"/>
          <w:szCs w:val="21"/>
          <w:highlight w:val="none"/>
          <w:u w:val="single"/>
          <w:lang w:eastAsia="zh-CN"/>
        </w:rPr>
        <w:t>保证金信封</w:t>
      </w:r>
      <w:r>
        <w:rPr>
          <w:rFonts w:hint="eastAsia" w:hAnsi="宋体"/>
          <w:b/>
          <w:color w:val="auto"/>
          <w:sz w:val="21"/>
          <w:szCs w:val="21"/>
          <w:highlight w:val="none"/>
          <w:u w:val="single"/>
        </w:rPr>
        <w:t>一份</w:t>
      </w:r>
      <w:r>
        <w:rPr>
          <w:rFonts w:hint="eastAsia" w:hAnsi="宋体"/>
          <w:b/>
          <w:color w:val="auto"/>
          <w:sz w:val="21"/>
          <w:szCs w:val="21"/>
          <w:highlight w:val="none"/>
          <w:u w:val="single"/>
          <w:lang w:eastAsia="zh-CN"/>
        </w:rPr>
        <w:t>（</w:t>
      </w:r>
      <w:r>
        <w:rPr>
          <w:rFonts w:hint="eastAsia" w:hAnsi="宋体"/>
          <w:b/>
          <w:color w:val="auto"/>
          <w:sz w:val="21"/>
          <w:szCs w:val="21"/>
          <w:highlight w:val="none"/>
          <w:u w:val="single"/>
        </w:rPr>
        <w:t>供应商应如实详细提供第11.1款所要求的全部资料，价格文件、商务文件、技术文件必须分别单独装订成册，商务、技术和其他证明资料等磋商响应文件不能出现磋商价格。</w:t>
      </w:r>
      <w:r>
        <w:rPr>
          <w:rFonts w:hint="eastAsia" w:hAnsi="宋体"/>
          <w:b/>
          <w:color w:val="auto"/>
          <w:sz w:val="21"/>
          <w:szCs w:val="21"/>
          <w:highlight w:val="none"/>
          <w:u w:val="single"/>
          <w:lang w:eastAsia="zh-CN"/>
        </w:rPr>
        <w:t>）</w:t>
      </w:r>
      <w:r>
        <w:rPr>
          <w:rFonts w:hint="eastAsia" w:hAnsi="宋体"/>
          <w:b/>
          <w:color w:val="auto"/>
          <w:sz w:val="21"/>
          <w:szCs w:val="21"/>
          <w:highlight w:val="none"/>
          <w:u w:val="single"/>
        </w:rPr>
        <w:t>。</w:t>
      </w:r>
      <w:r>
        <w:rPr>
          <w:rFonts w:hint="eastAsia" w:hAnsi="宋体"/>
          <w:color w:val="auto"/>
          <w:sz w:val="21"/>
          <w:szCs w:val="21"/>
          <w:highlight w:val="none"/>
        </w:rPr>
        <w:t>在每一份响应文件上要明确注明“正本”、“副本”或“</w:t>
      </w:r>
      <w:r>
        <w:rPr>
          <w:rFonts w:hint="eastAsia" w:hAnsi="宋体"/>
          <w:color w:val="auto"/>
          <w:sz w:val="21"/>
          <w:szCs w:val="21"/>
          <w:highlight w:val="none"/>
          <w:lang w:eastAsia="zh-CN"/>
        </w:rPr>
        <w:t>保证金信封</w:t>
      </w:r>
      <w:r>
        <w:rPr>
          <w:rFonts w:hint="eastAsia" w:hAnsi="宋体"/>
          <w:color w:val="auto"/>
          <w:sz w:val="21"/>
          <w:szCs w:val="21"/>
          <w:highlight w:val="none"/>
        </w:rPr>
        <w:t>”字样，一旦正本和副本有差异，以正本为准。</w:t>
      </w:r>
    </w:p>
    <w:p w14:paraId="2D51F9F6">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10.4响应文件的正本必须打印，并由供应商的法定代表人或经正式授权对供应商有约束力的委托代理人在响应文件上签字并加盖公章。委托代理人必须出具书面形式的《授权委托书》并附在响应文件中。响应文件的副本可采用正本的复印件。</w:t>
      </w:r>
    </w:p>
    <w:p w14:paraId="04465716">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10.5除供应商对错处作必要修改外，响应文件中不许有加行、涂改或改写。任何行间插字、涂改和增删，必须由供应商的法定代表人或委托代理人在修改处签字或加盖公章才有效。</w:t>
      </w:r>
    </w:p>
    <w:p w14:paraId="27D718FF">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10.6电报、电话、传真、电子邮件形式的响应概不接受。</w:t>
      </w:r>
    </w:p>
    <w:p w14:paraId="63086C51">
      <w:pPr>
        <w:pStyle w:val="4"/>
        <w:shd w:val="clear"/>
        <w:adjustRightInd/>
        <w:spacing w:line="360" w:lineRule="auto"/>
        <w:ind w:firstLine="420" w:firstLineChars="200"/>
        <w:rPr>
          <w:rFonts w:hAnsi="宋体"/>
          <w:color w:val="auto"/>
          <w:sz w:val="21"/>
          <w:szCs w:val="21"/>
          <w:highlight w:val="none"/>
        </w:rPr>
      </w:pPr>
      <w:bookmarkStart w:id="87" w:name="_Toc7897874"/>
      <w:bookmarkStart w:id="88" w:name="_Toc20552"/>
      <w:bookmarkStart w:id="89" w:name="_Toc18079"/>
      <w:bookmarkStart w:id="90" w:name="_Toc110953840"/>
      <w:r>
        <w:rPr>
          <w:rFonts w:hint="eastAsia" w:hAnsi="宋体"/>
          <w:color w:val="auto"/>
          <w:sz w:val="21"/>
          <w:szCs w:val="21"/>
          <w:highlight w:val="none"/>
        </w:rPr>
        <w:t>11.响应文件的内容</w:t>
      </w:r>
    </w:p>
    <w:p w14:paraId="34A456C7">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11.1响应文件应包括下列部分：</w:t>
      </w:r>
    </w:p>
    <w:p w14:paraId="030E0818">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11.1.1价格文件</w:t>
      </w:r>
    </w:p>
    <w:p w14:paraId="72027EE3">
      <w:pPr>
        <w:shd w:val="clear"/>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11.1.2商务</w:t>
      </w:r>
      <w:r>
        <w:rPr>
          <w:rFonts w:hint="eastAsia" w:hAnsi="宋体"/>
          <w:color w:val="auto"/>
          <w:sz w:val="21"/>
          <w:szCs w:val="21"/>
          <w:highlight w:val="none"/>
          <w:lang w:val="en-US" w:eastAsia="zh-CN"/>
        </w:rPr>
        <w:t>文件</w:t>
      </w:r>
    </w:p>
    <w:p w14:paraId="5395992C">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lang w:val="en-US" w:eastAsia="zh-CN"/>
        </w:rPr>
        <w:t>11.1.3</w:t>
      </w:r>
      <w:r>
        <w:rPr>
          <w:rFonts w:hint="eastAsia" w:hAnsi="宋体"/>
          <w:color w:val="auto"/>
          <w:sz w:val="21"/>
          <w:szCs w:val="21"/>
          <w:highlight w:val="none"/>
        </w:rPr>
        <w:t>技术文件</w:t>
      </w:r>
    </w:p>
    <w:p w14:paraId="6118D4C2">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11.1.</w:t>
      </w:r>
      <w:r>
        <w:rPr>
          <w:rFonts w:hint="eastAsia" w:hAnsi="宋体"/>
          <w:color w:val="auto"/>
          <w:sz w:val="21"/>
          <w:szCs w:val="21"/>
          <w:highlight w:val="none"/>
          <w:lang w:val="en-US" w:eastAsia="zh-CN"/>
        </w:rPr>
        <w:t>4</w:t>
      </w:r>
      <w:r>
        <w:rPr>
          <w:rFonts w:hint="eastAsia" w:hAnsi="宋体"/>
          <w:color w:val="auto"/>
          <w:sz w:val="21"/>
          <w:szCs w:val="21"/>
          <w:highlight w:val="none"/>
          <w:lang w:eastAsia="zh-CN"/>
        </w:rPr>
        <w:t>保证金信封</w:t>
      </w:r>
      <w:r>
        <w:rPr>
          <w:rFonts w:hint="eastAsia" w:hAnsi="宋体"/>
          <w:color w:val="auto"/>
          <w:sz w:val="21"/>
          <w:szCs w:val="21"/>
          <w:highlight w:val="none"/>
        </w:rPr>
        <w:t>（须独立密封）</w:t>
      </w:r>
    </w:p>
    <w:bookmarkEnd w:id="87"/>
    <w:bookmarkEnd w:id="88"/>
    <w:bookmarkEnd w:id="89"/>
    <w:bookmarkEnd w:id="90"/>
    <w:p w14:paraId="60E92AAE">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11.2响应（磋商）报价</w:t>
      </w:r>
    </w:p>
    <w:p w14:paraId="43C439C8">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（1）响应（磋商）报价应为人民币含税全包价，报价应包含服务及所需的各种税费、售后服务费及合同实施过程中的应预见和不可预见费用等完成合同规定责任和义务、达到合同目的的一切费用。</w:t>
      </w:r>
    </w:p>
    <w:p w14:paraId="1BE76B83">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（2）磋商报价应包括所有应支付的对专利权和版权、设计或其他知识产权而需要向其他方支付的版税。</w:t>
      </w:r>
    </w:p>
    <w:p w14:paraId="6D34A1EE">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（3）供应商应按响应文件的《报价一览表》格式填写响应内容的单价和总价。</w:t>
      </w:r>
    </w:p>
    <w:p w14:paraId="5421C88E">
      <w:pPr>
        <w:shd w:val="clear"/>
        <w:spacing w:line="360" w:lineRule="auto"/>
        <w:ind w:firstLine="422" w:firstLineChars="200"/>
        <w:rPr>
          <w:rFonts w:hAnsi="宋体"/>
          <w:b/>
          <w:color w:val="auto"/>
          <w:sz w:val="21"/>
          <w:szCs w:val="21"/>
          <w:highlight w:val="none"/>
        </w:rPr>
      </w:pPr>
      <w:r>
        <w:rPr>
          <w:rFonts w:hint="eastAsia" w:hAnsi="宋体"/>
          <w:b/>
          <w:color w:val="auto"/>
          <w:sz w:val="21"/>
          <w:szCs w:val="21"/>
          <w:highlight w:val="none"/>
        </w:rPr>
        <w:t>（4）</w:t>
      </w:r>
      <w:r>
        <w:rPr>
          <w:rFonts w:hint="eastAsia" w:hAnsi="宋体"/>
          <w:b/>
          <w:bCs/>
          <w:color w:val="auto"/>
          <w:sz w:val="21"/>
          <w:szCs w:val="21"/>
          <w:highlight w:val="none"/>
        </w:rPr>
        <w:t>供应商每次报价超过</w:t>
      </w:r>
      <w:r>
        <w:rPr>
          <w:rFonts w:hint="eastAsia" w:hAnsi="宋体"/>
          <w:b/>
          <w:bCs/>
          <w:color w:val="auto"/>
          <w:sz w:val="21"/>
          <w:szCs w:val="21"/>
          <w:highlight w:val="none"/>
          <w:lang w:eastAsia="zh-CN"/>
        </w:rPr>
        <w:t>最高报价</w:t>
      </w:r>
      <w:r>
        <w:rPr>
          <w:rFonts w:hint="eastAsia" w:hAnsi="宋体"/>
          <w:b/>
          <w:bCs/>
          <w:color w:val="auto"/>
          <w:sz w:val="21"/>
          <w:szCs w:val="21"/>
          <w:highlight w:val="none"/>
        </w:rPr>
        <w:t>视为非实质性响应磋商而予以拒绝。</w:t>
      </w:r>
    </w:p>
    <w:p w14:paraId="41EC757F">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（5）经磋商后，供应商所报的最后磋商报价在合同执行过程中是固定不变的，不得以任何理由予以变更。</w:t>
      </w:r>
    </w:p>
    <w:p w14:paraId="4139A2FF">
      <w:pPr>
        <w:shd w:val="clear"/>
        <w:spacing w:line="360" w:lineRule="auto"/>
        <w:ind w:firstLine="422" w:firstLineChars="200"/>
        <w:rPr>
          <w:rFonts w:hAnsi="宋体"/>
          <w:b/>
          <w:color w:val="auto"/>
          <w:sz w:val="21"/>
          <w:szCs w:val="21"/>
          <w:highlight w:val="none"/>
        </w:rPr>
      </w:pPr>
      <w:r>
        <w:rPr>
          <w:rFonts w:hint="eastAsia" w:hAnsi="宋体"/>
          <w:b/>
          <w:color w:val="auto"/>
          <w:sz w:val="21"/>
          <w:szCs w:val="21"/>
          <w:highlight w:val="none"/>
        </w:rPr>
        <w:t>（6）供应商只能就单个项目提供唯一的方案和报价，不接受选择性的方案和报价。</w:t>
      </w:r>
    </w:p>
    <w:p w14:paraId="3BB8063E">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11.3证明供应商合格和资格的文件</w:t>
      </w:r>
    </w:p>
    <w:p w14:paraId="578E11BF">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11.4供应商应当提交具备履行合同的证明文件。</w:t>
      </w:r>
    </w:p>
    <w:p w14:paraId="6EA50022">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11.5证明文件包括：履行合同所必须具备的财务能力证明、技术能力证明，符合磋商文件资格要求的证明等。</w:t>
      </w:r>
    </w:p>
    <w:p w14:paraId="47EFBC95">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11.6证明服务的合格性和符合磋商文件规定的文件。</w:t>
      </w:r>
    </w:p>
    <w:p w14:paraId="4B7288E2">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11.7供应商应提交其拟供的合同项下的服务的合格性符合磋商文件规定的证明文件，并作为其响应文件的一部分。</w:t>
      </w:r>
    </w:p>
    <w:p w14:paraId="1B3FF0BF">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11.8服务合格性的证明文件应包括服务来源地的说明，服务与磋商文件的要求相一致的证明文件，其他说明所提供服务已对技术要求做出了实质性响应的文件或说明与技术规格条文的偏差和例外等，形式可以是文字说明、图纸及其他资料。</w:t>
      </w:r>
    </w:p>
    <w:p w14:paraId="6FC4633E">
      <w:pPr>
        <w:pStyle w:val="4"/>
        <w:shd w:val="clear"/>
        <w:adjustRightInd/>
        <w:spacing w:line="360" w:lineRule="auto"/>
        <w:ind w:firstLine="420" w:firstLineChars="200"/>
        <w:rPr>
          <w:rFonts w:hAnsi="宋体"/>
          <w:color w:val="auto"/>
          <w:sz w:val="21"/>
          <w:szCs w:val="21"/>
          <w:highlight w:val="none"/>
        </w:rPr>
      </w:pPr>
      <w:bookmarkStart w:id="91" w:name="_Toc110953841"/>
      <w:bookmarkStart w:id="92" w:name="_Toc7897875"/>
      <w:bookmarkStart w:id="93" w:name="_Toc21763"/>
      <w:bookmarkStart w:id="94" w:name="_Toc9150"/>
      <w:r>
        <w:rPr>
          <w:rFonts w:hint="eastAsia" w:hAnsi="宋体"/>
          <w:color w:val="auto"/>
          <w:sz w:val="21"/>
          <w:szCs w:val="21"/>
          <w:highlight w:val="none"/>
        </w:rPr>
        <w:t>12.响应文件格式</w:t>
      </w:r>
      <w:bookmarkEnd w:id="91"/>
      <w:bookmarkEnd w:id="92"/>
      <w:bookmarkEnd w:id="93"/>
      <w:bookmarkEnd w:id="94"/>
    </w:p>
    <w:p w14:paraId="54110566">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12.1供应商应将响应文件装订成册，并填写“响应文件目录”。上述文件及表格为供应商必须提交的文件，各供应商可以根据实际情况增加内容，但不得擅自减少有关内容。响应文件的完整性是评审的内容之一。</w:t>
      </w:r>
    </w:p>
    <w:p w14:paraId="16E04257">
      <w:pPr>
        <w:pStyle w:val="4"/>
        <w:shd w:val="clear"/>
        <w:adjustRightInd/>
        <w:spacing w:line="360" w:lineRule="auto"/>
        <w:ind w:firstLine="420" w:firstLineChars="200"/>
        <w:rPr>
          <w:rFonts w:hAnsi="宋体"/>
          <w:color w:val="auto"/>
          <w:sz w:val="21"/>
          <w:szCs w:val="21"/>
          <w:highlight w:val="none"/>
        </w:rPr>
      </w:pPr>
      <w:bookmarkStart w:id="95" w:name="_Toc185150707"/>
      <w:bookmarkStart w:id="96" w:name="_Toc30889"/>
      <w:bookmarkStart w:id="97" w:name="_Toc7897876"/>
      <w:bookmarkStart w:id="98" w:name="_Toc24570"/>
      <w:r>
        <w:rPr>
          <w:rFonts w:hint="eastAsia" w:hAnsi="宋体"/>
          <w:color w:val="auto"/>
          <w:sz w:val="21"/>
          <w:szCs w:val="21"/>
          <w:highlight w:val="none"/>
        </w:rPr>
        <w:t>13.</w:t>
      </w:r>
      <w:bookmarkEnd w:id="95"/>
      <w:r>
        <w:rPr>
          <w:rFonts w:hint="eastAsia" w:hAnsi="宋体"/>
          <w:color w:val="auto"/>
          <w:sz w:val="21"/>
          <w:szCs w:val="21"/>
          <w:highlight w:val="none"/>
        </w:rPr>
        <w:t>磋商保证金</w:t>
      </w:r>
      <w:bookmarkEnd w:id="96"/>
      <w:bookmarkEnd w:id="97"/>
      <w:bookmarkEnd w:id="98"/>
    </w:p>
    <w:p w14:paraId="735822C4">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13.1供应商应向采购代理机构提交磋商保证金，并作为其响应文件的一部分。磋商保证金的金额：</w:t>
      </w:r>
    </w:p>
    <w:tbl>
      <w:tblPr>
        <w:tblStyle w:val="53"/>
        <w:tblW w:w="88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29"/>
        <w:gridCol w:w="3679"/>
      </w:tblGrid>
      <w:tr w14:paraId="635E2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exact"/>
          <w:jc w:val="center"/>
        </w:trPr>
        <w:tc>
          <w:tcPr>
            <w:tcW w:w="5129" w:type="dxa"/>
            <w:shd w:val="clear" w:color="auto" w:fill="E0E0E0"/>
            <w:vAlign w:val="center"/>
          </w:tcPr>
          <w:p w14:paraId="112F5013">
            <w:pPr>
              <w:shd w:val="clear"/>
              <w:snapToGrid w:val="0"/>
              <w:spacing w:line="360" w:lineRule="auto"/>
              <w:jc w:val="center"/>
              <w:rPr>
                <w:rFonts w:hAnsi="宋体"/>
                <w:b/>
                <w:color w:val="auto"/>
                <w:sz w:val="21"/>
                <w:szCs w:val="21"/>
                <w:highlight w:val="none"/>
              </w:rPr>
            </w:pPr>
            <w:r>
              <w:rPr>
                <w:rFonts w:hint="eastAsia" w:hAnsi="宋体"/>
                <w:b/>
                <w:color w:val="auto"/>
                <w:sz w:val="21"/>
                <w:szCs w:val="21"/>
                <w:highlight w:val="none"/>
              </w:rPr>
              <w:t>内容</w:t>
            </w:r>
          </w:p>
        </w:tc>
        <w:tc>
          <w:tcPr>
            <w:tcW w:w="3679" w:type="dxa"/>
            <w:shd w:val="clear" w:color="auto" w:fill="E0E0E0"/>
            <w:vAlign w:val="center"/>
          </w:tcPr>
          <w:p w14:paraId="549765CB">
            <w:pPr>
              <w:shd w:val="clear"/>
              <w:snapToGrid w:val="0"/>
              <w:spacing w:line="360" w:lineRule="auto"/>
              <w:jc w:val="center"/>
              <w:rPr>
                <w:rFonts w:hAnsi="宋体"/>
                <w:b/>
                <w:color w:val="auto"/>
                <w:sz w:val="21"/>
                <w:szCs w:val="21"/>
                <w:highlight w:val="none"/>
              </w:rPr>
            </w:pPr>
            <w:r>
              <w:rPr>
                <w:rFonts w:hint="eastAsia" w:hAnsi="宋体"/>
                <w:b/>
                <w:color w:val="auto"/>
                <w:sz w:val="21"/>
                <w:szCs w:val="21"/>
                <w:highlight w:val="none"/>
              </w:rPr>
              <w:t>保证金</w:t>
            </w:r>
          </w:p>
        </w:tc>
      </w:tr>
      <w:tr w14:paraId="5B104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129" w:type="dxa"/>
            <w:vAlign w:val="center"/>
          </w:tcPr>
          <w:p w14:paraId="36A29A18">
            <w:pPr>
              <w:widowControl/>
              <w:shd w:val="clear"/>
              <w:spacing w:line="360" w:lineRule="auto"/>
              <w:jc w:val="center"/>
              <w:rPr>
                <w:rFonts w:hint="eastAsia" w:hAnsi="宋体" w:eastAsia="宋体"/>
                <w:color w:val="auto"/>
                <w:sz w:val="21"/>
                <w:szCs w:val="21"/>
                <w:highlight w:val="none"/>
                <w:lang w:eastAsia="zh-CN"/>
              </w:rPr>
            </w:pPr>
            <w:r>
              <w:rPr>
                <w:rFonts w:hint="eastAsia" w:hAnsi="宋体" w:eastAsia="宋体"/>
                <w:color w:val="auto"/>
                <w:sz w:val="21"/>
                <w:szCs w:val="21"/>
                <w:highlight w:val="none"/>
                <w:lang w:val="en-US" w:eastAsia="zh-CN"/>
              </w:rPr>
              <w:t>东实·滨湖苑项目(东莞市厚街镇厚山配售型保障性住房项目)营销中心及样板间软装</w:t>
            </w:r>
          </w:p>
        </w:tc>
        <w:tc>
          <w:tcPr>
            <w:tcW w:w="3679" w:type="dxa"/>
            <w:vAlign w:val="center"/>
          </w:tcPr>
          <w:p w14:paraId="01F42DDB">
            <w:pPr>
              <w:widowControl/>
              <w:shd w:val="clear"/>
              <w:spacing w:line="360" w:lineRule="auto"/>
              <w:jc w:val="center"/>
              <w:rPr>
                <w:rFonts w:hAnsi="宋体"/>
                <w:color w:val="auto"/>
                <w:sz w:val="21"/>
                <w:szCs w:val="21"/>
                <w:highlight w:val="none"/>
              </w:rPr>
            </w:pPr>
            <w:r>
              <w:rPr>
                <w:rFonts w:hint="eastAsia" w:hAnsi="宋体"/>
                <w:color w:val="auto"/>
                <w:sz w:val="21"/>
                <w:szCs w:val="21"/>
                <w:highlight w:val="none"/>
              </w:rPr>
              <w:t>人民币</w:t>
            </w:r>
            <w:r>
              <w:rPr>
                <w:rFonts w:hint="eastAsia" w:hAnsi="宋体"/>
                <w:color w:val="auto"/>
                <w:sz w:val="21"/>
                <w:szCs w:val="21"/>
                <w:highlight w:val="none"/>
                <w:lang w:val="en-US" w:eastAsia="zh-CN"/>
              </w:rPr>
              <w:t>壹万玖仟元整</w:t>
            </w:r>
            <w:r>
              <w:rPr>
                <w:rFonts w:hint="eastAsia" w:hAnsi="宋体"/>
                <w:color w:val="auto"/>
                <w:sz w:val="21"/>
                <w:szCs w:val="21"/>
                <w:highlight w:val="none"/>
              </w:rPr>
              <w:t>（¥</w:t>
            </w:r>
            <w:r>
              <w:rPr>
                <w:rFonts w:hint="eastAsia" w:hAnsi="宋体"/>
                <w:color w:val="auto"/>
                <w:sz w:val="21"/>
                <w:szCs w:val="21"/>
                <w:highlight w:val="none"/>
                <w:lang w:val="en-US" w:eastAsia="zh-CN"/>
              </w:rPr>
              <w:t>19,000.00</w:t>
            </w:r>
            <w:r>
              <w:rPr>
                <w:rFonts w:hint="eastAsia" w:hAnsi="宋体"/>
                <w:color w:val="auto"/>
                <w:sz w:val="21"/>
                <w:szCs w:val="21"/>
                <w:highlight w:val="none"/>
              </w:rPr>
              <w:t>元）</w:t>
            </w:r>
          </w:p>
        </w:tc>
      </w:tr>
    </w:tbl>
    <w:p w14:paraId="4D5C5156">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13.2供应商应按要求提交磋商保证金，供应商采用银行转账、</w:t>
      </w:r>
      <w:r>
        <w:rPr>
          <w:rFonts w:hint="eastAsia" w:hAnsi="宋体"/>
          <w:color w:val="auto"/>
          <w:kern w:val="2"/>
          <w:sz w:val="21"/>
          <w:szCs w:val="21"/>
          <w:highlight w:val="none"/>
          <w:lang w:val="zh-CN"/>
        </w:rPr>
        <w:t>电汇</w:t>
      </w:r>
      <w:r>
        <w:rPr>
          <w:rFonts w:hint="eastAsia" w:hAnsi="宋体"/>
          <w:color w:val="auto"/>
          <w:sz w:val="21"/>
          <w:szCs w:val="21"/>
          <w:highlight w:val="none"/>
        </w:rPr>
        <w:t>的形式缴交，磋商供应商与交款人名称必须一致，非磋商供应商缴纳的磋商保证金无效。</w:t>
      </w:r>
    </w:p>
    <w:p w14:paraId="58AF97AA">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13.3磋商保证金的提交，应符合下列规定：</w:t>
      </w:r>
    </w:p>
    <w:p w14:paraId="16452371">
      <w:pPr>
        <w:shd w:val="clear"/>
        <w:tabs>
          <w:tab w:val="left" w:pos="567"/>
        </w:tabs>
        <w:spacing w:line="360" w:lineRule="auto"/>
        <w:ind w:firstLine="420" w:firstLineChars="200"/>
        <w:jc w:val="both"/>
        <w:rPr>
          <w:rFonts w:hAnsi="宋体"/>
          <w:b/>
          <w:bCs/>
          <w:color w:val="auto"/>
          <w:kern w:val="2"/>
          <w:sz w:val="21"/>
          <w:szCs w:val="21"/>
          <w:highlight w:val="none"/>
          <w:lang w:val="zh-CN"/>
        </w:rPr>
      </w:pPr>
      <w:r>
        <w:rPr>
          <w:rFonts w:hint="eastAsia" w:hAnsi="宋体"/>
          <w:color w:val="auto"/>
          <w:kern w:val="2"/>
          <w:sz w:val="21"/>
          <w:szCs w:val="21"/>
          <w:highlight w:val="none"/>
          <w:lang w:val="zh-CN"/>
        </w:rPr>
        <w:t>磋商保证金采用转帐、电汇方式提交，应符合以下要求：保证金汇入以下磋商保证金专用账户，不接收由以供应商分支机构、私人帐户和其他单位转入的保证金。磋商保证金必须在磋商响应文件递交截止前到账，磋商保证金未按规定时间到达指定账户或提交金额不足的，将被视为无效响应。且在备注或用途中注明本项目的项目编号。</w:t>
      </w:r>
    </w:p>
    <w:p w14:paraId="460F4872">
      <w:pPr>
        <w:shd w:val="clear"/>
        <w:tabs>
          <w:tab w:val="left" w:pos="567"/>
        </w:tabs>
        <w:spacing w:line="360" w:lineRule="auto"/>
        <w:ind w:left="567" w:hanging="567"/>
        <w:jc w:val="both"/>
        <w:rPr>
          <w:rFonts w:hAnsi="宋体"/>
          <w:color w:val="auto"/>
          <w:kern w:val="2"/>
          <w:sz w:val="21"/>
          <w:szCs w:val="21"/>
          <w:highlight w:val="none"/>
          <w:lang w:val="zh-CN"/>
        </w:rPr>
      </w:pPr>
      <w:r>
        <w:rPr>
          <w:rFonts w:hint="eastAsia" w:hAnsi="宋体"/>
          <w:color w:val="auto"/>
          <w:kern w:val="2"/>
          <w:sz w:val="21"/>
          <w:szCs w:val="21"/>
          <w:highlight w:val="none"/>
          <w:lang w:val="zh-CN"/>
        </w:rPr>
        <w:t>磋商保证金专用账户如下：</w:t>
      </w:r>
    </w:p>
    <w:p w14:paraId="56849259">
      <w:pPr>
        <w:shd w:val="clear"/>
        <w:spacing w:line="360" w:lineRule="auto"/>
        <w:ind w:firstLine="422" w:firstLineChars="200"/>
        <w:rPr>
          <w:rFonts w:hint="default" w:ascii="宋体" w:hAnsi="宋体" w:eastAsia="宋体" w:cs="宋体"/>
          <w:b/>
          <w:bCs/>
          <w:color w:val="auto"/>
          <w:kern w:val="2"/>
          <w:sz w:val="21"/>
          <w:szCs w:val="21"/>
          <w:highlight w:val="none"/>
          <w:lang w:val="en-US" w:eastAsia="zh-CN"/>
        </w:rPr>
      </w:pPr>
      <w:r>
        <w:rPr>
          <w:rFonts w:hint="eastAsia" w:ascii="宋体" w:hAnsi="宋体" w:eastAsia="宋体" w:cs="宋体"/>
          <w:b/>
          <w:bCs/>
          <w:color w:val="auto"/>
          <w:kern w:val="2"/>
          <w:sz w:val="21"/>
          <w:szCs w:val="21"/>
          <w:highlight w:val="none"/>
          <w:lang w:val="zh-CN"/>
        </w:rPr>
        <w:t>账户名称：</w:t>
      </w:r>
      <w:r>
        <w:rPr>
          <w:rFonts w:hint="eastAsia" w:hAnsi="宋体" w:cs="宋体"/>
          <w:b/>
          <w:bCs/>
          <w:color w:val="auto"/>
          <w:kern w:val="2"/>
          <w:sz w:val="21"/>
          <w:szCs w:val="21"/>
          <w:highlight w:val="none"/>
          <w:u w:val="single"/>
          <w:lang w:val="zh-CN"/>
        </w:rPr>
        <w:t>广东有德招标采购有限公司</w:t>
      </w:r>
      <w:r>
        <w:rPr>
          <w:rFonts w:hint="eastAsia" w:hAnsi="宋体" w:cs="宋体"/>
          <w:b/>
          <w:bCs/>
          <w:color w:val="auto"/>
          <w:kern w:val="2"/>
          <w:sz w:val="21"/>
          <w:szCs w:val="21"/>
          <w:highlight w:val="none"/>
          <w:u w:val="single"/>
          <w:lang w:val="en-US" w:eastAsia="zh-CN"/>
        </w:rPr>
        <w:t>东莞分公司</w:t>
      </w:r>
    </w:p>
    <w:p w14:paraId="1A4EDB4B">
      <w:pPr>
        <w:shd w:val="clear"/>
        <w:spacing w:line="360" w:lineRule="auto"/>
        <w:ind w:firstLine="422" w:firstLineChars="200"/>
        <w:rPr>
          <w:rFonts w:hint="eastAsia" w:ascii="宋体" w:hAnsi="宋体" w:eastAsia="宋体" w:cs="宋体"/>
          <w:b/>
          <w:bCs/>
          <w:color w:val="auto"/>
          <w:kern w:val="2"/>
          <w:sz w:val="21"/>
          <w:szCs w:val="21"/>
          <w:highlight w:val="none"/>
          <w:lang w:val="zh-CN" w:eastAsia="zh-CN"/>
        </w:rPr>
      </w:pPr>
      <w:r>
        <w:rPr>
          <w:rFonts w:hint="eastAsia" w:ascii="宋体" w:hAnsi="宋体" w:eastAsia="宋体" w:cs="宋体"/>
          <w:b/>
          <w:bCs/>
          <w:color w:val="auto"/>
          <w:kern w:val="2"/>
          <w:sz w:val="21"/>
          <w:szCs w:val="21"/>
          <w:highlight w:val="none"/>
          <w:lang w:val="zh-CN"/>
        </w:rPr>
        <w:t>账  号：</w:t>
      </w:r>
      <w:r>
        <w:rPr>
          <w:rFonts w:hint="eastAsia" w:ascii="宋体" w:hAnsi="宋体" w:cs="宋体"/>
          <w:b/>
          <w:bCs/>
          <w:color w:val="auto"/>
          <w:sz w:val="21"/>
          <w:szCs w:val="21"/>
          <w:highlight w:val="none"/>
          <w:u w:val="single"/>
          <w:lang w:val="zh-CN"/>
        </w:rPr>
        <w:t>东莞农村商业银行滨海湾新区支行营业部</w:t>
      </w:r>
    </w:p>
    <w:p w14:paraId="69622A8C">
      <w:pPr>
        <w:shd w:val="clear"/>
        <w:spacing w:line="360" w:lineRule="auto"/>
        <w:ind w:firstLine="422" w:firstLineChars="200"/>
        <w:rPr>
          <w:rFonts w:hint="eastAsia" w:ascii="宋体" w:hAnsi="宋体" w:eastAsia="宋体" w:cs="宋体"/>
          <w:b/>
          <w:bCs/>
          <w:color w:val="auto"/>
          <w:kern w:val="2"/>
          <w:sz w:val="21"/>
          <w:szCs w:val="21"/>
          <w:highlight w:val="none"/>
          <w:lang w:val="zh-CN"/>
        </w:rPr>
      </w:pPr>
      <w:r>
        <w:rPr>
          <w:rFonts w:hint="eastAsia" w:ascii="宋体" w:hAnsi="宋体" w:eastAsia="宋体" w:cs="宋体"/>
          <w:b/>
          <w:bCs/>
          <w:color w:val="auto"/>
          <w:kern w:val="2"/>
          <w:sz w:val="21"/>
          <w:szCs w:val="21"/>
          <w:highlight w:val="none"/>
          <w:lang w:val="zh-CN"/>
        </w:rPr>
        <w:t>开户行：</w:t>
      </w:r>
      <w:r>
        <w:rPr>
          <w:rFonts w:hint="eastAsia" w:ascii="宋体" w:hAnsi="宋体" w:cs="宋体"/>
          <w:b/>
          <w:bCs/>
          <w:color w:val="auto"/>
          <w:sz w:val="21"/>
          <w:szCs w:val="21"/>
          <w:highlight w:val="none"/>
          <w:u w:val="single"/>
          <w:lang w:val="zh-CN"/>
        </w:rPr>
        <w:t>550010190010000142</w:t>
      </w:r>
    </w:p>
    <w:p w14:paraId="54042620">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供应商必须保证资金以其供应商的名称（以分公司或子公司汇款无效）在本项目磋商响应文件截止前汇入到保证金专用账户（以银行到帐为准），可采用银行转帐方式提交，但不可以采用现金方式（包括以存现方式）提交，未按要求提交磋商保证金的将导致废标。</w:t>
      </w:r>
    </w:p>
    <w:p w14:paraId="3E124D39">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13.4供应商应将汇款底单复印件附在《磋商保证金汇入情况说明》中。并将《磋商保证金汇入情况说明》密封在单独的</w:t>
      </w:r>
      <w:r>
        <w:rPr>
          <w:rFonts w:hint="eastAsia" w:hAnsi="宋体"/>
          <w:color w:val="auto"/>
          <w:sz w:val="21"/>
          <w:szCs w:val="21"/>
          <w:highlight w:val="none"/>
          <w:lang w:eastAsia="zh-CN"/>
        </w:rPr>
        <w:t>保证金信封</w:t>
      </w:r>
      <w:r>
        <w:rPr>
          <w:rFonts w:hint="eastAsia" w:hAnsi="宋体"/>
          <w:color w:val="auto"/>
          <w:sz w:val="21"/>
          <w:szCs w:val="21"/>
          <w:highlight w:val="none"/>
        </w:rPr>
        <w:t>内。磋商保证金的汇入单位名称须与磋商供应商名称一致，不接受以分支机构名义或个人账户代替供应商进行汇款。</w:t>
      </w:r>
    </w:p>
    <w:p w14:paraId="43195793">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13.5凡没有根据规定递交磋商保证金的，应视为非响应性磋商予以拒绝。</w:t>
      </w:r>
    </w:p>
    <w:p w14:paraId="2F60EDB7">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13.6未成交供应商的磋商保证金自成交通知书发出后5个工作日内退还（不计利息）；成交供应商的磋商保证金，将在其签署合同后，采购代理机构在5个工作日内退还（不计利息）。逾期办理的，采购人不承担迟延退款责任。</w:t>
      </w:r>
    </w:p>
    <w:p w14:paraId="7661AF8B">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13.7下列任何情况发生时，磋商保证金将被没收：</w:t>
      </w:r>
    </w:p>
    <w:p w14:paraId="0BFA1BC5">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13.7.1供应商在磋商文件中规定的磋商有效期内撤回其磋商；</w:t>
      </w:r>
    </w:p>
    <w:p w14:paraId="1443BD63">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13.7.2供应商串通磋商或者以其他弄虚作假方式磋商；</w:t>
      </w:r>
    </w:p>
    <w:p w14:paraId="110FD610">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13.7.3成交供应商在规定期限内未能按规定签订合同；</w:t>
      </w:r>
    </w:p>
    <w:p w14:paraId="0EF11BB7">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13.7.4法律法规规定和磋商文件中规定的其它情况。</w:t>
      </w:r>
    </w:p>
    <w:p w14:paraId="7C649181">
      <w:pPr>
        <w:pStyle w:val="4"/>
        <w:shd w:val="clear"/>
        <w:adjustRightInd/>
        <w:spacing w:line="360" w:lineRule="auto"/>
        <w:ind w:firstLine="420" w:firstLineChars="200"/>
        <w:rPr>
          <w:rFonts w:hAnsi="宋体"/>
          <w:color w:val="auto"/>
          <w:sz w:val="21"/>
          <w:szCs w:val="21"/>
          <w:highlight w:val="none"/>
        </w:rPr>
      </w:pPr>
      <w:bookmarkStart w:id="99" w:name="_Toc467236741"/>
      <w:bookmarkStart w:id="100" w:name="_Toc468157537"/>
      <w:bookmarkStart w:id="101" w:name="_Toc454701382"/>
      <w:bookmarkStart w:id="102" w:name="_Toc32304"/>
      <w:bookmarkStart w:id="103" w:name="_Toc468606030"/>
      <w:bookmarkStart w:id="104" w:name="_Toc503758471"/>
      <w:bookmarkStart w:id="105" w:name="_Toc7897877"/>
      <w:bookmarkStart w:id="106" w:name="_Toc480010709"/>
      <w:bookmarkStart w:id="107" w:name="_Toc479991583"/>
      <w:bookmarkStart w:id="108" w:name="_Toc467987824"/>
      <w:bookmarkStart w:id="109" w:name="_Toc2525"/>
      <w:bookmarkStart w:id="110" w:name="_Toc480021054"/>
      <w:bookmarkStart w:id="111" w:name="_Toc458262615"/>
      <w:bookmarkStart w:id="112" w:name="_Toc110953842"/>
      <w:bookmarkStart w:id="113" w:name="_Toc480020258"/>
      <w:bookmarkStart w:id="114" w:name="_Toc480171880"/>
      <w:r>
        <w:rPr>
          <w:rFonts w:hint="eastAsia" w:hAnsi="宋体"/>
          <w:color w:val="auto"/>
          <w:sz w:val="21"/>
          <w:szCs w:val="21"/>
          <w:highlight w:val="none"/>
        </w:rPr>
        <w:t>14.响应有效期</w:t>
      </w:r>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14:paraId="4D578242">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14.1响应文件从开启响应文件之日起，响应有效期为90个工作日。</w:t>
      </w:r>
    </w:p>
    <w:p w14:paraId="1D859FCF">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14.2特殊情况下，采购代理机构可于响应有效期期满之前，要求供应商同意延长响应有效期，要求与答复均应为书面形式。对于同意该要求的供应商，既不要求也不允许其修改响应文件。</w:t>
      </w:r>
    </w:p>
    <w:p w14:paraId="46C282EF">
      <w:pPr>
        <w:pStyle w:val="12"/>
        <w:shd w:val="clear"/>
        <w:ind w:firstLine="400"/>
        <w:rPr>
          <w:color w:val="auto"/>
          <w:highlight w:val="none"/>
        </w:rPr>
      </w:pPr>
    </w:p>
    <w:bookmarkEnd w:id="78"/>
    <w:bookmarkEnd w:id="79"/>
    <w:bookmarkEnd w:id="80"/>
    <w:bookmarkEnd w:id="81"/>
    <w:bookmarkEnd w:id="82"/>
    <w:p w14:paraId="55B38539">
      <w:pPr>
        <w:pStyle w:val="3"/>
        <w:shd w:val="clear"/>
        <w:adjustRightInd/>
        <w:spacing w:line="360" w:lineRule="auto"/>
        <w:ind w:firstLine="0" w:firstLineChars="0"/>
        <w:jc w:val="center"/>
        <w:rPr>
          <w:color w:val="auto"/>
          <w:sz w:val="28"/>
          <w:szCs w:val="28"/>
          <w:highlight w:val="none"/>
        </w:rPr>
      </w:pPr>
      <w:bookmarkStart w:id="115" w:name="_Toc17761"/>
      <w:bookmarkStart w:id="116" w:name="_Toc110953843"/>
      <w:bookmarkStart w:id="117" w:name="_Toc2740"/>
      <w:bookmarkStart w:id="118" w:name="_Toc7897878"/>
      <w:bookmarkStart w:id="119" w:name="_Toc6968691"/>
      <w:bookmarkStart w:id="120" w:name="_Toc466786438"/>
      <w:bookmarkStart w:id="121" w:name="_Toc102277760"/>
      <w:bookmarkStart w:id="122" w:name="_Toc507407363"/>
      <w:bookmarkStart w:id="123" w:name="_Toc6882679"/>
      <w:r>
        <w:rPr>
          <w:rFonts w:hint="eastAsia"/>
          <w:color w:val="auto"/>
          <w:sz w:val="28"/>
          <w:szCs w:val="28"/>
          <w:highlight w:val="none"/>
        </w:rPr>
        <w:t>四、响应文件的递交</w:t>
      </w:r>
      <w:bookmarkEnd w:id="115"/>
      <w:bookmarkEnd w:id="116"/>
      <w:bookmarkEnd w:id="117"/>
      <w:bookmarkEnd w:id="118"/>
    </w:p>
    <w:p w14:paraId="5DE80318">
      <w:pPr>
        <w:pStyle w:val="4"/>
        <w:shd w:val="clear"/>
        <w:adjustRightInd/>
        <w:spacing w:line="360" w:lineRule="auto"/>
        <w:ind w:firstLine="420" w:firstLineChars="200"/>
        <w:rPr>
          <w:rFonts w:hAnsi="宋体"/>
          <w:color w:val="auto"/>
          <w:sz w:val="21"/>
          <w:szCs w:val="21"/>
          <w:highlight w:val="none"/>
        </w:rPr>
      </w:pPr>
      <w:bookmarkStart w:id="124" w:name="_Toc11500"/>
      <w:bookmarkStart w:id="125" w:name="_Toc110953844"/>
      <w:bookmarkStart w:id="126" w:name="_Toc7897879"/>
      <w:bookmarkStart w:id="127" w:name="_Toc2684"/>
      <w:r>
        <w:rPr>
          <w:rFonts w:hint="eastAsia" w:hAnsi="宋体"/>
          <w:color w:val="auto"/>
          <w:sz w:val="21"/>
          <w:szCs w:val="21"/>
          <w:highlight w:val="none"/>
        </w:rPr>
        <w:t>15.响应文件的密封和标记</w:t>
      </w:r>
      <w:bookmarkEnd w:id="124"/>
      <w:bookmarkEnd w:id="125"/>
      <w:bookmarkEnd w:id="126"/>
      <w:bookmarkEnd w:id="127"/>
    </w:p>
    <w:p w14:paraId="43FF13D8">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15.1供应商应将响应文件正本和副本用信封分别密封，并标明供应商的名称、采购编号及“正本”或“副本”字样。</w:t>
      </w:r>
    </w:p>
    <w:p w14:paraId="159F138D">
      <w:pPr>
        <w:shd w:val="clear"/>
        <w:spacing w:line="360" w:lineRule="auto"/>
        <w:ind w:firstLine="422" w:firstLineChars="200"/>
        <w:rPr>
          <w:rFonts w:hAnsi="宋体"/>
          <w:b/>
          <w:color w:val="auto"/>
          <w:sz w:val="21"/>
          <w:szCs w:val="21"/>
          <w:highlight w:val="none"/>
        </w:rPr>
      </w:pPr>
      <w:r>
        <w:rPr>
          <w:rFonts w:hint="eastAsia" w:hAnsi="宋体"/>
          <w:b/>
          <w:color w:val="auto"/>
          <w:sz w:val="21"/>
          <w:szCs w:val="21"/>
          <w:highlight w:val="none"/>
        </w:rPr>
        <w:t>15.2</w:t>
      </w:r>
      <w:r>
        <w:rPr>
          <w:rFonts w:hint="eastAsia" w:hAnsi="宋体"/>
          <w:b/>
          <w:color w:val="auto"/>
          <w:sz w:val="21"/>
          <w:szCs w:val="21"/>
          <w:highlight w:val="none"/>
          <w:lang w:eastAsia="zh-CN"/>
        </w:rPr>
        <w:t>保证金信封</w:t>
      </w:r>
      <w:r>
        <w:rPr>
          <w:rFonts w:hint="eastAsia" w:hAnsi="宋体"/>
          <w:b/>
          <w:color w:val="auto"/>
          <w:sz w:val="21"/>
          <w:szCs w:val="21"/>
          <w:highlight w:val="none"/>
        </w:rPr>
        <w:t>应单独密封，与磋商响应文件一同提交。</w:t>
      </w:r>
    </w:p>
    <w:p w14:paraId="628E0FD3">
      <w:pPr>
        <w:shd w:val="clear"/>
        <w:tabs>
          <w:tab w:val="left" w:pos="567"/>
        </w:tabs>
        <w:spacing w:line="360" w:lineRule="auto"/>
        <w:ind w:firstLine="420" w:firstLineChars="200"/>
        <w:rPr>
          <w:rFonts w:hAnsi="宋体"/>
          <w:color w:val="auto"/>
          <w:sz w:val="21"/>
          <w:szCs w:val="21"/>
          <w:highlight w:val="none"/>
        </w:rPr>
      </w:pPr>
      <w:r>
        <w:rPr>
          <w:rFonts w:hint="eastAsia" w:hAnsi="宋体"/>
          <w:color w:val="auto"/>
          <w:sz w:val="21"/>
          <w:szCs w:val="21"/>
          <w:highlight w:val="none"/>
        </w:rPr>
        <w:t>15.3在磋商响应文件密封袋上均应标明以下内容：</w:t>
      </w:r>
    </w:p>
    <w:p w14:paraId="0F74F4E0">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① 收 件 人：；</w:t>
      </w:r>
    </w:p>
    <w:p w14:paraId="36A8F2BC">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② 项目名称：；</w:t>
      </w:r>
    </w:p>
    <w:p w14:paraId="012C77F3">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 xml:space="preserve">③ </w:t>
      </w:r>
      <w:r>
        <w:rPr>
          <w:rFonts w:hint="eastAsia" w:hAnsi="宋体"/>
          <w:color w:val="auto"/>
          <w:sz w:val="21"/>
          <w:szCs w:val="21"/>
          <w:highlight w:val="none"/>
          <w:lang w:val="en-US" w:eastAsia="zh-CN"/>
        </w:rPr>
        <w:t>项目</w:t>
      </w:r>
      <w:r>
        <w:rPr>
          <w:rFonts w:hint="eastAsia" w:hAnsi="宋体"/>
          <w:color w:val="auto"/>
          <w:sz w:val="21"/>
          <w:szCs w:val="21"/>
          <w:highlight w:val="none"/>
        </w:rPr>
        <w:t>编号：；</w:t>
      </w:r>
    </w:p>
    <w:p w14:paraId="3C209826">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④        年   月   日   时   分开标，此时间以前不得开封；</w:t>
      </w:r>
    </w:p>
    <w:p w14:paraId="35ACE6EA">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⑤ 标明供应商名称、地址、联系人和电话以及文件的种类（如价格文件、商务文件</w:t>
      </w:r>
      <w:r>
        <w:rPr>
          <w:rFonts w:hint="eastAsia" w:hAnsi="宋体"/>
          <w:color w:val="auto"/>
          <w:sz w:val="21"/>
          <w:szCs w:val="21"/>
          <w:highlight w:val="none"/>
          <w:lang w:eastAsia="zh-CN"/>
        </w:rPr>
        <w:t>、</w:t>
      </w:r>
      <w:r>
        <w:rPr>
          <w:rFonts w:hint="eastAsia" w:hAnsi="宋体"/>
          <w:color w:val="auto"/>
          <w:sz w:val="21"/>
          <w:szCs w:val="21"/>
          <w:highlight w:val="none"/>
        </w:rPr>
        <w:t>技术文件、</w:t>
      </w:r>
      <w:r>
        <w:rPr>
          <w:rFonts w:hint="eastAsia" w:hAnsi="宋体"/>
          <w:color w:val="auto"/>
          <w:sz w:val="21"/>
          <w:szCs w:val="21"/>
          <w:highlight w:val="none"/>
          <w:lang w:eastAsia="zh-CN"/>
        </w:rPr>
        <w:t>保证金信封</w:t>
      </w:r>
      <w:r>
        <w:rPr>
          <w:rFonts w:hint="eastAsia" w:hAnsi="宋体"/>
          <w:color w:val="auto"/>
          <w:sz w:val="21"/>
          <w:szCs w:val="21"/>
          <w:highlight w:val="none"/>
        </w:rPr>
        <w:t>等）。</w:t>
      </w:r>
    </w:p>
    <w:p w14:paraId="75CE7E30">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15.4供应商应按上述规定进行密封和标记后，将响应文件按照磋商文件中规定的时间和地址送至采购代理机构。</w:t>
      </w:r>
    </w:p>
    <w:p w14:paraId="2AAADD0E">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15.5未按上述规定进行密封、标记和递交的，采购代理机构对响应文件的不依时间递交、误投、破损、封装不合格或提前拆封不负责。</w:t>
      </w:r>
    </w:p>
    <w:p w14:paraId="11EA9471">
      <w:pPr>
        <w:pStyle w:val="4"/>
        <w:shd w:val="clear"/>
        <w:adjustRightInd/>
        <w:spacing w:line="360" w:lineRule="auto"/>
        <w:ind w:firstLine="420" w:firstLineChars="200"/>
        <w:rPr>
          <w:rFonts w:hAnsi="宋体"/>
          <w:color w:val="auto"/>
          <w:sz w:val="21"/>
          <w:szCs w:val="21"/>
          <w:highlight w:val="none"/>
        </w:rPr>
      </w:pPr>
      <w:bookmarkStart w:id="128" w:name="_Toc110953845"/>
      <w:bookmarkStart w:id="129" w:name="_Toc10017"/>
      <w:bookmarkStart w:id="130" w:name="_Toc12710"/>
      <w:bookmarkStart w:id="131" w:name="_Toc7897880"/>
      <w:r>
        <w:rPr>
          <w:rFonts w:hint="eastAsia" w:hAnsi="宋体"/>
          <w:color w:val="auto"/>
          <w:sz w:val="21"/>
          <w:szCs w:val="21"/>
          <w:highlight w:val="none"/>
        </w:rPr>
        <w:t>16.响应文件的递交</w:t>
      </w:r>
      <w:bookmarkEnd w:id="128"/>
      <w:bookmarkEnd w:id="129"/>
      <w:bookmarkEnd w:id="130"/>
      <w:bookmarkEnd w:id="131"/>
    </w:p>
    <w:p w14:paraId="78C526C3">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16.1所有响应文件都必须在响应截止时间之前送至采购代理机构。</w:t>
      </w:r>
    </w:p>
    <w:p w14:paraId="3DAC1972">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16.2采购代理机构拒绝接受以下文件：</w:t>
      </w:r>
    </w:p>
    <w:p w14:paraId="51A292FA">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（1）提前递交的文件，</w:t>
      </w:r>
    </w:p>
    <w:p w14:paraId="6F208478">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（2）在响应截止时间后递交的响应文件，</w:t>
      </w:r>
    </w:p>
    <w:p w14:paraId="3700E727">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（3）未按规定包装和密封的响应文件。</w:t>
      </w:r>
    </w:p>
    <w:p w14:paraId="4E4476BC">
      <w:pPr>
        <w:shd w:val="clear"/>
        <w:spacing w:line="360" w:lineRule="auto"/>
        <w:ind w:firstLine="420" w:firstLineChars="200"/>
        <w:rPr>
          <w:rFonts w:hAnsi="宋体"/>
          <w:b/>
          <w:bCs/>
          <w:color w:val="auto"/>
          <w:sz w:val="21"/>
          <w:szCs w:val="21"/>
          <w:highlight w:val="none"/>
          <w:lang w:val="zh-CN"/>
        </w:rPr>
      </w:pPr>
      <w:r>
        <w:rPr>
          <w:rFonts w:hint="eastAsia" w:hAnsi="宋体"/>
          <w:color w:val="auto"/>
          <w:sz w:val="21"/>
          <w:szCs w:val="21"/>
          <w:highlight w:val="none"/>
        </w:rPr>
        <w:t>16.3响应文件的修改与撤回</w:t>
      </w:r>
    </w:p>
    <w:p w14:paraId="05C229C9">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（1）供应商在递交响应文件后到响应截止时间之前，可以补充、修改或撤回其响应文件，但供应商必须以书面形式通知采购代理机构。补充、修改的内容与响应文件不一致的，以补偿、修改的内容为准。</w:t>
      </w:r>
    </w:p>
    <w:p w14:paraId="56472D89">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（2）除法律法规允许的情况外，在响应截止时间之后至响应有效期之间的这段时间内，供应商不得对其响应文件做任何修改，亦不得撤回其响应，否则磋商保证金将不予退还。</w:t>
      </w:r>
    </w:p>
    <w:p w14:paraId="113C0266">
      <w:pPr>
        <w:shd w:val="clear"/>
        <w:spacing w:line="360" w:lineRule="auto"/>
        <w:ind w:firstLine="420" w:firstLineChars="200"/>
        <w:rPr>
          <w:rFonts w:hAnsi="宋体"/>
          <w:color w:val="auto"/>
          <w:sz w:val="21"/>
          <w:szCs w:val="21"/>
          <w:highlight w:val="none"/>
        </w:rPr>
      </w:pPr>
    </w:p>
    <w:p w14:paraId="2F2D3DEB">
      <w:pPr>
        <w:pStyle w:val="3"/>
        <w:shd w:val="clear"/>
        <w:adjustRightInd/>
        <w:spacing w:line="360" w:lineRule="auto"/>
        <w:ind w:firstLine="0" w:firstLineChars="0"/>
        <w:jc w:val="center"/>
        <w:rPr>
          <w:color w:val="auto"/>
          <w:sz w:val="28"/>
          <w:szCs w:val="28"/>
          <w:highlight w:val="none"/>
        </w:rPr>
      </w:pPr>
      <w:bookmarkStart w:id="132" w:name="_Toc3138"/>
      <w:bookmarkStart w:id="133" w:name="_Toc22874"/>
      <w:bookmarkStart w:id="134" w:name="_Toc7897881"/>
      <w:r>
        <w:rPr>
          <w:rFonts w:hint="eastAsia"/>
          <w:color w:val="auto"/>
          <w:sz w:val="28"/>
          <w:szCs w:val="28"/>
          <w:highlight w:val="none"/>
        </w:rPr>
        <w:t>五、采购仪式和</w:t>
      </w:r>
      <w:bookmarkEnd w:id="119"/>
      <w:bookmarkEnd w:id="120"/>
      <w:bookmarkEnd w:id="121"/>
      <w:bookmarkEnd w:id="122"/>
      <w:bookmarkEnd w:id="123"/>
      <w:r>
        <w:rPr>
          <w:rFonts w:hint="eastAsia"/>
          <w:color w:val="auto"/>
          <w:sz w:val="28"/>
          <w:szCs w:val="28"/>
          <w:highlight w:val="none"/>
        </w:rPr>
        <w:t>评审会议</w:t>
      </w:r>
      <w:bookmarkEnd w:id="132"/>
      <w:bookmarkEnd w:id="133"/>
      <w:bookmarkEnd w:id="134"/>
    </w:p>
    <w:p w14:paraId="73B5CEE1">
      <w:pPr>
        <w:pStyle w:val="4"/>
        <w:shd w:val="clear"/>
        <w:adjustRightInd/>
        <w:spacing w:line="360" w:lineRule="auto"/>
        <w:ind w:firstLine="422" w:firstLineChars="200"/>
        <w:rPr>
          <w:rFonts w:hAnsi="宋体"/>
          <w:b/>
          <w:color w:val="auto"/>
          <w:sz w:val="21"/>
          <w:szCs w:val="21"/>
          <w:highlight w:val="none"/>
        </w:rPr>
      </w:pPr>
      <w:bookmarkStart w:id="135" w:name="_Toc475249134"/>
      <w:r>
        <w:rPr>
          <w:rFonts w:hint="eastAsia" w:hAnsi="宋体"/>
          <w:b/>
          <w:color w:val="auto"/>
          <w:sz w:val="21"/>
          <w:szCs w:val="21"/>
          <w:highlight w:val="none"/>
        </w:rPr>
        <w:t>17.</w:t>
      </w:r>
      <w:bookmarkEnd w:id="135"/>
      <w:r>
        <w:rPr>
          <w:rFonts w:hint="eastAsia" w:hAnsi="宋体"/>
          <w:b/>
          <w:color w:val="auto"/>
          <w:sz w:val="21"/>
          <w:szCs w:val="21"/>
          <w:highlight w:val="none"/>
        </w:rPr>
        <w:t>开启响应文件</w:t>
      </w:r>
    </w:p>
    <w:p w14:paraId="748D9E72">
      <w:pPr>
        <w:shd w:val="clear"/>
        <w:spacing w:line="360" w:lineRule="auto"/>
        <w:ind w:firstLine="420" w:firstLineChars="200"/>
        <w:rPr>
          <w:rFonts w:hAnsi="宋体"/>
          <w:color w:val="auto"/>
          <w:sz w:val="21"/>
          <w:szCs w:val="21"/>
          <w:highlight w:val="none"/>
        </w:rPr>
      </w:pPr>
      <w:bookmarkStart w:id="136" w:name="_Toc475249135"/>
      <w:bookmarkStart w:id="137" w:name="_Toc475249138"/>
      <w:r>
        <w:rPr>
          <w:rFonts w:hint="eastAsia" w:hAnsi="宋体"/>
          <w:color w:val="auto"/>
          <w:sz w:val="21"/>
          <w:szCs w:val="21"/>
          <w:highlight w:val="none"/>
        </w:rPr>
        <w:t>17.1采购代理机构在《磋商邀请书》规定的日期、时间和地点在有供应商代表在场的场合组织采购仪式，参加采购仪式的代表应签名报到以证明其出席。</w:t>
      </w:r>
    </w:p>
    <w:p w14:paraId="6FCF644A">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17.2开启响应文件前，采购人、采购代理机构和供应商将检查响应文件的密封情况。</w:t>
      </w:r>
    </w:p>
    <w:p w14:paraId="2D8E3019">
      <w:pPr>
        <w:pStyle w:val="4"/>
        <w:shd w:val="clear"/>
        <w:adjustRightInd/>
        <w:spacing w:line="360" w:lineRule="auto"/>
        <w:ind w:firstLine="422" w:firstLineChars="200"/>
        <w:rPr>
          <w:rFonts w:hAnsi="宋体"/>
          <w:b/>
          <w:color w:val="auto"/>
          <w:sz w:val="21"/>
          <w:szCs w:val="21"/>
          <w:highlight w:val="none"/>
        </w:rPr>
      </w:pPr>
      <w:r>
        <w:rPr>
          <w:rFonts w:hint="eastAsia" w:hAnsi="宋体"/>
          <w:b/>
          <w:color w:val="auto"/>
          <w:sz w:val="21"/>
          <w:szCs w:val="21"/>
          <w:highlight w:val="none"/>
        </w:rPr>
        <w:t>18.磋商小组</w:t>
      </w:r>
      <w:bookmarkEnd w:id="136"/>
    </w:p>
    <w:p w14:paraId="04155AAF">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18.1采购代理机构将根据项目特点组建磋商小组，磋商小组由采购人代表和评审专家共3人或以上单数组成，其中评审专家人数不得少于磋商小组成员总数的2/3。</w:t>
      </w:r>
    </w:p>
    <w:p w14:paraId="23B52C68">
      <w:pPr>
        <w:pStyle w:val="4"/>
        <w:shd w:val="clear"/>
        <w:adjustRightInd/>
        <w:spacing w:line="360" w:lineRule="auto"/>
        <w:ind w:firstLine="422" w:firstLineChars="200"/>
        <w:rPr>
          <w:rFonts w:hAnsi="宋体"/>
          <w:b/>
          <w:color w:val="auto"/>
          <w:sz w:val="21"/>
          <w:szCs w:val="21"/>
          <w:highlight w:val="none"/>
        </w:rPr>
      </w:pPr>
      <w:bookmarkStart w:id="138" w:name="_Toc535141844"/>
      <w:bookmarkStart w:id="139" w:name="_Toc37121259"/>
      <w:r>
        <w:rPr>
          <w:rFonts w:hint="eastAsia" w:hAnsi="宋体"/>
          <w:b/>
          <w:color w:val="auto"/>
          <w:sz w:val="21"/>
          <w:szCs w:val="21"/>
          <w:highlight w:val="none"/>
        </w:rPr>
        <w:t>19.对响应文件的初审</w:t>
      </w:r>
      <w:bookmarkEnd w:id="138"/>
      <w:bookmarkEnd w:id="139"/>
    </w:p>
    <w:p w14:paraId="041D40A0">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19.1开启响应文件后，采购代理机构将组织磋商小组对响应文件进行初审，初审包括资格性审查和符合性审查。</w:t>
      </w:r>
    </w:p>
    <w:p w14:paraId="2DAE21F4">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19.2资格性审查是指依据法律规定和磋商文件的规定，对响应文件中的资格证明等进行审查，确定供应商是否具备响应资格。</w:t>
      </w:r>
    </w:p>
    <w:p w14:paraId="5EA37282">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19.3符合性审查是指依据磋商文件的规定，从响应文件的有效性、完整性和对磋商文件的响应程度进行审查，以确定是否对磋商文件的实质性要求作出响应，包括审查响应文件是否完整，有否计算错误，文件签署是否合格，响应书的编排是否有序等。</w:t>
      </w:r>
    </w:p>
    <w:p w14:paraId="6F84DEAF">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19.4在对响应文件进行详细评估之前，磋商小组将审查每份响应文件是否实质上响应了磋商文件的要求。实质性响应的响应应该是与磋商文件要求的全部条款、条件和规格相符，没有重大偏离的响应。对关键条文的偏离、保留或反对，例如关于适用法律、税及关税等的偏离将被认为是实质上的偏离，而纠正这些偏离将影响到其他提交实质性响应响应的供应商的公平竞争地位。</w:t>
      </w:r>
    </w:p>
    <w:p w14:paraId="33AD3FC3">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19.5磋商小组确定响应文件的响应性，只根据响应文件本身的内容，而不寻找外部的证据。</w:t>
      </w:r>
    </w:p>
    <w:p w14:paraId="2EA42EB1">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19.6实质上没有响应磋商文件要求的响应文件将被拒绝。供应商不得通过修正或撤销不合要求的偏离或保留从而使其响应成为实质上的响应。</w:t>
      </w:r>
    </w:p>
    <w:p w14:paraId="634E0043">
      <w:pPr>
        <w:pStyle w:val="4"/>
        <w:shd w:val="clear"/>
        <w:adjustRightInd/>
        <w:spacing w:line="360" w:lineRule="auto"/>
        <w:ind w:firstLine="422" w:firstLineChars="200"/>
        <w:rPr>
          <w:rFonts w:hAnsi="宋体"/>
          <w:b/>
          <w:color w:val="auto"/>
          <w:sz w:val="21"/>
          <w:szCs w:val="21"/>
          <w:highlight w:val="none"/>
        </w:rPr>
      </w:pPr>
      <w:r>
        <w:rPr>
          <w:rFonts w:hint="eastAsia" w:hAnsi="宋体"/>
          <w:b/>
          <w:color w:val="auto"/>
          <w:sz w:val="21"/>
          <w:szCs w:val="21"/>
          <w:highlight w:val="none"/>
        </w:rPr>
        <w:t>20.对响应文件的澄清</w:t>
      </w:r>
    </w:p>
    <w:p w14:paraId="2A4B1D52">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20.1磋商小组在对响应文件的有效性、完整性和响应程度进行审查时，可以要求供应商对响应文件中含义不明确、同类问题表述不一致或者有明显文字和计算错误的内容等作出必要的澄清、说明或者更正。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磋商小组不接受响应人主动提出的澄清、说明或更正。</w:t>
      </w:r>
    </w:p>
    <w:p w14:paraId="29DAF334">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20.2响应文件内容表述不一致按照以下方法处理：响应文件中报价一览表内容与响应文件明细表内容不一致的，以报价一览表为准；响应文件的大写金额和小写金额不一致的，以大写金额为准；总价金额与按单价汇总金额不一致的，以单价金额计算结果为准；单价金额小数点有明显错位的，应以单价为准，并修改总价；对不同文字文本响应文件的解释发生异议的，应以中文文本为准。</w:t>
      </w:r>
    </w:p>
    <w:p w14:paraId="74C0ECC6">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20.3供应商的法定代表人或委托代理人应当按照采购代理机构通知的时间和地点接受询问，对响应文件中含义不明确的内容作必要的澄清、说明或者纠正。</w:t>
      </w:r>
    </w:p>
    <w:p w14:paraId="21CA51FE">
      <w:pPr>
        <w:pStyle w:val="4"/>
        <w:shd w:val="clear"/>
        <w:adjustRightInd/>
        <w:spacing w:line="360" w:lineRule="auto"/>
        <w:ind w:firstLine="422" w:firstLineChars="200"/>
        <w:rPr>
          <w:rFonts w:hAnsi="宋体"/>
          <w:b/>
          <w:color w:val="auto"/>
          <w:sz w:val="21"/>
          <w:szCs w:val="21"/>
          <w:highlight w:val="none"/>
        </w:rPr>
      </w:pPr>
      <w:r>
        <w:rPr>
          <w:rFonts w:hint="eastAsia" w:hAnsi="宋体"/>
          <w:b/>
          <w:color w:val="auto"/>
          <w:sz w:val="21"/>
          <w:szCs w:val="21"/>
          <w:highlight w:val="none"/>
        </w:rPr>
        <w:t>21.开展磋商</w:t>
      </w:r>
    </w:p>
    <w:p w14:paraId="6A1B77F1">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21.1主持人宣布评审纪律，磋商小组所有成员及相关工作人员签名确认。</w:t>
      </w:r>
    </w:p>
    <w:p w14:paraId="70CF37AC">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21.2磋商小组所有成员应当集中与单一供应商分别进行一轮或多轮的磋商（具体磋商轮次由磋商小组视情况决定）在磋商中，磋商小组及有关当事人应当严格遵循保密原则，任何人不得透露与磋商有关的供应商的技术、价格和其他信息。</w:t>
      </w:r>
    </w:p>
    <w:p w14:paraId="0643F69B">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21.3在磋商过程中，磋商小组可以根据磋商文件和磋商情况实质性变动采购需求中的技术、服务要求以及合同草案条款，但不得变动磋商文件中的其他内容，并应当以书面形式通知所有参加磋商的供应商。实质性变动的内容，须经采购人代表确认。对磋商文件作出的实质性变动是磋商文件的有效组成部分。</w:t>
      </w:r>
    </w:p>
    <w:p w14:paraId="2178F7D1">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21.4供应商应当按照磋商文件的变动情况和磋商小组的要求重新提交响应文件（或补充以书面材料），并由其法定代表人或授权代表签字或者加盖公章。由授权代表签字的，应当附法定代表人授权书。供应商为自然人的，应当由本人签字并附身份证明。补充文件是响应文件的组成部分。</w:t>
      </w:r>
    </w:p>
    <w:p w14:paraId="07672383">
      <w:pPr>
        <w:pStyle w:val="4"/>
        <w:shd w:val="clear"/>
        <w:adjustRightInd/>
        <w:spacing w:line="360" w:lineRule="auto"/>
        <w:ind w:firstLine="422" w:firstLineChars="200"/>
        <w:rPr>
          <w:rFonts w:hAnsi="宋体"/>
          <w:b/>
          <w:color w:val="auto"/>
          <w:sz w:val="21"/>
          <w:szCs w:val="21"/>
          <w:highlight w:val="none"/>
        </w:rPr>
      </w:pPr>
      <w:r>
        <w:rPr>
          <w:rFonts w:hint="eastAsia" w:hAnsi="宋体"/>
          <w:b/>
          <w:color w:val="auto"/>
          <w:sz w:val="21"/>
          <w:szCs w:val="21"/>
          <w:highlight w:val="none"/>
        </w:rPr>
        <w:t>22.最后报价</w:t>
      </w:r>
    </w:p>
    <w:p w14:paraId="22F2C66C">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22.1磋商文件能够详细列明采购标的的技术、服务要求的，磋商结束后，磋商小组应当要求所有实质性响应的供应商在规定时间内提交最后报价，除法律法规规定的允许的情况外，提交最后报价的供应商不得少于3家。最后报价是供应商响应文件的有效组成部分。</w:t>
      </w:r>
    </w:p>
    <w:p w14:paraId="09101B97">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22.2已提交响应文件的供应商，在提交最后报价之前，可以根据磋商情况退出磋商。采购人、采购代理机构应当退还退出磋商的供应商的磋商保证金。</w:t>
      </w:r>
    </w:p>
    <w:bookmarkEnd w:id="137"/>
    <w:p w14:paraId="3BEAEBBD">
      <w:pPr>
        <w:pStyle w:val="4"/>
        <w:shd w:val="clear"/>
        <w:adjustRightInd/>
        <w:spacing w:line="360" w:lineRule="auto"/>
        <w:ind w:firstLine="422" w:firstLineChars="200"/>
        <w:rPr>
          <w:rFonts w:hAnsi="宋体"/>
          <w:b/>
          <w:color w:val="auto"/>
          <w:sz w:val="21"/>
          <w:szCs w:val="21"/>
          <w:highlight w:val="none"/>
        </w:rPr>
      </w:pPr>
      <w:r>
        <w:rPr>
          <w:rFonts w:hint="eastAsia" w:hAnsi="宋体"/>
          <w:b/>
          <w:color w:val="auto"/>
          <w:sz w:val="21"/>
          <w:szCs w:val="21"/>
          <w:highlight w:val="none"/>
        </w:rPr>
        <w:t>23.综合评分</w:t>
      </w:r>
    </w:p>
    <w:p w14:paraId="2781A4C6">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经磋商确定最终采购需求和提交最后报价的供应商后，由磋商小组采用综合评分法对提交最后报价的供应商的响应文件和最后报价进行综合评分。详见本文件《第四篇 评标工作大纲》。</w:t>
      </w:r>
    </w:p>
    <w:p w14:paraId="691146D5">
      <w:pPr>
        <w:pStyle w:val="12"/>
        <w:shd w:val="clear"/>
        <w:ind w:firstLine="400"/>
        <w:rPr>
          <w:color w:val="auto"/>
          <w:highlight w:val="none"/>
        </w:rPr>
      </w:pPr>
    </w:p>
    <w:p w14:paraId="608630E2">
      <w:pPr>
        <w:pStyle w:val="3"/>
        <w:shd w:val="clear"/>
        <w:adjustRightInd/>
        <w:spacing w:line="360" w:lineRule="auto"/>
        <w:ind w:firstLine="0" w:firstLineChars="0"/>
        <w:jc w:val="center"/>
        <w:rPr>
          <w:color w:val="auto"/>
          <w:sz w:val="28"/>
          <w:szCs w:val="28"/>
          <w:highlight w:val="none"/>
        </w:rPr>
      </w:pPr>
      <w:bookmarkStart w:id="140" w:name="_Toc7897882"/>
      <w:bookmarkStart w:id="141" w:name="_Toc21174"/>
      <w:bookmarkStart w:id="142" w:name="_Toc18625"/>
      <w:r>
        <w:rPr>
          <w:rFonts w:hint="eastAsia"/>
          <w:color w:val="auto"/>
          <w:sz w:val="28"/>
          <w:szCs w:val="28"/>
          <w:highlight w:val="none"/>
        </w:rPr>
        <w:t>六、确定成交供应商</w:t>
      </w:r>
      <w:bookmarkEnd w:id="140"/>
      <w:bookmarkEnd w:id="141"/>
      <w:bookmarkEnd w:id="142"/>
    </w:p>
    <w:p w14:paraId="7F9D0DED">
      <w:pPr>
        <w:pStyle w:val="4"/>
        <w:shd w:val="clear"/>
        <w:adjustRightInd/>
        <w:spacing w:line="360" w:lineRule="auto"/>
        <w:ind w:firstLine="422" w:firstLineChars="200"/>
        <w:rPr>
          <w:rFonts w:hAnsi="宋体"/>
          <w:b/>
          <w:color w:val="auto"/>
          <w:sz w:val="21"/>
          <w:szCs w:val="21"/>
          <w:highlight w:val="none"/>
        </w:rPr>
      </w:pPr>
      <w:r>
        <w:rPr>
          <w:rFonts w:hint="eastAsia" w:hAnsi="宋体"/>
          <w:b/>
          <w:color w:val="auto"/>
          <w:sz w:val="21"/>
          <w:szCs w:val="21"/>
          <w:highlight w:val="none"/>
        </w:rPr>
        <w:t>24.确定成交</w:t>
      </w:r>
    </w:p>
    <w:p w14:paraId="627CEEFB">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24.1磋商小组完成评审工作后，出具评审报告，推荐3名以上成交候选供应商。符合法律法规允许的情况的，可以推荐2家成交候选供应商。</w:t>
      </w:r>
    </w:p>
    <w:p w14:paraId="04232D95">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24.2采购人从成交候选供应商名单中按照综合得分排序确定1名成交供应商。</w:t>
      </w:r>
    </w:p>
    <w:p w14:paraId="33487AAD">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24.3根据响应或评审情况，采购代理机构保留在确定成交供应商之前任何时候接受或拒绝任何响应，以及宣布评审程序无效或拒绝所有响应的权力，对受影响的供应商不承担任何责任，也无义务向受影响的供应商解释这一行动的理由。</w:t>
      </w:r>
    </w:p>
    <w:p w14:paraId="08C54364">
      <w:pPr>
        <w:pStyle w:val="4"/>
        <w:shd w:val="clear"/>
        <w:adjustRightInd/>
        <w:spacing w:line="360" w:lineRule="auto"/>
        <w:ind w:firstLine="422"/>
        <w:rPr>
          <w:b/>
          <w:color w:val="auto"/>
          <w:sz w:val="21"/>
          <w:szCs w:val="21"/>
          <w:highlight w:val="none"/>
        </w:rPr>
      </w:pPr>
      <w:r>
        <w:rPr>
          <w:rFonts w:hint="eastAsia"/>
          <w:b/>
          <w:color w:val="auto"/>
          <w:sz w:val="21"/>
          <w:szCs w:val="21"/>
          <w:highlight w:val="none"/>
        </w:rPr>
        <w:t>25.资格后审</w:t>
      </w:r>
    </w:p>
    <w:p w14:paraId="37EEA1E0">
      <w:pPr>
        <w:shd w:val="clear"/>
        <w:spacing w:line="360" w:lineRule="auto"/>
        <w:ind w:firstLine="420" w:firstLineChars="200"/>
        <w:rPr>
          <w:color w:val="auto"/>
          <w:sz w:val="21"/>
          <w:szCs w:val="21"/>
          <w:highlight w:val="none"/>
        </w:rPr>
      </w:pPr>
      <w:r>
        <w:rPr>
          <w:color w:val="auto"/>
          <w:sz w:val="21"/>
          <w:szCs w:val="21"/>
          <w:highlight w:val="none"/>
        </w:rPr>
        <w:t>2</w:t>
      </w:r>
      <w:r>
        <w:rPr>
          <w:rFonts w:hint="eastAsia"/>
          <w:color w:val="auto"/>
          <w:sz w:val="21"/>
          <w:szCs w:val="21"/>
          <w:highlight w:val="none"/>
        </w:rPr>
        <w:t>5</w:t>
      </w:r>
      <w:r>
        <w:rPr>
          <w:color w:val="auto"/>
          <w:sz w:val="21"/>
          <w:szCs w:val="21"/>
          <w:highlight w:val="none"/>
        </w:rPr>
        <w:t>.1</w:t>
      </w:r>
      <w:r>
        <w:rPr>
          <w:rFonts w:hint="eastAsia"/>
          <w:color w:val="auto"/>
          <w:sz w:val="21"/>
          <w:szCs w:val="21"/>
          <w:highlight w:val="none"/>
        </w:rPr>
        <w:t>采购人</w:t>
      </w:r>
      <w:r>
        <w:rPr>
          <w:color w:val="auto"/>
          <w:sz w:val="21"/>
          <w:szCs w:val="21"/>
          <w:highlight w:val="none"/>
        </w:rPr>
        <w:t>将</w:t>
      </w:r>
      <w:r>
        <w:rPr>
          <w:rFonts w:hint="eastAsia"/>
          <w:color w:val="auto"/>
          <w:sz w:val="21"/>
          <w:szCs w:val="21"/>
          <w:highlight w:val="none"/>
          <w:lang w:val="en-US" w:eastAsia="zh-CN"/>
        </w:rPr>
        <w:t>有权</w:t>
      </w:r>
      <w:r>
        <w:rPr>
          <w:color w:val="auto"/>
          <w:sz w:val="21"/>
          <w:szCs w:val="21"/>
          <w:highlight w:val="none"/>
        </w:rPr>
        <w:t>根据</w:t>
      </w:r>
      <w:r>
        <w:rPr>
          <w:rFonts w:hint="eastAsia"/>
          <w:color w:val="auto"/>
          <w:sz w:val="21"/>
          <w:szCs w:val="21"/>
          <w:highlight w:val="none"/>
        </w:rPr>
        <w:t>磋商文件</w:t>
      </w:r>
      <w:r>
        <w:rPr>
          <w:color w:val="auto"/>
          <w:sz w:val="21"/>
          <w:szCs w:val="21"/>
          <w:highlight w:val="none"/>
        </w:rPr>
        <w:t>中的要求，对评委会推荐的</w:t>
      </w:r>
      <w:r>
        <w:rPr>
          <w:rFonts w:hint="eastAsia"/>
          <w:color w:val="auto"/>
          <w:sz w:val="21"/>
          <w:szCs w:val="21"/>
          <w:highlight w:val="none"/>
        </w:rPr>
        <w:t>成交候选人</w:t>
      </w:r>
      <w:r>
        <w:rPr>
          <w:color w:val="auto"/>
          <w:sz w:val="21"/>
          <w:szCs w:val="21"/>
          <w:highlight w:val="none"/>
        </w:rPr>
        <w:t>进行资格后审。</w:t>
      </w:r>
    </w:p>
    <w:p w14:paraId="21C5D9C8">
      <w:pPr>
        <w:shd w:val="clear"/>
        <w:spacing w:line="360" w:lineRule="auto"/>
        <w:ind w:firstLine="420" w:firstLineChars="200"/>
        <w:rPr>
          <w:color w:val="auto"/>
          <w:sz w:val="21"/>
          <w:szCs w:val="21"/>
          <w:highlight w:val="none"/>
        </w:rPr>
      </w:pPr>
      <w:r>
        <w:rPr>
          <w:color w:val="auto"/>
          <w:sz w:val="21"/>
          <w:szCs w:val="21"/>
          <w:highlight w:val="none"/>
        </w:rPr>
        <w:t>2</w:t>
      </w:r>
      <w:r>
        <w:rPr>
          <w:rFonts w:hint="eastAsia"/>
          <w:color w:val="auto"/>
          <w:sz w:val="21"/>
          <w:szCs w:val="21"/>
          <w:highlight w:val="none"/>
        </w:rPr>
        <w:t>5</w:t>
      </w:r>
      <w:r>
        <w:rPr>
          <w:color w:val="auto"/>
          <w:sz w:val="21"/>
          <w:szCs w:val="21"/>
          <w:highlight w:val="none"/>
        </w:rPr>
        <w:t>.2</w:t>
      </w:r>
      <w:r>
        <w:rPr>
          <w:rFonts w:hint="eastAsia"/>
          <w:color w:val="auto"/>
          <w:sz w:val="21"/>
          <w:szCs w:val="21"/>
          <w:highlight w:val="none"/>
        </w:rPr>
        <w:t>成交候选人</w:t>
      </w:r>
      <w:r>
        <w:rPr>
          <w:color w:val="auto"/>
          <w:sz w:val="21"/>
          <w:szCs w:val="21"/>
          <w:highlight w:val="none"/>
        </w:rPr>
        <w:t>须无条件配合资格后审，否则</w:t>
      </w:r>
      <w:r>
        <w:rPr>
          <w:rFonts w:hint="eastAsia"/>
          <w:color w:val="auto"/>
          <w:sz w:val="21"/>
          <w:szCs w:val="21"/>
          <w:highlight w:val="none"/>
        </w:rPr>
        <w:t>采购人</w:t>
      </w:r>
      <w:r>
        <w:rPr>
          <w:color w:val="auto"/>
          <w:sz w:val="21"/>
          <w:szCs w:val="21"/>
          <w:highlight w:val="none"/>
        </w:rPr>
        <w:t>有权取消</w:t>
      </w:r>
      <w:r>
        <w:rPr>
          <w:rFonts w:hint="eastAsia"/>
          <w:color w:val="auto"/>
          <w:sz w:val="21"/>
          <w:szCs w:val="21"/>
          <w:highlight w:val="none"/>
        </w:rPr>
        <w:t>成交</w:t>
      </w:r>
      <w:r>
        <w:rPr>
          <w:color w:val="auto"/>
          <w:sz w:val="21"/>
          <w:szCs w:val="21"/>
          <w:highlight w:val="none"/>
        </w:rPr>
        <w:t>资格。</w:t>
      </w:r>
    </w:p>
    <w:p w14:paraId="5308266B">
      <w:pPr>
        <w:shd w:val="clear"/>
        <w:spacing w:line="360" w:lineRule="auto"/>
        <w:ind w:firstLine="420" w:firstLineChars="200"/>
        <w:rPr>
          <w:color w:val="auto"/>
          <w:sz w:val="21"/>
          <w:szCs w:val="21"/>
          <w:highlight w:val="none"/>
        </w:rPr>
      </w:pPr>
      <w:r>
        <w:rPr>
          <w:color w:val="auto"/>
          <w:sz w:val="21"/>
          <w:szCs w:val="21"/>
          <w:highlight w:val="none"/>
        </w:rPr>
        <w:t>2</w:t>
      </w:r>
      <w:r>
        <w:rPr>
          <w:rFonts w:hint="eastAsia"/>
          <w:color w:val="auto"/>
          <w:sz w:val="21"/>
          <w:szCs w:val="21"/>
          <w:highlight w:val="none"/>
        </w:rPr>
        <w:t>5</w:t>
      </w:r>
      <w:r>
        <w:rPr>
          <w:color w:val="auto"/>
          <w:sz w:val="21"/>
          <w:szCs w:val="21"/>
          <w:highlight w:val="none"/>
        </w:rPr>
        <w:t>.3资格</w:t>
      </w:r>
      <w:r>
        <w:rPr>
          <w:rFonts w:hint="eastAsia"/>
          <w:color w:val="auto"/>
          <w:sz w:val="21"/>
          <w:szCs w:val="21"/>
          <w:highlight w:val="none"/>
        </w:rPr>
        <w:t>后审</w:t>
      </w:r>
      <w:r>
        <w:rPr>
          <w:color w:val="auto"/>
          <w:sz w:val="21"/>
          <w:szCs w:val="21"/>
          <w:highlight w:val="none"/>
        </w:rPr>
        <w:t>须提供包括但不限于营业执照、税务登记证和在</w:t>
      </w:r>
      <w:r>
        <w:rPr>
          <w:rFonts w:hint="eastAsia"/>
          <w:color w:val="auto"/>
          <w:sz w:val="21"/>
          <w:szCs w:val="21"/>
          <w:highlight w:val="none"/>
        </w:rPr>
        <w:t>磋商响应文件</w:t>
      </w:r>
      <w:r>
        <w:rPr>
          <w:color w:val="auto"/>
          <w:sz w:val="21"/>
          <w:szCs w:val="21"/>
          <w:highlight w:val="none"/>
        </w:rPr>
        <w:t>中提供的资质证明文件、合同等重要证明文件的原件进行核对，综合考察</w:t>
      </w:r>
      <w:r>
        <w:rPr>
          <w:rFonts w:hint="eastAsia"/>
          <w:color w:val="auto"/>
          <w:sz w:val="21"/>
          <w:szCs w:val="21"/>
          <w:highlight w:val="none"/>
        </w:rPr>
        <w:t>成交供应商</w:t>
      </w:r>
      <w:r>
        <w:rPr>
          <w:color w:val="auto"/>
          <w:sz w:val="21"/>
          <w:szCs w:val="21"/>
          <w:highlight w:val="none"/>
        </w:rPr>
        <w:t>的履约能力。如</w:t>
      </w:r>
      <w:r>
        <w:rPr>
          <w:rFonts w:hint="eastAsia"/>
          <w:color w:val="auto"/>
          <w:sz w:val="21"/>
          <w:szCs w:val="21"/>
          <w:highlight w:val="none"/>
        </w:rPr>
        <w:t>采购人</w:t>
      </w:r>
      <w:r>
        <w:rPr>
          <w:color w:val="auto"/>
          <w:sz w:val="21"/>
          <w:szCs w:val="21"/>
          <w:highlight w:val="none"/>
        </w:rPr>
        <w:t>要求还须提供业绩证明的其他材料,</w:t>
      </w:r>
      <w:r>
        <w:rPr>
          <w:rFonts w:hint="eastAsia"/>
          <w:color w:val="auto"/>
          <w:sz w:val="21"/>
          <w:szCs w:val="21"/>
          <w:highlight w:val="none"/>
        </w:rPr>
        <w:t>成交候选人</w:t>
      </w:r>
      <w:r>
        <w:rPr>
          <w:color w:val="auto"/>
          <w:sz w:val="21"/>
          <w:szCs w:val="21"/>
          <w:highlight w:val="none"/>
        </w:rPr>
        <w:t>须配合提供。如授权其分支机构进行项目实施或提供售后服务的，亦应提供其与分支机构关系的法律证明材料。</w:t>
      </w:r>
    </w:p>
    <w:p w14:paraId="5B692696">
      <w:pPr>
        <w:shd w:val="clear"/>
        <w:spacing w:line="360" w:lineRule="auto"/>
        <w:ind w:firstLine="420" w:firstLineChars="200"/>
        <w:rPr>
          <w:color w:val="auto"/>
          <w:sz w:val="21"/>
          <w:szCs w:val="21"/>
          <w:highlight w:val="none"/>
        </w:rPr>
      </w:pPr>
      <w:r>
        <w:rPr>
          <w:color w:val="auto"/>
          <w:sz w:val="21"/>
          <w:szCs w:val="21"/>
          <w:highlight w:val="none"/>
        </w:rPr>
        <w:t>2</w:t>
      </w:r>
      <w:r>
        <w:rPr>
          <w:rFonts w:hint="eastAsia"/>
          <w:color w:val="auto"/>
          <w:sz w:val="21"/>
          <w:szCs w:val="21"/>
          <w:highlight w:val="none"/>
        </w:rPr>
        <w:t>5</w:t>
      </w:r>
      <w:r>
        <w:rPr>
          <w:color w:val="auto"/>
          <w:sz w:val="21"/>
          <w:szCs w:val="21"/>
          <w:highlight w:val="none"/>
        </w:rPr>
        <w:t>.4如发现</w:t>
      </w:r>
      <w:r>
        <w:rPr>
          <w:rFonts w:hint="eastAsia"/>
          <w:color w:val="auto"/>
          <w:sz w:val="21"/>
          <w:szCs w:val="21"/>
          <w:highlight w:val="none"/>
        </w:rPr>
        <w:t>供应商</w:t>
      </w:r>
      <w:r>
        <w:rPr>
          <w:color w:val="auto"/>
          <w:sz w:val="21"/>
          <w:szCs w:val="21"/>
          <w:highlight w:val="none"/>
        </w:rPr>
        <w:t>提交虚假资料谋取</w:t>
      </w:r>
      <w:r>
        <w:rPr>
          <w:rFonts w:hint="eastAsia"/>
          <w:color w:val="auto"/>
          <w:sz w:val="21"/>
          <w:szCs w:val="21"/>
          <w:highlight w:val="none"/>
        </w:rPr>
        <w:t>成交</w:t>
      </w:r>
      <w:r>
        <w:rPr>
          <w:color w:val="auto"/>
          <w:sz w:val="21"/>
          <w:szCs w:val="21"/>
          <w:highlight w:val="none"/>
        </w:rPr>
        <w:t>的，</w:t>
      </w:r>
      <w:r>
        <w:rPr>
          <w:rFonts w:hint="eastAsia"/>
          <w:color w:val="auto"/>
          <w:sz w:val="21"/>
          <w:szCs w:val="21"/>
          <w:highlight w:val="none"/>
        </w:rPr>
        <w:t>采购人</w:t>
      </w:r>
      <w:r>
        <w:rPr>
          <w:color w:val="auto"/>
          <w:sz w:val="21"/>
          <w:szCs w:val="21"/>
          <w:highlight w:val="none"/>
        </w:rPr>
        <w:t>有权没收其</w:t>
      </w:r>
      <w:r>
        <w:rPr>
          <w:rFonts w:hint="eastAsia"/>
          <w:color w:val="auto"/>
          <w:sz w:val="21"/>
          <w:szCs w:val="21"/>
          <w:highlight w:val="none"/>
        </w:rPr>
        <w:t>磋商</w:t>
      </w:r>
      <w:r>
        <w:rPr>
          <w:color w:val="auto"/>
          <w:sz w:val="21"/>
          <w:szCs w:val="21"/>
          <w:highlight w:val="none"/>
        </w:rPr>
        <w:t>保证金，并保留追究其赔偿</w:t>
      </w:r>
      <w:r>
        <w:rPr>
          <w:rFonts w:hint="eastAsia"/>
          <w:color w:val="auto"/>
          <w:sz w:val="21"/>
          <w:szCs w:val="21"/>
          <w:highlight w:val="none"/>
        </w:rPr>
        <w:t>采购人</w:t>
      </w:r>
      <w:r>
        <w:rPr>
          <w:color w:val="auto"/>
          <w:sz w:val="21"/>
          <w:szCs w:val="21"/>
          <w:highlight w:val="none"/>
        </w:rPr>
        <w:t>由此而造成一切损失的责任。</w:t>
      </w:r>
    </w:p>
    <w:p w14:paraId="08F2643C">
      <w:pPr>
        <w:shd w:val="clear"/>
        <w:spacing w:line="360" w:lineRule="auto"/>
        <w:ind w:firstLine="420" w:firstLineChars="200"/>
        <w:rPr>
          <w:color w:val="auto"/>
          <w:sz w:val="21"/>
          <w:szCs w:val="21"/>
          <w:highlight w:val="none"/>
        </w:rPr>
      </w:pPr>
      <w:r>
        <w:rPr>
          <w:color w:val="auto"/>
          <w:sz w:val="21"/>
          <w:szCs w:val="21"/>
          <w:highlight w:val="none"/>
        </w:rPr>
        <w:t>2</w:t>
      </w:r>
      <w:r>
        <w:rPr>
          <w:rFonts w:hint="eastAsia"/>
          <w:color w:val="auto"/>
          <w:sz w:val="21"/>
          <w:szCs w:val="21"/>
          <w:highlight w:val="none"/>
        </w:rPr>
        <w:t>5</w:t>
      </w:r>
      <w:r>
        <w:rPr>
          <w:color w:val="auto"/>
          <w:sz w:val="21"/>
          <w:szCs w:val="21"/>
          <w:highlight w:val="none"/>
        </w:rPr>
        <w:t>.5</w:t>
      </w:r>
      <w:r>
        <w:rPr>
          <w:rFonts w:hint="eastAsia"/>
          <w:color w:val="auto"/>
          <w:sz w:val="21"/>
          <w:szCs w:val="21"/>
          <w:highlight w:val="none"/>
        </w:rPr>
        <w:t>采购人</w:t>
      </w:r>
      <w:r>
        <w:rPr>
          <w:color w:val="auto"/>
          <w:sz w:val="21"/>
          <w:szCs w:val="21"/>
          <w:highlight w:val="none"/>
        </w:rPr>
        <w:t>保留审查</w:t>
      </w:r>
      <w:r>
        <w:rPr>
          <w:rFonts w:hint="eastAsia"/>
          <w:color w:val="auto"/>
          <w:sz w:val="21"/>
          <w:szCs w:val="21"/>
          <w:highlight w:val="none"/>
        </w:rPr>
        <w:t>成交供应商</w:t>
      </w:r>
      <w:r>
        <w:rPr>
          <w:color w:val="auto"/>
          <w:sz w:val="21"/>
          <w:szCs w:val="21"/>
          <w:highlight w:val="none"/>
        </w:rPr>
        <w:t>是否有能力令</w:t>
      </w:r>
      <w:r>
        <w:rPr>
          <w:rFonts w:hint="eastAsia"/>
          <w:color w:val="auto"/>
          <w:sz w:val="21"/>
          <w:szCs w:val="21"/>
          <w:highlight w:val="none"/>
        </w:rPr>
        <w:t>采购人</w:t>
      </w:r>
      <w:r>
        <w:rPr>
          <w:color w:val="auto"/>
          <w:sz w:val="21"/>
          <w:szCs w:val="21"/>
          <w:highlight w:val="none"/>
        </w:rPr>
        <w:t>满意的履行合同的权利，包括但不限于对</w:t>
      </w:r>
      <w:r>
        <w:rPr>
          <w:rFonts w:hint="eastAsia"/>
          <w:color w:val="auto"/>
          <w:sz w:val="21"/>
          <w:szCs w:val="21"/>
          <w:highlight w:val="none"/>
        </w:rPr>
        <w:t>成交供应商</w:t>
      </w:r>
      <w:r>
        <w:rPr>
          <w:color w:val="auto"/>
          <w:sz w:val="21"/>
          <w:szCs w:val="21"/>
          <w:highlight w:val="none"/>
        </w:rPr>
        <w:t>的规模、人员、场地、生产能力、供货能力等方面的核实或现场考察。如果审查通过，</w:t>
      </w:r>
      <w:r>
        <w:rPr>
          <w:rFonts w:hint="eastAsia"/>
          <w:color w:val="auto"/>
          <w:sz w:val="21"/>
          <w:szCs w:val="21"/>
          <w:highlight w:val="none"/>
        </w:rPr>
        <w:t>采购人</w:t>
      </w:r>
      <w:r>
        <w:rPr>
          <w:color w:val="auto"/>
          <w:sz w:val="21"/>
          <w:szCs w:val="21"/>
          <w:highlight w:val="none"/>
        </w:rPr>
        <w:t>将把合同授予该</w:t>
      </w:r>
      <w:r>
        <w:rPr>
          <w:rFonts w:hint="eastAsia"/>
          <w:color w:val="auto"/>
          <w:sz w:val="21"/>
          <w:szCs w:val="21"/>
          <w:highlight w:val="none"/>
        </w:rPr>
        <w:t>供应商；</w:t>
      </w:r>
      <w:r>
        <w:rPr>
          <w:color w:val="auto"/>
          <w:sz w:val="21"/>
          <w:szCs w:val="21"/>
          <w:highlight w:val="none"/>
        </w:rPr>
        <w:t>如果审查没有通过，</w:t>
      </w:r>
      <w:r>
        <w:rPr>
          <w:rFonts w:hint="eastAsia"/>
          <w:color w:val="auto"/>
          <w:sz w:val="21"/>
          <w:szCs w:val="21"/>
          <w:highlight w:val="none"/>
        </w:rPr>
        <w:t>采购人</w:t>
      </w:r>
      <w:r>
        <w:rPr>
          <w:color w:val="auto"/>
          <w:sz w:val="21"/>
          <w:szCs w:val="21"/>
          <w:highlight w:val="none"/>
        </w:rPr>
        <w:t>将拒绝其</w:t>
      </w:r>
      <w:r>
        <w:rPr>
          <w:rFonts w:hint="eastAsia"/>
          <w:color w:val="auto"/>
          <w:sz w:val="21"/>
          <w:szCs w:val="21"/>
          <w:highlight w:val="none"/>
        </w:rPr>
        <w:t>磋商</w:t>
      </w:r>
      <w:r>
        <w:rPr>
          <w:color w:val="auto"/>
          <w:sz w:val="21"/>
          <w:szCs w:val="21"/>
          <w:highlight w:val="none"/>
        </w:rPr>
        <w:t>，并对下一个候选的</w:t>
      </w:r>
      <w:r>
        <w:rPr>
          <w:rFonts w:hint="eastAsia"/>
          <w:color w:val="auto"/>
          <w:sz w:val="21"/>
          <w:szCs w:val="21"/>
          <w:highlight w:val="none"/>
        </w:rPr>
        <w:t>供应商</w:t>
      </w:r>
      <w:r>
        <w:rPr>
          <w:color w:val="auto"/>
          <w:sz w:val="21"/>
          <w:szCs w:val="21"/>
          <w:highlight w:val="none"/>
        </w:rPr>
        <w:t>能否令人满意地履行合同作类似的审查或重新采购。</w:t>
      </w:r>
    </w:p>
    <w:p w14:paraId="7F56C0D7">
      <w:pPr>
        <w:pStyle w:val="12"/>
        <w:shd w:val="clear"/>
        <w:ind w:firstLine="400"/>
        <w:rPr>
          <w:color w:val="auto"/>
          <w:highlight w:val="none"/>
        </w:rPr>
      </w:pPr>
      <w:bookmarkStart w:id="143" w:name="_Toc475249142"/>
    </w:p>
    <w:p w14:paraId="7FE33A3E">
      <w:pPr>
        <w:pStyle w:val="4"/>
        <w:shd w:val="clear"/>
        <w:adjustRightInd/>
        <w:spacing w:line="360" w:lineRule="auto"/>
        <w:ind w:firstLine="422" w:firstLineChars="200"/>
        <w:rPr>
          <w:rFonts w:hAnsi="宋体"/>
          <w:b/>
          <w:color w:val="auto"/>
          <w:sz w:val="21"/>
          <w:szCs w:val="21"/>
          <w:highlight w:val="none"/>
        </w:rPr>
      </w:pPr>
      <w:r>
        <w:rPr>
          <w:rFonts w:hint="eastAsia" w:hAnsi="宋体"/>
          <w:b/>
          <w:color w:val="auto"/>
          <w:sz w:val="21"/>
          <w:szCs w:val="21"/>
          <w:highlight w:val="none"/>
        </w:rPr>
        <w:t>26.成交通知</w:t>
      </w:r>
      <w:bookmarkEnd w:id="143"/>
    </w:p>
    <w:p w14:paraId="4E4A1FD7">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26.1成交结果将在</w:t>
      </w:r>
      <w:r>
        <w:rPr>
          <w:rFonts w:hint="eastAsia" w:hAnsi="宋体"/>
          <w:color w:val="auto"/>
          <w:kern w:val="28"/>
          <w:sz w:val="21"/>
          <w:szCs w:val="21"/>
          <w:highlight w:val="none"/>
        </w:rPr>
        <w:t>东莞实业投资控股集团有限公司-招标采购栏目（http://www.dgsy.com.cn/）</w:t>
      </w:r>
      <w:r>
        <w:rPr>
          <w:rFonts w:hint="eastAsia" w:hAnsi="宋体"/>
          <w:color w:val="auto"/>
          <w:sz w:val="21"/>
          <w:szCs w:val="21"/>
          <w:highlight w:val="none"/>
        </w:rPr>
        <w:t>上公告。</w:t>
      </w:r>
    </w:p>
    <w:p w14:paraId="55864395">
      <w:pPr>
        <w:shd w:val="clear"/>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26.</w:t>
      </w:r>
      <w:r>
        <w:rPr>
          <w:rFonts w:hint="eastAsia" w:hAnsi="宋体"/>
          <w:color w:val="auto"/>
          <w:sz w:val="21"/>
          <w:szCs w:val="21"/>
          <w:highlight w:val="none"/>
          <w:lang w:val="en-US" w:eastAsia="zh-CN"/>
        </w:rPr>
        <w:t>2</w:t>
      </w:r>
      <w:r>
        <w:rPr>
          <w:rFonts w:hint="eastAsia" w:hAnsi="宋体"/>
          <w:color w:val="auto"/>
          <w:sz w:val="21"/>
          <w:szCs w:val="21"/>
          <w:highlight w:val="none"/>
        </w:rPr>
        <w:t>采购代理机构将在采购人确定成交供应商后之日起的2个工作日内发出《成交通知书》。</w:t>
      </w:r>
    </w:p>
    <w:p w14:paraId="42DD4B40">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26.</w:t>
      </w:r>
      <w:r>
        <w:rPr>
          <w:rFonts w:hint="eastAsia" w:hAnsi="宋体"/>
          <w:color w:val="auto"/>
          <w:sz w:val="21"/>
          <w:szCs w:val="21"/>
          <w:highlight w:val="none"/>
          <w:lang w:val="en-US" w:eastAsia="zh-CN"/>
        </w:rPr>
        <w:t>3</w:t>
      </w:r>
      <w:r>
        <w:rPr>
          <w:rFonts w:hint="eastAsia" w:hAnsi="宋体"/>
          <w:color w:val="auto"/>
          <w:sz w:val="21"/>
          <w:szCs w:val="21"/>
          <w:highlight w:val="none"/>
        </w:rPr>
        <w:t>《成交通知书》是签订采购合同的依据和组成部分。</w:t>
      </w:r>
    </w:p>
    <w:p w14:paraId="746D7374">
      <w:pPr>
        <w:pStyle w:val="12"/>
        <w:shd w:val="clear"/>
        <w:ind w:firstLine="400"/>
        <w:rPr>
          <w:color w:val="auto"/>
          <w:highlight w:val="none"/>
        </w:rPr>
      </w:pPr>
    </w:p>
    <w:p w14:paraId="1C7F75FC">
      <w:pPr>
        <w:pStyle w:val="3"/>
        <w:shd w:val="clear"/>
        <w:adjustRightInd/>
        <w:spacing w:line="360" w:lineRule="auto"/>
        <w:ind w:firstLine="0" w:firstLineChars="0"/>
        <w:jc w:val="center"/>
        <w:rPr>
          <w:color w:val="auto"/>
          <w:sz w:val="28"/>
          <w:szCs w:val="28"/>
          <w:highlight w:val="none"/>
        </w:rPr>
      </w:pPr>
      <w:bookmarkStart w:id="144" w:name="_Toc20980"/>
      <w:bookmarkStart w:id="145" w:name="_Toc37756778"/>
      <w:bookmarkStart w:id="146" w:name="_Toc7897883"/>
      <w:bookmarkStart w:id="147" w:name="_Toc110953852"/>
      <w:bookmarkStart w:id="148" w:name="_Toc28276"/>
      <w:bookmarkStart w:id="149" w:name="_Toc475249143"/>
      <w:r>
        <w:rPr>
          <w:rFonts w:hint="eastAsia"/>
          <w:color w:val="auto"/>
          <w:sz w:val="28"/>
          <w:szCs w:val="28"/>
          <w:highlight w:val="none"/>
        </w:rPr>
        <w:t>七、签订采购合同</w:t>
      </w:r>
      <w:bookmarkEnd w:id="144"/>
      <w:bookmarkEnd w:id="145"/>
      <w:bookmarkEnd w:id="146"/>
      <w:bookmarkEnd w:id="147"/>
      <w:bookmarkEnd w:id="148"/>
    </w:p>
    <w:p w14:paraId="498DFBD9">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27.采购人与成交供应商应当在成交通知书发出之日起30日内，按照磋商文件确定的事项签订采购合同。</w:t>
      </w:r>
    </w:p>
    <w:p w14:paraId="789C93BE">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28.合同内容不得与磋商文件和响应文件内容有实质性偏离。</w:t>
      </w:r>
    </w:p>
    <w:p w14:paraId="2863591F">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29.采购合同自签订之日起7个工作日内，</w:t>
      </w:r>
      <w:r>
        <w:rPr>
          <w:rFonts w:hint="eastAsia" w:hAnsi="宋体"/>
          <w:color w:val="auto"/>
          <w:sz w:val="21"/>
          <w:szCs w:val="21"/>
          <w:highlight w:val="none"/>
          <w:lang w:val="en-US" w:eastAsia="zh-CN"/>
        </w:rPr>
        <w:t>成交供应商</w:t>
      </w:r>
      <w:r>
        <w:rPr>
          <w:rFonts w:hint="eastAsia" w:hAnsi="宋体"/>
          <w:color w:val="auto"/>
          <w:sz w:val="21"/>
          <w:szCs w:val="21"/>
          <w:highlight w:val="none"/>
        </w:rPr>
        <w:t>应将合同副本报采购代理机构归档。</w:t>
      </w:r>
    </w:p>
    <w:p w14:paraId="08AFF61E">
      <w:pPr>
        <w:shd w:val="clear"/>
        <w:spacing w:line="360" w:lineRule="auto"/>
        <w:ind w:firstLine="420" w:firstLineChars="200"/>
        <w:rPr>
          <w:rFonts w:hAnsi="宋体"/>
          <w:color w:val="auto"/>
          <w:sz w:val="21"/>
          <w:szCs w:val="21"/>
          <w:highlight w:val="none"/>
          <w:lang w:val="zh-CN"/>
        </w:rPr>
      </w:pPr>
      <w:r>
        <w:rPr>
          <w:rFonts w:hint="eastAsia" w:hAnsi="宋体"/>
          <w:color w:val="auto"/>
          <w:sz w:val="21"/>
          <w:szCs w:val="21"/>
          <w:highlight w:val="none"/>
        </w:rPr>
        <w:t>30</w:t>
      </w:r>
      <w:r>
        <w:rPr>
          <w:rFonts w:hint="eastAsia" w:hAnsi="宋体"/>
          <w:color w:val="auto"/>
          <w:sz w:val="21"/>
          <w:szCs w:val="21"/>
          <w:highlight w:val="none"/>
          <w:lang w:val="zh-CN"/>
        </w:rPr>
        <w:tab/>
      </w:r>
      <w:r>
        <w:rPr>
          <w:rFonts w:hint="eastAsia" w:hAnsi="宋体"/>
          <w:color w:val="auto"/>
          <w:sz w:val="21"/>
          <w:szCs w:val="21"/>
          <w:highlight w:val="none"/>
          <w:lang w:val="zh-CN"/>
        </w:rPr>
        <w:t>履约</w:t>
      </w:r>
      <w:r>
        <w:rPr>
          <w:rFonts w:hint="eastAsia" w:hAnsi="宋体"/>
          <w:color w:val="auto"/>
          <w:sz w:val="21"/>
          <w:szCs w:val="21"/>
          <w:highlight w:val="none"/>
        </w:rPr>
        <w:t>担保</w:t>
      </w:r>
    </w:p>
    <w:p w14:paraId="6CC6CEAE">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30</w:t>
      </w:r>
      <w:r>
        <w:rPr>
          <w:rFonts w:hint="eastAsia" w:hAnsi="宋体"/>
          <w:color w:val="auto"/>
          <w:sz w:val="21"/>
          <w:szCs w:val="21"/>
          <w:highlight w:val="none"/>
          <w:lang w:val="zh-CN"/>
        </w:rPr>
        <w:t>.1</w:t>
      </w:r>
      <w:r>
        <w:rPr>
          <w:rFonts w:hint="eastAsia" w:hAnsi="宋体"/>
          <w:color w:val="auto"/>
          <w:sz w:val="21"/>
          <w:szCs w:val="21"/>
          <w:highlight w:val="none"/>
        </w:rPr>
        <w:t>签订合同前，成交供应商应提交履约担保。</w:t>
      </w:r>
    </w:p>
    <w:p w14:paraId="63AFDA51">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30.2成交供应商向采购人提交履约担保，履约担保形式：☑履约保证金；☑ 银行履约保函；□担保公司履约担保书。履约担保金额：人民币</w:t>
      </w:r>
      <w:r>
        <w:rPr>
          <w:rFonts w:hint="eastAsia" w:hAnsi="宋体"/>
          <w:color w:val="auto"/>
          <w:sz w:val="21"/>
          <w:szCs w:val="21"/>
          <w:highlight w:val="none"/>
          <w:lang w:eastAsia="zh-CN"/>
        </w:rPr>
        <w:t>（</w:t>
      </w:r>
      <w:r>
        <w:rPr>
          <w:rFonts w:hint="eastAsia" w:hAnsi="宋体"/>
          <w:color w:val="auto"/>
          <w:sz w:val="21"/>
          <w:szCs w:val="21"/>
          <w:highlight w:val="none"/>
          <w:lang w:val="en-US" w:eastAsia="zh-CN"/>
        </w:rPr>
        <w:t>合同价的10%</w:t>
      </w:r>
      <w:r>
        <w:rPr>
          <w:rFonts w:hint="eastAsia" w:hAnsi="宋体"/>
          <w:color w:val="auto"/>
          <w:sz w:val="21"/>
          <w:szCs w:val="21"/>
          <w:highlight w:val="none"/>
          <w:lang w:eastAsia="zh-CN"/>
        </w:rPr>
        <w:t>）</w:t>
      </w:r>
      <w:r>
        <w:rPr>
          <w:rFonts w:hint="eastAsia" w:hAnsi="宋体"/>
          <w:color w:val="auto"/>
          <w:sz w:val="21"/>
          <w:szCs w:val="21"/>
          <w:highlight w:val="none"/>
        </w:rPr>
        <w:t>元整。履约担保账户：采购人指定账户。</w:t>
      </w:r>
    </w:p>
    <w:p w14:paraId="5AC28A2E">
      <w:pPr>
        <w:shd w:val="clear"/>
        <w:spacing w:line="360" w:lineRule="auto"/>
        <w:ind w:firstLine="420" w:firstLineChars="200"/>
        <w:rPr>
          <w:rFonts w:hAnsi="宋体"/>
          <w:color w:val="auto"/>
          <w:sz w:val="21"/>
          <w:szCs w:val="21"/>
          <w:highlight w:val="none"/>
          <w:lang w:val="zh-CN"/>
        </w:rPr>
      </w:pPr>
      <w:r>
        <w:rPr>
          <w:rFonts w:hint="eastAsia" w:hAnsi="宋体"/>
          <w:color w:val="auto"/>
          <w:sz w:val="21"/>
          <w:szCs w:val="21"/>
          <w:highlight w:val="none"/>
        </w:rPr>
        <w:t>30.3</w:t>
      </w:r>
      <w:r>
        <w:rPr>
          <w:rFonts w:hint="eastAsia" w:hAnsi="宋体"/>
          <w:color w:val="auto"/>
          <w:sz w:val="21"/>
          <w:szCs w:val="21"/>
          <w:highlight w:val="none"/>
          <w:lang w:val="zh-CN"/>
        </w:rPr>
        <w:t>履约保函应是由银行支行一级或以上银行机构出具，并经甲方同意。履约保函的内容，应符合磋商文件、磋商响应文件和采购合同的要求。履约保函应在采购合同有效期满后</w:t>
      </w:r>
      <w:r>
        <w:rPr>
          <w:rFonts w:hint="eastAsia" w:hAnsi="宋体"/>
          <w:color w:val="auto"/>
          <w:sz w:val="21"/>
          <w:szCs w:val="21"/>
          <w:highlight w:val="none"/>
          <w:lang w:val="en-US" w:eastAsia="zh-CN"/>
        </w:rPr>
        <w:t>30</w:t>
      </w:r>
      <w:r>
        <w:rPr>
          <w:rFonts w:hint="eastAsia" w:hAnsi="宋体"/>
          <w:color w:val="auto"/>
          <w:sz w:val="21"/>
          <w:szCs w:val="21"/>
          <w:highlight w:val="none"/>
          <w:lang w:val="zh-CN"/>
        </w:rPr>
        <w:t>天内继续有效。</w:t>
      </w:r>
    </w:p>
    <w:p w14:paraId="7CFA3D28">
      <w:pPr>
        <w:shd w:val="clear"/>
        <w:spacing w:line="360" w:lineRule="auto"/>
        <w:ind w:firstLine="420" w:firstLineChars="200"/>
        <w:rPr>
          <w:rFonts w:hAnsi="宋体"/>
          <w:color w:val="auto"/>
          <w:sz w:val="21"/>
          <w:szCs w:val="21"/>
          <w:highlight w:val="none"/>
          <w:lang w:val="zh-CN"/>
        </w:rPr>
      </w:pPr>
      <w:r>
        <w:rPr>
          <w:rFonts w:hint="eastAsia" w:hAnsi="宋体"/>
          <w:color w:val="auto"/>
          <w:sz w:val="21"/>
          <w:szCs w:val="21"/>
          <w:highlight w:val="none"/>
        </w:rPr>
        <w:t>30.4</w:t>
      </w:r>
      <w:r>
        <w:rPr>
          <w:rFonts w:hint="eastAsia" w:hAnsi="宋体"/>
          <w:color w:val="auto"/>
          <w:sz w:val="21"/>
          <w:szCs w:val="21"/>
          <w:highlight w:val="none"/>
          <w:lang w:val="zh-CN"/>
        </w:rPr>
        <w:t>若成交供应商不按规定提交履约担保，采购人</w:t>
      </w:r>
      <w:r>
        <w:rPr>
          <w:rFonts w:hint="eastAsia" w:hAnsi="宋体"/>
          <w:color w:val="auto"/>
          <w:sz w:val="21"/>
          <w:szCs w:val="21"/>
          <w:highlight w:val="none"/>
          <w:lang w:val="en-US" w:eastAsia="zh-CN"/>
        </w:rPr>
        <w:t>或建设单位</w:t>
      </w:r>
      <w:r>
        <w:rPr>
          <w:rFonts w:hint="eastAsia" w:hAnsi="宋体"/>
          <w:color w:val="auto"/>
          <w:sz w:val="21"/>
          <w:szCs w:val="21"/>
          <w:highlight w:val="none"/>
          <w:lang w:val="zh-CN"/>
        </w:rPr>
        <w:t>将有充分的理由解除合同，给采购人造成的损失超过履约保证金数额的，还应当对超过部分予以赔偿。</w:t>
      </w:r>
    </w:p>
    <w:p w14:paraId="68854F08">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30.5在整个项目验收合格后，成交供应商向采购人提交退回履约担保的申请，采购人办理履约担保退还手续，将履约担保退回原成交供应商的汇入帐户。</w:t>
      </w:r>
    </w:p>
    <w:p w14:paraId="0C3A146C">
      <w:pPr>
        <w:shd w:val="clear"/>
        <w:spacing w:line="360" w:lineRule="auto"/>
        <w:ind w:firstLine="420" w:firstLineChars="200"/>
        <w:rPr>
          <w:rFonts w:hAnsi="宋体"/>
          <w:color w:val="auto"/>
          <w:sz w:val="21"/>
          <w:szCs w:val="21"/>
          <w:highlight w:val="none"/>
          <w:lang w:val="zh-CN"/>
        </w:rPr>
      </w:pPr>
      <w:r>
        <w:rPr>
          <w:rFonts w:hint="eastAsia" w:hAnsi="宋体"/>
          <w:color w:val="auto"/>
          <w:sz w:val="21"/>
          <w:szCs w:val="21"/>
          <w:highlight w:val="none"/>
          <w:lang w:val="zh-CN"/>
        </w:rPr>
        <w:t>31.发票</w:t>
      </w:r>
    </w:p>
    <w:p w14:paraId="69543420">
      <w:pPr>
        <w:shd w:val="clear"/>
        <w:spacing w:line="360" w:lineRule="auto"/>
        <w:ind w:firstLine="420" w:firstLineChars="200"/>
        <w:rPr>
          <w:rFonts w:hAnsi="宋体"/>
          <w:color w:val="auto"/>
          <w:sz w:val="21"/>
          <w:szCs w:val="21"/>
          <w:highlight w:val="none"/>
          <w:lang w:val="zh-CN"/>
        </w:rPr>
      </w:pPr>
      <w:r>
        <w:rPr>
          <w:rFonts w:hint="eastAsia" w:hAnsi="宋体"/>
          <w:color w:val="auto"/>
          <w:sz w:val="21"/>
          <w:szCs w:val="21"/>
          <w:highlight w:val="none"/>
        </w:rPr>
        <w:t>31</w:t>
      </w:r>
      <w:r>
        <w:rPr>
          <w:rFonts w:hint="eastAsia" w:hAnsi="宋体"/>
          <w:color w:val="auto"/>
          <w:sz w:val="21"/>
          <w:szCs w:val="21"/>
          <w:highlight w:val="none"/>
          <w:lang w:val="zh-CN"/>
        </w:rPr>
        <w:t>.1该项目获得成交的成交供应商在执行合同过程中，向采购人出具的发票必须是由成交供应商开具，不得以其他单位或个人名义出具。</w:t>
      </w:r>
    </w:p>
    <w:p w14:paraId="7F4A34BD">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31.2成交供应商需提交增值税专用发票，并于备注栏写明项目名称及合同名称。</w:t>
      </w:r>
    </w:p>
    <w:p w14:paraId="413B060C">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31.3在合同履行期间，如遇国家的税率调整，则以开具发票的时间为准，以原合同约定价格不含税金额不变作为基准，按照新税率重新计算含税价格。</w:t>
      </w:r>
    </w:p>
    <w:p w14:paraId="3987A551">
      <w:pPr>
        <w:shd w:val="clear"/>
        <w:rPr>
          <w:color w:val="auto"/>
          <w:highlight w:val="none"/>
        </w:rPr>
      </w:pPr>
    </w:p>
    <w:bookmarkEnd w:id="149"/>
    <w:p w14:paraId="09A24BD9">
      <w:pPr>
        <w:pStyle w:val="3"/>
        <w:shd w:val="clear"/>
        <w:adjustRightInd/>
        <w:spacing w:line="360" w:lineRule="auto"/>
        <w:ind w:firstLine="0" w:firstLineChars="0"/>
        <w:jc w:val="center"/>
        <w:rPr>
          <w:rFonts w:hint="eastAsia" w:eastAsia="宋体"/>
          <w:color w:val="auto"/>
          <w:sz w:val="21"/>
          <w:szCs w:val="21"/>
          <w:highlight w:val="none"/>
          <w:lang w:eastAsia="zh-CN"/>
        </w:rPr>
      </w:pPr>
      <w:bookmarkStart w:id="150" w:name="_Toc7897884"/>
      <w:bookmarkStart w:id="151" w:name="_Toc8766"/>
      <w:bookmarkStart w:id="152" w:name="_Toc152"/>
      <w:bookmarkStart w:id="153" w:name="_Toc396137239"/>
      <w:bookmarkStart w:id="154" w:name="_Toc3498"/>
      <w:bookmarkStart w:id="155" w:name="_Toc5141"/>
      <w:bookmarkStart w:id="156" w:name="_Toc396137240"/>
      <w:bookmarkStart w:id="157" w:name="_Toc22751"/>
      <w:r>
        <w:rPr>
          <w:rFonts w:hint="eastAsia"/>
          <w:color w:val="auto"/>
          <w:sz w:val="28"/>
          <w:szCs w:val="28"/>
          <w:highlight w:val="none"/>
        </w:rPr>
        <w:t>八、</w:t>
      </w:r>
      <w:bookmarkEnd w:id="150"/>
      <w:bookmarkEnd w:id="151"/>
      <w:bookmarkEnd w:id="152"/>
      <w:r>
        <w:rPr>
          <w:rFonts w:hint="eastAsia"/>
          <w:color w:val="auto"/>
          <w:sz w:val="28"/>
          <w:szCs w:val="28"/>
          <w:highlight w:val="none"/>
          <w:lang w:eastAsia="zh-CN"/>
        </w:rPr>
        <w:t>采购代理服务费</w:t>
      </w:r>
    </w:p>
    <w:p w14:paraId="67DB0494">
      <w:pPr>
        <w:shd w:val="clear"/>
        <w:spacing w:line="360" w:lineRule="auto"/>
        <w:ind w:firstLine="428" w:firstLineChars="204"/>
        <w:rPr>
          <w:rFonts w:hint="eastAsia" w:hAnsi="宋体" w:eastAsia="宋体"/>
          <w:color w:val="auto"/>
          <w:sz w:val="21"/>
          <w:szCs w:val="21"/>
          <w:highlight w:val="none"/>
          <w:lang w:eastAsia="zh-CN"/>
        </w:rPr>
      </w:pPr>
      <w:r>
        <w:rPr>
          <w:rFonts w:hint="eastAsia" w:hAnsi="宋体"/>
          <w:color w:val="auto"/>
          <w:sz w:val="21"/>
          <w:szCs w:val="21"/>
          <w:highlight w:val="none"/>
        </w:rPr>
        <w:t>32.</w:t>
      </w:r>
      <w:r>
        <w:rPr>
          <w:rFonts w:hint="eastAsia" w:hAnsi="宋体"/>
          <w:color w:val="auto"/>
          <w:sz w:val="21"/>
          <w:szCs w:val="21"/>
          <w:highlight w:val="none"/>
          <w:lang w:eastAsia="zh-CN"/>
        </w:rPr>
        <w:t>采购代理服务费</w:t>
      </w:r>
    </w:p>
    <w:p w14:paraId="156E4990">
      <w:pPr>
        <w:shd w:val="clear"/>
        <w:spacing w:line="360" w:lineRule="auto"/>
        <w:ind w:firstLine="428" w:firstLineChars="204"/>
        <w:rPr>
          <w:rFonts w:hAnsi="宋体"/>
          <w:color w:val="auto"/>
          <w:sz w:val="21"/>
          <w:szCs w:val="21"/>
          <w:highlight w:val="none"/>
        </w:rPr>
      </w:pPr>
      <w:r>
        <w:rPr>
          <w:rFonts w:hint="eastAsia" w:hAnsi="宋体"/>
          <w:color w:val="auto"/>
          <w:sz w:val="21"/>
          <w:szCs w:val="21"/>
          <w:highlight w:val="none"/>
        </w:rPr>
        <w:t>32.1采购代理服务费由采购人向</w:t>
      </w:r>
      <w:r>
        <w:rPr>
          <w:rFonts w:hint="eastAsia" w:hAnsi="宋体"/>
          <w:color w:val="auto"/>
          <w:sz w:val="21"/>
          <w:szCs w:val="21"/>
          <w:highlight w:val="none"/>
          <w:lang w:eastAsia="zh-CN"/>
        </w:rPr>
        <w:t>采购代理机构支付。</w:t>
      </w:r>
    </w:p>
    <w:p w14:paraId="29095A76">
      <w:pPr>
        <w:pStyle w:val="12"/>
        <w:shd w:val="clear"/>
        <w:ind w:firstLine="400"/>
        <w:rPr>
          <w:color w:val="auto"/>
          <w:highlight w:val="none"/>
        </w:rPr>
      </w:pPr>
    </w:p>
    <w:p w14:paraId="5B885AAE">
      <w:pPr>
        <w:pStyle w:val="3"/>
        <w:shd w:val="clear"/>
        <w:adjustRightInd/>
        <w:spacing w:line="360" w:lineRule="auto"/>
        <w:ind w:firstLine="0" w:firstLineChars="0"/>
        <w:jc w:val="center"/>
        <w:rPr>
          <w:color w:val="auto"/>
          <w:sz w:val="28"/>
          <w:szCs w:val="28"/>
          <w:highlight w:val="none"/>
          <w:lang w:val="zh-CN"/>
        </w:rPr>
      </w:pPr>
      <w:bookmarkStart w:id="158" w:name="_Toc17153"/>
      <w:r>
        <w:rPr>
          <w:rFonts w:hint="eastAsia"/>
          <w:color w:val="auto"/>
          <w:sz w:val="28"/>
          <w:szCs w:val="28"/>
          <w:highlight w:val="none"/>
          <w:lang w:val="zh-CN"/>
        </w:rPr>
        <w:t>九、质疑与回复</w:t>
      </w:r>
      <w:bookmarkEnd w:id="153"/>
      <w:bookmarkEnd w:id="154"/>
      <w:bookmarkEnd w:id="155"/>
      <w:bookmarkEnd w:id="158"/>
    </w:p>
    <w:p w14:paraId="25561E22">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33   质疑与回复</w:t>
      </w:r>
    </w:p>
    <w:p w14:paraId="441F98BD">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33.1 质疑书应当包括下列主要内容：</w:t>
      </w:r>
    </w:p>
    <w:p w14:paraId="2F2025D2">
      <w:pPr>
        <w:shd w:val="clear"/>
        <w:spacing w:line="360" w:lineRule="auto"/>
        <w:ind w:left="539" w:right="17" w:hanging="539"/>
        <w:jc w:val="both"/>
        <w:rPr>
          <w:rFonts w:hAnsi="宋体"/>
          <w:color w:val="auto"/>
          <w:sz w:val="21"/>
          <w:szCs w:val="21"/>
          <w:highlight w:val="none"/>
        </w:rPr>
      </w:pPr>
      <w:r>
        <w:rPr>
          <w:rFonts w:hint="eastAsia" w:hAnsi="宋体"/>
          <w:color w:val="auto"/>
          <w:sz w:val="21"/>
          <w:szCs w:val="21"/>
          <w:highlight w:val="none"/>
        </w:rPr>
        <w:t>　　（1）供应商的姓名或者名称、地址、邮编、联系人及联系电话；</w:t>
      </w:r>
    </w:p>
    <w:p w14:paraId="0423B773">
      <w:pPr>
        <w:shd w:val="clear"/>
        <w:spacing w:line="360" w:lineRule="auto"/>
        <w:ind w:left="539" w:right="17" w:hanging="539"/>
        <w:jc w:val="both"/>
        <w:rPr>
          <w:rFonts w:hAnsi="宋体"/>
          <w:color w:val="auto"/>
          <w:sz w:val="21"/>
          <w:szCs w:val="21"/>
          <w:highlight w:val="none"/>
        </w:rPr>
      </w:pPr>
      <w:r>
        <w:rPr>
          <w:rFonts w:hint="eastAsia" w:hAnsi="宋体"/>
          <w:color w:val="auto"/>
          <w:sz w:val="21"/>
          <w:szCs w:val="21"/>
          <w:highlight w:val="none"/>
        </w:rPr>
        <w:t>　　（2）质疑项目的名称、编号；</w:t>
      </w:r>
    </w:p>
    <w:p w14:paraId="67DDCC2E">
      <w:pPr>
        <w:shd w:val="clear"/>
        <w:spacing w:line="360" w:lineRule="auto"/>
        <w:ind w:left="539" w:right="17" w:hanging="539"/>
        <w:jc w:val="both"/>
        <w:rPr>
          <w:rFonts w:hAnsi="宋体"/>
          <w:color w:val="auto"/>
          <w:sz w:val="21"/>
          <w:szCs w:val="21"/>
          <w:highlight w:val="none"/>
        </w:rPr>
      </w:pPr>
      <w:r>
        <w:rPr>
          <w:rFonts w:hint="eastAsia" w:hAnsi="宋体"/>
          <w:color w:val="auto"/>
          <w:sz w:val="21"/>
          <w:szCs w:val="21"/>
          <w:highlight w:val="none"/>
        </w:rPr>
        <w:t>　　（3）具体、明确的质疑事项和与质疑事项相关的请求；</w:t>
      </w:r>
    </w:p>
    <w:p w14:paraId="5BA4790E">
      <w:pPr>
        <w:shd w:val="clear"/>
        <w:spacing w:line="360" w:lineRule="auto"/>
        <w:ind w:left="539" w:right="17" w:hanging="539"/>
        <w:jc w:val="both"/>
        <w:rPr>
          <w:rFonts w:hAnsi="宋体"/>
          <w:color w:val="auto"/>
          <w:sz w:val="21"/>
          <w:szCs w:val="21"/>
          <w:highlight w:val="none"/>
        </w:rPr>
      </w:pPr>
      <w:r>
        <w:rPr>
          <w:rFonts w:hint="eastAsia" w:hAnsi="宋体"/>
          <w:color w:val="auto"/>
          <w:sz w:val="21"/>
          <w:szCs w:val="21"/>
          <w:highlight w:val="none"/>
        </w:rPr>
        <w:t>　　（4）事实依据；</w:t>
      </w:r>
    </w:p>
    <w:p w14:paraId="6EE0708D">
      <w:pPr>
        <w:shd w:val="clear"/>
        <w:spacing w:line="360" w:lineRule="auto"/>
        <w:ind w:left="539" w:right="17" w:hanging="539"/>
        <w:jc w:val="both"/>
        <w:rPr>
          <w:rFonts w:hAnsi="宋体"/>
          <w:color w:val="auto"/>
          <w:sz w:val="21"/>
          <w:szCs w:val="21"/>
          <w:highlight w:val="none"/>
        </w:rPr>
      </w:pPr>
      <w:r>
        <w:rPr>
          <w:rFonts w:hint="eastAsia" w:hAnsi="宋体"/>
          <w:color w:val="auto"/>
          <w:sz w:val="21"/>
          <w:szCs w:val="21"/>
          <w:highlight w:val="none"/>
        </w:rPr>
        <w:t>　　（5）必要的法律依据；</w:t>
      </w:r>
    </w:p>
    <w:p w14:paraId="15890C9B">
      <w:pPr>
        <w:shd w:val="clear"/>
        <w:spacing w:line="360" w:lineRule="auto"/>
        <w:ind w:left="539" w:right="17" w:hanging="539"/>
        <w:jc w:val="both"/>
        <w:rPr>
          <w:rFonts w:hAnsi="宋体"/>
          <w:color w:val="auto"/>
          <w:sz w:val="21"/>
          <w:szCs w:val="21"/>
          <w:highlight w:val="none"/>
        </w:rPr>
      </w:pPr>
      <w:r>
        <w:rPr>
          <w:rFonts w:hint="eastAsia" w:hAnsi="宋体"/>
          <w:color w:val="auto"/>
          <w:sz w:val="21"/>
          <w:szCs w:val="21"/>
          <w:highlight w:val="none"/>
        </w:rPr>
        <w:t>　　（6）提出质疑的日期。</w:t>
      </w:r>
    </w:p>
    <w:p w14:paraId="21417435">
      <w:pPr>
        <w:shd w:val="clear"/>
        <w:spacing w:line="360" w:lineRule="auto"/>
        <w:ind w:firstLine="420" w:firstLineChars="200"/>
        <w:rPr>
          <w:rFonts w:hAnsi="宋体"/>
          <w:color w:val="auto"/>
          <w:sz w:val="21"/>
          <w:szCs w:val="21"/>
          <w:highlight w:val="none"/>
        </w:rPr>
      </w:pPr>
      <w:r>
        <w:rPr>
          <w:rFonts w:hint="eastAsia" w:hAnsi="宋体"/>
          <w:color w:val="auto"/>
          <w:kern w:val="2"/>
          <w:sz w:val="21"/>
          <w:szCs w:val="21"/>
          <w:highlight w:val="none"/>
        </w:rPr>
        <w:t>33</w:t>
      </w:r>
      <w:r>
        <w:rPr>
          <w:rFonts w:hint="eastAsia" w:hAnsi="宋体"/>
          <w:color w:val="auto"/>
          <w:sz w:val="21"/>
          <w:szCs w:val="21"/>
          <w:highlight w:val="none"/>
        </w:rPr>
        <w:t>.2. 质疑书应当署名。质疑人为自然人的，应当由本人签名；质疑人为法人或者</w:t>
      </w:r>
      <w:r>
        <w:rPr>
          <w:rFonts w:hint="eastAsia" w:hAnsi="宋体"/>
          <w:color w:val="auto"/>
          <w:kern w:val="2"/>
          <w:sz w:val="21"/>
          <w:szCs w:val="21"/>
          <w:highlight w:val="none"/>
          <w:lang w:val="zh-CN"/>
        </w:rPr>
        <w:t>其他</w:t>
      </w:r>
      <w:r>
        <w:rPr>
          <w:rFonts w:hint="eastAsia" w:hAnsi="宋体"/>
          <w:color w:val="auto"/>
          <w:sz w:val="21"/>
          <w:szCs w:val="21"/>
          <w:highlight w:val="none"/>
        </w:rPr>
        <w:t>组织的，应当由法定代表人或者主要负责人签名并加盖公章。</w:t>
      </w:r>
    </w:p>
    <w:p w14:paraId="39D48380">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33.3. 供应商认为磋商文件的内容损害其权益的，应当以书面形式（加盖公章）在磋商文件公示期间或者自期满之日起7个工作日内向采购代理机构提交质疑书原件，逾期质疑无效。供应商以电话、传真或电邮形式提交的质疑属于无效质疑。</w:t>
      </w:r>
    </w:p>
    <w:p w14:paraId="22A9BE4B">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33.4. 供应商认为采购过程和成交结果使自己的权益受到损害的，应当以书面形式（加盖公章）在知道或者应知其权益受到损害之日起7个工作日内向采购代理机构提交质疑书原件，逾期质疑无效。供应商以电话、传真或电邮形式提交的质疑属于无效质疑。联系人：</w:t>
      </w:r>
      <w:r>
        <w:rPr>
          <w:rFonts w:hint="eastAsia" w:hAnsi="宋体"/>
          <w:color w:val="auto"/>
          <w:sz w:val="21"/>
          <w:szCs w:val="21"/>
          <w:highlight w:val="none"/>
          <w:lang w:val="en-US" w:eastAsia="zh-CN"/>
        </w:rPr>
        <w:t>陈工</w:t>
      </w:r>
      <w:r>
        <w:rPr>
          <w:rFonts w:hint="eastAsia" w:hAnsi="宋体"/>
          <w:color w:val="auto"/>
          <w:sz w:val="21"/>
          <w:szCs w:val="21"/>
          <w:highlight w:val="none"/>
        </w:rPr>
        <w:t>/</w:t>
      </w:r>
      <w:r>
        <w:rPr>
          <w:rFonts w:hint="eastAsia" w:ascii="宋体" w:hAnsi="宋体" w:eastAsia="宋体" w:cs="宋体"/>
          <w:color w:val="auto"/>
          <w:sz w:val="21"/>
          <w:szCs w:val="21"/>
          <w:highlight w:val="none"/>
          <w:lang w:val="en-US" w:eastAsia="zh-CN"/>
        </w:rPr>
        <w:t>0769-23362836</w:t>
      </w:r>
      <w:r>
        <w:rPr>
          <w:rFonts w:hint="eastAsia" w:hAnsi="宋体"/>
          <w:color w:val="auto"/>
          <w:sz w:val="21"/>
          <w:szCs w:val="21"/>
          <w:highlight w:val="none"/>
        </w:rPr>
        <w:t>；联系地址：</w:t>
      </w:r>
      <w:r>
        <w:rPr>
          <w:rFonts w:hint="eastAsia" w:hAnsi="宋体"/>
          <w:color w:val="auto"/>
          <w:sz w:val="21"/>
          <w:szCs w:val="21"/>
          <w:highlight w:val="none"/>
          <w:lang w:eastAsia="zh-CN"/>
        </w:rPr>
        <w:t>广东省东莞市东城街道新源路海德琥珀台6栋1703室</w:t>
      </w:r>
      <w:r>
        <w:rPr>
          <w:rFonts w:hint="eastAsia" w:hAnsi="宋体"/>
          <w:color w:val="auto"/>
          <w:sz w:val="21"/>
          <w:szCs w:val="21"/>
          <w:highlight w:val="none"/>
        </w:rPr>
        <w:t>。</w:t>
      </w:r>
    </w:p>
    <w:p w14:paraId="47D04B18">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33.5.供应商在法定质疑期内一次性提出针对同一采购程序环节的质疑。</w:t>
      </w:r>
    </w:p>
    <w:p w14:paraId="07A42DB2">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33.6.质疑内容不得含有虚假、恶意成分。依据谁主张谁举证的原则，质疑者提供的质疑书应当包括下列主要内容：具体的质疑事项、事实依据及相关确凿的证明材料和注明事实的确切来源、供应商名称、联系人与联系电话、质疑时间，质疑书应当署名并由法定代表人或授权代表签名并加盖公章。采购代理机构受理书面质疑书原件之日起，在规定的期限内作出答复。供应商捏造事实、提供虚假材料或者以非法手段取得证明材料进行投诉的，列入不良行为记录名单，禁止其1至3年内参加采购活动。</w:t>
      </w:r>
    </w:p>
    <w:p w14:paraId="6EC92BCA">
      <w:pPr>
        <w:shd w:val="clear"/>
        <w:spacing w:line="360" w:lineRule="auto"/>
        <w:ind w:firstLine="420" w:firstLineChars="200"/>
        <w:rPr>
          <w:bCs/>
          <w:color w:val="auto"/>
          <w:sz w:val="21"/>
          <w:szCs w:val="21"/>
          <w:highlight w:val="none"/>
        </w:rPr>
      </w:pPr>
      <w:bookmarkStart w:id="159" w:name="_Toc29421"/>
      <w:r>
        <w:rPr>
          <w:rFonts w:hint="eastAsia"/>
          <w:color w:val="auto"/>
          <w:sz w:val="21"/>
          <w:szCs w:val="21"/>
          <w:highlight w:val="none"/>
        </w:rPr>
        <w:t>33.7.采购代理机构在收到供应商的有效书面质疑后7个工作日内作出答复，但答复的内容不涉及商业秘密。</w:t>
      </w:r>
      <w:bookmarkEnd w:id="159"/>
    </w:p>
    <w:p w14:paraId="4AF0D1FA">
      <w:pPr>
        <w:pStyle w:val="2"/>
        <w:keepNext/>
        <w:keepLines/>
        <w:pageBreakBefore/>
        <w:numPr>
          <w:ilvl w:val="0"/>
          <w:numId w:val="10"/>
        </w:numPr>
        <w:shd w:val="clear"/>
        <w:tabs>
          <w:tab w:val="left" w:pos="1080"/>
        </w:tabs>
        <w:spacing w:line="360" w:lineRule="auto"/>
        <w:ind w:left="1262" w:hanging="1262" w:hangingChars="449"/>
        <w:jc w:val="center"/>
        <w:rPr>
          <w:rFonts w:hAnsi="宋体"/>
          <w:b/>
          <w:bCs/>
          <w:color w:val="auto"/>
          <w:kern w:val="44"/>
          <w:sz w:val="28"/>
          <w:szCs w:val="28"/>
          <w:highlight w:val="none"/>
          <w:lang w:val="zh-CN"/>
        </w:rPr>
      </w:pPr>
      <w:bookmarkStart w:id="160" w:name="_Toc22134"/>
      <w:r>
        <w:rPr>
          <w:rFonts w:hint="eastAsia" w:hAnsi="宋体"/>
          <w:b/>
          <w:bCs/>
          <w:color w:val="auto"/>
          <w:kern w:val="44"/>
          <w:sz w:val="28"/>
          <w:szCs w:val="28"/>
          <w:highlight w:val="none"/>
          <w:lang w:val="zh-CN"/>
        </w:rPr>
        <w:t>用户需求书</w:t>
      </w:r>
      <w:bookmarkEnd w:id="156"/>
      <w:bookmarkEnd w:id="157"/>
      <w:bookmarkEnd w:id="160"/>
    </w:p>
    <w:p w14:paraId="45504452">
      <w:pPr>
        <w:keepNext w:val="0"/>
        <w:keepLines w:val="0"/>
        <w:pageBreakBefore w:val="0"/>
        <w:widowControl/>
        <w:suppressLineNumbers w:val="0"/>
        <w:kinsoku/>
        <w:wordWrap/>
        <w:overflowPunct/>
        <w:topLinePunct w:val="0"/>
        <w:bidi w:val="0"/>
        <w:snapToGrid/>
        <w:spacing w:line="360" w:lineRule="auto"/>
        <w:jc w:val="left"/>
        <w:textAlignment w:val="auto"/>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kern w:val="0"/>
          <w:sz w:val="21"/>
          <w:szCs w:val="21"/>
          <w:highlight w:val="none"/>
          <w:lang w:val="en-US" w:eastAsia="zh-CN" w:bidi="ar-SA"/>
        </w:rPr>
        <w:t>一、项目情况</w:t>
      </w:r>
    </w:p>
    <w:p w14:paraId="566BD8B4">
      <w:pPr>
        <w:keepNext w:val="0"/>
        <w:keepLines w:val="0"/>
        <w:pageBreakBefore w:val="0"/>
        <w:widowControl/>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1、项目名称：东实·滨湖苑项目（东莞市厚街镇厚山配售型保障性住房项目）营销中心及样板间软装。</w:t>
      </w:r>
    </w:p>
    <w:p w14:paraId="4447534C">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2、项目范围及内容：</w:t>
      </w:r>
      <w:bookmarkStart w:id="161" w:name="OLE_LINK1"/>
      <w:r>
        <w:rPr>
          <w:rFonts w:hint="eastAsia" w:ascii="宋体" w:hAnsi="宋体" w:eastAsia="宋体" w:cs="宋体"/>
          <w:color w:val="auto"/>
          <w:kern w:val="0"/>
          <w:sz w:val="21"/>
          <w:szCs w:val="21"/>
          <w:highlight w:val="none"/>
          <w:lang w:val="en-US" w:eastAsia="zh-CN" w:bidi="ar-SA"/>
        </w:rPr>
        <w:t>东实·滨湖苑项目（东莞市厚街镇厚山配售型保障性住房项目）营销中心及样板间软装，</w:t>
      </w:r>
      <w:bookmarkEnd w:id="161"/>
      <w:r>
        <w:rPr>
          <w:rFonts w:hint="eastAsia" w:ascii="宋体" w:hAnsi="宋体" w:eastAsia="宋体" w:cs="宋体"/>
          <w:color w:val="auto"/>
          <w:kern w:val="0"/>
          <w:sz w:val="21"/>
          <w:szCs w:val="21"/>
          <w:highlight w:val="none"/>
          <w:lang w:val="en-US" w:eastAsia="zh-CN" w:bidi="ar-SA"/>
        </w:rPr>
        <w:t>包括家具、灯具、布艺（窗帘、床品）、地毯、饰品、电器</w:t>
      </w:r>
      <w:r>
        <w:rPr>
          <w:rFonts w:hint="eastAsia" w:hAnsi="宋体" w:cs="宋体"/>
          <w:color w:val="auto"/>
          <w:kern w:val="0"/>
          <w:sz w:val="21"/>
          <w:szCs w:val="21"/>
          <w:highlight w:val="none"/>
          <w:lang w:val="en-US" w:eastAsia="zh-CN" w:bidi="ar-SA"/>
        </w:rPr>
        <w:t>、挂画</w:t>
      </w:r>
      <w:r>
        <w:rPr>
          <w:rFonts w:hint="eastAsia" w:ascii="宋体" w:hAnsi="宋体" w:eastAsia="宋体" w:cs="宋体"/>
          <w:color w:val="auto"/>
          <w:kern w:val="0"/>
          <w:sz w:val="21"/>
          <w:szCs w:val="21"/>
          <w:highlight w:val="none"/>
          <w:lang w:val="en-US" w:eastAsia="zh-CN" w:bidi="ar-SA"/>
        </w:rPr>
        <w:t>等所有物品进行采购或定制安装。</w:t>
      </w:r>
    </w:p>
    <w:p w14:paraId="1EC2A3F8">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采购人提供采购清单，供应商保证软装整体效果，供应商提供软装深化设计方案并经采购人确认。</w:t>
      </w:r>
    </w:p>
    <w:p w14:paraId="19905EE4">
      <w:pPr>
        <w:keepNext w:val="0"/>
        <w:keepLines w:val="0"/>
        <w:pageBreakBefore w:val="0"/>
        <w:widowControl/>
        <w:suppressLineNumbers w:val="0"/>
        <w:kinsoku/>
        <w:wordWrap/>
        <w:overflowPunct/>
        <w:topLinePunct w:val="0"/>
        <w:bidi w:val="0"/>
        <w:snapToGrid/>
        <w:spacing w:line="360" w:lineRule="auto"/>
        <w:jc w:val="left"/>
        <w:textAlignment w:val="auto"/>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kern w:val="0"/>
          <w:sz w:val="21"/>
          <w:szCs w:val="21"/>
          <w:highlight w:val="none"/>
          <w:lang w:val="en-US" w:eastAsia="zh-CN" w:bidi="ar-SA"/>
        </w:rPr>
        <w:t>二、项目采购清单</w:t>
      </w:r>
    </w:p>
    <w:p w14:paraId="6931DF77">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供应商按照采购人提供软装采购清单进行采购工作，图片作为风格效果的指引、项目报价的参考根据，最终效果必须通过采购人的验收。</w:t>
      </w:r>
    </w:p>
    <w:p w14:paraId="292E5040">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具体清单详见附件：东实·滨湖苑项目（东莞市厚街镇厚山配售型保障性住房项目）营销中心及样板间软装工程清单。</w:t>
      </w:r>
    </w:p>
    <w:p w14:paraId="5BC0334C">
      <w:pPr>
        <w:keepNext w:val="0"/>
        <w:keepLines w:val="0"/>
        <w:pageBreakBefore w:val="0"/>
        <w:widowControl/>
        <w:suppressLineNumbers w:val="0"/>
        <w:kinsoku/>
        <w:wordWrap/>
        <w:overflowPunct/>
        <w:topLinePunct w:val="0"/>
        <w:bidi w:val="0"/>
        <w:snapToGrid/>
        <w:spacing w:line="360" w:lineRule="auto"/>
        <w:jc w:val="left"/>
        <w:textAlignment w:val="auto"/>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kern w:val="0"/>
          <w:sz w:val="21"/>
          <w:szCs w:val="21"/>
          <w:highlight w:val="none"/>
          <w:lang w:val="en-US" w:eastAsia="zh-CN" w:bidi="ar-SA"/>
        </w:rPr>
        <w:t>三、软装采购及安装工作要求</w:t>
      </w:r>
    </w:p>
    <w:p w14:paraId="554285D6">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1、软装深化方案设计：成交供应商提供软装深化设计方案并经采购人确认。</w:t>
      </w:r>
    </w:p>
    <w:p w14:paraId="14496D6F">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2、软装配饰的定制、采购与保管</w:t>
      </w:r>
    </w:p>
    <w:p w14:paraId="7A4C3655">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成交供应商需对采购人已认可的软装方案和清单中所有物品，包括家具、灯具、布艺（窗帘、床品）、地毯、饰品、电器</w:t>
      </w:r>
      <w:r>
        <w:rPr>
          <w:rFonts w:hint="eastAsia" w:hAnsi="宋体" w:cs="宋体"/>
          <w:color w:val="auto"/>
          <w:kern w:val="0"/>
          <w:sz w:val="21"/>
          <w:szCs w:val="21"/>
          <w:highlight w:val="none"/>
          <w:lang w:val="en-US" w:eastAsia="zh-CN" w:bidi="ar-SA"/>
        </w:rPr>
        <w:t>、挂画</w:t>
      </w:r>
      <w:r>
        <w:rPr>
          <w:rFonts w:hint="eastAsia" w:ascii="宋体" w:hAnsi="宋体" w:eastAsia="宋体" w:cs="宋体"/>
          <w:color w:val="auto"/>
          <w:kern w:val="0"/>
          <w:sz w:val="21"/>
          <w:szCs w:val="21"/>
          <w:highlight w:val="none"/>
          <w:lang w:val="en-US" w:eastAsia="zh-CN" w:bidi="ar-SA"/>
        </w:rPr>
        <w:t>等所有物品进行采购或定制安装。成交供应商需提供家具实物或照片、设计深化图纸对版，作为家具成品的参考。家具成品应与实物或照片、确认后的设计深化图纸对版一致，不可偷工减料。成交供应商在软装家私制作前需到项目现场进行尺寸量度，确保软装物品与现场空间的协调性。</w:t>
      </w:r>
    </w:p>
    <w:p w14:paraId="6E4E8EAC">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3、软装配饰的运输</w:t>
      </w:r>
    </w:p>
    <w:p w14:paraId="66F3A6AE">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软装物品进场前已通知采购人验货，经采购人确认后才可卸货安装。</w:t>
      </w:r>
    </w:p>
    <w:p w14:paraId="5130471F">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4、软装摆设调整</w:t>
      </w:r>
    </w:p>
    <w:p w14:paraId="4462C7B0">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成交供应商需安排相关人员为采购人完成软装现场摆，设在现场摆放时需注意成品保护，避免硬装与软装物品损坏,并在采购人指导下进行微调。摆设完成后，需与采购人核对物品</w:t>
      </w:r>
      <w:r>
        <w:rPr>
          <w:rFonts w:hint="eastAsia" w:hAnsi="宋体" w:cs="宋体"/>
          <w:color w:val="auto"/>
          <w:kern w:val="0"/>
          <w:sz w:val="21"/>
          <w:szCs w:val="21"/>
          <w:highlight w:val="none"/>
          <w:lang w:val="en-US" w:eastAsia="zh-CN" w:bidi="ar-SA"/>
        </w:rPr>
        <w:t>清</w:t>
      </w:r>
      <w:r>
        <w:rPr>
          <w:rFonts w:hint="eastAsia" w:ascii="宋体" w:hAnsi="宋体" w:eastAsia="宋体" w:cs="宋体"/>
          <w:color w:val="auto"/>
          <w:kern w:val="0"/>
          <w:sz w:val="21"/>
          <w:szCs w:val="21"/>
          <w:highlight w:val="none"/>
          <w:lang w:val="en-US" w:eastAsia="zh-CN" w:bidi="ar-SA"/>
        </w:rPr>
        <w:t>单并签字确认。</w:t>
      </w:r>
    </w:p>
    <w:p w14:paraId="125752DA">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5、软装现场维护</w:t>
      </w:r>
    </w:p>
    <w:p w14:paraId="59DBDD5E">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本项目所有采购软装物品保修期为两年，在保修期内成交供应商为非人为损坏的物品进行免费维修。保修期自项目竣工验收合格并交付采购人使用之日起计算。</w:t>
      </w:r>
    </w:p>
    <w:p w14:paraId="35CEE852">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6、软装效果保证</w:t>
      </w:r>
    </w:p>
    <w:p w14:paraId="4447A543">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在现场软装摆设调整施工前，成交供应商需提供和安排符合采购人要求的人员表（包括设计技术人员、采购人员、现场施工人数等）。在软装摆场结束后，供应商保证软装设计方案整体效果。</w:t>
      </w:r>
    </w:p>
    <w:p w14:paraId="70C4DBFE">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7、材料采购及入场要求</w:t>
      </w:r>
    </w:p>
    <w:p w14:paraId="2F818A7E">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供应商须按照材料列表中已明确材料、规格、型号、材质以及样式进行全部材料采购，对提供材料的质量负责并承担一切责任。未经采购人同意不得以任何理由更换已明确材料的样式、型号、产地、质量等级、技术参数等特征的材料。材料到达施工现场时须有采购人现场管理人员的签字确认后方能施工，采购人有权对未经确认或认可的材料要求施工方承担无理由、无代价更换。</w:t>
      </w:r>
    </w:p>
    <w:p w14:paraId="6D600611">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default"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8、项目施工的配合要求</w:t>
      </w:r>
    </w:p>
    <w:p w14:paraId="0166F9E0">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（1）施工过程中成交供应商有对所有施工相关项目的配合义务，成交供应商必须有专业的施工工程师常驻现场，有专业的布局及安装人员对所施工项目进行专业安装及铺设。</w:t>
      </w:r>
    </w:p>
    <w:p w14:paraId="4A9AAD0F">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（2）对相关配套安装项目提供便利条件，承担质量监督义务并提出建议。</w:t>
      </w:r>
    </w:p>
    <w:p w14:paraId="7584FF0A">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（3）采购人有权对施工工作面进行调整以及施工人力的调度，成交供应商不得无理由推卸或不服现场管理人员的管理安排。</w:t>
      </w:r>
    </w:p>
    <w:p w14:paraId="5EE51A5D">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hAnsi="宋体" w:cs="宋体"/>
          <w:color w:val="auto"/>
          <w:kern w:val="0"/>
          <w:sz w:val="21"/>
          <w:szCs w:val="21"/>
          <w:highlight w:val="none"/>
          <w:lang w:val="en-US" w:eastAsia="zh-CN" w:bidi="ar-SA"/>
        </w:rPr>
        <w:t>（4）其中2台空调先安装在2#楼3层样板房，后续配合项目需求拆除重新安装到2#楼14层样板房。</w:t>
      </w:r>
    </w:p>
    <w:p w14:paraId="03FD682C">
      <w:pPr>
        <w:keepNext w:val="0"/>
        <w:keepLines w:val="0"/>
        <w:pageBreakBefore w:val="0"/>
        <w:widowControl/>
        <w:suppressLineNumbers w:val="0"/>
        <w:kinsoku/>
        <w:wordWrap/>
        <w:overflowPunct/>
        <w:topLinePunct w:val="0"/>
        <w:bidi w:val="0"/>
        <w:snapToGrid/>
        <w:spacing w:line="360" w:lineRule="auto"/>
        <w:jc w:val="left"/>
        <w:textAlignment w:val="auto"/>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kern w:val="0"/>
          <w:sz w:val="21"/>
          <w:szCs w:val="21"/>
          <w:highlight w:val="none"/>
          <w:lang w:val="en-US" w:eastAsia="zh-CN" w:bidi="ar-SA"/>
        </w:rPr>
        <w:t>四、工期要求</w:t>
      </w:r>
    </w:p>
    <w:p w14:paraId="1FC4FE99">
      <w:pPr>
        <w:keepNext w:val="0"/>
        <w:keepLines w:val="0"/>
        <w:pageBreakBefore w:val="0"/>
        <w:widowControl/>
        <w:suppressLineNumbers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olor w:val="auto"/>
          <w:sz w:val="21"/>
          <w:szCs w:val="21"/>
          <w:lang w:val="en-US" w:eastAsia="zh-CN"/>
        </w:rPr>
        <w:t>本项目</w:t>
      </w:r>
      <w:r>
        <w:rPr>
          <w:rFonts w:hint="eastAsia" w:ascii="宋体" w:hAnsi="宋体" w:eastAsia="宋体"/>
          <w:color w:val="auto"/>
          <w:sz w:val="21"/>
          <w:szCs w:val="21"/>
          <w:lang w:eastAsia="zh-CN"/>
        </w:rPr>
        <w:t>软装施工</w:t>
      </w:r>
      <w:r>
        <w:rPr>
          <w:rFonts w:hint="eastAsia" w:ascii="宋体" w:hAnsi="宋体" w:eastAsia="宋体"/>
          <w:color w:val="auto"/>
          <w:sz w:val="21"/>
          <w:szCs w:val="21"/>
          <w:lang w:val="en-US" w:eastAsia="zh-CN"/>
        </w:rPr>
        <w:t>将分</w:t>
      </w:r>
      <w:r>
        <w:rPr>
          <w:rFonts w:hint="eastAsia" w:hAnsi="宋体"/>
          <w:color w:val="auto"/>
          <w:sz w:val="21"/>
          <w:szCs w:val="21"/>
          <w:lang w:val="en-US" w:eastAsia="zh-CN"/>
        </w:rPr>
        <w:t>三</w:t>
      </w:r>
      <w:r>
        <w:rPr>
          <w:rFonts w:hint="eastAsia" w:ascii="宋体" w:hAnsi="宋体" w:eastAsia="宋体"/>
          <w:color w:val="auto"/>
          <w:sz w:val="21"/>
          <w:szCs w:val="21"/>
          <w:lang w:val="en-US" w:eastAsia="zh-CN"/>
        </w:rPr>
        <w:t>批次进场施工，每批次具体开工时间以采购人通知为准，单批次</w:t>
      </w:r>
      <w:r>
        <w:rPr>
          <w:rFonts w:hint="eastAsia" w:ascii="宋体" w:hAnsi="宋体" w:eastAsia="宋体"/>
          <w:color w:val="auto"/>
          <w:sz w:val="21"/>
          <w:szCs w:val="21"/>
        </w:rPr>
        <w:t>开工后30天内完成</w:t>
      </w:r>
      <w:r>
        <w:rPr>
          <w:rFonts w:hint="eastAsia" w:ascii="宋体" w:eastAsia="宋体"/>
          <w:color w:val="auto"/>
          <w:sz w:val="21"/>
        </w:rPr>
        <w:t>项目</w:t>
      </w:r>
      <w:r>
        <w:rPr>
          <w:rFonts w:hint="eastAsia" w:ascii="宋体" w:eastAsia="宋体"/>
          <w:color w:val="auto"/>
          <w:sz w:val="21"/>
          <w:lang w:val="en-US" w:eastAsia="zh-CN"/>
        </w:rPr>
        <w:t>该批次</w:t>
      </w:r>
      <w:r>
        <w:rPr>
          <w:rFonts w:hint="eastAsia" w:ascii="宋体" w:eastAsia="宋体"/>
          <w:color w:val="auto"/>
          <w:sz w:val="21"/>
        </w:rPr>
        <w:t>所有货物采购、安装、调试等相关配套服务工作</w:t>
      </w:r>
      <w:r>
        <w:rPr>
          <w:rFonts w:hint="eastAsia" w:ascii="宋体" w:hAnsi="宋体" w:eastAsia="宋体" w:cs="宋体"/>
          <w:color w:val="auto"/>
          <w:kern w:val="0"/>
          <w:sz w:val="21"/>
          <w:szCs w:val="21"/>
          <w:highlight w:val="none"/>
          <w:lang w:val="en-US" w:eastAsia="zh-CN" w:bidi="ar-SA"/>
        </w:rPr>
        <w:t>。</w:t>
      </w:r>
    </w:p>
    <w:p w14:paraId="1258CD6E">
      <w:pPr>
        <w:keepNext w:val="0"/>
        <w:keepLines w:val="0"/>
        <w:pageBreakBefore w:val="0"/>
        <w:widowControl/>
        <w:suppressLineNumbers w:val="0"/>
        <w:kinsoku/>
        <w:wordWrap/>
        <w:overflowPunct/>
        <w:topLinePunct w:val="0"/>
        <w:bidi w:val="0"/>
        <w:snapToGrid/>
        <w:spacing w:line="360" w:lineRule="auto"/>
        <w:jc w:val="left"/>
        <w:textAlignment w:val="auto"/>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kern w:val="0"/>
          <w:sz w:val="21"/>
          <w:szCs w:val="21"/>
          <w:highlight w:val="none"/>
          <w:lang w:val="en-US" w:eastAsia="zh-CN" w:bidi="ar-SA"/>
        </w:rPr>
        <w:t>五、质量要求</w:t>
      </w:r>
    </w:p>
    <w:p w14:paraId="2446C29E">
      <w:pPr>
        <w:pStyle w:val="77"/>
        <w:keepNext w:val="0"/>
        <w:keepLines w:val="0"/>
        <w:pageBreakBefore w:val="0"/>
        <w:kinsoku/>
        <w:wordWrap/>
        <w:overflowPunct/>
        <w:topLinePunct w:val="0"/>
        <w:bidi w:val="0"/>
        <w:snapToGrid/>
        <w:spacing w:line="360"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质保期内非采购人人为造成的问题，成交供应商予以维修或退货；在使用过程中如发现所提供产品的规格、技术参数等与采购人质量技术要求不符合或出现质量问题，成交供应商须应采购人的要求予以调换或退货，并承担修理、调换或退货的实际费用。若出现质量问题通过维修可以解决且采购人同意并要求维修的，成交供应商须在采购人提出上述要求后3个小时内到达现场，并在12小时内修复，否则，采购人可自行委托第三方进行维修，费用由成交供应商承担。</w:t>
      </w:r>
    </w:p>
    <w:p w14:paraId="36FA1AAA">
      <w:pPr>
        <w:pStyle w:val="77"/>
        <w:keepNext w:val="0"/>
        <w:keepLines w:val="0"/>
        <w:pageBreakBefore w:val="0"/>
        <w:numPr>
          <w:ilvl w:val="0"/>
          <w:numId w:val="11"/>
        </w:numPr>
        <w:kinsoku/>
        <w:wordWrap/>
        <w:overflowPunct/>
        <w:topLinePunct w:val="0"/>
        <w:bidi w:val="0"/>
        <w:snapToGrid/>
        <w:spacing w:line="360" w:lineRule="auto"/>
        <w:ind w:firstLine="0" w:firstLineChars="0"/>
        <w:jc w:val="left"/>
        <w:textAlignment w:val="auto"/>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kern w:val="0"/>
          <w:sz w:val="21"/>
          <w:szCs w:val="21"/>
          <w:highlight w:val="none"/>
          <w:lang w:val="en-US" w:eastAsia="zh-CN" w:bidi="ar-SA"/>
        </w:rPr>
        <w:t>报价要求</w:t>
      </w:r>
    </w:p>
    <w:p w14:paraId="2F990040">
      <w:pPr>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本项目采用总价包干的形式进行报价。成交价为完成项目</w:t>
      </w:r>
      <w:r>
        <w:rPr>
          <w:rFonts w:hint="eastAsia" w:hAnsi="宋体"/>
          <w:color w:val="auto"/>
          <w:sz w:val="21"/>
          <w:szCs w:val="21"/>
          <w:highlight w:val="none"/>
          <w:lang w:val="en-US" w:eastAsia="zh-CN"/>
        </w:rPr>
        <w:t>图纸及</w:t>
      </w:r>
      <w:r>
        <w:rPr>
          <w:rFonts w:hint="eastAsia" w:hAnsi="宋体"/>
          <w:color w:val="auto"/>
          <w:sz w:val="21"/>
          <w:szCs w:val="21"/>
          <w:highlight w:val="none"/>
        </w:rPr>
        <w:t>工程量清单范围内全部工作所需的一切成本、费用、税金和利润等。包括但不限于以下内容：</w:t>
      </w:r>
    </w:p>
    <w:p w14:paraId="4AAFD50D">
      <w:pPr>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（1）货物原价。含原材料、标准件、配套件及加工产品整个过程中的一切费用并包括随货物供应的易损件、备品备件、专用工具和应提供的图纸资料等价格在内。</w:t>
      </w:r>
    </w:p>
    <w:p w14:paraId="7E03223F">
      <w:pPr>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（2）包装费、运输费、装卸费、安装费、材料供销部门手续费、材料验收之前的保险费、服务费和各种税费（含从国外进口到境内货物应付的关税、增值税、保险费、清关费等），其中运输费系指由</w:t>
      </w:r>
      <w:r>
        <w:rPr>
          <w:rFonts w:hint="eastAsia" w:hAnsi="宋体"/>
          <w:color w:val="auto"/>
          <w:sz w:val="21"/>
          <w:szCs w:val="21"/>
          <w:highlight w:val="none"/>
          <w:lang w:eastAsia="zh-CN"/>
        </w:rPr>
        <w:t>成交供应商</w:t>
      </w:r>
      <w:r>
        <w:rPr>
          <w:rFonts w:hint="eastAsia" w:hAnsi="宋体"/>
          <w:color w:val="auto"/>
          <w:sz w:val="21"/>
          <w:szCs w:val="21"/>
          <w:highlight w:val="none"/>
        </w:rPr>
        <w:t>将货物运至交货地点发生的所有运输费用。</w:t>
      </w:r>
    </w:p>
    <w:p w14:paraId="507A3101">
      <w:pPr>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rPr>
        <w:t>（3）</w:t>
      </w:r>
      <w:r>
        <w:rPr>
          <w:rFonts w:hint="eastAsia" w:hAnsi="宋体"/>
          <w:color w:val="auto"/>
          <w:sz w:val="21"/>
          <w:szCs w:val="21"/>
          <w:highlight w:val="none"/>
          <w:lang w:eastAsia="zh-CN"/>
        </w:rPr>
        <w:t>成交供应商</w:t>
      </w:r>
      <w:r>
        <w:rPr>
          <w:rFonts w:hint="eastAsia" w:hAnsi="宋体"/>
          <w:color w:val="auto"/>
          <w:sz w:val="21"/>
          <w:szCs w:val="21"/>
          <w:highlight w:val="none"/>
        </w:rPr>
        <w:t>在提前得到</w:t>
      </w:r>
      <w:r>
        <w:rPr>
          <w:rFonts w:hint="eastAsia" w:hAnsi="宋体"/>
          <w:color w:val="auto"/>
          <w:sz w:val="21"/>
          <w:szCs w:val="21"/>
          <w:highlight w:val="none"/>
          <w:lang w:eastAsia="zh-CN"/>
        </w:rPr>
        <w:t>采购人</w:t>
      </w:r>
      <w:r>
        <w:rPr>
          <w:rFonts w:hint="eastAsia" w:hAnsi="宋体"/>
          <w:color w:val="auto"/>
          <w:sz w:val="21"/>
          <w:szCs w:val="21"/>
          <w:highlight w:val="none"/>
        </w:rPr>
        <w:t>允许并保证原软装设计方案整体效果的前提下，可进行局部软装方案优化调整，并承担所涉及的一切费用，同时确保装修品质、效果、工料规范等要求均完全满足</w:t>
      </w:r>
      <w:r>
        <w:rPr>
          <w:rFonts w:hint="eastAsia" w:hAnsi="宋体"/>
          <w:color w:val="auto"/>
          <w:sz w:val="21"/>
          <w:szCs w:val="21"/>
          <w:highlight w:val="none"/>
          <w:lang w:eastAsia="zh-CN"/>
        </w:rPr>
        <w:t>采购人</w:t>
      </w:r>
      <w:r>
        <w:rPr>
          <w:rFonts w:hint="eastAsia" w:hAnsi="宋体"/>
          <w:color w:val="auto"/>
          <w:sz w:val="21"/>
          <w:szCs w:val="21"/>
          <w:highlight w:val="none"/>
        </w:rPr>
        <w:t>要求并达到各方面满意程度。</w:t>
      </w:r>
    </w:p>
    <w:p w14:paraId="58EB6DCA">
      <w:pPr>
        <w:spacing w:line="360" w:lineRule="auto"/>
        <w:ind w:firstLine="420" w:firstLineChars="200"/>
        <w:rPr>
          <w:rFonts w:hAnsi="宋体"/>
          <w:b/>
          <w:bCs/>
          <w:color w:val="auto"/>
          <w:sz w:val="21"/>
          <w:szCs w:val="21"/>
          <w:highlight w:val="none"/>
        </w:rPr>
      </w:pPr>
      <w:r>
        <w:rPr>
          <w:rFonts w:hint="eastAsia" w:hAnsi="宋体"/>
          <w:color w:val="auto"/>
          <w:sz w:val="21"/>
          <w:szCs w:val="21"/>
          <w:highlight w:val="none"/>
          <w:lang w:eastAsia="zh-CN"/>
        </w:rPr>
        <w:t>（</w:t>
      </w:r>
      <w:r>
        <w:rPr>
          <w:rFonts w:hint="eastAsia" w:hAnsi="宋体"/>
          <w:color w:val="auto"/>
          <w:sz w:val="21"/>
          <w:szCs w:val="21"/>
          <w:highlight w:val="none"/>
          <w:lang w:val="en-US" w:eastAsia="zh-CN"/>
        </w:rPr>
        <w:t>4</w:t>
      </w:r>
      <w:r>
        <w:rPr>
          <w:rFonts w:hint="eastAsia" w:hAnsi="宋体"/>
          <w:color w:val="auto"/>
          <w:sz w:val="21"/>
          <w:szCs w:val="21"/>
          <w:highlight w:val="none"/>
          <w:lang w:eastAsia="zh-CN"/>
        </w:rPr>
        <w:t>）</w:t>
      </w:r>
      <w:r>
        <w:rPr>
          <w:rFonts w:hint="eastAsia" w:hAnsi="宋体"/>
          <w:color w:val="auto"/>
          <w:sz w:val="21"/>
          <w:szCs w:val="21"/>
          <w:highlight w:val="none"/>
        </w:rPr>
        <w:t>供应商应综合考虑并自行填报该工程实际发生的规费、税金情况，未填报或填报内容及费率错误的视为报价中已包含在各分项综合单价中。</w:t>
      </w:r>
    </w:p>
    <w:p w14:paraId="5C340243">
      <w:pPr>
        <w:pStyle w:val="77"/>
        <w:keepNext w:val="0"/>
        <w:keepLines w:val="0"/>
        <w:pageBreakBefore w:val="0"/>
        <w:numPr>
          <w:ilvl w:val="-1"/>
          <w:numId w:val="0"/>
        </w:numPr>
        <w:kinsoku/>
        <w:wordWrap/>
        <w:overflowPunct/>
        <w:topLinePunct w:val="0"/>
        <w:bidi w:val="0"/>
        <w:snapToGrid/>
        <w:spacing w:line="360" w:lineRule="auto"/>
        <w:ind w:firstLine="0" w:firstLineChars="0"/>
        <w:jc w:val="left"/>
        <w:textAlignment w:val="auto"/>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kern w:val="0"/>
          <w:sz w:val="21"/>
          <w:szCs w:val="21"/>
          <w:highlight w:val="none"/>
          <w:lang w:val="en-US" w:eastAsia="zh-CN" w:bidi="ar-SA"/>
        </w:rPr>
        <w:t>七、付款方式</w:t>
      </w:r>
    </w:p>
    <w:p w14:paraId="140EABBF">
      <w:pPr>
        <w:spacing w:line="360" w:lineRule="auto"/>
        <w:ind w:firstLine="420" w:firstLineChars="200"/>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bidi="ar-SA"/>
        </w:rPr>
        <w:t>1、合同签订后，</w:t>
      </w:r>
      <w:r>
        <w:rPr>
          <w:rFonts w:hint="eastAsia" w:ascii="宋体" w:hAnsi="宋体" w:eastAsia="宋体" w:cs="宋体"/>
          <w:color w:val="auto"/>
          <w:kern w:val="0"/>
          <w:sz w:val="21"/>
          <w:szCs w:val="21"/>
          <w:highlight w:val="none"/>
          <w:lang w:val="en-US" w:eastAsia="zh-CN" w:bidi="ar-SA"/>
        </w:rPr>
        <w:t>成交供应商</w:t>
      </w:r>
      <w:r>
        <w:rPr>
          <w:rFonts w:hint="eastAsia" w:ascii="宋体" w:hAnsi="宋体" w:eastAsia="宋体" w:cs="宋体"/>
          <w:b w:val="0"/>
          <w:bCs w:val="0"/>
          <w:color w:val="auto"/>
          <w:kern w:val="0"/>
          <w:sz w:val="21"/>
          <w:szCs w:val="21"/>
          <w:highlight w:val="none"/>
          <w:lang w:val="en-US" w:eastAsia="zh-CN" w:bidi="ar-SA"/>
        </w:rPr>
        <w:t>向</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提供合法等额的增值税专用发票和其他请款资料经</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确认无误10个工作日内，</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向</w:t>
      </w:r>
      <w:r>
        <w:rPr>
          <w:rFonts w:hint="eastAsia" w:ascii="宋体" w:hAnsi="宋体" w:eastAsia="宋体" w:cs="宋体"/>
          <w:color w:val="auto"/>
          <w:kern w:val="0"/>
          <w:sz w:val="21"/>
          <w:szCs w:val="21"/>
          <w:highlight w:val="none"/>
          <w:lang w:val="en-US" w:eastAsia="zh-CN" w:bidi="ar-SA"/>
        </w:rPr>
        <w:t>成交供应商</w:t>
      </w:r>
      <w:r>
        <w:rPr>
          <w:rFonts w:hint="eastAsia" w:ascii="宋体" w:hAnsi="宋体" w:eastAsia="宋体" w:cs="宋体"/>
          <w:b w:val="0"/>
          <w:bCs w:val="0"/>
          <w:color w:val="auto"/>
          <w:kern w:val="0"/>
          <w:sz w:val="21"/>
          <w:szCs w:val="21"/>
          <w:highlight w:val="none"/>
          <w:lang w:val="en-US" w:eastAsia="zh-CN" w:bidi="ar-SA"/>
        </w:rPr>
        <w:t>支付合同总价款的10%作为预付款。</w:t>
      </w:r>
    </w:p>
    <w:p w14:paraId="475758AA">
      <w:pPr>
        <w:spacing w:line="360" w:lineRule="auto"/>
        <w:ind w:firstLine="420" w:firstLineChars="200"/>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bidi="ar-SA"/>
        </w:rPr>
        <w:t>2、软装到货至</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指定地点，经</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确认后，</w:t>
      </w:r>
      <w:r>
        <w:rPr>
          <w:rFonts w:hint="eastAsia" w:ascii="宋体" w:hAnsi="宋体" w:eastAsia="宋体" w:cs="宋体"/>
          <w:color w:val="auto"/>
          <w:kern w:val="0"/>
          <w:sz w:val="21"/>
          <w:szCs w:val="21"/>
          <w:highlight w:val="none"/>
          <w:lang w:val="en-US" w:eastAsia="zh-CN" w:bidi="ar-SA"/>
        </w:rPr>
        <w:t>成交供应商</w:t>
      </w:r>
      <w:r>
        <w:rPr>
          <w:rFonts w:hint="eastAsia" w:ascii="宋体" w:hAnsi="宋体" w:eastAsia="宋体" w:cs="宋体"/>
          <w:b w:val="0"/>
          <w:bCs w:val="0"/>
          <w:color w:val="auto"/>
          <w:kern w:val="0"/>
          <w:sz w:val="21"/>
          <w:szCs w:val="21"/>
          <w:highlight w:val="none"/>
          <w:lang w:val="en-US" w:eastAsia="zh-CN" w:bidi="ar-SA"/>
        </w:rPr>
        <w:t>向</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提供合法等额的增值税专用发票和其他请款资料经</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确认无误10个工作日内，</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向</w:t>
      </w:r>
      <w:r>
        <w:rPr>
          <w:rFonts w:hint="eastAsia" w:ascii="宋体" w:hAnsi="宋体" w:eastAsia="宋体" w:cs="宋体"/>
          <w:color w:val="auto"/>
          <w:kern w:val="0"/>
          <w:sz w:val="21"/>
          <w:szCs w:val="21"/>
          <w:highlight w:val="none"/>
          <w:lang w:val="en-US" w:eastAsia="zh-CN" w:bidi="ar-SA"/>
        </w:rPr>
        <w:t>成交供应商</w:t>
      </w:r>
      <w:r>
        <w:rPr>
          <w:rFonts w:hint="eastAsia" w:ascii="宋体" w:hAnsi="宋体" w:eastAsia="宋体" w:cs="宋体"/>
          <w:b w:val="0"/>
          <w:bCs w:val="0"/>
          <w:color w:val="auto"/>
          <w:kern w:val="0"/>
          <w:sz w:val="21"/>
          <w:szCs w:val="21"/>
          <w:highlight w:val="none"/>
          <w:lang w:val="en-US" w:eastAsia="zh-CN" w:bidi="ar-SA"/>
        </w:rPr>
        <w:t>支付至</w:t>
      </w:r>
      <w:r>
        <w:rPr>
          <w:rFonts w:hint="eastAsia" w:hAnsi="宋体" w:cs="宋体"/>
          <w:b w:val="0"/>
          <w:bCs w:val="0"/>
          <w:color w:val="auto"/>
          <w:kern w:val="0"/>
          <w:sz w:val="21"/>
          <w:szCs w:val="21"/>
          <w:highlight w:val="none"/>
          <w:lang w:val="en-US" w:eastAsia="zh-CN" w:bidi="ar-SA"/>
        </w:rPr>
        <w:t>已到货工程量价款</w:t>
      </w:r>
      <w:r>
        <w:rPr>
          <w:rFonts w:hint="eastAsia" w:ascii="宋体" w:hAnsi="宋体" w:eastAsia="宋体" w:cs="宋体"/>
          <w:b w:val="0"/>
          <w:bCs w:val="0"/>
          <w:color w:val="auto"/>
          <w:kern w:val="0"/>
          <w:sz w:val="21"/>
          <w:szCs w:val="21"/>
          <w:highlight w:val="none"/>
          <w:lang w:val="en-US" w:eastAsia="zh-CN" w:bidi="ar-SA"/>
        </w:rPr>
        <w:t>的50%。</w:t>
      </w:r>
    </w:p>
    <w:p w14:paraId="4C4C47CA">
      <w:pPr>
        <w:spacing w:line="360" w:lineRule="auto"/>
        <w:ind w:firstLine="420" w:firstLineChars="200"/>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bidi="ar-SA"/>
        </w:rPr>
        <w:t>3、项目完成摆场并经</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验收合格后，</w:t>
      </w:r>
      <w:r>
        <w:rPr>
          <w:rFonts w:hint="eastAsia" w:ascii="宋体" w:hAnsi="宋体" w:eastAsia="宋体" w:cs="宋体"/>
          <w:color w:val="auto"/>
          <w:kern w:val="0"/>
          <w:sz w:val="21"/>
          <w:szCs w:val="21"/>
          <w:highlight w:val="none"/>
          <w:lang w:val="en-US" w:eastAsia="zh-CN" w:bidi="ar-SA"/>
        </w:rPr>
        <w:t>成交供应商</w:t>
      </w:r>
      <w:r>
        <w:rPr>
          <w:rFonts w:hint="eastAsia" w:ascii="宋体" w:hAnsi="宋体" w:eastAsia="宋体" w:cs="宋体"/>
          <w:b w:val="0"/>
          <w:bCs w:val="0"/>
          <w:color w:val="auto"/>
          <w:kern w:val="0"/>
          <w:sz w:val="21"/>
          <w:szCs w:val="21"/>
          <w:highlight w:val="none"/>
          <w:lang w:val="en-US" w:eastAsia="zh-CN" w:bidi="ar-SA"/>
        </w:rPr>
        <w:t>向</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提供合法等额的增值税专用发票和其他请款资料经</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确认无误10个工作日内，</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向</w:t>
      </w:r>
      <w:r>
        <w:rPr>
          <w:rFonts w:hint="eastAsia" w:ascii="宋体" w:hAnsi="宋体" w:eastAsia="宋体" w:cs="宋体"/>
          <w:color w:val="auto"/>
          <w:kern w:val="0"/>
          <w:sz w:val="21"/>
          <w:szCs w:val="21"/>
          <w:highlight w:val="none"/>
          <w:lang w:val="en-US" w:eastAsia="zh-CN" w:bidi="ar-SA"/>
        </w:rPr>
        <w:t>成交供应商</w:t>
      </w:r>
      <w:r>
        <w:rPr>
          <w:rFonts w:hint="eastAsia" w:ascii="宋体" w:hAnsi="宋体" w:eastAsia="宋体" w:cs="宋体"/>
          <w:b w:val="0"/>
          <w:bCs w:val="0"/>
          <w:color w:val="auto"/>
          <w:kern w:val="0"/>
          <w:sz w:val="21"/>
          <w:szCs w:val="21"/>
          <w:highlight w:val="none"/>
          <w:lang w:val="en-US" w:eastAsia="zh-CN" w:bidi="ar-SA"/>
        </w:rPr>
        <w:t>支付至</w:t>
      </w:r>
      <w:r>
        <w:rPr>
          <w:rFonts w:hint="eastAsia" w:hAnsi="宋体" w:cs="宋体"/>
          <w:b w:val="0"/>
          <w:bCs w:val="0"/>
          <w:color w:val="auto"/>
          <w:kern w:val="0"/>
          <w:sz w:val="21"/>
          <w:szCs w:val="21"/>
          <w:highlight w:val="none"/>
          <w:lang w:val="en-US" w:eastAsia="zh-CN" w:bidi="ar-SA"/>
        </w:rPr>
        <w:t>已验收合格工程量价款</w:t>
      </w:r>
      <w:r>
        <w:rPr>
          <w:rFonts w:hint="eastAsia" w:ascii="宋体" w:hAnsi="宋体" w:eastAsia="宋体" w:cs="宋体"/>
          <w:b w:val="0"/>
          <w:bCs w:val="0"/>
          <w:color w:val="auto"/>
          <w:kern w:val="0"/>
          <w:sz w:val="21"/>
          <w:szCs w:val="21"/>
          <w:highlight w:val="none"/>
          <w:lang w:val="en-US" w:eastAsia="zh-CN" w:bidi="ar-SA"/>
        </w:rPr>
        <w:t>的85%。</w:t>
      </w:r>
    </w:p>
    <w:p w14:paraId="64EF6FA2">
      <w:pPr>
        <w:spacing w:line="360" w:lineRule="auto"/>
        <w:ind w:firstLine="420" w:firstLineChars="200"/>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bidi="ar-SA"/>
        </w:rPr>
        <w:t>4、双方办理结算后，</w:t>
      </w:r>
      <w:r>
        <w:rPr>
          <w:rFonts w:hint="eastAsia" w:ascii="宋体" w:hAnsi="宋体" w:eastAsia="宋体" w:cs="宋体"/>
          <w:color w:val="auto"/>
          <w:kern w:val="0"/>
          <w:sz w:val="21"/>
          <w:szCs w:val="21"/>
          <w:highlight w:val="none"/>
          <w:lang w:val="en-US" w:eastAsia="zh-CN" w:bidi="ar-SA"/>
        </w:rPr>
        <w:t>成交供应商</w:t>
      </w:r>
      <w:r>
        <w:rPr>
          <w:rFonts w:hint="eastAsia" w:ascii="宋体" w:hAnsi="宋体" w:eastAsia="宋体" w:cs="宋体"/>
          <w:b w:val="0"/>
          <w:bCs w:val="0"/>
          <w:color w:val="auto"/>
          <w:kern w:val="0"/>
          <w:sz w:val="21"/>
          <w:szCs w:val="21"/>
          <w:highlight w:val="none"/>
          <w:lang w:val="en-US" w:eastAsia="zh-CN" w:bidi="ar-SA"/>
        </w:rPr>
        <w:t>向</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提供合法等额的增值税专用发票和其他请款资料经</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确认无误10个工作日内，</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向</w:t>
      </w:r>
      <w:r>
        <w:rPr>
          <w:rFonts w:hint="eastAsia" w:ascii="宋体" w:hAnsi="宋体" w:eastAsia="宋体" w:cs="宋体"/>
          <w:color w:val="auto"/>
          <w:kern w:val="0"/>
          <w:sz w:val="21"/>
          <w:szCs w:val="21"/>
          <w:highlight w:val="none"/>
          <w:lang w:val="en-US" w:eastAsia="zh-CN" w:bidi="ar-SA"/>
        </w:rPr>
        <w:t>成交供应商</w:t>
      </w:r>
      <w:r>
        <w:rPr>
          <w:rFonts w:hint="eastAsia" w:ascii="宋体" w:hAnsi="宋体" w:eastAsia="宋体" w:cs="宋体"/>
          <w:b w:val="0"/>
          <w:bCs w:val="0"/>
          <w:color w:val="auto"/>
          <w:kern w:val="0"/>
          <w:sz w:val="21"/>
          <w:szCs w:val="21"/>
          <w:highlight w:val="none"/>
          <w:lang w:val="en-US" w:eastAsia="zh-CN" w:bidi="ar-SA"/>
        </w:rPr>
        <w:t>支付至结算总价款的97%。</w:t>
      </w:r>
    </w:p>
    <w:p w14:paraId="1A1B0719">
      <w:pPr>
        <w:spacing w:line="360" w:lineRule="auto"/>
        <w:ind w:firstLine="420" w:firstLineChars="200"/>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bidi="ar-SA"/>
        </w:rPr>
        <w:t>5、剩余结算总价款的3%作为质量保证金，项目质保期满（保修期两年，从验收合格之日起计算）后，</w:t>
      </w:r>
      <w:r>
        <w:rPr>
          <w:rFonts w:hint="eastAsia" w:ascii="宋体" w:hAnsi="宋体" w:eastAsia="宋体" w:cs="宋体"/>
          <w:color w:val="auto"/>
          <w:kern w:val="0"/>
          <w:sz w:val="21"/>
          <w:szCs w:val="21"/>
          <w:highlight w:val="none"/>
          <w:lang w:val="en-US" w:eastAsia="zh-CN" w:bidi="ar-SA"/>
        </w:rPr>
        <w:t>成交供应商</w:t>
      </w:r>
      <w:r>
        <w:rPr>
          <w:rFonts w:hint="eastAsia" w:ascii="宋体" w:hAnsi="宋体" w:eastAsia="宋体" w:cs="宋体"/>
          <w:b w:val="0"/>
          <w:bCs w:val="0"/>
          <w:color w:val="auto"/>
          <w:kern w:val="0"/>
          <w:sz w:val="21"/>
          <w:szCs w:val="21"/>
          <w:highlight w:val="none"/>
          <w:lang w:val="en-US" w:eastAsia="zh-CN" w:bidi="ar-SA"/>
        </w:rPr>
        <w:t>向</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提供相应的请款资料，</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收到并核对无误后10个工作日内将扣罚后剩余的质量保证金一次性无息付清。</w:t>
      </w:r>
    </w:p>
    <w:p w14:paraId="7301E80A">
      <w:pPr>
        <w:spacing w:line="360" w:lineRule="auto"/>
        <w:ind w:firstLine="420" w:firstLineChars="200"/>
        <w:rPr>
          <w:rFonts w:hint="eastAsia" w:ascii="宋体" w:hAnsi="宋体" w:eastAsia="宋体" w:cs="宋体"/>
          <w:b w:val="0"/>
          <w:bCs w:val="0"/>
          <w:color w:val="auto"/>
          <w:kern w:val="0"/>
          <w:sz w:val="21"/>
          <w:szCs w:val="21"/>
          <w:highlight w:val="none"/>
          <w:lang w:val="en-US" w:eastAsia="zh-CN" w:bidi="ar-SA"/>
        </w:rPr>
      </w:pPr>
      <w:r>
        <w:rPr>
          <w:rFonts w:hint="eastAsia" w:ascii="宋体" w:hAnsi="宋体" w:eastAsia="宋体" w:cs="宋体"/>
          <w:b w:val="0"/>
          <w:bCs w:val="0"/>
          <w:color w:val="auto"/>
          <w:kern w:val="0"/>
          <w:sz w:val="21"/>
          <w:szCs w:val="21"/>
          <w:highlight w:val="none"/>
          <w:lang w:val="en-US" w:eastAsia="zh-CN" w:bidi="ar-SA"/>
        </w:rPr>
        <w:t>6、</w:t>
      </w:r>
      <w:r>
        <w:rPr>
          <w:rFonts w:hint="eastAsia" w:ascii="宋体" w:hAnsi="宋体" w:eastAsia="宋体" w:cs="宋体"/>
          <w:color w:val="auto"/>
          <w:kern w:val="0"/>
          <w:sz w:val="21"/>
          <w:szCs w:val="21"/>
          <w:highlight w:val="none"/>
          <w:lang w:val="en-US" w:eastAsia="zh-CN" w:bidi="ar-SA"/>
        </w:rPr>
        <w:t>成交供应商</w:t>
      </w:r>
      <w:r>
        <w:rPr>
          <w:rFonts w:hint="eastAsia" w:ascii="宋体" w:hAnsi="宋体" w:eastAsia="宋体" w:cs="宋体"/>
          <w:b w:val="0"/>
          <w:bCs w:val="0"/>
          <w:color w:val="auto"/>
          <w:kern w:val="0"/>
          <w:sz w:val="21"/>
          <w:szCs w:val="21"/>
          <w:highlight w:val="none"/>
          <w:lang w:val="en-US" w:eastAsia="zh-CN" w:bidi="ar-SA"/>
        </w:rPr>
        <w:t>提交的增值税专用发票须备注栏写明项目名称、合同名称及项目地址。按照现行税收政策规定，每次付款前，</w:t>
      </w:r>
      <w:r>
        <w:rPr>
          <w:rFonts w:hint="eastAsia" w:ascii="宋体" w:hAnsi="宋体" w:eastAsia="宋体" w:cs="宋体"/>
          <w:color w:val="auto"/>
          <w:kern w:val="0"/>
          <w:sz w:val="21"/>
          <w:szCs w:val="21"/>
          <w:highlight w:val="none"/>
          <w:lang w:val="en-US" w:eastAsia="zh-CN" w:bidi="ar-SA"/>
        </w:rPr>
        <w:t>成交供应商</w:t>
      </w:r>
      <w:r>
        <w:rPr>
          <w:rFonts w:hint="eastAsia" w:ascii="宋体" w:hAnsi="宋体" w:eastAsia="宋体" w:cs="宋体"/>
          <w:b w:val="0"/>
          <w:bCs w:val="0"/>
          <w:color w:val="auto"/>
          <w:kern w:val="0"/>
          <w:sz w:val="21"/>
          <w:szCs w:val="21"/>
          <w:highlight w:val="none"/>
          <w:lang w:val="en-US" w:eastAsia="zh-CN" w:bidi="ar-SA"/>
        </w:rPr>
        <w:t>必须提供合法、有效、与本合同总价款条款中增值税税率一致的增值税专用发票给</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，否则</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有权拒绝付款且不构成违约；在</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除支付质保金（若有）外的最后一期款项前，</w:t>
      </w:r>
      <w:r>
        <w:rPr>
          <w:rFonts w:hint="eastAsia" w:ascii="宋体" w:hAnsi="宋体" w:eastAsia="宋体" w:cs="宋体"/>
          <w:color w:val="auto"/>
          <w:kern w:val="0"/>
          <w:sz w:val="21"/>
          <w:szCs w:val="21"/>
          <w:highlight w:val="none"/>
          <w:lang w:val="en-US" w:eastAsia="zh-CN" w:bidi="ar-SA"/>
        </w:rPr>
        <w:t>成交供应商</w:t>
      </w:r>
      <w:r>
        <w:rPr>
          <w:rFonts w:hint="eastAsia" w:ascii="宋体" w:hAnsi="宋体" w:eastAsia="宋体" w:cs="宋体"/>
          <w:b w:val="0"/>
          <w:bCs w:val="0"/>
          <w:color w:val="auto"/>
          <w:kern w:val="0"/>
          <w:sz w:val="21"/>
          <w:szCs w:val="21"/>
          <w:highlight w:val="none"/>
          <w:lang w:val="en-US" w:eastAsia="zh-CN" w:bidi="ar-SA"/>
        </w:rPr>
        <w:t>须连同当期支付款项发票和质保金（若有）发票一并提交给</w:t>
      </w:r>
      <w:r>
        <w:rPr>
          <w:rFonts w:hint="eastAsia" w:hAnsi="宋体" w:cs="宋体"/>
          <w:b w:val="0"/>
          <w:bCs w:val="0"/>
          <w:color w:val="auto"/>
          <w:kern w:val="0"/>
          <w:sz w:val="21"/>
          <w:szCs w:val="21"/>
          <w:highlight w:val="none"/>
          <w:lang w:val="en-US" w:eastAsia="zh-CN" w:bidi="ar-SA"/>
        </w:rPr>
        <w:t>采购人</w:t>
      </w:r>
      <w:r>
        <w:rPr>
          <w:rFonts w:hint="eastAsia" w:ascii="宋体" w:hAnsi="宋体" w:eastAsia="宋体" w:cs="宋体"/>
          <w:b w:val="0"/>
          <w:bCs w:val="0"/>
          <w:color w:val="auto"/>
          <w:kern w:val="0"/>
          <w:sz w:val="21"/>
          <w:szCs w:val="21"/>
          <w:highlight w:val="none"/>
          <w:lang w:val="en-US" w:eastAsia="zh-CN" w:bidi="ar-SA"/>
        </w:rPr>
        <w:t>；若后期出现质保问题，按照质保责任和条款，部分或全部扣除质保金（若有）的，不退还相应金额的发票。若合同执行期间，遇国家税务政策调整所引起的合同价格变化，按照不含税价格调整结算价格。</w:t>
      </w:r>
    </w:p>
    <w:p w14:paraId="41AF7669">
      <w:pPr>
        <w:spacing w:line="360" w:lineRule="auto"/>
        <w:ind w:firstLine="0" w:firstLineChars="0"/>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kern w:val="0"/>
          <w:sz w:val="21"/>
          <w:szCs w:val="21"/>
          <w:highlight w:val="none"/>
          <w:lang w:val="en-US" w:eastAsia="zh-CN" w:bidi="ar-SA"/>
        </w:rPr>
        <w:t>八、项目完工验收及标准</w:t>
      </w:r>
    </w:p>
    <w:p w14:paraId="1D7DC920">
      <w:pPr>
        <w:spacing w:line="360" w:lineRule="auto"/>
        <w:ind w:firstLine="420" w:firstLineChars="200"/>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项目完工后成交供应商以书面形式通知采购人验收，由双方派代表到现场验收，验收以深化图、报价单所载明的技术标准和数量进行。物品采购及项目质量须符合国家、广东省及东莞市现行验收规范。如果现行的国家及东莞市有关标准、规范与采购人或磋商文件约定的要求不一致时，采用要求较高的标准。选用的装饰材料及装饰部品件的质量除应符合该产品有关标准的质量要求和设计要求外，还必须符合相关室内装饰装修材料的系列标准，成交供应商应提供产品质保书或检验报告，施工前必须对装饰材料及装饰部品件进行验证后方可进行施工。若采购人、成交供应商有争议时，可由市级法定建材质检机构进行检验鉴定。</w:t>
      </w:r>
    </w:p>
    <w:p w14:paraId="6A4BBD5B">
      <w:pPr>
        <w:spacing w:line="360" w:lineRule="auto"/>
        <w:ind w:firstLine="420" w:firstLineChars="200"/>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2、如经验收合格，则由采购人签发验收合格证书给成交供应商，成交供应商应立即清理项目现场，如验收不合格，成交供应商负责立即修正、更换或重做，直到验收合格为止。</w:t>
      </w:r>
    </w:p>
    <w:p w14:paraId="4AB62D51">
      <w:pPr>
        <w:keepNext w:val="0"/>
        <w:keepLines w:val="0"/>
        <w:pageBreakBefore w:val="0"/>
        <w:widowControl w:val="0"/>
        <w:kinsoku/>
        <w:wordWrap/>
        <w:overflowPunct/>
        <w:topLinePunct w:val="0"/>
        <w:bidi w:val="0"/>
        <w:adjustRightInd w:val="0"/>
        <w:spacing w:line="360" w:lineRule="auto"/>
        <w:textAlignment w:val="auto"/>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
          <w:bCs/>
          <w:color w:val="auto"/>
          <w:sz w:val="21"/>
          <w:szCs w:val="21"/>
          <w:highlight w:val="none"/>
          <w:lang w:val="en-US" w:eastAsia="zh-CN"/>
        </w:rPr>
        <w:t>九、项目质量保修</w:t>
      </w:r>
    </w:p>
    <w:p w14:paraId="503A6F8F">
      <w:pPr>
        <w:spacing w:line="360" w:lineRule="auto"/>
        <w:ind w:firstLine="420" w:firstLineChars="200"/>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1、保修期限：自本项目工程验收合格之日起满两年。</w:t>
      </w:r>
    </w:p>
    <w:p w14:paraId="23873711">
      <w:pPr>
        <w:spacing w:line="360" w:lineRule="auto"/>
        <w:ind w:firstLine="420" w:firstLineChars="200"/>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保修要求：质保期内非采购人人为造成的问题，成交供应商予以维修或退货；在使用过程中如发现所提供产品的规格、技术参数等与采购人质量技术要求不符合或出现质量问题，成交供应商须应采购人的要求予以调换或退货，并承担修理、调换或退货的实际费用。若出现质量问题通过维修可以解决且采购人同意并要求维修的，成交供应商须在采购人提出上述要求后3个小时内到达现场，并在12小时内修复，否则，采购人可自行委托第三方进行维修，费用由成交供应商承担。</w:t>
      </w:r>
    </w:p>
    <w:p w14:paraId="035A8B9E">
      <w:pPr>
        <w:shd w:val="clear"/>
        <w:rPr>
          <w:color w:val="auto"/>
          <w:highlight w:val="none"/>
          <w:lang w:val="zh-CN"/>
        </w:rPr>
      </w:pPr>
    </w:p>
    <w:p w14:paraId="7C60BD5B">
      <w:pPr>
        <w:pStyle w:val="15"/>
        <w:keepNext w:val="0"/>
        <w:keepLines w:val="0"/>
        <w:pageBreakBefore w:val="0"/>
        <w:numPr>
          <w:ilvl w:val="0"/>
          <w:numId w:val="0"/>
        </w:numPr>
        <w:kinsoku/>
        <w:overflowPunct/>
        <w:topLinePunct w:val="0"/>
        <w:bidi w:val="0"/>
        <w:spacing w:line="360" w:lineRule="auto"/>
        <w:ind w:firstLine="420" w:firstLineChars="200"/>
        <w:rPr>
          <w:rFonts w:ascii="宋体" w:hAnsi="宋体"/>
          <w:color w:val="auto"/>
          <w:highlight w:val="none"/>
        </w:rPr>
      </w:pPr>
    </w:p>
    <w:p w14:paraId="40F24ADE">
      <w:pPr>
        <w:pStyle w:val="2"/>
        <w:keepNext/>
        <w:keepLines/>
        <w:pageBreakBefore/>
        <w:numPr>
          <w:ilvl w:val="0"/>
          <w:numId w:val="12"/>
        </w:numPr>
        <w:shd w:val="clear"/>
        <w:spacing w:line="360" w:lineRule="auto"/>
        <w:jc w:val="center"/>
        <w:rPr>
          <w:rFonts w:hAnsi="宋体"/>
          <w:b/>
          <w:bCs/>
          <w:color w:val="auto"/>
          <w:kern w:val="44"/>
          <w:sz w:val="28"/>
          <w:szCs w:val="28"/>
          <w:highlight w:val="none"/>
          <w:lang w:val="zh-CN"/>
        </w:rPr>
      </w:pPr>
      <w:bookmarkStart w:id="162" w:name="_Toc28792"/>
      <w:bookmarkStart w:id="163" w:name="_Toc4437"/>
      <w:r>
        <w:rPr>
          <w:rFonts w:hint="eastAsia" w:hAnsi="宋体"/>
          <w:b/>
          <w:bCs/>
          <w:color w:val="auto"/>
          <w:kern w:val="44"/>
          <w:sz w:val="28"/>
          <w:szCs w:val="28"/>
          <w:highlight w:val="none"/>
          <w:lang w:val="zh-CN"/>
        </w:rPr>
        <w:t>评审工作大纲</w:t>
      </w:r>
      <w:bookmarkEnd w:id="162"/>
    </w:p>
    <w:p w14:paraId="27B3E85A">
      <w:pPr>
        <w:pStyle w:val="20"/>
        <w:shd w:val="clear"/>
        <w:spacing w:line="360" w:lineRule="auto"/>
        <w:ind w:firstLine="422" w:firstLineChars="200"/>
        <w:jc w:val="both"/>
        <w:rPr>
          <w:rFonts w:hAnsi="宋体"/>
          <w:color w:val="auto"/>
          <w:sz w:val="21"/>
          <w:szCs w:val="21"/>
          <w:highlight w:val="none"/>
        </w:rPr>
      </w:pPr>
      <w:r>
        <w:rPr>
          <w:rFonts w:hint="eastAsia" w:hAnsi="宋体"/>
          <w:color w:val="auto"/>
          <w:sz w:val="21"/>
          <w:szCs w:val="21"/>
          <w:highlight w:val="none"/>
        </w:rPr>
        <w:t>一、磋商小组对响应文件进行初审，初审包括资格性审查和符合性审查。</w:t>
      </w:r>
    </w:p>
    <w:tbl>
      <w:tblPr>
        <w:tblStyle w:val="53"/>
        <w:tblW w:w="87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4"/>
        <w:gridCol w:w="5801"/>
        <w:gridCol w:w="1230"/>
      </w:tblGrid>
      <w:tr w14:paraId="3BCFA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4" w:type="dxa"/>
            <w:vAlign w:val="center"/>
          </w:tcPr>
          <w:p w14:paraId="3B188691">
            <w:pPr>
              <w:pStyle w:val="146"/>
              <w:shd w:val="clear"/>
              <w:spacing w:before="156" w:beforeLines="50" w:after="156" w:afterLines="50" w:line="360" w:lineRule="auto"/>
              <w:ind w:firstLine="0" w:firstLineChars="0"/>
              <w:jc w:val="center"/>
              <w:rPr>
                <w:rFonts w:ascii="宋体" w:hAnsi="宋体"/>
                <w:b/>
                <w:bCs/>
                <w:color w:val="auto"/>
                <w:szCs w:val="21"/>
                <w:highlight w:val="none"/>
              </w:rPr>
            </w:pPr>
            <w:r>
              <w:rPr>
                <w:rFonts w:hint="eastAsia" w:ascii="宋体" w:hAnsi="宋体"/>
                <w:b/>
                <w:bCs/>
                <w:color w:val="auto"/>
                <w:szCs w:val="21"/>
                <w:highlight w:val="none"/>
              </w:rPr>
              <w:t>审查项目</w:t>
            </w:r>
          </w:p>
        </w:tc>
        <w:tc>
          <w:tcPr>
            <w:tcW w:w="5801" w:type="dxa"/>
            <w:vAlign w:val="center"/>
          </w:tcPr>
          <w:p w14:paraId="285BE4A1">
            <w:pPr>
              <w:pStyle w:val="146"/>
              <w:shd w:val="clear"/>
              <w:spacing w:before="156" w:beforeLines="50" w:after="156" w:afterLines="50" w:line="360" w:lineRule="auto"/>
              <w:ind w:firstLine="0" w:firstLineChars="0"/>
              <w:jc w:val="center"/>
              <w:rPr>
                <w:rFonts w:ascii="宋体" w:hAnsi="宋体"/>
                <w:b/>
                <w:bCs/>
                <w:color w:val="auto"/>
                <w:szCs w:val="21"/>
                <w:highlight w:val="none"/>
              </w:rPr>
            </w:pPr>
            <w:r>
              <w:rPr>
                <w:rFonts w:hint="eastAsia" w:ascii="宋体" w:hAnsi="宋体"/>
                <w:b/>
                <w:bCs/>
                <w:color w:val="auto"/>
                <w:szCs w:val="21"/>
                <w:highlight w:val="none"/>
              </w:rPr>
              <w:t>内容</w:t>
            </w:r>
          </w:p>
        </w:tc>
        <w:tc>
          <w:tcPr>
            <w:tcW w:w="1230" w:type="dxa"/>
          </w:tcPr>
          <w:p w14:paraId="3BF4BC9D">
            <w:pPr>
              <w:pStyle w:val="146"/>
              <w:shd w:val="clear"/>
              <w:spacing w:before="156" w:beforeLines="50" w:after="156" w:afterLines="50" w:line="360" w:lineRule="auto"/>
              <w:ind w:firstLine="0" w:firstLineChars="0"/>
              <w:jc w:val="center"/>
              <w:rPr>
                <w:rFonts w:ascii="宋体" w:hAnsi="宋体"/>
                <w:b/>
                <w:bCs/>
                <w:color w:val="auto"/>
                <w:szCs w:val="21"/>
                <w:highlight w:val="none"/>
              </w:rPr>
            </w:pPr>
            <w:r>
              <w:rPr>
                <w:rFonts w:hint="eastAsia" w:ascii="宋体" w:hAnsi="宋体"/>
                <w:b/>
                <w:bCs/>
                <w:color w:val="auto"/>
                <w:szCs w:val="21"/>
                <w:highlight w:val="none"/>
              </w:rPr>
              <w:t>是否符合</w:t>
            </w:r>
          </w:p>
        </w:tc>
      </w:tr>
      <w:tr w14:paraId="0167F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4" w:type="dxa"/>
            <w:vMerge w:val="restart"/>
            <w:vAlign w:val="center"/>
          </w:tcPr>
          <w:p w14:paraId="5EB7F990">
            <w:pPr>
              <w:pStyle w:val="146"/>
              <w:shd w:val="clear"/>
              <w:spacing w:line="360" w:lineRule="auto"/>
              <w:ind w:firstLine="0" w:firstLineChars="0"/>
              <w:jc w:val="center"/>
              <w:rPr>
                <w:rFonts w:ascii="宋体" w:hAnsi="宋体"/>
                <w:bCs/>
                <w:color w:val="auto"/>
                <w:szCs w:val="21"/>
                <w:highlight w:val="none"/>
              </w:rPr>
            </w:pPr>
            <w:r>
              <w:rPr>
                <w:rFonts w:hint="eastAsia" w:ascii="宋体" w:hAnsi="宋体"/>
                <w:bCs/>
                <w:color w:val="auto"/>
                <w:szCs w:val="21"/>
                <w:highlight w:val="none"/>
              </w:rPr>
              <w:t>资格性审查</w:t>
            </w:r>
          </w:p>
        </w:tc>
        <w:tc>
          <w:tcPr>
            <w:tcW w:w="5801" w:type="dxa"/>
            <w:vAlign w:val="center"/>
          </w:tcPr>
          <w:p w14:paraId="0AC8A4BE">
            <w:pPr>
              <w:shd w:val="clear"/>
              <w:spacing w:line="360" w:lineRule="auto"/>
              <w:rPr>
                <w:rFonts w:hAnsi="宋体"/>
                <w:color w:val="auto"/>
                <w:sz w:val="21"/>
                <w:szCs w:val="21"/>
                <w:highlight w:val="none"/>
              </w:rPr>
            </w:pPr>
            <w:r>
              <w:rPr>
                <w:rFonts w:hint="eastAsia" w:hAnsi="宋体"/>
                <w:color w:val="auto"/>
                <w:sz w:val="21"/>
                <w:szCs w:val="21"/>
                <w:highlight w:val="none"/>
              </w:rPr>
              <w:t>资格瑕疵</w:t>
            </w:r>
          </w:p>
        </w:tc>
        <w:tc>
          <w:tcPr>
            <w:tcW w:w="1230" w:type="dxa"/>
          </w:tcPr>
          <w:p w14:paraId="515C286E">
            <w:pPr>
              <w:pStyle w:val="146"/>
              <w:shd w:val="clear"/>
              <w:spacing w:line="360" w:lineRule="auto"/>
              <w:ind w:firstLine="0" w:firstLineChars="0"/>
              <w:jc w:val="left"/>
              <w:rPr>
                <w:rFonts w:ascii="宋体" w:hAnsi="宋体"/>
                <w:bCs/>
                <w:color w:val="auto"/>
                <w:szCs w:val="21"/>
                <w:highlight w:val="none"/>
              </w:rPr>
            </w:pPr>
          </w:p>
        </w:tc>
      </w:tr>
      <w:tr w14:paraId="35572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4" w:type="dxa"/>
            <w:vMerge w:val="continue"/>
            <w:vAlign w:val="center"/>
          </w:tcPr>
          <w:p w14:paraId="29C042EE">
            <w:pPr>
              <w:pStyle w:val="146"/>
              <w:shd w:val="clear"/>
              <w:spacing w:line="360" w:lineRule="auto"/>
              <w:ind w:firstLine="0" w:firstLineChars="0"/>
              <w:jc w:val="center"/>
              <w:rPr>
                <w:rFonts w:ascii="宋体" w:hAnsi="宋体"/>
                <w:bCs/>
                <w:color w:val="auto"/>
                <w:szCs w:val="21"/>
                <w:highlight w:val="none"/>
              </w:rPr>
            </w:pPr>
          </w:p>
        </w:tc>
        <w:tc>
          <w:tcPr>
            <w:tcW w:w="5801" w:type="dxa"/>
            <w:vAlign w:val="center"/>
          </w:tcPr>
          <w:p w14:paraId="07C1C50B">
            <w:pPr>
              <w:shd w:val="clear"/>
              <w:spacing w:line="360" w:lineRule="auto"/>
              <w:rPr>
                <w:rFonts w:hAnsi="宋体"/>
                <w:color w:val="auto"/>
                <w:sz w:val="21"/>
                <w:szCs w:val="21"/>
                <w:highlight w:val="none"/>
              </w:rPr>
            </w:pPr>
            <w:r>
              <w:rPr>
                <w:rFonts w:hint="eastAsia" w:hAnsi="宋体"/>
                <w:color w:val="auto"/>
                <w:sz w:val="21"/>
                <w:szCs w:val="21"/>
                <w:highlight w:val="none"/>
              </w:rPr>
              <w:t>磋商保证金瑕疵</w:t>
            </w:r>
          </w:p>
        </w:tc>
        <w:tc>
          <w:tcPr>
            <w:tcW w:w="1230" w:type="dxa"/>
          </w:tcPr>
          <w:p w14:paraId="27403A3F">
            <w:pPr>
              <w:pStyle w:val="146"/>
              <w:shd w:val="clear"/>
              <w:spacing w:line="360" w:lineRule="auto"/>
              <w:ind w:firstLine="0" w:firstLineChars="0"/>
              <w:jc w:val="left"/>
              <w:rPr>
                <w:rFonts w:ascii="宋体" w:hAnsi="宋体"/>
                <w:bCs/>
                <w:color w:val="auto"/>
                <w:szCs w:val="21"/>
                <w:highlight w:val="none"/>
              </w:rPr>
            </w:pPr>
          </w:p>
        </w:tc>
      </w:tr>
      <w:tr w14:paraId="0CA2E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4" w:type="dxa"/>
            <w:vMerge w:val="restart"/>
            <w:vAlign w:val="center"/>
          </w:tcPr>
          <w:p w14:paraId="39ED5DDB">
            <w:pPr>
              <w:pStyle w:val="146"/>
              <w:shd w:val="clear"/>
              <w:spacing w:line="360" w:lineRule="auto"/>
              <w:ind w:firstLine="0" w:firstLineChars="0"/>
              <w:jc w:val="center"/>
              <w:rPr>
                <w:rFonts w:ascii="宋体" w:hAnsi="宋体"/>
                <w:bCs/>
                <w:color w:val="auto"/>
                <w:szCs w:val="21"/>
                <w:highlight w:val="none"/>
              </w:rPr>
            </w:pPr>
            <w:r>
              <w:rPr>
                <w:rFonts w:hint="eastAsia" w:ascii="宋体" w:hAnsi="宋体"/>
                <w:bCs/>
                <w:color w:val="auto"/>
                <w:szCs w:val="21"/>
                <w:highlight w:val="none"/>
              </w:rPr>
              <w:t>符合性审查</w:t>
            </w:r>
          </w:p>
        </w:tc>
        <w:tc>
          <w:tcPr>
            <w:tcW w:w="5801" w:type="dxa"/>
            <w:vAlign w:val="center"/>
          </w:tcPr>
          <w:p w14:paraId="0B63D9E4">
            <w:pPr>
              <w:shd w:val="clear"/>
              <w:spacing w:line="360" w:lineRule="auto"/>
              <w:rPr>
                <w:rFonts w:hAnsi="宋体"/>
                <w:color w:val="auto"/>
                <w:sz w:val="21"/>
                <w:szCs w:val="21"/>
                <w:highlight w:val="none"/>
              </w:rPr>
            </w:pPr>
            <w:r>
              <w:rPr>
                <w:rFonts w:hint="eastAsia" w:hAnsi="宋体"/>
                <w:color w:val="auto"/>
                <w:sz w:val="21"/>
                <w:szCs w:val="21"/>
                <w:highlight w:val="none"/>
              </w:rPr>
              <w:t>供应商代表身份审查</w:t>
            </w:r>
          </w:p>
        </w:tc>
        <w:tc>
          <w:tcPr>
            <w:tcW w:w="1230" w:type="dxa"/>
          </w:tcPr>
          <w:p w14:paraId="7E2908C5">
            <w:pPr>
              <w:pStyle w:val="146"/>
              <w:shd w:val="clear"/>
              <w:spacing w:line="360" w:lineRule="auto"/>
              <w:ind w:firstLine="0" w:firstLineChars="0"/>
              <w:jc w:val="left"/>
              <w:rPr>
                <w:rFonts w:ascii="宋体" w:hAnsi="宋体"/>
                <w:bCs/>
                <w:color w:val="auto"/>
                <w:szCs w:val="21"/>
                <w:highlight w:val="none"/>
              </w:rPr>
            </w:pPr>
          </w:p>
        </w:tc>
      </w:tr>
      <w:tr w14:paraId="7B1CB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4" w:type="dxa"/>
            <w:vMerge w:val="continue"/>
            <w:vAlign w:val="center"/>
          </w:tcPr>
          <w:p w14:paraId="0A46E335">
            <w:pPr>
              <w:pStyle w:val="146"/>
              <w:shd w:val="clear"/>
              <w:spacing w:line="360" w:lineRule="auto"/>
              <w:ind w:firstLine="0" w:firstLineChars="0"/>
              <w:jc w:val="center"/>
              <w:rPr>
                <w:rFonts w:ascii="宋体" w:hAnsi="宋体"/>
                <w:bCs/>
                <w:color w:val="auto"/>
                <w:szCs w:val="21"/>
                <w:highlight w:val="none"/>
              </w:rPr>
            </w:pPr>
          </w:p>
        </w:tc>
        <w:tc>
          <w:tcPr>
            <w:tcW w:w="5801" w:type="dxa"/>
            <w:vAlign w:val="center"/>
          </w:tcPr>
          <w:p w14:paraId="28548361">
            <w:pPr>
              <w:shd w:val="clear"/>
              <w:spacing w:line="360" w:lineRule="auto"/>
              <w:rPr>
                <w:rFonts w:hAnsi="宋体"/>
                <w:color w:val="auto"/>
                <w:sz w:val="21"/>
                <w:szCs w:val="21"/>
                <w:highlight w:val="none"/>
              </w:rPr>
            </w:pPr>
            <w:r>
              <w:rPr>
                <w:rFonts w:hint="eastAsia" w:hAnsi="宋体"/>
                <w:color w:val="auto"/>
                <w:sz w:val="21"/>
                <w:szCs w:val="21"/>
                <w:highlight w:val="none"/>
              </w:rPr>
              <w:t>磋商响应文件的有效性、完整性瑕疵</w:t>
            </w:r>
          </w:p>
        </w:tc>
        <w:tc>
          <w:tcPr>
            <w:tcW w:w="1230" w:type="dxa"/>
          </w:tcPr>
          <w:p w14:paraId="1EA45233">
            <w:pPr>
              <w:pStyle w:val="146"/>
              <w:shd w:val="clear"/>
              <w:spacing w:line="360" w:lineRule="auto"/>
              <w:ind w:firstLine="0" w:firstLineChars="0"/>
              <w:jc w:val="left"/>
              <w:rPr>
                <w:rFonts w:ascii="宋体" w:hAnsi="宋体"/>
                <w:bCs/>
                <w:color w:val="auto"/>
                <w:szCs w:val="21"/>
                <w:highlight w:val="none"/>
              </w:rPr>
            </w:pPr>
          </w:p>
        </w:tc>
      </w:tr>
      <w:tr w14:paraId="279F5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4" w:type="dxa"/>
            <w:vMerge w:val="continue"/>
            <w:vAlign w:val="center"/>
          </w:tcPr>
          <w:p w14:paraId="347104FC">
            <w:pPr>
              <w:pStyle w:val="146"/>
              <w:shd w:val="clear"/>
              <w:spacing w:line="360" w:lineRule="auto"/>
              <w:ind w:firstLine="0" w:firstLineChars="0"/>
              <w:jc w:val="center"/>
              <w:rPr>
                <w:rFonts w:ascii="宋体" w:hAnsi="宋体"/>
                <w:bCs/>
                <w:color w:val="auto"/>
                <w:szCs w:val="21"/>
                <w:highlight w:val="none"/>
              </w:rPr>
            </w:pPr>
          </w:p>
        </w:tc>
        <w:tc>
          <w:tcPr>
            <w:tcW w:w="5801" w:type="dxa"/>
            <w:vAlign w:val="center"/>
          </w:tcPr>
          <w:p w14:paraId="4CBFFC2B">
            <w:pPr>
              <w:shd w:val="clear"/>
              <w:spacing w:line="360" w:lineRule="auto"/>
              <w:rPr>
                <w:rFonts w:hAnsi="宋体"/>
                <w:color w:val="auto"/>
                <w:sz w:val="21"/>
                <w:szCs w:val="21"/>
                <w:highlight w:val="none"/>
              </w:rPr>
            </w:pPr>
            <w:r>
              <w:rPr>
                <w:rFonts w:hint="eastAsia" w:hAnsi="宋体"/>
                <w:color w:val="auto"/>
                <w:sz w:val="21"/>
                <w:szCs w:val="21"/>
                <w:highlight w:val="none"/>
              </w:rPr>
              <w:t>技术响应瑕疵</w:t>
            </w:r>
          </w:p>
        </w:tc>
        <w:tc>
          <w:tcPr>
            <w:tcW w:w="1230" w:type="dxa"/>
          </w:tcPr>
          <w:p w14:paraId="74EA2CE0">
            <w:pPr>
              <w:pStyle w:val="146"/>
              <w:shd w:val="clear"/>
              <w:spacing w:line="360" w:lineRule="auto"/>
              <w:ind w:firstLine="0" w:firstLineChars="0"/>
              <w:jc w:val="left"/>
              <w:rPr>
                <w:rFonts w:ascii="宋体" w:hAnsi="宋体"/>
                <w:bCs/>
                <w:color w:val="auto"/>
                <w:szCs w:val="21"/>
                <w:highlight w:val="none"/>
              </w:rPr>
            </w:pPr>
          </w:p>
        </w:tc>
      </w:tr>
      <w:tr w14:paraId="47457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4" w:type="dxa"/>
            <w:vMerge w:val="continue"/>
            <w:vAlign w:val="center"/>
          </w:tcPr>
          <w:p w14:paraId="4064753F">
            <w:pPr>
              <w:pStyle w:val="146"/>
              <w:shd w:val="clear"/>
              <w:spacing w:line="360" w:lineRule="auto"/>
              <w:ind w:firstLine="0" w:firstLineChars="0"/>
              <w:jc w:val="center"/>
              <w:rPr>
                <w:rFonts w:ascii="宋体" w:hAnsi="宋体"/>
                <w:bCs/>
                <w:color w:val="auto"/>
                <w:szCs w:val="21"/>
                <w:highlight w:val="none"/>
              </w:rPr>
            </w:pPr>
          </w:p>
        </w:tc>
        <w:tc>
          <w:tcPr>
            <w:tcW w:w="5801" w:type="dxa"/>
            <w:vAlign w:val="center"/>
          </w:tcPr>
          <w:p w14:paraId="45D7E060">
            <w:pPr>
              <w:shd w:val="clear"/>
              <w:spacing w:line="360" w:lineRule="auto"/>
              <w:rPr>
                <w:rFonts w:hAnsi="宋体"/>
                <w:color w:val="auto"/>
                <w:sz w:val="21"/>
                <w:szCs w:val="21"/>
                <w:highlight w:val="none"/>
              </w:rPr>
            </w:pPr>
            <w:r>
              <w:rPr>
                <w:rFonts w:hint="eastAsia" w:hAnsi="宋体"/>
                <w:color w:val="auto"/>
                <w:sz w:val="21"/>
                <w:szCs w:val="21"/>
                <w:highlight w:val="none"/>
              </w:rPr>
              <w:t>商务响应瑕疵</w:t>
            </w:r>
          </w:p>
        </w:tc>
        <w:tc>
          <w:tcPr>
            <w:tcW w:w="1230" w:type="dxa"/>
          </w:tcPr>
          <w:p w14:paraId="58B7CF58">
            <w:pPr>
              <w:pStyle w:val="146"/>
              <w:shd w:val="clear"/>
              <w:spacing w:line="360" w:lineRule="auto"/>
              <w:ind w:firstLine="0" w:firstLineChars="0"/>
              <w:jc w:val="left"/>
              <w:rPr>
                <w:rFonts w:ascii="宋体" w:hAnsi="宋体"/>
                <w:bCs/>
                <w:color w:val="auto"/>
                <w:szCs w:val="21"/>
                <w:highlight w:val="none"/>
              </w:rPr>
            </w:pPr>
          </w:p>
        </w:tc>
      </w:tr>
      <w:tr w14:paraId="1BD58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4" w:type="dxa"/>
            <w:vMerge w:val="continue"/>
            <w:vAlign w:val="center"/>
          </w:tcPr>
          <w:p w14:paraId="199303E6">
            <w:pPr>
              <w:pStyle w:val="146"/>
              <w:shd w:val="clear"/>
              <w:spacing w:line="360" w:lineRule="auto"/>
              <w:ind w:firstLine="0" w:firstLineChars="0"/>
              <w:jc w:val="center"/>
              <w:rPr>
                <w:rFonts w:ascii="宋体" w:hAnsi="宋体"/>
                <w:bCs/>
                <w:color w:val="auto"/>
                <w:szCs w:val="21"/>
                <w:highlight w:val="none"/>
              </w:rPr>
            </w:pPr>
          </w:p>
        </w:tc>
        <w:tc>
          <w:tcPr>
            <w:tcW w:w="5801" w:type="dxa"/>
            <w:vAlign w:val="center"/>
          </w:tcPr>
          <w:p w14:paraId="5AC6BB15">
            <w:pPr>
              <w:shd w:val="clear"/>
              <w:spacing w:line="360" w:lineRule="auto"/>
              <w:rPr>
                <w:rFonts w:hAnsi="宋体"/>
                <w:color w:val="auto"/>
                <w:sz w:val="21"/>
                <w:szCs w:val="21"/>
                <w:highlight w:val="none"/>
              </w:rPr>
            </w:pPr>
            <w:r>
              <w:rPr>
                <w:rFonts w:hint="eastAsia" w:hAnsi="宋体"/>
                <w:color w:val="auto"/>
                <w:sz w:val="21"/>
                <w:szCs w:val="21"/>
                <w:highlight w:val="none"/>
              </w:rPr>
              <w:t>报价</w:t>
            </w:r>
          </w:p>
        </w:tc>
        <w:tc>
          <w:tcPr>
            <w:tcW w:w="1230" w:type="dxa"/>
          </w:tcPr>
          <w:p w14:paraId="5484B84A">
            <w:pPr>
              <w:pStyle w:val="146"/>
              <w:shd w:val="clear"/>
              <w:spacing w:line="360" w:lineRule="auto"/>
              <w:ind w:firstLine="0" w:firstLineChars="0"/>
              <w:jc w:val="left"/>
              <w:rPr>
                <w:rFonts w:ascii="宋体" w:hAnsi="宋体"/>
                <w:bCs/>
                <w:color w:val="auto"/>
                <w:szCs w:val="21"/>
                <w:highlight w:val="none"/>
              </w:rPr>
            </w:pPr>
          </w:p>
        </w:tc>
      </w:tr>
      <w:tr w14:paraId="45C72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1714" w:type="dxa"/>
            <w:vMerge w:val="continue"/>
            <w:vAlign w:val="center"/>
          </w:tcPr>
          <w:p w14:paraId="7FAD5302">
            <w:pPr>
              <w:pStyle w:val="146"/>
              <w:shd w:val="clear"/>
              <w:spacing w:line="360" w:lineRule="auto"/>
              <w:ind w:firstLine="0" w:firstLineChars="0"/>
              <w:jc w:val="center"/>
              <w:rPr>
                <w:rFonts w:ascii="宋体" w:hAnsi="宋体"/>
                <w:bCs/>
                <w:color w:val="auto"/>
                <w:szCs w:val="21"/>
                <w:highlight w:val="none"/>
              </w:rPr>
            </w:pPr>
          </w:p>
        </w:tc>
        <w:tc>
          <w:tcPr>
            <w:tcW w:w="5801" w:type="dxa"/>
            <w:vAlign w:val="center"/>
          </w:tcPr>
          <w:p w14:paraId="18A2D9BC">
            <w:pPr>
              <w:shd w:val="clear"/>
              <w:spacing w:line="360" w:lineRule="auto"/>
              <w:rPr>
                <w:rFonts w:hAnsi="宋体"/>
                <w:color w:val="auto"/>
                <w:sz w:val="21"/>
                <w:szCs w:val="21"/>
                <w:highlight w:val="none"/>
              </w:rPr>
            </w:pPr>
            <w:r>
              <w:rPr>
                <w:rFonts w:hint="eastAsia" w:hAnsi="宋体"/>
                <w:color w:val="auto"/>
                <w:sz w:val="21"/>
                <w:szCs w:val="21"/>
                <w:highlight w:val="none"/>
              </w:rPr>
              <w:t>违规行为</w:t>
            </w:r>
          </w:p>
        </w:tc>
        <w:tc>
          <w:tcPr>
            <w:tcW w:w="1230" w:type="dxa"/>
          </w:tcPr>
          <w:p w14:paraId="2541DA7A">
            <w:pPr>
              <w:pStyle w:val="146"/>
              <w:shd w:val="clear"/>
              <w:spacing w:line="360" w:lineRule="auto"/>
              <w:ind w:firstLine="0" w:firstLineChars="0"/>
              <w:jc w:val="left"/>
              <w:rPr>
                <w:rFonts w:ascii="宋体" w:hAnsi="宋体"/>
                <w:bCs/>
                <w:color w:val="auto"/>
                <w:szCs w:val="21"/>
                <w:highlight w:val="none"/>
              </w:rPr>
            </w:pPr>
          </w:p>
        </w:tc>
      </w:tr>
      <w:tr w14:paraId="2243B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4" w:type="dxa"/>
            <w:vMerge w:val="continue"/>
            <w:vAlign w:val="center"/>
          </w:tcPr>
          <w:p w14:paraId="77FB0C69">
            <w:pPr>
              <w:pStyle w:val="146"/>
              <w:shd w:val="clear"/>
              <w:spacing w:line="360" w:lineRule="auto"/>
              <w:ind w:firstLine="0" w:firstLineChars="0"/>
              <w:jc w:val="center"/>
              <w:rPr>
                <w:rFonts w:ascii="宋体" w:hAnsi="宋体"/>
                <w:bCs/>
                <w:color w:val="auto"/>
                <w:szCs w:val="21"/>
                <w:highlight w:val="none"/>
              </w:rPr>
            </w:pPr>
          </w:p>
        </w:tc>
        <w:tc>
          <w:tcPr>
            <w:tcW w:w="5801" w:type="dxa"/>
            <w:vAlign w:val="center"/>
          </w:tcPr>
          <w:p w14:paraId="69A06BCC">
            <w:pPr>
              <w:shd w:val="clear"/>
              <w:spacing w:line="360" w:lineRule="auto"/>
              <w:rPr>
                <w:rFonts w:hAnsi="宋体"/>
                <w:color w:val="auto"/>
                <w:sz w:val="21"/>
                <w:szCs w:val="21"/>
                <w:highlight w:val="none"/>
              </w:rPr>
            </w:pPr>
            <w:r>
              <w:rPr>
                <w:rFonts w:hint="eastAsia" w:hAnsi="宋体"/>
                <w:color w:val="auto"/>
                <w:sz w:val="21"/>
                <w:szCs w:val="21"/>
                <w:highlight w:val="none"/>
              </w:rPr>
              <w:t>法律法规及磋商文件中规定的其它情形。</w:t>
            </w:r>
          </w:p>
        </w:tc>
        <w:tc>
          <w:tcPr>
            <w:tcW w:w="1230" w:type="dxa"/>
          </w:tcPr>
          <w:p w14:paraId="365413A7">
            <w:pPr>
              <w:pStyle w:val="146"/>
              <w:shd w:val="clear"/>
              <w:spacing w:line="360" w:lineRule="auto"/>
              <w:ind w:firstLine="0" w:firstLineChars="0"/>
              <w:jc w:val="left"/>
              <w:rPr>
                <w:rFonts w:ascii="宋体" w:hAnsi="宋体"/>
                <w:bCs/>
                <w:color w:val="auto"/>
                <w:szCs w:val="21"/>
                <w:highlight w:val="none"/>
              </w:rPr>
            </w:pPr>
          </w:p>
        </w:tc>
      </w:tr>
    </w:tbl>
    <w:p w14:paraId="63CB72EF">
      <w:pPr>
        <w:pStyle w:val="20"/>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（一）资格性检查</w:t>
      </w:r>
    </w:p>
    <w:p w14:paraId="5CB92641">
      <w:pPr>
        <w:pStyle w:val="20"/>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1)资格瑕疵</w:t>
      </w:r>
    </w:p>
    <w:p w14:paraId="23950647">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包括但不限于：</w:t>
      </w:r>
    </w:p>
    <w:p w14:paraId="638C463D">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①资格证明文件未提供或不符合磋商文件要求的；</w:t>
      </w:r>
    </w:p>
    <w:p w14:paraId="03C0645F">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②供应商与采购人、采购代理机构有利害关系的。</w:t>
      </w:r>
    </w:p>
    <w:p w14:paraId="78E93385">
      <w:pPr>
        <w:pStyle w:val="20"/>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2)磋商保证金瑕疵</w:t>
      </w:r>
    </w:p>
    <w:p w14:paraId="759BB6AB">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包括但不限于：</w:t>
      </w:r>
    </w:p>
    <w:p w14:paraId="2F6408CB">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①供应商未提交磋商文件保证金或金额不足；</w:t>
      </w:r>
    </w:p>
    <w:p w14:paraId="2C4240CE">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②提交方式、提交时间不符合采购要求；</w:t>
      </w:r>
    </w:p>
    <w:p w14:paraId="48262ABE">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③磋商文件保证金有效期不符合采购要求的。</w:t>
      </w:r>
    </w:p>
    <w:p w14:paraId="4FAECF75">
      <w:pPr>
        <w:pStyle w:val="20"/>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（二）符合性检查</w:t>
      </w:r>
    </w:p>
    <w:p w14:paraId="03A6BD4C">
      <w:pPr>
        <w:pStyle w:val="20"/>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1)供应商代表身份审查</w:t>
      </w:r>
    </w:p>
    <w:p w14:paraId="2C177192">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包括但不限于：</w:t>
      </w:r>
    </w:p>
    <w:p w14:paraId="3CDAD90F">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①供应商代表无有效授权；</w:t>
      </w:r>
    </w:p>
    <w:p w14:paraId="230A8B32">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②核对供应商代表身份时，不能提供相应的身份证明或不相符。</w:t>
      </w:r>
    </w:p>
    <w:p w14:paraId="154F2F85">
      <w:pPr>
        <w:pStyle w:val="20"/>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2)响应文件的有效性、完整性瑕疵</w:t>
      </w:r>
    </w:p>
    <w:p w14:paraId="461FF4FF">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包括但不限于：</w:t>
      </w:r>
    </w:p>
    <w:p w14:paraId="728381AC">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①响应文件的数量、制作、密封、标记不符合要求；</w:t>
      </w:r>
    </w:p>
    <w:p w14:paraId="58532633">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②响应文件无法定代表人或其授权代表签字，或签字人无法定代表人有效授权的；</w:t>
      </w:r>
    </w:p>
    <w:p w14:paraId="5EC49001">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③签字盖章不符合磋商文件要求的；</w:t>
      </w:r>
    </w:p>
    <w:p w14:paraId="5595001E">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④响应文件内容有严重缺漏项的；</w:t>
      </w:r>
    </w:p>
    <w:p w14:paraId="18D9590B">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⑤报价有严重缺漏项的；</w:t>
      </w:r>
    </w:p>
    <w:p w14:paraId="4FD90DBD">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⑥响应文件的关键内容字迹模糊、无法辨认的。</w:t>
      </w:r>
    </w:p>
    <w:p w14:paraId="355650B6">
      <w:pPr>
        <w:pStyle w:val="20"/>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3)技术响应瑕疵</w:t>
      </w:r>
    </w:p>
    <w:p w14:paraId="12474F9D">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包括但不限于：</w:t>
      </w:r>
    </w:p>
    <w:p w14:paraId="4AA98B8D">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lang w:val="en-US" w:eastAsia="zh-CN"/>
        </w:rPr>
        <w:t>①</w:t>
      </w:r>
      <w:r>
        <w:rPr>
          <w:rFonts w:hint="eastAsia" w:hAnsi="宋体"/>
          <w:b w:val="0"/>
          <w:bCs w:val="0"/>
          <w:color w:val="auto"/>
          <w:sz w:val="21"/>
          <w:szCs w:val="21"/>
          <w:highlight w:val="none"/>
        </w:rPr>
        <w:t>响应文件技术响应与事实不符或虚假磋商的；</w:t>
      </w:r>
    </w:p>
    <w:p w14:paraId="1B2394F5">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lang w:val="en-US" w:eastAsia="zh-CN"/>
        </w:rPr>
        <w:t>②</w:t>
      </w:r>
      <w:r>
        <w:rPr>
          <w:rFonts w:hint="eastAsia" w:hAnsi="宋体"/>
          <w:b w:val="0"/>
          <w:bCs w:val="0"/>
          <w:color w:val="auto"/>
          <w:sz w:val="21"/>
          <w:szCs w:val="21"/>
          <w:highlight w:val="none"/>
        </w:rPr>
        <w:t>将一个包中的内容拆开磋商的；</w:t>
      </w:r>
    </w:p>
    <w:p w14:paraId="36A8F4A1">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lang w:val="en-US" w:eastAsia="zh-CN"/>
        </w:rPr>
        <w:t>③</w:t>
      </w:r>
      <w:r>
        <w:rPr>
          <w:rFonts w:hint="eastAsia" w:hAnsi="宋体"/>
          <w:b w:val="0"/>
          <w:bCs w:val="0"/>
          <w:color w:val="auto"/>
          <w:sz w:val="21"/>
          <w:szCs w:val="21"/>
          <w:highlight w:val="none"/>
        </w:rPr>
        <w:t>供应商对同一货物或服务磋商时，同时提供两套或两套以上的磋商方案的；</w:t>
      </w:r>
    </w:p>
    <w:p w14:paraId="6582699B">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lang w:val="en-US" w:eastAsia="zh-CN"/>
        </w:rPr>
        <w:t>④</w:t>
      </w:r>
      <w:r>
        <w:rPr>
          <w:rFonts w:hint="eastAsia" w:hAnsi="宋体"/>
          <w:b w:val="0"/>
          <w:bCs w:val="0"/>
          <w:color w:val="auto"/>
          <w:sz w:val="21"/>
          <w:szCs w:val="21"/>
          <w:highlight w:val="none"/>
        </w:rPr>
        <w:t>明显不符合技术规格、技术标准要求的；</w:t>
      </w:r>
    </w:p>
    <w:p w14:paraId="3F234FB9">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lang w:val="en-US" w:eastAsia="zh-CN"/>
        </w:rPr>
        <w:t>⑤</w:t>
      </w:r>
      <w:r>
        <w:rPr>
          <w:rFonts w:hint="eastAsia" w:hAnsi="宋体"/>
          <w:b w:val="0"/>
          <w:bCs w:val="0"/>
          <w:color w:val="auto"/>
          <w:sz w:val="21"/>
          <w:szCs w:val="21"/>
          <w:highlight w:val="none"/>
        </w:rPr>
        <w:t>其他未实质性响应磋商文件技术要求的。</w:t>
      </w:r>
    </w:p>
    <w:p w14:paraId="28EFA1F6">
      <w:pPr>
        <w:pStyle w:val="20"/>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4)商务响应瑕疵</w:t>
      </w:r>
    </w:p>
    <w:p w14:paraId="38BB01BD">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包括但不限于：</w:t>
      </w:r>
    </w:p>
    <w:p w14:paraId="65B65B80">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①磋商文件加注星号（★）的商务要求负偏离的；</w:t>
      </w:r>
    </w:p>
    <w:p w14:paraId="2B6B2813">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②</w:t>
      </w:r>
      <w:r>
        <w:rPr>
          <w:rFonts w:hint="eastAsia" w:hAnsi="宋体"/>
          <w:b w:val="0"/>
          <w:bCs w:val="0"/>
          <w:color w:val="auto"/>
          <w:sz w:val="21"/>
          <w:szCs w:val="21"/>
          <w:highlight w:val="none"/>
          <w:lang w:val="en-US" w:eastAsia="zh-CN"/>
        </w:rPr>
        <w:t>工期</w:t>
      </w:r>
      <w:r>
        <w:rPr>
          <w:rFonts w:hint="eastAsia" w:hAnsi="宋体"/>
          <w:b w:val="0"/>
          <w:bCs w:val="0"/>
          <w:color w:val="auto"/>
          <w:sz w:val="21"/>
          <w:szCs w:val="21"/>
          <w:highlight w:val="none"/>
        </w:rPr>
        <w:t>未满足磋商文件要求的；</w:t>
      </w:r>
    </w:p>
    <w:p w14:paraId="2CAC93A8">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lang w:val="en-US" w:eastAsia="zh-CN"/>
        </w:rPr>
        <w:t>③</w:t>
      </w:r>
      <w:r>
        <w:rPr>
          <w:rFonts w:hint="eastAsia" w:hAnsi="宋体"/>
          <w:b w:val="0"/>
          <w:bCs w:val="0"/>
          <w:color w:val="auto"/>
          <w:sz w:val="21"/>
          <w:szCs w:val="21"/>
          <w:highlight w:val="none"/>
        </w:rPr>
        <w:t>《</w:t>
      </w:r>
      <w:r>
        <w:rPr>
          <w:rFonts w:hint="eastAsia" w:hAnsi="宋体"/>
          <w:b w:val="0"/>
          <w:bCs w:val="0"/>
          <w:color w:val="auto"/>
          <w:sz w:val="21"/>
          <w:szCs w:val="21"/>
          <w:highlight w:val="none"/>
          <w:lang w:val="en-US" w:eastAsia="zh-CN"/>
        </w:rPr>
        <w:t>用户需求</w:t>
      </w:r>
      <w:r>
        <w:rPr>
          <w:rFonts w:hint="eastAsia" w:hAnsi="宋体"/>
          <w:b w:val="0"/>
          <w:bCs w:val="0"/>
          <w:color w:val="auto"/>
          <w:sz w:val="21"/>
          <w:szCs w:val="21"/>
          <w:highlight w:val="none"/>
        </w:rPr>
        <w:t>偏离表》填写不明或不实的；</w:t>
      </w:r>
    </w:p>
    <w:p w14:paraId="3813B18D">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lang w:val="en-US" w:eastAsia="zh-CN"/>
        </w:rPr>
        <w:t>④</w:t>
      </w:r>
      <w:r>
        <w:rPr>
          <w:rFonts w:hint="eastAsia" w:hAnsi="宋体"/>
          <w:b w:val="0"/>
          <w:bCs w:val="0"/>
          <w:color w:val="auto"/>
          <w:sz w:val="21"/>
          <w:szCs w:val="21"/>
          <w:highlight w:val="none"/>
        </w:rPr>
        <w:t>响应文件附有采购人不能接受的条件的；</w:t>
      </w:r>
    </w:p>
    <w:p w14:paraId="421C347D">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lang w:val="en-US" w:eastAsia="zh-CN"/>
        </w:rPr>
        <w:t>⑤</w:t>
      </w:r>
      <w:r>
        <w:rPr>
          <w:rFonts w:hint="eastAsia" w:hAnsi="宋体"/>
          <w:b w:val="0"/>
          <w:bCs w:val="0"/>
          <w:color w:val="auto"/>
          <w:sz w:val="21"/>
          <w:szCs w:val="21"/>
          <w:highlight w:val="none"/>
        </w:rPr>
        <w:t>其他未实质性响应磋商文件商务要求的。</w:t>
      </w:r>
    </w:p>
    <w:p w14:paraId="1F7CE486">
      <w:pPr>
        <w:pStyle w:val="20"/>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5）报价</w:t>
      </w:r>
    </w:p>
    <w:p w14:paraId="30656FC8">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包括但不限于：报价不得超过本磋商文件明确的项目</w:t>
      </w:r>
      <w:r>
        <w:rPr>
          <w:rFonts w:hint="eastAsia" w:hAnsi="宋体"/>
          <w:b w:val="0"/>
          <w:bCs w:val="0"/>
          <w:color w:val="auto"/>
          <w:sz w:val="21"/>
          <w:szCs w:val="21"/>
          <w:highlight w:val="none"/>
          <w:lang w:eastAsia="zh-CN"/>
        </w:rPr>
        <w:t>最高限价</w:t>
      </w:r>
      <w:r>
        <w:rPr>
          <w:rFonts w:hint="eastAsia" w:hAnsi="宋体"/>
          <w:b w:val="0"/>
          <w:bCs w:val="0"/>
          <w:color w:val="auto"/>
          <w:sz w:val="21"/>
          <w:szCs w:val="21"/>
          <w:highlight w:val="none"/>
        </w:rPr>
        <w:t>。</w:t>
      </w:r>
    </w:p>
    <w:p w14:paraId="57A885B5">
      <w:pPr>
        <w:pStyle w:val="20"/>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6）违规行为</w:t>
      </w:r>
    </w:p>
    <w:p w14:paraId="35F56054">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包括但不限于：</w:t>
      </w:r>
    </w:p>
    <w:p w14:paraId="41AC91FE">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①以他人的名义磋商、串通磋商、以行贿手段谋取成交或者以其他弄虚作假方式参与磋商的；</w:t>
      </w:r>
    </w:p>
    <w:p w14:paraId="51F83EBA">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②拒不按照要求对响应文件进行澄清、说明或者补正的；</w:t>
      </w:r>
    </w:p>
    <w:p w14:paraId="09267681">
      <w:pPr>
        <w:pStyle w:val="20"/>
        <w:shd w:val="clear"/>
        <w:spacing w:line="360" w:lineRule="auto"/>
        <w:ind w:firstLine="420" w:firstLineChars="200"/>
        <w:jc w:val="left"/>
        <w:rPr>
          <w:rFonts w:hAnsi="宋体"/>
          <w:b w:val="0"/>
          <w:bCs w:val="0"/>
          <w:color w:val="auto"/>
          <w:sz w:val="21"/>
          <w:szCs w:val="21"/>
          <w:highlight w:val="none"/>
        </w:rPr>
      </w:pPr>
      <w:r>
        <w:rPr>
          <w:rFonts w:hint="eastAsia" w:hAnsi="宋体"/>
          <w:b w:val="0"/>
          <w:bCs w:val="0"/>
          <w:color w:val="auto"/>
          <w:sz w:val="21"/>
          <w:szCs w:val="21"/>
          <w:highlight w:val="none"/>
        </w:rPr>
        <w:t>③扰乱开标、评标秩序，干扰磋商工作正常进行的。</w:t>
      </w:r>
    </w:p>
    <w:p w14:paraId="6FA085BD">
      <w:pPr>
        <w:pStyle w:val="20"/>
        <w:numPr>
          <w:ilvl w:val="0"/>
          <w:numId w:val="13"/>
        </w:numPr>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法律法规及磋商文件中规定的其它情形。</w:t>
      </w:r>
    </w:p>
    <w:p w14:paraId="138DF205">
      <w:pPr>
        <w:pStyle w:val="20"/>
        <w:numPr>
          <w:ilvl w:val="0"/>
          <w:numId w:val="14"/>
        </w:numPr>
        <w:shd w:val="clear"/>
        <w:spacing w:line="360" w:lineRule="auto"/>
        <w:ind w:firstLine="422" w:firstLineChars="200"/>
        <w:jc w:val="left"/>
        <w:rPr>
          <w:rFonts w:hAnsi="宋体"/>
          <w:color w:val="auto"/>
          <w:sz w:val="21"/>
          <w:szCs w:val="21"/>
          <w:highlight w:val="none"/>
        </w:rPr>
      </w:pPr>
      <w:r>
        <w:rPr>
          <w:rFonts w:hint="eastAsia" w:hAnsi="宋体"/>
          <w:color w:val="auto"/>
          <w:sz w:val="21"/>
          <w:szCs w:val="21"/>
          <w:highlight w:val="none"/>
        </w:rPr>
        <w:t>经过磋商阶段后，磋商小组按照磋商文件确定的评审标准和方法对提交最后报价的供应商的响应文件进行评审和比较，推荐候选成交供应商，编制评审报告。</w:t>
      </w:r>
    </w:p>
    <w:p w14:paraId="32AEAE2B">
      <w:pPr>
        <w:pStyle w:val="28"/>
        <w:shd w:val="clear"/>
        <w:spacing w:line="360" w:lineRule="auto"/>
        <w:ind w:firstLine="422" w:firstLineChars="200"/>
        <w:outlineLvl w:val="0"/>
        <w:rPr>
          <w:rFonts w:hAnsi="宋体"/>
          <w:b/>
          <w:bCs/>
          <w:color w:val="auto"/>
          <w:szCs w:val="21"/>
          <w:highlight w:val="none"/>
        </w:rPr>
      </w:pPr>
      <w:r>
        <w:rPr>
          <w:rFonts w:hint="eastAsia" w:hAnsi="宋体"/>
          <w:b/>
          <w:bCs/>
          <w:color w:val="auto"/>
          <w:szCs w:val="21"/>
          <w:highlight w:val="none"/>
        </w:rPr>
        <w:t>三、评审因素及评分权重</w:t>
      </w:r>
      <w:bookmarkEnd w:id="163"/>
    </w:p>
    <w:p w14:paraId="6AD6B38F">
      <w:pPr>
        <w:shd w:val="clear"/>
        <w:tabs>
          <w:tab w:val="left" w:pos="660"/>
        </w:tabs>
        <w:autoSpaceDE/>
        <w:autoSpaceDN/>
        <w:adjustRightInd/>
        <w:spacing w:line="360" w:lineRule="auto"/>
        <w:ind w:firstLine="420" w:firstLineChars="200"/>
        <w:jc w:val="both"/>
        <w:rPr>
          <w:rFonts w:hAnsi="宋体"/>
          <w:color w:val="auto"/>
          <w:sz w:val="21"/>
          <w:szCs w:val="21"/>
          <w:highlight w:val="none"/>
        </w:rPr>
      </w:pPr>
      <w:r>
        <w:rPr>
          <w:rFonts w:hint="eastAsia" w:hAnsi="宋体"/>
          <w:color w:val="auto"/>
          <w:sz w:val="21"/>
          <w:szCs w:val="21"/>
          <w:highlight w:val="none"/>
        </w:rPr>
        <w:t>1、评委考核打分的评分因素及分值:总分100分</w:t>
      </w:r>
    </w:p>
    <w:tbl>
      <w:tblPr>
        <w:tblStyle w:val="53"/>
        <w:tblW w:w="92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60"/>
        <w:gridCol w:w="1747"/>
        <w:gridCol w:w="827"/>
        <w:gridCol w:w="5935"/>
      </w:tblGrid>
      <w:tr w14:paraId="047F9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35A65389">
            <w:pPr>
              <w:pStyle w:val="77"/>
              <w:keepNext w:val="0"/>
              <w:keepLines w:val="0"/>
              <w:pageBreakBefore w:val="0"/>
              <w:shd w:val="clear"/>
              <w:kinsoku/>
              <w:wordWrap/>
              <w:overflowPunct/>
              <w:topLinePunct w:val="0"/>
              <w:bidi w:val="0"/>
              <w:snapToGrid/>
              <w:spacing w:beforeAutospacing="0" w:afterAutospacing="0" w:line="360" w:lineRule="auto"/>
              <w:ind w:firstLine="0" w:firstLineChars="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1807" w:type="dxa"/>
            <w:gridSpan w:val="2"/>
            <w:tcBorders>
              <w:top w:val="single" w:color="auto" w:sz="4" w:space="0"/>
              <w:left w:val="single" w:color="auto" w:sz="4" w:space="0"/>
              <w:bottom w:val="single" w:color="auto" w:sz="4" w:space="0"/>
              <w:right w:val="single" w:color="auto" w:sz="4" w:space="0"/>
            </w:tcBorders>
            <w:vAlign w:val="center"/>
          </w:tcPr>
          <w:p w14:paraId="1076DB29">
            <w:pPr>
              <w:pStyle w:val="77"/>
              <w:keepNext w:val="0"/>
              <w:keepLines w:val="0"/>
              <w:pageBreakBefore w:val="0"/>
              <w:shd w:val="clear"/>
              <w:kinsoku/>
              <w:wordWrap/>
              <w:overflowPunct/>
              <w:topLinePunct w:val="0"/>
              <w:bidi w:val="0"/>
              <w:snapToGrid/>
              <w:spacing w:beforeAutospacing="0" w:afterAutospacing="0" w:line="360" w:lineRule="auto"/>
              <w:ind w:firstLine="0" w:firstLineChars="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评审项目</w:t>
            </w:r>
          </w:p>
        </w:tc>
        <w:tc>
          <w:tcPr>
            <w:tcW w:w="827" w:type="dxa"/>
            <w:tcBorders>
              <w:top w:val="single" w:color="auto" w:sz="4" w:space="0"/>
              <w:left w:val="single" w:color="auto" w:sz="4" w:space="0"/>
              <w:bottom w:val="single" w:color="auto" w:sz="4" w:space="0"/>
              <w:right w:val="single" w:color="auto" w:sz="4" w:space="0"/>
            </w:tcBorders>
            <w:vAlign w:val="center"/>
          </w:tcPr>
          <w:p w14:paraId="4804E812">
            <w:pPr>
              <w:pStyle w:val="77"/>
              <w:keepNext w:val="0"/>
              <w:keepLines w:val="0"/>
              <w:pageBreakBefore w:val="0"/>
              <w:shd w:val="clear"/>
              <w:kinsoku/>
              <w:wordWrap/>
              <w:overflowPunct/>
              <w:topLinePunct w:val="0"/>
              <w:bidi w:val="0"/>
              <w:snapToGrid/>
              <w:spacing w:beforeAutospacing="0" w:afterAutospacing="0" w:line="360" w:lineRule="auto"/>
              <w:ind w:firstLine="0" w:firstLineChars="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分值</w:t>
            </w:r>
          </w:p>
        </w:tc>
        <w:tc>
          <w:tcPr>
            <w:tcW w:w="5935" w:type="dxa"/>
            <w:tcBorders>
              <w:top w:val="single" w:color="auto" w:sz="4" w:space="0"/>
              <w:left w:val="single" w:color="auto" w:sz="4" w:space="0"/>
              <w:bottom w:val="single" w:color="auto" w:sz="4" w:space="0"/>
              <w:right w:val="single" w:color="auto" w:sz="4" w:space="0"/>
            </w:tcBorders>
            <w:vAlign w:val="center"/>
          </w:tcPr>
          <w:p w14:paraId="17670F61">
            <w:pPr>
              <w:pStyle w:val="77"/>
              <w:keepNext w:val="0"/>
              <w:keepLines w:val="0"/>
              <w:pageBreakBefore w:val="0"/>
              <w:shd w:val="clear"/>
              <w:kinsoku/>
              <w:wordWrap/>
              <w:overflowPunct/>
              <w:topLinePunct w:val="0"/>
              <w:bidi w:val="0"/>
              <w:snapToGrid/>
              <w:spacing w:beforeAutospacing="0" w:afterAutospacing="0" w:line="360" w:lineRule="auto"/>
              <w:ind w:firstLine="0" w:firstLineChars="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评审细则</w:t>
            </w:r>
          </w:p>
        </w:tc>
      </w:tr>
      <w:tr w14:paraId="2772A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59" w:type="dxa"/>
            <w:gridSpan w:val="5"/>
            <w:tcBorders>
              <w:top w:val="single" w:color="auto" w:sz="4" w:space="0"/>
              <w:left w:val="single" w:color="auto" w:sz="4" w:space="0"/>
              <w:bottom w:val="single" w:color="auto" w:sz="4" w:space="0"/>
              <w:right w:val="single" w:color="auto" w:sz="4" w:space="0"/>
            </w:tcBorders>
            <w:vAlign w:val="center"/>
          </w:tcPr>
          <w:p w14:paraId="4164B7EE">
            <w:pPr>
              <w:pStyle w:val="77"/>
              <w:keepNext w:val="0"/>
              <w:keepLines w:val="0"/>
              <w:pageBreakBefore w:val="0"/>
              <w:shd w:val="clear"/>
              <w:kinsoku/>
              <w:wordWrap/>
              <w:overflowPunct/>
              <w:topLinePunct w:val="0"/>
              <w:bidi w:val="0"/>
              <w:snapToGrid/>
              <w:spacing w:beforeAutospacing="0" w:afterAutospacing="0" w:line="360" w:lineRule="auto"/>
              <w:ind w:firstLine="0" w:firstLineChars="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color w:val="auto"/>
                <w:sz w:val="21"/>
                <w:szCs w:val="21"/>
                <w:highlight w:val="none"/>
              </w:rPr>
              <w:t>商务评分（</w:t>
            </w:r>
            <w:r>
              <w:rPr>
                <w:rFonts w:hint="eastAsia" w:ascii="宋体" w:hAnsi="宋体" w:eastAsia="宋体" w:cs="宋体"/>
                <w:b/>
                <w:color w:val="auto"/>
                <w:sz w:val="21"/>
                <w:szCs w:val="21"/>
                <w:highlight w:val="none"/>
                <w:lang w:val="en-US" w:eastAsia="zh-CN"/>
              </w:rPr>
              <w:t>20</w:t>
            </w:r>
            <w:r>
              <w:rPr>
                <w:rFonts w:hint="eastAsia" w:ascii="宋体" w:hAnsi="宋体" w:eastAsia="宋体" w:cs="宋体"/>
                <w:b/>
                <w:color w:val="auto"/>
                <w:sz w:val="21"/>
                <w:szCs w:val="21"/>
                <w:highlight w:val="none"/>
              </w:rPr>
              <w:t>分）</w:t>
            </w:r>
          </w:p>
        </w:tc>
      </w:tr>
      <w:tr w14:paraId="28E60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50" w:type="dxa"/>
            <w:gridSpan w:val="2"/>
            <w:tcBorders>
              <w:top w:val="single" w:color="auto" w:sz="4" w:space="0"/>
              <w:left w:val="single" w:color="auto" w:sz="4" w:space="0"/>
              <w:right w:val="single" w:color="auto" w:sz="4" w:space="0"/>
            </w:tcBorders>
            <w:vAlign w:val="center"/>
          </w:tcPr>
          <w:p w14:paraId="094668DB">
            <w:pPr>
              <w:keepNext w:val="0"/>
              <w:keepLines w:val="0"/>
              <w:pageBreakBefore w:val="0"/>
              <w:shd w:val="clear"/>
              <w:kinsoku/>
              <w:wordWrap/>
              <w:overflowPunct/>
              <w:topLinePunct w:val="0"/>
              <w:bidi w:val="0"/>
              <w:snapToGrid/>
              <w:spacing w:beforeAutospacing="0" w:afterAutospacing="0"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747" w:type="dxa"/>
            <w:tcBorders>
              <w:top w:val="single" w:color="auto" w:sz="4" w:space="0"/>
              <w:left w:val="single" w:color="auto" w:sz="4" w:space="0"/>
              <w:right w:val="single" w:color="auto" w:sz="4" w:space="0"/>
            </w:tcBorders>
            <w:vAlign w:val="center"/>
          </w:tcPr>
          <w:p w14:paraId="08B1DCBB">
            <w:pPr>
              <w:pStyle w:val="77"/>
              <w:keepNext w:val="0"/>
              <w:keepLines w:val="0"/>
              <w:pageBreakBefore w:val="0"/>
              <w:kinsoku/>
              <w:wordWrap/>
              <w:overflowPunct/>
              <w:topLinePunct w:val="0"/>
              <w:bidi w:val="0"/>
              <w:snapToGrid/>
              <w:spacing w:beforeAutospacing="0" w:afterAutospacing="0" w:line="360" w:lineRule="auto"/>
              <w:ind w:firstLine="0" w:firstLineChars="0"/>
              <w:jc w:val="center"/>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企业经营经验</w:t>
            </w:r>
          </w:p>
        </w:tc>
        <w:tc>
          <w:tcPr>
            <w:tcW w:w="827" w:type="dxa"/>
            <w:tcBorders>
              <w:top w:val="single" w:color="auto" w:sz="4" w:space="0"/>
              <w:left w:val="single" w:color="auto" w:sz="4" w:space="0"/>
              <w:bottom w:val="single" w:color="auto" w:sz="4" w:space="0"/>
              <w:right w:val="single" w:color="auto" w:sz="4" w:space="0"/>
            </w:tcBorders>
            <w:vAlign w:val="center"/>
          </w:tcPr>
          <w:p w14:paraId="1A45F671">
            <w:pPr>
              <w:pStyle w:val="77"/>
              <w:keepNext w:val="0"/>
              <w:keepLines w:val="0"/>
              <w:pageBreakBefore w:val="0"/>
              <w:kinsoku/>
              <w:wordWrap/>
              <w:overflowPunct/>
              <w:topLinePunct w:val="0"/>
              <w:bidi w:val="0"/>
              <w:snapToGrid/>
              <w:spacing w:beforeAutospacing="0" w:afterAutospacing="0" w:line="360" w:lineRule="auto"/>
              <w:ind w:firstLine="0" w:firstLineChars="0"/>
              <w:jc w:val="center"/>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12分</w:t>
            </w:r>
          </w:p>
        </w:tc>
        <w:tc>
          <w:tcPr>
            <w:tcW w:w="5935" w:type="dxa"/>
            <w:tcBorders>
              <w:top w:val="single" w:color="auto" w:sz="4" w:space="0"/>
              <w:left w:val="single" w:color="auto" w:sz="4" w:space="0"/>
              <w:bottom w:val="single" w:color="auto" w:sz="4" w:space="0"/>
              <w:right w:val="single" w:color="auto" w:sz="4" w:space="0"/>
            </w:tcBorders>
            <w:vAlign w:val="center"/>
          </w:tcPr>
          <w:p w14:paraId="0AF52FD5">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供应商自20</w:t>
            </w:r>
            <w:r>
              <w:rPr>
                <w:rFonts w:hint="eastAsia" w:ascii="宋体" w:hAnsi="宋体" w:eastAsia="宋体" w:cs="宋体"/>
                <w:color w:val="auto"/>
                <w:sz w:val="21"/>
                <w:szCs w:val="21"/>
                <w:highlight w:val="none"/>
                <w:lang w:val="en-US" w:eastAsia="zh-CN"/>
              </w:rPr>
              <w:t>20</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1</w:t>
            </w:r>
            <w:r>
              <w:rPr>
                <w:rFonts w:hint="eastAsia" w:hAnsi="宋体" w:cs="宋体"/>
                <w:color w:val="auto"/>
                <w:sz w:val="21"/>
                <w:szCs w:val="21"/>
                <w:highlight w:val="none"/>
                <w:lang w:val="en-US" w:eastAsia="zh-CN"/>
              </w:rPr>
              <w:t>2</w:t>
            </w:r>
            <w:r>
              <w:rPr>
                <w:rFonts w:hint="eastAsia" w:ascii="宋体" w:hAnsi="宋体" w:eastAsia="宋体" w:cs="宋体"/>
                <w:color w:val="auto"/>
                <w:sz w:val="21"/>
                <w:szCs w:val="21"/>
                <w:highlight w:val="none"/>
              </w:rPr>
              <w:t>月01日至响应截止日前承接过</w:t>
            </w:r>
            <w:r>
              <w:rPr>
                <w:rFonts w:hint="eastAsia" w:ascii="宋体" w:hAnsi="宋体" w:eastAsia="宋体" w:cs="宋体"/>
                <w:color w:val="auto"/>
                <w:sz w:val="21"/>
                <w:szCs w:val="21"/>
                <w:highlight w:val="none"/>
                <w:lang w:val="en-US" w:eastAsia="zh-CN"/>
              </w:rPr>
              <w:t>含有</w:t>
            </w:r>
            <w:r>
              <w:rPr>
                <w:rFonts w:hint="eastAsia" w:ascii="宋体" w:hAnsi="宋体" w:eastAsia="宋体" w:cs="宋体"/>
                <w:color w:val="auto"/>
                <w:sz w:val="21"/>
                <w:szCs w:val="21"/>
                <w:highlight w:val="none"/>
              </w:rPr>
              <w:t>软装采购安装项目合同业绩的，每个得2分，本项满分12分。</w:t>
            </w:r>
          </w:p>
          <w:p w14:paraId="5E847502">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bCs/>
                <w:color w:val="auto"/>
                <w:sz w:val="21"/>
                <w:szCs w:val="21"/>
                <w:highlight w:val="none"/>
                <w:lang w:val="zh-CN" w:eastAsia="zh-CN" w:bidi="ar-SA"/>
              </w:rPr>
            </w:pPr>
            <w:r>
              <w:rPr>
                <w:rFonts w:hint="eastAsia" w:ascii="宋体" w:hAnsi="宋体" w:eastAsia="宋体" w:cs="宋体"/>
                <w:b/>
                <w:bCs/>
                <w:color w:val="auto"/>
                <w:sz w:val="21"/>
                <w:szCs w:val="21"/>
                <w:highlight w:val="none"/>
              </w:rPr>
              <w:t>注：①业绩证明资料须提供合同（或协议书）关键页复印件，及与项目相关的发票（张数不限）复印件并加盖</w:t>
            </w:r>
            <w:r>
              <w:rPr>
                <w:rFonts w:hint="eastAsia" w:ascii="宋体" w:hAnsi="宋体" w:eastAsia="宋体" w:cs="宋体"/>
                <w:b/>
                <w:bCs/>
                <w:color w:val="auto"/>
                <w:sz w:val="21"/>
                <w:szCs w:val="21"/>
                <w:highlight w:val="none"/>
                <w:lang w:val="en-US" w:eastAsia="zh-CN"/>
              </w:rPr>
              <w:t>供应商</w:t>
            </w:r>
            <w:r>
              <w:rPr>
                <w:rFonts w:hint="eastAsia" w:ascii="宋体" w:hAnsi="宋体" w:eastAsia="宋体" w:cs="宋体"/>
                <w:b/>
                <w:bCs/>
                <w:color w:val="auto"/>
                <w:sz w:val="21"/>
                <w:szCs w:val="21"/>
                <w:highlight w:val="none"/>
              </w:rPr>
              <w:t>公章。②时间以合同（或协议书）签订时间为准。③同一项目的业绩不能重复计分。</w:t>
            </w:r>
          </w:p>
        </w:tc>
      </w:tr>
      <w:tr w14:paraId="52BC5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50" w:type="dxa"/>
            <w:gridSpan w:val="2"/>
            <w:tcBorders>
              <w:top w:val="single" w:color="auto" w:sz="4" w:space="0"/>
              <w:left w:val="single" w:color="auto" w:sz="4" w:space="0"/>
              <w:right w:val="single" w:color="auto" w:sz="4" w:space="0"/>
            </w:tcBorders>
            <w:vAlign w:val="center"/>
          </w:tcPr>
          <w:p w14:paraId="4AB16C24">
            <w:pPr>
              <w:keepNext w:val="0"/>
              <w:keepLines w:val="0"/>
              <w:pageBreakBefore w:val="0"/>
              <w:shd w:val="clear"/>
              <w:kinsoku/>
              <w:wordWrap/>
              <w:overflowPunct/>
              <w:topLinePunct w:val="0"/>
              <w:bidi w:val="0"/>
              <w:snapToGrid/>
              <w:spacing w:beforeAutospacing="0" w:afterAutospacing="0"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747" w:type="dxa"/>
            <w:tcBorders>
              <w:top w:val="single" w:color="auto" w:sz="4" w:space="0"/>
              <w:left w:val="single" w:color="auto" w:sz="4" w:space="0"/>
              <w:right w:val="single" w:color="auto" w:sz="4" w:space="0"/>
            </w:tcBorders>
            <w:vAlign w:val="center"/>
          </w:tcPr>
          <w:p w14:paraId="354DAED8">
            <w:pPr>
              <w:pStyle w:val="77"/>
              <w:keepNext w:val="0"/>
              <w:keepLines w:val="0"/>
              <w:pageBreakBefore w:val="0"/>
              <w:kinsoku/>
              <w:wordWrap/>
              <w:overflowPunct/>
              <w:topLinePunct w:val="0"/>
              <w:bidi w:val="0"/>
              <w:snapToGrid/>
              <w:spacing w:beforeAutospacing="0" w:afterAutospacing="0" w:line="360" w:lineRule="auto"/>
              <w:ind w:firstLine="0" w:firstLineChars="0"/>
              <w:jc w:val="center"/>
              <w:textAlignment w:val="auto"/>
              <w:rPr>
                <w:rFonts w:hint="eastAsia" w:ascii="宋体" w:hAnsi="宋体" w:eastAsia="宋体" w:cs="宋体"/>
                <w:bCs/>
                <w:color w:val="auto"/>
                <w:sz w:val="21"/>
                <w:szCs w:val="21"/>
                <w:highlight w:val="none"/>
                <w:lang w:val="en-US" w:eastAsia="zh-CN" w:bidi="ar-SA"/>
              </w:rPr>
            </w:pPr>
            <w:r>
              <w:rPr>
                <w:rFonts w:hint="eastAsia" w:ascii="宋体" w:hAnsi="宋体" w:eastAsia="宋体" w:cs="宋体"/>
                <w:color w:val="auto"/>
                <w:sz w:val="21"/>
                <w:szCs w:val="21"/>
                <w:highlight w:val="none"/>
              </w:rPr>
              <w:t>拟投入本项目人员配置</w:t>
            </w:r>
          </w:p>
        </w:tc>
        <w:tc>
          <w:tcPr>
            <w:tcW w:w="827" w:type="dxa"/>
            <w:tcBorders>
              <w:top w:val="single" w:color="auto" w:sz="4" w:space="0"/>
              <w:left w:val="single" w:color="auto" w:sz="4" w:space="0"/>
              <w:bottom w:val="single" w:color="auto" w:sz="4" w:space="0"/>
              <w:right w:val="single" w:color="auto" w:sz="4" w:space="0"/>
            </w:tcBorders>
            <w:vAlign w:val="center"/>
          </w:tcPr>
          <w:p w14:paraId="250C8E85">
            <w:pPr>
              <w:keepNext w:val="0"/>
              <w:keepLines w:val="0"/>
              <w:pageBreakBefore w:val="0"/>
              <w:kinsoku/>
              <w:wordWrap/>
              <w:overflowPunct/>
              <w:topLinePunct w:val="0"/>
              <w:bidi w:val="0"/>
              <w:snapToGrid/>
              <w:spacing w:beforeAutospacing="0" w:afterAutospacing="0" w:line="360" w:lineRule="auto"/>
              <w:jc w:val="center"/>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8分</w:t>
            </w:r>
          </w:p>
        </w:tc>
        <w:tc>
          <w:tcPr>
            <w:tcW w:w="5935" w:type="dxa"/>
            <w:tcBorders>
              <w:top w:val="single" w:color="auto" w:sz="4" w:space="0"/>
              <w:left w:val="single" w:color="auto" w:sz="4" w:space="0"/>
              <w:bottom w:val="single" w:color="auto" w:sz="4" w:space="0"/>
              <w:right w:val="single" w:color="auto" w:sz="4" w:space="0"/>
            </w:tcBorders>
            <w:vAlign w:val="center"/>
          </w:tcPr>
          <w:p w14:paraId="4666B281">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项目负责人：自20</w:t>
            </w:r>
            <w:r>
              <w:rPr>
                <w:rFonts w:hint="eastAsia" w:ascii="宋体" w:hAnsi="宋体" w:eastAsia="宋体" w:cs="宋体"/>
                <w:color w:val="auto"/>
                <w:sz w:val="21"/>
                <w:szCs w:val="21"/>
                <w:highlight w:val="none"/>
                <w:lang w:val="en-US" w:eastAsia="zh-CN"/>
              </w:rPr>
              <w:t>20</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1</w:t>
            </w:r>
            <w:r>
              <w:rPr>
                <w:rFonts w:hint="eastAsia" w:hAnsi="宋体" w:cs="宋体"/>
                <w:color w:val="auto"/>
                <w:sz w:val="21"/>
                <w:szCs w:val="21"/>
                <w:highlight w:val="none"/>
                <w:lang w:val="en-US" w:eastAsia="zh-CN"/>
              </w:rPr>
              <w:t>2</w:t>
            </w:r>
            <w:r>
              <w:rPr>
                <w:rFonts w:hint="eastAsia" w:ascii="宋体" w:hAnsi="宋体" w:eastAsia="宋体" w:cs="宋体"/>
                <w:color w:val="auto"/>
                <w:sz w:val="21"/>
                <w:szCs w:val="21"/>
                <w:highlight w:val="none"/>
              </w:rPr>
              <w:t>月01日至响应截止日前（以合同签订时间为准）负责过</w:t>
            </w:r>
            <w:r>
              <w:rPr>
                <w:rFonts w:hint="eastAsia" w:ascii="宋体" w:hAnsi="宋体" w:eastAsia="宋体" w:cs="宋体"/>
                <w:color w:val="auto"/>
                <w:sz w:val="21"/>
                <w:szCs w:val="21"/>
                <w:highlight w:val="none"/>
                <w:lang w:val="en-US" w:eastAsia="zh-CN"/>
              </w:rPr>
              <w:t>含有</w:t>
            </w:r>
            <w:r>
              <w:rPr>
                <w:rFonts w:hint="eastAsia" w:ascii="宋体" w:hAnsi="宋体" w:eastAsia="宋体" w:cs="宋体"/>
                <w:color w:val="auto"/>
                <w:sz w:val="21"/>
                <w:szCs w:val="21"/>
                <w:highlight w:val="none"/>
              </w:rPr>
              <w:t>软装采购安装项目业绩的，每个得2分，本项最高得8分。</w:t>
            </w:r>
          </w:p>
          <w:p w14:paraId="41CBCD54">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bCs/>
                <w:color w:val="auto"/>
                <w:sz w:val="21"/>
                <w:szCs w:val="21"/>
                <w:highlight w:val="none"/>
                <w:lang w:val="en-US" w:eastAsia="zh-CN" w:bidi="ar-SA"/>
              </w:rPr>
            </w:pPr>
            <w:r>
              <w:rPr>
                <w:rFonts w:hint="eastAsia" w:ascii="宋体" w:hAnsi="宋体" w:eastAsia="宋体" w:cs="宋体"/>
                <w:b/>
                <w:bCs/>
                <w:color w:val="auto"/>
                <w:sz w:val="21"/>
                <w:szCs w:val="21"/>
                <w:highlight w:val="none"/>
              </w:rPr>
              <w:t>注：①项目负责人业绩证明资料须提供合同（或协议书）关键页复印件，及与项目相关的发票（张数不限）复印件并加盖供应商公章。②时间以合同（或协议书）签订时间为准。③同一项目的业绩不能重复计分。④</w:t>
            </w:r>
            <w:r>
              <w:rPr>
                <w:rFonts w:hint="eastAsia" w:ascii="宋体" w:hAnsi="宋体" w:eastAsia="宋体" w:cs="宋体"/>
                <w:b/>
                <w:bCs/>
                <w:color w:val="auto"/>
                <w:sz w:val="21"/>
                <w:szCs w:val="21"/>
                <w:highlight w:val="none"/>
                <w:lang w:val="en-US" w:eastAsia="zh-CN"/>
              </w:rPr>
              <w:t>供应商</w:t>
            </w:r>
            <w:r>
              <w:rPr>
                <w:rFonts w:hint="eastAsia" w:ascii="宋体" w:hAnsi="宋体" w:eastAsia="宋体" w:cs="宋体"/>
                <w:b/>
                <w:bCs/>
                <w:color w:val="auto"/>
                <w:sz w:val="21"/>
                <w:szCs w:val="21"/>
                <w:highlight w:val="none"/>
              </w:rPr>
              <w:t>连续为其缴纳的社保证明文件（社保证明应为投标文件递交截止日前半年（不含开标当月）时间内连续不少于三个月的有效证明材料，可以是在投标人总公司或分公司的社保缴纳证明文件，社保缴纳证明文件应具备社保管理机构印章并加盖</w:t>
            </w:r>
            <w:r>
              <w:rPr>
                <w:rFonts w:hint="eastAsia" w:ascii="宋体" w:hAnsi="宋体" w:eastAsia="宋体" w:cs="宋体"/>
                <w:b/>
                <w:bCs/>
                <w:color w:val="auto"/>
                <w:sz w:val="21"/>
                <w:szCs w:val="21"/>
                <w:highlight w:val="none"/>
                <w:lang w:val="en-US" w:eastAsia="zh-CN"/>
              </w:rPr>
              <w:t>供应商</w:t>
            </w:r>
            <w:r>
              <w:rPr>
                <w:rFonts w:hint="eastAsia" w:ascii="宋体" w:hAnsi="宋体" w:eastAsia="宋体" w:cs="宋体"/>
                <w:b/>
                <w:bCs/>
                <w:color w:val="auto"/>
                <w:sz w:val="21"/>
                <w:szCs w:val="21"/>
                <w:highlight w:val="none"/>
              </w:rPr>
              <w:t>公章。</w:t>
            </w:r>
            <w:r>
              <w:rPr>
                <w:rFonts w:hint="eastAsia" w:ascii="宋体" w:hAnsi="宋体" w:eastAsia="宋体" w:cs="宋体"/>
                <w:b/>
                <w:bCs/>
                <w:color w:val="auto"/>
                <w:sz w:val="21"/>
                <w:szCs w:val="21"/>
                <w:highlight w:val="none"/>
                <w:lang w:val="en-US" w:eastAsia="zh-CN"/>
              </w:rPr>
              <w:t>⑤若提供的合同复印件无法完整反映评分条件的，可提供项目业绩中的其他相关材料（如验收证明、用户评价等），仍无法完整反映评分条件还需提供由合同甲方或用户单位出具加盖单位公章的书面补充情况说明文件（内容需包含上述评分条件）作为辅助证明文件。</w:t>
            </w:r>
          </w:p>
        </w:tc>
      </w:tr>
      <w:tr w14:paraId="38B51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9259" w:type="dxa"/>
            <w:gridSpan w:val="5"/>
            <w:tcBorders>
              <w:top w:val="single" w:color="auto" w:sz="4" w:space="0"/>
              <w:left w:val="single" w:color="auto" w:sz="4" w:space="0"/>
              <w:bottom w:val="single" w:color="auto" w:sz="4" w:space="0"/>
              <w:right w:val="single" w:color="auto" w:sz="4" w:space="0"/>
            </w:tcBorders>
            <w:vAlign w:val="center"/>
          </w:tcPr>
          <w:p w14:paraId="1FD56849">
            <w:pPr>
              <w:pStyle w:val="77"/>
              <w:keepNext w:val="0"/>
              <w:keepLines w:val="0"/>
              <w:pageBreakBefore w:val="0"/>
              <w:shd w:val="clear"/>
              <w:kinsoku/>
              <w:wordWrap/>
              <w:overflowPunct/>
              <w:topLinePunct w:val="0"/>
              <w:bidi w:val="0"/>
              <w:snapToGrid/>
              <w:spacing w:beforeAutospacing="0" w:afterAutospacing="0" w:line="360" w:lineRule="auto"/>
              <w:ind w:firstLine="0" w:firstLineChars="0"/>
              <w:jc w:val="center"/>
              <w:textAlignment w:val="auto"/>
              <w:rPr>
                <w:rFonts w:hint="eastAsia" w:ascii="宋体" w:hAnsi="宋体" w:eastAsia="宋体" w:cs="宋体"/>
                <w:bCs/>
                <w:color w:val="auto"/>
                <w:sz w:val="21"/>
                <w:szCs w:val="21"/>
                <w:highlight w:val="none"/>
                <w:lang w:val="zh-CN"/>
              </w:rPr>
            </w:pPr>
            <w:r>
              <w:rPr>
                <w:rFonts w:hint="eastAsia" w:ascii="宋体" w:hAnsi="宋体" w:eastAsia="宋体" w:cs="宋体"/>
                <w:b/>
                <w:color w:val="auto"/>
                <w:sz w:val="21"/>
                <w:szCs w:val="21"/>
                <w:highlight w:val="none"/>
              </w:rPr>
              <w:t>技术评分（</w:t>
            </w:r>
            <w:r>
              <w:rPr>
                <w:rFonts w:hint="eastAsia" w:ascii="宋体" w:hAnsi="宋体" w:eastAsia="宋体" w:cs="宋体"/>
                <w:b/>
                <w:color w:val="auto"/>
                <w:sz w:val="21"/>
                <w:szCs w:val="21"/>
                <w:highlight w:val="none"/>
                <w:lang w:val="en-US" w:eastAsia="zh-CN"/>
              </w:rPr>
              <w:t>50</w:t>
            </w:r>
            <w:r>
              <w:rPr>
                <w:rFonts w:hint="eastAsia" w:ascii="宋体" w:hAnsi="宋体" w:eastAsia="宋体" w:cs="宋体"/>
                <w:b/>
                <w:color w:val="auto"/>
                <w:sz w:val="21"/>
                <w:szCs w:val="21"/>
                <w:highlight w:val="none"/>
              </w:rPr>
              <w:t>分）</w:t>
            </w:r>
          </w:p>
        </w:tc>
      </w:tr>
      <w:tr w14:paraId="5444E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750" w:type="dxa"/>
            <w:gridSpan w:val="2"/>
            <w:tcBorders>
              <w:top w:val="single" w:color="auto" w:sz="4" w:space="0"/>
              <w:left w:val="single" w:color="auto" w:sz="4" w:space="0"/>
              <w:bottom w:val="single" w:color="auto" w:sz="4" w:space="0"/>
              <w:right w:val="single" w:color="auto" w:sz="4" w:space="0"/>
            </w:tcBorders>
            <w:vAlign w:val="center"/>
          </w:tcPr>
          <w:p w14:paraId="1E5A39B3">
            <w:pPr>
              <w:keepNext w:val="0"/>
              <w:keepLines w:val="0"/>
              <w:pageBreakBefore w:val="0"/>
              <w:shd w:val="clear"/>
              <w:kinsoku/>
              <w:wordWrap/>
              <w:overflowPunct/>
              <w:topLinePunct w:val="0"/>
              <w:bidi w:val="0"/>
              <w:snapToGrid/>
              <w:spacing w:beforeAutospacing="0" w:afterAutospacing="0" w:line="360" w:lineRule="auto"/>
              <w:jc w:val="center"/>
              <w:textAlignment w:val="auto"/>
              <w:rPr>
                <w:rFonts w:hint="eastAsia" w:ascii="宋体" w:hAnsi="宋体" w:eastAsia="宋体" w:cs="宋体"/>
                <w:b/>
                <w:color w:val="auto"/>
                <w:sz w:val="21"/>
                <w:szCs w:val="21"/>
                <w:highlight w:val="none"/>
                <w:lang w:val="zh-CN"/>
              </w:rPr>
            </w:pPr>
            <w:r>
              <w:rPr>
                <w:rFonts w:hint="eastAsia" w:ascii="宋体" w:hAnsi="宋体" w:eastAsia="宋体" w:cs="宋体"/>
                <w:color w:val="auto"/>
                <w:sz w:val="21"/>
                <w:szCs w:val="21"/>
                <w:highlight w:val="none"/>
              </w:rPr>
              <w:t>1</w:t>
            </w:r>
          </w:p>
        </w:tc>
        <w:tc>
          <w:tcPr>
            <w:tcW w:w="1747" w:type="dxa"/>
            <w:tcBorders>
              <w:top w:val="single" w:color="auto" w:sz="4" w:space="0"/>
              <w:left w:val="single" w:color="auto" w:sz="4" w:space="0"/>
              <w:bottom w:val="single" w:color="auto" w:sz="4" w:space="0"/>
              <w:right w:val="single" w:color="auto" w:sz="4" w:space="0"/>
            </w:tcBorders>
            <w:vAlign w:val="center"/>
          </w:tcPr>
          <w:p w14:paraId="4A743BC3">
            <w:pPr>
              <w:keepNext w:val="0"/>
              <w:keepLines w:val="0"/>
              <w:pageBreakBefore w:val="0"/>
              <w:kinsoku/>
              <w:wordWrap/>
              <w:overflowPunct/>
              <w:topLinePunct w:val="0"/>
              <w:bidi w:val="0"/>
              <w:snapToGrid/>
              <w:spacing w:beforeAutospacing="0" w:afterAutospacing="0" w:line="360" w:lineRule="auto"/>
              <w:jc w:val="center"/>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对服务项目的理解</w:t>
            </w:r>
          </w:p>
        </w:tc>
        <w:tc>
          <w:tcPr>
            <w:tcW w:w="827" w:type="dxa"/>
            <w:tcBorders>
              <w:top w:val="single" w:color="auto" w:sz="4" w:space="0"/>
              <w:left w:val="single" w:color="auto" w:sz="4" w:space="0"/>
              <w:bottom w:val="single" w:color="auto" w:sz="4" w:space="0"/>
              <w:right w:val="single" w:color="auto" w:sz="4" w:space="0"/>
            </w:tcBorders>
            <w:vAlign w:val="center"/>
          </w:tcPr>
          <w:p w14:paraId="21DEA449">
            <w:pPr>
              <w:keepNext w:val="0"/>
              <w:keepLines w:val="0"/>
              <w:pageBreakBefore w:val="0"/>
              <w:kinsoku/>
              <w:wordWrap/>
              <w:overflowPunct/>
              <w:topLinePunct w:val="0"/>
              <w:bidi w:val="0"/>
              <w:snapToGrid/>
              <w:spacing w:beforeAutospacing="0" w:afterAutospacing="0" w:line="360" w:lineRule="auto"/>
              <w:jc w:val="center"/>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10分</w:t>
            </w:r>
          </w:p>
        </w:tc>
        <w:tc>
          <w:tcPr>
            <w:tcW w:w="5935" w:type="dxa"/>
            <w:tcBorders>
              <w:top w:val="single" w:color="auto" w:sz="4" w:space="0"/>
              <w:left w:val="single" w:color="auto" w:sz="4" w:space="0"/>
              <w:bottom w:val="single" w:color="auto" w:sz="4" w:space="0"/>
              <w:right w:val="single" w:color="auto" w:sz="4" w:space="0"/>
            </w:tcBorders>
            <w:vAlign w:val="center"/>
          </w:tcPr>
          <w:p w14:paraId="12661887">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根据供应商对服务项目工作范围、工作标准理解是否准确、认识是否深刻，以及对项目实施地点的熟悉了解程度等进行</w:t>
            </w:r>
            <w:r>
              <w:rPr>
                <w:rFonts w:hint="eastAsia" w:ascii="宋体" w:hAnsi="宋体" w:eastAsia="宋体" w:cs="宋体"/>
                <w:color w:val="auto"/>
                <w:sz w:val="21"/>
                <w:szCs w:val="21"/>
                <w:highlight w:val="none"/>
                <w:lang w:val="en-US" w:eastAsia="zh-CN"/>
              </w:rPr>
              <w:t>评审</w:t>
            </w:r>
            <w:r>
              <w:rPr>
                <w:rFonts w:hint="eastAsia" w:ascii="宋体" w:hAnsi="宋体" w:eastAsia="宋体" w:cs="宋体"/>
                <w:color w:val="auto"/>
                <w:sz w:val="21"/>
                <w:szCs w:val="21"/>
                <w:highlight w:val="none"/>
              </w:rPr>
              <w:t>：</w:t>
            </w:r>
          </w:p>
          <w:p w14:paraId="3BB86E42">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优：供应商对服务项目的完全理解，且方案完整合理、可行性强，完全满足或优于磋商文件要求，得10分；</w:t>
            </w:r>
          </w:p>
          <w:p w14:paraId="5401C94D">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良：供应商对服务项目的理解准确，且方案完整、可行性一般，符合磋商文件要求，得7分；</w:t>
            </w:r>
          </w:p>
          <w:p w14:paraId="41D8BEFD">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中：供应商对服务项目的基本理解，且方案基本完整、可行性较差，基本符合磋商文件要求，得4分；</w:t>
            </w:r>
          </w:p>
          <w:p w14:paraId="2345841F">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差：供应商对本项目的基本不理解，提供对应方案较差，得1分。</w:t>
            </w:r>
          </w:p>
          <w:p w14:paraId="7CE0715A">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未提供，不得分。</w:t>
            </w:r>
          </w:p>
        </w:tc>
      </w:tr>
      <w:tr w14:paraId="2F75A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750" w:type="dxa"/>
            <w:gridSpan w:val="2"/>
            <w:tcBorders>
              <w:top w:val="single" w:color="auto" w:sz="4" w:space="0"/>
              <w:left w:val="single" w:color="auto" w:sz="4" w:space="0"/>
              <w:bottom w:val="single" w:color="auto" w:sz="4" w:space="0"/>
              <w:right w:val="single" w:color="auto" w:sz="4" w:space="0"/>
            </w:tcBorders>
            <w:vAlign w:val="center"/>
          </w:tcPr>
          <w:p w14:paraId="0474C454">
            <w:pPr>
              <w:keepNext w:val="0"/>
              <w:keepLines w:val="0"/>
              <w:pageBreakBefore w:val="0"/>
              <w:shd w:val="clear"/>
              <w:kinsoku/>
              <w:wordWrap/>
              <w:overflowPunct/>
              <w:topLinePunct w:val="0"/>
              <w:bidi w:val="0"/>
              <w:snapToGrid/>
              <w:spacing w:beforeAutospacing="0" w:afterAutospacing="0"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747" w:type="dxa"/>
            <w:tcBorders>
              <w:top w:val="single" w:color="auto" w:sz="4" w:space="0"/>
              <w:left w:val="single" w:color="auto" w:sz="4" w:space="0"/>
              <w:bottom w:val="single" w:color="auto" w:sz="4" w:space="0"/>
              <w:right w:val="single" w:color="auto" w:sz="4" w:space="0"/>
            </w:tcBorders>
            <w:vAlign w:val="center"/>
          </w:tcPr>
          <w:p w14:paraId="4E8F19C4">
            <w:pPr>
              <w:keepNext w:val="0"/>
              <w:keepLines w:val="0"/>
              <w:pageBreakBefore w:val="0"/>
              <w:kinsoku/>
              <w:wordWrap/>
              <w:overflowPunct/>
              <w:topLinePunct w:val="0"/>
              <w:bidi w:val="0"/>
              <w:snapToGrid/>
              <w:spacing w:beforeAutospacing="0" w:afterAutospacing="0" w:line="360" w:lineRule="auto"/>
              <w:jc w:val="center"/>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实施计划</w:t>
            </w:r>
          </w:p>
        </w:tc>
        <w:tc>
          <w:tcPr>
            <w:tcW w:w="827" w:type="dxa"/>
            <w:tcBorders>
              <w:top w:val="single" w:color="auto" w:sz="4" w:space="0"/>
              <w:left w:val="single" w:color="auto" w:sz="4" w:space="0"/>
              <w:bottom w:val="single" w:color="auto" w:sz="4" w:space="0"/>
              <w:right w:val="single" w:color="auto" w:sz="4" w:space="0"/>
            </w:tcBorders>
            <w:vAlign w:val="center"/>
          </w:tcPr>
          <w:p w14:paraId="54452FA1">
            <w:pPr>
              <w:keepNext w:val="0"/>
              <w:keepLines w:val="0"/>
              <w:pageBreakBefore w:val="0"/>
              <w:kinsoku/>
              <w:wordWrap/>
              <w:overflowPunct/>
              <w:topLinePunct w:val="0"/>
              <w:bidi w:val="0"/>
              <w:snapToGrid/>
              <w:spacing w:beforeAutospacing="0" w:afterAutospacing="0" w:line="360" w:lineRule="auto"/>
              <w:jc w:val="center"/>
              <w:textAlignment w:val="auto"/>
              <w:rPr>
                <w:rFonts w:hint="eastAsia" w:ascii="宋体" w:hAnsi="宋体" w:eastAsia="宋体" w:cs="宋体"/>
                <w:snapToGrid w:val="0"/>
                <w:color w:val="auto"/>
                <w:sz w:val="21"/>
                <w:szCs w:val="21"/>
                <w:highlight w:val="none"/>
                <w:lang w:val="en-US" w:eastAsia="zh-CN" w:bidi="ar-SA"/>
              </w:rPr>
            </w:pPr>
            <w:r>
              <w:rPr>
                <w:rFonts w:hint="eastAsia" w:ascii="宋体" w:hAnsi="宋体" w:eastAsia="宋体" w:cs="宋体"/>
                <w:color w:val="auto"/>
                <w:sz w:val="21"/>
                <w:szCs w:val="21"/>
                <w:highlight w:val="none"/>
              </w:rPr>
              <w:t>10分</w:t>
            </w:r>
          </w:p>
        </w:tc>
        <w:tc>
          <w:tcPr>
            <w:tcW w:w="5935" w:type="dxa"/>
            <w:tcBorders>
              <w:top w:val="single" w:color="auto" w:sz="4" w:space="0"/>
              <w:left w:val="single" w:color="auto" w:sz="4" w:space="0"/>
              <w:bottom w:val="single" w:color="auto" w:sz="4" w:space="0"/>
              <w:right w:val="single" w:color="auto" w:sz="4" w:space="0"/>
            </w:tcBorders>
            <w:vAlign w:val="center"/>
          </w:tcPr>
          <w:p w14:paraId="549FF024">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根据供应商制定的实施计划进行评价：</w:t>
            </w:r>
          </w:p>
          <w:p w14:paraId="0BE3C1D5">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优：实施计划详尽完整、科学合理、有利于项目实施，得10分；</w:t>
            </w:r>
          </w:p>
          <w:p w14:paraId="05B68C80">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良：实施计划比较完整、科学合理可行的，得7分；</w:t>
            </w:r>
          </w:p>
          <w:p w14:paraId="3C8C047F">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中：实施计划一般、可行性一般，得4分；</w:t>
            </w:r>
          </w:p>
          <w:p w14:paraId="7F9AD2E1">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差：实施计划缺乏合理性或可行性，得1分；</w:t>
            </w:r>
          </w:p>
          <w:p w14:paraId="3F860D14">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未提供，不得分。</w:t>
            </w:r>
          </w:p>
        </w:tc>
      </w:tr>
      <w:tr w14:paraId="13733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750" w:type="dxa"/>
            <w:gridSpan w:val="2"/>
            <w:tcBorders>
              <w:top w:val="single" w:color="auto" w:sz="4" w:space="0"/>
              <w:left w:val="single" w:color="auto" w:sz="4" w:space="0"/>
              <w:bottom w:val="single" w:color="auto" w:sz="4" w:space="0"/>
              <w:right w:val="single" w:color="auto" w:sz="4" w:space="0"/>
            </w:tcBorders>
            <w:vAlign w:val="center"/>
          </w:tcPr>
          <w:p w14:paraId="242837CB">
            <w:pPr>
              <w:keepNext w:val="0"/>
              <w:keepLines w:val="0"/>
              <w:pageBreakBefore w:val="0"/>
              <w:shd w:val="clear"/>
              <w:kinsoku/>
              <w:wordWrap/>
              <w:overflowPunct/>
              <w:topLinePunct w:val="0"/>
              <w:bidi w:val="0"/>
              <w:snapToGrid/>
              <w:spacing w:beforeAutospacing="0" w:afterAutospacing="0"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1747" w:type="dxa"/>
            <w:tcBorders>
              <w:top w:val="single" w:color="auto" w:sz="4" w:space="0"/>
              <w:left w:val="single" w:color="auto" w:sz="4" w:space="0"/>
              <w:bottom w:val="single" w:color="auto" w:sz="4" w:space="0"/>
              <w:right w:val="single" w:color="auto" w:sz="4" w:space="0"/>
            </w:tcBorders>
            <w:vAlign w:val="center"/>
          </w:tcPr>
          <w:p w14:paraId="1C8A4BCF">
            <w:pPr>
              <w:keepNext w:val="0"/>
              <w:keepLines w:val="0"/>
              <w:pageBreakBefore w:val="0"/>
              <w:kinsoku/>
              <w:wordWrap/>
              <w:overflowPunct/>
              <w:topLinePunct w:val="0"/>
              <w:bidi w:val="0"/>
              <w:snapToGrid/>
              <w:spacing w:beforeAutospacing="0" w:afterAutospacing="0"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产品质量与性</w:t>
            </w:r>
          </w:p>
          <w:p w14:paraId="7380DB41">
            <w:pPr>
              <w:keepNext w:val="0"/>
              <w:keepLines w:val="0"/>
              <w:pageBreakBefore w:val="0"/>
              <w:kinsoku/>
              <w:wordWrap/>
              <w:overflowPunct/>
              <w:topLinePunct w:val="0"/>
              <w:bidi w:val="0"/>
              <w:snapToGrid/>
              <w:spacing w:beforeAutospacing="0" w:afterAutospacing="0" w:line="360" w:lineRule="auto"/>
              <w:jc w:val="center"/>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能</w:t>
            </w:r>
          </w:p>
        </w:tc>
        <w:tc>
          <w:tcPr>
            <w:tcW w:w="827" w:type="dxa"/>
            <w:tcBorders>
              <w:top w:val="single" w:color="auto" w:sz="4" w:space="0"/>
              <w:left w:val="single" w:color="auto" w:sz="4" w:space="0"/>
              <w:bottom w:val="single" w:color="auto" w:sz="4" w:space="0"/>
              <w:right w:val="single" w:color="auto" w:sz="4" w:space="0"/>
            </w:tcBorders>
            <w:vAlign w:val="center"/>
          </w:tcPr>
          <w:p w14:paraId="2EE8A977">
            <w:pPr>
              <w:keepNext w:val="0"/>
              <w:keepLines w:val="0"/>
              <w:pageBreakBefore w:val="0"/>
              <w:kinsoku/>
              <w:wordWrap/>
              <w:overflowPunct/>
              <w:topLinePunct w:val="0"/>
              <w:bidi w:val="0"/>
              <w:snapToGrid/>
              <w:spacing w:beforeAutospacing="0" w:afterAutospacing="0" w:line="360" w:lineRule="auto"/>
              <w:jc w:val="center"/>
              <w:textAlignment w:val="auto"/>
              <w:rPr>
                <w:rFonts w:hint="eastAsia" w:ascii="宋体" w:hAnsi="宋体" w:eastAsia="宋体" w:cs="宋体"/>
                <w:snapToGrid w:val="0"/>
                <w:color w:val="auto"/>
                <w:sz w:val="21"/>
                <w:szCs w:val="21"/>
                <w:highlight w:val="none"/>
                <w:lang w:val="en-US" w:eastAsia="zh-CN" w:bidi="ar-SA"/>
              </w:rPr>
            </w:pPr>
            <w:r>
              <w:rPr>
                <w:rFonts w:hint="eastAsia" w:ascii="宋体" w:hAnsi="宋体" w:eastAsia="宋体" w:cs="宋体"/>
                <w:color w:val="auto"/>
                <w:sz w:val="21"/>
                <w:szCs w:val="21"/>
                <w:highlight w:val="none"/>
              </w:rPr>
              <w:t>10分</w:t>
            </w:r>
          </w:p>
        </w:tc>
        <w:tc>
          <w:tcPr>
            <w:tcW w:w="5935" w:type="dxa"/>
            <w:tcBorders>
              <w:top w:val="single" w:color="auto" w:sz="4" w:space="0"/>
              <w:left w:val="single" w:color="auto" w:sz="4" w:space="0"/>
              <w:bottom w:val="single" w:color="auto" w:sz="4" w:space="0"/>
              <w:right w:val="single" w:color="auto" w:sz="4" w:space="0"/>
            </w:tcBorders>
            <w:vAlign w:val="center"/>
          </w:tcPr>
          <w:p w14:paraId="00B591D9">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根据供应商提供的产品技术资料等评价所投产品的性能指标、技术参数先进性、产品稳定性、安全可靠性、易维护性等</w:t>
            </w:r>
            <w:r>
              <w:rPr>
                <w:rFonts w:hint="eastAsia" w:ascii="宋体" w:hAnsi="宋体" w:eastAsia="宋体" w:cs="宋体"/>
                <w:color w:val="auto"/>
                <w:sz w:val="21"/>
                <w:szCs w:val="21"/>
                <w:highlight w:val="none"/>
                <w:lang w:val="en-US" w:eastAsia="zh-CN"/>
              </w:rPr>
              <w:t>进行</w:t>
            </w:r>
            <w:r>
              <w:rPr>
                <w:rFonts w:hint="eastAsia" w:ascii="宋体" w:hAnsi="宋体" w:eastAsia="宋体" w:cs="宋体"/>
                <w:color w:val="auto"/>
                <w:sz w:val="21"/>
                <w:szCs w:val="21"/>
                <w:highlight w:val="none"/>
              </w:rPr>
              <w:t>综合</w:t>
            </w:r>
            <w:r>
              <w:rPr>
                <w:rFonts w:hint="eastAsia" w:ascii="宋体" w:hAnsi="宋体" w:eastAsia="宋体" w:cs="宋体"/>
                <w:color w:val="auto"/>
                <w:sz w:val="21"/>
                <w:szCs w:val="21"/>
                <w:highlight w:val="none"/>
                <w:lang w:val="en-US" w:eastAsia="zh-CN"/>
              </w:rPr>
              <w:t>评审</w:t>
            </w:r>
            <w:r>
              <w:rPr>
                <w:rFonts w:hint="eastAsia" w:ascii="宋体" w:hAnsi="宋体" w:eastAsia="宋体" w:cs="宋体"/>
                <w:color w:val="auto"/>
                <w:sz w:val="21"/>
                <w:szCs w:val="21"/>
                <w:highlight w:val="none"/>
              </w:rPr>
              <w:t>：</w:t>
            </w:r>
          </w:p>
          <w:p w14:paraId="776F7234">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优：所提供产品的性能高、先进、产品稳定、安全等级高、易维护，得10分；</w:t>
            </w:r>
          </w:p>
          <w:p w14:paraId="77512AE1">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良：所提供产品的性能良好、产品稳定、安全等级中等、易维护，得7分。</w:t>
            </w:r>
          </w:p>
          <w:p w14:paraId="2711F98E">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中：所提供产品的性能一般、产品较稳定、安全等级低、不易维护，得4分。</w:t>
            </w:r>
          </w:p>
          <w:p w14:paraId="2DFAC6B5">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差：所提供产品的性能低、产品不稳定、安全等级低、难以维护，得1分。</w:t>
            </w:r>
          </w:p>
          <w:p w14:paraId="09C6063D">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lang w:val="zh-CN" w:eastAsia="zh-CN" w:bidi="ar-SA"/>
              </w:rPr>
            </w:pPr>
            <w:r>
              <w:rPr>
                <w:rFonts w:hint="eastAsia" w:ascii="宋体" w:hAnsi="宋体" w:eastAsia="宋体" w:cs="宋体"/>
                <w:color w:val="auto"/>
                <w:sz w:val="21"/>
                <w:szCs w:val="21"/>
                <w:highlight w:val="none"/>
              </w:rPr>
              <w:t>未提供，不得分。</w:t>
            </w:r>
          </w:p>
        </w:tc>
      </w:tr>
      <w:tr w14:paraId="27139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750" w:type="dxa"/>
            <w:gridSpan w:val="2"/>
            <w:tcBorders>
              <w:top w:val="single" w:color="auto" w:sz="4" w:space="0"/>
              <w:left w:val="single" w:color="auto" w:sz="4" w:space="0"/>
              <w:bottom w:val="single" w:color="auto" w:sz="4" w:space="0"/>
              <w:right w:val="single" w:color="auto" w:sz="4" w:space="0"/>
            </w:tcBorders>
            <w:vAlign w:val="center"/>
          </w:tcPr>
          <w:p w14:paraId="372CC677">
            <w:pPr>
              <w:keepNext w:val="0"/>
              <w:keepLines w:val="0"/>
              <w:pageBreakBefore w:val="0"/>
              <w:shd w:val="clear"/>
              <w:kinsoku/>
              <w:wordWrap/>
              <w:overflowPunct/>
              <w:topLinePunct w:val="0"/>
              <w:bidi w:val="0"/>
              <w:snapToGrid/>
              <w:spacing w:beforeAutospacing="0" w:afterAutospacing="0" w:line="360" w:lineRule="auto"/>
              <w:jc w:val="center"/>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4</w:t>
            </w:r>
          </w:p>
        </w:tc>
        <w:tc>
          <w:tcPr>
            <w:tcW w:w="1747" w:type="dxa"/>
            <w:tcBorders>
              <w:top w:val="single" w:color="auto" w:sz="4" w:space="0"/>
              <w:left w:val="single" w:color="auto" w:sz="4" w:space="0"/>
              <w:bottom w:val="single" w:color="auto" w:sz="4" w:space="0"/>
              <w:right w:val="single" w:color="auto" w:sz="4" w:space="0"/>
            </w:tcBorders>
            <w:vAlign w:val="center"/>
          </w:tcPr>
          <w:p w14:paraId="1FAB6674">
            <w:pPr>
              <w:keepNext w:val="0"/>
              <w:keepLines w:val="0"/>
              <w:pageBreakBefore w:val="0"/>
              <w:kinsoku/>
              <w:wordWrap/>
              <w:overflowPunct/>
              <w:topLinePunct w:val="0"/>
              <w:bidi w:val="0"/>
              <w:snapToGrid/>
              <w:spacing w:beforeAutospacing="0" w:afterAutospacing="0" w:line="360" w:lineRule="auto"/>
              <w:jc w:val="center"/>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安装效果保证措施（含成品保护）</w:t>
            </w:r>
          </w:p>
        </w:tc>
        <w:tc>
          <w:tcPr>
            <w:tcW w:w="827" w:type="dxa"/>
            <w:tcBorders>
              <w:top w:val="single" w:color="auto" w:sz="4" w:space="0"/>
              <w:left w:val="single" w:color="auto" w:sz="4" w:space="0"/>
              <w:bottom w:val="single" w:color="auto" w:sz="4" w:space="0"/>
              <w:right w:val="single" w:color="auto" w:sz="4" w:space="0"/>
            </w:tcBorders>
            <w:vAlign w:val="center"/>
          </w:tcPr>
          <w:p w14:paraId="3802D02C">
            <w:pPr>
              <w:keepNext w:val="0"/>
              <w:keepLines w:val="0"/>
              <w:pageBreakBefore w:val="0"/>
              <w:kinsoku/>
              <w:wordWrap/>
              <w:overflowPunct/>
              <w:topLinePunct w:val="0"/>
              <w:bidi w:val="0"/>
              <w:snapToGrid/>
              <w:spacing w:beforeAutospacing="0" w:afterAutospacing="0" w:line="360" w:lineRule="auto"/>
              <w:jc w:val="center"/>
              <w:textAlignment w:val="auto"/>
              <w:rPr>
                <w:rFonts w:hint="eastAsia" w:ascii="宋体" w:hAnsi="宋体" w:eastAsia="宋体" w:cs="宋体"/>
                <w:snapToGrid w:val="0"/>
                <w:color w:val="auto"/>
                <w:sz w:val="21"/>
                <w:szCs w:val="21"/>
                <w:highlight w:val="none"/>
                <w:lang w:val="en-US" w:eastAsia="zh-CN" w:bidi="ar-SA"/>
              </w:rPr>
            </w:pPr>
            <w:r>
              <w:rPr>
                <w:rFonts w:hint="eastAsia" w:ascii="宋体" w:hAnsi="宋体" w:eastAsia="宋体" w:cs="宋体"/>
                <w:color w:val="auto"/>
                <w:sz w:val="21"/>
                <w:szCs w:val="21"/>
                <w:highlight w:val="none"/>
              </w:rPr>
              <w:t>10分</w:t>
            </w:r>
          </w:p>
        </w:tc>
        <w:tc>
          <w:tcPr>
            <w:tcW w:w="5935" w:type="dxa"/>
            <w:tcBorders>
              <w:top w:val="single" w:color="auto" w:sz="4" w:space="0"/>
              <w:left w:val="single" w:color="auto" w:sz="4" w:space="0"/>
              <w:bottom w:val="single" w:color="auto" w:sz="4" w:space="0"/>
              <w:right w:val="single" w:color="auto" w:sz="4" w:space="0"/>
            </w:tcBorders>
            <w:vAlign w:val="center"/>
          </w:tcPr>
          <w:p w14:paraId="448DFFF1">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根据供应商提供的安装效果保证措施（含成品保护）进行</w:t>
            </w:r>
            <w:r>
              <w:rPr>
                <w:rFonts w:hint="eastAsia" w:ascii="宋体" w:hAnsi="宋体" w:eastAsia="宋体" w:cs="宋体"/>
                <w:color w:val="auto"/>
                <w:sz w:val="21"/>
                <w:szCs w:val="21"/>
                <w:highlight w:val="none"/>
                <w:lang w:val="en-US" w:eastAsia="zh-CN"/>
              </w:rPr>
              <w:t>评审</w:t>
            </w:r>
            <w:r>
              <w:rPr>
                <w:rFonts w:hint="eastAsia" w:ascii="宋体" w:hAnsi="宋体" w:eastAsia="宋体" w:cs="宋体"/>
                <w:color w:val="auto"/>
                <w:sz w:val="21"/>
                <w:szCs w:val="21"/>
                <w:highlight w:val="none"/>
              </w:rPr>
              <w:t>：</w:t>
            </w:r>
          </w:p>
          <w:p w14:paraId="5FB713C9">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优：安装效果保证措施（含成品保护）完善、可操作性强，得10分；</w:t>
            </w:r>
          </w:p>
          <w:p w14:paraId="0EEE003D">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良：安装效果保证措施（含成品保护）较为完善、可操作性较强，得7分；</w:t>
            </w:r>
          </w:p>
          <w:p w14:paraId="2C3042CB">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中：安装效果保证措施（含成品保护）一般、可操作性一般，得4分；</w:t>
            </w:r>
          </w:p>
          <w:p w14:paraId="49C0E07A">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差：安装效果保证措施（含成品保护）不够完善，可操作性不强得1分；</w:t>
            </w:r>
          </w:p>
          <w:p w14:paraId="4124F828">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未提供，不得分。</w:t>
            </w:r>
          </w:p>
        </w:tc>
      </w:tr>
      <w:tr w14:paraId="3F629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750" w:type="dxa"/>
            <w:gridSpan w:val="2"/>
            <w:tcBorders>
              <w:top w:val="single" w:color="auto" w:sz="4" w:space="0"/>
              <w:left w:val="single" w:color="auto" w:sz="4" w:space="0"/>
              <w:bottom w:val="single" w:color="auto" w:sz="4" w:space="0"/>
              <w:right w:val="single" w:color="auto" w:sz="4" w:space="0"/>
            </w:tcBorders>
            <w:vAlign w:val="center"/>
          </w:tcPr>
          <w:p w14:paraId="52EB5455">
            <w:pPr>
              <w:keepNext w:val="0"/>
              <w:keepLines w:val="0"/>
              <w:pageBreakBefore w:val="0"/>
              <w:shd w:val="clear"/>
              <w:kinsoku/>
              <w:wordWrap/>
              <w:overflowPunct/>
              <w:topLinePunct w:val="0"/>
              <w:bidi w:val="0"/>
              <w:snapToGrid/>
              <w:spacing w:beforeAutospacing="0" w:afterAutospacing="0"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lang w:val="en-US" w:eastAsia="zh-CN"/>
              </w:rPr>
              <w:t>5</w:t>
            </w:r>
          </w:p>
        </w:tc>
        <w:tc>
          <w:tcPr>
            <w:tcW w:w="1747" w:type="dxa"/>
            <w:tcBorders>
              <w:top w:val="single" w:color="auto" w:sz="4" w:space="0"/>
              <w:left w:val="single" w:color="auto" w:sz="4" w:space="0"/>
              <w:bottom w:val="single" w:color="auto" w:sz="4" w:space="0"/>
              <w:right w:val="single" w:color="auto" w:sz="4" w:space="0"/>
            </w:tcBorders>
            <w:vAlign w:val="center"/>
          </w:tcPr>
          <w:p w14:paraId="057AC0C0">
            <w:pPr>
              <w:keepNext w:val="0"/>
              <w:keepLines w:val="0"/>
              <w:pageBreakBefore w:val="0"/>
              <w:kinsoku/>
              <w:wordWrap/>
              <w:overflowPunct/>
              <w:topLinePunct w:val="0"/>
              <w:bidi w:val="0"/>
              <w:snapToGrid/>
              <w:spacing w:beforeAutospacing="0" w:afterAutospacing="0" w:line="360" w:lineRule="auto"/>
              <w:jc w:val="center"/>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售后服务</w:t>
            </w:r>
          </w:p>
        </w:tc>
        <w:tc>
          <w:tcPr>
            <w:tcW w:w="827" w:type="dxa"/>
            <w:tcBorders>
              <w:top w:val="single" w:color="auto" w:sz="4" w:space="0"/>
              <w:left w:val="single" w:color="auto" w:sz="4" w:space="0"/>
              <w:bottom w:val="single" w:color="auto" w:sz="4" w:space="0"/>
              <w:right w:val="single" w:color="auto" w:sz="4" w:space="0"/>
            </w:tcBorders>
            <w:vAlign w:val="center"/>
          </w:tcPr>
          <w:p w14:paraId="691F9D1B">
            <w:pPr>
              <w:keepNext w:val="0"/>
              <w:keepLines w:val="0"/>
              <w:pageBreakBefore w:val="0"/>
              <w:kinsoku/>
              <w:wordWrap/>
              <w:overflowPunct/>
              <w:topLinePunct w:val="0"/>
              <w:bidi w:val="0"/>
              <w:snapToGrid/>
              <w:spacing w:beforeAutospacing="0" w:afterAutospacing="0" w:line="360" w:lineRule="auto"/>
              <w:jc w:val="center"/>
              <w:textAlignment w:val="auto"/>
              <w:rPr>
                <w:rFonts w:hint="eastAsia" w:ascii="宋体" w:hAnsi="宋体" w:eastAsia="宋体" w:cs="宋体"/>
                <w:snapToGrid w:val="0"/>
                <w:color w:val="auto"/>
                <w:sz w:val="21"/>
                <w:szCs w:val="21"/>
                <w:highlight w:val="none"/>
                <w:lang w:val="en-US" w:eastAsia="zh-CN" w:bidi="ar-SA"/>
              </w:rPr>
            </w:pPr>
            <w:r>
              <w:rPr>
                <w:rFonts w:hint="eastAsia" w:ascii="宋体" w:hAnsi="宋体" w:eastAsia="宋体" w:cs="宋体"/>
                <w:color w:val="auto"/>
                <w:sz w:val="21"/>
                <w:szCs w:val="21"/>
                <w:highlight w:val="none"/>
              </w:rPr>
              <w:t>10分</w:t>
            </w:r>
          </w:p>
        </w:tc>
        <w:tc>
          <w:tcPr>
            <w:tcW w:w="5935" w:type="dxa"/>
            <w:tcBorders>
              <w:top w:val="single" w:color="auto" w:sz="4" w:space="0"/>
              <w:left w:val="single" w:color="auto" w:sz="4" w:space="0"/>
              <w:bottom w:val="single" w:color="auto" w:sz="4" w:space="0"/>
              <w:right w:val="single" w:color="auto" w:sz="4" w:space="0"/>
            </w:tcBorders>
            <w:vAlign w:val="center"/>
          </w:tcPr>
          <w:p w14:paraId="362673ED">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根据各供应商提供的售后服务质量保障措施（包括服务质量保证、应急方案</w:t>
            </w:r>
            <w:r>
              <w:rPr>
                <w:rFonts w:hint="eastAsia" w:ascii="宋体" w:hAnsi="宋体" w:eastAsia="宋体" w:cs="宋体"/>
                <w:color w:val="auto"/>
                <w:sz w:val="21"/>
                <w:szCs w:val="21"/>
                <w:highlight w:val="none"/>
                <w:lang w:val="en-US" w:eastAsia="zh-CN"/>
              </w:rPr>
              <w:t>等</w:t>
            </w:r>
            <w:r>
              <w:rPr>
                <w:rFonts w:hint="eastAsia" w:ascii="宋体" w:hAnsi="宋体" w:eastAsia="宋体" w:cs="宋体"/>
                <w:color w:val="auto"/>
                <w:sz w:val="21"/>
                <w:szCs w:val="21"/>
                <w:highlight w:val="none"/>
              </w:rPr>
              <w:t>）进行</w:t>
            </w:r>
            <w:r>
              <w:rPr>
                <w:rFonts w:hint="eastAsia" w:ascii="宋体" w:hAnsi="宋体" w:eastAsia="宋体" w:cs="宋体"/>
                <w:color w:val="auto"/>
                <w:sz w:val="21"/>
                <w:szCs w:val="21"/>
                <w:highlight w:val="none"/>
                <w:lang w:val="en-US" w:eastAsia="zh-CN"/>
              </w:rPr>
              <w:t>评审</w:t>
            </w:r>
            <w:r>
              <w:rPr>
                <w:rFonts w:hint="eastAsia" w:ascii="宋体" w:hAnsi="宋体" w:eastAsia="宋体" w:cs="宋体"/>
                <w:color w:val="auto"/>
                <w:sz w:val="21"/>
                <w:szCs w:val="21"/>
                <w:highlight w:val="none"/>
              </w:rPr>
              <w:t>：</w:t>
            </w:r>
          </w:p>
          <w:p w14:paraId="6EC4EC69">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优</w:t>
            </w:r>
            <w:r>
              <w:rPr>
                <w:rFonts w:hint="eastAsia" w:ascii="宋体" w:hAnsi="宋体" w:eastAsia="宋体" w:cs="宋体"/>
                <w:color w:val="auto"/>
                <w:sz w:val="21"/>
                <w:szCs w:val="21"/>
                <w:highlight w:val="none"/>
                <w:lang w:val="pt-BR"/>
              </w:rPr>
              <w:t>：</w:t>
            </w:r>
            <w:r>
              <w:rPr>
                <w:rFonts w:hint="eastAsia" w:ascii="宋体" w:hAnsi="宋体" w:eastAsia="宋体" w:cs="宋体"/>
                <w:color w:val="auto"/>
                <w:sz w:val="21"/>
                <w:szCs w:val="21"/>
                <w:highlight w:val="none"/>
              </w:rPr>
              <w:t>售后服务方案保障措施详细完整，切实可行的得10分；</w:t>
            </w:r>
          </w:p>
          <w:p w14:paraId="74DDDE58">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良</w:t>
            </w:r>
            <w:r>
              <w:rPr>
                <w:rFonts w:hint="eastAsia" w:ascii="宋体" w:hAnsi="宋体" w:eastAsia="宋体" w:cs="宋体"/>
                <w:color w:val="auto"/>
                <w:sz w:val="21"/>
                <w:szCs w:val="21"/>
                <w:highlight w:val="none"/>
                <w:lang w:val="pt-BR"/>
              </w:rPr>
              <w:t>：</w:t>
            </w:r>
            <w:r>
              <w:rPr>
                <w:rFonts w:hint="eastAsia" w:ascii="宋体" w:hAnsi="宋体" w:eastAsia="宋体" w:cs="宋体"/>
                <w:color w:val="auto"/>
                <w:sz w:val="21"/>
                <w:szCs w:val="21"/>
                <w:highlight w:val="none"/>
              </w:rPr>
              <w:t>售后服务方案保障措施基本完整，可行性一般的得7分；</w:t>
            </w:r>
          </w:p>
          <w:p w14:paraId="3F81CB89">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中：售后服务方案保障措施简单、不完整的得4分；</w:t>
            </w:r>
          </w:p>
          <w:p w14:paraId="58F6951C">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lang w:val="pt-BR"/>
              </w:rPr>
            </w:pPr>
            <w:r>
              <w:rPr>
                <w:rFonts w:hint="eastAsia" w:ascii="宋体" w:hAnsi="宋体" w:eastAsia="宋体" w:cs="宋体"/>
                <w:color w:val="auto"/>
                <w:sz w:val="21"/>
                <w:szCs w:val="21"/>
                <w:highlight w:val="none"/>
              </w:rPr>
              <w:t>差</w:t>
            </w:r>
            <w:r>
              <w:rPr>
                <w:rFonts w:hint="eastAsia" w:ascii="宋体" w:hAnsi="宋体" w:eastAsia="宋体" w:cs="宋体"/>
                <w:color w:val="auto"/>
                <w:sz w:val="21"/>
                <w:szCs w:val="21"/>
                <w:highlight w:val="none"/>
                <w:lang w:val="pt-BR"/>
              </w:rPr>
              <w:t>：</w:t>
            </w:r>
            <w:r>
              <w:rPr>
                <w:rFonts w:hint="eastAsia" w:ascii="宋体" w:hAnsi="宋体" w:eastAsia="宋体" w:cs="宋体"/>
                <w:color w:val="auto"/>
                <w:sz w:val="21"/>
                <w:szCs w:val="21"/>
                <w:highlight w:val="none"/>
              </w:rPr>
              <w:t>售后服务方案保障措施可行性差的得1分；</w:t>
            </w:r>
          </w:p>
          <w:p w14:paraId="529BCA0C">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lang w:val="zh-CN" w:eastAsia="zh-CN" w:bidi="ar-SA"/>
              </w:rPr>
            </w:pPr>
            <w:r>
              <w:rPr>
                <w:rFonts w:hint="eastAsia" w:ascii="宋体" w:hAnsi="宋体" w:eastAsia="宋体" w:cs="宋体"/>
                <w:color w:val="auto"/>
                <w:sz w:val="21"/>
                <w:szCs w:val="21"/>
                <w:highlight w:val="none"/>
              </w:rPr>
              <w:t>未提供，不得分。</w:t>
            </w:r>
          </w:p>
        </w:tc>
      </w:tr>
      <w:tr w14:paraId="7E7E9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9259" w:type="dxa"/>
            <w:gridSpan w:val="5"/>
            <w:tcBorders>
              <w:top w:val="single" w:color="auto" w:sz="4" w:space="0"/>
              <w:left w:val="single" w:color="auto" w:sz="4" w:space="0"/>
              <w:bottom w:val="single" w:color="auto" w:sz="4" w:space="0"/>
              <w:right w:val="single" w:color="auto" w:sz="4" w:space="0"/>
            </w:tcBorders>
            <w:vAlign w:val="center"/>
          </w:tcPr>
          <w:p w14:paraId="7576B8BA">
            <w:pPr>
              <w:keepNext w:val="0"/>
              <w:keepLines w:val="0"/>
              <w:pageBreakBefore w:val="0"/>
              <w:numPr>
                <w:ilvl w:val="-1"/>
                <w:numId w:val="0"/>
              </w:numPr>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注：</w:t>
            </w:r>
          </w:p>
          <w:p w14:paraId="36EC7547">
            <w:pPr>
              <w:keepNext w:val="0"/>
              <w:keepLines w:val="0"/>
              <w:pageBreakBefore w:val="0"/>
              <w:numPr>
                <w:ilvl w:val="0"/>
                <w:numId w:val="15"/>
              </w:numPr>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无特殊说明外，以上评审项，同一证明文件不重复计分。</w:t>
            </w:r>
          </w:p>
          <w:p w14:paraId="2DA67B4E">
            <w:pPr>
              <w:keepNext w:val="0"/>
              <w:keepLines w:val="0"/>
              <w:pageBreakBefore w:val="0"/>
              <w:numPr>
                <w:ilvl w:val="0"/>
                <w:numId w:val="15"/>
              </w:numPr>
              <w:kinsoku/>
              <w:wordWrap/>
              <w:overflowPunct/>
              <w:topLinePunct w:val="0"/>
              <w:bidi w:val="0"/>
              <w:snapToGrid/>
              <w:spacing w:beforeAutospacing="0" w:afterAutospacing="0"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供应商根据以上评分要求提供的投标村料因模糊不清导致磋商小组无法清晰辨认进行评审的，视为无效材料。</w:t>
            </w:r>
          </w:p>
        </w:tc>
      </w:tr>
      <w:tr w14:paraId="74D86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9259" w:type="dxa"/>
            <w:gridSpan w:val="5"/>
            <w:tcBorders>
              <w:top w:val="single" w:color="auto" w:sz="4" w:space="0"/>
              <w:left w:val="single" w:color="auto" w:sz="4" w:space="0"/>
              <w:bottom w:val="single" w:color="auto" w:sz="4" w:space="0"/>
              <w:right w:val="single" w:color="auto" w:sz="4" w:space="0"/>
            </w:tcBorders>
            <w:vAlign w:val="center"/>
          </w:tcPr>
          <w:p w14:paraId="01DD8871">
            <w:pPr>
              <w:pStyle w:val="77"/>
              <w:keepNext w:val="0"/>
              <w:keepLines w:val="0"/>
              <w:pageBreakBefore w:val="0"/>
              <w:shd w:val="clear"/>
              <w:kinsoku/>
              <w:wordWrap/>
              <w:overflowPunct/>
              <w:topLinePunct w:val="0"/>
              <w:bidi w:val="0"/>
              <w:snapToGrid/>
              <w:spacing w:beforeAutospacing="0" w:afterAutospacing="0" w:line="360" w:lineRule="auto"/>
              <w:ind w:firstLine="0" w:firstLineChars="0"/>
              <w:jc w:val="center"/>
              <w:textAlignment w:val="auto"/>
              <w:rPr>
                <w:rFonts w:hint="eastAsia" w:ascii="宋体" w:hAnsi="宋体" w:eastAsia="宋体" w:cs="宋体"/>
                <w:color w:val="auto"/>
                <w:sz w:val="21"/>
                <w:szCs w:val="21"/>
                <w:highlight w:val="none"/>
                <w:lang w:val="zh-CN"/>
              </w:rPr>
            </w:pPr>
            <w:r>
              <w:rPr>
                <w:rFonts w:hint="eastAsia" w:ascii="宋体" w:hAnsi="宋体" w:eastAsia="宋体" w:cs="宋体"/>
                <w:b/>
                <w:bCs/>
                <w:color w:val="auto"/>
                <w:sz w:val="21"/>
                <w:szCs w:val="21"/>
                <w:highlight w:val="none"/>
              </w:rPr>
              <w:t>价格评审（</w:t>
            </w:r>
            <w:r>
              <w:rPr>
                <w:rFonts w:hint="eastAsia" w:ascii="宋体" w:hAnsi="宋体" w:eastAsia="宋体" w:cs="宋体"/>
                <w:b/>
                <w:bCs/>
                <w:color w:val="auto"/>
                <w:sz w:val="21"/>
                <w:szCs w:val="21"/>
                <w:highlight w:val="none"/>
                <w:lang w:val="en-US" w:eastAsia="zh-CN"/>
              </w:rPr>
              <w:t>3</w:t>
            </w:r>
            <w:r>
              <w:rPr>
                <w:rFonts w:hint="eastAsia" w:ascii="宋体" w:hAnsi="宋体" w:eastAsia="宋体" w:cs="宋体"/>
                <w:b/>
                <w:bCs/>
                <w:color w:val="auto"/>
                <w:sz w:val="21"/>
                <w:szCs w:val="21"/>
                <w:highlight w:val="none"/>
              </w:rPr>
              <w:t>0分）</w:t>
            </w:r>
          </w:p>
        </w:tc>
      </w:tr>
      <w:tr w14:paraId="32F25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596EAC27">
            <w:pPr>
              <w:pStyle w:val="47"/>
              <w:keepNext w:val="0"/>
              <w:keepLines w:val="0"/>
              <w:pageBreakBefore w:val="0"/>
              <w:kinsoku/>
              <w:wordWrap/>
              <w:overflowPunct/>
              <w:topLinePunct w:val="0"/>
              <w:bidi w:val="0"/>
              <w:snapToGrid/>
              <w:spacing w:before="0" w:beforeAutospacing="0" w:after="0" w:afterAutospacing="0" w:line="360" w:lineRule="auto"/>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rPr>
              <w:t>1</w:t>
            </w:r>
          </w:p>
        </w:tc>
        <w:tc>
          <w:tcPr>
            <w:tcW w:w="1807" w:type="dxa"/>
            <w:gridSpan w:val="2"/>
            <w:tcBorders>
              <w:top w:val="single" w:color="auto" w:sz="4" w:space="0"/>
              <w:left w:val="single" w:color="auto" w:sz="4" w:space="0"/>
              <w:bottom w:val="single" w:color="auto" w:sz="4" w:space="0"/>
              <w:right w:val="single" w:color="auto" w:sz="4" w:space="0"/>
            </w:tcBorders>
            <w:vAlign w:val="center"/>
          </w:tcPr>
          <w:p w14:paraId="76A121D2">
            <w:pPr>
              <w:pStyle w:val="47"/>
              <w:keepNext w:val="0"/>
              <w:keepLines w:val="0"/>
              <w:pageBreakBefore w:val="0"/>
              <w:kinsoku/>
              <w:wordWrap/>
              <w:overflowPunct/>
              <w:topLinePunct w:val="0"/>
              <w:bidi w:val="0"/>
              <w:snapToGrid/>
              <w:spacing w:before="0" w:beforeAutospacing="0" w:after="0" w:afterAutospacing="0"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价格</w:t>
            </w:r>
          </w:p>
        </w:tc>
        <w:tc>
          <w:tcPr>
            <w:tcW w:w="827" w:type="dxa"/>
            <w:tcBorders>
              <w:top w:val="single" w:color="auto" w:sz="4" w:space="0"/>
              <w:left w:val="single" w:color="auto" w:sz="4" w:space="0"/>
              <w:bottom w:val="single" w:color="auto" w:sz="4" w:space="0"/>
              <w:right w:val="single" w:color="auto" w:sz="4" w:space="0"/>
            </w:tcBorders>
            <w:vAlign w:val="center"/>
          </w:tcPr>
          <w:p w14:paraId="1044F13B">
            <w:pPr>
              <w:pStyle w:val="47"/>
              <w:keepNext w:val="0"/>
              <w:keepLines w:val="0"/>
              <w:pageBreakBefore w:val="0"/>
              <w:kinsoku/>
              <w:wordWrap/>
              <w:overflowPunct/>
              <w:topLinePunct w:val="0"/>
              <w:bidi w:val="0"/>
              <w:snapToGrid/>
              <w:spacing w:before="0" w:beforeAutospacing="0" w:after="0" w:afterAutospacing="0" w:line="360" w:lineRule="auto"/>
              <w:jc w:val="center"/>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30分</w:t>
            </w:r>
          </w:p>
        </w:tc>
        <w:tc>
          <w:tcPr>
            <w:tcW w:w="5935" w:type="dxa"/>
            <w:tcBorders>
              <w:top w:val="single" w:color="auto" w:sz="4" w:space="0"/>
              <w:left w:val="single" w:color="auto" w:sz="4" w:space="0"/>
              <w:bottom w:val="single" w:color="auto" w:sz="4" w:space="0"/>
              <w:right w:val="single" w:color="auto" w:sz="4" w:space="0"/>
            </w:tcBorders>
            <w:vAlign w:val="center"/>
          </w:tcPr>
          <w:p w14:paraId="0D75C0F3">
            <w:pPr>
              <w:keepNext w:val="0"/>
              <w:keepLines w:val="0"/>
              <w:pageBreakBefore w:val="0"/>
              <w:kinsoku/>
              <w:wordWrap/>
              <w:overflowPunct/>
              <w:topLinePunct w:val="0"/>
              <w:bidi w:val="0"/>
              <w:snapToGrid/>
              <w:spacing w:beforeAutospacing="0" w:afterAutospacing="0" w:line="360" w:lineRule="auto"/>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sz w:val="21"/>
                <w:szCs w:val="21"/>
                <w:highlight w:val="none"/>
              </w:rPr>
              <w:t>价格分计算方法：满足磋商文件要求且磋商价格最低的投标报价为评标基准价，其价格分为满分。其他供应商的价格分统一按照下列公式计算：磋商报价得分=(评标基准价／磋商价格)×价格权重×100。</w:t>
            </w:r>
          </w:p>
        </w:tc>
      </w:tr>
    </w:tbl>
    <w:p w14:paraId="23299AAC">
      <w:pPr>
        <w:widowControl/>
        <w:shd w:val="clear"/>
        <w:tabs>
          <w:tab w:val="left" w:pos="907"/>
        </w:tabs>
        <w:snapToGrid w:val="0"/>
        <w:spacing w:line="360" w:lineRule="auto"/>
        <w:rPr>
          <w:rFonts w:hAnsi="宋体"/>
          <w:bCs/>
          <w:color w:val="auto"/>
          <w:sz w:val="21"/>
          <w:szCs w:val="21"/>
          <w:highlight w:val="none"/>
        </w:rPr>
      </w:pPr>
      <w:r>
        <w:rPr>
          <w:rFonts w:hint="eastAsia" w:hAnsi="宋体"/>
          <w:bCs/>
          <w:color w:val="auto"/>
          <w:sz w:val="21"/>
          <w:szCs w:val="21"/>
          <w:highlight w:val="none"/>
        </w:rPr>
        <w:t>注：</w:t>
      </w:r>
    </w:p>
    <w:p w14:paraId="37F3C9E4">
      <w:pPr>
        <w:widowControl/>
        <w:shd w:val="clear"/>
        <w:tabs>
          <w:tab w:val="left" w:pos="907"/>
        </w:tabs>
        <w:snapToGrid w:val="0"/>
        <w:spacing w:line="360" w:lineRule="auto"/>
        <w:rPr>
          <w:rFonts w:hAnsi="宋体"/>
          <w:bCs/>
          <w:color w:val="auto"/>
          <w:sz w:val="21"/>
          <w:szCs w:val="21"/>
          <w:highlight w:val="none"/>
        </w:rPr>
      </w:pPr>
      <w:r>
        <w:rPr>
          <w:rFonts w:hint="eastAsia" w:hAnsi="宋体"/>
          <w:bCs/>
          <w:color w:val="auto"/>
          <w:sz w:val="21"/>
          <w:szCs w:val="21"/>
          <w:highlight w:val="none"/>
        </w:rPr>
        <w:t>（1）上证明文件均提供加盖公章复印件。</w:t>
      </w:r>
    </w:p>
    <w:p w14:paraId="03440FE8">
      <w:pPr>
        <w:widowControl/>
        <w:shd w:val="clear"/>
        <w:tabs>
          <w:tab w:val="left" w:pos="907"/>
        </w:tabs>
        <w:snapToGrid w:val="0"/>
        <w:spacing w:line="360" w:lineRule="auto"/>
        <w:rPr>
          <w:rFonts w:hAnsi="宋体"/>
          <w:bCs/>
          <w:color w:val="auto"/>
          <w:sz w:val="21"/>
          <w:szCs w:val="21"/>
          <w:highlight w:val="none"/>
        </w:rPr>
      </w:pPr>
      <w:r>
        <w:rPr>
          <w:rFonts w:hint="eastAsia" w:hAnsi="宋体"/>
          <w:bCs/>
          <w:color w:val="auto"/>
          <w:sz w:val="21"/>
          <w:szCs w:val="21"/>
          <w:highlight w:val="none"/>
        </w:rPr>
        <w:t>（2）若开标当日磋商小组需要查看以上证明文件原件，供应商请在接到通知后规定时间内携带原件到达评标会场，接受核查，如因迟到或是其他原因不能携原件到达现场接受检查，其造成的所有后果供应商自行承担。</w:t>
      </w:r>
    </w:p>
    <w:p w14:paraId="2DEB6B58">
      <w:pPr>
        <w:widowControl/>
        <w:shd w:val="clear"/>
        <w:spacing w:line="360" w:lineRule="auto"/>
        <w:rPr>
          <w:rFonts w:hAnsi="宋体"/>
          <w:bCs/>
          <w:color w:val="auto"/>
          <w:sz w:val="21"/>
          <w:szCs w:val="21"/>
          <w:highlight w:val="none"/>
        </w:rPr>
      </w:pPr>
      <w:r>
        <w:rPr>
          <w:rFonts w:hint="eastAsia" w:hAnsi="宋体"/>
          <w:bCs/>
          <w:color w:val="auto"/>
          <w:sz w:val="21"/>
          <w:szCs w:val="21"/>
          <w:highlight w:val="none"/>
        </w:rPr>
        <w:t>（3）若成交将在发放成交通知书前逐一核对核查原件，请勿提供虚假、过期材料，否则将依据相关规定严肃处理。</w:t>
      </w:r>
    </w:p>
    <w:p w14:paraId="2190A892">
      <w:pPr>
        <w:pStyle w:val="28"/>
        <w:shd w:val="clear"/>
        <w:spacing w:line="360" w:lineRule="auto"/>
        <w:ind w:firstLine="422" w:firstLineChars="200"/>
        <w:rPr>
          <w:rFonts w:hAnsi="宋体"/>
          <w:b/>
          <w:color w:val="auto"/>
          <w:szCs w:val="21"/>
          <w:highlight w:val="none"/>
        </w:rPr>
      </w:pPr>
    </w:p>
    <w:p w14:paraId="240AD411">
      <w:pPr>
        <w:pStyle w:val="28"/>
        <w:shd w:val="clear"/>
        <w:spacing w:line="360" w:lineRule="auto"/>
        <w:ind w:firstLine="422" w:firstLineChars="200"/>
        <w:outlineLvl w:val="0"/>
        <w:rPr>
          <w:rFonts w:hAnsi="宋体"/>
          <w:b/>
          <w:color w:val="auto"/>
          <w:szCs w:val="21"/>
          <w:highlight w:val="none"/>
        </w:rPr>
      </w:pPr>
      <w:bookmarkStart w:id="164" w:name="_Toc15603"/>
      <w:r>
        <w:rPr>
          <w:rFonts w:hint="eastAsia" w:hAnsi="宋体"/>
          <w:b/>
          <w:color w:val="auto"/>
          <w:szCs w:val="21"/>
          <w:highlight w:val="none"/>
        </w:rPr>
        <w:t>四、技术评审</w:t>
      </w:r>
      <w:bookmarkEnd w:id="164"/>
    </w:p>
    <w:p w14:paraId="61DE0C1E">
      <w:pPr>
        <w:shd w:val="clear"/>
        <w:spacing w:line="360" w:lineRule="auto"/>
        <w:ind w:firstLine="420" w:firstLineChars="200"/>
        <w:rPr>
          <w:rFonts w:hAnsi="宋体"/>
          <w:bCs/>
          <w:color w:val="auto"/>
          <w:sz w:val="21"/>
          <w:szCs w:val="21"/>
          <w:highlight w:val="none"/>
        </w:rPr>
      </w:pPr>
      <w:r>
        <w:rPr>
          <w:rFonts w:hint="eastAsia" w:hAnsi="宋体"/>
          <w:color w:val="auto"/>
          <w:sz w:val="21"/>
          <w:szCs w:val="21"/>
          <w:highlight w:val="none"/>
        </w:rPr>
        <w:t>1.由磋商小组对所有响应文件的技术部分响应和指标进行审核和分析；对响应文件中文字、图纸说明和指标响应进行评分，填写《技术评分表》。</w:t>
      </w:r>
    </w:p>
    <w:p w14:paraId="0D01C48E">
      <w:pPr>
        <w:pStyle w:val="28"/>
        <w:shd w:val="clear"/>
        <w:spacing w:line="360" w:lineRule="auto"/>
        <w:ind w:firstLine="420" w:firstLineChars="200"/>
        <w:rPr>
          <w:rFonts w:hAnsi="宋体"/>
          <w:color w:val="auto"/>
          <w:szCs w:val="21"/>
          <w:highlight w:val="none"/>
        </w:rPr>
      </w:pPr>
      <w:r>
        <w:rPr>
          <w:rFonts w:hint="eastAsia" w:hAnsi="宋体"/>
          <w:color w:val="auto"/>
          <w:szCs w:val="21"/>
          <w:highlight w:val="none"/>
        </w:rPr>
        <w:t>2.磋商小组按评标标准独立对技术标进行评审，得出技术标评分。当磋商小组为</w:t>
      </w:r>
      <w:r>
        <w:rPr>
          <w:rFonts w:hint="eastAsia" w:hAnsi="宋体"/>
          <w:color w:val="auto"/>
          <w:szCs w:val="21"/>
          <w:highlight w:val="none"/>
          <w:lang w:val="en-US" w:eastAsia="zh-CN"/>
        </w:rPr>
        <w:t>三</w:t>
      </w:r>
      <w:r>
        <w:rPr>
          <w:rFonts w:hint="eastAsia" w:hAnsi="宋体"/>
          <w:color w:val="auto"/>
          <w:szCs w:val="21"/>
          <w:highlight w:val="none"/>
        </w:rPr>
        <w:t>人时</w:t>
      </w:r>
      <w:r>
        <w:rPr>
          <w:rFonts w:hint="eastAsia" w:hAnsi="宋体"/>
          <w:color w:val="auto"/>
          <w:szCs w:val="21"/>
          <w:highlight w:val="none"/>
          <w:lang w:eastAsia="zh-CN"/>
        </w:rPr>
        <w:t>，</w:t>
      </w:r>
      <w:r>
        <w:rPr>
          <w:rFonts w:hint="eastAsia" w:hAnsi="宋体"/>
          <w:color w:val="auto"/>
          <w:szCs w:val="21"/>
          <w:highlight w:val="none"/>
        </w:rPr>
        <w:t>将每一个磋商小组成员的评分汇总，取其算术平均值，为该供应商的技术标的最终综合得分</w:t>
      </w:r>
      <w:r>
        <w:rPr>
          <w:rFonts w:hint="eastAsia" w:hAnsi="宋体"/>
          <w:color w:val="auto"/>
          <w:szCs w:val="21"/>
          <w:highlight w:val="none"/>
          <w:lang w:eastAsia="zh-CN"/>
        </w:rPr>
        <w:t>；</w:t>
      </w:r>
      <w:r>
        <w:rPr>
          <w:rFonts w:hint="eastAsia" w:hAnsi="宋体"/>
          <w:color w:val="auto"/>
          <w:szCs w:val="21"/>
          <w:highlight w:val="none"/>
        </w:rPr>
        <w:t>当磋商小组为五人时，在所有评委对同一份</w:t>
      </w:r>
      <w:r>
        <w:rPr>
          <w:rFonts w:hint="eastAsia" w:hAnsi="宋体"/>
          <w:color w:val="auto"/>
          <w:szCs w:val="21"/>
          <w:highlight w:val="none"/>
          <w:lang w:val="en-US" w:eastAsia="zh-CN"/>
        </w:rPr>
        <w:t>响应</w:t>
      </w:r>
      <w:r>
        <w:rPr>
          <w:rFonts w:hint="eastAsia" w:hAnsi="宋体"/>
          <w:color w:val="auto"/>
          <w:szCs w:val="21"/>
          <w:highlight w:val="none"/>
        </w:rPr>
        <w:t>文件技术标评审的总评分中，去掉一个最高分和一个最低分，计算剩余总评分的算术平均值即为该供应商技术标的最终综合得分；当磋商小组为七人及以上单数时，在各评委的打分中，同一评委的最高评分减去最低评分，去掉分差最大评委的所有技术标评分（当一位或两位评委评分差值最大时均取消其评委评分，当多于两位评分差值均最大时，不取消任一评委评分），在所有剩余评委对同一份</w:t>
      </w:r>
      <w:r>
        <w:rPr>
          <w:rFonts w:hint="eastAsia" w:hAnsi="宋体"/>
          <w:color w:val="auto"/>
          <w:szCs w:val="21"/>
          <w:highlight w:val="none"/>
          <w:lang w:val="en-US" w:eastAsia="zh-CN"/>
        </w:rPr>
        <w:t>响应</w:t>
      </w:r>
      <w:r>
        <w:rPr>
          <w:rFonts w:hint="eastAsia" w:hAnsi="宋体"/>
          <w:color w:val="auto"/>
          <w:szCs w:val="21"/>
          <w:highlight w:val="none"/>
        </w:rPr>
        <w:t>文件技术部分评审的总评分中，去掉一个最高分和一个最低分，计算剩余总评分的算术平均值即为该供应商技术部分的最终综合得分。</w:t>
      </w:r>
    </w:p>
    <w:p w14:paraId="4EB0AB04">
      <w:pPr>
        <w:pStyle w:val="28"/>
        <w:shd w:val="clear"/>
        <w:spacing w:line="360" w:lineRule="auto"/>
        <w:ind w:firstLine="422" w:firstLineChars="200"/>
        <w:rPr>
          <w:rFonts w:hAnsi="宋体"/>
          <w:b/>
          <w:color w:val="auto"/>
          <w:szCs w:val="21"/>
          <w:highlight w:val="none"/>
        </w:rPr>
      </w:pPr>
    </w:p>
    <w:p w14:paraId="380297F7">
      <w:pPr>
        <w:pStyle w:val="28"/>
        <w:shd w:val="clear"/>
        <w:spacing w:line="360" w:lineRule="auto"/>
        <w:ind w:firstLine="422" w:firstLineChars="200"/>
        <w:outlineLvl w:val="0"/>
        <w:rPr>
          <w:rFonts w:hAnsi="宋体"/>
          <w:b/>
          <w:color w:val="auto"/>
          <w:szCs w:val="21"/>
          <w:highlight w:val="none"/>
        </w:rPr>
      </w:pPr>
      <w:bookmarkStart w:id="165" w:name="_Toc4394"/>
      <w:r>
        <w:rPr>
          <w:rFonts w:hint="eastAsia" w:hAnsi="宋体"/>
          <w:b/>
          <w:color w:val="auto"/>
          <w:szCs w:val="21"/>
          <w:highlight w:val="none"/>
        </w:rPr>
        <w:t>五、商务评审</w:t>
      </w:r>
      <w:bookmarkEnd w:id="165"/>
    </w:p>
    <w:p w14:paraId="355795CB">
      <w:pPr>
        <w:pStyle w:val="28"/>
        <w:shd w:val="clear"/>
        <w:spacing w:line="360" w:lineRule="auto"/>
        <w:ind w:firstLine="420" w:firstLineChars="200"/>
        <w:rPr>
          <w:rFonts w:hAnsi="宋体"/>
          <w:color w:val="auto"/>
          <w:szCs w:val="21"/>
          <w:highlight w:val="none"/>
        </w:rPr>
      </w:pPr>
      <w:r>
        <w:rPr>
          <w:rFonts w:hint="eastAsia" w:hAnsi="宋体"/>
          <w:color w:val="auto"/>
          <w:szCs w:val="21"/>
          <w:highlight w:val="none"/>
        </w:rPr>
        <w:t>1.由磋商小组评价每个供应商的商务条件，填写《商务评分表》。</w:t>
      </w:r>
    </w:p>
    <w:p w14:paraId="15922F10">
      <w:pPr>
        <w:pStyle w:val="28"/>
        <w:shd w:val="clear"/>
        <w:spacing w:line="360" w:lineRule="auto"/>
        <w:ind w:firstLine="420" w:firstLineChars="200"/>
        <w:rPr>
          <w:rFonts w:hAnsi="宋体"/>
          <w:color w:val="auto"/>
          <w:szCs w:val="21"/>
          <w:highlight w:val="none"/>
        </w:rPr>
      </w:pPr>
      <w:r>
        <w:rPr>
          <w:rFonts w:hint="eastAsia" w:hAnsi="宋体"/>
          <w:color w:val="auto"/>
          <w:szCs w:val="21"/>
          <w:highlight w:val="none"/>
        </w:rPr>
        <w:t>2.将每一个磋商小组成员的评分汇总，取其算术平均值，为该供应商的商务得分。</w:t>
      </w:r>
    </w:p>
    <w:p w14:paraId="62CB8E65">
      <w:pPr>
        <w:pStyle w:val="28"/>
        <w:shd w:val="clear"/>
        <w:spacing w:line="360" w:lineRule="auto"/>
        <w:ind w:firstLine="422" w:firstLineChars="200"/>
        <w:rPr>
          <w:rFonts w:hAnsi="宋体"/>
          <w:b/>
          <w:color w:val="auto"/>
          <w:szCs w:val="21"/>
          <w:highlight w:val="none"/>
        </w:rPr>
      </w:pPr>
    </w:p>
    <w:p w14:paraId="452FE2BA">
      <w:pPr>
        <w:pStyle w:val="28"/>
        <w:shd w:val="clear"/>
        <w:spacing w:line="360" w:lineRule="auto"/>
        <w:ind w:firstLine="422" w:firstLineChars="200"/>
        <w:outlineLvl w:val="0"/>
        <w:rPr>
          <w:rFonts w:hAnsi="宋体"/>
          <w:b/>
          <w:color w:val="auto"/>
          <w:szCs w:val="21"/>
          <w:highlight w:val="none"/>
        </w:rPr>
      </w:pPr>
      <w:bookmarkStart w:id="166" w:name="_Toc19007"/>
      <w:r>
        <w:rPr>
          <w:rFonts w:hint="eastAsia" w:hAnsi="宋体"/>
          <w:b/>
          <w:color w:val="auto"/>
          <w:szCs w:val="21"/>
          <w:highlight w:val="none"/>
        </w:rPr>
        <w:t>六、报价评审</w:t>
      </w:r>
      <w:bookmarkEnd w:id="166"/>
    </w:p>
    <w:p w14:paraId="09C45B32">
      <w:pPr>
        <w:shd w:val="clear"/>
        <w:tabs>
          <w:tab w:val="left" w:pos="1365"/>
        </w:tabs>
        <w:spacing w:line="360" w:lineRule="auto"/>
        <w:ind w:firstLine="420" w:firstLineChars="200"/>
        <w:rPr>
          <w:rFonts w:hAnsi="宋体"/>
          <w:color w:val="auto"/>
          <w:sz w:val="21"/>
          <w:szCs w:val="21"/>
          <w:highlight w:val="none"/>
        </w:rPr>
      </w:pPr>
      <w:r>
        <w:rPr>
          <w:rFonts w:hint="eastAsia" w:hAnsi="宋体"/>
          <w:color w:val="auto"/>
          <w:sz w:val="21"/>
          <w:szCs w:val="21"/>
          <w:highlight w:val="none"/>
        </w:rPr>
        <w:t>1.价格核准：磋商小组对有效供应商的详细报价进行复核，审查是否有计算上的错误或供货范围上的错误。对错误修正的原则如下：</w:t>
      </w:r>
    </w:p>
    <w:p w14:paraId="117A8D0D">
      <w:pPr>
        <w:shd w:val="clear"/>
        <w:tabs>
          <w:tab w:val="left" w:pos="1365"/>
          <w:tab w:val="left" w:pos="1470"/>
        </w:tabs>
        <w:spacing w:line="360" w:lineRule="auto"/>
        <w:ind w:firstLine="420" w:firstLineChars="200"/>
        <w:rPr>
          <w:rFonts w:hAnsi="宋体"/>
          <w:color w:val="auto"/>
          <w:sz w:val="21"/>
          <w:szCs w:val="21"/>
          <w:highlight w:val="none"/>
        </w:rPr>
      </w:pPr>
      <w:r>
        <w:rPr>
          <w:rFonts w:hint="eastAsia" w:hAnsi="宋体"/>
          <w:color w:val="auto"/>
          <w:sz w:val="21"/>
          <w:szCs w:val="21"/>
          <w:highlight w:val="none"/>
        </w:rPr>
        <w:t>1.1响应文件的大写金额和小写金额不一致的，以大写金额为准；</w:t>
      </w:r>
    </w:p>
    <w:p w14:paraId="5439A1E8">
      <w:pPr>
        <w:shd w:val="clear"/>
        <w:tabs>
          <w:tab w:val="left" w:pos="1365"/>
          <w:tab w:val="left" w:pos="1470"/>
        </w:tabs>
        <w:spacing w:line="360" w:lineRule="auto"/>
        <w:ind w:firstLine="420" w:firstLineChars="200"/>
        <w:rPr>
          <w:rFonts w:hAnsi="宋体"/>
          <w:color w:val="auto"/>
          <w:sz w:val="21"/>
          <w:szCs w:val="21"/>
          <w:highlight w:val="none"/>
        </w:rPr>
      </w:pPr>
      <w:r>
        <w:rPr>
          <w:rFonts w:hint="eastAsia" w:hAnsi="宋体"/>
          <w:color w:val="auto"/>
          <w:sz w:val="21"/>
          <w:szCs w:val="21"/>
          <w:highlight w:val="none"/>
        </w:rPr>
        <w:t>1.2当单价和数量的乘积与总价不一致时，以单价为准，并修正总价，但单价金额小数点有明显错误的除外；</w:t>
      </w:r>
    </w:p>
    <w:p w14:paraId="68DD42D0">
      <w:pPr>
        <w:shd w:val="clear"/>
        <w:tabs>
          <w:tab w:val="left" w:pos="1365"/>
          <w:tab w:val="left" w:pos="1470"/>
        </w:tabs>
        <w:spacing w:line="360" w:lineRule="auto"/>
        <w:ind w:firstLine="420" w:firstLineChars="200"/>
        <w:rPr>
          <w:rFonts w:hAnsi="宋体"/>
          <w:color w:val="auto"/>
          <w:sz w:val="21"/>
          <w:szCs w:val="21"/>
          <w:highlight w:val="none"/>
        </w:rPr>
      </w:pPr>
      <w:r>
        <w:rPr>
          <w:rFonts w:hint="eastAsia" w:hAnsi="宋体"/>
          <w:color w:val="auto"/>
          <w:sz w:val="21"/>
          <w:szCs w:val="21"/>
          <w:highlight w:val="none"/>
        </w:rPr>
        <w:t>1.3当分项之和与总价不一致时，以单价为准，并修正总价。</w:t>
      </w:r>
    </w:p>
    <w:p w14:paraId="39A2E5BD">
      <w:pPr>
        <w:shd w:val="clear"/>
        <w:tabs>
          <w:tab w:val="left" w:pos="1365"/>
        </w:tabs>
        <w:spacing w:line="360" w:lineRule="auto"/>
        <w:ind w:firstLine="420" w:firstLineChars="200"/>
        <w:rPr>
          <w:rFonts w:hAnsi="宋体"/>
          <w:color w:val="auto"/>
          <w:sz w:val="21"/>
          <w:szCs w:val="21"/>
          <w:highlight w:val="none"/>
        </w:rPr>
      </w:pPr>
      <w:r>
        <w:rPr>
          <w:rFonts w:hint="eastAsia" w:hAnsi="宋体"/>
          <w:color w:val="auto"/>
          <w:sz w:val="21"/>
          <w:szCs w:val="21"/>
          <w:highlight w:val="none"/>
        </w:rPr>
        <w:t>2.价格评分：</w:t>
      </w:r>
    </w:p>
    <w:p w14:paraId="070DEF78">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将磋商小组修正后的入围供应商的磋商报价，以最后报价最低的供应商的价格</w:t>
      </w:r>
      <w:r>
        <w:rPr>
          <w:rFonts w:hint="eastAsia" w:hAnsi="宋体"/>
          <w:color w:val="auto"/>
          <w:sz w:val="21"/>
          <w:szCs w:val="21"/>
          <w:highlight w:val="none"/>
          <w:lang w:eastAsia="zh-CN"/>
        </w:rPr>
        <w:t>（</w:t>
      </w:r>
      <w:r>
        <w:rPr>
          <w:rFonts w:hint="eastAsia" w:hAnsi="宋体"/>
          <w:color w:val="auto"/>
          <w:sz w:val="21"/>
          <w:szCs w:val="21"/>
          <w:highlight w:val="none"/>
          <w:lang w:val="en-US" w:eastAsia="zh-CN"/>
        </w:rPr>
        <w:t>含税报价</w:t>
      </w:r>
      <w:r>
        <w:rPr>
          <w:rFonts w:hint="eastAsia" w:hAnsi="宋体"/>
          <w:color w:val="auto"/>
          <w:sz w:val="21"/>
          <w:szCs w:val="21"/>
          <w:highlight w:val="none"/>
          <w:lang w:eastAsia="zh-CN"/>
        </w:rPr>
        <w:t>）</w:t>
      </w:r>
      <w:r>
        <w:rPr>
          <w:rFonts w:hint="eastAsia" w:hAnsi="宋体"/>
          <w:color w:val="auto"/>
          <w:sz w:val="21"/>
          <w:szCs w:val="21"/>
          <w:highlight w:val="none"/>
        </w:rPr>
        <w:t>为磋商基准价，定基准价的价格评分。其他磋商报价得分＝价格评分×(磋商基准价／最后磋商报价)。由此算出各供应商的报价得分。</w:t>
      </w:r>
    </w:p>
    <w:p w14:paraId="4BC8058B">
      <w:pPr>
        <w:pStyle w:val="28"/>
        <w:shd w:val="clear"/>
        <w:tabs>
          <w:tab w:val="left" w:pos="1365"/>
        </w:tabs>
        <w:spacing w:line="360" w:lineRule="auto"/>
        <w:ind w:left="16" w:firstLine="422" w:firstLineChars="200"/>
        <w:rPr>
          <w:rFonts w:hAnsi="宋体"/>
          <w:b/>
          <w:color w:val="auto"/>
          <w:szCs w:val="21"/>
          <w:highlight w:val="none"/>
        </w:rPr>
      </w:pPr>
    </w:p>
    <w:p w14:paraId="666A3FF3">
      <w:pPr>
        <w:pStyle w:val="28"/>
        <w:shd w:val="clear"/>
        <w:tabs>
          <w:tab w:val="left" w:pos="1365"/>
        </w:tabs>
        <w:spacing w:line="360" w:lineRule="auto"/>
        <w:ind w:left="16" w:firstLine="422" w:firstLineChars="200"/>
        <w:outlineLvl w:val="0"/>
        <w:rPr>
          <w:rFonts w:hAnsi="宋体"/>
          <w:b/>
          <w:color w:val="auto"/>
          <w:szCs w:val="21"/>
          <w:highlight w:val="none"/>
        </w:rPr>
      </w:pPr>
      <w:bookmarkStart w:id="167" w:name="_Toc3331"/>
      <w:r>
        <w:rPr>
          <w:rFonts w:hint="eastAsia" w:hAnsi="宋体"/>
          <w:b/>
          <w:color w:val="auto"/>
          <w:szCs w:val="21"/>
          <w:highlight w:val="none"/>
        </w:rPr>
        <w:t>七、综合得分的计算</w:t>
      </w:r>
      <w:bookmarkEnd w:id="167"/>
    </w:p>
    <w:p w14:paraId="7565D02C">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1.综合得分=技术评审得分+商务评审得分+磋商报价得分。</w:t>
      </w:r>
    </w:p>
    <w:p w14:paraId="6C43BB2C">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2.将综合得分从高到低排出名次，总分第一名为第一成交候选供应商，第二名为第二成交候选供应商，第三名为第三成交候选供应商（综合得分相同的，按磋商报价得分顺序推荐；综合得分相同且磋商报价得分相同的，按技术得分顺序排列）。</w:t>
      </w:r>
    </w:p>
    <w:p w14:paraId="4A64789A">
      <w:pPr>
        <w:shd w:val="clear"/>
        <w:rPr>
          <w:color w:val="auto"/>
          <w:highlight w:val="none"/>
          <w:lang w:val="zh-CN"/>
        </w:rPr>
      </w:pPr>
    </w:p>
    <w:p w14:paraId="073BF0D5">
      <w:pPr>
        <w:pStyle w:val="2"/>
        <w:keepNext/>
        <w:keepLines/>
        <w:pageBreakBefore/>
        <w:numPr>
          <w:ilvl w:val="0"/>
          <w:numId w:val="12"/>
        </w:numPr>
        <w:shd w:val="clear"/>
        <w:spacing w:line="360" w:lineRule="auto"/>
        <w:jc w:val="center"/>
        <w:rPr>
          <w:rFonts w:hAnsi="宋体"/>
          <w:b/>
          <w:bCs/>
          <w:color w:val="auto"/>
          <w:highlight w:val="none"/>
        </w:rPr>
      </w:pPr>
      <w:bookmarkStart w:id="168" w:name="_Toc3360"/>
      <w:bookmarkStart w:id="169" w:name="_Toc15636"/>
      <w:bookmarkStart w:id="170" w:name="_Toc8470"/>
      <w:bookmarkStart w:id="171" w:name="_Toc9129"/>
      <w:bookmarkStart w:id="172" w:name="_Toc396137242"/>
      <w:r>
        <w:rPr>
          <w:rFonts w:hint="eastAsia" w:hAnsi="宋体"/>
          <w:b/>
          <w:bCs/>
          <w:color w:val="auto"/>
          <w:kern w:val="44"/>
          <w:sz w:val="28"/>
          <w:szCs w:val="28"/>
          <w:highlight w:val="none"/>
          <w:lang w:val="zh-CN"/>
        </w:rPr>
        <w:t>合同条款格式</w:t>
      </w:r>
      <w:bookmarkEnd w:id="168"/>
      <w:bookmarkEnd w:id="169"/>
    </w:p>
    <w:p w14:paraId="5EA329C9">
      <w:pPr>
        <w:widowControl/>
        <w:tabs>
          <w:tab w:val="left" w:pos="851"/>
          <w:tab w:val="left" w:pos="993"/>
          <w:tab w:val="left" w:pos="1276"/>
        </w:tabs>
        <w:wordWrap w:val="0"/>
        <w:spacing w:line="360" w:lineRule="auto"/>
        <w:ind w:right="478" w:rightChars="199"/>
        <w:jc w:val="left"/>
        <w:rPr>
          <w:rFonts w:hAnsi="宋体"/>
          <w:b/>
          <w:bCs/>
          <w:color w:val="auto"/>
          <w:sz w:val="52"/>
          <w:szCs w:val="52"/>
        </w:rPr>
      </w:pPr>
      <w:r>
        <w:rPr>
          <w:rFonts w:hint="eastAsia" w:hAnsi="宋体"/>
          <w:b/>
          <w:bCs/>
          <w:color w:val="auto"/>
          <w:sz w:val="28"/>
          <w:szCs w:val="28"/>
        </w:rPr>
        <w:t>合同编号：</w:t>
      </w:r>
    </w:p>
    <w:p w14:paraId="0F5EAB96">
      <w:pPr>
        <w:widowControl/>
        <w:tabs>
          <w:tab w:val="left" w:pos="851"/>
          <w:tab w:val="left" w:pos="993"/>
          <w:tab w:val="left" w:pos="1276"/>
          <w:tab w:val="center" w:pos="4274"/>
          <w:tab w:val="left" w:pos="7210"/>
        </w:tabs>
        <w:wordWrap w:val="0"/>
        <w:spacing w:line="360" w:lineRule="auto"/>
        <w:ind w:right="478" w:rightChars="199"/>
        <w:jc w:val="center"/>
        <w:rPr>
          <w:rFonts w:hAnsi="宋体"/>
          <w:b/>
          <w:bCs/>
          <w:color w:val="auto"/>
          <w:sz w:val="52"/>
          <w:szCs w:val="52"/>
        </w:rPr>
      </w:pPr>
    </w:p>
    <w:p w14:paraId="11DFBB87">
      <w:pPr>
        <w:widowControl/>
        <w:tabs>
          <w:tab w:val="left" w:pos="851"/>
          <w:tab w:val="left" w:pos="993"/>
          <w:tab w:val="left" w:pos="1276"/>
          <w:tab w:val="center" w:pos="4274"/>
          <w:tab w:val="left" w:pos="7210"/>
        </w:tabs>
        <w:wordWrap w:val="0"/>
        <w:spacing w:line="360" w:lineRule="auto"/>
        <w:ind w:right="478" w:rightChars="199"/>
        <w:jc w:val="center"/>
        <w:rPr>
          <w:rFonts w:hAnsi="宋体"/>
          <w:b/>
          <w:bCs/>
          <w:color w:val="auto"/>
          <w:sz w:val="52"/>
          <w:szCs w:val="52"/>
        </w:rPr>
      </w:pPr>
    </w:p>
    <w:p w14:paraId="3384A18D">
      <w:pPr>
        <w:wordWrap w:val="0"/>
        <w:spacing w:line="360" w:lineRule="auto"/>
        <w:jc w:val="center"/>
        <w:rPr>
          <w:rFonts w:hint="eastAsia" w:hAnsi="宋体"/>
          <w:b/>
          <w:color w:val="auto"/>
          <w:sz w:val="52"/>
          <w:u w:val="single"/>
        </w:rPr>
      </w:pPr>
      <w:r>
        <w:rPr>
          <w:rFonts w:hint="eastAsia" w:hAnsi="宋体"/>
          <w:b/>
          <w:sz w:val="52"/>
          <w:highlight w:val="none"/>
          <w:u w:val="single"/>
        </w:rPr>
        <w:t>东实·滨湖苑项目（东莞市厚街镇厚山配售型保障性住房项目）营销中心及样板间软装施工合同</w:t>
      </w:r>
    </w:p>
    <w:p w14:paraId="3CC1631C">
      <w:pPr>
        <w:pStyle w:val="20"/>
        <w:wordWrap w:val="0"/>
        <w:ind w:left="1680" w:right="1680"/>
        <w:rPr>
          <w:rFonts w:hAnsi="宋体"/>
          <w:color w:val="auto"/>
          <w:sz w:val="40"/>
          <w:szCs w:val="56"/>
        </w:rPr>
      </w:pPr>
    </w:p>
    <w:p w14:paraId="6D4764AF">
      <w:pPr>
        <w:pStyle w:val="20"/>
        <w:wordWrap w:val="0"/>
        <w:spacing w:before="10"/>
        <w:ind w:left="1680" w:right="1680"/>
        <w:rPr>
          <w:rFonts w:hAnsi="宋体"/>
          <w:color w:val="auto"/>
          <w:sz w:val="60"/>
        </w:rPr>
      </w:pPr>
    </w:p>
    <w:p w14:paraId="6DDCC6C4">
      <w:pPr>
        <w:tabs>
          <w:tab w:val="left" w:pos="7518"/>
        </w:tabs>
        <w:wordWrap w:val="0"/>
        <w:spacing w:before="1" w:line="600" w:lineRule="auto"/>
        <w:ind w:left="1680" w:leftChars="200" w:hanging="1200" w:hangingChars="500"/>
        <w:rPr>
          <w:rFonts w:hAnsi="宋体"/>
          <w:color w:val="auto"/>
          <w:u w:val="single"/>
        </w:rPr>
      </w:pPr>
      <w:r>
        <w:rPr>
          <w:rFonts w:hint="eastAsia" w:hAnsi="宋体"/>
          <w:color w:val="auto"/>
        </w:rPr>
        <w:t>项目名称：</w:t>
      </w:r>
      <w:r>
        <w:rPr>
          <w:rFonts w:hint="eastAsia" w:hAnsi="宋体"/>
          <w:highlight w:val="none"/>
          <w:u w:val="single"/>
        </w:rPr>
        <w:t>东实·滨湖苑项目（东莞市厚街镇厚山配售型保障性住房项目）营销中心及样板间软装</w:t>
      </w:r>
    </w:p>
    <w:p w14:paraId="7673C042">
      <w:pPr>
        <w:tabs>
          <w:tab w:val="left" w:pos="7518"/>
        </w:tabs>
        <w:wordWrap w:val="0"/>
        <w:spacing w:before="26" w:line="600" w:lineRule="auto"/>
        <w:ind w:left="559"/>
        <w:rPr>
          <w:rFonts w:hint="default" w:hAnsi="宋体" w:eastAsia="宋体"/>
          <w:color w:val="auto"/>
          <w:lang w:val="en-US" w:eastAsia="zh-CN"/>
        </w:rPr>
      </w:pPr>
      <w:r>
        <w:rPr>
          <w:rFonts w:hint="eastAsia" w:hAnsi="宋体"/>
          <w:color w:val="auto"/>
        </w:rPr>
        <w:t>项目地点:</w:t>
      </w:r>
      <w:r>
        <w:rPr>
          <w:rFonts w:hint="eastAsia" w:hAnsi="宋体"/>
          <w:color w:val="auto"/>
          <w:u w:val="single"/>
        </w:rPr>
        <w:t>厚街镇厚山现代化产业园内</w:t>
      </w:r>
    </w:p>
    <w:p w14:paraId="3BF36911">
      <w:pPr>
        <w:tabs>
          <w:tab w:val="left" w:pos="1279"/>
          <w:tab w:val="left" w:pos="7518"/>
        </w:tabs>
        <w:wordWrap w:val="0"/>
        <w:spacing w:before="26" w:line="600" w:lineRule="auto"/>
        <w:ind w:left="559"/>
        <w:rPr>
          <w:rFonts w:hint="default" w:hAnsi="宋体"/>
          <w:color w:val="auto"/>
          <w:lang w:val="en-US"/>
        </w:rPr>
      </w:pPr>
      <w:r>
        <w:rPr>
          <w:rFonts w:hint="eastAsia" w:hAnsi="宋体"/>
          <w:color w:val="auto"/>
        </w:rPr>
        <w:t>甲方：</w:t>
      </w:r>
      <w:r>
        <w:rPr>
          <w:rFonts w:hint="eastAsia" w:ascii="宋体" w:hAnsi="宋体"/>
          <w:color w:val="auto"/>
          <w:szCs w:val="21"/>
          <w:u w:val="single"/>
          <w:lang w:val="en-US" w:eastAsia="zh-CN"/>
        </w:rPr>
        <w:t>东莞市</w:t>
      </w:r>
      <w:r>
        <w:rPr>
          <w:rFonts w:hint="eastAsia" w:hAnsi="宋体"/>
          <w:color w:val="auto"/>
          <w:szCs w:val="21"/>
          <w:u w:val="single"/>
          <w:lang w:val="en-US" w:eastAsia="zh-CN"/>
        </w:rPr>
        <w:t>东厚安居建设有限公司</w:t>
      </w:r>
    </w:p>
    <w:p w14:paraId="73AC9AE6">
      <w:pPr>
        <w:tabs>
          <w:tab w:val="left" w:pos="1279"/>
          <w:tab w:val="left" w:pos="7518"/>
        </w:tabs>
        <w:wordWrap w:val="0"/>
        <w:spacing w:before="26" w:line="600" w:lineRule="auto"/>
        <w:ind w:left="559"/>
        <w:rPr>
          <w:rFonts w:hAnsi="宋体"/>
          <w:color w:val="auto"/>
          <w:u w:val="single"/>
        </w:rPr>
      </w:pPr>
      <w:r>
        <w:rPr>
          <w:rFonts w:hint="eastAsia" w:hAnsi="宋体"/>
          <w:color w:val="auto"/>
        </w:rPr>
        <w:t>乙方：</w:t>
      </w:r>
      <w:r>
        <w:rPr>
          <w:rFonts w:hint="eastAsia" w:hAnsi="宋体"/>
          <w:color w:val="auto"/>
          <w:u w:val="none"/>
        </w:rPr>
        <w:t xml:space="preserve">                           </w:t>
      </w:r>
    </w:p>
    <w:p w14:paraId="5715CDE1">
      <w:pPr>
        <w:tabs>
          <w:tab w:val="left" w:pos="632"/>
          <w:tab w:val="left" w:pos="9240"/>
        </w:tabs>
        <w:wordWrap w:val="0"/>
        <w:spacing w:line="600" w:lineRule="auto"/>
        <w:ind w:left="646" w:leftChars="269"/>
        <w:rPr>
          <w:rFonts w:hAnsi="宋体"/>
          <w:color w:val="auto"/>
        </w:rPr>
      </w:pPr>
      <w:r>
        <w:rPr>
          <w:rFonts w:hint="eastAsia" w:hAnsi="宋体"/>
          <w:color w:val="auto"/>
        </w:rPr>
        <w:t>签约地点：东莞</w:t>
      </w:r>
    </w:p>
    <w:p w14:paraId="10A6B9B3">
      <w:pPr>
        <w:tabs>
          <w:tab w:val="left" w:pos="632"/>
          <w:tab w:val="left" w:pos="9240"/>
        </w:tabs>
        <w:wordWrap w:val="0"/>
        <w:spacing w:line="600" w:lineRule="auto"/>
        <w:ind w:left="646" w:leftChars="269"/>
        <w:rPr>
          <w:rFonts w:hAnsi="宋体"/>
          <w:color w:val="auto"/>
        </w:rPr>
      </w:pPr>
      <w:r>
        <w:rPr>
          <w:rFonts w:hint="eastAsia" w:hAnsi="宋体"/>
          <w:color w:val="auto"/>
        </w:rPr>
        <w:t>签订日期：</w:t>
      </w:r>
      <w:r>
        <w:rPr>
          <w:rFonts w:hint="eastAsia" w:hAnsi="宋体"/>
          <w:color w:val="auto"/>
          <w:lang w:val="en-US" w:eastAsia="zh-CN"/>
        </w:rPr>
        <w:t xml:space="preserve">    </w:t>
      </w:r>
      <w:r>
        <w:rPr>
          <w:rFonts w:hint="eastAsia" w:hAnsi="宋体"/>
          <w:color w:val="auto"/>
        </w:rPr>
        <w:t>年</w:t>
      </w:r>
      <w:r>
        <w:rPr>
          <w:rFonts w:hAnsi="宋体"/>
          <w:color w:val="auto"/>
        </w:rPr>
        <w:t xml:space="preserve">  </w:t>
      </w:r>
      <w:r>
        <w:rPr>
          <w:rFonts w:hint="eastAsia" w:hAnsi="宋体"/>
          <w:color w:val="auto"/>
        </w:rPr>
        <w:t xml:space="preserve"> 月</w:t>
      </w:r>
      <w:r>
        <w:rPr>
          <w:rFonts w:hAnsi="宋体"/>
          <w:color w:val="auto"/>
        </w:rPr>
        <w:t xml:space="preserve">  </w:t>
      </w:r>
      <w:r>
        <w:rPr>
          <w:rFonts w:hint="eastAsia" w:hAnsi="宋体"/>
          <w:color w:val="auto"/>
        </w:rPr>
        <w:t xml:space="preserve"> 日</w:t>
      </w:r>
    </w:p>
    <w:p w14:paraId="45506838">
      <w:pPr>
        <w:wordWrap w:val="0"/>
        <w:spacing w:line="360" w:lineRule="auto"/>
        <w:jc w:val="center"/>
        <w:rPr>
          <w:rFonts w:hint="eastAsia" w:hAnsi="宋体"/>
          <w:b/>
          <w:color w:val="auto"/>
          <w:sz w:val="52"/>
          <w:u w:val="single"/>
        </w:rPr>
      </w:pPr>
      <w:r>
        <w:rPr>
          <w:rFonts w:hint="eastAsia" w:hAnsi="宋体"/>
          <w:b/>
          <w:bCs/>
          <w:color w:val="auto"/>
          <w:szCs w:val="21"/>
        </w:rPr>
        <w:br w:type="page"/>
      </w:r>
      <w:r>
        <w:rPr>
          <w:rFonts w:hint="eastAsia" w:ascii="宋体" w:eastAsia="宋体" w:cs="宋体"/>
          <w:b/>
          <w:bCs/>
          <w:color w:val="auto"/>
          <w:sz w:val="28"/>
          <w:szCs w:val="28"/>
        </w:rPr>
        <w:t>东实·滨湖苑项目（东莞市厚街镇厚山配售型保障性住房项目）营销中心及样板间软装施工合同</w:t>
      </w:r>
    </w:p>
    <w:p w14:paraId="44F98FA7">
      <w:pPr>
        <w:keepNext w:val="0"/>
        <w:keepLines w:val="0"/>
        <w:pageBreakBefore w:val="0"/>
        <w:widowControl/>
        <w:kinsoku/>
        <w:overflowPunct/>
        <w:topLinePunct w:val="0"/>
        <w:bidi w:val="0"/>
        <w:spacing w:line="360" w:lineRule="auto"/>
        <w:jc w:val="center"/>
        <w:rPr>
          <w:b/>
          <w:bCs/>
          <w:color w:val="auto"/>
          <w:sz w:val="28"/>
          <w:szCs w:val="28"/>
        </w:rPr>
      </w:pPr>
    </w:p>
    <w:p w14:paraId="57FF1DBA">
      <w:pPr>
        <w:pStyle w:val="17"/>
        <w:keepNext w:val="0"/>
        <w:keepLines w:val="0"/>
        <w:pageBreakBefore w:val="0"/>
        <w:kinsoku/>
        <w:overflowPunct/>
        <w:topLinePunct w:val="0"/>
        <w:bidi w:val="0"/>
        <w:spacing w:before="0" w:line="360" w:lineRule="auto"/>
        <w:rPr>
          <w:rFonts w:ascii="Times New Roman" w:hAnsi="Times New Roman"/>
          <w:color w:val="auto"/>
        </w:rPr>
      </w:pPr>
    </w:p>
    <w:p w14:paraId="2A44C852">
      <w:pPr>
        <w:keepNext w:val="0"/>
        <w:keepLines w:val="0"/>
        <w:pageBreakBefore w:val="0"/>
        <w:kinsoku/>
        <w:wordWrap/>
        <w:overflowPunct/>
        <w:topLinePunct w:val="0"/>
        <w:bidi w:val="0"/>
        <w:snapToGrid w:val="0"/>
        <w:spacing w:line="360" w:lineRule="auto"/>
        <w:textAlignment w:val="auto"/>
        <w:rPr>
          <w:rFonts w:hint="default" w:ascii="宋体" w:hAnsi="宋体" w:eastAsia="宋体" w:cs="宋体"/>
          <w:color w:val="auto"/>
          <w:sz w:val="21"/>
          <w:szCs w:val="21"/>
          <w:u w:val="single"/>
          <w:lang w:val="en-US"/>
        </w:rPr>
      </w:pPr>
      <w:r>
        <w:rPr>
          <w:rFonts w:hint="eastAsia" w:ascii="宋体" w:hAnsi="宋体" w:eastAsia="宋体" w:cs="宋体"/>
          <w:color w:val="auto"/>
          <w:sz w:val="21"/>
          <w:szCs w:val="21"/>
        </w:rPr>
        <w:t>委托方(甲方)：</w:t>
      </w:r>
      <w:r>
        <w:rPr>
          <w:rFonts w:hint="eastAsia" w:ascii="宋体" w:hAnsi="宋体" w:eastAsia="宋体" w:cs="宋体"/>
          <w:color w:val="auto"/>
          <w:sz w:val="21"/>
          <w:szCs w:val="21"/>
          <w:u w:val="single"/>
          <w:lang w:val="en-US" w:eastAsia="zh-CN"/>
        </w:rPr>
        <w:t>东莞市</w:t>
      </w:r>
      <w:r>
        <w:rPr>
          <w:rFonts w:hint="eastAsia" w:hAnsi="宋体" w:cs="宋体"/>
          <w:color w:val="auto"/>
          <w:sz w:val="21"/>
          <w:szCs w:val="21"/>
          <w:u w:val="single"/>
          <w:lang w:val="en-US" w:eastAsia="zh-CN"/>
        </w:rPr>
        <w:t>东厚安居建设有限公司</w:t>
      </w:r>
    </w:p>
    <w:p w14:paraId="6D140EF4">
      <w:pPr>
        <w:keepNext w:val="0"/>
        <w:keepLines w:val="0"/>
        <w:pageBreakBefore w:val="0"/>
        <w:kinsoku/>
        <w:wordWrap/>
        <w:overflowPunct/>
        <w:topLinePunct w:val="0"/>
        <w:bidi w:val="0"/>
        <w:spacing w:line="360" w:lineRule="auto"/>
        <w:jc w:val="left"/>
        <w:textAlignment w:val="auto"/>
        <w:rPr>
          <w:rFonts w:hint="eastAsia" w:ascii="宋体" w:hAnsi="宋体" w:eastAsia="宋体" w:cs="宋体"/>
          <w:color w:val="auto"/>
          <w:sz w:val="21"/>
          <w:szCs w:val="21"/>
          <w:u w:val="single"/>
        </w:rPr>
      </w:pPr>
      <w:r>
        <w:rPr>
          <w:rFonts w:hint="eastAsia" w:ascii="宋体" w:hAnsi="宋体" w:eastAsia="宋体" w:cs="宋体"/>
          <w:color w:val="auto"/>
          <w:sz w:val="21"/>
          <w:szCs w:val="21"/>
        </w:rPr>
        <w:t>法定代表人：</w:t>
      </w:r>
      <w:r>
        <w:rPr>
          <w:rFonts w:hint="eastAsia" w:ascii="宋体" w:hAnsi="宋体" w:eastAsia="宋体" w:cs="宋体"/>
          <w:color w:val="auto"/>
          <w:sz w:val="21"/>
          <w:szCs w:val="21"/>
          <w:u w:val="none"/>
        </w:rPr>
        <w:t xml:space="preserve">                    </w:t>
      </w:r>
      <w:r>
        <w:rPr>
          <w:rFonts w:hint="eastAsia" w:ascii="宋体" w:hAnsi="宋体" w:eastAsia="宋体" w:cs="宋体"/>
          <w:color w:val="auto"/>
          <w:sz w:val="21"/>
          <w:szCs w:val="21"/>
          <w:u w:val="none"/>
          <w:lang w:val="en-US" w:eastAsia="zh-CN"/>
        </w:rPr>
        <w:t xml:space="preserve">         </w:t>
      </w:r>
    </w:p>
    <w:p w14:paraId="35E677B3">
      <w:pPr>
        <w:keepNext w:val="0"/>
        <w:keepLines w:val="0"/>
        <w:pageBreakBefore w:val="0"/>
        <w:kinsoku/>
        <w:wordWrap/>
        <w:overflowPunct/>
        <w:topLinePunct w:val="0"/>
        <w:bidi w:val="0"/>
        <w:spacing w:line="360" w:lineRule="auto"/>
        <w:textAlignment w:val="auto"/>
        <w:rPr>
          <w:rFonts w:hint="eastAsia" w:ascii="宋体" w:hAnsi="宋体" w:eastAsia="宋体" w:cs="宋体"/>
          <w:color w:val="auto"/>
          <w:sz w:val="21"/>
          <w:szCs w:val="21"/>
          <w:u w:val="single"/>
          <w:lang w:val="en-US"/>
        </w:rPr>
      </w:pPr>
      <w:r>
        <w:rPr>
          <w:rFonts w:hint="eastAsia" w:ascii="宋体" w:hAnsi="宋体" w:eastAsia="宋体" w:cs="宋体"/>
          <w:color w:val="auto"/>
          <w:sz w:val="21"/>
          <w:szCs w:val="21"/>
        </w:rPr>
        <w:t>联系地址：</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u w:val="single"/>
          <w:lang w:val="en-US" w:eastAsia="zh-CN"/>
        </w:rPr>
        <w:t xml:space="preserve">                              </w:t>
      </w:r>
    </w:p>
    <w:p w14:paraId="084E5520">
      <w:pPr>
        <w:keepNext w:val="0"/>
        <w:keepLines w:val="0"/>
        <w:pageBreakBefore w:val="0"/>
        <w:kinsoku/>
        <w:wordWrap/>
        <w:overflowPunct/>
        <w:topLinePunct w:val="0"/>
        <w:bidi w:val="0"/>
        <w:snapToGrid w:val="0"/>
        <w:spacing w:line="360" w:lineRule="auto"/>
        <w:ind w:left="240" w:leftChars="100"/>
        <w:textAlignment w:val="auto"/>
        <w:rPr>
          <w:rFonts w:hint="eastAsia" w:ascii="宋体" w:hAnsi="宋体" w:eastAsia="宋体" w:cs="宋体"/>
          <w:color w:val="auto"/>
          <w:sz w:val="21"/>
          <w:szCs w:val="21"/>
          <w:u w:val="single"/>
        </w:rPr>
      </w:pPr>
    </w:p>
    <w:p w14:paraId="25BEDE03">
      <w:pPr>
        <w:keepNext w:val="0"/>
        <w:keepLines w:val="0"/>
        <w:pageBreakBefore w:val="0"/>
        <w:kinsoku/>
        <w:wordWrap/>
        <w:overflowPunct/>
        <w:topLinePunct w:val="0"/>
        <w:bidi w:val="0"/>
        <w:snapToGrid w:val="0"/>
        <w:spacing w:line="360" w:lineRule="auto"/>
        <w:textAlignment w:val="auto"/>
        <w:rPr>
          <w:rFonts w:hint="eastAsia" w:ascii="宋体" w:hAnsi="宋体" w:eastAsia="宋体" w:cs="宋体"/>
          <w:color w:val="auto"/>
          <w:sz w:val="21"/>
          <w:szCs w:val="21"/>
          <w:u w:val="single"/>
        </w:rPr>
      </w:pPr>
      <w:r>
        <w:rPr>
          <w:rFonts w:hint="eastAsia" w:ascii="宋体" w:hAnsi="宋体" w:eastAsia="宋体" w:cs="宋体"/>
          <w:color w:val="auto"/>
          <w:sz w:val="21"/>
          <w:szCs w:val="21"/>
        </w:rPr>
        <w:t>承接方(乙方)：</w:t>
      </w:r>
      <w:r>
        <w:rPr>
          <w:rFonts w:hint="eastAsia" w:ascii="宋体" w:hAnsi="宋体" w:eastAsia="宋体" w:cs="宋体"/>
          <w:color w:val="auto"/>
          <w:sz w:val="21"/>
          <w:szCs w:val="21"/>
          <w:u w:val="single"/>
        </w:rPr>
        <w:t xml:space="preserve">                            </w:t>
      </w:r>
    </w:p>
    <w:p w14:paraId="5C7441B1">
      <w:pPr>
        <w:keepNext w:val="0"/>
        <w:keepLines w:val="0"/>
        <w:pageBreakBefore w:val="0"/>
        <w:kinsoku/>
        <w:wordWrap/>
        <w:overflowPunct/>
        <w:topLinePunct w:val="0"/>
        <w:bidi w:val="0"/>
        <w:spacing w:line="360" w:lineRule="auto"/>
        <w:jc w:val="left"/>
        <w:textAlignment w:val="auto"/>
        <w:rPr>
          <w:rFonts w:hint="eastAsia" w:ascii="宋体" w:hAnsi="宋体" w:eastAsia="宋体" w:cs="宋体"/>
          <w:color w:val="auto"/>
          <w:sz w:val="21"/>
          <w:szCs w:val="21"/>
          <w:u w:val="single"/>
        </w:rPr>
      </w:pPr>
      <w:r>
        <w:rPr>
          <w:rFonts w:hint="eastAsia" w:ascii="宋体" w:hAnsi="宋体" w:eastAsia="宋体" w:cs="宋体"/>
          <w:color w:val="auto"/>
          <w:sz w:val="21"/>
          <w:szCs w:val="21"/>
        </w:rPr>
        <w:t>法定代表人：</w:t>
      </w:r>
      <w:r>
        <w:rPr>
          <w:rFonts w:hint="eastAsia" w:ascii="宋体" w:hAnsi="宋体" w:eastAsia="宋体" w:cs="宋体"/>
          <w:color w:val="auto"/>
          <w:sz w:val="21"/>
          <w:szCs w:val="21"/>
          <w:u w:val="single"/>
        </w:rPr>
        <w:t xml:space="preserve">                               </w:t>
      </w:r>
    </w:p>
    <w:p w14:paraId="2C26ECE7">
      <w:pPr>
        <w:keepNext w:val="0"/>
        <w:keepLines w:val="0"/>
        <w:pageBreakBefore w:val="0"/>
        <w:kinsoku/>
        <w:wordWrap/>
        <w:overflowPunct/>
        <w:topLinePunct w:val="0"/>
        <w:bidi w:val="0"/>
        <w:spacing w:line="360" w:lineRule="auto"/>
        <w:jc w:val="left"/>
        <w:textAlignment w:val="auto"/>
        <w:rPr>
          <w:rFonts w:hint="eastAsia" w:ascii="宋体" w:hAnsi="宋体" w:eastAsia="宋体" w:cs="宋体"/>
          <w:color w:val="auto"/>
          <w:sz w:val="21"/>
          <w:szCs w:val="21"/>
          <w:u w:val="single"/>
        </w:rPr>
      </w:pPr>
      <w:r>
        <w:rPr>
          <w:rFonts w:hint="eastAsia" w:ascii="宋体" w:hAnsi="宋体" w:eastAsia="宋体" w:cs="宋体"/>
          <w:color w:val="auto"/>
          <w:sz w:val="21"/>
          <w:szCs w:val="21"/>
        </w:rPr>
        <w:t>联系地址：</w:t>
      </w:r>
      <w:r>
        <w:rPr>
          <w:rFonts w:hint="eastAsia" w:ascii="宋体" w:hAnsi="宋体" w:eastAsia="宋体" w:cs="宋体"/>
          <w:color w:val="auto"/>
          <w:sz w:val="21"/>
          <w:szCs w:val="21"/>
          <w:u w:val="single"/>
        </w:rPr>
        <w:t xml:space="preserve">                                  </w:t>
      </w:r>
    </w:p>
    <w:p w14:paraId="0BEDE7FD">
      <w:pPr>
        <w:keepNext w:val="0"/>
        <w:keepLines w:val="0"/>
        <w:pageBreakBefore w:val="0"/>
        <w:tabs>
          <w:tab w:val="left" w:pos="0"/>
        </w:tabs>
        <w:kinsoku/>
        <w:wordWrap/>
        <w:overflowPunct/>
        <w:topLinePunct w:val="0"/>
        <w:bidi w:val="0"/>
        <w:spacing w:line="360" w:lineRule="auto"/>
        <w:textAlignment w:val="auto"/>
        <w:rPr>
          <w:rFonts w:hint="eastAsia" w:ascii="宋体" w:hAnsi="宋体" w:eastAsia="宋体" w:cs="宋体"/>
          <w:bCs/>
          <w:color w:val="auto"/>
          <w:sz w:val="21"/>
          <w:szCs w:val="21"/>
        </w:rPr>
      </w:pPr>
    </w:p>
    <w:p w14:paraId="3EA5E1C0">
      <w:pPr>
        <w:keepNext w:val="0"/>
        <w:keepLines w:val="0"/>
        <w:pageBreakBefore w:val="0"/>
        <w:widowControl/>
        <w:kinsoku/>
        <w:wordWrap/>
        <w:overflowPunct/>
        <w:topLinePunct w:val="0"/>
        <w:autoSpaceDE w:val="0"/>
        <w:autoSpaceDN w:val="0"/>
        <w:bidi w:val="0"/>
        <w:adjustRightInd w:val="0"/>
        <w:snapToGrid/>
        <w:spacing w:line="360" w:lineRule="auto"/>
        <w:ind w:firstLine="420"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甲方将 </w:t>
      </w:r>
      <w:r>
        <w:rPr>
          <w:rFonts w:hint="eastAsia" w:ascii="宋体" w:hAnsi="宋体" w:eastAsia="宋体" w:cs="宋体"/>
          <w:b/>
          <w:bCs/>
          <w:color w:val="auto"/>
          <w:sz w:val="21"/>
          <w:szCs w:val="21"/>
          <w:u w:val="single"/>
          <w:lang w:eastAsia="zh-CN"/>
        </w:rPr>
        <w:t>东实·滨湖苑项目（东莞市厚街镇厚山配售型保障性住房项目）营销中心及样板间软装</w:t>
      </w:r>
      <w:r>
        <w:rPr>
          <w:rFonts w:hint="eastAsia" w:ascii="宋体" w:hAnsi="宋体" w:eastAsia="宋体" w:cs="宋体"/>
          <w:b/>
          <w:bCs/>
          <w:color w:val="auto"/>
          <w:sz w:val="21"/>
          <w:szCs w:val="21"/>
          <w:u w:val="single"/>
          <w:lang w:val="en-US" w:eastAsia="zh-CN"/>
        </w:rPr>
        <w:t xml:space="preserve"> </w:t>
      </w:r>
      <w:r>
        <w:rPr>
          <w:rFonts w:hint="eastAsia" w:ascii="宋体" w:hAnsi="宋体" w:eastAsia="宋体" w:cs="宋体"/>
          <w:color w:val="auto"/>
          <w:sz w:val="21"/>
          <w:szCs w:val="21"/>
        </w:rPr>
        <w:t>委托乙方进行施工。为明确双方权利义务关系，根据《中华人民共和国民法典》《中华人民共和国建筑法》及其他相关法律规定，结合本工程的具体情况，经双方友好协商达成一致，签订本合同。</w:t>
      </w:r>
    </w:p>
    <w:p w14:paraId="3FE96A80">
      <w:pPr>
        <w:keepNext w:val="0"/>
        <w:keepLines w:val="0"/>
        <w:pageBreakBefore w:val="0"/>
        <w:kinsoku/>
        <w:wordWrap/>
        <w:overflowPunct/>
        <w:topLinePunct w:val="0"/>
        <w:bidi w:val="0"/>
        <w:spacing w:line="360" w:lineRule="auto"/>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color w:val="auto"/>
          <w:sz w:val="21"/>
          <w:szCs w:val="21"/>
        </w:rPr>
        <w:t>一、工程概况及承包范围</w:t>
      </w:r>
    </w:p>
    <w:p w14:paraId="390D30A4">
      <w:pPr>
        <w:keepNext w:val="0"/>
        <w:keepLines w:val="0"/>
        <w:pageBreakBefore w:val="0"/>
        <w:widowControl/>
        <w:kinsoku/>
        <w:wordWrap/>
        <w:overflowPunct/>
        <w:topLinePunct w:val="0"/>
        <w:autoSpaceDE w:val="0"/>
        <w:autoSpaceDN w:val="0"/>
        <w:bidi w:val="0"/>
        <w:adjustRightInd w:val="0"/>
        <w:snapToGrid/>
        <w:spacing w:line="360" w:lineRule="auto"/>
        <w:ind w:firstLine="420"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1.1</w:t>
      </w:r>
      <w:r>
        <w:rPr>
          <w:rFonts w:hint="eastAsia" w:ascii="宋体" w:hAnsi="宋体" w:eastAsia="宋体" w:cs="宋体"/>
          <w:color w:val="auto"/>
          <w:sz w:val="21"/>
          <w:szCs w:val="21"/>
        </w:rPr>
        <w:t>工程名称：</w:t>
      </w:r>
      <w:r>
        <w:rPr>
          <w:rFonts w:hint="eastAsia" w:ascii="宋体" w:hAnsi="宋体" w:eastAsia="宋体" w:cs="宋体"/>
          <w:color w:val="auto"/>
          <w:sz w:val="21"/>
          <w:szCs w:val="21"/>
          <w:lang w:eastAsia="zh-CN"/>
        </w:rPr>
        <w:t>东实·滨湖苑项目（东莞市厚街镇厚山配售型保障性住房项目）营销中心及样板间软装</w:t>
      </w:r>
    </w:p>
    <w:p w14:paraId="66C7BEF2">
      <w:pPr>
        <w:keepNext w:val="0"/>
        <w:keepLines w:val="0"/>
        <w:pageBreakBefore w:val="0"/>
        <w:widowControl/>
        <w:kinsoku/>
        <w:wordWrap/>
        <w:overflowPunct/>
        <w:topLinePunct w:val="0"/>
        <w:autoSpaceDE w:val="0"/>
        <w:autoSpaceDN w:val="0"/>
        <w:bidi w:val="0"/>
        <w:adjustRightInd w:val="0"/>
        <w:snapToGrid/>
        <w:spacing w:line="360" w:lineRule="auto"/>
        <w:ind w:firstLine="420" w:firstLineChars="200"/>
        <w:jc w:val="both"/>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1.2</w:t>
      </w:r>
      <w:r>
        <w:rPr>
          <w:rFonts w:hint="eastAsia" w:ascii="宋体" w:hAnsi="宋体" w:eastAsia="宋体" w:cs="宋体"/>
          <w:color w:val="auto"/>
          <w:sz w:val="21"/>
          <w:szCs w:val="21"/>
        </w:rPr>
        <w:t>工程地点：厚街镇厚山现代化产业园内</w:t>
      </w:r>
    </w:p>
    <w:p w14:paraId="20C3A547">
      <w:pPr>
        <w:keepNext w:val="0"/>
        <w:keepLines w:val="0"/>
        <w:pageBreakBefore w:val="0"/>
        <w:widowControl/>
        <w:kinsoku/>
        <w:wordWrap/>
        <w:overflowPunct/>
        <w:topLinePunct w:val="0"/>
        <w:autoSpaceDE w:val="0"/>
        <w:autoSpaceDN w:val="0"/>
        <w:bidi w:val="0"/>
        <w:adjustRightInd w:val="0"/>
        <w:snapToGrid/>
        <w:spacing w:line="360" w:lineRule="auto"/>
        <w:ind w:firstLine="420" w:firstLineChars="20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1.3</w:t>
      </w:r>
      <w:r>
        <w:rPr>
          <w:rFonts w:hint="eastAsia" w:ascii="宋体" w:hAnsi="宋体" w:eastAsia="宋体" w:cs="宋体"/>
          <w:color w:val="auto"/>
          <w:sz w:val="21"/>
          <w:szCs w:val="21"/>
        </w:rPr>
        <w:t>工程范围和内容：总价包干，</w:t>
      </w:r>
      <w:r>
        <w:rPr>
          <w:rFonts w:hint="eastAsia" w:hAnsi="宋体" w:cs="宋体"/>
          <w:color w:val="auto"/>
          <w:sz w:val="21"/>
          <w:szCs w:val="21"/>
          <w:lang w:val="en-US" w:eastAsia="zh-CN"/>
        </w:rPr>
        <w:t>按清单内容</w:t>
      </w:r>
      <w:r>
        <w:rPr>
          <w:rFonts w:hint="eastAsia" w:ascii="宋体" w:hAnsi="宋体" w:eastAsia="宋体" w:cs="宋体"/>
          <w:color w:val="auto"/>
          <w:sz w:val="21"/>
          <w:szCs w:val="21"/>
        </w:rPr>
        <w:t>实行包工、包料、包深化设计、包工期、包质量、包安全、包税、包文明施工，包配合的承包方式。软装范围为</w:t>
      </w:r>
      <w:r>
        <w:rPr>
          <w:rFonts w:hint="eastAsia" w:ascii="宋体" w:hAnsi="宋体" w:eastAsia="宋体" w:cs="宋体"/>
          <w:color w:val="auto"/>
          <w:sz w:val="21"/>
          <w:szCs w:val="21"/>
          <w:lang w:val="en-US" w:eastAsia="zh-CN"/>
        </w:rPr>
        <w:t>家具、灯具、布艺（窗帘、床品）、地毯、饰品、电器</w:t>
      </w:r>
      <w:r>
        <w:rPr>
          <w:rFonts w:hint="eastAsia" w:hAnsi="宋体" w:cs="宋体"/>
          <w:color w:val="auto"/>
          <w:sz w:val="21"/>
          <w:szCs w:val="21"/>
          <w:lang w:val="en-US" w:eastAsia="zh-CN"/>
        </w:rPr>
        <w:t>、挂画</w:t>
      </w:r>
      <w:r>
        <w:rPr>
          <w:rFonts w:hint="eastAsia" w:ascii="宋体" w:hAnsi="宋体" w:eastAsia="宋体" w:cs="宋体"/>
          <w:color w:val="auto"/>
          <w:sz w:val="21"/>
          <w:szCs w:val="21"/>
        </w:rPr>
        <w:t>等所有清单内物品。</w:t>
      </w:r>
    </w:p>
    <w:p w14:paraId="243778D0">
      <w:pPr>
        <w:keepNext w:val="0"/>
        <w:keepLines w:val="0"/>
        <w:pageBreakBefore w:val="0"/>
        <w:widowControl/>
        <w:kinsoku/>
        <w:wordWrap/>
        <w:overflowPunct/>
        <w:topLinePunct w:val="0"/>
        <w:autoSpaceDE w:val="0"/>
        <w:autoSpaceDN w:val="0"/>
        <w:bidi w:val="0"/>
        <w:adjustRightInd w:val="0"/>
        <w:snapToGrid/>
        <w:spacing w:line="360" w:lineRule="auto"/>
        <w:ind w:firstLine="420" w:firstLineChars="200"/>
        <w:jc w:val="both"/>
        <w:textAlignment w:val="auto"/>
        <w:rPr>
          <w:rFonts w:hint="eastAsia" w:ascii="宋体" w:hAnsi="宋体" w:eastAsia="宋体" w:cs="宋体"/>
          <w:color w:val="auto"/>
          <w:sz w:val="21"/>
          <w:szCs w:val="21"/>
        </w:rPr>
      </w:pPr>
    </w:p>
    <w:p w14:paraId="46A8BEE2">
      <w:pPr>
        <w:keepNext w:val="0"/>
        <w:keepLines w:val="0"/>
        <w:pageBreakBefore w:val="0"/>
        <w:kinsoku/>
        <w:wordWrap/>
        <w:overflowPunct/>
        <w:topLinePunct w:val="0"/>
        <w:bidi w:val="0"/>
        <w:spacing w:line="360" w:lineRule="auto"/>
        <w:ind w:firstLine="422" w:firstLineChars="200"/>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二、软装配置要求</w:t>
      </w:r>
    </w:p>
    <w:p w14:paraId="2F50F7B7">
      <w:pPr>
        <w:pStyle w:val="184"/>
        <w:keepNext w:val="0"/>
        <w:keepLines w:val="0"/>
        <w:pageBreakBefore w:val="0"/>
        <w:numPr>
          <w:ilvl w:val="-1"/>
          <w:numId w:val="0"/>
        </w:numPr>
        <w:kinsoku/>
        <w:wordWrap/>
        <w:overflowPunct/>
        <w:topLinePunct w:val="0"/>
        <w:bidi w:val="0"/>
        <w:spacing w:line="360" w:lineRule="auto"/>
        <w:ind w:left="0" w:leftChars="0"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bidi="ar-SA"/>
        </w:rPr>
        <w:t>2.1</w:t>
      </w:r>
      <w:r>
        <w:rPr>
          <w:rFonts w:hint="eastAsia" w:ascii="宋体" w:hAnsi="宋体" w:eastAsia="宋体" w:cs="宋体"/>
          <w:color w:val="auto"/>
          <w:sz w:val="21"/>
          <w:szCs w:val="21"/>
        </w:rPr>
        <w:t>软装深化方案设计</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乙方提供软装深化设计方案并经甲方确认</w:t>
      </w:r>
      <w:r>
        <w:rPr>
          <w:rFonts w:hint="eastAsia" w:ascii="宋体" w:hAnsi="宋体" w:eastAsia="宋体" w:cs="宋体"/>
          <w:color w:val="auto"/>
          <w:sz w:val="21"/>
          <w:szCs w:val="21"/>
          <w:lang w:eastAsia="zh-CN"/>
        </w:rPr>
        <w:t>。</w:t>
      </w:r>
    </w:p>
    <w:p w14:paraId="5F960F30">
      <w:pPr>
        <w:pStyle w:val="184"/>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2.2</w:t>
      </w:r>
      <w:r>
        <w:rPr>
          <w:rFonts w:hint="eastAsia" w:ascii="宋体" w:hAnsi="宋体" w:eastAsia="宋体" w:cs="宋体"/>
          <w:color w:val="auto"/>
          <w:sz w:val="21"/>
          <w:szCs w:val="21"/>
        </w:rPr>
        <w:t>软装配饰的定制、采购与保管</w:t>
      </w:r>
    </w:p>
    <w:p w14:paraId="6F451B4E">
      <w:pPr>
        <w:pStyle w:val="184"/>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乙方需对甲方已认可的软装方案和清单中所有物品，包括</w:t>
      </w:r>
      <w:r>
        <w:rPr>
          <w:rFonts w:hint="eastAsia" w:ascii="宋体" w:hAnsi="宋体" w:eastAsia="宋体" w:cs="宋体"/>
          <w:color w:val="auto"/>
          <w:sz w:val="21"/>
          <w:szCs w:val="21"/>
          <w:lang w:val="en-US" w:eastAsia="zh-CN"/>
        </w:rPr>
        <w:t>家具、灯具、布艺（窗帘、床品）、地毯、饰品、电器</w:t>
      </w:r>
      <w:r>
        <w:rPr>
          <w:rFonts w:hint="eastAsia" w:cs="宋体"/>
          <w:color w:val="auto"/>
          <w:sz w:val="21"/>
          <w:szCs w:val="21"/>
          <w:lang w:val="en-US" w:eastAsia="zh-CN"/>
        </w:rPr>
        <w:t>、挂画</w:t>
      </w:r>
      <w:r>
        <w:rPr>
          <w:rFonts w:hint="eastAsia" w:ascii="宋体" w:hAnsi="宋体" w:eastAsia="宋体" w:cs="宋体"/>
          <w:color w:val="auto"/>
          <w:kern w:val="0"/>
          <w:sz w:val="21"/>
          <w:szCs w:val="21"/>
        </w:rPr>
        <w:t>等所有物品进行采购或定制安装。乙方需提供家具实物或照片、设计深化图纸对版，作为家具成品的参考。家具成品应与实物或照片、确认后的设计深化图纸对版一致，不可偷工减料。</w:t>
      </w:r>
      <w:r>
        <w:rPr>
          <w:rFonts w:hint="eastAsia" w:ascii="宋体" w:hAnsi="宋体" w:eastAsia="宋体" w:cs="宋体"/>
          <w:color w:val="auto"/>
          <w:sz w:val="21"/>
          <w:szCs w:val="21"/>
        </w:rPr>
        <w:t>乙方在软装家私制作前需到项目现场进行尺寸量度，确保软装物品与现场空间的协调性。</w:t>
      </w:r>
    </w:p>
    <w:p w14:paraId="5E7EF187">
      <w:pPr>
        <w:pStyle w:val="184"/>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2.3</w:t>
      </w:r>
      <w:r>
        <w:rPr>
          <w:rFonts w:hint="eastAsia" w:ascii="宋体" w:hAnsi="宋体" w:eastAsia="宋体" w:cs="宋体"/>
          <w:color w:val="auto"/>
          <w:sz w:val="21"/>
          <w:szCs w:val="21"/>
        </w:rPr>
        <w:t>软装配饰的运输</w:t>
      </w:r>
    </w:p>
    <w:p w14:paraId="065816B0">
      <w:pPr>
        <w:pStyle w:val="184"/>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软装物品进场前已通知甲方验货，经甲方确认后才可卸货安装。</w:t>
      </w:r>
    </w:p>
    <w:p w14:paraId="7BD62A82">
      <w:pPr>
        <w:pStyle w:val="184"/>
        <w:keepNext w:val="0"/>
        <w:keepLines w:val="0"/>
        <w:pageBreakBefore w:val="0"/>
        <w:numPr>
          <w:ilvl w:val="0"/>
          <w:numId w:val="0"/>
        </w:numPr>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2.4</w:t>
      </w:r>
      <w:r>
        <w:rPr>
          <w:rFonts w:hint="eastAsia" w:ascii="宋体" w:hAnsi="宋体" w:eastAsia="宋体" w:cs="宋体"/>
          <w:color w:val="auto"/>
          <w:sz w:val="21"/>
          <w:szCs w:val="21"/>
        </w:rPr>
        <w:t>软装摆设调整</w:t>
      </w:r>
    </w:p>
    <w:p w14:paraId="707BE76D">
      <w:pPr>
        <w:pStyle w:val="184"/>
        <w:keepNext w:val="0"/>
        <w:keepLines w:val="0"/>
        <w:pageBreakBefore w:val="0"/>
        <w:numPr>
          <w:ilvl w:val="0"/>
          <w:numId w:val="0"/>
        </w:numPr>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乙方需安排相关人员为甲方完成软装现场摆设，在现场摆放时需注意成品保护，避免硬装与软装物品损坏，并在甲方指导下进行微调。摆设完成后，需与甲方核对物品清单并签字确认。</w:t>
      </w:r>
    </w:p>
    <w:p w14:paraId="481B49D2">
      <w:pPr>
        <w:pStyle w:val="184"/>
        <w:keepNext w:val="0"/>
        <w:keepLines w:val="0"/>
        <w:pageBreakBefore w:val="0"/>
        <w:numPr>
          <w:ilvl w:val="0"/>
          <w:numId w:val="0"/>
        </w:numPr>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2.5</w:t>
      </w:r>
      <w:r>
        <w:rPr>
          <w:rFonts w:hint="eastAsia" w:ascii="宋体" w:hAnsi="宋体" w:eastAsia="宋体" w:cs="宋体"/>
          <w:color w:val="auto"/>
          <w:sz w:val="21"/>
          <w:szCs w:val="21"/>
        </w:rPr>
        <w:t>软装现场维护</w:t>
      </w:r>
    </w:p>
    <w:p w14:paraId="4C00BF47">
      <w:pPr>
        <w:pStyle w:val="184"/>
        <w:keepNext w:val="0"/>
        <w:keepLines w:val="0"/>
        <w:pageBreakBefore w:val="0"/>
        <w:numPr>
          <w:ilvl w:val="0"/>
          <w:numId w:val="0"/>
        </w:numPr>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本项目所有采购软装物品保修期为贰年，在保修期内乙方需为非人为损坏的物品进行免费维修。保修期自项目竣工验收合格并交付甲方使用之日起计算。</w:t>
      </w:r>
    </w:p>
    <w:p w14:paraId="78563D5D">
      <w:pPr>
        <w:pStyle w:val="184"/>
        <w:keepNext w:val="0"/>
        <w:keepLines w:val="0"/>
        <w:pageBreakBefore w:val="0"/>
        <w:numPr>
          <w:ilvl w:val="0"/>
          <w:numId w:val="0"/>
        </w:numPr>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2.6</w:t>
      </w:r>
      <w:r>
        <w:rPr>
          <w:rFonts w:hint="eastAsia" w:ascii="宋体" w:hAnsi="宋体" w:eastAsia="宋体" w:cs="宋体"/>
          <w:color w:val="auto"/>
          <w:sz w:val="21"/>
          <w:szCs w:val="21"/>
        </w:rPr>
        <w:t>软装效果保证</w:t>
      </w:r>
    </w:p>
    <w:p w14:paraId="0AF95CEF">
      <w:pPr>
        <w:pStyle w:val="184"/>
        <w:keepNext w:val="0"/>
        <w:keepLines w:val="0"/>
        <w:pageBreakBefore w:val="0"/>
        <w:numPr>
          <w:ilvl w:val="0"/>
          <w:numId w:val="0"/>
        </w:numPr>
        <w:kinsoku/>
        <w:wordWrap/>
        <w:overflowPunct/>
        <w:topLinePunct w:val="0"/>
        <w:bidi w:val="0"/>
        <w:ind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在现场软装摆设调整施工前，乙方需提供和安排符合甲方要求的人员表（包括设计师、采购员、技术员、现场施工人数等）。在软装摆场结束后，乙方保证软装设计方案整体效果。</w:t>
      </w:r>
    </w:p>
    <w:p w14:paraId="0B9E1457">
      <w:pPr>
        <w:pStyle w:val="184"/>
        <w:keepNext w:val="0"/>
        <w:keepLines w:val="0"/>
        <w:pageBreakBefore w:val="0"/>
        <w:numPr>
          <w:ilvl w:val="0"/>
          <w:numId w:val="0"/>
        </w:numPr>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2.7</w:t>
      </w:r>
      <w:r>
        <w:rPr>
          <w:rFonts w:hint="eastAsia" w:ascii="宋体" w:hAnsi="宋体" w:eastAsia="宋体" w:cs="宋体"/>
          <w:color w:val="auto"/>
          <w:sz w:val="21"/>
          <w:szCs w:val="21"/>
        </w:rPr>
        <w:t>材料采购及入场要求</w:t>
      </w:r>
    </w:p>
    <w:p w14:paraId="285271F2">
      <w:pPr>
        <w:pStyle w:val="184"/>
        <w:keepNext w:val="0"/>
        <w:keepLines w:val="0"/>
        <w:pageBreakBefore w:val="0"/>
        <w:numPr>
          <w:ilvl w:val="0"/>
          <w:numId w:val="0"/>
        </w:numPr>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乙方须按照材料列表中已明确的品牌、材料、规格、型号、材质以及样式进行全部材料采购，对提供材料的质量负责并承担一切责任。未经甲方同意不得以任何理由更换已明确样式、型号、产地、质量等级、技术参数等特征的材料。材料到达施工现场时须有甲方现场管理人员的签字确认后方能施工，甲方有权对未经确认或认可的材料要求乙方承担无理由、无代价更换。</w:t>
      </w:r>
    </w:p>
    <w:p w14:paraId="21B13BE9">
      <w:pPr>
        <w:spacing w:line="360" w:lineRule="auto"/>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2.8</w:t>
      </w:r>
      <w:r>
        <w:rPr>
          <w:rFonts w:hint="eastAsia" w:ascii="宋体" w:hAnsi="宋体" w:eastAsia="宋体" w:cs="宋体"/>
          <w:color w:val="auto"/>
          <w:sz w:val="21"/>
          <w:szCs w:val="21"/>
        </w:rPr>
        <w:t>项目施工的配合要求</w:t>
      </w:r>
    </w:p>
    <w:p w14:paraId="54ECF687">
      <w:pPr>
        <w:spacing w:line="360" w:lineRule="auto"/>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（1）施工过程中</w:t>
      </w:r>
      <w:r>
        <w:rPr>
          <w:rFonts w:hint="eastAsia" w:ascii="宋体" w:hAnsi="宋体" w:eastAsia="宋体" w:cs="宋体"/>
          <w:color w:val="auto"/>
          <w:sz w:val="21"/>
          <w:szCs w:val="21"/>
          <w:lang w:eastAsia="zh-CN"/>
        </w:rPr>
        <w:t>乙方</w:t>
      </w:r>
      <w:r>
        <w:rPr>
          <w:rFonts w:hint="eastAsia" w:ascii="宋体" w:hAnsi="宋体" w:eastAsia="宋体" w:cs="宋体"/>
          <w:color w:val="auto"/>
          <w:sz w:val="21"/>
          <w:szCs w:val="21"/>
        </w:rPr>
        <w:t>有对所有施工相关项目的配合义务，</w:t>
      </w:r>
      <w:r>
        <w:rPr>
          <w:rFonts w:hint="eastAsia" w:ascii="宋体" w:hAnsi="宋体" w:eastAsia="宋体" w:cs="宋体"/>
          <w:color w:val="auto"/>
          <w:sz w:val="21"/>
          <w:szCs w:val="21"/>
          <w:lang w:eastAsia="zh-CN"/>
        </w:rPr>
        <w:t>乙方</w:t>
      </w:r>
      <w:r>
        <w:rPr>
          <w:rFonts w:hint="eastAsia" w:ascii="宋体" w:hAnsi="宋体" w:eastAsia="宋体" w:cs="宋体"/>
          <w:color w:val="auto"/>
          <w:sz w:val="21"/>
          <w:szCs w:val="21"/>
        </w:rPr>
        <w:t>必须有专业的施工工程师常驻现场，有专业的布局及安装人员对所施工项目进行安装及铺设。</w:t>
      </w:r>
    </w:p>
    <w:p w14:paraId="733D6B0C">
      <w:pPr>
        <w:spacing w:line="360" w:lineRule="auto"/>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（2）对相关配套安装项目提供便利条件，承担质量监督义务并提出建议。</w:t>
      </w:r>
    </w:p>
    <w:p w14:paraId="4DAAA4B3">
      <w:pPr>
        <w:spacing w:line="360" w:lineRule="auto"/>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（3）</w:t>
      </w:r>
      <w:r>
        <w:rPr>
          <w:rFonts w:hint="eastAsia" w:ascii="宋体" w:hAnsi="宋体" w:eastAsia="宋体" w:cs="宋体"/>
          <w:color w:val="auto"/>
          <w:sz w:val="21"/>
          <w:szCs w:val="21"/>
          <w:lang w:eastAsia="zh-CN"/>
        </w:rPr>
        <w:t>甲方</w:t>
      </w:r>
      <w:r>
        <w:rPr>
          <w:rFonts w:hint="eastAsia" w:ascii="宋体" w:hAnsi="宋体" w:eastAsia="宋体" w:cs="宋体"/>
          <w:color w:val="auto"/>
          <w:sz w:val="21"/>
          <w:szCs w:val="21"/>
        </w:rPr>
        <w:t>有权对施工工作面进行调整以及施工人力的调度，</w:t>
      </w:r>
      <w:r>
        <w:rPr>
          <w:rFonts w:hint="eastAsia" w:ascii="宋体" w:hAnsi="宋体" w:eastAsia="宋体" w:cs="宋体"/>
          <w:color w:val="auto"/>
          <w:sz w:val="21"/>
          <w:szCs w:val="21"/>
          <w:lang w:eastAsia="zh-CN"/>
        </w:rPr>
        <w:t>乙方</w:t>
      </w:r>
      <w:r>
        <w:rPr>
          <w:rFonts w:hint="eastAsia" w:ascii="宋体" w:hAnsi="宋体" w:eastAsia="宋体" w:cs="宋体"/>
          <w:color w:val="auto"/>
          <w:sz w:val="21"/>
          <w:szCs w:val="21"/>
        </w:rPr>
        <w:t>不得无理由推卸或不服现场管理人员的管理安排。</w:t>
      </w:r>
    </w:p>
    <w:p w14:paraId="020F1101">
      <w:pPr>
        <w:spacing w:line="360" w:lineRule="auto"/>
        <w:ind w:firstLine="420" w:firstLineChars="200"/>
        <w:rPr>
          <w:rFonts w:hint="eastAsia" w:ascii="宋体" w:hAnsi="宋体" w:eastAsia="宋体" w:cs="宋体"/>
          <w:color w:val="auto"/>
          <w:sz w:val="21"/>
          <w:szCs w:val="21"/>
          <w:lang w:eastAsia="zh-CN"/>
        </w:rPr>
      </w:pPr>
      <w:r>
        <w:rPr>
          <w:rFonts w:hint="eastAsia" w:hAnsi="宋体" w:cs="宋体"/>
          <w:color w:val="auto"/>
          <w:sz w:val="21"/>
          <w:szCs w:val="21"/>
          <w:lang w:eastAsia="zh-CN"/>
        </w:rPr>
        <w:t>（</w:t>
      </w:r>
      <w:r>
        <w:rPr>
          <w:rFonts w:hint="eastAsia" w:hAnsi="宋体" w:cs="宋体"/>
          <w:color w:val="auto"/>
          <w:sz w:val="21"/>
          <w:szCs w:val="21"/>
          <w:lang w:val="en-US" w:eastAsia="zh-CN"/>
        </w:rPr>
        <w:t>4</w:t>
      </w:r>
      <w:r>
        <w:rPr>
          <w:rFonts w:hint="eastAsia" w:hAnsi="宋体" w:cs="宋体"/>
          <w:color w:val="auto"/>
          <w:sz w:val="21"/>
          <w:szCs w:val="21"/>
          <w:lang w:eastAsia="zh-CN"/>
        </w:rPr>
        <w:t>）其中2台空调先安装在2#楼3层样板房，后续配合项目需求拆除重新安装到2#楼14层样板房。</w:t>
      </w:r>
    </w:p>
    <w:p w14:paraId="707779AF">
      <w:pPr>
        <w:spacing w:line="360" w:lineRule="auto"/>
        <w:ind w:firstLine="420" w:firstLineChars="200"/>
        <w:rPr>
          <w:rFonts w:hint="eastAsia" w:ascii="宋体" w:hAnsi="宋体" w:eastAsia="宋体" w:cs="宋体"/>
          <w:color w:val="auto"/>
          <w:sz w:val="21"/>
          <w:szCs w:val="21"/>
        </w:rPr>
      </w:pPr>
    </w:p>
    <w:p w14:paraId="656BB2F5">
      <w:pPr>
        <w:keepNext w:val="0"/>
        <w:keepLines w:val="0"/>
        <w:pageBreakBefore w:val="0"/>
        <w:kinsoku/>
        <w:wordWrap/>
        <w:overflowPunct/>
        <w:topLinePunct w:val="0"/>
        <w:bidi w:val="0"/>
        <w:spacing w:line="360" w:lineRule="auto"/>
        <w:ind w:firstLine="422" w:firstLineChars="200"/>
        <w:textAlignment w:val="auto"/>
        <w:rPr>
          <w:rFonts w:hint="eastAsia" w:ascii="宋体" w:hAnsi="宋体" w:eastAsia="宋体" w:cs="宋体"/>
          <w:bCs/>
          <w:color w:val="auto"/>
          <w:sz w:val="21"/>
          <w:szCs w:val="21"/>
        </w:rPr>
      </w:pPr>
      <w:r>
        <w:rPr>
          <w:rFonts w:hint="eastAsia" w:ascii="宋体" w:hAnsi="宋体" w:eastAsia="宋体" w:cs="宋体"/>
          <w:b/>
          <w:color w:val="auto"/>
          <w:sz w:val="21"/>
          <w:szCs w:val="21"/>
        </w:rPr>
        <w:t>三、施工工期要求</w:t>
      </w:r>
    </w:p>
    <w:p w14:paraId="13A603B4">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3.1施工工期要求（具体开工时间以甲方通知为准）：</w:t>
      </w:r>
    </w:p>
    <w:tbl>
      <w:tblPr>
        <w:tblStyle w:val="53"/>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14"/>
        <w:gridCol w:w="3239"/>
        <w:gridCol w:w="2533"/>
      </w:tblGrid>
      <w:tr w14:paraId="1A3F6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514" w:type="dxa"/>
            <w:vAlign w:val="center"/>
          </w:tcPr>
          <w:p w14:paraId="4FBC9F2B">
            <w:pPr>
              <w:keepNext w:val="0"/>
              <w:keepLines w:val="0"/>
              <w:pageBreakBefore w:val="0"/>
              <w:kinsoku/>
              <w:wordWrap/>
              <w:overflowPunct/>
              <w:topLinePunct w:val="0"/>
              <w:bidi w:val="0"/>
              <w:snapToGrid w:val="0"/>
              <w:spacing w:line="360" w:lineRule="auto"/>
              <w:ind w:left="0" w:leftChars="0" w:right="0" w:rightChars="0" w:firstLine="0" w:firstLineChars="0"/>
              <w:jc w:val="center"/>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项目名称</w:t>
            </w:r>
          </w:p>
        </w:tc>
        <w:tc>
          <w:tcPr>
            <w:tcW w:w="3239" w:type="dxa"/>
            <w:vAlign w:val="center"/>
          </w:tcPr>
          <w:p w14:paraId="6476067F">
            <w:pPr>
              <w:keepNext w:val="0"/>
              <w:keepLines w:val="0"/>
              <w:pageBreakBefore w:val="0"/>
              <w:kinsoku/>
              <w:wordWrap/>
              <w:overflowPunct/>
              <w:topLinePunct w:val="0"/>
              <w:bidi w:val="0"/>
              <w:snapToGrid w:val="0"/>
              <w:spacing w:line="360" w:lineRule="auto"/>
              <w:ind w:left="0" w:leftChars="0" w:right="0" w:rightChars="0" w:firstLine="0" w:firstLineChars="0"/>
              <w:jc w:val="center"/>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开工</w:t>
            </w:r>
          </w:p>
          <w:p w14:paraId="518A12D1">
            <w:pPr>
              <w:keepNext w:val="0"/>
              <w:keepLines w:val="0"/>
              <w:pageBreakBefore w:val="0"/>
              <w:kinsoku/>
              <w:wordWrap/>
              <w:overflowPunct/>
              <w:topLinePunct w:val="0"/>
              <w:bidi w:val="0"/>
              <w:snapToGrid w:val="0"/>
              <w:spacing w:line="360" w:lineRule="auto"/>
              <w:ind w:left="0" w:leftChars="0" w:right="0" w:rightChars="0" w:firstLine="0" w:firstLineChars="0"/>
              <w:jc w:val="center"/>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（场地移交）时间</w:t>
            </w:r>
          </w:p>
        </w:tc>
        <w:tc>
          <w:tcPr>
            <w:tcW w:w="2533" w:type="dxa"/>
            <w:vAlign w:val="center"/>
          </w:tcPr>
          <w:p w14:paraId="656718EC">
            <w:pPr>
              <w:keepNext w:val="0"/>
              <w:keepLines w:val="0"/>
              <w:pageBreakBefore w:val="0"/>
              <w:kinsoku/>
              <w:wordWrap/>
              <w:overflowPunct/>
              <w:topLinePunct w:val="0"/>
              <w:bidi w:val="0"/>
              <w:snapToGrid w:val="0"/>
              <w:spacing w:line="360" w:lineRule="auto"/>
              <w:ind w:left="0" w:leftChars="0" w:right="0" w:rightChars="0" w:firstLine="0" w:firstLineChars="0"/>
              <w:jc w:val="center"/>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工程完成时间</w:t>
            </w:r>
          </w:p>
        </w:tc>
      </w:tr>
      <w:tr w14:paraId="472E4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514" w:type="dxa"/>
            <w:vAlign w:val="center"/>
          </w:tcPr>
          <w:p w14:paraId="44B54C40">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东实·滨湖苑项目（东莞市厚街镇厚山配售型保障性住房项目）营销中心及样板间软装</w:t>
            </w:r>
          </w:p>
        </w:tc>
        <w:tc>
          <w:tcPr>
            <w:tcW w:w="3239" w:type="dxa"/>
            <w:vAlign w:val="center"/>
          </w:tcPr>
          <w:p w14:paraId="1DEA4954">
            <w:pPr>
              <w:keepNext w:val="0"/>
              <w:keepLines w:val="0"/>
              <w:pageBreakBefore w:val="0"/>
              <w:kinsoku/>
              <w:wordWrap/>
              <w:overflowPunct/>
              <w:topLinePunct w:val="0"/>
              <w:bidi w:val="0"/>
              <w:snapToGrid w:val="0"/>
              <w:spacing w:line="360" w:lineRule="auto"/>
              <w:ind w:left="0" w:leftChars="0" w:right="0" w:rightChars="0"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本项目</w:t>
            </w:r>
            <w:r>
              <w:rPr>
                <w:rFonts w:hint="eastAsia" w:ascii="宋体" w:hAnsi="宋体" w:eastAsia="宋体" w:cs="宋体"/>
                <w:color w:val="auto"/>
                <w:sz w:val="21"/>
                <w:szCs w:val="21"/>
                <w:lang w:eastAsia="zh-CN"/>
              </w:rPr>
              <w:t>软装施工</w:t>
            </w:r>
            <w:r>
              <w:rPr>
                <w:rFonts w:hint="eastAsia" w:ascii="宋体" w:hAnsi="宋体" w:eastAsia="宋体" w:cs="宋体"/>
                <w:color w:val="auto"/>
                <w:sz w:val="21"/>
                <w:szCs w:val="21"/>
                <w:lang w:val="en-US" w:eastAsia="zh-CN"/>
              </w:rPr>
              <w:t>将分</w:t>
            </w:r>
            <w:r>
              <w:rPr>
                <w:rFonts w:hint="eastAsia" w:hAnsi="宋体" w:cs="宋体"/>
                <w:color w:val="auto"/>
                <w:sz w:val="21"/>
                <w:szCs w:val="21"/>
                <w:lang w:val="en-US" w:eastAsia="zh-CN"/>
              </w:rPr>
              <w:t>三</w:t>
            </w:r>
            <w:r>
              <w:rPr>
                <w:rFonts w:hint="eastAsia" w:ascii="宋体" w:hAnsi="宋体" w:eastAsia="宋体" w:cs="宋体"/>
                <w:color w:val="auto"/>
                <w:sz w:val="21"/>
                <w:szCs w:val="21"/>
                <w:lang w:val="en-US" w:eastAsia="zh-CN"/>
              </w:rPr>
              <w:t>批次进场施工，每批次具体开工时间以甲方通知为准。</w:t>
            </w:r>
          </w:p>
        </w:tc>
        <w:tc>
          <w:tcPr>
            <w:tcW w:w="2533" w:type="dxa"/>
            <w:vAlign w:val="center"/>
          </w:tcPr>
          <w:p w14:paraId="71B149E0">
            <w:pPr>
              <w:keepNext w:val="0"/>
              <w:keepLines w:val="0"/>
              <w:pageBreakBefore w:val="0"/>
              <w:kinsoku/>
              <w:wordWrap/>
              <w:overflowPunct/>
              <w:topLinePunct w:val="0"/>
              <w:bidi w:val="0"/>
              <w:snapToGrid w:val="0"/>
              <w:spacing w:line="360" w:lineRule="auto"/>
              <w:ind w:left="0" w:leftChars="0" w:right="0" w:rightChars="0"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单批次</w:t>
            </w:r>
            <w:r>
              <w:rPr>
                <w:rFonts w:hint="eastAsia" w:ascii="宋体" w:hAnsi="宋体" w:eastAsia="宋体" w:cs="宋体"/>
                <w:color w:val="auto"/>
                <w:sz w:val="21"/>
                <w:szCs w:val="21"/>
              </w:rPr>
              <w:t>开工后30天内完成项目</w:t>
            </w:r>
            <w:r>
              <w:rPr>
                <w:rFonts w:hint="eastAsia" w:ascii="宋体" w:hAnsi="宋体" w:eastAsia="宋体" w:cs="宋体"/>
                <w:color w:val="auto"/>
                <w:sz w:val="21"/>
                <w:szCs w:val="21"/>
                <w:lang w:val="en-US" w:eastAsia="zh-CN"/>
              </w:rPr>
              <w:t>该批次</w:t>
            </w:r>
            <w:r>
              <w:rPr>
                <w:rFonts w:hint="eastAsia" w:ascii="宋体" w:hAnsi="宋体" w:eastAsia="宋体" w:cs="宋体"/>
                <w:color w:val="auto"/>
                <w:sz w:val="21"/>
                <w:szCs w:val="21"/>
              </w:rPr>
              <w:t>所有货物采购、安装、调试等相关配套服务工作。</w:t>
            </w:r>
          </w:p>
        </w:tc>
      </w:tr>
    </w:tbl>
    <w:p w14:paraId="091C47D4">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3.2如遇本合同约定的不可抗力情形或甲方原因导致工期延误的，经甲方书面确认后工期顺延。</w:t>
      </w:r>
    </w:p>
    <w:p w14:paraId="36D5AA44">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p>
    <w:p w14:paraId="1E14C619">
      <w:pPr>
        <w:keepNext w:val="0"/>
        <w:keepLines w:val="0"/>
        <w:pageBreakBefore w:val="0"/>
        <w:kinsoku/>
        <w:wordWrap/>
        <w:overflowPunct/>
        <w:topLinePunct w:val="0"/>
        <w:bidi w:val="0"/>
        <w:spacing w:line="360" w:lineRule="auto"/>
        <w:ind w:firstLine="422" w:firstLineChars="200"/>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四、合同价款</w:t>
      </w:r>
    </w:p>
    <w:p w14:paraId="29E53F6F">
      <w:pPr>
        <w:pStyle w:val="28"/>
        <w:keepNext w:val="0"/>
        <w:keepLines w:val="0"/>
        <w:pageBreakBefore w:val="0"/>
        <w:tabs>
          <w:tab w:val="left" w:pos="624"/>
        </w:tabs>
        <w:kinsoku/>
        <w:wordWrap/>
        <w:overflowPunct/>
        <w:topLinePunct w:val="0"/>
        <w:bidi w:val="0"/>
        <w:spacing w:line="360" w:lineRule="auto"/>
        <w:ind w:firstLine="420" w:firstLineChars="200"/>
        <w:textAlignment w:val="auto"/>
        <w:outlineLvl w:val="9"/>
        <w:rPr>
          <w:rFonts w:hint="eastAsia" w:ascii="宋体" w:hAnsi="宋体" w:eastAsia="宋体" w:cs="宋体"/>
          <w:color w:val="auto"/>
          <w:sz w:val="21"/>
          <w:szCs w:val="21"/>
          <w:u w:val="single"/>
        </w:rPr>
      </w:pPr>
      <w:r>
        <w:rPr>
          <w:rFonts w:hint="eastAsia" w:ascii="宋体" w:hAnsi="宋体" w:eastAsia="宋体" w:cs="宋体"/>
          <w:color w:val="auto"/>
          <w:sz w:val="21"/>
          <w:szCs w:val="21"/>
        </w:rPr>
        <w:t>4.1合同含税总金额为¥</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元（大写：人民币：</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 xml:space="preserve">）计收,其中不含税额为¥ </w:t>
      </w:r>
      <w:r>
        <w:rPr>
          <w:rFonts w:hint="eastAsia" w:ascii="宋体" w:hAnsi="宋体" w:eastAsia="宋体" w:cs="宋体"/>
          <w:color w:val="auto"/>
          <w:sz w:val="21"/>
          <w:szCs w:val="21"/>
          <w:u w:val="single"/>
        </w:rPr>
        <w:t xml:space="preserve">            元</w:t>
      </w:r>
      <w:r>
        <w:rPr>
          <w:rFonts w:hint="eastAsia" w:ascii="宋体" w:hAnsi="宋体" w:eastAsia="宋体" w:cs="宋体"/>
          <w:color w:val="auto"/>
          <w:sz w:val="21"/>
          <w:szCs w:val="21"/>
        </w:rPr>
        <w:t>（大写：人民币</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 xml:space="preserve">），增值税金额为¥ </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元（大写：人民币</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），增值税税率为</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 xml:space="preserve"> %，具体费用明细详见附件2《工程量清单》。</w:t>
      </w:r>
    </w:p>
    <w:p w14:paraId="2719A565">
      <w:pPr>
        <w:keepNext w:val="0"/>
        <w:keepLines w:val="0"/>
        <w:pageBreakBefore w:val="0"/>
        <w:widowControl/>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4.2价格包括乙方为完成项目</w:t>
      </w:r>
      <w:r>
        <w:rPr>
          <w:rFonts w:hint="eastAsia" w:hAnsi="宋体" w:cs="宋体"/>
          <w:color w:val="auto"/>
          <w:sz w:val="21"/>
          <w:szCs w:val="21"/>
          <w:lang w:val="en-US" w:eastAsia="zh-CN"/>
        </w:rPr>
        <w:t>图纸及</w:t>
      </w:r>
      <w:r>
        <w:rPr>
          <w:rFonts w:hint="eastAsia" w:ascii="宋体" w:hAnsi="宋体" w:eastAsia="宋体" w:cs="宋体"/>
          <w:color w:val="auto"/>
          <w:sz w:val="21"/>
          <w:szCs w:val="21"/>
        </w:rPr>
        <w:t>工程量清单范围内全部工作所需的一切成本、费用、税金和利润等。包括但不限于以下内容：</w:t>
      </w:r>
    </w:p>
    <w:p w14:paraId="1EAA89EB">
      <w:pPr>
        <w:keepNext w:val="0"/>
        <w:keepLines w:val="0"/>
        <w:pageBreakBefore w:val="0"/>
        <w:numPr>
          <w:ilvl w:val="0"/>
          <w:numId w:val="16"/>
        </w:numPr>
        <w:tabs>
          <w:tab w:val="left" w:pos="420"/>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货物原价。含原材料、标准件、配套件及加工产品整个过程中的一切费用并包括随货物供应的易损件、备品备件、专用工具和应提供的图纸资料等价格在内。</w:t>
      </w:r>
    </w:p>
    <w:p w14:paraId="25D87D7A">
      <w:pPr>
        <w:keepNext w:val="0"/>
        <w:keepLines w:val="0"/>
        <w:pageBreakBefore w:val="0"/>
        <w:numPr>
          <w:ilvl w:val="0"/>
          <w:numId w:val="16"/>
        </w:numPr>
        <w:tabs>
          <w:tab w:val="left" w:pos="420"/>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包装费、运输费、装卸费、安装费、材料供销部门手续费、材料验收之前的保险费、服务费和各种税费（含从国外进口到境内货物应付的关税、增值税、保险费、清关费等），其中运输费系指由乙方将货物运至交货地点发生的所有运输费用。</w:t>
      </w:r>
    </w:p>
    <w:p w14:paraId="48AF11BB">
      <w:pPr>
        <w:keepNext w:val="0"/>
        <w:keepLines w:val="0"/>
        <w:pageBreakBefore w:val="0"/>
        <w:numPr>
          <w:ilvl w:val="0"/>
          <w:numId w:val="16"/>
        </w:numPr>
        <w:tabs>
          <w:tab w:val="left" w:pos="420"/>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乙方在提前得到甲方允许并保证原软装设计方案整体效果的前提下，可进行局部软装方案优化调整，并承担所涉及的一切费用，同时确保装修品质、效果、工料规范等要求均完全满足甲方要求并达到各方面满意程度。</w:t>
      </w:r>
    </w:p>
    <w:p w14:paraId="191AF916">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bCs/>
          <w:color w:val="auto"/>
          <w:sz w:val="21"/>
          <w:szCs w:val="21"/>
        </w:rPr>
      </w:pPr>
      <w:r>
        <w:rPr>
          <w:rFonts w:hint="eastAsia" w:ascii="宋体" w:hAnsi="宋体" w:eastAsia="宋体" w:cs="宋体"/>
          <w:bCs/>
          <w:color w:val="auto"/>
          <w:sz w:val="21"/>
          <w:szCs w:val="21"/>
        </w:rPr>
        <w:t>4.3甲方可根据实际需要</w:t>
      </w:r>
      <w:r>
        <w:rPr>
          <w:rFonts w:hint="eastAsia" w:ascii="宋体" w:hAnsi="宋体" w:eastAsia="宋体" w:cs="宋体"/>
          <w:bCs/>
          <w:color w:val="auto"/>
          <w:sz w:val="21"/>
          <w:szCs w:val="21"/>
          <w:u w:val="single"/>
        </w:rPr>
        <w:t>对软装设计方案</w:t>
      </w:r>
      <w:r>
        <w:rPr>
          <w:rFonts w:hint="eastAsia" w:ascii="宋体" w:hAnsi="宋体" w:eastAsia="宋体" w:cs="宋体"/>
          <w:bCs/>
          <w:color w:val="auto"/>
          <w:sz w:val="21"/>
          <w:szCs w:val="21"/>
        </w:rPr>
        <w:t>进行调整，应甲方要求导致软装增加、减少或变更而引起合同价款的调整，将按合同对应清单进行核增或核减，核增金额不超过合同价5%（含本数）的部分不予调整，核减金额按实际结算金额进行调整。</w:t>
      </w:r>
    </w:p>
    <w:p w14:paraId="17D56EF1">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bCs/>
          <w:color w:val="auto"/>
          <w:sz w:val="21"/>
          <w:szCs w:val="21"/>
        </w:rPr>
      </w:pPr>
    </w:p>
    <w:p w14:paraId="7AA0FD61">
      <w:pPr>
        <w:keepNext w:val="0"/>
        <w:keepLines w:val="0"/>
        <w:pageBreakBefore w:val="0"/>
        <w:kinsoku/>
        <w:wordWrap/>
        <w:overflowPunct/>
        <w:topLinePunct w:val="0"/>
        <w:bidi w:val="0"/>
        <w:spacing w:line="360" w:lineRule="auto"/>
        <w:ind w:firstLine="422" w:firstLineChars="200"/>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五、付款方式</w:t>
      </w:r>
    </w:p>
    <w:p w14:paraId="6735F065">
      <w:pPr>
        <w:keepNext w:val="0"/>
        <w:keepLines w:val="0"/>
        <w:pageBreakBefore w:val="0"/>
        <w:tabs>
          <w:tab w:val="left" w:pos="420"/>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5.1 合同签订后，乙方向甲方提供合法等额的增值税专用发票和其他请款资料经甲方确认无误10个工作日内，甲方向乙方支付合同总价款的</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0%作为预付款。</w:t>
      </w:r>
    </w:p>
    <w:p w14:paraId="60D0191A">
      <w:pPr>
        <w:keepNext w:val="0"/>
        <w:keepLines w:val="0"/>
        <w:pageBreakBefore w:val="0"/>
        <w:tabs>
          <w:tab w:val="left" w:pos="420"/>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5.2 </w:t>
      </w:r>
      <w:r>
        <w:rPr>
          <w:rFonts w:hint="eastAsia" w:ascii="宋体"/>
          <w:sz w:val="21"/>
          <w:szCs w:val="21"/>
          <w:highlight w:val="none"/>
        </w:rPr>
        <w:t>软装到货至甲方指定地点，经甲方确认后</w:t>
      </w:r>
      <w:r>
        <w:rPr>
          <w:rFonts w:hint="eastAsia" w:ascii="宋体"/>
          <w:sz w:val="21"/>
          <w:szCs w:val="21"/>
          <w:highlight w:val="none"/>
          <w:lang w:eastAsia="zh-CN"/>
        </w:rPr>
        <w:t>，</w:t>
      </w:r>
      <w:r>
        <w:rPr>
          <w:rFonts w:hint="eastAsia" w:ascii="宋体" w:hAnsi="宋体"/>
          <w:sz w:val="21"/>
          <w:szCs w:val="21"/>
          <w:highlight w:val="none"/>
        </w:rPr>
        <w:t>乙方向甲方提供合法等额的增值税专用发票和其他请款资料经甲方确认无误1</w:t>
      </w:r>
      <w:r>
        <w:rPr>
          <w:rFonts w:ascii="宋体" w:hAnsi="宋体"/>
          <w:sz w:val="21"/>
          <w:szCs w:val="21"/>
          <w:highlight w:val="none"/>
        </w:rPr>
        <w:t>0</w:t>
      </w:r>
      <w:r>
        <w:rPr>
          <w:rFonts w:hint="eastAsia" w:ascii="宋体" w:hAnsi="宋体"/>
          <w:sz w:val="21"/>
          <w:szCs w:val="21"/>
          <w:highlight w:val="none"/>
        </w:rPr>
        <w:t>个工作日内，甲方向乙方支付至</w:t>
      </w:r>
      <w:r>
        <w:rPr>
          <w:rFonts w:hint="eastAsia" w:hAnsi="宋体"/>
          <w:sz w:val="21"/>
          <w:szCs w:val="21"/>
          <w:highlight w:val="none"/>
          <w:lang w:val="en-US" w:eastAsia="zh-CN"/>
        </w:rPr>
        <w:t>已到货工程量价款</w:t>
      </w:r>
      <w:r>
        <w:rPr>
          <w:rFonts w:hint="eastAsia" w:ascii="宋体" w:hAnsi="宋体"/>
          <w:sz w:val="21"/>
          <w:szCs w:val="21"/>
          <w:highlight w:val="none"/>
        </w:rPr>
        <w:t>的</w:t>
      </w:r>
      <w:r>
        <w:rPr>
          <w:rFonts w:hint="eastAsia" w:ascii="宋体" w:hAnsi="宋体"/>
          <w:sz w:val="21"/>
          <w:szCs w:val="21"/>
          <w:highlight w:val="none"/>
          <w:lang w:val="en-US" w:eastAsia="zh-CN"/>
        </w:rPr>
        <w:t>50</w:t>
      </w:r>
      <w:r>
        <w:rPr>
          <w:rFonts w:hint="eastAsia" w:ascii="宋体" w:hAnsi="宋体"/>
          <w:sz w:val="21"/>
          <w:szCs w:val="21"/>
          <w:highlight w:val="none"/>
        </w:rPr>
        <w:t>%。</w:t>
      </w:r>
    </w:p>
    <w:p w14:paraId="720F1AF8">
      <w:pPr>
        <w:keepNext w:val="0"/>
        <w:keepLines w:val="0"/>
        <w:pageBreakBefore w:val="0"/>
        <w:tabs>
          <w:tab w:val="left" w:pos="420"/>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5.</w:t>
      </w:r>
      <w:r>
        <w:rPr>
          <w:rFonts w:hint="eastAsia" w:hAnsi="宋体" w:cs="宋体"/>
          <w:color w:val="auto"/>
          <w:sz w:val="21"/>
          <w:szCs w:val="21"/>
          <w:lang w:val="en-US" w:eastAsia="zh-CN"/>
        </w:rPr>
        <w:t>3</w:t>
      </w:r>
      <w:r>
        <w:rPr>
          <w:rFonts w:hint="eastAsia" w:ascii="宋体" w:hAnsi="宋体" w:eastAsia="宋体" w:cs="宋体"/>
          <w:color w:val="auto"/>
          <w:sz w:val="21"/>
          <w:szCs w:val="21"/>
        </w:rPr>
        <w:t xml:space="preserve"> </w:t>
      </w:r>
      <w:r>
        <w:rPr>
          <w:rFonts w:hint="eastAsia" w:ascii="宋体" w:hAnsi="宋体"/>
          <w:sz w:val="21"/>
          <w:szCs w:val="21"/>
          <w:highlight w:val="none"/>
        </w:rPr>
        <w:t>项目完成摆场并经甲方验收合格后</w:t>
      </w:r>
      <w:r>
        <w:rPr>
          <w:rFonts w:hint="eastAsia" w:ascii="宋体" w:hAnsi="宋体" w:eastAsia="宋体" w:cs="宋体"/>
          <w:color w:val="auto"/>
          <w:sz w:val="21"/>
          <w:szCs w:val="21"/>
        </w:rPr>
        <w:t>，乙方向甲方提供合法等额的增值税专用发票和其他请款资料经甲方确认无误10个工作日内，甲方向乙方支付至</w:t>
      </w:r>
      <w:r>
        <w:rPr>
          <w:rFonts w:hint="eastAsia" w:hAnsi="宋体" w:cs="宋体"/>
          <w:color w:val="auto"/>
          <w:sz w:val="21"/>
          <w:szCs w:val="21"/>
          <w:lang w:val="en-US" w:eastAsia="zh-CN"/>
        </w:rPr>
        <w:t>已验收合格工程量价款</w:t>
      </w:r>
      <w:r>
        <w:rPr>
          <w:rFonts w:hint="eastAsia" w:ascii="宋体" w:hAnsi="宋体" w:eastAsia="宋体" w:cs="宋体"/>
          <w:color w:val="auto"/>
          <w:sz w:val="21"/>
          <w:szCs w:val="21"/>
        </w:rPr>
        <w:t>的85%。</w:t>
      </w:r>
    </w:p>
    <w:p w14:paraId="30BEAE2B">
      <w:pPr>
        <w:keepNext w:val="0"/>
        <w:keepLines w:val="0"/>
        <w:pageBreakBefore w:val="0"/>
        <w:tabs>
          <w:tab w:val="left" w:pos="420"/>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5.</w:t>
      </w:r>
      <w:r>
        <w:rPr>
          <w:rFonts w:hint="eastAsia" w:hAnsi="宋体" w:cs="宋体"/>
          <w:color w:val="auto"/>
          <w:sz w:val="21"/>
          <w:szCs w:val="21"/>
          <w:lang w:val="en-US" w:eastAsia="zh-CN"/>
        </w:rPr>
        <w:t>4</w:t>
      </w:r>
      <w:r>
        <w:rPr>
          <w:rFonts w:hint="eastAsia" w:ascii="宋体" w:hAnsi="宋体" w:eastAsia="宋体" w:cs="宋体"/>
          <w:color w:val="auto"/>
          <w:sz w:val="21"/>
          <w:szCs w:val="21"/>
        </w:rPr>
        <w:t xml:space="preserve"> </w:t>
      </w:r>
      <w:r>
        <w:rPr>
          <w:rFonts w:hint="eastAsia" w:ascii="宋体" w:hAnsi="宋体"/>
          <w:sz w:val="21"/>
          <w:szCs w:val="21"/>
          <w:highlight w:val="none"/>
        </w:rPr>
        <w:t>双方办理结算后</w:t>
      </w:r>
      <w:r>
        <w:rPr>
          <w:rFonts w:hint="eastAsia" w:ascii="宋体" w:hAnsi="宋体" w:eastAsia="宋体" w:cs="宋体"/>
          <w:color w:val="auto"/>
          <w:sz w:val="21"/>
          <w:szCs w:val="21"/>
        </w:rPr>
        <w:t>，乙方向甲方提供合法等额的增值税专用发票和其他请款资料经甲方确认无误10个工作日内，甲方向乙方支付至结算总价款的97%</w:t>
      </w:r>
      <w:r>
        <w:rPr>
          <w:rFonts w:hint="eastAsia" w:ascii="宋体" w:hAnsi="宋体" w:eastAsia="宋体" w:cs="宋体"/>
          <w:color w:val="auto"/>
          <w:sz w:val="21"/>
          <w:szCs w:val="21"/>
          <w:lang w:eastAsia="zh-CN"/>
        </w:rPr>
        <w:t>。</w:t>
      </w:r>
    </w:p>
    <w:p w14:paraId="72448DB7">
      <w:pPr>
        <w:keepNext w:val="0"/>
        <w:keepLines w:val="0"/>
        <w:pageBreakBefore w:val="0"/>
        <w:tabs>
          <w:tab w:val="left" w:pos="420"/>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5.</w:t>
      </w:r>
      <w:r>
        <w:rPr>
          <w:rFonts w:hint="eastAsia" w:hAnsi="宋体" w:cs="宋体"/>
          <w:color w:val="auto"/>
          <w:sz w:val="21"/>
          <w:szCs w:val="21"/>
          <w:lang w:val="en-US" w:eastAsia="zh-CN"/>
        </w:rPr>
        <w:t>5</w:t>
      </w:r>
      <w:r>
        <w:rPr>
          <w:rFonts w:hint="eastAsia" w:ascii="宋体" w:hAnsi="宋体" w:eastAsia="宋体" w:cs="宋体"/>
          <w:color w:val="auto"/>
          <w:sz w:val="21"/>
          <w:szCs w:val="21"/>
        </w:rPr>
        <w:t xml:space="preserve"> 剩余结算总价款的3%作为质量保证金，项目质保期满（保修期两年，从验收合格之日起计算）后，乙方向甲方提供相应的请款资料，甲方收到并核对无误后10个工作日内将扣罚后剩余的质量保证金一次性无息付清。</w:t>
      </w:r>
    </w:p>
    <w:p w14:paraId="5E2DE1DE">
      <w:pPr>
        <w:keepNext w:val="0"/>
        <w:keepLines w:val="0"/>
        <w:pageBreakBefore w:val="0"/>
        <w:tabs>
          <w:tab w:val="left" w:pos="420"/>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5.</w:t>
      </w:r>
      <w:r>
        <w:rPr>
          <w:rFonts w:hint="eastAsia" w:hAnsi="宋体" w:cs="宋体"/>
          <w:color w:val="auto"/>
          <w:sz w:val="21"/>
          <w:szCs w:val="21"/>
          <w:lang w:val="en-US" w:eastAsia="zh-CN"/>
        </w:rPr>
        <w:t>6</w:t>
      </w:r>
      <w:r>
        <w:rPr>
          <w:rFonts w:hint="eastAsia" w:ascii="宋体" w:hAnsi="宋体" w:eastAsia="宋体" w:cs="宋体"/>
          <w:color w:val="auto"/>
          <w:sz w:val="21"/>
          <w:szCs w:val="21"/>
        </w:rPr>
        <w:t xml:space="preserve"> 乙方提交的增值税专用发票须备注栏写明项目名称、合同名称及项目地址。按照现行税收政策规定，每次付款前，</w:t>
      </w:r>
      <w:r>
        <w:rPr>
          <w:rFonts w:hint="eastAsia" w:ascii="宋体" w:hAnsi="宋体" w:eastAsia="宋体" w:cs="宋体"/>
          <w:color w:val="auto"/>
          <w:sz w:val="21"/>
          <w:szCs w:val="21"/>
          <w:lang w:eastAsia="zh-CN"/>
        </w:rPr>
        <w:t>乙方</w:t>
      </w:r>
      <w:r>
        <w:rPr>
          <w:rFonts w:hint="eastAsia" w:ascii="宋体" w:hAnsi="宋体" w:eastAsia="宋体" w:cs="宋体"/>
          <w:color w:val="auto"/>
          <w:sz w:val="21"/>
          <w:szCs w:val="21"/>
        </w:rPr>
        <w:t>必须提供合法、有效、与本合同总价款条款中增值税税率一致的增值税专用发票给</w:t>
      </w:r>
      <w:r>
        <w:rPr>
          <w:rFonts w:hint="eastAsia" w:ascii="宋体" w:hAnsi="宋体" w:eastAsia="宋体" w:cs="宋体"/>
          <w:color w:val="auto"/>
          <w:sz w:val="21"/>
          <w:szCs w:val="21"/>
          <w:lang w:eastAsia="zh-CN"/>
        </w:rPr>
        <w:t>甲方</w:t>
      </w:r>
      <w:r>
        <w:rPr>
          <w:rFonts w:hint="eastAsia" w:ascii="宋体" w:hAnsi="宋体" w:eastAsia="宋体" w:cs="宋体"/>
          <w:color w:val="auto"/>
          <w:sz w:val="21"/>
          <w:szCs w:val="21"/>
        </w:rPr>
        <w:t>，否则</w:t>
      </w:r>
      <w:r>
        <w:rPr>
          <w:rFonts w:hint="eastAsia" w:ascii="宋体" w:hAnsi="宋体" w:eastAsia="宋体" w:cs="宋体"/>
          <w:color w:val="auto"/>
          <w:sz w:val="21"/>
          <w:szCs w:val="21"/>
          <w:lang w:eastAsia="zh-CN"/>
        </w:rPr>
        <w:t>甲方</w:t>
      </w:r>
      <w:r>
        <w:rPr>
          <w:rFonts w:hint="eastAsia" w:ascii="宋体" w:hAnsi="宋体" w:eastAsia="宋体" w:cs="宋体"/>
          <w:color w:val="auto"/>
          <w:sz w:val="21"/>
          <w:szCs w:val="21"/>
        </w:rPr>
        <w:t>有权拒绝付款且不构成违约；在</w:t>
      </w:r>
      <w:r>
        <w:rPr>
          <w:rFonts w:hint="eastAsia" w:ascii="宋体" w:hAnsi="宋体" w:eastAsia="宋体" w:cs="宋体"/>
          <w:color w:val="auto"/>
          <w:sz w:val="21"/>
          <w:szCs w:val="21"/>
          <w:lang w:eastAsia="zh-CN"/>
        </w:rPr>
        <w:t>甲方</w:t>
      </w:r>
      <w:r>
        <w:rPr>
          <w:rFonts w:hint="eastAsia" w:ascii="宋体" w:hAnsi="宋体" w:eastAsia="宋体" w:cs="宋体"/>
          <w:color w:val="auto"/>
          <w:sz w:val="21"/>
          <w:szCs w:val="21"/>
        </w:rPr>
        <w:t>除支付质保金（若有）外的最后一期款项前，</w:t>
      </w:r>
      <w:r>
        <w:rPr>
          <w:rFonts w:hint="eastAsia" w:ascii="宋体" w:hAnsi="宋体" w:eastAsia="宋体" w:cs="宋体"/>
          <w:color w:val="auto"/>
          <w:sz w:val="21"/>
          <w:szCs w:val="21"/>
          <w:lang w:eastAsia="zh-CN"/>
        </w:rPr>
        <w:t>乙方</w:t>
      </w:r>
      <w:r>
        <w:rPr>
          <w:rFonts w:hint="eastAsia" w:ascii="宋体" w:hAnsi="宋体" w:eastAsia="宋体" w:cs="宋体"/>
          <w:color w:val="auto"/>
          <w:sz w:val="21"/>
          <w:szCs w:val="21"/>
        </w:rPr>
        <w:t>须连同当期支付款项发票和质保金（若有）发票一并提交给</w:t>
      </w:r>
      <w:r>
        <w:rPr>
          <w:rFonts w:hint="eastAsia" w:ascii="宋体" w:hAnsi="宋体" w:eastAsia="宋体" w:cs="宋体"/>
          <w:color w:val="auto"/>
          <w:sz w:val="21"/>
          <w:szCs w:val="21"/>
          <w:lang w:eastAsia="zh-CN"/>
        </w:rPr>
        <w:t>甲方</w:t>
      </w:r>
      <w:r>
        <w:rPr>
          <w:rFonts w:hint="eastAsia" w:ascii="宋体" w:hAnsi="宋体" w:eastAsia="宋体" w:cs="宋体"/>
          <w:color w:val="auto"/>
          <w:sz w:val="21"/>
          <w:szCs w:val="21"/>
        </w:rPr>
        <w:t>；若后期出现质保问题，按照质保责任和条款，部分或全部扣除质保金（若有）的，不退还相应金额的发票。若合同执行期间，遇国家税务政策调整所引起的合同价格变化，按照不含税价格调整结算价格。</w:t>
      </w:r>
    </w:p>
    <w:p w14:paraId="56B8CC15">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5.</w:t>
      </w:r>
      <w:r>
        <w:rPr>
          <w:rFonts w:hint="eastAsia" w:hAnsi="宋体" w:cs="宋体"/>
          <w:color w:val="auto"/>
          <w:sz w:val="21"/>
          <w:szCs w:val="21"/>
          <w:lang w:val="en-US" w:eastAsia="zh-CN"/>
        </w:rPr>
        <w:t xml:space="preserve">7 </w:t>
      </w:r>
      <w:r>
        <w:rPr>
          <w:rFonts w:hint="eastAsia" w:ascii="宋体" w:hAnsi="宋体" w:eastAsia="宋体" w:cs="宋体"/>
          <w:color w:val="auto"/>
          <w:sz w:val="21"/>
          <w:szCs w:val="21"/>
        </w:rPr>
        <w:t>乙方收款账户信息如下：</w:t>
      </w:r>
    </w:p>
    <w:p w14:paraId="1EBA9CDE">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户  名：</w:t>
      </w:r>
    </w:p>
    <w:p w14:paraId="1FE6CC54">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账  号： </w:t>
      </w:r>
    </w:p>
    <w:p w14:paraId="2FC6A863">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开户行： </w:t>
      </w:r>
    </w:p>
    <w:p w14:paraId="4A2037E6">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纳税人识别号： </w:t>
      </w:r>
    </w:p>
    <w:p w14:paraId="2041B9CD">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税务登记地址： </w:t>
      </w:r>
    </w:p>
    <w:p w14:paraId="26DE8902">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shd w:val="clear" w:color="auto" w:fill="FFFFFF"/>
        </w:rPr>
      </w:pPr>
      <w:r>
        <w:rPr>
          <w:rFonts w:hint="eastAsia" w:ascii="宋体" w:hAnsi="宋体" w:eastAsia="宋体" w:cs="宋体"/>
          <w:color w:val="auto"/>
          <w:sz w:val="21"/>
          <w:szCs w:val="21"/>
        </w:rPr>
        <w:t>开户行行号：</w:t>
      </w:r>
      <w:r>
        <w:rPr>
          <w:rFonts w:hint="eastAsia" w:ascii="宋体" w:hAnsi="宋体" w:eastAsia="宋体" w:cs="宋体"/>
          <w:color w:val="auto"/>
          <w:sz w:val="21"/>
          <w:szCs w:val="21"/>
          <w:shd w:val="clear" w:color="auto" w:fill="FFFFFF"/>
        </w:rPr>
        <w:t xml:space="preserve"> </w:t>
      </w:r>
    </w:p>
    <w:p w14:paraId="345CFFEA">
      <w:pPr>
        <w:keepNext w:val="0"/>
        <w:keepLines w:val="0"/>
        <w:pageBreakBefore w:val="0"/>
        <w:tabs>
          <w:tab w:val="left" w:pos="720"/>
        </w:tabs>
        <w:kinsoku/>
        <w:wordWrap/>
        <w:overflowPunct/>
        <w:topLinePunct w:val="0"/>
        <w:bidi w:val="0"/>
        <w:spacing w:line="360" w:lineRule="auto"/>
        <w:textAlignment w:val="auto"/>
        <w:rPr>
          <w:rFonts w:hint="eastAsia" w:ascii="宋体" w:hAnsi="宋体" w:eastAsia="宋体" w:cs="宋体"/>
          <w:b/>
          <w:color w:val="auto"/>
          <w:sz w:val="21"/>
          <w:szCs w:val="21"/>
        </w:rPr>
      </w:pPr>
    </w:p>
    <w:p w14:paraId="162B3755">
      <w:pPr>
        <w:keepNext w:val="0"/>
        <w:keepLines w:val="0"/>
        <w:pageBreakBefore w:val="0"/>
        <w:tabs>
          <w:tab w:val="left" w:pos="720"/>
        </w:tabs>
        <w:kinsoku/>
        <w:wordWrap/>
        <w:overflowPunct/>
        <w:topLinePunct w:val="0"/>
        <w:bidi w:val="0"/>
        <w:spacing w:line="360" w:lineRule="auto"/>
        <w:ind w:firstLine="422" w:firstLineChars="200"/>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六、双方权利和义务</w:t>
      </w:r>
    </w:p>
    <w:p w14:paraId="71B75594">
      <w:pPr>
        <w:tabs>
          <w:tab w:val="left" w:pos="624"/>
        </w:tabs>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6.1甲方权利和义务：</w:t>
      </w:r>
    </w:p>
    <w:p w14:paraId="42232612">
      <w:pPr>
        <w:keepNext w:val="0"/>
        <w:keepLines w:val="0"/>
        <w:pageBreakBefore w:val="0"/>
        <w:tabs>
          <w:tab w:val="left" w:pos="624"/>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6.1.1提供施工现场及工作面，现场协调等工作。</w:t>
      </w:r>
    </w:p>
    <w:p w14:paraId="49E79053">
      <w:pPr>
        <w:keepNext w:val="0"/>
        <w:keepLines w:val="0"/>
        <w:pageBreakBefore w:val="0"/>
        <w:tabs>
          <w:tab w:val="left" w:pos="624"/>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6.1.2甲方现场代表负责协调有关工作，负责项目的进展及监控，组织甲、乙及有关各方参加的项目会议，及时提出施工过程中的整改意见。</w:t>
      </w:r>
    </w:p>
    <w:p w14:paraId="2FBE9D6C">
      <w:pPr>
        <w:keepNext w:val="0"/>
        <w:keepLines w:val="0"/>
        <w:pageBreakBefore w:val="0"/>
        <w:tabs>
          <w:tab w:val="left" w:pos="624"/>
        </w:tabs>
        <w:kinsoku/>
        <w:wordWrap/>
        <w:overflowPunct/>
        <w:topLinePunct w:val="0"/>
        <w:bidi w:val="0"/>
        <w:spacing w:line="360" w:lineRule="auto"/>
        <w:ind w:left="284" w:firstLine="210" w:firstLineChars="1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6.1.3负责对实际工程量进行核实认定，并按照合同规定办理验收、付款和结算。</w:t>
      </w:r>
    </w:p>
    <w:p w14:paraId="0DC0730E">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6.1.4甲方有义务对相关配套安装项目提供便利条件，承担质量监督义务并提出建议。</w:t>
      </w:r>
    </w:p>
    <w:p w14:paraId="547783CB">
      <w:pPr>
        <w:keepNext w:val="0"/>
        <w:keepLines w:val="0"/>
        <w:pageBreakBefore w:val="0"/>
        <w:tabs>
          <w:tab w:val="left" w:pos="624"/>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6.1.5甲方有权对施工工作面进行调整以及施工人力的调度，乙方不得无理由推卸或不服从现场管理人员的管理安排。</w:t>
      </w:r>
    </w:p>
    <w:p w14:paraId="76699029">
      <w:pPr>
        <w:keepNext w:val="0"/>
        <w:keepLines w:val="0"/>
        <w:pageBreakBefore w:val="0"/>
        <w:tabs>
          <w:tab w:val="left" w:pos="624"/>
        </w:tabs>
        <w:kinsoku/>
        <w:overflowPunct/>
        <w:topLinePunct w:val="0"/>
        <w:bidi w:val="0"/>
        <w:spacing w:line="360" w:lineRule="auto"/>
        <w:ind w:left="0"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6.2乙方权利和义务</w:t>
      </w:r>
    </w:p>
    <w:p w14:paraId="6160916B">
      <w:pPr>
        <w:keepNext w:val="0"/>
        <w:keepLines w:val="0"/>
        <w:pageBreakBefore w:val="0"/>
        <w:tabs>
          <w:tab w:val="left" w:pos="624"/>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6.2.1按照甲方确认的采购清单在合同工期内组织定制加工和采购，乙方应保证材料的订货周期符合要求，价格符合成本要求，实际效果符合甲方要求。</w:t>
      </w:r>
    </w:p>
    <w:p w14:paraId="4F8027ED">
      <w:pPr>
        <w:keepNext w:val="0"/>
        <w:keepLines w:val="0"/>
        <w:pageBreakBefore w:val="0"/>
        <w:tabs>
          <w:tab w:val="left" w:pos="624"/>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6.2.2负责所有材料采购、供应和保管，保证采购的材料、型号、产品规范、产地、颜色及质量等达到甲方要求。</w:t>
      </w:r>
    </w:p>
    <w:p w14:paraId="382C551C">
      <w:pPr>
        <w:keepNext w:val="0"/>
        <w:keepLines w:val="0"/>
        <w:pageBreakBefore w:val="0"/>
        <w:tabs>
          <w:tab w:val="left" w:pos="624"/>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6.2.3乙方提供软装配饰物品清单报价和资料；乙方必须凭甲方签字认可的图样进行加工，未经甲方书面确认造成的返工及因此而增加的造价由乙方自行承担。</w:t>
      </w:r>
    </w:p>
    <w:p w14:paraId="41DA7313">
      <w:pPr>
        <w:keepNext w:val="0"/>
        <w:keepLines w:val="0"/>
        <w:pageBreakBefore w:val="0"/>
        <w:tabs>
          <w:tab w:val="left" w:pos="624"/>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6.2.4对所有与项目有关人员进行安全教育，采取防患措施，确保施工安全和第三者安全，施工中因乙方的原因而产生的一切安全事故均由乙方承担责任，发生安全事故后应立即通知甲方现场代表并按规定上报主管单位备案。如甲方因此承担赔偿责任的，有权向乙方追偿，追偿范围包括但不限于甲方损失及维权成本等。</w:t>
      </w:r>
    </w:p>
    <w:p w14:paraId="0F21D12E">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6.2.5乙方派驻现场代表：</w:t>
      </w:r>
      <w:r>
        <w:rPr>
          <w:rFonts w:hint="eastAsia" w:ascii="宋体" w:hAnsi="宋体" w:eastAsia="宋体" w:cs="宋体"/>
          <w:color w:val="auto"/>
          <w:sz w:val="21"/>
          <w:szCs w:val="21"/>
          <w:u w:val="single"/>
        </w:rPr>
        <w:t>姓名：        ，手机：              ；</w:t>
      </w:r>
      <w:r>
        <w:rPr>
          <w:rFonts w:hint="eastAsia" w:ascii="宋体" w:hAnsi="宋体" w:eastAsia="宋体" w:cs="宋体"/>
          <w:color w:val="auto"/>
          <w:sz w:val="21"/>
          <w:szCs w:val="21"/>
        </w:rPr>
        <w:t>乙方派驻现场的代表不允许更换，并必须全面承担合同中规定的责任。在现场软装摆设调整施工前，乙方需提供和安排符合甲方要求的人员表（包括采购员和技术员、现场施工人数等，详见附件</w:t>
      </w:r>
      <w:r>
        <w:rPr>
          <w:rFonts w:hint="eastAsia" w:ascii="宋体" w:hAnsi="宋体" w:eastAsia="宋体" w:cs="宋体"/>
          <w:color w:val="auto"/>
          <w:sz w:val="21"/>
          <w:szCs w:val="21"/>
          <w:shd w:val="clear" w:color="auto" w:fill="FFFFFF"/>
        </w:rPr>
        <w:t>3：服务团队人员一览表</w:t>
      </w:r>
      <w:r>
        <w:rPr>
          <w:rFonts w:hint="eastAsia" w:ascii="宋体" w:hAnsi="宋体" w:eastAsia="宋体" w:cs="宋体"/>
          <w:color w:val="auto"/>
          <w:sz w:val="21"/>
          <w:szCs w:val="21"/>
        </w:rPr>
        <w:t>）。</w:t>
      </w:r>
    </w:p>
    <w:p w14:paraId="22F737BD">
      <w:pPr>
        <w:keepNext w:val="0"/>
        <w:keepLines w:val="0"/>
        <w:pageBreakBefore w:val="0"/>
        <w:tabs>
          <w:tab w:val="left" w:pos="624"/>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6.2.6做好防火保护工作，完成任何工作后须清理现场，清扫移去包装物品等垃圾，乙方在工作过程中，若发生漏水、失火、失窃及其他安全事故给甲方造成损失的，乙方需赔偿甲方所遭受的全部损失。施工现场不得生火、住人，乙方应自行解决施工人员住宿。</w:t>
      </w:r>
    </w:p>
    <w:p w14:paraId="79BDF9D6">
      <w:pPr>
        <w:keepNext w:val="0"/>
        <w:keepLines w:val="0"/>
        <w:pageBreakBefore w:val="0"/>
        <w:tabs>
          <w:tab w:val="left" w:pos="624"/>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6.2.7乙方应确保安全施工，若因乙方不当施工导致甲方财产、第三方人身或财产损失的，乙方应负责赔偿。如甲方因此承担赔偿责任的，有权向乙方追偿，追偿范围包括但不限于甲方损失及维权成本等。</w:t>
      </w:r>
    </w:p>
    <w:p w14:paraId="2A6A9B08">
      <w:pPr>
        <w:keepNext w:val="0"/>
        <w:keepLines w:val="0"/>
        <w:pageBreakBefore w:val="0"/>
        <w:tabs>
          <w:tab w:val="left" w:pos="624"/>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6.2.8已完工项目未交付甲方之前，负责已完工的成品保护工作，期间发生损坏，乙方承担修复或更换工作以及因此而造成的费用增加。</w:t>
      </w:r>
    </w:p>
    <w:p w14:paraId="2EB0F742">
      <w:pPr>
        <w:keepNext w:val="0"/>
        <w:keepLines w:val="0"/>
        <w:pageBreakBefore w:val="0"/>
        <w:tabs>
          <w:tab w:val="left" w:pos="624"/>
        </w:tabs>
        <w:kinsoku/>
        <w:overflowPunct/>
        <w:topLinePunct w:val="0"/>
        <w:bidi w:val="0"/>
        <w:spacing w:line="360" w:lineRule="auto"/>
        <w:ind w:left="0" w:leftChars="0"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6.2.9施工中须对</w:t>
      </w:r>
      <w:r>
        <w:rPr>
          <w:rFonts w:hint="eastAsia" w:ascii="宋体" w:hAnsi="宋体" w:eastAsia="宋体" w:cs="宋体"/>
          <w:color w:val="auto"/>
          <w:sz w:val="21"/>
          <w:szCs w:val="21"/>
          <w:lang w:val="en-US" w:eastAsia="zh-CN"/>
        </w:rPr>
        <w:t>销售中心、样板房</w:t>
      </w:r>
      <w:r>
        <w:rPr>
          <w:rFonts w:hint="eastAsia" w:ascii="宋体" w:hAnsi="宋体" w:eastAsia="宋体" w:cs="宋体"/>
          <w:color w:val="auto"/>
          <w:sz w:val="21"/>
          <w:szCs w:val="21"/>
        </w:rPr>
        <w:t>原有的材料设备进行保护，避免损坏并严格执行甲方的现场管理和监督。</w:t>
      </w:r>
    </w:p>
    <w:p w14:paraId="407C29DC">
      <w:pPr>
        <w:keepNext w:val="0"/>
        <w:keepLines w:val="0"/>
        <w:pageBreakBefore w:val="0"/>
        <w:tabs>
          <w:tab w:val="left" w:pos="624"/>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6.2.10施工过程中乙方有对所有施工相关项目的配合义务，乙方必须有专业的施工工程师常驻现场，有专业的布局及安装人员对所施工项目进行专业安装及铺设。</w:t>
      </w:r>
    </w:p>
    <w:p w14:paraId="2904036E">
      <w:pPr>
        <w:keepNext w:val="0"/>
        <w:keepLines w:val="0"/>
        <w:pageBreakBefore w:val="0"/>
        <w:tabs>
          <w:tab w:val="left" w:pos="624"/>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6.2.11在软装摆场结束后，为保证软装效果，甲方可视</w:t>
      </w:r>
      <w:r>
        <w:rPr>
          <w:rFonts w:hint="eastAsia" w:ascii="宋体" w:hAnsi="宋体" w:eastAsia="宋体" w:cs="宋体"/>
          <w:color w:val="auto"/>
          <w:sz w:val="21"/>
          <w:szCs w:val="21"/>
          <w:lang w:val="en-US" w:eastAsia="zh-CN"/>
        </w:rPr>
        <w:t>销售中心</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样板房</w:t>
      </w:r>
      <w:r>
        <w:rPr>
          <w:rFonts w:hint="eastAsia" w:ascii="宋体" w:hAnsi="宋体" w:eastAsia="宋体" w:cs="宋体"/>
          <w:color w:val="auto"/>
          <w:sz w:val="21"/>
          <w:szCs w:val="21"/>
        </w:rPr>
        <w:t>整体效果的需要，对饰品部分进行调整，</w:t>
      </w:r>
      <w:r>
        <w:rPr>
          <w:rFonts w:hint="eastAsia" w:ascii="宋体" w:hAnsi="宋体" w:eastAsia="宋体" w:cs="宋体"/>
          <w:color w:val="auto"/>
          <w:sz w:val="21"/>
          <w:szCs w:val="21"/>
          <w:lang w:val="en-US" w:eastAsia="zh-CN"/>
        </w:rPr>
        <w:t>调整的饰品价格及数量经甲方事先确认后按本合同第 4.3 条款约定结算。</w:t>
      </w:r>
    </w:p>
    <w:p w14:paraId="22F4CEC1">
      <w:pPr>
        <w:keepNext w:val="0"/>
        <w:keepLines w:val="0"/>
        <w:pageBreakBefore w:val="0"/>
        <w:tabs>
          <w:tab w:val="left" w:pos="624"/>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6.2.12现场其他工程已完工，软装施工所产生的垃圾由乙方负责处理。</w:t>
      </w:r>
    </w:p>
    <w:p w14:paraId="201AB798">
      <w:pPr>
        <w:keepNext w:val="0"/>
        <w:keepLines w:val="0"/>
        <w:pageBreakBefore w:val="0"/>
        <w:tabs>
          <w:tab w:val="left" w:pos="624"/>
        </w:tabs>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p>
    <w:p w14:paraId="57CFC989">
      <w:pPr>
        <w:keepNext w:val="0"/>
        <w:keepLines w:val="0"/>
        <w:pageBreakBefore w:val="0"/>
        <w:tabs>
          <w:tab w:val="left" w:pos="720"/>
        </w:tabs>
        <w:kinsoku/>
        <w:wordWrap/>
        <w:overflowPunct/>
        <w:topLinePunct w:val="0"/>
        <w:bidi w:val="0"/>
        <w:spacing w:line="360" w:lineRule="auto"/>
        <w:ind w:firstLine="422" w:firstLineChars="200"/>
        <w:textAlignment w:val="auto"/>
        <w:rPr>
          <w:rFonts w:hint="eastAsia" w:ascii="宋体" w:hAnsi="宋体" w:eastAsia="宋体" w:cs="宋体"/>
          <w:color w:val="auto"/>
          <w:sz w:val="21"/>
          <w:szCs w:val="21"/>
        </w:rPr>
      </w:pPr>
      <w:r>
        <w:rPr>
          <w:rFonts w:hint="eastAsia" w:ascii="宋体" w:hAnsi="宋体" w:eastAsia="宋体" w:cs="宋体"/>
          <w:b/>
          <w:color w:val="auto"/>
          <w:sz w:val="21"/>
          <w:szCs w:val="21"/>
        </w:rPr>
        <w:t>七、项目完工验收及标准</w:t>
      </w:r>
    </w:p>
    <w:p w14:paraId="2ECD01D2">
      <w:pPr>
        <w:pStyle w:val="15"/>
        <w:keepNext w:val="0"/>
        <w:keepLines w:val="0"/>
        <w:pageBreakBefore w:val="0"/>
        <w:numPr>
          <w:ilvl w:val="0"/>
          <w:numId w:val="0"/>
        </w:numPr>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7.1项目完工后乙方以书面形式通知甲方验收，由双方派代表到现场验收，验收以深化图、报价单所载明的技术标准和数量进行。物品采购及项目质量须符合国家、广东省及东莞市现行验收规范。如果现行的国家及东莞市有关标准、规范之间与甲方或磋商文件约定的要求不一致时，采用要求较高的标准。选用的装饰材料及装饰部品件的质量除应符合该产品有关标准的质量要求和设计要求外，还必须符合相关室内装饰装修材料的系列标准，乙方应提供产品质保书或检验报告，施工前必须对装饰材料及装饰部品件进行验证后方可进行施工。若甲乙双方有争议时</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可由市级法定建材质检机构进行检验鉴定。</w:t>
      </w:r>
    </w:p>
    <w:p w14:paraId="4BB49D78">
      <w:pPr>
        <w:pStyle w:val="15"/>
        <w:keepNext w:val="0"/>
        <w:keepLines w:val="0"/>
        <w:pageBreakBefore w:val="0"/>
        <w:numPr>
          <w:ilvl w:val="0"/>
          <w:numId w:val="0"/>
        </w:numPr>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7.2如经验收合格，则由甲方签发验收合格证书给乙方，乙方应立即清理项目现场，如验收不合格，乙方负责立即修正、更换或重做，直到验收合格为止。</w:t>
      </w:r>
    </w:p>
    <w:p w14:paraId="4D09FAA0">
      <w:pPr>
        <w:pStyle w:val="15"/>
        <w:keepNext w:val="0"/>
        <w:keepLines w:val="0"/>
        <w:pageBreakBefore w:val="0"/>
        <w:numPr>
          <w:ilvl w:val="0"/>
          <w:numId w:val="0"/>
        </w:numPr>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p>
    <w:p w14:paraId="4EEEF4AC">
      <w:pPr>
        <w:keepNext w:val="0"/>
        <w:keepLines w:val="0"/>
        <w:pageBreakBefore w:val="0"/>
        <w:tabs>
          <w:tab w:val="left" w:pos="720"/>
        </w:tabs>
        <w:kinsoku/>
        <w:wordWrap/>
        <w:overflowPunct/>
        <w:topLinePunct w:val="0"/>
        <w:bidi w:val="0"/>
        <w:spacing w:line="360" w:lineRule="auto"/>
        <w:ind w:firstLine="422" w:firstLineChars="200"/>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八、项目质量保修</w:t>
      </w:r>
    </w:p>
    <w:p w14:paraId="163D7D40">
      <w:pPr>
        <w:pStyle w:val="15"/>
        <w:keepNext w:val="0"/>
        <w:keepLines w:val="0"/>
        <w:pageBreakBefore w:val="0"/>
        <w:numPr>
          <w:ilvl w:val="0"/>
          <w:numId w:val="0"/>
        </w:numPr>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8.1 保修期限：自本项目工程验收合格之日起满两年。</w:t>
      </w:r>
    </w:p>
    <w:p w14:paraId="515B1C3E">
      <w:pPr>
        <w:pStyle w:val="15"/>
        <w:keepNext w:val="0"/>
        <w:keepLines w:val="0"/>
        <w:pageBreakBefore w:val="0"/>
        <w:numPr>
          <w:ilvl w:val="0"/>
          <w:numId w:val="0"/>
        </w:numPr>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8.2 保修要求：质保期内非甲方人为造成的问题，乙方予以维修或退货；在使用过程中如发现所提供产品的规格、技术参数等与甲方质量技术要求不符合或出现质量问题，乙方须应甲方的要求予以调换或退货，并承担修理、调换或退货的实际费用。若出现质量问题通过维修可以解决且甲方同意并要求维修的，乙方须在甲方提出上述要求后3个小时内到达现场，并在12小时内修复，否则，甲方可自行委托第三方进行维修，费用由乙方承担。</w:t>
      </w:r>
    </w:p>
    <w:p w14:paraId="28DD3CB3">
      <w:pPr>
        <w:pStyle w:val="15"/>
        <w:keepNext w:val="0"/>
        <w:keepLines w:val="0"/>
        <w:pageBreakBefore w:val="0"/>
        <w:numPr>
          <w:ilvl w:val="0"/>
          <w:numId w:val="0"/>
        </w:numPr>
        <w:kinsoku/>
        <w:wordWrap/>
        <w:overflowPunct/>
        <w:topLinePunct w:val="0"/>
        <w:bidi w:val="0"/>
        <w:spacing w:line="360" w:lineRule="auto"/>
        <w:textAlignment w:val="auto"/>
        <w:rPr>
          <w:rFonts w:hint="eastAsia" w:ascii="宋体" w:hAnsi="宋体" w:eastAsia="宋体" w:cs="宋体"/>
          <w:color w:val="auto"/>
          <w:sz w:val="21"/>
          <w:szCs w:val="21"/>
        </w:rPr>
      </w:pPr>
    </w:p>
    <w:p w14:paraId="3B1762AD">
      <w:pPr>
        <w:keepNext w:val="0"/>
        <w:keepLines w:val="0"/>
        <w:pageBreakBefore w:val="0"/>
        <w:kinsoku/>
        <w:wordWrap/>
        <w:overflowPunct/>
        <w:topLinePunct w:val="0"/>
        <w:bidi w:val="0"/>
        <w:spacing w:line="360" w:lineRule="auto"/>
        <w:ind w:firstLine="422" w:firstLineChars="200"/>
        <w:textAlignment w:val="auto"/>
        <w:rPr>
          <w:rFonts w:hint="eastAsia" w:ascii="宋体" w:hAnsi="宋体" w:eastAsia="宋体" w:cs="宋体"/>
          <w:color w:val="auto"/>
          <w:sz w:val="21"/>
          <w:szCs w:val="21"/>
        </w:rPr>
      </w:pPr>
      <w:r>
        <w:rPr>
          <w:rFonts w:hint="eastAsia" w:ascii="宋体" w:hAnsi="宋体" w:eastAsia="宋体" w:cs="宋体"/>
          <w:b/>
          <w:bCs/>
          <w:color w:val="auto"/>
          <w:sz w:val="21"/>
          <w:szCs w:val="21"/>
        </w:rPr>
        <w:t>九、违约责任</w:t>
      </w:r>
    </w:p>
    <w:p w14:paraId="6BBD6D4B">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9.1 甲方违约责任</w:t>
      </w:r>
    </w:p>
    <w:p w14:paraId="66A22898">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u w:val="single"/>
        </w:rPr>
      </w:pPr>
      <w:r>
        <w:rPr>
          <w:rFonts w:hint="eastAsia" w:ascii="宋体" w:hAnsi="宋体" w:eastAsia="宋体" w:cs="宋体"/>
          <w:color w:val="auto"/>
          <w:sz w:val="21"/>
          <w:szCs w:val="21"/>
        </w:rPr>
        <w:t>9.1.1因甲方原因未能在计划开工日期下达开工通知的责任：</w:t>
      </w:r>
      <w:r>
        <w:rPr>
          <w:rFonts w:hint="eastAsia" w:ascii="宋体" w:hAnsi="宋体" w:eastAsia="宋体" w:cs="宋体"/>
          <w:color w:val="auto"/>
          <w:sz w:val="21"/>
          <w:szCs w:val="21"/>
          <w:u w:val="single"/>
        </w:rPr>
        <w:t>工期顺延，除此之外乙方不得追究甲方其他违约责任</w:t>
      </w:r>
      <w:r>
        <w:rPr>
          <w:rFonts w:hint="eastAsia" w:ascii="宋体" w:hAnsi="宋体" w:eastAsia="宋体" w:cs="宋体"/>
          <w:color w:val="auto"/>
          <w:sz w:val="21"/>
          <w:szCs w:val="21"/>
        </w:rPr>
        <w:t>。</w:t>
      </w:r>
    </w:p>
    <w:p w14:paraId="524234A2">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u w:val="single"/>
        </w:rPr>
      </w:pPr>
      <w:r>
        <w:rPr>
          <w:rFonts w:hint="eastAsia" w:ascii="宋体" w:hAnsi="宋体" w:eastAsia="宋体" w:cs="宋体"/>
          <w:color w:val="auto"/>
          <w:sz w:val="21"/>
          <w:szCs w:val="21"/>
        </w:rPr>
        <w:t>9.1.2因甲方违反合同约定造成暂停施工的违约责任：</w:t>
      </w:r>
      <w:r>
        <w:rPr>
          <w:rFonts w:hint="eastAsia" w:ascii="宋体" w:hAnsi="宋体" w:eastAsia="宋体" w:cs="宋体"/>
          <w:color w:val="auto"/>
          <w:sz w:val="21"/>
          <w:szCs w:val="21"/>
          <w:u w:val="single"/>
        </w:rPr>
        <w:t>工期顺延，除此之外乙方不得追究甲方其他违约责任</w:t>
      </w:r>
      <w:r>
        <w:rPr>
          <w:rFonts w:hint="eastAsia" w:ascii="宋体" w:hAnsi="宋体" w:eastAsia="宋体" w:cs="宋体"/>
          <w:color w:val="auto"/>
          <w:sz w:val="21"/>
          <w:szCs w:val="21"/>
        </w:rPr>
        <w:t>。</w:t>
      </w:r>
    </w:p>
    <w:p w14:paraId="62228BD2">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9.1.3甲方无正当理由没有在约定期限内发出复工指示，导致</w:t>
      </w:r>
      <w:r>
        <w:rPr>
          <w:rFonts w:hint="eastAsia" w:ascii="宋体" w:hAnsi="宋体" w:eastAsia="宋体" w:cs="宋体"/>
          <w:color w:val="auto"/>
          <w:sz w:val="21"/>
          <w:szCs w:val="21"/>
          <w:lang w:eastAsia="zh-CN"/>
        </w:rPr>
        <w:t>乙方</w:t>
      </w:r>
      <w:r>
        <w:rPr>
          <w:rFonts w:hint="eastAsia" w:ascii="宋体" w:hAnsi="宋体" w:eastAsia="宋体" w:cs="宋体"/>
          <w:color w:val="auto"/>
          <w:sz w:val="21"/>
          <w:szCs w:val="21"/>
        </w:rPr>
        <w:t>无法复工的违约责任：</w:t>
      </w:r>
      <w:r>
        <w:rPr>
          <w:rFonts w:hint="eastAsia" w:ascii="宋体" w:hAnsi="宋体" w:eastAsia="宋体" w:cs="宋体"/>
          <w:color w:val="auto"/>
          <w:sz w:val="21"/>
          <w:szCs w:val="21"/>
          <w:u w:val="single"/>
        </w:rPr>
        <w:t>工期顺延，除此之外乙方不得追究甲方其他违约责任</w:t>
      </w:r>
      <w:r>
        <w:rPr>
          <w:rFonts w:hint="eastAsia" w:ascii="宋体" w:hAnsi="宋体" w:eastAsia="宋体" w:cs="宋体"/>
          <w:color w:val="auto"/>
          <w:sz w:val="21"/>
          <w:szCs w:val="21"/>
        </w:rPr>
        <w:t>。</w:t>
      </w:r>
    </w:p>
    <w:p w14:paraId="2AB82E5E">
      <w:pPr>
        <w:keepNext w:val="0"/>
        <w:keepLines w:val="0"/>
        <w:pageBreakBefore w:val="0"/>
        <w:kinsoku/>
        <w:wordWrap/>
        <w:overflowPunct/>
        <w:topLinePunct w:val="0"/>
        <w:bidi w:val="0"/>
        <w:spacing w:line="360" w:lineRule="auto"/>
        <w:ind w:firstLine="420" w:firstLineChars="20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9.1.4甲方未按本合同约定，延迟支付工程款（如有）的，乙方有权要求甲方以应付未付金额为基数按同期全国银行间同业拆借中心公布的贷款市场报价利率支付违约金，逾期违约金总额不超过应付未付总金额的10%。</w:t>
      </w:r>
    </w:p>
    <w:p w14:paraId="18FEEFC9">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9.2 乙方违约责任</w:t>
      </w:r>
    </w:p>
    <w:p w14:paraId="7999A17A">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9.2.1 乙方提供的材料、软装配饰是假冒伪劣产品或质量不合格的，应按材料、软装配饰价款的双倍赔偿给甲方。</w:t>
      </w:r>
    </w:p>
    <w:p w14:paraId="35C13494">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9.2.2 对于不符合施工质量验收标准中的部分项目，甲方提出施工质量整改要求，乙方未按规定时间内履行整改工作或无正当理由拒绝整改，视情节严重情况处以违约金人民币1000-5000元/次。</w:t>
      </w:r>
    </w:p>
    <w:p w14:paraId="214BDAFB">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bCs/>
          <w:color w:val="auto"/>
          <w:sz w:val="21"/>
          <w:szCs w:val="21"/>
        </w:rPr>
      </w:pPr>
      <w:r>
        <w:rPr>
          <w:rFonts w:hint="eastAsia" w:ascii="宋体" w:hAnsi="宋体" w:eastAsia="宋体" w:cs="宋体"/>
          <w:bCs/>
          <w:color w:val="auto"/>
          <w:sz w:val="21"/>
          <w:szCs w:val="21"/>
        </w:rPr>
        <w:t>9.2.3乙方未按约定时间完成移交给甲方的，经甲方督促无效的，每逾期一天，乙方每日支付甲方300元的违约金。</w:t>
      </w:r>
    </w:p>
    <w:p w14:paraId="140CBDBC">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bCs/>
          <w:color w:val="auto"/>
          <w:sz w:val="21"/>
          <w:szCs w:val="21"/>
        </w:rPr>
        <w:t>9.2.4</w:t>
      </w:r>
      <w:r>
        <w:rPr>
          <w:rFonts w:hint="eastAsia" w:ascii="宋体" w:hAnsi="宋体" w:eastAsia="宋体" w:cs="宋体"/>
          <w:color w:val="auto"/>
          <w:sz w:val="21"/>
          <w:szCs w:val="21"/>
        </w:rPr>
        <w:t>不得将合同转包给第三方，否则，甲方有权解除合同并要求乙方向甲方支付相当于合同总价款10%的违约金，如甲方的实际损失超出违约金数额的，甲方还有权就超出部分损失向乙方主张赔偿责任。</w:t>
      </w:r>
    </w:p>
    <w:p w14:paraId="4C2322FE">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9.2.5乙方的其他违约行为：</w:t>
      </w:r>
    </w:p>
    <w:p w14:paraId="2CEEAB18">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（1）因乙方原因导致安全文明施工管理不符合合同要求，发现后未按规定进行整改的，视情节严重情况处以违约金人民币500-2000元；</w:t>
      </w:r>
    </w:p>
    <w:p w14:paraId="3784AB68">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乙方明确表示或者以其行为表明不履行合同主要义务的，甲方有权解除合同并要求乙方向甲方支付相当于合同总价款10%的违约金；如甲方的实际损失超出违约金数额的，甲方还有权就超出部分损失向乙方主张赔偿责任。</w:t>
      </w:r>
    </w:p>
    <w:p w14:paraId="45896493">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（3）乙方未能按照合同约定履行其他义务的，每发现一次视情节严重情况处以违约金人民币500-2000元。</w:t>
      </w:r>
    </w:p>
    <w:p w14:paraId="36D39699">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9.2.6因乙方违约解除合同</w:t>
      </w:r>
    </w:p>
    <w:p w14:paraId="2A4C583F">
      <w:pPr>
        <w:keepNext w:val="0"/>
        <w:keepLines w:val="0"/>
        <w:pageBreakBefore w:val="0"/>
        <w:numPr>
          <w:ilvl w:val="0"/>
          <w:numId w:val="17"/>
        </w:numPr>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除上述合同条款另有约定外，乙方出现违约情形经甲方发出整改通知后，乙方在指定的合理期限内仍不纠正违约行为并致使合同目的不能实现的，甲方有权解除合同并要求乙方向甲方支付相当于合同总价款10%的违约金；如甲方的实际损失超出违约金数额的，甲方还有权就超出部分损失向乙方主张赔偿责任。</w:t>
      </w:r>
    </w:p>
    <w:p w14:paraId="25A876F6">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（2）因乙方违约解除合同后的处理：乙方应按本合同约定承担相关违约责任；乙方应按照甲方要求完成现场的清理和撤离。</w:t>
      </w:r>
    </w:p>
    <w:p w14:paraId="1CE52E3F">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9.2.7如乙方违约的，甲方除有权要求乙方承担违约责任外，还有权要求乙方支付维权成本，包括但不限于诉讼/仲裁费、调查取证费/公证费/鉴定费、律师费、保全费、担保费、差旅费等维权费用及其他合理费用。</w:t>
      </w:r>
    </w:p>
    <w:p w14:paraId="77459152">
      <w:pPr>
        <w:keepNext w:val="0"/>
        <w:keepLines w:val="0"/>
        <w:pageBreakBefore w:val="0"/>
        <w:kinsoku/>
        <w:wordWrap/>
        <w:overflowPunct/>
        <w:topLinePunct w:val="0"/>
        <w:bidi w:val="0"/>
        <w:spacing w:line="360" w:lineRule="auto"/>
        <w:ind w:firstLine="420" w:firstLineChars="20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9.2.8 因乙方原因所产生的违约金、赔偿或其他应付费用，甲方有权从乙方提供的履约担保金额或甲方应支付的合同价款中直接扣除。</w:t>
      </w:r>
    </w:p>
    <w:p w14:paraId="64AC1AB1">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9.2.9如</w:t>
      </w:r>
      <w:r>
        <w:rPr>
          <w:rFonts w:hint="eastAsia" w:ascii="宋体" w:hAnsi="宋体" w:eastAsia="宋体" w:cs="宋体"/>
          <w:color w:val="auto"/>
          <w:sz w:val="21"/>
          <w:szCs w:val="21"/>
          <w:lang w:eastAsia="zh-CN"/>
        </w:rPr>
        <w:t>乙方</w:t>
      </w:r>
      <w:r>
        <w:rPr>
          <w:rFonts w:hint="eastAsia" w:ascii="宋体" w:hAnsi="宋体" w:eastAsia="宋体" w:cs="宋体"/>
          <w:color w:val="auto"/>
          <w:sz w:val="21"/>
          <w:szCs w:val="21"/>
        </w:rPr>
        <w:t>存在偷工减料、不按图施工行为但不违反国家强制性规定且不影响工程质量验收的，</w:t>
      </w:r>
      <w:r>
        <w:rPr>
          <w:rFonts w:hint="eastAsia" w:ascii="宋体" w:hAnsi="宋体" w:eastAsia="宋体" w:cs="宋体"/>
          <w:color w:val="auto"/>
          <w:sz w:val="21"/>
          <w:szCs w:val="21"/>
          <w:lang w:eastAsia="zh-CN"/>
        </w:rPr>
        <w:t>甲方</w:t>
      </w:r>
      <w:r>
        <w:rPr>
          <w:rFonts w:hint="eastAsia" w:ascii="宋体" w:hAnsi="宋体" w:eastAsia="宋体" w:cs="宋体"/>
          <w:color w:val="auto"/>
          <w:sz w:val="21"/>
          <w:szCs w:val="21"/>
        </w:rPr>
        <w:t>将扣除偷工减料、不按图施工部分对应核减金额的工程款，并对</w:t>
      </w:r>
      <w:r>
        <w:rPr>
          <w:rFonts w:hint="eastAsia" w:ascii="宋体" w:hAnsi="宋体" w:eastAsia="宋体" w:cs="宋体"/>
          <w:color w:val="auto"/>
          <w:sz w:val="21"/>
          <w:szCs w:val="21"/>
          <w:lang w:eastAsia="zh-CN"/>
        </w:rPr>
        <w:t>乙方</w:t>
      </w:r>
      <w:r>
        <w:rPr>
          <w:rFonts w:hint="eastAsia" w:ascii="宋体" w:hAnsi="宋体" w:eastAsia="宋体" w:cs="宋体"/>
          <w:color w:val="auto"/>
          <w:sz w:val="21"/>
          <w:szCs w:val="21"/>
        </w:rPr>
        <w:t>进行处罚，违约处罚金额为偷工减料、不按图施工部分对应核减金额;如</w:t>
      </w:r>
      <w:r>
        <w:rPr>
          <w:rFonts w:hint="eastAsia" w:ascii="宋体" w:hAnsi="宋体" w:eastAsia="宋体" w:cs="宋体"/>
          <w:color w:val="auto"/>
          <w:sz w:val="21"/>
          <w:szCs w:val="21"/>
          <w:lang w:eastAsia="zh-CN"/>
        </w:rPr>
        <w:t>乙方</w:t>
      </w:r>
      <w:r>
        <w:rPr>
          <w:rFonts w:hint="eastAsia" w:ascii="宋体" w:hAnsi="宋体" w:eastAsia="宋体" w:cs="宋体"/>
          <w:color w:val="auto"/>
          <w:sz w:val="21"/>
          <w:szCs w:val="21"/>
        </w:rPr>
        <w:t>存在偷工减料、不按图施工行为导致工程质量不符合国家强制性规定或影响工程质量验收的，</w:t>
      </w:r>
      <w:r>
        <w:rPr>
          <w:rFonts w:hint="eastAsia" w:ascii="宋体" w:hAnsi="宋体" w:eastAsia="宋体" w:cs="宋体"/>
          <w:color w:val="auto"/>
          <w:sz w:val="21"/>
          <w:szCs w:val="21"/>
          <w:lang w:eastAsia="zh-CN"/>
        </w:rPr>
        <w:t>乙方</w:t>
      </w:r>
      <w:r>
        <w:rPr>
          <w:rFonts w:hint="eastAsia" w:ascii="宋体" w:hAnsi="宋体" w:eastAsia="宋体" w:cs="宋体"/>
          <w:color w:val="auto"/>
          <w:sz w:val="21"/>
          <w:szCs w:val="21"/>
        </w:rPr>
        <w:t>须无条件免费返工整改至合格，且</w:t>
      </w:r>
      <w:r>
        <w:rPr>
          <w:rFonts w:hint="eastAsia" w:ascii="宋体" w:hAnsi="宋体" w:eastAsia="宋体" w:cs="宋体"/>
          <w:color w:val="auto"/>
          <w:sz w:val="21"/>
          <w:szCs w:val="21"/>
          <w:lang w:eastAsia="zh-CN"/>
        </w:rPr>
        <w:t>甲方</w:t>
      </w:r>
      <w:r>
        <w:rPr>
          <w:rFonts w:hint="eastAsia" w:ascii="宋体" w:hAnsi="宋体" w:eastAsia="宋体" w:cs="宋体"/>
          <w:color w:val="auto"/>
          <w:sz w:val="21"/>
          <w:szCs w:val="21"/>
        </w:rPr>
        <w:t>将对</w:t>
      </w:r>
      <w:r>
        <w:rPr>
          <w:rFonts w:hint="eastAsia" w:ascii="宋体" w:hAnsi="宋体" w:eastAsia="宋体" w:cs="宋体"/>
          <w:color w:val="auto"/>
          <w:sz w:val="21"/>
          <w:szCs w:val="21"/>
          <w:lang w:eastAsia="zh-CN"/>
        </w:rPr>
        <w:t>乙方</w:t>
      </w:r>
      <w:r>
        <w:rPr>
          <w:rFonts w:hint="eastAsia" w:ascii="宋体" w:hAnsi="宋体" w:eastAsia="宋体" w:cs="宋体"/>
          <w:color w:val="auto"/>
          <w:sz w:val="21"/>
          <w:szCs w:val="21"/>
        </w:rPr>
        <w:t>进行处罚，违约处罚金额为偷工减料、不按图施工部分对应核减金额。</w:t>
      </w:r>
    </w:p>
    <w:p w14:paraId="5D9FEC6E">
      <w:pPr>
        <w:keepNext w:val="0"/>
        <w:keepLines w:val="0"/>
        <w:pageBreakBefore w:val="0"/>
        <w:kinsoku/>
        <w:wordWrap/>
        <w:overflowPunct/>
        <w:topLinePunct w:val="0"/>
        <w:bidi w:val="0"/>
        <w:spacing w:line="360" w:lineRule="auto"/>
        <w:ind w:firstLine="422" w:firstLineChars="200"/>
        <w:textAlignment w:val="auto"/>
        <w:rPr>
          <w:rFonts w:hint="eastAsia" w:ascii="宋体" w:hAnsi="宋体" w:eastAsia="宋体" w:cs="宋体"/>
          <w:b/>
          <w:bCs/>
          <w:color w:val="auto"/>
          <w:sz w:val="21"/>
          <w:szCs w:val="21"/>
        </w:rPr>
      </w:pPr>
    </w:p>
    <w:p w14:paraId="3A6DB3F3">
      <w:pPr>
        <w:keepNext w:val="0"/>
        <w:keepLines w:val="0"/>
        <w:pageBreakBefore w:val="0"/>
        <w:kinsoku/>
        <w:wordWrap/>
        <w:overflowPunct/>
        <w:topLinePunct w:val="0"/>
        <w:bidi w:val="0"/>
        <w:spacing w:line="360" w:lineRule="auto"/>
        <w:ind w:firstLine="422" w:firstLineChars="20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十、不可抗力</w:t>
      </w:r>
    </w:p>
    <w:p w14:paraId="3DA13BA3">
      <w:pPr>
        <w:keepNext w:val="0"/>
        <w:keepLines w:val="0"/>
        <w:pageBreakBefore w:val="0"/>
        <w:kinsoku/>
        <w:wordWrap/>
        <w:overflowPunct/>
        <w:topLinePunct w:val="0"/>
        <w:bidi w:val="0"/>
        <w:spacing w:line="360" w:lineRule="auto"/>
        <w:ind w:firstLine="420" w:firstLineChars="20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10.1不可抗力的确认</w:t>
      </w:r>
    </w:p>
    <w:p w14:paraId="67F10442">
      <w:pPr>
        <w:keepNext w:val="0"/>
        <w:keepLines w:val="0"/>
        <w:pageBreakBefore w:val="0"/>
        <w:kinsoku/>
        <w:wordWrap/>
        <w:overflowPunct/>
        <w:topLinePunct w:val="0"/>
        <w:bidi w:val="0"/>
        <w:spacing w:line="360" w:lineRule="auto"/>
        <w:ind w:firstLine="420" w:firstLineChars="20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不可抗力是指甲乙双方在订立合同时不可预见，在履行合同过程中不可避免发生并不能克服的自然灾害、政策的调整和社会性突发事件，如地震、海啸、瘟疫、水灾、骚乱、暴动、战争等。</w:t>
      </w:r>
    </w:p>
    <w:p w14:paraId="55EC2703">
      <w:pPr>
        <w:keepNext w:val="0"/>
        <w:keepLines w:val="0"/>
        <w:pageBreakBefore w:val="0"/>
        <w:kinsoku/>
        <w:wordWrap/>
        <w:overflowPunct/>
        <w:topLinePunct w:val="0"/>
        <w:bidi w:val="0"/>
        <w:spacing w:line="360" w:lineRule="auto"/>
        <w:ind w:firstLine="420" w:firstLineChars="20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10.2不可抗力的通知</w:t>
      </w:r>
    </w:p>
    <w:p w14:paraId="66B029CC">
      <w:pPr>
        <w:keepNext w:val="0"/>
        <w:keepLines w:val="0"/>
        <w:pageBreakBefore w:val="0"/>
        <w:kinsoku/>
        <w:wordWrap/>
        <w:overflowPunct/>
        <w:topLinePunct w:val="0"/>
        <w:bidi w:val="0"/>
        <w:spacing w:line="360" w:lineRule="auto"/>
        <w:ind w:firstLine="420" w:firstLineChars="20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合同一方当事人遇到不可抗力事件，使其履行合同义务受到阻碍时，应立即通知合同另一方当事人，书面说明不可抗力和受阻碍的详细情况，并提供必要的证明。</w:t>
      </w:r>
    </w:p>
    <w:p w14:paraId="598FA818">
      <w:pPr>
        <w:keepNext w:val="0"/>
        <w:keepLines w:val="0"/>
        <w:pageBreakBefore w:val="0"/>
        <w:kinsoku/>
        <w:wordWrap/>
        <w:overflowPunct/>
        <w:topLinePunct w:val="0"/>
        <w:bidi w:val="0"/>
        <w:spacing w:line="360" w:lineRule="auto"/>
        <w:ind w:firstLine="420" w:firstLineChars="20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10.3不可抗力后果及其处理</w:t>
      </w:r>
    </w:p>
    <w:p w14:paraId="394A76D8">
      <w:pPr>
        <w:keepNext w:val="0"/>
        <w:keepLines w:val="0"/>
        <w:pageBreakBefore w:val="0"/>
        <w:kinsoku/>
        <w:wordWrap/>
        <w:overflowPunct/>
        <w:topLinePunct w:val="0"/>
        <w:bidi w:val="0"/>
        <w:spacing w:line="360" w:lineRule="auto"/>
        <w:ind w:firstLine="420" w:firstLineChars="20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（1）合同一方延迟履行，在延迟履行期间发生不可抗力的，不免除其责任。</w:t>
      </w:r>
    </w:p>
    <w:p w14:paraId="568C2DED">
      <w:pPr>
        <w:keepNext w:val="0"/>
        <w:keepLines w:val="0"/>
        <w:pageBreakBefore w:val="0"/>
        <w:kinsoku/>
        <w:wordWrap/>
        <w:overflowPunct/>
        <w:topLinePunct w:val="0"/>
        <w:bidi w:val="0"/>
        <w:spacing w:line="360" w:lineRule="auto"/>
        <w:ind w:firstLine="420" w:firstLineChars="20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（2）不可抗力发生后，合同双方均应采取措施尽量避免和减少损失的扩大，任何一方没有采取有效措施导致损失扩大的，应对扩大的损失承担责任。</w:t>
      </w:r>
    </w:p>
    <w:p w14:paraId="1DEE9742">
      <w:pPr>
        <w:keepNext w:val="0"/>
        <w:keepLines w:val="0"/>
        <w:pageBreakBefore w:val="0"/>
        <w:kinsoku/>
        <w:wordWrap/>
        <w:overflowPunct/>
        <w:topLinePunct w:val="0"/>
        <w:bidi w:val="0"/>
        <w:spacing w:line="360" w:lineRule="auto"/>
        <w:ind w:firstLine="420" w:firstLineChars="20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（3）合同一方因不可抗力不能履行合同的，应当及时通知对方解除合同。双方根据乙方实际完成工作量据实结算合同费用。</w:t>
      </w:r>
    </w:p>
    <w:p w14:paraId="085B32C2">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10.4因不可抗力解除合同</w:t>
      </w:r>
    </w:p>
    <w:p w14:paraId="79853AB5">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b/>
          <w:bCs/>
          <w:color w:val="auto"/>
          <w:sz w:val="21"/>
          <w:szCs w:val="21"/>
        </w:rPr>
      </w:pPr>
      <w:r>
        <w:rPr>
          <w:rFonts w:hint="eastAsia" w:ascii="宋体" w:hAnsi="宋体" w:eastAsia="宋体" w:cs="宋体"/>
          <w:color w:val="auto"/>
          <w:sz w:val="21"/>
          <w:szCs w:val="21"/>
        </w:rPr>
        <w:t>合同一方当事人因不可抗力不能履行合同的，应当及时通知对方解除合同。合同解除后，</w:t>
      </w:r>
      <w:r>
        <w:rPr>
          <w:rFonts w:hint="eastAsia" w:ascii="宋体" w:hAnsi="宋体" w:eastAsia="宋体" w:cs="宋体"/>
          <w:color w:val="auto"/>
          <w:sz w:val="21"/>
          <w:szCs w:val="21"/>
          <w:lang w:eastAsia="zh-CN"/>
        </w:rPr>
        <w:t>乙方</w:t>
      </w:r>
      <w:r>
        <w:rPr>
          <w:rFonts w:hint="eastAsia" w:ascii="宋体" w:hAnsi="宋体" w:eastAsia="宋体" w:cs="宋体"/>
          <w:color w:val="auto"/>
          <w:sz w:val="21"/>
          <w:szCs w:val="21"/>
        </w:rPr>
        <w:t>应按照合同约定撤离施工场地。已经订货的材料、设备由订货方负责退货或解除订货合同，不能退还的货款和因退货、解除订货合同发生的费用，由</w:t>
      </w:r>
      <w:r>
        <w:rPr>
          <w:rFonts w:hint="eastAsia" w:ascii="宋体" w:hAnsi="宋体" w:eastAsia="宋体" w:cs="宋体"/>
          <w:color w:val="auto"/>
          <w:sz w:val="21"/>
          <w:szCs w:val="21"/>
          <w:lang w:eastAsia="zh-CN"/>
        </w:rPr>
        <w:t>甲方</w:t>
      </w:r>
      <w:r>
        <w:rPr>
          <w:rFonts w:hint="eastAsia" w:ascii="宋体" w:hAnsi="宋体" w:eastAsia="宋体" w:cs="宋体"/>
          <w:color w:val="auto"/>
          <w:sz w:val="21"/>
          <w:szCs w:val="21"/>
        </w:rPr>
        <w:t>与</w:t>
      </w:r>
      <w:r>
        <w:rPr>
          <w:rFonts w:hint="eastAsia" w:ascii="宋体" w:hAnsi="宋体" w:eastAsia="宋体" w:cs="宋体"/>
          <w:color w:val="auto"/>
          <w:sz w:val="21"/>
          <w:szCs w:val="21"/>
          <w:lang w:eastAsia="zh-CN"/>
        </w:rPr>
        <w:t>乙方</w:t>
      </w:r>
      <w:r>
        <w:rPr>
          <w:rFonts w:hint="eastAsia" w:ascii="宋体" w:hAnsi="宋体" w:eastAsia="宋体" w:cs="宋体"/>
          <w:color w:val="auto"/>
          <w:sz w:val="21"/>
          <w:szCs w:val="21"/>
        </w:rPr>
        <w:t>另行协商解决，因未及时退货造成的损失由责任方承担。</w:t>
      </w:r>
    </w:p>
    <w:p w14:paraId="1B1B1889">
      <w:pPr>
        <w:keepNext w:val="0"/>
        <w:keepLines w:val="0"/>
        <w:pageBreakBefore w:val="0"/>
        <w:kinsoku/>
        <w:wordWrap/>
        <w:overflowPunct/>
        <w:topLinePunct w:val="0"/>
        <w:bidi w:val="0"/>
        <w:spacing w:line="360" w:lineRule="auto"/>
        <w:ind w:left="240" w:leftChars="100" w:firstLine="211" w:firstLineChars="100"/>
        <w:textAlignment w:val="auto"/>
        <w:rPr>
          <w:rFonts w:hint="eastAsia" w:ascii="宋体" w:hAnsi="宋体" w:eastAsia="宋体" w:cs="宋体"/>
          <w:b/>
          <w:bCs/>
          <w:color w:val="auto"/>
          <w:sz w:val="21"/>
          <w:szCs w:val="21"/>
        </w:rPr>
      </w:pPr>
    </w:p>
    <w:p w14:paraId="432D1A63">
      <w:pPr>
        <w:keepNext w:val="0"/>
        <w:keepLines w:val="0"/>
        <w:pageBreakBefore w:val="0"/>
        <w:kinsoku/>
        <w:wordWrap/>
        <w:overflowPunct/>
        <w:topLinePunct w:val="0"/>
        <w:bidi w:val="0"/>
        <w:spacing w:line="360" w:lineRule="auto"/>
        <w:ind w:left="240" w:leftChars="100" w:firstLine="211" w:firstLineChars="100"/>
        <w:textAlignment w:val="auto"/>
        <w:rPr>
          <w:rFonts w:hint="eastAsia" w:ascii="宋体" w:hAnsi="宋体" w:eastAsia="宋体" w:cs="宋体"/>
          <w:b/>
          <w:color w:val="auto"/>
          <w:sz w:val="21"/>
          <w:szCs w:val="21"/>
        </w:rPr>
      </w:pPr>
      <w:r>
        <w:rPr>
          <w:rFonts w:hint="eastAsia" w:ascii="宋体" w:hAnsi="宋体" w:eastAsia="宋体" w:cs="宋体"/>
          <w:b/>
          <w:bCs/>
          <w:color w:val="auto"/>
          <w:sz w:val="21"/>
          <w:szCs w:val="21"/>
        </w:rPr>
        <w:t>十一、</w:t>
      </w:r>
      <w:r>
        <w:rPr>
          <w:rFonts w:hint="eastAsia" w:ascii="宋体" w:hAnsi="宋体" w:eastAsia="宋体" w:cs="宋体"/>
          <w:b/>
          <w:color w:val="auto"/>
          <w:sz w:val="21"/>
          <w:szCs w:val="21"/>
        </w:rPr>
        <w:t>保密</w:t>
      </w:r>
    </w:p>
    <w:p w14:paraId="11E19B9C">
      <w:pPr>
        <w:keepNext w:val="0"/>
        <w:keepLines w:val="0"/>
        <w:pageBreakBefore w:val="0"/>
        <w:kinsoku/>
        <w:wordWrap/>
        <w:overflowPunct/>
        <w:topLinePunct w:val="0"/>
        <w:bidi w:val="0"/>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乙方保证对在讨论、签订、履行本合同过程中所获悉的属于甲方及甲方关联方的且无法自公开渠道的文件及资料（包括但不限于商业秘密、公司计划、运营活动、财务信息、技术信息、经营信息及其他商业秘密）予以保密。未经甲方同意，乙方不得超出本合同约定的目的和范围使用该商业秘密，不得向任何第三方泄露该商业秘密的全部或部分内容。前述保密义务，在本合同终止或解除之后仍需履行。如乙方或乙方员工泄露甲方的商业秘密致使甲方受到损失的，由乙方承担赔偿责任。</w:t>
      </w:r>
    </w:p>
    <w:p w14:paraId="364B4660">
      <w:pPr>
        <w:keepNext w:val="0"/>
        <w:keepLines w:val="0"/>
        <w:pageBreakBefore w:val="0"/>
        <w:kinsoku/>
        <w:wordWrap/>
        <w:overflowPunct/>
        <w:topLinePunct w:val="0"/>
        <w:bidi w:val="0"/>
        <w:spacing w:line="360" w:lineRule="auto"/>
        <w:textAlignment w:val="auto"/>
        <w:rPr>
          <w:rFonts w:hint="eastAsia" w:ascii="宋体" w:hAnsi="宋体" w:eastAsia="宋体" w:cs="宋体"/>
          <w:color w:val="auto"/>
          <w:sz w:val="21"/>
          <w:szCs w:val="21"/>
        </w:rPr>
      </w:pPr>
    </w:p>
    <w:p w14:paraId="62FDCADC">
      <w:pPr>
        <w:keepNext w:val="0"/>
        <w:keepLines w:val="0"/>
        <w:pageBreakBefore w:val="0"/>
        <w:kinsoku/>
        <w:wordWrap/>
        <w:overflowPunct/>
        <w:topLinePunct w:val="0"/>
        <w:bidi w:val="0"/>
        <w:spacing w:line="360" w:lineRule="auto"/>
        <w:ind w:left="240" w:leftChars="100" w:firstLine="211" w:firstLineChars="10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十二、争议解决</w:t>
      </w:r>
    </w:p>
    <w:p w14:paraId="57730D47">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本合同发生争议，双方当事人应及时协商解决；经双方协商无法解决的争议，双方同意按照以方式解决：凡因本合同引起的或与本合同有关的任何争议，均提交项目所在地有管辖权的人民法院裁决。</w:t>
      </w:r>
    </w:p>
    <w:p w14:paraId="74994E43">
      <w:pPr>
        <w:keepNext w:val="0"/>
        <w:keepLines w:val="0"/>
        <w:pageBreakBefore w:val="0"/>
        <w:kinsoku/>
        <w:wordWrap/>
        <w:overflowPunct/>
        <w:topLinePunct w:val="0"/>
        <w:bidi w:val="0"/>
        <w:spacing w:line="360" w:lineRule="auto"/>
        <w:ind w:left="240" w:leftChars="100" w:firstLine="211" w:firstLineChars="100"/>
        <w:textAlignment w:val="auto"/>
        <w:rPr>
          <w:rFonts w:hint="eastAsia" w:ascii="宋体" w:hAnsi="宋体" w:eastAsia="宋体" w:cs="宋体"/>
          <w:b/>
          <w:bCs/>
          <w:color w:val="auto"/>
          <w:sz w:val="21"/>
          <w:szCs w:val="21"/>
        </w:rPr>
      </w:pPr>
    </w:p>
    <w:p w14:paraId="27BB62ED">
      <w:pPr>
        <w:keepNext w:val="0"/>
        <w:keepLines w:val="0"/>
        <w:pageBreakBefore w:val="0"/>
        <w:kinsoku/>
        <w:wordWrap/>
        <w:overflowPunct/>
        <w:topLinePunct w:val="0"/>
        <w:bidi w:val="0"/>
        <w:spacing w:line="360" w:lineRule="auto"/>
        <w:ind w:left="240" w:leftChars="100" w:firstLine="211" w:firstLineChars="10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十三</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通知</w:t>
      </w:r>
    </w:p>
    <w:p w14:paraId="7956950C">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双方各自指定履行本合同的联系人，一方资料、文件之交接及意见之传达、接收均通过联系人进行。</w:t>
      </w:r>
    </w:p>
    <w:p w14:paraId="59990722">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甲方指定联系人：</w:t>
      </w:r>
    </w:p>
    <w:p w14:paraId="270153BA">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contextualSpacing/>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姓    名：</w:t>
      </w:r>
    </w:p>
    <w:p w14:paraId="645AD593">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contextualSpacing/>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联系电话：</w:t>
      </w:r>
    </w:p>
    <w:p w14:paraId="4D3318E4">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电子邮箱：</w:t>
      </w:r>
    </w:p>
    <w:p w14:paraId="00C5981D">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通讯地址：</w:t>
      </w:r>
    </w:p>
    <w:p w14:paraId="2DF6C6A2">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乙方指定联系人：</w:t>
      </w:r>
    </w:p>
    <w:p w14:paraId="642353A1">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姓    名：</w:t>
      </w:r>
    </w:p>
    <w:p w14:paraId="0B45926B">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联系电话：</w:t>
      </w:r>
    </w:p>
    <w:p w14:paraId="036B4C02">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电子邮箱：</w:t>
      </w:r>
    </w:p>
    <w:p w14:paraId="539CDA2E">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通讯地址：</w:t>
      </w:r>
    </w:p>
    <w:p w14:paraId="432FE45F">
      <w:pPr>
        <w:keepNext w:val="0"/>
        <w:keepLines w:val="0"/>
        <w:pageBreakBefore w:val="0"/>
        <w:kinsoku/>
        <w:wordWrap/>
        <w:overflowPunct/>
        <w:topLinePunct w:val="0"/>
        <w:bidi w:val="0"/>
        <w:spacing w:line="360" w:lineRule="auto"/>
        <w:ind w:left="240" w:leftChars="100" w:firstLine="210" w:firstLineChars="100"/>
        <w:textAlignment w:val="auto"/>
        <w:rPr>
          <w:rFonts w:hint="eastAsia" w:ascii="宋体" w:hAnsi="宋体" w:eastAsia="宋体" w:cs="宋体"/>
          <w:color w:val="auto"/>
          <w:sz w:val="21"/>
          <w:szCs w:val="21"/>
        </w:rPr>
      </w:pPr>
    </w:p>
    <w:p w14:paraId="4E733065">
      <w:pPr>
        <w:keepNext w:val="0"/>
        <w:keepLines w:val="0"/>
        <w:pageBreakBefore w:val="0"/>
        <w:kinsoku/>
        <w:wordWrap/>
        <w:overflowPunct/>
        <w:topLinePunct w:val="0"/>
        <w:bidi w:val="0"/>
        <w:spacing w:line="360" w:lineRule="auto"/>
        <w:ind w:left="240" w:leftChars="100" w:firstLine="211" w:firstLineChars="100"/>
        <w:contextualSpacing/>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十四</w:t>
      </w:r>
      <w:r>
        <w:rPr>
          <w:rFonts w:hint="eastAsia" w:ascii="宋体" w:hAnsi="宋体" w:eastAsia="宋体" w:cs="宋体"/>
          <w:b/>
          <w:bCs/>
          <w:color w:val="auto"/>
          <w:sz w:val="21"/>
          <w:szCs w:val="21"/>
          <w:lang w:eastAsia="zh-CN"/>
        </w:rPr>
        <w:t>、</w:t>
      </w:r>
      <w:r>
        <w:rPr>
          <w:rFonts w:hint="eastAsia" w:ascii="宋体" w:hAnsi="宋体" w:eastAsia="宋体" w:cs="宋体"/>
          <w:b/>
          <w:bCs/>
          <w:color w:val="auto"/>
          <w:sz w:val="21"/>
          <w:szCs w:val="21"/>
        </w:rPr>
        <w:t>其他条款</w:t>
      </w:r>
    </w:p>
    <w:p w14:paraId="21F081ED">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14.1本合同正文与下列附件共同构成本合同双方协商达成一致的全部内容：</w:t>
      </w:r>
    </w:p>
    <w:p w14:paraId="6E3D064F">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eastAsia" w:ascii="宋体" w:hAnsi="宋体" w:eastAsia="宋体" w:cs="宋体"/>
          <w:color w:val="auto"/>
          <w:sz w:val="21"/>
          <w:szCs w:val="21"/>
          <w:shd w:val="clear" w:color="auto" w:fill="FFFFFF"/>
        </w:rPr>
      </w:pPr>
      <w:r>
        <w:rPr>
          <w:rFonts w:hint="eastAsia" w:ascii="宋体" w:hAnsi="宋体" w:eastAsia="宋体" w:cs="宋体"/>
          <w:color w:val="auto"/>
          <w:sz w:val="21"/>
          <w:szCs w:val="21"/>
          <w:shd w:val="clear" w:color="auto" w:fill="FFFFFF"/>
        </w:rPr>
        <w:t>附件1：阳光合作协议</w:t>
      </w:r>
    </w:p>
    <w:p w14:paraId="03E519E4">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shd w:val="clear" w:color="auto" w:fill="FFFFFF"/>
        </w:rPr>
        <w:t>附件2：</w:t>
      </w:r>
      <w:r>
        <w:rPr>
          <w:rFonts w:hint="eastAsia" w:ascii="宋体" w:hAnsi="宋体" w:eastAsia="宋体" w:cs="宋体"/>
          <w:color w:val="auto"/>
          <w:sz w:val="21"/>
          <w:szCs w:val="21"/>
        </w:rPr>
        <w:t>工程量清单</w:t>
      </w:r>
    </w:p>
    <w:p w14:paraId="643094C9">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附件</w:t>
      </w:r>
      <w:r>
        <w:rPr>
          <w:rFonts w:hint="eastAsia" w:hAnsi="宋体" w:cs="宋体"/>
          <w:color w:val="auto"/>
          <w:sz w:val="21"/>
          <w:szCs w:val="21"/>
          <w:lang w:val="en-US" w:eastAsia="zh-CN"/>
        </w:rPr>
        <w:t>3</w:t>
      </w:r>
      <w:r>
        <w:rPr>
          <w:rFonts w:hint="eastAsia" w:ascii="宋体" w:hAnsi="宋体" w:eastAsia="宋体" w:cs="宋体"/>
          <w:color w:val="auto"/>
          <w:sz w:val="21"/>
          <w:szCs w:val="21"/>
        </w:rPr>
        <w:t>：服务团队人员一览表</w:t>
      </w:r>
    </w:p>
    <w:p w14:paraId="3ED21EBA">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r>
        <w:rPr>
          <w:rFonts w:hint="eastAsia" w:hAnsi="宋体" w:cs="宋体"/>
          <w:color w:val="auto"/>
          <w:sz w:val="21"/>
          <w:szCs w:val="21"/>
          <w:lang w:val="en-US" w:eastAsia="zh-CN"/>
        </w:rPr>
        <w:t>4</w:t>
      </w:r>
      <w:r>
        <w:rPr>
          <w:rFonts w:hint="eastAsia" w:ascii="宋体" w:hAnsi="宋体" w:eastAsia="宋体" w:cs="宋体"/>
          <w:color w:val="auto"/>
          <w:sz w:val="21"/>
          <w:szCs w:val="21"/>
        </w:rPr>
        <w:t>：</w:t>
      </w:r>
      <w:r>
        <w:rPr>
          <w:rFonts w:hint="eastAsia" w:hAnsi="宋体" w:cs="宋体"/>
          <w:color w:val="auto"/>
          <w:sz w:val="21"/>
          <w:szCs w:val="21"/>
          <w:lang w:eastAsia="zh-CN"/>
        </w:rPr>
        <w:t>成交通知书</w:t>
      </w:r>
    </w:p>
    <w:p w14:paraId="794209B5">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eastAsia" w:ascii="宋体" w:hAnsi="宋体" w:eastAsia="宋体" w:cs="宋体"/>
          <w:color w:val="auto"/>
          <w:sz w:val="21"/>
          <w:szCs w:val="21"/>
          <w:shd w:val="clear" w:color="auto" w:fill="FFFFFF"/>
          <w:lang w:eastAsia="zh-CN"/>
        </w:rPr>
      </w:pPr>
      <w:r>
        <w:rPr>
          <w:rFonts w:hint="eastAsia" w:ascii="宋体" w:hAnsi="宋体" w:eastAsia="宋体" w:cs="宋体"/>
          <w:color w:val="auto"/>
          <w:sz w:val="21"/>
          <w:szCs w:val="21"/>
          <w:shd w:val="clear" w:color="auto" w:fill="FFFFFF"/>
        </w:rPr>
        <w:t>附件</w:t>
      </w:r>
      <w:r>
        <w:rPr>
          <w:rFonts w:hint="eastAsia" w:hAnsi="宋体" w:cs="宋体"/>
          <w:color w:val="auto"/>
          <w:sz w:val="21"/>
          <w:szCs w:val="21"/>
          <w:shd w:val="clear" w:color="auto" w:fill="FFFFFF"/>
          <w:lang w:val="en-US" w:eastAsia="zh-CN"/>
        </w:rPr>
        <w:t>5</w:t>
      </w:r>
      <w:r>
        <w:rPr>
          <w:rFonts w:hint="eastAsia" w:ascii="宋体" w:hAnsi="宋体" w:eastAsia="宋体" w:cs="宋体"/>
          <w:color w:val="auto"/>
          <w:sz w:val="21"/>
          <w:szCs w:val="21"/>
          <w:shd w:val="clear" w:color="auto" w:fill="FFFFFF"/>
        </w:rPr>
        <w:t>：</w:t>
      </w:r>
      <w:r>
        <w:rPr>
          <w:rFonts w:hint="eastAsia" w:hAnsi="宋体" w:cs="宋体"/>
          <w:color w:val="auto"/>
          <w:sz w:val="21"/>
          <w:szCs w:val="21"/>
          <w:shd w:val="clear" w:color="auto" w:fill="FFFFFF"/>
          <w:lang w:eastAsia="zh-CN"/>
        </w:rPr>
        <w:t>响应文件</w:t>
      </w:r>
    </w:p>
    <w:p w14:paraId="724C2539">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rPr>
          <w:rFonts w:hint="eastAsia" w:ascii="宋体" w:hAnsi="宋体" w:eastAsia="宋体" w:cs="宋体"/>
          <w:color w:val="auto"/>
          <w:sz w:val="21"/>
          <w:szCs w:val="21"/>
          <w:shd w:val="clear" w:color="auto" w:fill="FFFFFF"/>
        </w:rPr>
      </w:pPr>
      <w:r>
        <w:rPr>
          <w:rFonts w:hint="eastAsia" w:ascii="宋体" w:hAnsi="宋体" w:eastAsia="宋体" w:cs="宋体"/>
          <w:color w:val="auto"/>
          <w:sz w:val="21"/>
          <w:szCs w:val="21"/>
          <w:shd w:val="clear" w:color="auto" w:fill="FFFFFF"/>
        </w:rPr>
        <w:t>附件</w:t>
      </w:r>
      <w:r>
        <w:rPr>
          <w:rFonts w:hint="eastAsia" w:hAnsi="宋体" w:cs="宋体"/>
          <w:color w:val="auto"/>
          <w:sz w:val="21"/>
          <w:szCs w:val="21"/>
          <w:shd w:val="clear" w:color="auto" w:fill="FFFFFF"/>
          <w:lang w:val="en-US" w:eastAsia="zh-CN"/>
        </w:rPr>
        <w:t>6</w:t>
      </w:r>
      <w:r>
        <w:rPr>
          <w:rFonts w:hint="eastAsia" w:ascii="宋体" w:hAnsi="宋体" w:eastAsia="宋体" w:cs="宋体"/>
          <w:color w:val="auto"/>
          <w:sz w:val="21"/>
          <w:szCs w:val="21"/>
          <w:shd w:val="clear" w:color="auto" w:fill="FFFFFF"/>
        </w:rPr>
        <w:t>：</w:t>
      </w:r>
      <w:r>
        <w:rPr>
          <w:rFonts w:hint="eastAsia" w:hAnsi="宋体" w:cs="宋体"/>
          <w:color w:val="auto"/>
          <w:sz w:val="21"/>
          <w:szCs w:val="21"/>
          <w:shd w:val="clear" w:color="auto" w:fill="FFFFFF"/>
          <w:lang w:val="en-US" w:eastAsia="zh-CN"/>
        </w:rPr>
        <w:t>采购</w:t>
      </w:r>
      <w:r>
        <w:rPr>
          <w:rFonts w:hint="eastAsia" w:ascii="宋体" w:hAnsi="宋体" w:eastAsia="宋体" w:cs="宋体"/>
          <w:color w:val="auto"/>
          <w:sz w:val="21"/>
          <w:szCs w:val="21"/>
          <w:shd w:val="clear" w:color="auto" w:fill="FFFFFF"/>
        </w:rPr>
        <w:t>文件</w:t>
      </w:r>
    </w:p>
    <w:p w14:paraId="37BB4504">
      <w:pPr>
        <w:keepNext w:val="0"/>
        <w:keepLines w:val="0"/>
        <w:pageBreakBefore w:val="0"/>
        <w:kinsoku/>
        <w:overflowPunct/>
        <w:topLinePunct w:val="0"/>
        <w:bidi w:val="0"/>
        <w:spacing w:line="360" w:lineRule="auto"/>
        <w:ind w:left="0" w:leftChars="0"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shd w:val="clear" w:color="auto" w:fill="FFFFFF"/>
        </w:rPr>
        <w:t>附件</w:t>
      </w:r>
      <w:r>
        <w:rPr>
          <w:rFonts w:hint="eastAsia" w:hAnsi="宋体" w:cs="宋体"/>
          <w:color w:val="auto"/>
          <w:sz w:val="21"/>
          <w:szCs w:val="21"/>
          <w:shd w:val="clear" w:color="auto" w:fill="FFFFFF"/>
          <w:lang w:val="en-US" w:eastAsia="zh-CN"/>
        </w:rPr>
        <w:t>7</w:t>
      </w:r>
      <w:r>
        <w:rPr>
          <w:rFonts w:hint="eastAsia" w:ascii="宋体" w:hAnsi="宋体" w:eastAsia="宋体" w:cs="宋体"/>
          <w:color w:val="auto"/>
          <w:sz w:val="21"/>
          <w:szCs w:val="21"/>
          <w:shd w:val="clear" w:color="auto" w:fill="FFFFFF"/>
        </w:rPr>
        <w:t>：履约担保凭证</w:t>
      </w:r>
    </w:p>
    <w:p w14:paraId="54FF96AD">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14.2 本合同未尽事宜，经双方平等友好协商一致，可签订补充协议。</w:t>
      </w:r>
    </w:p>
    <w:p w14:paraId="186CB4BE">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contextualSpacing/>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14.3 本合同自双方有权代表签字、单位盖章后生效。</w:t>
      </w:r>
    </w:p>
    <w:p w14:paraId="7492D3F5">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contextualSpacing/>
        <w:textAlignment w:val="auto"/>
        <w:rPr>
          <w:rFonts w:hint="eastAsia" w:ascii="宋体" w:hAnsi="宋体" w:eastAsia="宋体" w:cs="宋体"/>
          <w:color w:val="auto"/>
          <w:sz w:val="21"/>
          <w:szCs w:val="21"/>
          <w:lang w:val="zh-CN"/>
        </w:rPr>
      </w:pPr>
      <w:r>
        <w:rPr>
          <w:rFonts w:hint="eastAsia" w:ascii="宋体" w:hAnsi="宋体" w:eastAsia="宋体" w:cs="宋体"/>
          <w:color w:val="auto"/>
          <w:sz w:val="21"/>
          <w:szCs w:val="21"/>
        </w:rPr>
        <w:t>14.4 本合同一式【陆】份，甲方执【叁】份，乙方执【叁 】份，各份具有同等法律效力。</w:t>
      </w:r>
    </w:p>
    <w:p w14:paraId="736129CB">
      <w:pPr>
        <w:keepNext w:val="0"/>
        <w:keepLines w:val="0"/>
        <w:pageBreakBefore w:val="0"/>
        <w:kinsoku/>
        <w:overflowPunct/>
        <w:topLinePunct w:val="0"/>
        <w:bidi w:val="0"/>
        <w:spacing w:line="360" w:lineRule="auto"/>
        <w:ind w:firstLine="422" w:firstLineChars="200"/>
        <w:rPr>
          <w:rFonts w:hint="eastAsia" w:ascii="宋体" w:hAnsi="宋体" w:eastAsia="宋体" w:cs="宋体"/>
          <w:b/>
          <w:bCs/>
          <w:color w:val="auto"/>
          <w:sz w:val="21"/>
          <w:szCs w:val="21"/>
        </w:rPr>
      </w:pPr>
    </w:p>
    <w:p w14:paraId="2FB9D3DA">
      <w:pPr>
        <w:keepNext w:val="0"/>
        <w:keepLines w:val="0"/>
        <w:pageBreakBefore w:val="0"/>
        <w:kinsoku/>
        <w:overflowPunct/>
        <w:topLinePunct w:val="0"/>
        <w:bidi w:val="0"/>
        <w:spacing w:line="360" w:lineRule="auto"/>
        <w:ind w:firstLine="422" w:firstLineChars="200"/>
        <w:rPr>
          <w:rFonts w:hint="eastAsia" w:ascii="宋体" w:hAnsi="宋体" w:eastAsia="宋体" w:cs="宋体"/>
          <w:b/>
          <w:bCs/>
          <w:color w:val="auto"/>
          <w:sz w:val="21"/>
          <w:szCs w:val="21"/>
        </w:rPr>
      </w:pPr>
    </w:p>
    <w:p w14:paraId="66F118E3">
      <w:pPr>
        <w:keepNext w:val="0"/>
        <w:keepLines w:val="0"/>
        <w:pageBreakBefore w:val="0"/>
        <w:widowControl w:val="0"/>
        <w:kinsoku/>
        <w:wordWrap/>
        <w:overflowPunct/>
        <w:topLinePunct w:val="0"/>
        <w:autoSpaceDE w:val="0"/>
        <w:autoSpaceDN w:val="0"/>
        <w:bidi w:val="0"/>
        <w:adjustRightInd w:val="0"/>
        <w:snapToGrid w:val="0"/>
        <w:spacing w:line="480" w:lineRule="auto"/>
        <w:ind w:left="3994" w:hanging="3994" w:hangingChars="1902"/>
        <w:textAlignment w:val="auto"/>
        <w:rPr>
          <w:rFonts w:hint="eastAsia" w:ascii="宋体" w:hAnsi="宋体" w:eastAsia="宋体" w:cs="宋体"/>
          <w:color w:val="auto"/>
          <w:sz w:val="21"/>
          <w:szCs w:val="21"/>
          <w:shd w:val="clear" w:color="auto" w:fill="FFFFFF"/>
        </w:rPr>
      </w:pPr>
      <w:r>
        <w:rPr>
          <w:rFonts w:hint="eastAsia" w:ascii="宋体" w:hAnsi="宋体" w:eastAsia="宋体" w:cs="宋体"/>
          <w:color w:val="auto"/>
          <w:sz w:val="21"/>
          <w:szCs w:val="21"/>
          <w:shd w:val="clear" w:color="auto" w:fill="FFFFFF"/>
        </w:rPr>
        <w:t>甲方（盖章）：                          乙方（盖章）：</w:t>
      </w:r>
    </w:p>
    <w:p w14:paraId="76EF01BF">
      <w:pPr>
        <w:keepNext w:val="0"/>
        <w:keepLines w:val="0"/>
        <w:pageBreakBefore w:val="0"/>
        <w:widowControl w:val="0"/>
        <w:kinsoku/>
        <w:wordWrap/>
        <w:overflowPunct/>
        <w:topLinePunct w:val="0"/>
        <w:autoSpaceDE w:val="0"/>
        <w:autoSpaceDN w:val="0"/>
        <w:bidi w:val="0"/>
        <w:adjustRightInd w:val="0"/>
        <w:spacing w:line="480" w:lineRule="auto"/>
        <w:textAlignment w:val="auto"/>
        <w:rPr>
          <w:rFonts w:hint="eastAsia" w:ascii="宋体" w:hAnsi="宋体" w:eastAsia="宋体" w:cs="宋体"/>
          <w:color w:val="auto"/>
          <w:sz w:val="21"/>
          <w:szCs w:val="21"/>
          <w:shd w:val="clear" w:color="auto" w:fill="FFFFFF"/>
        </w:rPr>
      </w:pPr>
      <w:r>
        <w:rPr>
          <w:rFonts w:hint="eastAsia" w:ascii="宋体" w:hAnsi="宋体" w:eastAsia="宋体" w:cs="宋体"/>
          <w:color w:val="auto"/>
          <w:sz w:val="21"/>
          <w:szCs w:val="21"/>
          <w:shd w:val="clear" w:color="auto" w:fill="FFFFFF"/>
        </w:rPr>
        <w:t>法定代表人或其委托代理人：              法定代表人或其委托代理人：</w:t>
      </w:r>
    </w:p>
    <w:p w14:paraId="491B16C4">
      <w:pPr>
        <w:keepNext w:val="0"/>
        <w:keepLines w:val="0"/>
        <w:pageBreakBefore w:val="0"/>
        <w:widowControl w:val="0"/>
        <w:kinsoku/>
        <w:wordWrap/>
        <w:overflowPunct/>
        <w:topLinePunct w:val="0"/>
        <w:autoSpaceDE w:val="0"/>
        <w:autoSpaceDN w:val="0"/>
        <w:bidi w:val="0"/>
        <w:adjustRightInd w:val="0"/>
        <w:spacing w:line="480" w:lineRule="auto"/>
        <w:textAlignment w:val="auto"/>
        <w:rPr>
          <w:rFonts w:hint="eastAsia" w:ascii="宋体" w:hAnsi="宋体" w:eastAsia="宋体" w:cs="宋体"/>
          <w:color w:val="auto"/>
          <w:sz w:val="21"/>
          <w:szCs w:val="21"/>
          <w:shd w:val="clear" w:color="auto" w:fill="FFFFFF"/>
        </w:rPr>
      </w:pPr>
    </w:p>
    <w:p w14:paraId="67F5105B">
      <w:pPr>
        <w:keepNext w:val="0"/>
        <w:keepLines w:val="0"/>
        <w:pageBreakBefore w:val="0"/>
        <w:widowControl w:val="0"/>
        <w:kinsoku/>
        <w:wordWrap/>
        <w:overflowPunct/>
        <w:topLinePunct w:val="0"/>
        <w:autoSpaceDE w:val="0"/>
        <w:autoSpaceDN w:val="0"/>
        <w:bidi w:val="0"/>
        <w:adjustRightInd w:val="0"/>
        <w:snapToGrid w:val="0"/>
        <w:spacing w:line="480" w:lineRule="auto"/>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合同订立时间：</w:t>
      </w:r>
      <w:r>
        <w:rPr>
          <w:rFonts w:hint="eastAsia" w:hAnsi="宋体" w:cs="宋体"/>
          <w:b/>
          <w:bCs/>
          <w:color w:val="auto"/>
          <w:sz w:val="21"/>
          <w:szCs w:val="21"/>
          <w:lang w:val="en-US" w:eastAsia="zh-CN"/>
        </w:rPr>
        <w:t xml:space="preserve">    </w:t>
      </w:r>
      <w:r>
        <w:rPr>
          <w:rFonts w:hint="eastAsia" w:ascii="宋体" w:hAnsi="宋体" w:eastAsia="宋体" w:cs="宋体"/>
          <w:b/>
          <w:bCs/>
          <w:color w:val="auto"/>
          <w:sz w:val="21"/>
          <w:szCs w:val="21"/>
        </w:rPr>
        <w:t>年    月    日</w:t>
      </w:r>
    </w:p>
    <w:p w14:paraId="163F8A3C">
      <w:pPr>
        <w:keepNext w:val="0"/>
        <w:keepLines w:val="0"/>
        <w:pageBreakBefore w:val="0"/>
        <w:widowControl w:val="0"/>
        <w:kinsoku/>
        <w:wordWrap/>
        <w:overflowPunct/>
        <w:topLinePunct w:val="0"/>
        <w:autoSpaceDE w:val="0"/>
        <w:autoSpaceDN w:val="0"/>
        <w:bidi w:val="0"/>
        <w:adjustRightInd w:val="0"/>
        <w:snapToGrid w:val="0"/>
        <w:spacing w:line="480" w:lineRule="auto"/>
        <w:textAlignment w:val="auto"/>
        <w:rPr>
          <w:rFonts w:hint="eastAsia" w:ascii="宋体" w:hAnsi="宋体" w:eastAsia="宋体" w:cs="宋体"/>
          <w:color w:val="auto"/>
          <w:sz w:val="21"/>
          <w:szCs w:val="21"/>
        </w:rPr>
        <w:sectPr>
          <w:headerReference r:id="rId9" w:type="default"/>
          <w:footerReference r:id="rId10" w:type="default"/>
          <w:pgSz w:w="11906" w:h="16838"/>
          <w:pgMar w:top="1418" w:right="1418" w:bottom="1418" w:left="1418" w:header="964" w:footer="992" w:gutter="0"/>
          <w:pgNumType w:fmt="decimal"/>
          <w:cols w:space="720" w:num="1"/>
          <w:docGrid w:type="lines" w:linePitch="312" w:charSpace="0"/>
        </w:sectPr>
      </w:pPr>
      <w:r>
        <w:rPr>
          <w:rFonts w:hint="eastAsia" w:ascii="宋体" w:hAnsi="宋体" w:eastAsia="宋体" w:cs="宋体"/>
          <w:b/>
          <w:bCs/>
          <w:color w:val="auto"/>
          <w:sz w:val="21"/>
          <w:szCs w:val="21"/>
        </w:rPr>
        <w:t>合同签订地点：东莞市</w:t>
      </w:r>
    </w:p>
    <w:p w14:paraId="4820DA0E">
      <w:pPr>
        <w:keepNext w:val="0"/>
        <w:keepLines w:val="0"/>
        <w:pageBreakBefore w:val="0"/>
        <w:kinsoku/>
        <w:overflowPunct/>
        <w:topLinePunct w:val="0"/>
        <w:bidi w:val="0"/>
        <w:spacing w:line="360" w:lineRule="auto"/>
        <w:rPr>
          <w:rFonts w:ascii="宋体" w:hAnsi="宋体" w:cs="宋体"/>
          <w:bCs/>
          <w:color w:val="auto"/>
          <w:sz w:val="24"/>
        </w:rPr>
      </w:pPr>
      <w:r>
        <w:rPr>
          <w:rFonts w:hint="eastAsia" w:ascii="宋体" w:hAnsi="宋体" w:cs="宋体"/>
          <w:bCs/>
          <w:color w:val="auto"/>
          <w:sz w:val="24"/>
        </w:rPr>
        <w:t>附件1:</w:t>
      </w:r>
    </w:p>
    <w:p w14:paraId="2DC7C143">
      <w:pPr>
        <w:keepNext w:val="0"/>
        <w:keepLines w:val="0"/>
        <w:pageBreakBefore w:val="0"/>
        <w:kinsoku/>
        <w:overflowPunct/>
        <w:topLinePunct w:val="0"/>
        <w:bidi w:val="0"/>
        <w:spacing w:line="360" w:lineRule="auto"/>
        <w:ind w:firstLine="883" w:firstLineChars="200"/>
        <w:jc w:val="center"/>
        <w:rPr>
          <w:rFonts w:ascii="宋体" w:hAnsi="宋体"/>
          <w:b/>
          <w:color w:val="auto"/>
          <w:sz w:val="44"/>
          <w:szCs w:val="44"/>
        </w:rPr>
      </w:pPr>
      <w:r>
        <w:rPr>
          <w:rFonts w:hint="eastAsia" w:ascii="宋体" w:hAnsi="宋体"/>
          <w:b/>
          <w:color w:val="auto"/>
          <w:sz w:val="44"/>
          <w:szCs w:val="44"/>
        </w:rPr>
        <w:t>阳光合作协议</w:t>
      </w:r>
    </w:p>
    <w:p w14:paraId="54FA9F80">
      <w:pPr>
        <w:keepNext w:val="0"/>
        <w:keepLines w:val="0"/>
        <w:pageBreakBefore w:val="0"/>
        <w:kinsoku/>
        <w:overflowPunct/>
        <w:topLinePunct w:val="0"/>
        <w:bidi w:val="0"/>
        <w:spacing w:line="360" w:lineRule="auto"/>
        <w:ind w:firstLine="482" w:firstLineChars="200"/>
        <w:jc w:val="center"/>
        <w:rPr>
          <w:rFonts w:ascii="宋体" w:hAnsi="宋体"/>
          <w:b/>
          <w:color w:val="auto"/>
          <w:szCs w:val="21"/>
        </w:rPr>
      </w:pPr>
    </w:p>
    <w:p w14:paraId="50FD3535">
      <w:pPr>
        <w:keepNext w:val="0"/>
        <w:keepLines w:val="0"/>
        <w:pageBreakBefore w:val="0"/>
        <w:kinsoku/>
        <w:overflowPunct/>
        <w:topLinePunct w:val="0"/>
        <w:bidi w:val="0"/>
        <w:spacing w:line="360" w:lineRule="auto"/>
        <w:ind w:firstLine="420" w:firstLineChars="200"/>
        <w:contextualSpacing/>
        <w:rPr>
          <w:rFonts w:ascii="宋体" w:hAnsi="宋体"/>
          <w:color w:val="auto"/>
          <w:sz w:val="21"/>
          <w:szCs w:val="21"/>
        </w:rPr>
      </w:pPr>
      <w:r>
        <w:rPr>
          <w:rFonts w:hint="eastAsia" w:ascii="宋体" w:hAnsi="宋体"/>
          <w:color w:val="auto"/>
          <w:sz w:val="21"/>
          <w:szCs w:val="21"/>
        </w:rPr>
        <w:t>甲方：</w:t>
      </w:r>
      <w:r>
        <w:rPr>
          <w:rFonts w:hint="eastAsia" w:ascii="宋体" w:hAnsi="宋体" w:cs="宋体"/>
          <w:color w:val="auto"/>
          <w:sz w:val="21"/>
          <w:szCs w:val="21"/>
          <w:u w:val="single"/>
          <w:lang w:eastAsia="zh-CN"/>
        </w:rPr>
        <w:t>东莞市</w:t>
      </w:r>
      <w:r>
        <w:rPr>
          <w:rFonts w:hint="eastAsia" w:hAnsi="宋体" w:cs="宋体"/>
          <w:color w:val="auto"/>
          <w:sz w:val="21"/>
          <w:szCs w:val="21"/>
          <w:u w:val="single"/>
          <w:lang w:val="en-US" w:eastAsia="zh-CN"/>
        </w:rPr>
        <w:t>东厚</w:t>
      </w:r>
      <w:r>
        <w:rPr>
          <w:rFonts w:hint="eastAsia" w:ascii="宋体" w:hAnsi="宋体" w:cs="宋体"/>
          <w:color w:val="auto"/>
          <w:sz w:val="21"/>
          <w:szCs w:val="21"/>
          <w:u w:val="single"/>
          <w:lang w:eastAsia="zh-CN"/>
        </w:rPr>
        <w:t>安居建设有限公司</w:t>
      </w:r>
    </w:p>
    <w:p w14:paraId="4E9F4482">
      <w:pPr>
        <w:keepNext w:val="0"/>
        <w:keepLines w:val="0"/>
        <w:pageBreakBefore w:val="0"/>
        <w:kinsoku/>
        <w:overflowPunct/>
        <w:topLinePunct w:val="0"/>
        <w:bidi w:val="0"/>
        <w:spacing w:line="360" w:lineRule="auto"/>
        <w:ind w:firstLine="420" w:firstLineChars="200"/>
        <w:contextualSpacing/>
        <w:rPr>
          <w:rFonts w:ascii="宋体" w:hAnsi="宋体"/>
          <w:color w:val="auto"/>
          <w:sz w:val="21"/>
          <w:szCs w:val="21"/>
        </w:rPr>
      </w:pPr>
      <w:r>
        <w:rPr>
          <w:rFonts w:hint="eastAsia" w:ascii="宋体" w:hAnsi="宋体"/>
          <w:color w:val="auto"/>
          <w:sz w:val="21"/>
          <w:szCs w:val="21"/>
        </w:rPr>
        <w:t>乙方：</w:t>
      </w:r>
      <w:r>
        <w:rPr>
          <w:rFonts w:hint="eastAsia" w:ascii="宋体" w:hAnsi="宋体" w:cs="宋体"/>
          <w:color w:val="auto"/>
          <w:sz w:val="21"/>
          <w:szCs w:val="21"/>
          <w:u w:val="single"/>
        </w:rPr>
        <w:t xml:space="preserve">     </w:t>
      </w:r>
      <w:r>
        <w:rPr>
          <w:rFonts w:hint="eastAsia" w:hAnsi="宋体"/>
          <w:color w:val="auto"/>
          <w:sz w:val="21"/>
          <w:szCs w:val="21"/>
          <w:u w:val="single"/>
        </w:rPr>
        <w:t xml:space="preserve">                     </w:t>
      </w:r>
    </w:p>
    <w:p w14:paraId="579ACE21">
      <w:pPr>
        <w:pStyle w:val="20"/>
        <w:keepNext w:val="0"/>
        <w:keepLines w:val="0"/>
        <w:pageBreakBefore w:val="0"/>
        <w:kinsoku/>
        <w:overflowPunct/>
        <w:topLinePunct w:val="0"/>
        <w:bidi w:val="0"/>
        <w:spacing w:line="360" w:lineRule="auto"/>
        <w:rPr>
          <w:rFonts w:ascii="宋体" w:hAnsi="宋体"/>
          <w:color w:val="auto"/>
          <w:sz w:val="21"/>
          <w:szCs w:val="21"/>
        </w:rPr>
      </w:pPr>
    </w:p>
    <w:p w14:paraId="09E43711">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color w:val="auto"/>
          <w:sz w:val="21"/>
          <w:szCs w:val="21"/>
        </w:rPr>
      </w:pPr>
      <w:r>
        <w:rPr>
          <w:rFonts w:hint="eastAsia" w:ascii="宋体" w:hAnsi="宋体"/>
          <w:color w:val="auto"/>
          <w:sz w:val="21"/>
          <w:szCs w:val="21"/>
        </w:rPr>
        <w:t>甲乙双方于</w:t>
      </w:r>
      <w:r>
        <w:rPr>
          <w:rFonts w:hint="eastAsia" w:hAnsi="宋体"/>
          <w:color w:val="auto"/>
          <w:sz w:val="21"/>
          <w:szCs w:val="21"/>
          <w:u w:val="single"/>
          <w:lang w:val="en-US" w:eastAsia="zh-CN"/>
        </w:rPr>
        <w:t xml:space="preserve">     </w:t>
      </w:r>
      <w:r>
        <w:rPr>
          <w:rFonts w:hint="eastAsia" w:ascii="宋体" w:hAnsi="宋体"/>
          <w:color w:val="auto"/>
          <w:sz w:val="21"/>
          <w:szCs w:val="21"/>
        </w:rPr>
        <w:t>年</w:t>
      </w:r>
      <w:r>
        <w:rPr>
          <w:rFonts w:hint="eastAsia" w:ascii="宋体" w:hAnsi="宋体"/>
          <w:color w:val="auto"/>
          <w:sz w:val="21"/>
          <w:szCs w:val="21"/>
          <w:u w:val="single"/>
        </w:rPr>
        <w:t xml:space="preserve">      </w:t>
      </w:r>
      <w:r>
        <w:rPr>
          <w:rFonts w:hint="eastAsia" w:ascii="宋体" w:hAnsi="宋体"/>
          <w:color w:val="auto"/>
          <w:sz w:val="21"/>
          <w:szCs w:val="21"/>
        </w:rPr>
        <w:t>月</w:t>
      </w:r>
      <w:r>
        <w:rPr>
          <w:rFonts w:hint="eastAsia" w:ascii="宋体" w:hAnsi="宋体"/>
          <w:color w:val="auto"/>
          <w:sz w:val="21"/>
          <w:szCs w:val="21"/>
          <w:u w:val="single"/>
        </w:rPr>
        <w:t xml:space="preserve">      </w:t>
      </w:r>
      <w:r>
        <w:rPr>
          <w:rFonts w:hint="eastAsia" w:ascii="宋体" w:hAnsi="宋体"/>
          <w:color w:val="auto"/>
          <w:sz w:val="21"/>
          <w:szCs w:val="21"/>
        </w:rPr>
        <w:t>日签署了《</w:t>
      </w:r>
      <w:r>
        <w:rPr>
          <w:rFonts w:hint="eastAsia" w:ascii="宋体" w:hAnsi="宋体" w:cs="宋体"/>
          <w:color w:val="000000"/>
          <w:sz w:val="21"/>
          <w:szCs w:val="21"/>
          <w:highlight w:val="none"/>
          <w:u w:val="single"/>
          <w:lang w:eastAsia="zh-CN"/>
        </w:rPr>
        <w:t>东实·滨湖苑项目（东莞市厚街镇厚山配售型保障性住房项目）营销中心及样板间软装施工合同</w:t>
      </w:r>
      <w:r>
        <w:rPr>
          <w:rFonts w:hint="eastAsia" w:ascii="宋体" w:hAnsi="宋体"/>
          <w:color w:val="auto"/>
          <w:sz w:val="21"/>
          <w:szCs w:val="21"/>
        </w:rPr>
        <w:t>》（以下简称原合同），为加强双方阳光合作，保证职员职业安全，甲乙双方经协商签订本协议并作为双方共同遵守的阳光合作行为准则。</w:t>
      </w:r>
    </w:p>
    <w:p w14:paraId="14ACB335">
      <w:pPr>
        <w:keepNext w:val="0"/>
        <w:keepLines w:val="0"/>
        <w:pageBreakBefore w:val="0"/>
        <w:kinsoku/>
        <w:wordWrap/>
        <w:overflowPunct/>
        <w:topLinePunct w:val="0"/>
        <w:bidi w:val="0"/>
        <w:snapToGrid/>
        <w:spacing w:line="360" w:lineRule="auto"/>
        <w:ind w:left="0" w:leftChars="0" w:firstLine="422" w:firstLineChars="200"/>
        <w:contextualSpacing/>
        <w:textAlignment w:val="auto"/>
        <w:rPr>
          <w:rFonts w:ascii="宋体" w:hAnsi="宋体"/>
          <w:b/>
          <w:color w:val="auto"/>
          <w:sz w:val="21"/>
          <w:szCs w:val="21"/>
        </w:rPr>
      </w:pPr>
      <w:r>
        <w:rPr>
          <w:rFonts w:hint="eastAsia" w:ascii="宋体" w:hAnsi="宋体"/>
          <w:b/>
          <w:color w:val="auto"/>
          <w:sz w:val="21"/>
          <w:szCs w:val="21"/>
        </w:rPr>
        <w:t>一、甲方责任</w:t>
      </w:r>
    </w:p>
    <w:p w14:paraId="11061845">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color w:val="auto"/>
          <w:sz w:val="21"/>
          <w:szCs w:val="21"/>
        </w:rPr>
      </w:pPr>
      <w:r>
        <w:rPr>
          <w:rFonts w:hint="eastAsia" w:ascii="宋体" w:hAnsi="宋体"/>
          <w:color w:val="auto"/>
          <w:sz w:val="21"/>
          <w:szCs w:val="21"/>
        </w:rPr>
        <w:t>1.甲方有责任向乙方介绍本单位有关采购管理通用原则和本协议的规定。</w:t>
      </w:r>
    </w:p>
    <w:p w14:paraId="0A3744EA">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color w:val="auto"/>
          <w:sz w:val="21"/>
          <w:szCs w:val="21"/>
        </w:rPr>
      </w:pPr>
      <w:r>
        <w:rPr>
          <w:rFonts w:hint="eastAsia" w:ascii="宋体" w:hAnsi="宋体"/>
          <w:color w:val="auto"/>
          <w:sz w:val="21"/>
          <w:szCs w:val="21"/>
        </w:rPr>
        <w:t>2.甲方有责任对本单位相关人员进行阳光合作教育。</w:t>
      </w:r>
    </w:p>
    <w:p w14:paraId="33A8A184">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color w:val="auto"/>
          <w:sz w:val="21"/>
          <w:szCs w:val="21"/>
        </w:rPr>
      </w:pPr>
      <w:r>
        <w:rPr>
          <w:rFonts w:hint="eastAsia" w:ascii="宋体" w:hAnsi="宋体"/>
          <w:color w:val="auto"/>
          <w:sz w:val="21"/>
          <w:szCs w:val="21"/>
        </w:rPr>
        <w:t>3.甲方人员应严格遵守本单位有关阳光合作管理的规定，不得接受乙方任何形式的回扣、实物、现金、有价证券、礼券等有价物品，不得参加乙方提供的旅游或其他可能影响职务行为公正履行的活动。</w:t>
      </w:r>
    </w:p>
    <w:p w14:paraId="1B66CFB0">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color w:val="auto"/>
          <w:sz w:val="21"/>
          <w:szCs w:val="21"/>
        </w:rPr>
      </w:pPr>
      <w:r>
        <w:rPr>
          <w:rFonts w:hint="eastAsia" w:ascii="宋体" w:hAnsi="宋体"/>
          <w:color w:val="auto"/>
          <w:sz w:val="21"/>
          <w:szCs w:val="21"/>
        </w:rPr>
        <w:t>4.甲方人员如违反阳光合作管理制度及本协议规定，甲方视情节轻重、影响大小给予行政及经济处罚。</w:t>
      </w:r>
    </w:p>
    <w:p w14:paraId="060176A1">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color w:val="auto"/>
          <w:sz w:val="21"/>
          <w:szCs w:val="21"/>
        </w:rPr>
      </w:pPr>
      <w:r>
        <w:rPr>
          <w:rFonts w:hint="eastAsia" w:ascii="宋体" w:hAnsi="宋体"/>
          <w:color w:val="auto"/>
          <w:sz w:val="21"/>
          <w:szCs w:val="21"/>
        </w:rPr>
        <w:t>5．对于乙方举报甲方人员违反阳光合作规定的情况，甲方应及时进行调查，根据调查情况进行处理，并将调查结果向乙方反馈。</w:t>
      </w:r>
    </w:p>
    <w:p w14:paraId="59896507">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color w:val="auto"/>
          <w:sz w:val="21"/>
          <w:szCs w:val="21"/>
        </w:rPr>
      </w:pPr>
      <w:r>
        <w:rPr>
          <w:rFonts w:hint="eastAsia" w:ascii="宋体" w:hAnsi="宋体"/>
          <w:color w:val="auto"/>
          <w:sz w:val="21"/>
          <w:szCs w:val="21"/>
        </w:rPr>
        <w:t>6.接受举报的一方应为举报方保密，不得对举报方进行报复，对举报属实和严格遵守《阳光合作协议》的合作方，在同等条件下给予后续合作的优先权。</w:t>
      </w:r>
    </w:p>
    <w:p w14:paraId="2C746982">
      <w:pPr>
        <w:keepNext w:val="0"/>
        <w:keepLines w:val="0"/>
        <w:pageBreakBefore w:val="0"/>
        <w:kinsoku/>
        <w:wordWrap/>
        <w:overflowPunct/>
        <w:topLinePunct w:val="0"/>
        <w:bidi w:val="0"/>
        <w:snapToGrid/>
        <w:spacing w:line="360" w:lineRule="auto"/>
        <w:ind w:left="0" w:leftChars="0" w:firstLine="422" w:firstLineChars="200"/>
        <w:contextualSpacing/>
        <w:textAlignment w:val="auto"/>
        <w:rPr>
          <w:rFonts w:ascii="宋体" w:hAnsi="宋体"/>
          <w:b/>
          <w:color w:val="auto"/>
          <w:sz w:val="21"/>
          <w:szCs w:val="21"/>
        </w:rPr>
      </w:pPr>
      <w:r>
        <w:rPr>
          <w:rFonts w:hint="eastAsia" w:ascii="宋体" w:hAnsi="宋体"/>
          <w:b/>
          <w:color w:val="auto"/>
          <w:sz w:val="21"/>
          <w:szCs w:val="21"/>
        </w:rPr>
        <w:t>二、乙方责任</w:t>
      </w:r>
    </w:p>
    <w:p w14:paraId="2D841DB7">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color w:val="auto"/>
          <w:sz w:val="21"/>
          <w:szCs w:val="21"/>
        </w:rPr>
      </w:pPr>
      <w:r>
        <w:rPr>
          <w:rFonts w:hint="eastAsia" w:ascii="宋体" w:hAnsi="宋体"/>
          <w:color w:val="auto"/>
          <w:sz w:val="21"/>
          <w:szCs w:val="21"/>
        </w:rPr>
        <w:t>1.乙方应保证乙方人员了解甲方有关采购管理通用原则和及本协议的规定，并遵照执行。</w:t>
      </w:r>
    </w:p>
    <w:p w14:paraId="732C29D8">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color w:val="auto"/>
          <w:sz w:val="21"/>
          <w:szCs w:val="21"/>
        </w:rPr>
      </w:pPr>
      <w:r>
        <w:rPr>
          <w:rFonts w:hint="eastAsia" w:ascii="宋体" w:hAnsi="宋体"/>
          <w:color w:val="auto"/>
          <w:sz w:val="21"/>
          <w:szCs w:val="21"/>
        </w:rPr>
        <w:t>2.乙方不得以任何形式给予甲方人员回扣、赠送实物、现金、有价证券、礼券等有价物品或提供旅游等其他可能影响职务行为公正履行的活动（以下统称“财物”）。</w:t>
      </w:r>
    </w:p>
    <w:p w14:paraId="16EAC6F3">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color w:val="auto"/>
          <w:sz w:val="21"/>
          <w:szCs w:val="21"/>
        </w:rPr>
      </w:pPr>
      <w:r>
        <w:rPr>
          <w:rFonts w:hint="eastAsia" w:ascii="宋体" w:hAnsi="宋体"/>
          <w:color w:val="auto"/>
          <w:sz w:val="21"/>
          <w:szCs w:val="21"/>
        </w:rPr>
        <w:t>3.乙方有责任接受甲方对乙方在合作期间阳光合作管理执行情况的监督，并对甲方相关调查工作主动配合。</w:t>
      </w:r>
    </w:p>
    <w:p w14:paraId="5BD44456">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color w:val="auto"/>
          <w:sz w:val="21"/>
          <w:szCs w:val="21"/>
        </w:rPr>
      </w:pPr>
      <w:r>
        <w:rPr>
          <w:rFonts w:hint="eastAsia" w:ascii="宋体" w:hAnsi="宋体"/>
          <w:color w:val="auto"/>
          <w:sz w:val="21"/>
          <w:szCs w:val="21"/>
        </w:rPr>
        <w:t>4.乙方有义务就甲方人员任何形式的索取或收受财物行为及时向甲方（直接联系人为东莞实业投资控股集团有限公司</w:t>
      </w:r>
      <w:r>
        <w:rPr>
          <w:rFonts w:hint="eastAsia" w:ascii="宋体" w:hAnsi="宋体"/>
          <w:color w:val="auto"/>
          <w:sz w:val="21"/>
          <w:szCs w:val="21"/>
          <w:lang w:eastAsia="zh-CN"/>
        </w:rPr>
        <w:t>风控法务</w:t>
      </w:r>
      <w:r>
        <w:rPr>
          <w:rFonts w:hint="eastAsia" w:ascii="宋体" w:hAnsi="宋体"/>
          <w:color w:val="auto"/>
          <w:sz w:val="21"/>
          <w:szCs w:val="21"/>
        </w:rPr>
        <w:t>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25F3F629">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color w:val="auto"/>
          <w:sz w:val="21"/>
          <w:szCs w:val="21"/>
        </w:rPr>
      </w:pPr>
      <w:r>
        <w:rPr>
          <w:rFonts w:hint="eastAsia" w:ascii="宋体" w:hAnsi="宋体"/>
          <w:color w:val="auto"/>
          <w:sz w:val="21"/>
          <w:szCs w:val="21"/>
        </w:rPr>
        <w:t xml:space="preserve">5．甲方接受乙方实名或匿名举报，保证为举报者的信息保密，常设举报部门及电话： </w:t>
      </w:r>
    </w:p>
    <w:p w14:paraId="24E39E12">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color w:val="auto"/>
          <w:sz w:val="21"/>
          <w:szCs w:val="21"/>
        </w:rPr>
      </w:pPr>
      <w:r>
        <w:rPr>
          <w:rFonts w:hint="eastAsia" w:ascii="宋体" w:hAnsi="宋体"/>
          <w:color w:val="auto"/>
          <w:sz w:val="21"/>
          <w:szCs w:val="21"/>
        </w:rPr>
        <w:t>举报受理部门：东莞实业投资控股集团有限公司</w:t>
      </w:r>
      <w:r>
        <w:rPr>
          <w:rFonts w:hint="eastAsia" w:ascii="宋体" w:hAnsi="宋体"/>
          <w:color w:val="auto"/>
          <w:sz w:val="21"/>
          <w:szCs w:val="21"/>
          <w:lang w:eastAsia="zh-CN"/>
        </w:rPr>
        <w:t>风控法务</w:t>
      </w:r>
      <w:r>
        <w:rPr>
          <w:rFonts w:hint="eastAsia" w:ascii="宋体" w:hAnsi="宋体"/>
          <w:color w:val="auto"/>
          <w:sz w:val="21"/>
          <w:szCs w:val="21"/>
        </w:rPr>
        <w:t>部</w:t>
      </w:r>
    </w:p>
    <w:p w14:paraId="58F377D5">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color w:val="auto"/>
          <w:sz w:val="21"/>
          <w:szCs w:val="21"/>
        </w:rPr>
      </w:pPr>
      <w:r>
        <w:rPr>
          <w:rFonts w:hint="eastAsia" w:ascii="宋体" w:hAnsi="宋体"/>
          <w:color w:val="auto"/>
          <w:sz w:val="21"/>
          <w:szCs w:val="21"/>
        </w:rPr>
        <w:t>东实集团举报邮箱：dgsyxf@163.com</w:t>
      </w:r>
    </w:p>
    <w:p w14:paraId="2F6F9A4A">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color w:val="auto"/>
          <w:sz w:val="21"/>
          <w:szCs w:val="21"/>
        </w:rPr>
      </w:pPr>
      <w:r>
        <w:rPr>
          <w:rFonts w:hint="eastAsia" w:ascii="宋体" w:hAnsi="宋体"/>
          <w:color w:val="auto"/>
          <w:sz w:val="21"/>
          <w:szCs w:val="21"/>
        </w:rPr>
        <w:t>东实集团举报电话：0769-28820703（周一至周五9:00-12:00和14:00-18:00）</w:t>
      </w:r>
    </w:p>
    <w:p w14:paraId="50704EFE">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color w:val="auto"/>
          <w:sz w:val="21"/>
          <w:szCs w:val="21"/>
        </w:rPr>
      </w:pPr>
      <w:r>
        <w:rPr>
          <w:rFonts w:hint="eastAsia" w:ascii="宋体" w:hAnsi="宋体"/>
          <w:color w:val="auto"/>
          <w:sz w:val="21"/>
          <w:szCs w:val="21"/>
        </w:rPr>
        <w:t>邮寄地址：东莞市东城区八一路1号机关二号大院9号楼，东莞实业投资控股集团有限公司</w:t>
      </w:r>
      <w:r>
        <w:rPr>
          <w:rFonts w:hint="eastAsia" w:ascii="宋体" w:hAnsi="宋体"/>
          <w:color w:val="auto"/>
          <w:sz w:val="21"/>
          <w:szCs w:val="21"/>
          <w:lang w:eastAsia="zh-CN"/>
        </w:rPr>
        <w:t>风控法务</w:t>
      </w:r>
      <w:r>
        <w:rPr>
          <w:rFonts w:hint="eastAsia" w:ascii="宋体" w:hAnsi="宋体"/>
          <w:color w:val="auto"/>
          <w:sz w:val="21"/>
          <w:szCs w:val="21"/>
        </w:rPr>
        <w:t>部收，邮编523000。</w:t>
      </w:r>
    </w:p>
    <w:p w14:paraId="0D79E8FA">
      <w:pPr>
        <w:keepNext w:val="0"/>
        <w:keepLines w:val="0"/>
        <w:pageBreakBefore w:val="0"/>
        <w:kinsoku/>
        <w:wordWrap/>
        <w:overflowPunct/>
        <w:topLinePunct w:val="0"/>
        <w:bidi w:val="0"/>
        <w:snapToGrid/>
        <w:spacing w:line="360" w:lineRule="auto"/>
        <w:ind w:left="0" w:leftChars="0" w:firstLine="422" w:firstLineChars="200"/>
        <w:contextualSpacing/>
        <w:textAlignment w:val="auto"/>
        <w:rPr>
          <w:rFonts w:ascii="宋体" w:hAnsi="宋体"/>
          <w:b/>
          <w:color w:val="auto"/>
          <w:sz w:val="21"/>
          <w:szCs w:val="21"/>
        </w:rPr>
      </w:pPr>
      <w:r>
        <w:rPr>
          <w:rFonts w:hint="eastAsia" w:ascii="宋体" w:hAnsi="宋体"/>
          <w:b/>
          <w:color w:val="auto"/>
          <w:sz w:val="21"/>
          <w:szCs w:val="21"/>
        </w:rPr>
        <w:t>三、其他</w:t>
      </w:r>
    </w:p>
    <w:p w14:paraId="4EA6071A">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color w:val="auto"/>
          <w:sz w:val="21"/>
          <w:szCs w:val="21"/>
        </w:rPr>
      </w:pPr>
      <w:r>
        <w:rPr>
          <w:rFonts w:hint="eastAsia" w:ascii="宋体" w:hAnsi="宋体"/>
          <w:color w:val="auto"/>
          <w:sz w:val="21"/>
          <w:szCs w:val="21"/>
        </w:rPr>
        <w:t>1.本协议是原合同的补充协议，与原合同有同等法律效力。</w:t>
      </w:r>
    </w:p>
    <w:p w14:paraId="479DBBD3">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color w:val="auto"/>
          <w:sz w:val="21"/>
          <w:szCs w:val="21"/>
        </w:rPr>
      </w:pPr>
      <w:r>
        <w:rPr>
          <w:rFonts w:hint="eastAsia" w:ascii="宋体" w:hAnsi="宋体"/>
          <w:color w:val="auto"/>
          <w:sz w:val="21"/>
          <w:szCs w:val="21"/>
        </w:rPr>
        <w:t>2.</w:t>
      </w:r>
      <w:r>
        <w:rPr>
          <w:rFonts w:ascii="宋体" w:hAnsi="宋体"/>
          <w:color w:val="auto"/>
          <w:sz w:val="21"/>
          <w:szCs w:val="21"/>
        </w:rPr>
        <w:t>本</w:t>
      </w:r>
      <w:r>
        <w:rPr>
          <w:rFonts w:hint="eastAsia" w:ascii="宋体" w:hAnsi="宋体"/>
          <w:color w:val="auto"/>
          <w:sz w:val="21"/>
          <w:szCs w:val="21"/>
        </w:rPr>
        <w:t>协议</w:t>
      </w:r>
      <w:r>
        <w:rPr>
          <w:rFonts w:ascii="宋体" w:hAnsi="宋体"/>
          <w:color w:val="auto"/>
          <w:sz w:val="21"/>
          <w:szCs w:val="21"/>
        </w:rPr>
        <w:t>一式</w:t>
      </w:r>
      <w:r>
        <w:rPr>
          <w:rFonts w:hint="eastAsia" w:ascii="宋体" w:hAnsi="宋体"/>
          <w:color w:val="auto"/>
          <w:sz w:val="21"/>
          <w:szCs w:val="21"/>
        </w:rPr>
        <w:t>陆</w:t>
      </w:r>
      <w:r>
        <w:rPr>
          <w:rFonts w:ascii="宋体" w:hAnsi="宋体"/>
          <w:color w:val="auto"/>
          <w:sz w:val="21"/>
          <w:szCs w:val="21"/>
        </w:rPr>
        <w:t>份，甲方执</w:t>
      </w:r>
      <w:r>
        <w:rPr>
          <w:rFonts w:hint="eastAsia" w:ascii="宋体" w:hAnsi="宋体"/>
          <w:color w:val="auto"/>
          <w:sz w:val="21"/>
          <w:szCs w:val="21"/>
        </w:rPr>
        <w:t>叁</w:t>
      </w:r>
      <w:r>
        <w:rPr>
          <w:rFonts w:ascii="宋体" w:hAnsi="宋体"/>
          <w:color w:val="auto"/>
          <w:sz w:val="21"/>
          <w:szCs w:val="21"/>
        </w:rPr>
        <w:t>份，乙方执</w:t>
      </w:r>
      <w:r>
        <w:rPr>
          <w:rFonts w:hint="eastAsia" w:ascii="宋体" w:hAnsi="宋体"/>
          <w:color w:val="auto"/>
          <w:sz w:val="21"/>
          <w:szCs w:val="21"/>
        </w:rPr>
        <w:t>叁</w:t>
      </w:r>
      <w:r>
        <w:rPr>
          <w:rFonts w:ascii="宋体" w:hAnsi="宋体"/>
          <w:color w:val="auto"/>
          <w:sz w:val="21"/>
          <w:szCs w:val="21"/>
        </w:rPr>
        <w:t>份</w:t>
      </w:r>
      <w:r>
        <w:rPr>
          <w:rFonts w:hint="eastAsia" w:ascii="宋体" w:hAnsi="宋体"/>
          <w:color w:val="auto"/>
          <w:sz w:val="21"/>
          <w:szCs w:val="21"/>
        </w:rPr>
        <w:t>,具有同等法律效力。</w:t>
      </w:r>
    </w:p>
    <w:p w14:paraId="10971F03">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color w:val="auto"/>
          <w:sz w:val="21"/>
          <w:szCs w:val="21"/>
        </w:rPr>
      </w:pPr>
      <w:r>
        <w:rPr>
          <w:rFonts w:hint="eastAsia" w:ascii="宋体" w:hAnsi="宋体"/>
          <w:color w:val="auto"/>
          <w:sz w:val="21"/>
          <w:szCs w:val="21"/>
        </w:rPr>
        <w:t>3.本协议经双方签署后生效。</w:t>
      </w:r>
    </w:p>
    <w:p w14:paraId="0D180B7F">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color w:val="auto"/>
          <w:sz w:val="21"/>
          <w:szCs w:val="21"/>
        </w:rPr>
      </w:pPr>
    </w:p>
    <w:p w14:paraId="31066653">
      <w:pPr>
        <w:keepNext w:val="0"/>
        <w:keepLines w:val="0"/>
        <w:pageBreakBefore w:val="0"/>
        <w:kinsoku/>
        <w:wordWrap/>
        <w:overflowPunct/>
        <w:topLinePunct w:val="0"/>
        <w:bidi w:val="0"/>
        <w:snapToGrid/>
        <w:spacing w:line="360" w:lineRule="auto"/>
        <w:ind w:left="0" w:leftChars="0" w:firstLine="420" w:firstLineChars="200"/>
        <w:contextualSpacing/>
        <w:textAlignment w:val="auto"/>
        <w:rPr>
          <w:color w:val="auto"/>
          <w:sz w:val="21"/>
          <w:szCs w:val="21"/>
        </w:rPr>
      </w:pPr>
    </w:p>
    <w:p w14:paraId="4AF64328">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color w:val="auto"/>
          <w:sz w:val="21"/>
          <w:szCs w:val="21"/>
        </w:rPr>
      </w:pPr>
      <w:r>
        <w:rPr>
          <w:rFonts w:hint="eastAsia" w:ascii="宋体" w:hAnsi="宋体"/>
          <w:color w:val="auto"/>
          <w:sz w:val="21"/>
          <w:szCs w:val="21"/>
        </w:rPr>
        <w:t>甲方（盖章）：                      乙方（盖章）：</w:t>
      </w:r>
      <w:r>
        <w:rPr>
          <w:rFonts w:ascii="宋体" w:hAnsi="宋体"/>
          <w:color w:val="auto"/>
          <w:sz w:val="21"/>
          <w:szCs w:val="21"/>
        </w:rPr>
        <w:t xml:space="preserve"> </w:t>
      </w:r>
    </w:p>
    <w:p w14:paraId="3C625624">
      <w:pPr>
        <w:pStyle w:val="18"/>
        <w:keepNext w:val="0"/>
        <w:keepLines w:val="0"/>
        <w:pageBreakBefore w:val="0"/>
        <w:kinsoku/>
        <w:wordWrap/>
        <w:overflowPunct/>
        <w:topLinePunct w:val="0"/>
        <w:bidi w:val="0"/>
        <w:snapToGrid/>
        <w:spacing w:line="360" w:lineRule="auto"/>
        <w:ind w:left="0" w:leftChars="0" w:firstLine="420" w:firstLineChars="200"/>
        <w:contextualSpacing/>
        <w:textAlignment w:val="auto"/>
        <w:rPr>
          <w:color w:val="auto"/>
          <w:sz w:val="21"/>
          <w:szCs w:val="21"/>
        </w:rPr>
      </w:pPr>
    </w:p>
    <w:p w14:paraId="30ACF40A">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color w:val="auto"/>
          <w:sz w:val="21"/>
          <w:szCs w:val="21"/>
        </w:rPr>
      </w:pPr>
      <w:r>
        <w:rPr>
          <w:rFonts w:hint="eastAsia" w:ascii="宋体" w:hAnsi="宋体"/>
          <w:color w:val="auto"/>
          <w:sz w:val="21"/>
          <w:szCs w:val="21"/>
        </w:rPr>
        <w:t>法定代表人（授权代表）：</w:t>
      </w:r>
      <w:r>
        <w:rPr>
          <w:rFonts w:hint="eastAsia" w:ascii="宋体" w:hAnsi="宋体"/>
          <w:color w:val="auto"/>
          <w:sz w:val="21"/>
          <w:szCs w:val="21"/>
        </w:rPr>
        <w:tab/>
      </w:r>
      <w:r>
        <w:rPr>
          <w:rFonts w:hint="eastAsia" w:ascii="宋体" w:hAnsi="宋体"/>
          <w:color w:val="auto"/>
          <w:sz w:val="21"/>
          <w:szCs w:val="21"/>
        </w:rPr>
        <w:tab/>
      </w:r>
      <w:r>
        <w:rPr>
          <w:rFonts w:hint="eastAsia" w:ascii="宋体" w:hAnsi="宋体"/>
          <w:color w:val="auto"/>
          <w:sz w:val="21"/>
          <w:szCs w:val="21"/>
        </w:rPr>
        <w:t xml:space="preserve">   法定代表人（授权代表）：</w:t>
      </w:r>
    </w:p>
    <w:p w14:paraId="2D651B12">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color w:val="auto"/>
          <w:sz w:val="21"/>
          <w:szCs w:val="21"/>
        </w:rPr>
      </w:pPr>
    </w:p>
    <w:p w14:paraId="7B8CAA2F">
      <w:pPr>
        <w:keepNext w:val="0"/>
        <w:keepLines w:val="0"/>
        <w:pageBreakBefore w:val="0"/>
        <w:kinsoku/>
        <w:wordWrap/>
        <w:overflowPunct/>
        <w:topLinePunct w:val="0"/>
        <w:bidi w:val="0"/>
        <w:snapToGrid/>
        <w:spacing w:line="360" w:lineRule="auto"/>
        <w:ind w:left="0" w:leftChars="0" w:firstLine="420" w:firstLineChars="200"/>
        <w:contextualSpacing/>
        <w:textAlignment w:val="auto"/>
        <w:rPr>
          <w:rFonts w:ascii="宋体" w:hAnsi="宋体"/>
          <w:color w:val="auto"/>
          <w:sz w:val="21"/>
          <w:szCs w:val="21"/>
        </w:rPr>
      </w:pPr>
      <w:r>
        <w:rPr>
          <w:rFonts w:hint="eastAsia" w:ascii="宋体" w:hAnsi="宋体"/>
          <w:color w:val="auto"/>
          <w:sz w:val="21"/>
          <w:szCs w:val="21"/>
        </w:rPr>
        <w:t>签约日期：   年   月   日</w:t>
      </w:r>
      <w:r>
        <w:rPr>
          <w:rFonts w:ascii="宋体" w:hAnsi="宋体"/>
          <w:color w:val="auto"/>
          <w:sz w:val="21"/>
          <w:szCs w:val="21"/>
        </w:rPr>
        <w:tab/>
      </w:r>
      <w:r>
        <w:rPr>
          <w:rFonts w:ascii="宋体" w:hAnsi="宋体"/>
          <w:color w:val="auto"/>
          <w:sz w:val="21"/>
          <w:szCs w:val="21"/>
        </w:rPr>
        <w:t xml:space="preserve">    </w:t>
      </w:r>
      <w:r>
        <w:rPr>
          <w:rFonts w:hint="eastAsia" w:ascii="宋体" w:hAnsi="宋体"/>
          <w:color w:val="auto"/>
          <w:sz w:val="21"/>
          <w:szCs w:val="21"/>
        </w:rPr>
        <w:t xml:space="preserve">   签约日期：   年   月   日</w:t>
      </w:r>
    </w:p>
    <w:p w14:paraId="40FB6358">
      <w:pPr>
        <w:rPr>
          <w:rFonts w:hint="eastAsia" w:ascii="Times New Roman" w:hAnsi="Times New Roman" w:eastAsia="宋体" w:cs="Times New Roman"/>
          <w:color w:val="auto"/>
          <w:kern w:val="2"/>
          <w:sz w:val="21"/>
          <w:lang w:val="en-US" w:eastAsia="zh-CN" w:bidi="ar-SA"/>
        </w:rPr>
      </w:pPr>
      <w:bookmarkStart w:id="173" w:name="_Toc280"/>
      <w:r>
        <w:rPr>
          <w:rFonts w:hint="eastAsia" w:ascii="Times New Roman" w:hAnsi="Times New Roman" w:eastAsia="宋体" w:cs="Times New Roman"/>
          <w:color w:val="auto"/>
          <w:kern w:val="2"/>
          <w:sz w:val="21"/>
          <w:lang w:val="en-US" w:eastAsia="zh-CN" w:bidi="ar-SA"/>
        </w:rPr>
        <w:br w:type="page"/>
      </w:r>
    </w:p>
    <w:p w14:paraId="61F4CBA1">
      <w:pPr>
        <w:keepNext w:val="0"/>
        <w:keepLines w:val="0"/>
        <w:pageBreakBefore w:val="0"/>
        <w:kinsoku/>
        <w:overflowPunct/>
        <w:topLinePunct w:val="0"/>
        <w:bidi w:val="0"/>
        <w:spacing w:line="360" w:lineRule="auto"/>
        <w:rPr>
          <w:rFonts w:hint="eastAsia" w:ascii="宋体" w:hAnsi="宋体" w:eastAsia="宋体" w:cs="宋体"/>
          <w:bCs/>
          <w:color w:val="auto"/>
          <w:sz w:val="24"/>
          <w:lang w:val="en-US" w:eastAsia="zh-CN"/>
        </w:rPr>
      </w:pPr>
      <w:r>
        <w:rPr>
          <w:rFonts w:hint="eastAsia" w:ascii="宋体" w:hAnsi="宋体" w:eastAsia="宋体" w:cs="宋体"/>
          <w:bCs/>
          <w:color w:val="auto"/>
          <w:sz w:val="24"/>
          <w:lang w:val="en-US" w:eastAsia="zh-CN"/>
        </w:rPr>
        <w:t>附件2：工程量清单（另附）</w:t>
      </w:r>
    </w:p>
    <w:bookmarkEnd w:id="173"/>
    <w:p w14:paraId="7B168333">
      <w:pPr>
        <w:rPr>
          <w:rFonts w:hint="eastAsia" w:ascii="宋体" w:hAnsi="宋体" w:eastAsia="宋体" w:cs="宋体"/>
          <w:bCs/>
          <w:color w:val="auto"/>
          <w:sz w:val="24"/>
          <w:lang w:val="en-US" w:eastAsia="zh-CN"/>
        </w:rPr>
      </w:pPr>
      <w:r>
        <w:rPr>
          <w:rFonts w:hint="eastAsia" w:ascii="宋体" w:hAnsi="宋体" w:eastAsia="宋体" w:cs="宋体"/>
          <w:bCs/>
          <w:color w:val="auto"/>
          <w:sz w:val="24"/>
          <w:lang w:val="en-US" w:eastAsia="zh-CN"/>
        </w:rPr>
        <w:br w:type="page"/>
      </w:r>
    </w:p>
    <w:p w14:paraId="1905AE44">
      <w:pPr>
        <w:keepNext w:val="0"/>
        <w:keepLines w:val="0"/>
        <w:pageBreakBefore w:val="0"/>
        <w:kinsoku/>
        <w:overflowPunct/>
        <w:topLinePunct w:val="0"/>
        <w:bidi w:val="0"/>
        <w:spacing w:line="360" w:lineRule="auto"/>
        <w:rPr>
          <w:rFonts w:hint="eastAsia" w:ascii="宋体" w:hAnsi="宋体" w:eastAsia="宋体" w:cs="宋体"/>
          <w:bCs/>
          <w:color w:val="auto"/>
          <w:sz w:val="24"/>
          <w:lang w:val="en-US" w:eastAsia="zh-CN"/>
        </w:rPr>
      </w:pPr>
      <w:r>
        <w:rPr>
          <w:rFonts w:hint="eastAsia" w:ascii="宋体" w:hAnsi="宋体" w:eastAsia="宋体" w:cs="宋体"/>
          <w:bCs/>
          <w:color w:val="auto"/>
          <w:sz w:val="24"/>
          <w:lang w:val="en-US" w:eastAsia="zh-CN"/>
        </w:rPr>
        <w:t>附件</w:t>
      </w:r>
      <w:r>
        <w:rPr>
          <w:rFonts w:hint="eastAsia" w:hAnsi="宋体" w:cs="宋体"/>
          <w:bCs/>
          <w:color w:val="auto"/>
          <w:sz w:val="24"/>
          <w:lang w:val="en-US" w:eastAsia="zh-CN"/>
        </w:rPr>
        <w:t>3</w:t>
      </w:r>
    </w:p>
    <w:p w14:paraId="567918D0">
      <w:pPr>
        <w:pStyle w:val="17"/>
        <w:keepNext w:val="0"/>
        <w:keepLines w:val="0"/>
        <w:pageBreakBefore w:val="0"/>
        <w:kinsoku/>
        <w:overflowPunct/>
        <w:topLinePunct w:val="0"/>
        <w:bidi w:val="0"/>
        <w:spacing w:before="0" w:line="360" w:lineRule="auto"/>
        <w:rPr>
          <w:rFonts w:ascii="Times New Roman" w:hAnsi="Times New Roman"/>
          <w:color w:val="auto"/>
        </w:rPr>
      </w:pPr>
    </w:p>
    <w:tbl>
      <w:tblPr>
        <w:tblStyle w:val="53"/>
        <w:tblW w:w="9140" w:type="dxa"/>
        <w:jc w:val="center"/>
        <w:tblLayout w:type="autofit"/>
        <w:tblCellMar>
          <w:top w:w="0" w:type="dxa"/>
          <w:left w:w="108" w:type="dxa"/>
          <w:bottom w:w="0" w:type="dxa"/>
          <w:right w:w="108" w:type="dxa"/>
        </w:tblCellMar>
      </w:tblPr>
      <w:tblGrid>
        <w:gridCol w:w="1957"/>
        <w:gridCol w:w="1957"/>
        <w:gridCol w:w="1957"/>
        <w:gridCol w:w="3269"/>
      </w:tblGrid>
      <w:tr w14:paraId="6752EB42">
        <w:tblPrEx>
          <w:tblCellMar>
            <w:top w:w="0" w:type="dxa"/>
            <w:left w:w="108" w:type="dxa"/>
            <w:bottom w:w="0" w:type="dxa"/>
            <w:right w:w="108" w:type="dxa"/>
          </w:tblCellMar>
        </w:tblPrEx>
        <w:trPr>
          <w:trHeight w:val="903" w:hRule="atLeast"/>
          <w:jc w:val="center"/>
        </w:trPr>
        <w:tc>
          <w:tcPr>
            <w:tcW w:w="9140" w:type="dxa"/>
            <w:gridSpan w:val="4"/>
            <w:tcBorders>
              <w:top w:val="nil"/>
              <w:left w:val="nil"/>
              <w:bottom w:val="nil"/>
              <w:right w:val="nil"/>
            </w:tcBorders>
            <w:shd w:val="clear" w:color="auto" w:fill="auto"/>
            <w:noWrap/>
            <w:vAlign w:val="center"/>
          </w:tcPr>
          <w:p w14:paraId="692C77DC">
            <w:pPr>
              <w:keepNext w:val="0"/>
              <w:keepLines w:val="0"/>
              <w:pageBreakBefore w:val="0"/>
              <w:widowControl/>
              <w:kinsoku/>
              <w:overflowPunct/>
              <w:topLinePunct w:val="0"/>
              <w:bidi w:val="0"/>
              <w:spacing w:line="360" w:lineRule="auto"/>
              <w:jc w:val="center"/>
              <w:textAlignment w:val="center"/>
              <w:rPr>
                <w:rFonts w:ascii="宋体" w:hAnsi="宋体" w:cs="宋体"/>
                <w:color w:val="auto"/>
                <w:sz w:val="32"/>
                <w:szCs w:val="32"/>
              </w:rPr>
            </w:pPr>
            <w:r>
              <w:rPr>
                <w:rFonts w:hint="eastAsia" w:ascii="宋体" w:hAnsi="宋体" w:cs="宋体"/>
                <w:color w:val="auto"/>
                <w:kern w:val="0"/>
                <w:sz w:val="32"/>
                <w:szCs w:val="32"/>
                <w:lang w:bidi="ar"/>
              </w:rPr>
              <w:t>服务团队人员一览表</w:t>
            </w:r>
          </w:p>
        </w:tc>
      </w:tr>
      <w:tr w14:paraId="37C606DC">
        <w:tblPrEx>
          <w:tblCellMar>
            <w:top w:w="0" w:type="dxa"/>
            <w:left w:w="108" w:type="dxa"/>
            <w:bottom w:w="0" w:type="dxa"/>
            <w:right w:w="108" w:type="dxa"/>
          </w:tblCellMar>
        </w:tblPrEx>
        <w:trPr>
          <w:trHeight w:val="91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FAAF8">
            <w:pPr>
              <w:keepNext w:val="0"/>
              <w:keepLines w:val="0"/>
              <w:pageBreakBefore w:val="0"/>
              <w:widowControl/>
              <w:kinsoku/>
              <w:overflowPunct/>
              <w:topLinePunct w:val="0"/>
              <w:bidi w:val="0"/>
              <w:spacing w:line="360" w:lineRule="auto"/>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EB830">
            <w:pPr>
              <w:keepNext w:val="0"/>
              <w:keepLines w:val="0"/>
              <w:pageBreakBefore w:val="0"/>
              <w:widowControl/>
              <w:kinsoku/>
              <w:overflowPunct/>
              <w:topLinePunct w:val="0"/>
              <w:bidi w:val="0"/>
              <w:spacing w:line="360" w:lineRule="auto"/>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姓名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433A6">
            <w:pPr>
              <w:keepNext w:val="0"/>
              <w:keepLines w:val="0"/>
              <w:pageBreakBefore w:val="0"/>
              <w:widowControl/>
              <w:kinsoku/>
              <w:overflowPunct/>
              <w:topLinePunct w:val="0"/>
              <w:bidi w:val="0"/>
              <w:spacing w:line="360" w:lineRule="auto"/>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职务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3F7ED">
            <w:pPr>
              <w:keepNext w:val="0"/>
              <w:keepLines w:val="0"/>
              <w:pageBreakBefore w:val="0"/>
              <w:widowControl/>
              <w:kinsoku/>
              <w:overflowPunct/>
              <w:topLinePunct w:val="0"/>
              <w:bidi w:val="0"/>
              <w:spacing w:line="360" w:lineRule="auto"/>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联系方式</w:t>
            </w:r>
          </w:p>
        </w:tc>
      </w:tr>
      <w:tr w14:paraId="3F11A1E9">
        <w:tblPrEx>
          <w:tblCellMar>
            <w:top w:w="0" w:type="dxa"/>
            <w:left w:w="108" w:type="dxa"/>
            <w:bottom w:w="0" w:type="dxa"/>
            <w:right w:w="108" w:type="dxa"/>
          </w:tblCellMar>
        </w:tblPrEx>
        <w:trPr>
          <w:trHeight w:val="91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06329">
            <w:pPr>
              <w:keepNext w:val="0"/>
              <w:keepLines w:val="0"/>
              <w:pageBreakBefore w:val="0"/>
              <w:kinsoku/>
              <w:overflowPunct/>
              <w:topLinePunct w:val="0"/>
              <w:bidi w:val="0"/>
              <w:spacing w:line="360" w:lineRule="auto"/>
              <w:jc w:val="center"/>
              <w:rPr>
                <w:rFonts w:ascii="宋体" w:hAnsi="宋体" w:cs="宋体"/>
                <w:color w:val="auto"/>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A4B6F">
            <w:pPr>
              <w:keepNext w:val="0"/>
              <w:keepLines w:val="0"/>
              <w:pageBreakBefore w:val="0"/>
              <w:kinsoku/>
              <w:overflowPunct/>
              <w:topLinePunct w:val="0"/>
              <w:bidi w:val="0"/>
              <w:spacing w:line="360" w:lineRule="auto"/>
              <w:jc w:val="center"/>
              <w:rPr>
                <w:rFonts w:ascii="宋体" w:hAnsi="宋体" w:cs="宋体"/>
                <w:color w:val="auto"/>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D1272">
            <w:pPr>
              <w:keepNext w:val="0"/>
              <w:keepLines w:val="0"/>
              <w:pageBreakBefore w:val="0"/>
              <w:kinsoku/>
              <w:overflowPunct/>
              <w:topLinePunct w:val="0"/>
              <w:bidi w:val="0"/>
              <w:spacing w:line="360" w:lineRule="auto"/>
              <w:jc w:val="center"/>
              <w:rPr>
                <w:rFonts w:ascii="宋体" w:hAnsi="宋体" w:cs="宋体"/>
                <w:color w:val="auto"/>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F765A">
            <w:pPr>
              <w:keepNext w:val="0"/>
              <w:keepLines w:val="0"/>
              <w:pageBreakBefore w:val="0"/>
              <w:kinsoku/>
              <w:overflowPunct/>
              <w:topLinePunct w:val="0"/>
              <w:bidi w:val="0"/>
              <w:spacing w:line="360" w:lineRule="auto"/>
              <w:jc w:val="center"/>
              <w:rPr>
                <w:rFonts w:ascii="宋体" w:hAnsi="宋体" w:cs="宋体"/>
                <w:color w:val="auto"/>
                <w:sz w:val="22"/>
                <w:szCs w:val="22"/>
              </w:rPr>
            </w:pPr>
          </w:p>
        </w:tc>
      </w:tr>
      <w:tr w14:paraId="6E791A5B">
        <w:tblPrEx>
          <w:tblCellMar>
            <w:top w:w="0" w:type="dxa"/>
            <w:left w:w="108" w:type="dxa"/>
            <w:bottom w:w="0" w:type="dxa"/>
            <w:right w:w="108" w:type="dxa"/>
          </w:tblCellMar>
        </w:tblPrEx>
        <w:trPr>
          <w:trHeight w:val="91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26888">
            <w:pPr>
              <w:keepNext w:val="0"/>
              <w:keepLines w:val="0"/>
              <w:pageBreakBefore w:val="0"/>
              <w:kinsoku/>
              <w:overflowPunct/>
              <w:topLinePunct w:val="0"/>
              <w:bidi w:val="0"/>
              <w:spacing w:line="360" w:lineRule="auto"/>
              <w:jc w:val="center"/>
              <w:rPr>
                <w:rFonts w:ascii="宋体" w:hAnsi="宋体" w:cs="宋体"/>
                <w:color w:val="auto"/>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80609">
            <w:pPr>
              <w:keepNext w:val="0"/>
              <w:keepLines w:val="0"/>
              <w:pageBreakBefore w:val="0"/>
              <w:kinsoku/>
              <w:overflowPunct/>
              <w:topLinePunct w:val="0"/>
              <w:bidi w:val="0"/>
              <w:spacing w:line="360" w:lineRule="auto"/>
              <w:jc w:val="center"/>
              <w:rPr>
                <w:rFonts w:ascii="宋体" w:hAnsi="宋体" w:cs="宋体"/>
                <w:color w:val="auto"/>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DF9BC">
            <w:pPr>
              <w:keepNext w:val="0"/>
              <w:keepLines w:val="0"/>
              <w:pageBreakBefore w:val="0"/>
              <w:kinsoku/>
              <w:overflowPunct/>
              <w:topLinePunct w:val="0"/>
              <w:bidi w:val="0"/>
              <w:spacing w:line="360" w:lineRule="auto"/>
              <w:jc w:val="center"/>
              <w:rPr>
                <w:rFonts w:ascii="宋体" w:hAnsi="宋体" w:cs="宋体"/>
                <w:color w:val="auto"/>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C94B5">
            <w:pPr>
              <w:keepNext w:val="0"/>
              <w:keepLines w:val="0"/>
              <w:pageBreakBefore w:val="0"/>
              <w:kinsoku/>
              <w:overflowPunct/>
              <w:topLinePunct w:val="0"/>
              <w:bidi w:val="0"/>
              <w:spacing w:line="360" w:lineRule="auto"/>
              <w:jc w:val="center"/>
              <w:rPr>
                <w:rFonts w:ascii="宋体" w:hAnsi="宋体" w:cs="宋体"/>
                <w:color w:val="auto"/>
                <w:sz w:val="22"/>
                <w:szCs w:val="22"/>
              </w:rPr>
            </w:pPr>
          </w:p>
        </w:tc>
      </w:tr>
      <w:tr w14:paraId="057C016C">
        <w:tblPrEx>
          <w:tblCellMar>
            <w:top w:w="0" w:type="dxa"/>
            <w:left w:w="108" w:type="dxa"/>
            <w:bottom w:w="0" w:type="dxa"/>
            <w:right w:w="108" w:type="dxa"/>
          </w:tblCellMar>
        </w:tblPrEx>
        <w:trPr>
          <w:trHeight w:val="91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AF7AE">
            <w:pPr>
              <w:keepNext w:val="0"/>
              <w:keepLines w:val="0"/>
              <w:pageBreakBefore w:val="0"/>
              <w:kinsoku/>
              <w:overflowPunct/>
              <w:topLinePunct w:val="0"/>
              <w:bidi w:val="0"/>
              <w:spacing w:line="360" w:lineRule="auto"/>
              <w:jc w:val="center"/>
              <w:rPr>
                <w:rFonts w:ascii="宋体" w:hAnsi="宋体" w:cs="宋体"/>
                <w:color w:val="auto"/>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B67D0">
            <w:pPr>
              <w:keepNext w:val="0"/>
              <w:keepLines w:val="0"/>
              <w:pageBreakBefore w:val="0"/>
              <w:kinsoku/>
              <w:overflowPunct/>
              <w:topLinePunct w:val="0"/>
              <w:bidi w:val="0"/>
              <w:spacing w:line="360" w:lineRule="auto"/>
              <w:jc w:val="center"/>
              <w:rPr>
                <w:rFonts w:ascii="宋体" w:hAnsi="宋体" w:cs="宋体"/>
                <w:color w:val="auto"/>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CB88F">
            <w:pPr>
              <w:keepNext w:val="0"/>
              <w:keepLines w:val="0"/>
              <w:pageBreakBefore w:val="0"/>
              <w:kinsoku/>
              <w:overflowPunct/>
              <w:topLinePunct w:val="0"/>
              <w:bidi w:val="0"/>
              <w:spacing w:line="360" w:lineRule="auto"/>
              <w:jc w:val="center"/>
              <w:rPr>
                <w:rFonts w:ascii="宋体" w:hAnsi="宋体" w:cs="宋体"/>
                <w:color w:val="auto"/>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40736">
            <w:pPr>
              <w:keepNext w:val="0"/>
              <w:keepLines w:val="0"/>
              <w:pageBreakBefore w:val="0"/>
              <w:kinsoku/>
              <w:overflowPunct/>
              <w:topLinePunct w:val="0"/>
              <w:bidi w:val="0"/>
              <w:spacing w:line="360" w:lineRule="auto"/>
              <w:jc w:val="center"/>
              <w:rPr>
                <w:rFonts w:ascii="宋体" w:hAnsi="宋体" w:cs="宋体"/>
                <w:color w:val="auto"/>
                <w:sz w:val="22"/>
                <w:szCs w:val="22"/>
              </w:rPr>
            </w:pPr>
          </w:p>
        </w:tc>
      </w:tr>
      <w:tr w14:paraId="71EB0944">
        <w:tblPrEx>
          <w:tblCellMar>
            <w:top w:w="0" w:type="dxa"/>
            <w:left w:w="108" w:type="dxa"/>
            <w:bottom w:w="0" w:type="dxa"/>
            <w:right w:w="108" w:type="dxa"/>
          </w:tblCellMar>
        </w:tblPrEx>
        <w:trPr>
          <w:trHeight w:val="91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7E75C">
            <w:pPr>
              <w:keepNext w:val="0"/>
              <w:keepLines w:val="0"/>
              <w:pageBreakBefore w:val="0"/>
              <w:kinsoku/>
              <w:overflowPunct/>
              <w:topLinePunct w:val="0"/>
              <w:bidi w:val="0"/>
              <w:spacing w:line="360" w:lineRule="auto"/>
              <w:jc w:val="center"/>
              <w:rPr>
                <w:rFonts w:ascii="宋体" w:hAnsi="宋体" w:cs="宋体"/>
                <w:color w:val="auto"/>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27F37">
            <w:pPr>
              <w:keepNext w:val="0"/>
              <w:keepLines w:val="0"/>
              <w:pageBreakBefore w:val="0"/>
              <w:kinsoku/>
              <w:overflowPunct/>
              <w:topLinePunct w:val="0"/>
              <w:bidi w:val="0"/>
              <w:spacing w:line="360" w:lineRule="auto"/>
              <w:jc w:val="center"/>
              <w:rPr>
                <w:rFonts w:ascii="宋体" w:hAnsi="宋体" w:cs="宋体"/>
                <w:color w:val="auto"/>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79DB4">
            <w:pPr>
              <w:keepNext w:val="0"/>
              <w:keepLines w:val="0"/>
              <w:pageBreakBefore w:val="0"/>
              <w:kinsoku/>
              <w:overflowPunct/>
              <w:topLinePunct w:val="0"/>
              <w:bidi w:val="0"/>
              <w:spacing w:line="360" w:lineRule="auto"/>
              <w:jc w:val="center"/>
              <w:rPr>
                <w:rFonts w:ascii="宋体" w:hAnsi="宋体" w:cs="宋体"/>
                <w:color w:val="auto"/>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6CD03">
            <w:pPr>
              <w:keepNext w:val="0"/>
              <w:keepLines w:val="0"/>
              <w:pageBreakBefore w:val="0"/>
              <w:kinsoku/>
              <w:overflowPunct/>
              <w:topLinePunct w:val="0"/>
              <w:bidi w:val="0"/>
              <w:spacing w:line="360" w:lineRule="auto"/>
              <w:jc w:val="center"/>
              <w:rPr>
                <w:rFonts w:ascii="宋体" w:hAnsi="宋体" w:cs="宋体"/>
                <w:color w:val="auto"/>
                <w:sz w:val="22"/>
                <w:szCs w:val="22"/>
              </w:rPr>
            </w:pPr>
          </w:p>
        </w:tc>
      </w:tr>
      <w:tr w14:paraId="0254CFB7">
        <w:tblPrEx>
          <w:tblCellMar>
            <w:top w:w="0" w:type="dxa"/>
            <w:left w:w="108" w:type="dxa"/>
            <w:bottom w:w="0" w:type="dxa"/>
            <w:right w:w="108" w:type="dxa"/>
          </w:tblCellMar>
        </w:tblPrEx>
        <w:trPr>
          <w:trHeight w:val="91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E7603">
            <w:pPr>
              <w:keepNext w:val="0"/>
              <w:keepLines w:val="0"/>
              <w:pageBreakBefore w:val="0"/>
              <w:kinsoku/>
              <w:overflowPunct/>
              <w:topLinePunct w:val="0"/>
              <w:bidi w:val="0"/>
              <w:spacing w:line="360" w:lineRule="auto"/>
              <w:jc w:val="center"/>
              <w:rPr>
                <w:rFonts w:ascii="宋体" w:hAnsi="宋体" w:cs="宋体"/>
                <w:color w:val="auto"/>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30557">
            <w:pPr>
              <w:keepNext w:val="0"/>
              <w:keepLines w:val="0"/>
              <w:pageBreakBefore w:val="0"/>
              <w:kinsoku/>
              <w:overflowPunct/>
              <w:topLinePunct w:val="0"/>
              <w:bidi w:val="0"/>
              <w:spacing w:line="360" w:lineRule="auto"/>
              <w:jc w:val="center"/>
              <w:rPr>
                <w:rFonts w:ascii="宋体" w:hAnsi="宋体" w:cs="宋体"/>
                <w:color w:val="auto"/>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85ABD">
            <w:pPr>
              <w:keepNext w:val="0"/>
              <w:keepLines w:val="0"/>
              <w:pageBreakBefore w:val="0"/>
              <w:kinsoku/>
              <w:overflowPunct/>
              <w:topLinePunct w:val="0"/>
              <w:bidi w:val="0"/>
              <w:spacing w:line="360" w:lineRule="auto"/>
              <w:jc w:val="center"/>
              <w:rPr>
                <w:rFonts w:ascii="宋体" w:hAnsi="宋体" w:cs="宋体"/>
                <w:color w:val="auto"/>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E0D62">
            <w:pPr>
              <w:keepNext w:val="0"/>
              <w:keepLines w:val="0"/>
              <w:pageBreakBefore w:val="0"/>
              <w:kinsoku/>
              <w:overflowPunct/>
              <w:topLinePunct w:val="0"/>
              <w:bidi w:val="0"/>
              <w:spacing w:line="360" w:lineRule="auto"/>
              <w:jc w:val="center"/>
              <w:rPr>
                <w:rFonts w:ascii="宋体" w:hAnsi="宋体" w:cs="宋体"/>
                <w:color w:val="auto"/>
                <w:sz w:val="22"/>
                <w:szCs w:val="22"/>
              </w:rPr>
            </w:pPr>
          </w:p>
        </w:tc>
      </w:tr>
      <w:tr w14:paraId="6979C8F8">
        <w:tblPrEx>
          <w:tblCellMar>
            <w:top w:w="0" w:type="dxa"/>
            <w:left w:w="108" w:type="dxa"/>
            <w:bottom w:w="0" w:type="dxa"/>
            <w:right w:w="108" w:type="dxa"/>
          </w:tblCellMar>
        </w:tblPrEx>
        <w:trPr>
          <w:trHeight w:val="92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A06D3">
            <w:pPr>
              <w:keepNext w:val="0"/>
              <w:keepLines w:val="0"/>
              <w:pageBreakBefore w:val="0"/>
              <w:kinsoku/>
              <w:overflowPunct/>
              <w:topLinePunct w:val="0"/>
              <w:bidi w:val="0"/>
              <w:spacing w:line="360" w:lineRule="auto"/>
              <w:jc w:val="center"/>
              <w:rPr>
                <w:rFonts w:ascii="宋体" w:hAnsi="宋体" w:cs="宋体"/>
                <w:color w:val="auto"/>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7BA74">
            <w:pPr>
              <w:keepNext w:val="0"/>
              <w:keepLines w:val="0"/>
              <w:pageBreakBefore w:val="0"/>
              <w:kinsoku/>
              <w:overflowPunct/>
              <w:topLinePunct w:val="0"/>
              <w:bidi w:val="0"/>
              <w:spacing w:line="360" w:lineRule="auto"/>
              <w:jc w:val="center"/>
              <w:rPr>
                <w:rFonts w:ascii="宋体" w:hAnsi="宋体" w:cs="宋体"/>
                <w:color w:val="auto"/>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ACD61">
            <w:pPr>
              <w:keepNext w:val="0"/>
              <w:keepLines w:val="0"/>
              <w:pageBreakBefore w:val="0"/>
              <w:kinsoku/>
              <w:overflowPunct/>
              <w:topLinePunct w:val="0"/>
              <w:bidi w:val="0"/>
              <w:spacing w:line="360" w:lineRule="auto"/>
              <w:jc w:val="center"/>
              <w:rPr>
                <w:rFonts w:ascii="宋体" w:hAnsi="宋体" w:cs="宋体"/>
                <w:color w:val="auto"/>
                <w:sz w:val="22"/>
                <w:szCs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5AE6A">
            <w:pPr>
              <w:keepNext w:val="0"/>
              <w:keepLines w:val="0"/>
              <w:pageBreakBefore w:val="0"/>
              <w:kinsoku/>
              <w:overflowPunct/>
              <w:topLinePunct w:val="0"/>
              <w:bidi w:val="0"/>
              <w:spacing w:line="360" w:lineRule="auto"/>
              <w:jc w:val="center"/>
              <w:rPr>
                <w:rFonts w:ascii="宋体" w:hAnsi="宋体" w:cs="宋体"/>
                <w:color w:val="auto"/>
                <w:sz w:val="22"/>
                <w:szCs w:val="22"/>
              </w:rPr>
            </w:pPr>
          </w:p>
        </w:tc>
      </w:tr>
    </w:tbl>
    <w:p w14:paraId="63B3DBE3">
      <w:pPr>
        <w:spacing w:line="400" w:lineRule="exact"/>
        <w:jc w:val="center"/>
        <w:rPr>
          <w:rFonts w:hint="eastAsia" w:hAnsi="宋体"/>
          <w:b/>
          <w:bCs/>
          <w:color w:val="auto"/>
          <w:sz w:val="36"/>
          <w:szCs w:val="36"/>
          <w:highlight w:val="none"/>
        </w:rPr>
      </w:pPr>
    </w:p>
    <w:p w14:paraId="72B55BCB">
      <w:pPr>
        <w:pStyle w:val="2"/>
        <w:keepNext/>
        <w:keepLines/>
        <w:pageBreakBefore/>
        <w:shd w:val="clear"/>
        <w:spacing w:line="360" w:lineRule="auto"/>
        <w:jc w:val="center"/>
        <w:rPr>
          <w:rFonts w:hAnsi="宋体"/>
          <w:b/>
          <w:bCs/>
          <w:color w:val="auto"/>
          <w:kern w:val="44"/>
          <w:sz w:val="28"/>
          <w:szCs w:val="28"/>
          <w:highlight w:val="none"/>
          <w:lang w:val="zh-CN"/>
        </w:rPr>
      </w:pPr>
      <w:r>
        <w:rPr>
          <w:rFonts w:hint="eastAsia" w:hAnsi="宋体"/>
          <w:b/>
          <w:bCs/>
          <w:color w:val="auto"/>
          <w:kern w:val="44"/>
          <w:sz w:val="28"/>
          <w:szCs w:val="28"/>
          <w:highlight w:val="none"/>
          <w:lang w:val="zh-CN"/>
        </w:rPr>
        <w:t>第六篇磋商响应文件格式</w:t>
      </w:r>
      <w:bookmarkEnd w:id="170"/>
      <w:bookmarkEnd w:id="171"/>
      <w:bookmarkEnd w:id="172"/>
    </w:p>
    <w:p w14:paraId="394BC4B5">
      <w:pPr>
        <w:shd w:val="clear"/>
        <w:ind w:firstLine="1800" w:firstLineChars="750"/>
        <w:rPr>
          <w:rFonts w:hAnsi="宋体"/>
          <w:color w:val="auto"/>
          <w:highlight w:val="none"/>
        </w:rPr>
      </w:pPr>
    </w:p>
    <w:p w14:paraId="1EC23447">
      <w:pPr>
        <w:pStyle w:val="3"/>
        <w:jc w:val="center"/>
        <w:rPr>
          <w:rFonts w:hAnsi="宋体"/>
          <w:color w:val="auto"/>
          <w:highlight w:val="none"/>
        </w:rPr>
      </w:pPr>
      <w:bookmarkStart w:id="174" w:name="_Toc9566"/>
      <w:bookmarkStart w:id="175" w:name="_Toc19311"/>
      <w:r>
        <w:rPr>
          <w:rFonts w:hint="eastAsia"/>
          <w:color w:val="auto"/>
          <w:sz w:val="28"/>
          <w:szCs w:val="28"/>
          <w:highlight w:val="none"/>
        </w:rPr>
        <w:t>第一部分 价格文件（单独编制装订成册）</w:t>
      </w:r>
      <w:bookmarkEnd w:id="174"/>
      <w:bookmarkEnd w:id="175"/>
    </w:p>
    <w:p w14:paraId="33359381">
      <w:pPr>
        <w:pStyle w:val="3"/>
        <w:keepNext w:val="0"/>
        <w:keepLines w:val="0"/>
        <w:pageBreakBefore w:val="0"/>
        <w:widowControl w:val="0"/>
        <w:numPr>
          <w:ilvl w:val="0"/>
          <w:numId w:val="18"/>
        </w:numPr>
        <w:kinsoku/>
        <w:wordWrap/>
        <w:overflowPunct/>
        <w:topLinePunct w:val="0"/>
        <w:autoSpaceDE w:val="0"/>
        <w:autoSpaceDN w:val="0"/>
        <w:bidi w:val="0"/>
        <w:adjustRightInd w:val="0"/>
        <w:snapToGrid/>
        <w:spacing w:line="360" w:lineRule="auto"/>
        <w:jc w:val="center"/>
        <w:textAlignment w:val="auto"/>
        <w:rPr>
          <w:rFonts w:hAnsi="宋体"/>
          <w:color w:val="auto"/>
          <w:sz w:val="21"/>
          <w:szCs w:val="21"/>
          <w:highlight w:val="none"/>
        </w:rPr>
      </w:pPr>
      <w:bookmarkStart w:id="176" w:name="_Toc12373"/>
      <w:bookmarkStart w:id="177" w:name="_Toc21786"/>
      <w:bookmarkStart w:id="178" w:name="_Toc20730"/>
      <w:bookmarkStart w:id="179" w:name="_Toc7897888"/>
      <w:bookmarkStart w:id="180" w:name="_Toc15960"/>
      <w:bookmarkStart w:id="181" w:name="_Toc467236769"/>
      <w:bookmarkStart w:id="182" w:name="_Toc19671"/>
      <w:bookmarkStart w:id="183" w:name="_Toc476976201"/>
      <w:bookmarkStart w:id="184" w:name="_Toc458262639"/>
      <w:bookmarkStart w:id="185" w:name="_Toc396137244"/>
      <w:bookmarkStart w:id="186" w:name="_Toc29841"/>
      <w:bookmarkStart w:id="187" w:name="_Toc12383"/>
      <w:bookmarkStart w:id="188" w:name="_Toc32736"/>
      <w:bookmarkStart w:id="189" w:name="_Toc28095"/>
      <w:bookmarkStart w:id="190" w:name="_Toc2544"/>
      <w:bookmarkStart w:id="191" w:name="_Toc9348"/>
      <w:bookmarkStart w:id="192" w:name="_Toc486671573"/>
      <w:bookmarkStart w:id="193" w:name="_Toc30637"/>
      <w:bookmarkStart w:id="194" w:name="_Toc32273"/>
      <w:bookmarkStart w:id="195" w:name="_Toc18848"/>
      <w:bookmarkStart w:id="196" w:name="_Toc454701406"/>
      <w:bookmarkStart w:id="197" w:name="_Toc32405"/>
      <w:r>
        <w:rPr>
          <w:rFonts w:hint="eastAsia"/>
          <w:color w:val="auto"/>
          <w:sz w:val="28"/>
          <w:szCs w:val="28"/>
          <w:highlight w:val="none"/>
        </w:rPr>
        <w:t>报价一览表</w:t>
      </w:r>
      <w:bookmarkEnd w:id="176"/>
      <w:bookmarkEnd w:id="177"/>
      <w:bookmarkEnd w:id="178"/>
      <w:bookmarkEnd w:id="179"/>
    </w:p>
    <w:p w14:paraId="2ABBF07F">
      <w:pPr>
        <w:keepNext w:val="0"/>
        <w:keepLines w:val="0"/>
        <w:pageBreakBefore w:val="0"/>
        <w:widowControl w:val="0"/>
        <w:shd w:val="clear"/>
        <w:kinsoku/>
        <w:wordWrap/>
        <w:overflowPunct/>
        <w:topLinePunct w:val="0"/>
        <w:autoSpaceDE w:val="0"/>
        <w:autoSpaceDN w:val="0"/>
        <w:bidi w:val="0"/>
        <w:adjustRightInd w:val="0"/>
        <w:snapToGrid/>
        <w:spacing w:line="360" w:lineRule="auto"/>
        <w:textAlignment w:val="auto"/>
        <w:rPr>
          <w:rFonts w:hAnsi="宋体"/>
          <w:color w:val="auto"/>
          <w:sz w:val="21"/>
          <w:szCs w:val="21"/>
          <w:highlight w:val="none"/>
        </w:rPr>
      </w:pPr>
      <w:r>
        <w:rPr>
          <w:rFonts w:hint="eastAsia" w:hAnsi="宋体"/>
          <w:color w:val="auto"/>
          <w:sz w:val="21"/>
          <w:szCs w:val="21"/>
          <w:highlight w:val="none"/>
        </w:rPr>
        <w:t>供应商名称：</w:t>
      </w:r>
    </w:p>
    <w:p w14:paraId="6B55D22F">
      <w:pPr>
        <w:keepNext w:val="0"/>
        <w:keepLines w:val="0"/>
        <w:pageBreakBefore w:val="0"/>
        <w:widowControl w:val="0"/>
        <w:shd w:val="clear"/>
        <w:kinsoku/>
        <w:wordWrap/>
        <w:overflowPunct/>
        <w:topLinePunct w:val="0"/>
        <w:autoSpaceDE w:val="0"/>
        <w:autoSpaceDN w:val="0"/>
        <w:bidi w:val="0"/>
        <w:adjustRightInd w:val="0"/>
        <w:snapToGrid/>
        <w:spacing w:line="360" w:lineRule="auto"/>
        <w:textAlignment w:val="auto"/>
        <w:rPr>
          <w:color w:val="auto"/>
          <w:sz w:val="21"/>
          <w:szCs w:val="21"/>
          <w:highlight w:val="none"/>
        </w:rPr>
      </w:pPr>
      <w:r>
        <w:rPr>
          <w:rFonts w:hint="eastAsia" w:hAnsi="宋体"/>
          <w:color w:val="auto"/>
          <w:sz w:val="21"/>
          <w:szCs w:val="21"/>
          <w:highlight w:val="none"/>
        </w:rPr>
        <w:t>项目编号：</w:t>
      </w:r>
    </w:p>
    <w:tbl>
      <w:tblPr>
        <w:tblStyle w:val="5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71"/>
        <w:gridCol w:w="5878"/>
      </w:tblGrid>
      <w:tr w14:paraId="3AA60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6" w:hRule="atLeast"/>
        </w:trPr>
        <w:tc>
          <w:tcPr>
            <w:tcW w:w="1915" w:type="pct"/>
            <w:tcBorders>
              <w:bottom w:val="single" w:color="auto" w:sz="4" w:space="0"/>
            </w:tcBorders>
            <w:noWrap w:val="0"/>
            <w:vAlign w:val="center"/>
          </w:tcPr>
          <w:p w14:paraId="7265BA0B">
            <w:pPr>
              <w:jc w:val="center"/>
              <w:rPr>
                <w:rFonts w:hint="eastAsia" w:eastAsia="宋体"/>
                <w:bCs/>
                <w:color w:val="auto"/>
                <w:sz w:val="21"/>
                <w:szCs w:val="21"/>
                <w:highlight w:val="none"/>
                <w:lang w:eastAsia="zh-CN"/>
              </w:rPr>
            </w:pPr>
            <w:r>
              <w:rPr>
                <w:rFonts w:hint="eastAsia"/>
                <w:bCs/>
                <w:color w:val="auto"/>
                <w:sz w:val="21"/>
                <w:szCs w:val="21"/>
                <w:highlight w:val="none"/>
              </w:rPr>
              <w:t>项</w:t>
            </w:r>
            <w:r>
              <w:rPr>
                <w:rFonts w:hint="eastAsia"/>
                <w:bCs/>
                <w:color w:val="auto"/>
                <w:sz w:val="21"/>
                <w:szCs w:val="21"/>
                <w:highlight w:val="none"/>
                <w:lang w:eastAsia="zh-CN"/>
              </w:rPr>
              <w:t>目</w:t>
            </w:r>
          </w:p>
        </w:tc>
        <w:tc>
          <w:tcPr>
            <w:tcW w:w="2835" w:type="pct"/>
            <w:tcBorders>
              <w:bottom w:val="single" w:color="auto" w:sz="4" w:space="0"/>
            </w:tcBorders>
            <w:noWrap w:val="0"/>
            <w:vAlign w:val="center"/>
          </w:tcPr>
          <w:p w14:paraId="277F4CB9">
            <w:pPr>
              <w:jc w:val="center"/>
              <w:rPr>
                <w:rFonts w:hint="eastAsia"/>
                <w:bCs/>
                <w:color w:val="auto"/>
                <w:sz w:val="21"/>
                <w:szCs w:val="21"/>
                <w:highlight w:val="none"/>
              </w:rPr>
            </w:pPr>
            <w:r>
              <w:rPr>
                <w:rFonts w:hint="eastAsia"/>
                <w:bCs/>
                <w:color w:val="auto"/>
                <w:sz w:val="21"/>
                <w:szCs w:val="21"/>
                <w:highlight w:val="none"/>
              </w:rPr>
              <w:t>金额（元）</w:t>
            </w:r>
          </w:p>
        </w:tc>
      </w:tr>
      <w:tr w14:paraId="222A9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0" w:hRule="atLeast"/>
        </w:trPr>
        <w:tc>
          <w:tcPr>
            <w:tcW w:w="1915" w:type="pct"/>
            <w:tcBorders>
              <w:bottom w:val="single" w:color="auto" w:sz="2" w:space="0"/>
            </w:tcBorders>
            <w:noWrap w:val="0"/>
            <w:vAlign w:val="center"/>
          </w:tcPr>
          <w:p w14:paraId="2B0DA50C">
            <w:pPr>
              <w:pStyle w:val="134"/>
              <w:widowControl w:val="0"/>
              <w:pBdr>
                <w:bottom w:val="none" w:color="auto" w:sz="0" w:space="0"/>
                <w:right w:val="none" w:color="auto" w:sz="0" w:space="0"/>
              </w:pBdr>
              <w:spacing w:before="0" w:beforeAutospacing="0" w:after="0" w:afterAutospacing="0" w:line="360" w:lineRule="auto"/>
              <w:rPr>
                <w:rFonts w:hint="eastAsia" w:ascii="Times New Roman" w:hAnsi="Times New Roman" w:eastAsia="宋体"/>
                <w:bCs/>
                <w:color w:val="auto"/>
                <w:sz w:val="21"/>
                <w:szCs w:val="21"/>
                <w:highlight w:val="none"/>
                <w:lang w:eastAsia="zh-CN"/>
              </w:rPr>
            </w:pPr>
            <w:r>
              <w:rPr>
                <w:rFonts w:hint="eastAsia" w:ascii="宋体" w:hAnsi="宋体" w:eastAsia="宋体" w:cs="宋体"/>
                <w:bCs/>
                <w:color w:val="auto"/>
                <w:sz w:val="21"/>
                <w:szCs w:val="21"/>
                <w:highlight w:val="none"/>
                <w:lang w:eastAsia="zh-CN"/>
              </w:rPr>
              <w:t>东实·滨湖苑项目（东莞市厚街镇厚山配售型保障性住房项目）营销中心及样板间软装</w:t>
            </w:r>
          </w:p>
        </w:tc>
        <w:tc>
          <w:tcPr>
            <w:tcW w:w="2835" w:type="pct"/>
            <w:tcBorders>
              <w:bottom w:val="single" w:color="auto" w:sz="2" w:space="0"/>
            </w:tcBorders>
            <w:noWrap w:val="0"/>
            <w:vAlign w:val="center"/>
          </w:tcPr>
          <w:p w14:paraId="246A57EB">
            <w:pPr>
              <w:spacing w:line="480" w:lineRule="auto"/>
              <w:rPr>
                <w:rFonts w:hint="eastAsia"/>
                <w:bCs/>
                <w:color w:val="auto"/>
                <w:sz w:val="21"/>
                <w:szCs w:val="21"/>
                <w:highlight w:val="none"/>
              </w:rPr>
            </w:pPr>
            <w:r>
              <w:rPr>
                <w:rFonts w:hint="eastAsia" w:ascii="宋体" w:hAnsi="宋体"/>
                <w:color w:val="auto"/>
                <w:sz w:val="21"/>
                <w:szCs w:val="21"/>
                <w:highlight w:val="none"/>
              </w:rPr>
              <w:t>大写人民币</w:t>
            </w:r>
            <w:r>
              <w:rPr>
                <w:rFonts w:hint="eastAsia" w:ascii="宋体" w:hAnsi="宋体"/>
                <w:color w:val="auto"/>
                <w:sz w:val="21"/>
                <w:szCs w:val="21"/>
                <w:highlight w:val="none"/>
                <w:u w:val="single"/>
              </w:rPr>
              <w:t xml:space="preserve"> </w:t>
            </w:r>
            <w:r>
              <w:rPr>
                <w:rFonts w:ascii="宋体" w:hAnsi="宋体"/>
                <w:color w:val="auto"/>
                <w:sz w:val="21"/>
                <w:szCs w:val="21"/>
                <w:highlight w:val="none"/>
                <w:u w:val="single"/>
              </w:rPr>
              <w:t xml:space="preserve">     </w:t>
            </w:r>
            <w:r>
              <w:rPr>
                <w:rFonts w:ascii="宋体" w:hAnsi="宋体"/>
                <w:color w:val="auto"/>
                <w:sz w:val="21"/>
                <w:szCs w:val="21"/>
                <w:highlight w:val="none"/>
              </w:rPr>
              <w:t>（</w:t>
            </w:r>
            <w:r>
              <w:rPr>
                <w:rFonts w:hint="eastAsia" w:ascii="宋体" w:hAnsi="宋体"/>
                <w:color w:val="auto"/>
                <w:sz w:val="21"/>
                <w:szCs w:val="21"/>
                <w:highlight w:val="none"/>
              </w:rPr>
              <w:t>小写：</w:t>
            </w:r>
            <w:r>
              <w:rPr>
                <w:rFonts w:hint="eastAsia" w:ascii="宋体" w:hAnsi="宋体"/>
                <w:color w:val="auto"/>
                <w:sz w:val="21"/>
                <w:szCs w:val="21"/>
                <w:highlight w:val="none"/>
                <w:u w:val="single"/>
              </w:rPr>
              <w:t>¥</w:t>
            </w:r>
            <w:r>
              <w:rPr>
                <w:rFonts w:ascii="宋体" w:hAnsi="宋体"/>
                <w:color w:val="auto"/>
                <w:sz w:val="21"/>
                <w:szCs w:val="21"/>
                <w:highlight w:val="none"/>
                <w:u w:val="single"/>
              </w:rPr>
              <w:t xml:space="preserve">     </w:t>
            </w:r>
            <w:r>
              <w:rPr>
                <w:rFonts w:hint="eastAsia" w:ascii="宋体" w:hAnsi="宋体"/>
                <w:color w:val="auto"/>
                <w:sz w:val="21"/>
                <w:szCs w:val="21"/>
                <w:highlight w:val="none"/>
                <w:u w:val="single"/>
              </w:rPr>
              <w:t>元</w:t>
            </w:r>
            <w:r>
              <w:rPr>
                <w:rFonts w:hint="eastAsia" w:ascii="宋体" w:hAnsi="宋体"/>
                <w:color w:val="auto"/>
                <w:sz w:val="21"/>
                <w:szCs w:val="21"/>
                <w:highlight w:val="none"/>
              </w:rPr>
              <w:t>），其中增值税税率</w:t>
            </w:r>
            <w:r>
              <w:rPr>
                <w:rFonts w:ascii="宋体" w:hAnsi="宋体"/>
                <w:color w:val="auto"/>
                <w:sz w:val="21"/>
                <w:szCs w:val="21"/>
                <w:highlight w:val="none"/>
                <w:u w:val="single"/>
              </w:rPr>
              <w:t xml:space="preserve">   </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w:t>
            </w:r>
          </w:p>
        </w:tc>
      </w:tr>
      <w:tr w14:paraId="028D8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4" w:hRule="atLeast"/>
        </w:trPr>
        <w:tc>
          <w:tcPr>
            <w:tcW w:w="4750" w:type="pct"/>
            <w:gridSpan w:val="2"/>
            <w:noWrap w:val="0"/>
            <w:vAlign w:val="center"/>
          </w:tcPr>
          <w:p w14:paraId="683A4773">
            <w:pPr>
              <w:jc w:val="center"/>
              <w:rPr>
                <w:rFonts w:hint="eastAsia"/>
                <w:bCs/>
                <w:color w:val="auto"/>
                <w:sz w:val="21"/>
                <w:szCs w:val="21"/>
                <w:highlight w:val="none"/>
              </w:rPr>
            </w:pPr>
            <w:r>
              <w:rPr>
                <w:rFonts w:hint="eastAsia"/>
                <w:color w:val="auto"/>
                <w:sz w:val="21"/>
                <w:szCs w:val="21"/>
                <w:highlight w:val="none"/>
              </w:rPr>
              <w:t>备注：详细内容见《工程量清单报价表》。</w:t>
            </w:r>
          </w:p>
        </w:tc>
      </w:tr>
    </w:tbl>
    <w:p w14:paraId="54F9DA2E">
      <w:pPr>
        <w:spacing w:line="360" w:lineRule="auto"/>
        <w:rPr>
          <w:rFonts w:hint="eastAsia"/>
          <w:color w:val="auto"/>
          <w:sz w:val="21"/>
          <w:szCs w:val="21"/>
          <w:highlight w:val="none"/>
        </w:rPr>
      </w:pPr>
    </w:p>
    <w:p w14:paraId="6820C3D0">
      <w:pPr>
        <w:spacing w:line="360" w:lineRule="auto"/>
        <w:rPr>
          <w:rFonts w:hint="eastAsia"/>
          <w:color w:val="auto"/>
          <w:sz w:val="21"/>
          <w:szCs w:val="21"/>
          <w:highlight w:val="none"/>
        </w:rPr>
      </w:pPr>
      <w:r>
        <w:rPr>
          <w:rFonts w:hint="eastAsia"/>
          <w:color w:val="auto"/>
          <w:sz w:val="21"/>
          <w:szCs w:val="21"/>
          <w:highlight w:val="none"/>
        </w:rPr>
        <w:t>注：1.供应商须按要求填写所有信息，不得随意更改本表格式。</w:t>
      </w:r>
    </w:p>
    <w:p w14:paraId="466738E0">
      <w:pPr>
        <w:spacing w:line="360" w:lineRule="auto"/>
        <w:ind w:firstLine="420" w:firstLineChars="200"/>
        <w:rPr>
          <w:color w:val="auto"/>
          <w:sz w:val="21"/>
          <w:szCs w:val="21"/>
          <w:highlight w:val="none"/>
        </w:rPr>
      </w:pPr>
      <w:r>
        <w:rPr>
          <w:rFonts w:hint="eastAsia"/>
          <w:color w:val="auto"/>
          <w:sz w:val="21"/>
          <w:szCs w:val="21"/>
          <w:highlight w:val="none"/>
        </w:rPr>
        <w:t>2.所有价格均应以人民币报价，金额单位为元。</w:t>
      </w:r>
    </w:p>
    <w:p w14:paraId="0CD83CA7">
      <w:pPr>
        <w:spacing w:line="360" w:lineRule="auto"/>
        <w:ind w:firstLine="420" w:firstLineChars="200"/>
        <w:rPr>
          <w:rFonts w:hint="eastAsia"/>
          <w:color w:val="auto"/>
          <w:sz w:val="21"/>
          <w:szCs w:val="21"/>
          <w:highlight w:val="none"/>
        </w:rPr>
      </w:pPr>
      <w:r>
        <w:rPr>
          <w:rFonts w:hint="eastAsia"/>
          <w:color w:val="auto"/>
          <w:sz w:val="21"/>
          <w:szCs w:val="21"/>
          <w:highlight w:val="none"/>
        </w:rPr>
        <w:t>3</w:t>
      </w:r>
      <w:r>
        <w:rPr>
          <w:color w:val="auto"/>
          <w:sz w:val="21"/>
          <w:szCs w:val="21"/>
          <w:highlight w:val="none"/>
        </w:rPr>
        <w:t>.</w:t>
      </w:r>
      <w:r>
        <w:rPr>
          <w:rFonts w:hint="eastAsia"/>
          <w:color w:val="auto"/>
          <w:sz w:val="21"/>
          <w:szCs w:val="21"/>
          <w:highlight w:val="none"/>
        </w:rPr>
        <w:t>首次报价不可超</w:t>
      </w:r>
      <w:r>
        <w:rPr>
          <w:rFonts w:hint="eastAsia"/>
          <w:color w:val="auto"/>
          <w:sz w:val="21"/>
          <w:szCs w:val="21"/>
          <w:highlight w:val="none"/>
          <w:lang w:eastAsia="zh-CN"/>
        </w:rPr>
        <w:t>最</w:t>
      </w:r>
      <w:r>
        <w:rPr>
          <w:rFonts w:hint="eastAsia" w:ascii="宋体" w:eastAsia="宋体" w:cs="宋体"/>
          <w:color w:val="auto"/>
          <w:sz w:val="21"/>
          <w:szCs w:val="21"/>
          <w:highlight w:val="none"/>
          <w:lang w:eastAsia="zh-CN"/>
        </w:rPr>
        <w:t>高限价</w:t>
      </w:r>
      <w:r>
        <w:rPr>
          <w:rFonts w:hint="eastAsia" w:ascii="宋体" w:hAnsi="宋体" w:eastAsia="宋体" w:cs="宋体"/>
          <w:color w:val="auto"/>
          <w:sz w:val="21"/>
          <w:szCs w:val="21"/>
          <w:highlight w:val="none"/>
        </w:rPr>
        <w:t>992,315.47</w:t>
      </w:r>
      <w:r>
        <w:rPr>
          <w:rFonts w:hint="eastAsia" w:ascii="宋体" w:eastAsia="宋体" w:cs="宋体"/>
          <w:color w:val="auto"/>
          <w:sz w:val="21"/>
          <w:szCs w:val="21"/>
          <w:highlight w:val="none"/>
        </w:rPr>
        <w:t>元，且</w:t>
      </w:r>
      <w:r>
        <w:rPr>
          <w:rFonts w:hint="eastAsia" w:hAnsi="宋体"/>
          <w:color w:val="auto"/>
          <w:sz w:val="21"/>
          <w:szCs w:val="21"/>
          <w:highlight w:val="none"/>
        </w:rPr>
        <w:t>安全生产措施费为固定不变价。</w:t>
      </w:r>
    </w:p>
    <w:p w14:paraId="1E580AA2">
      <w:pPr>
        <w:spacing w:line="360" w:lineRule="exact"/>
        <w:ind w:firstLine="420" w:firstLineChars="200"/>
        <w:rPr>
          <w:rFonts w:hint="eastAsia"/>
          <w:color w:val="auto"/>
          <w:sz w:val="21"/>
          <w:szCs w:val="21"/>
          <w:highlight w:val="none"/>
        </w:rPr>
      </w:pPr>
    </w:p>
    <w:p w14:paraId="35B92D80">
      <w:pPr>
        <w:shd w:val="clear"/>
        <w:rPr>
          <w:rFonts w:hAnsi="宋体"/>
          <w:color w:val="auto"/>
          <w:sz w:val="21"/>
          <w:szCs w:val="21"/>
          <w:highlight w:val="none"/>
        </w:rPr>
      </w:pPr>
    </w:p>
    <w:p w14:paraId="6AC28B51">
      <w:pPr>
        <w:keepNext w:val="0"/>
        <w:keepLines w:val="0"/>
        <w:pageBreakBefore w:val="0"/>
        <w:widowControl w:val="0"/>
        <w:shd w:val="clear"/>
        <w:kinsoku/>
        <w:wordWrap/>
        <w:overflowPunct w:val="0"/>
        <w:topLinePunct w:val="0"/>
        <w:autoSpaceDE w:val="0"/>
        <w:autoSpaceDN w:val="0"/>
        <w:bidi w:val="0"/>
        <w:adjustRightInd w:val="0"/>
        <w:snapToGrid/>
        <w:spacing w:line="360" w:lineRule="auto"/>
        <w:textAlignment w:val="auto"/>
        <w:rPr>
          <w:rFonts w:hAnsi="宋体"/>
          <w:color w:val="auto"/>
          <w:sz w:val="21"/>
          <w:szCs w:val="21"/>
          <w:highlight w:val="none"/>
        </w:rPr>
      </w:pPr>
      <w:r>
        <w:rPr>
          <w:rFonts w:hint="eastAsia" w:hAnsi="宋体"/>
          <w:color w:val="auto"/>
          <w:sz w:val="21"/>
          <w:szCs w:val="21"/>
          <w:highlight w:val="none"/>
        </w:rPr>
        <w:t>供应商名称（加盖公章）：</w:t>
      </w:r>
    </w:p>
    <w:p w14:paraId="1DEB68F3">
      <w:pPr>
        <w:keepNext w:val="0"/>
        <w:keepLines w:val="0"/>
        <w:pageBreakBefore w:val="0"/>
        <w:widowControl w:val="0"/>
        <w:shd w:val="clear"/>
        <w:kinsoku/>
        <w:wordWrap/>
        <w:overflowPunct w:val="0"/>
        <w:topLinePunct w:val="0"/>
        <w:autoSpaceDE w:val="0"/>
        <w:autoSpaceDN w:val="0"/>
        <w:bidi w:val="0"/>
        <w:adjustRightInd w:val="0"/>
        <w:snapToGrid/>
        <w:spacing w:line="360" w:lineRule="auto"/>
        <w:textAlignment w:val="auto"/>
        <w:rPr>
          <w:rFonts w:hAnsi="宋体"/>
          <w:color w:val="auto"/>
          <w:sz w:val="21"/>
          <w:szCs w:val="21"/>
          <w:highlight w:val="none"/>
        </w:rPr>
      </w:pPr>
      <w:r>
        <w:rPr>
          <w:rFonts w:hint="eastAsia" w:hAnsi="宋体"/>
          <w:color w:val="auto"/>
          <w:sz w:val="21"/>
          <w:szCs w:val="21"/>
          <w:highlight w:val="none"/>
        </w:rPr>
        <w:t>供应商法定代表人或受委托人（签名或盖私章）：</w:t>
      </w:r>
    </w:p>
    <w:p w14:paraId="72432C17">
      <w:pPr>
        <w:keepNext w:val="0"/>
        <w:keepLines w:val="0"/>
        <w:pageBreakBefore w:val="0"/>
        <w:widowControl w:val="0"/>
        <w:shd w:val="clear"/>
        <w:kinsoku/>
        <w:wordWrap/>
        <w:overflowPunct w:val="0"/>
        <w:topLinePunct w:val="0"/>
        <w:autoSpaceDE w:val="0"/>
        <w:autoSpaceDN w:val="0"/>
        <w:bidi w:val="0"/>
        <w:adjustRightInd w:val="0"/>
        <w:snapToGrid/>
        <w:spacing w:line="360" w:lineRule="auto"/>
        <w:textAlignment w:val="auto"/>
        <w:rPr>
          <w:rFonts w:hAnsi="宋体"/>
          <w:color w:val="auto"/>
          <w:sz w:val="21"/>
          <w:szCs w:val="21"/>
          <w:highlight w:val="none"/>
        </w:rPr>
      </w:pPr>
      <w:r>
        <w:rPr>
          <w:rFonts w:hint="eastAsia" w:hAnsi="宋体"/>
          <w:color w:val="auto"/>
          <w:sz w:val="21"/>
          <w:szCs w:val="21"/>
          <w:highlight w:val="none"/>
        </w:rPr>
        <w:t>日期：</w:t>
      </w:r>
      <w:r>
        <w:rPr>
          <w:rFonts w:hint="eastAsia" w:hAnsi="宋体"/>
          <w:color w:val="auto"/>
          <w:sz w:val="21"/>
          <w:szCs w:val="21"/>
          <w:highlight w:val="none"/>
          <w:lang w:val="en-US" w:eastAsia="zh-CN"/>
        </w:rPr>
        <w:t xml:space="preserve">      </w:t>
      </w:r>
      <w:r>
        <w:rPr>
          <w:rFonts w:hint="eastAsia" w:hAnsi="宋体"/>
          <w:color w:val="auto"/>
          <w:sz w:val="21"/>
          <w:szCs w:val="21"/>
          <w:highlight w:val="none"/>
        </w:rPr>
        <w:t>年</w:t>
      </w:r>
      <w:r>
        <w:rPr>
          <w:rFonts w:hint="eastAsia" w:hAnsi="宋体"/>
          <w:color w:val="auto"/>
          <w:sz w:val="21"/>
          <w:szCs w:val="21"/>
          <w:highlight w:val="none"/>
          <w:lang w:val="en-US" w:eastAsia="zh-CN"/>
        </w:rPr>
        <w:t xml:space="preserve">    </w:t>
      </w:r>
      <w:r>
        <w:rPr>
          <w:rFonts w:hint="eastAsia" w:hAnsi="宋体"/>
          <w:color w:val="auto"/>
          <w:sz w:val="21"/>
          <w:szCs w:val="21"/>
          <w:highlight w:val="none"/>
        </w:rPr>
        <w:t>月</w:t>
      </w:r>
      <w:r>
        <w:rPr>
          <w:rFonts w:hint="eastAsia" w:hAnsi="宋体"/>
          <w:color w:val="auto"/>
          <w:sz w:val="21"/>
          <w:szCs w:val="21"/>
          <w:highlight w:val="none"/>
          <w:lang w:val="en-US" w:eastAsia="zh-CN"/>
        </w:rPr>
        <w:t xml:space="preserve">      </w:t>
      </w:r>
      <w:r>
        <w:rPr>
          <w:rFonts w:hint="eastAsia" w:hAnsi="宋体"/>
          <w:color w:val="auto"/>
          <w:sz w:val="21"/>
          <w:szCs w:val="21"/>
          <w:highlight w:val="none"/>
        </w:rPr>
        <w:t>日</w:t>
      </w:r>
    </w:p>
    <w:p w14:paraId="522CA3F3">
      <w:pPr>
        <w:keepNext w:val="0"/>
        <w:keepLines w:val="0"/>
        <w:pageBreakBefore w:val="0"/>
        <w:widowControl w:val="0"/>
        <w:shd w:val="clear"/>
        <w:kinsoku/>
        <w:wordWrap/>
        <w:topLinePunct w:val="0"/>
        <w:autoSpaceDE w:val="0"/>
        <w:autoSpaceDN w:val="0"/>
        <w:bidi w:val="0"/>
        <w:adjustRightInd w:val="0"/>
        <w:snapToGrid/>
        <w:spacing w:line="360" w:lineRule="auto"/>
        <w:ind w:firstLine="359" w:firstLineChars="171"/>
        <w:textAlignment w:val="auto"/>
        <w:rPr>
          <w:rFonts w:hAnsi="宋体"/>
          <w:color w:val="auto"/>
          <w:sz w:val="21"/>
          <w:szCs w:val="21"/>
          <w:highlight w:val="none"/>
        </w:rPr>
      </w:pPr>
    </w:p>
    <w:p w14:paraId="4F91EB1B">
      <w:pPr>
        <w:keepNext w:val="0"/>
        <w:keepLines w:val="0"/>
        <w:pageBreakBefore w:val="0"/>
        <w:widowControl w:val="0"/>
        <w:shd w:val="clear"/>
        <w:kinsoku/>
        <w:wordWrap/>
        <w:topLinePunct w:val="0"/>
        <w:autoSpaceDE w:val="0"/>
        <w:autoSpaceDN w:val="0"/>
        <w:bidi w:val="0"/>
        <w:adjustRightInd w:val="0"/>
        <w:snapToGrid/>
        <w:spacing w:line="360" w:lineRule="auto"/>
        <w:ind w:left="391" w:hanging="390" w:hangingChars="186"/>
        <w:textAlignment w:val="auto"/>
        <w:rPr>
          <w:rFonts w:hAnsi="宋体"/>
          <w:color w:val="auto"/>
          <w:sz w:val="21"/>
          <w:szCs w:val="21"/>
          <w:highlight w:val="none"/>
        </w:rPr>
      </w:pPr>
      <w:r>
        <w:rPr>
          <w:rFonts w:hint="eastAsia" w:hAnsi="宋体"/>
          <w:color w:val="auto"/>
          <w:sz w:val="21"/>
          <w:szCs w:val="21"/>
          <w:highlight w:val="none"/>
        </w:rPr>
        <w:t>注：</w:t>
      </w:r>
    </w:p>
    <w:p w14:paraId="39EC1E49">
      <w:pPr>
        <w:keepNext w:val="0"/>
        <w:keepLines w:val="0"/>
        <w:pageBreakBefore w:val="0"/>
        <w:widowControl w:val="0"/>
        <w:shd w:val="clear"/>
        <w:kinsoku/>
        <w:wordWrap/>
        <w:topLinePunct w:val="0"/>
        <w:autoSpaceDE w:val="0"/>
        <w:autoSpaceDN w:val="0"/>
        <w:bidi w:val="0"/>
        <w:adjustRightInd w:val="0"/>
        <w:snapToGri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1、磋商响应总价栏须</w:t>
      </w:r>
      <w:r>
        <w:rPr>
          <w:rFonts w:hAnsi="宋体"/>
          <w:color w:val="auto"/>
          <w:sz w:val="21"/>
          <w:szCs w:val="21"/>
          <w:highlight w:val="none"/>
        </w:rPr>
        <w:t>用</w:t>
      </w:r>
      <w:r>
        <w:rPr>
          <w:rFonts w:hint="eastAsia" w:hAnsi="宋体"/>
          <w:color w:val="auto"/>
          <w:sz w:val="21"/>
          <w:szCs w:val="21"/>
          <w:highlight w:val="none"/>
        </w:rPr>
        <w:t>大写金额和小写金额两种方式</w:t>
      </w:r>
      <w:r>
        <w:rPr>
          <w:rFonts w:hAnsi="宋体"/>
          <w:color w:val="auto"/>
          <w:sz w:val="21"/>
          <w:szCs w:val="21"/>
          <w:highlight w:val="none"/>
        </w:rPr>
        <w:t>表示的</w:t>
      </w:r>
      <w:r>
        <w:rPr>
          <w:rFonts w:hint="eastAsia" w:hAnsi="宋体"/>
          <w:color w:val="auto"/>
          <w:sz w:val="21"/>
          <w:szCs w:val="21"/>
          <w:highlight w:val="none"/>
        </w:rPr>
        <w:t>磋商</w:t>
      </w:r>
      <w:r>
        <w:rPr>
          <w:rFonts w:hAnsi="宋体"/>
          <w:color w:val="auto"/>
          <w:sz w:val="21"/>
          <w:szCs w:val="21"/>
          <w:highlight w:val="none"/>
        </w:rPr>
        <w:t>总价</w:t>
      </w:r>
      <w:r>
        <w:rPr>
          <w:rFonts w:hint="eastAsia" w:hAnsi="宋体"/>
          <w:color w:val="auto"/>
          <w:sz w:val="21"/>
          <w:szCs w:val="21"/>
          <w:highlight w:val="none"/>
        </w:rPr>
        <w:t>，报价保留小数点后两位。磋商总价大小写不一致，以大写为准。磋商总价必须准确唯一且应包含采购文件要求的所有费用。</w:t>
      </w:r>
    </w:p>
    <w:p w14:paraId="3744BE72">
      <w:pPr>
        <w:keepNext w:val="0"/>
        <w:keepLines w:val="0"/>
        <w:pageBreakBefore w:val="0"/>
        <w:widowControl w:val="0"/>
        <w:shd w:val="clear"/>
        <w:kinsoku/>
        <w:wordWrap/>
        <w:topLinePunct w:val="0"/>
        <w:autoSpaceDE w:val="0"/>
        <w:autoSpaceDN w:val="0"/>
        <w:bidi w:val="0"/>
        <w:adjustRightInd w:val="0"/>
        <w:snapToGri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2、温馨提示：未按采购文件要求报价、填写报价一览表是导致供应商废标的常见问题，请供应商仔细填写，认真核对。</w:t>
      </w:r>
    </w:p>
    <w:p w14:paraId="02C142D5">
      <w:pPr>
        <w:rPr>
          <w:color w:val="auto"/>
          <w:highlight w:val="none"/>
        </w:rPr>
      </w:pPr>
      <w:r>
        <w:rPr>
          <w:color w:val="auto"/>
          <w:highlight w:val="none"/>
        </w:rPr>
        <w:br w:type="page"/>
      </w:r>
    </w:p>
    <w:p w14:paraId="1700EB03">
      <w:pPr>
        <w:pStyle w:val="3"/>
        <w:numPr>
          <w:ilvl w:val="0"/>
          <w:numId w:val="18"/>
        </w:numPr>
        <w:jc w:val="center"/>
        <w:rPr>
          <w:rFonts w:hAnsi="宋体"/>
          <w:color w:val="auto"/>
          <w:sz w:val="21"/>
          <w:szCs w:val="21"/>
          <w:highlight w:val="none"/>
        </w:rPr>
      </w:pPr>
      <w:r>
        <w:rPr>
          <w:rFonts w:hint="eastAsia"/>
          <w:color w:val="auto"/>
          <w:sz w:val="21"/>
          <w:szCs w:val="21"/>
          <w:highlight w:val="none"/>
          <w:lang w:eastAsia="zh-CN"/>
        </w:rPr>
        <w:t>工程量清单（另附）</w:t>
      </w:r>
    </w:p>
    <w:p w14:paraId="789F5AC5">
      <w:pPr>
        <w:spacing w:line="360" w:lineRule="auto"/>
        <w:ind w:firstLine="420" w:firstLineChars="200"/>
        <w:rPr>
          <w:rFonts w:hAnsi="宋体"/>
          <w:color w:val="auto"/>
          <w:sz w:val="21"/>
          <w:szCs w:val="21"/>
          <w:highlight w:val="none"/>
        </w:rPr>
      </w:pPr>
      <w:r>
        <w:rPr>
          <w:rFonts w:hint="eastAsia" w:hAnsi="宋体"/>
          <w:color w:val="auto"/>
          <w:sz w:val="21"/>
          <w:szCs w:val="21"/>
          <w:highlight w:val="none"/>
        </w:rPr>
        <w:t>说明：</w:t>
      </w:r>
    </w:p>
    <w:p w14:paraId="37A8A93F">
      <w:pPr>
        <w:widowControl w:val="0"/>
        <w:numPr>
          <w:ilvl w:val="0"/>
          <w:numId w:val="19"/>
        </w:numPr>
        <w:autoSpaceDE w:val="0"/>
        <w:autoSpaceDN w:val="0"/>
        <w:adjustRightInd w:val="0"/>
        <w:spacing w:line="360" w:lineRule="auto"/>
        <w:ind w:firstLine="422" w:firstLineChars="200"/>
        <w:rPr>
          <w:rFonts w:hAnsi="宋体"/>
          <w:b/>
          <w:bCs/>
          <w:color w:val="auto"/>
          <w:sz w:val="21"/>
          <w:szCs w:val="21"/>
          <w:highlight w:val="none"/>
        </w:rPr>
      </w:pPr>
      <w:r>
        <w:rPr>
          <w:rFonts w:hint="eastAsia" w:hAnsi="宋体"/>
          <w:b/>
          <w:bCs/>
          <w:color w:val="auto"/>
          <w:sz w:val="21"/>
          <w:szCs w:val="21"/>
          <w:highlight w:val="none"/>
        </w:rPr>
        <w:t>工程报价清单</w:t>
      </w:r>
      <w:r>
        <w:rPr>
          <w:rFonts w:hint="eastAsia" w:hAnsi="宋体"/>
          <w:b/>
          <w:bCs/>
          <w:color w:val="auto"/>
          <w:spacing w:val="6"/>
          <w:sz w:val="21"/>
          <w:szCs w:val="21"/>
          <w:highlight w:val="none"/>
        </w:rPr>
        <w:t>必须使用采购人发出的</w:t>
      </w:r>
      <w:r>
        <w:rPr>
          <w:rFonts w:hint="eastAsia" w:hAnsi="宋体"/>
          <w:b/>
          <w:bCs/>
          <w:color w:val="auto"/>
          <w:sz w:val="21"/>
          <w:szCs w:val="21"/>
          <w:highlight w:val="none"/>
        </w:rPr>
        <w:t>工程量清单。</w:t>
      </w:r>
    </w:p>
    <w:p w14:paraId="55494B56">
      <w:pPr>
        <w:widowControl w:val="0"/>
        <w:numPr>
          <w:ilvl w:val="0"/>
          <w:numId w:val="19"/>
        </w:numPr>
        <w:autoSpaceDE w:val="0"/>
        <w:autoSpaceDN w:val="0"/>
        <w:adjustRightInd w:val="0"/>
        <w:spacing w:line="360" w:lineRule="auto"/>
        <w:ind w:firstLine="422" w:firstLineChars="200"/>
        <w:rPr>
          <w:rFonts w:hint="eastAsia" w:hAnsi="宋体"/>
          <w:b/>
          <w:bCs/>
          <w:color w:val="auto"/>
          <w:sz w:val="21"/>
          <w:szCs w:val="21"/>
          <w:highlight w:val="none"/>
        </w:rPr>
      </w:pPr>
      <w:r>
        <w:rPr>
          <w:rFonts w:hint="eastAsia" w:hAnsi="宋体"/>
          <w:b/>
          <w:bCs/>
          <w:color w:val="auto"/>
          <w:sz w:val="21"/>
          <w:szCs w:val="21"/>
          <w:highlight w:val="none"/>
        </w:rPr>
        <w:t>价格为完成项目</w:t>
      </w:r>
      <w:r>
        <w:rPr>
          <w:rFonts w:hint="eastAsia" w:hAnsi="宋体"/>
          <w:b/>
          <w:bCs/>
          <w:color w:val="auto"/>
          <w:sz w:val="21"/>
          <w:szCs w:val="21"/>
          <w:highlight w:val="none"/>
          <w:lang w:val="en-US" w:eastAsia="zh-CN"/>
        </w:rPr>
        <w:t>图纸及</w:t>
      </w:r>
      <w:r>
        <w:rPr>
          <w:rFonts w:hint="eastAsia" w:hAnsi="宋体"/>
          <w:b/>
          <w:bCs/>
          <w:color w:val="auto"/>
          <w:sz w:val="21"/>
          <w:szCs w:val="21"/>
          <w:highlight w:val="none"/>
        </w:rPr>
        <w:t>工程量清单范围内全部工作所需的一切成本、费用、税金和利润等。包括但不限于以下内容：</w:t>
      </w:r>
    </w:p>
    <w:p w14:paraId="130A19D5">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2" w:firstLineChars="200"/>
        <w:textAlignment w:val="auto"/>
        <w:rPr>
          <w:rFonts w:hint="eastAsia" w:hAnsi="宋体"/>
          <w:b/>
          <w:bCs/>
          <w:color w:val="auto"/>
          <w:sz w:val="21"/>
          <w:szCs w:val="21"/>
          <w:highlight w:val="none"/>
        </w:rPr>
      </w:pPr>
      <w:r>
        <w:rPr>
          <w:rFonts w:hint="eastAsia" w:hAnsi="宋体"/>
          <w:b/>
          <w:bCs/>
          <w:color w:val="auto"/>
          <w:sz w:val="21"/>
          <w:szCs w:val="21"/>
          <w:highlight w:val="none"/>
        </w:rPr>
        <w:t>（1）货物原价。含原材料、标准件、配套件及加工产品整个过程中的一切费用并包括随货物供应的易损件、备品备件、专用工具和应提供的图纸资料等价格在内。</w:t>
      </w:r>
    </w:p>
    <w:p w14:paraId="23B4CFA9">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2" w:firstLineChars="200"/>
        <w:textAlignment w:val="auto"/>
        <w:rPr>
          <w:rFonts w:hint="eastAsia" w:hAnsi="宋体"/>
          <w:b/>
          <w:bCs/>
          <w:color w:val="auto"/>
          <w:sz w:val="21"/>
          <w:szCs w:val="21"/>
          <w:highlight w:val="none"/>
        </w:rPr>
      </w:pPr>
      <w:r>
        <w:rPr>
          <w:rFonts w:hint="eastAsia" w:hAnsi="宋体"/>
          <w:b/>
          <w:bCs/>
          <w:color w:val="auto"/>
          <w:sz w:val="21"/>
          <w:szCs w:val="21"/>
          <w:highlight w:val="none"/>
        </w:rPr>
        <w:t>（2）包装费、运输费、装卸费、安装费、材料供销部门手续费、材料验收之前的保险费、服务费和各种税费（含从国外进口到境内货物应付的关税、增值税、保险费、清关费等），其中运输费系指由成交供应商将货物运至交货地点发生的所有运输费用。</w:t>
      </w:r>
    </w:p>
    <w:p w14:paraId="1876F9B1">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2" w:firstLineChars="200"/>
        <w:textAlignment w:val="auto"/>
        <w:rPr>
          <w:rFonts w:hAnsi="宋体"/>
          <w:color w:val="auto"/>
          <w:sz w:val="21"/>
          <w:szCs w:val="21"/>
          <w:highlight w:val="none"/>
        </w:rPr>
      </w:pPr>
      <w:r>
        <w:rPr>
          <w:rFonts w:hint="eastAsia" w:hAnsi="宋体"/>
          <w:b/>
          <w:bCs/>
          <w:color w:val="auto"/>
          <w:sz w:val="21"/>
          <w:szCs w:val="21"/>
          <w:highlight w:val="none"/>
        </w:rPr>
        <w:t>（3）成交供应商在提前得到采购人允许并保证原软装设计方案整体效果的前提下，可进行局部软装方案优化调整，并承担所涉及的一切费用，同时确保装修品质、效果、工料规范等要求均完全满足采购人要求并达到各方面满意程度。</w:t>
      </w:r>
    </w:p>
    <w:p w14:paraId="10A3F713">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22" w:firstLineChars="200"/>
        <w:textAlignment w:val="auto"/>
        <w:rPr>
          <w:rFonts w:hAnsi="宋体"/>
          <w:color w:val="auto"/>
          <w:sz w:val="21"/>
          <w:szCs w:val="21"/>
          <w:highlight w:val="none"/>
        </w:rPr>
      </w:pPr>
      <w:r>
        <w:rPr>
          <w:rFonts w:hint="eastAsia" w:hAnsi="宋体"/>
          <w:b/>
          <w:bCs/>
          <w:color w:val="auto"/>
          <w:sz w:val="21"/>
          <w:szCs w:val="21"/>
          <w:highlight w:val="none"/>
          <w:lang w:eastAsia="zh-CN"/>
        </w:rPr>
        <w:t>（</w:t>
      </w:r>
      <w:r>
        <w:rPr>
          <w:rFonts w:hint="eastAsia" w:hAnsi="宋体"/>
          <w:b/>
          <w:bCs/>
          <w:color w:val="auto"/>
          <w:sz w:val="21"/>
          <w:szCs w:val="21"/>
          <w:highlight w:val="none"/>
          <w:lang w:val="en-US" w:eastAsia="zh-CN"/>
        </w:rPr>
        <w:t>4</w:t>
      </w:r>
      <w:r>
        <w:rPr>
          <w:rFonts w:hint="eastAsia" w:hAnsi="宋体"/>
          <w:b/>
          <w:bCs/>
          <w:color w:val="auto"/>
          <w:sz w:val="21"/>
          <w:szCs w:val="21"/>
          <w:highlight w:val="none"/>
          <w:lang w:eastAsia="zh-CN"/>
        </w:rPr>
        <w:t>）</w:t>
      </w:r>
      <w:r>
        <w:rPr>
          <w:rFonts w:hint="eastAsia" w:hAnsi="宋体"/>
          <w:b/>
          <w:bCs/>
          <w:color w:val="auto"/>
          <w:sz w:val="21"/>
          <w:szCs w:val="21"/>
          <w:highlight w:val="none"/>
        </w:rPr>
        <w:t>在合同执行过程中不作任何调整。</w:t>
      </w:r>
    </w:p>
    <w:p w14:paraId="73263A44">
      <w:pPr>
        <w:widowControl w:val="0"/>
        <w:numPr>
          <w:ilvl w:val="0"/>
          <w:numId w:val="19"/>
        </w:numPr>
        <w:autoSpaceDE w:val="0"/>
        <w:autoSpaceDN w:val="0"/>
        <w:adjustRightInd w:val="0"/>
        <w:spacing w:line="360" w:lineRule="auto"/>
        <w:ind w:firstLine="420" w:firstLineChars="200"/>
        <w:rPr>
          <w:rFonts w:hAnsi="宋体"/>
          <w:color w:val="auto"/>
          <w:sz w:val="21"/>
          <w:szCs w:val="21"/>
          <w:highlight w:val="none"/>
        </w:rPr>
      </w:pPr>
      <w:r>
        <w:rPr>
          <w:rFonts w:hint="eastAsia" w:hAnsi="宋体"/>
          <w:color w:val="auto"/>
          <w:sz w:val="21"/>
          <w:szCs w:val="21"/>
          <w:highlight w:val="none"/>
        </w:rPr>
        <w:t>总价金额与清单算术总额不一致的，以总价金额为准。</w:t>
      </w:r>
    </w:p>
    <w:p w14:paraId="6257AE12">
      <w:pPr>
        <w:numPr>
          <w:ilvl w:val="0"/>
          <w:numId w:val="19"/>
        </w:numPr>
        <w:autoSpaceDE w:val="0"/>
        <w:autoSpaceDN w:val="0"/>
        <w:spacing w:line="360" w:lineRule="auto"/>
        <w:ind w:firstLine="420" w:firstLineChars="200"/>
        <w:rPr>
          <w:color w:val="auto"/>
          <w:sz w:val="21"/>
          <w:szCs w:val="21"/>
          <w:highlight w:val="none"/>
        </w:rPr>
      </w:pPr>
      <w:r>
        <w:rPr>
          <w:rFonts w:hint="eastAsia" w:hAnsi="宋体"/>
          <w:color w:val="auto"/>
          <w:sz w:val="21"/>
          <w:szCs w:val="21"/>
          <w:highlight w:val="none"/>
        </w:rPr>
        <w:t>工程报价清单须每页加盖供应商公章。</w:t>
      </w:r>
    </w:p>
    <w:p w14:paraId="14498DD4">
      <w:pPr>
        <w:numPr>
          <w:ilvl w:val="0"/>
          <w:numId w:val="19"/>
        </w:numPr>
        <w:autoSpaceDE w:val="0"/>
        <w:autoSpaceDN w:val="0"/>
        <w:spacing w:line="360" w:lineRule="auto"/>
        <w:ind w:left="0" w:leftChars="0" w:firstLine="420" w:firstLineChars="200"/>
        <w:rPr>
          <w:rFonts w:hint="eastAsia" w:hAnsi="宋体"/>
          <w:color w:val="auto"/>
          <w:sz w:val="21"/>
          <w:szCs w:val="21"/>
          <w:highlight w:val="none"/>
          <w:lang w:val="en-US" w:eastAsia="zh-CN"/>
        </w:rPr>
      </w:pPr>
      <w:r>
        <w:rPr>
          <w:rFonts w:hint="eastAsia" w:hAnsi="宋体"/>
          <w:color w:val="auto"/>
          <w:sz w:val="21"/>
          <w:szCs w:val="21"/>
          <w:highlight w:val="none"/>
        </w:rPr>
        <w:t>图纸及清单包干</w:t>
      </w:r>
      <w:r>
        <w:rPr>
          <w:rFonts w:hint="eastAsia" w:hAnsi="宋体"/>
          <w:color w:val="auto"/>
          <w:sz w:val="21"/>
          <w:szCs w:val="21"/>
          <w:highlight w:val="none"/>
          <w:lang w:val="en-US" w:eastAsia="zh-CN"/>
        </w:rPr>
        <w:t>。</w:t>
      </w:r>
    </w:p>
    <w:p w14:paraId="33BD3287">
      <w:pPr>
        <w:rPr>
          <w:color w:val="auto"/>
          <w:highlight w:val="none"/>
        </w:rPr>
      </w:pPr>
      <w:r>
        <w:rPr>
          <w:color w:val="auto"/>
          <w:highlight w:val="none"/>
        </w:rPr>
        <w:br w:type="page"/>
      </w:r>
    </w:p>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p w14:paraId="4B764A42">
      <w:pPr>
        <w:pStyle w:val="3"/>
        <w:shd w:val="clear"/>
        <w:jc w:val="center"/>
        <w:rPr>
          <w:color w:val="auto"/>
          <w:sz w:val="28"/>
          <w:szCs w:val="28"/>
          <w:highlight w:val="none"/>
        </w:rPr>
      </w:pPr>
      <w:bookmarkStart w:id="198" w:name="_Toc12158"/>
      <w:bookmarkStart w:id="199" w:name="_Toc18450"/>
      <w:bookmarkStart w:id="200" w:name="_Toc454701405"/>
      <w:bookmarkStart w:id="201" w:name="_Toc476976200"/>
      <w:bookmarkStart w:id="202" w:name="_Toc27849"/>
      <w:bookmarkStart w:id="203" w:name="_Toc7897890"/>
      <w:bookmarkStart w:id="204" w:name="_Toc458262638"/>
      <w:bookmarkStart w:id="205" w:name="_Toc486671572"/>
      <w:bookmarkStart w:id="206" w:name="_Toc467236768"/>
      <w:bookmarkStart w:id="207" w:name="_Toc110953866"/>
      <w:bookmarkStart w:id="208" w:name="_Toc479991616"/>
      <w:bookmarkStart w:id="209" w:name="_Toc480020289"/>
      <w:bookmarkStart w:id="210" w:name="_Toc480021085"/>
      <w:bookmarkStart w:id="211" w:name="_Toc467987856"/>
      <w:bookmarkStart w:id="212" w:name="_Toc468157569"/>
      <w:bookmarkStart w:id="213" w:name="_Toc480010742"/>
      <w:bookmarkStart w:id="214" w:name="_Toc468606064"/>
      <w:r>
        <w:rPr>
          <w:rFonts w:hint="eastAsia"/>
          <w:color w:val="auto"/>
          <w:sz w:val="28"/>
          <w:szCs w:val="28"/>
          <w:highlight w:val="none"/>
        </w:rPr>
        <w:t>第二部分  商务文件</w:t>
      </w:r>
      <w:bookmarkEnd w:id="198"/>
      <w:bookmarkEnd w:id="199"/>
      <w:bookmarkStart w:id="215" w:name="_Hlt10519799"/>
      <w:bookmarkEnd w:id="215"/>
      <w:bookmarkStart w:id="216" w:name="_Hlt10456397"/>
      <w:bookmarkEnd w:id="216"/>
      <w:r>
        <w:rPr>
          <w:rFonts w:hint="eastAsia"/>
          <w:color w:val="auto"/>
          <w:sz w:val="28"/>
          <w:szCs w:val="28"/>
          <w:highlight w:val="none"/>
        </w:rPr>
        <w:t>（单独编制装订成册）</w:t>
      </w:r>
    </w:p>
    <w:p w14:paraId="3A9C8987">
      <w:pPr>
        <w:shd w:val="clear"/>
        <w:rPr>
          <w:color w:val="auto"/>
          <w:highlight w:val="none"/>
        </w:rPr>
      </w:pPr>
    </w:p>
    <w:p w14:paraId="36F4C35C">
      <w:pPr>
        <w:pStyle w:val="3"/>
        <w:numPr>
          <w:ilvl w:val="0"/>
          <w:numId w:val="20"/>
        </w:numPr>
        <w:shd w:val="clear"/>
        <w:jc w:val="center"/>
        <w:rPr>
          <w:b w:val="0"/>
          <w:color w:val="auto"/>
          <w:sz w:val="28"/>
          <w:szCs w:val="28"/>
          <w:highlight w:val="none"/>
        </w:rPr>
      </w:pPr>
      <w:bookmarkStart w:id="217" w:name="_Toc8815"/>
      <w:bookmarkStart w:id="218" w:name="_Toc18728"/>
      <w:r>
        <w:rPr>
          <w:rFonts w:hint="eastAsia"/>
          <w:color w:val="auto"/>
          <w:sz w:val="28"/>
          <w:szCs w:val="28"/>
          <w:highlight w:val="none"/>
        </w:rPr>
        <w:t>响应书</w:t>
      </w:r>
      <w:bookmarkEnd w:id="200"/>
      <w:bookmarkEnd w:id="201"/>
      <w:bookmarkEnd w:id="202"/>
      <w:bookmarkEnd w:id="203"/>
      <w:bookmarkEnd w:id="204"/>
      <w:bookmarkEnd w:id="205"/>
      <w:bookmarkEnd w:id="206"/>
      <w:bookmarkEnd w:id="217"/>
      <w:bookmarkEnd w:id="218"/>
    </w:p>
    <w:p w14:paraId="39A14F95">
      <w:pPr>
        <w:pStyle w:val="30"/>
        <w:shd w:val="clear"/>
        <w:autoSpaceDE/>
        <w:autoSpaceDN/>
        <w:adjustRightInd/>
        <w:spacing w:line="480" w:lineRule="exact"/>
        <w:ind w:left="6000"/>
        <w:rPr>
          <w:rFonts w:hAnsi="宋体"/>
          <w:color w:val="auto"/>
          <w:sz w:val="24"/>
          <w:highlight w:val="none"/>
        </w:rPr>
      </w:pPr>
    </w:p>
    <w:p w14:paraId="4505D06C">
      <w:pPr>
        <w:pStyle w:val="30"/>
        <w:shd w:val="clear"/>
        <w:autoSpaceDE/>
        <w:autoSpaceDN/>
        <w:adjustRightInd/>
        <w:spacing w:line="480" w:lineRule="exact"/>
        <w:ind w:left="0" w:leftChars="0"/>
        <w:rPr>
          <w:rFonts w:hint="eastAsia" w:hAnsi="宋体" w:eastAsia="宋体"/>
          <w:color w:val="auto"/>
          <w:highlight w:val="none"/>
          <w:lang w:eastAsia="zh-CN"/>
        </w:rPr>
      </w:pPr>
      <w:r>
        <w:rPr>
          <w:rFonts w:hint="eastAsia" w:hAnsi="宋体"/>
          <w:color w:val="auto"/>
          <w:highlight w:val="none"/>
        </w:rPr>
        <w:t>致：</w:t>
      </w:r>
      <w:r>
        <w:rPr>
          <w:rFonts w:hint="eastAsia" w:hAnsi="宋体"/>
          <w:color w:val="auto"/>
          <w:highlight w:val="none"/>
          <w:lang w:eastAsia="zh-CN"/>
        </w:rPr>
        <w:t>广东有德招标采购有限公司</w:t>
      </w:r>
    </w:p>
    <w:p w14:paraId="00D4D2A7">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rPr>
        <w:t>根据贵方</w:t>
      </w:r>
      <w:r>
        <w:rPr>
          <w:rFonts w:hint="eastAsia" w:hAnsi="宋体"/>
          <w:color w:val="auto"/>
          <w:sz w:val="21"/>
          <w:szCs w:val="21"/>
          <w:highlight w:val="none"/>
          <w:u w:val="single"/>
        </w:rPr>
        <w:t xml:space="preserve"> </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u w:val="single"/>
        </w:rPr>
        <w:t xml:space="preserve"> （项目名称） </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u w:val="single"/>
        </w:rPr>
        <w:t xml:space="preserve">  </w:t>
      </w:r>
      <w:r>
        <w:rPr>
          <w:rFonts w:hint="eastAsia" w:hAnsi="宋体"/>
          <w:color w:val="auto"/>
          <w:sz w:val="21"/>
          <w:szCs w:val="21"/>
          <w:highlight w:val="none"/>
        </w:rPr>
        <w:t>（</w:t>
      </w:r>
      <w:r>
        <w:rPr>
          <w:rFonts w:hint="eastAsia" w:hAnsi="宋体"/>
          <w:color w:val="auto"/>
          <w:sz w:val="21"/>
          <w:szCs w:val="21"/>
          <w:highlight w:val="none"/>
          <w:lang w:val="en-US" w:eastAsia="zh-CN"/>
        </w:rPr>
        <w:t>项目</w:t>
      </w:r>
      <w:r>
        <w:rPr>
          <w:rFonts w:hint="eastAsia" w:hAnsi="宋体"/>
          <w:color w:val="auto"/>
          <w:sz w:val="21"/>
          <w:szCs w:val="21"/>
          <w:highlight w:val="none"/>
        </w:rPr>
        <w:t>编号：</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rPr>
        <w:t>）的采购邀请和磋商文件，供应商承诺如下：</w:t>
      </w:r>
    </w:p>
    <w:p w14:paraId="65B71F10">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rPr>
        <w:t>1.签字代表</w:t>
      </w:r>
      <w:r>
        <w:rPr>
          <w:rFonts w:hint="eastAsia" w:hAnsi="宋体"/>
          <w:color w:val="auto"/>
          <w:sz w:val="21"/>
          <w:szCs w:val="21"/>
          <w:highlight w:val="none"/>
          <w:u w:val="single"/>
        </w:rPr>
        <w:t>（姓名、职务）</w:t>
      </w:r>
      <w:r>
        <w:rPr>
          <w:rFonts w:hint="eastAsia" w:hAnsi="宋体"/>
          <w:color w:val="auto"/>
          <w:sz w:val="21"/>
          <w:szCs w:val="21"/>
          <w:highlight w:val="none"/>
        </w:rPr>
        <w:t>经正式授权并代表供应商</w:t>
      </w:r>
      <w:r>
        <w:rPr>
          <w:rFonts w:hint="eastAsia" w:hAnsi="宋体"/>
          <w:color w:val="auto"/>
          <w:sz w:val="21"/>
          <w:szCs w:val="21"/>
          <w:highlight w:val="none"/>
          <w:u w:val="single"/>
        </w:rPr>
        <w:t>（供应商名称、地址）</w:t>
      </w:r>
      <w:r>
        <w:rPr>
          <w:rFonts w:hint="eastAsia" w:hAnsi="宋体"/>
          <w:color w:val="auto"/>
          <w:sz w:val="21"/>
          <w:szCs w:val="21"/>
          <w:highlight w:val="none"/>
        </w:rPr>
        <w:t>提交响应文件正本</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rPr>
        <w:t>份和副本</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rPr>
        <w:t>份。</w:t>
      </w:r>
    </w:p>
    <w:p w14:paraId="054D78E2">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rPr>
        <w:t>2.供应商愿意参加响应并在成交后按磋商文件规定履行义务。</w:t>
      </w:r>
    </w:p>
    <w:p w14:paraId="792F3F44">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rPr>
        <w:t>3.供应商已详细审查全部磋商文件，包括澄清或修改文件（如有的话）等全部资料。供应商完全理解磋商文件的内容，不存在对磋商文件不明白和误解。</w:t>
      </w:r>
    </w:p>
    <w:p w14:paraId="57CCA79C">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rPr>
        <w:t>4.响应文件中所提交的所有资料均是准确的和真实的，否则，我单位愿意放弃成交的权利和接受采购监督管理部门的处罚。</w:t>
      </w:r>
    </w:p>
    <w:p w14:paraId="13D77C0D">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rPr>
        <w:t>5.参加本项目采购活动前3年内，在经营活动中没有重大违法记录。</w:t>
      </w:r>
    </w:p>
    <w:p w14:paraId="5956AC41">
      <w:pPr>
        <w:shd w:val="clear"/>
        <w:spacing w:line="480" w:lineRule="exact"/>
        <w:ind w:firstLine="420" w:firstLineChars="200"/>
        <w:rPr>
          <w:rFonts w:hint="eastAsia" w:hAnsi="宋体"/>
          <w:color w:val="auto"/>
          <w:sz w:val="21"/>
          <w:szCs w:val="21"/>
          <w:highlight w:val="none"/>
        </w:rPr>
      </w:pPr>
      <w:r>
        <w:rPr>
          <w:rFonts w:hint="eastAsia" w:hAnsi="宋体"/>
          <w:color w:val="auto"/>
          <w:sz w:val="21"/>
          <w:szCs w:val="21"/>
          <w:highlight w:val="none"/>
        </w:rPr>
        <w:t>6.我</w:t>
      </w:r>
      <w:r>
        <w:rPr>
          <w:rFonts w:hint="eastAsia" w:hAnsi="宋体"/>
          <w:color w:val="auto"/>
          <w:sz w:val="21"/>
          <w:szCs w:val="21"/>
          <w:highlight w:val="none"/>
          <w:lang w:val="en-US" w:eastAsia="zh-CN"/>
        </w:rPr>
        <w:t>单位</w:t>
      </w:r>
      <w:r>
        <w:rPr>
          <w:rFonts w:hint="eastAsia" w:hAnsi="宋体"/>
          <w:color w:val="auto"/>
          <w:sz w:val="21"/>
          <w:szCs w:val="21"/>
          <w:highlight w:val="none"/>
        </w:rPr>
        <w:t>与其他供应商不存在单位负责人为同一人或者存在直接控股、管理关系。</w:t>
      </w:r>
    </w:p>
    <w:p w14:paraId="11670D9A">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lang w:val="en-US" w:eastAsia="zh-CN"/>
        </w:rPr>
        <w:t>7.</w:t>
      </w:r>
      <w:r>
        <w:rPr>
          <w:rFonts w:hint="eastAsia" w:hAnsi="宋体"/>
          <w:color w:val="auto"/>
          <w:sz w:val="21"/>
          <w:szCs w:val="21"/>
          <w:highlight w:val="none"/>
        </w:rPr>
        <w:t>响应有效期为90个工作日，自开启响应文件之日起算。</w:t>
      </w:r>
    </w:p>
    <w:p w14:paraId="56F9A505">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lang w:val="en-US" w:eastAsia="zh-CN"/>
        </w:rPr>
        <w:t>8</w:t>
      </w:r>
      <w:r>
        <w:rPr>
          <w:rFonts w:hint="eastAsia" w:hAnsi="宋体"/>
          <w:color w:val="auto"/>
          <w:sz w:val="21"/>
          <w:szCs w:val="21"/>
          <w:highlight w:val="none"/>
        </w:rPr>
        <w:t>.同意在成交后按照磋商文件的规定缴纳</w:t>
      </w:r>
      <w:r>
        <w:rPr>
          <w:rFonts w:hint="eastAsia" w:hAnsi="宋体"/>
          <w:color w:val="auto"/>
          <w:sz w:val="21"/>
          <w:szCs w:val="21"/>
          <w:highlight w:val="none"/>
          <w:lang w:eastAsia="zh-CN"/>
        </w:rPr>
        <w:t>采购代理服务费</w:t>
      </w:r>
      <w:r>
        <w:rPr>
          <w:rFonts w:hint="eastAsia" w:hAnsi="宋体"/>
          <w:color w:val="auto"/>
          <w:sz w:val="21"/>
          <w:szCs w:val="21"/>
          <w:highlight w:val="none"/>
        </w:rPr>
        <w:t>。</w:t>
      </w:r>
    </w:p>
    <w:p w14:paraId="24384C73">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lang w:val="en-US" w:eastAsia="zh-CN"/>
        </w:rPr>
        <w:t>9</w:t>
      </w:r>
      <w:r>
        <w:rPr>
          <w:rFonts w:hint="eastAsia" w:hAnsi="宋体"/>
          <w:color w:val="auto"/>
          <w:sz w:val="21"/>
          <w:szCs w:val="21"/>
          <w:highlight w:val="none"/>
        </w:rPr>
        <w:t>.如果开启响应文件后，在响应有效期内撤回文件的，我单位愿意承担贵单位由此而产生的损失。</w:t>
      </w:r>
    </w:p>
    <w:p w14:paraId="4B42322F">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lang w:val="en-US" w:eastAsia="zh-CN"/>
        </w:rPr>
        <w:t>10</w:t>
      </w:r>
      <w:r>
        <w:rPr>
          <w:rFonts w:hint="eastAsia" w:hAnsi="宋体"/>
          <w:color w:val="auto"/>
          <w:sz w:val="21"/>
          <w:szCs w:val="21"/>
          <w:highlight w:val="none"/>
        </w:rPr>
        <w:t>.供应商同意提供按照贵方可能要求的有关的一切资料，理解贵单位不一定要接受最低价的响应或收到的任何响应。</w:t>
      </w:r>
    </w:p>
    <w:p w14:paraId="2D569110">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rPr>
        <w:t>1</w:t>
      </w:r>
      <w:r>
        <w:rPr>
          <w:rFonts w:hint="eastAsia" w:hAnsi="宋体"/>
          <w:color w:val="auto"/>
          <w:sz w:val="21"/>
          <w:szCs w:val="21"/>
          <w:highlight w:val="none"/>
          <w:lang w:val="en-US" w:eastAsia="zh-CN"/>
        </w:rPr>
        <w:t>1</w:t>
      </w:r>
      <w:r>
        <w:rPr>
          <w:rFonts w:hint="eastAsia" w:hAnsi="宋体"/>
          <w:color w:val="auto"/>
          <w:sz w:val="21"/>
          <w:szCs w:val="21"/>
          <w:highlight w:val="none"/>
        </w:rPr>
        <w:t>.与本响应有关的一切正式往来通讯请寄：</w:t>
      </w:r>
    </w:p>
    <w:p w14:paraId="61F4C9AE">
      <w:pPr>
        <w:shd w:val="clear"/>
        <w:spacing w:line="480" w:lineRule="exact"/>
        <w:ind w:firstLine="420" w:firstLineChars="200"/>
        <w:rPr>
          <w:rFonts w:hAnsi="宋体"/>
          <w:color w:val="auto"/>
          <w:sz w:val="21"/>
          <w:szCs w:val="21"/>
          <w:highlight w:val="none"/>
        </w:rPr>
      </w:pPr>
    </w:p>
    <w:p w14:paraId="7763CACD">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rPr>
        <w:t>供应商名称：</w:t>
      </w:r>
      <w:r>
        <w:rPr>
          <w:rFonts w:hint="eastAsia" w:hAnsi="宋体"/>
          <w:color w:val="auto"/>
          <w:sz w:val="21"/>
          <w:szCs w:val="21"/>
          <w:highlight w:val="none"/>
          <w:u w:val="single"/>
        </w:rPr>
        <w:t xml:space="preserve">            （盖公章）</w:t>
      </w:r>
    </w:p>
    <w:p w14:paraId="779E48D9">
      <w:pPr>
        <w:shd w:val="clear"/>
        <w:spacing w:line="480" w:lineRule="exact"/>
        <w:ind w:firstLine="420" w:firstLineChars="200"/>
        <w:rPr>
          <w:rFonts w:hAnsi="宋体"/>
          <w:color w:val="auto"/>
          <w:sz w:val="21"/>
          <w:szCs w:val="21"/>
          <w:highlight w:val="none"/>
          <w:u w:val="single"/>
        </w:rPr>
      </w:pPr>
      <w:r>
        <w:rPr>
          <w:rFonts w:hint="eastAsia" w:hAnsi="宋体"/>
          <w:color w:val="auto"/>
          <w:sz w:val="21"/>
          <w:szCs w:val="21"/>
          <w:highlight w:val="none"/>
        </w:rPr>
        <w:t>供应商代表姓名、职务（印刷体）：</w:t>
      </w:r>
    </w:p>
    <w:p w14:paraId="53CCC802">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rPr>
        <w:t>供应商联系电话、传真：</w:t>
      </w:r>
    </w:p>
    <w:p w14:paraId="69384F11">
      <w:pPr>
        <w:shd w:val="clear"/>
        <w:spacing w:line="480" w:lineRule="exact"/>
        <w:ind w:firstLine="420" w:firstLineChars="200"/>
        <w:rPr>
          <w:rFonts w:hAnsi="宋体"/>
          <w:color w:val="auto"/>
          <w:sz w:val="21"/>
          <w:szCs w:val="21"/>
          <w:highlight w:val="none"/>
        </w:rPr>
      </w:pPr>
      <w:r>
        <w:rPr>
          <w:rFonts w:hint="eastAsia" w:hAnsi="宋体"/>
          <w:color w:val="auto"/>
          <w:sz w:val="21"/>
          <w:szCs w:val="21"/>
          <w:highlight w:val="none"/>
        </w:rPr>
        <w:t>日期：</w:t>
      </w:r>
      <w:r>
        <w:rPr>
          <w:rFonts w:hint="eastAsia" w:hAnsi="宋体"/>
          <w:color w:val="auto"/>
          <w:sz w:val="21"/>
          <w:szCs w:val="21"/>
          <w:highlight w:val="none"/>
          <w:lang w:val="en-US" w:eastAsia="zh-CN"/>
        </w:rPr>
        <w:t xml:space="preserve">    </w:t>
      </w:r>
      <w:r>
        <w:rPr>
          <w:rFonts w:hint="eastAsia" w:hAnsi="宋体"/>
          <w:color w:val="auto"/>
          <w:sz w:val="21"/>
          <w:szCs w:val="21"/>
          <w:highlight w:val="none"/>
        </w:rPr>
        <w:t>年</w:t>
      </w:r>
      <w:r>
        <w:rPr>
          <w:rFonts w:hint="eastAsia" w:hAnsi="宋体"/>
          <w:color w:val="auto"/>
          <w:sz w:val="21"/>
          <w:szCs w:val="21"/>
          <w:highlight w:val="none"/>
          <w:lang w:val="en-US" w:eastAsia="zh-CN"/>
        </w:rPr>
        <w:t xml:space="preserve">    </w:t>
      </w:r>
      <w:r>
        <w:rPr>
          <w:rFonts w:hint="eastAsia" w:hAnsi="宋体"/>
          <w:color w:val="auto"/>
          <w:sz w:val="21"/>
          <w:szCs w:val="21"/>
          <w:highlight w:val="none"/>
        </w:rPr>
        <w:t>月</w:t>
      </w:r>
      <w:r>
        <w:rPr>
          <w:rFonts w:hint="eastAsia" w:hAnsi="宋体"/>
          <w:color w:val="auto"/>
          <w:sz w:val="21"/>
          <w:szCs w:val="21"/>
          <w:highlight w:val="none"/>
          <w:lang w:val="en-US" w:eastAsia="zh-CN"/>
        </w:rPr>
        <w:t xml:space="preserve">      </w:t>
      </w:r>
      <w:r>
        <w:rPr>
          <w:rFonts w:hint="eastAsia" w:hAnsi="宋体"/>
          <w:color w:val="auto"/>
          <w:sz w:val="21"/>
          <w:szCs w:val="21"/>
          <w:highlight w:val="none"/>
        </w:rPr>
        <w:t>日</w:t>
      </w:r>
    </w:p>
    <w:p w14:paraId="63D74A94">
      <w:pPr>
        <w:pStyle w:val="3"/>
        <w:numPr>
          <w:ilvl w:val="0"/>
          <w:numId w:val="20"/>
        </w:numPr>
        <w:shd w:val="clear"/>
        <w:jc w:val="center"/>
        <w:rPr>
          <w:bCs/>
          <w:color w:val="auto"/>
          <w:sz w:val="28"/>
          <w:szCs w:val="28"/>
          <w:highlight w:val="none"/>
        </w:rPr>
      </w:pPr>
      <w:r>
        <w:rPr>
          <w:color w:val="auto"/>
          <w:sz w:val="22"/>
          <w:szCs w:val="22"/>
          <w:highlight w:val="none"/>
        </w:rPr>
        <w:br w:type="page"/>
      </w:r>
      <w:bookmarkStart w:id="219" w:name="_Toc24748"/>
      <w:bookmarkStart w:id="220" w:name="_Toc10808"/>
      <w:bookmarkStart w:id="221" w:name="_Toc7897891"/>
      <w:bookmarkStart w:id="222" w:name="_Toc31943"/>
      <w:r>
        <w:rPr>
          <w:rFonts w:hint="eastAsia"/>
          <w:bCs/>
          <w:color w:val="auto"/>
          <w:sz w:val="28"/>
          <w:szCs w:val="28"/>
          <w:highlight w:val="none"/>
        </w:rPr>
        <w:t>法定代表人证明书</w:t>
      </w:r>
      <w:bookmarkEnd w:id="219"/>
      <w:bookmarkEnd w:id="220"/>
      <w:bookmarkEnd w:id="221"/>
      <w:bookmarkEnd w:id="222"/>
    </w:p>
    <w:p w14:paraId="45121AB2">
      <w:pPr>
        <w:shd w:val="clear"/>
        <w:jc w:val="center"/>
        <w:rPr>
          <w:rFonts w:hAnsi="宋体"/>
          <w:color w:val="auto"/>
          <w:sz w:val="28"/>
          <w:szCs w:val="28"/>
          <w:highlight w:val="none"/>
        </w:rPr>
      </w:pPr>
    </w:p>
    <w:p w14:paraId="5B858A0A">
      <w:pPr>
        <w:shd w:val="clear"/>
        <w:rPr>
          <w:rFonts w:hAnsi="宋体"/>
          <w:color w:val="auto"/>
          <w:sz w:val="28"/>
          <w:szCs w:val="28"/>
          <w:highlight w:val="none"/>
        </w:rPr>
      </w:pPr>
    </w:p>
    <w:p w14:paraId="160A1FB6">
      <w:pPr>
        <w:shd w:val="clear"/>
        <w:spacing w:line="420" w:lineRule="atLeast"/>
        <w:rPr>
          <w:rFonts w:hint="eastAsia" w:hAnsi="宋体" w:eastAsia="宋体"/>
          <w:color w:val="auto"/>
          <w:sz w:val="21"/>
          <w:szCs w:val="21"/>
          <w:highlight w:val="none"/>
          <w:lang w:eastAsia="zh-CN"/>
        </w:rPr>
      </w:pPr>
      <w:r>
        <w:rPr>
          <w:rFonts w:hint="eastAsia" w:hAnsi="宋体"/>
          <w:color w:val="auto"/>
          <w:sz w:val="21"/>
          <w:szCs w:val="21"/>
          <w:highlight w:val="none"/>
        </w:rPr>
        <w:t>致：</w:t>
      </w:r>
      <w:r>
        <w:rPr>
          <w:rFonts w:hint="eastAsia" w:hAnsi="宋体"/>
          <w:color w:val="auto"/>
          <w:sz w:val="21"/>
          <w:szCs w:val="21"/>
          <w:highlight w:val="none"/>
          <w:lang w:eastAsia="zh-CN"/>
        </w:rPr>
        <w:t>广东有德招标采购有限公司</w:t>
      </w:r>
    </w:p>
    <w:p w14:paraId="4D60A6AD">
      <w:pPr>
        <w:pStyle w:val="77"/>
        <w:shd w:val="clear"/>
        <w:spacing w:line="420" w:lineRule="atLeast"/>
        <w:ind w:firstLine="433"/>
        <w:rPr>
          <w:rFonts w:ascii="宋体" w:eastAsia="宋体"/>
          <w:color w:val="auto"/>
          <w:sz w:val="21"/>
          <w:szCs w:val="21"/>
          <w:highlight w:val="none"/>
        </w:rPr>
      </w:pPr>
    </w:p>
    <w:p w14:paraId="02427105">
      <w:pPr>
        <w:pStyle w:val="77"/>
        <w:shd w:val="clear"/>
        <w:spacing w:line="360" w:lineRule="auto"/>
        <w:ind w:firstLine="433"/>
        <w:rPr>
          <w:rFonts w:ascii="宋体" w:eastAsia="宋体"/>
          <w:color w:val="auto"/>
          <w:sz w:val="21"/>
          <w:szCs w:val="21"/>
          <w:highlight w:val="none"/>
        </w:rPr>
      </w:pPr>
      <w:r>
        <w:rPr>
          <w:rFonts w:hint="eastAsia" w:ascii="宋体" w:eastAsia="宋体"/>
          <w:color w:val="auto"/>
          <w:sz w:val="21"/>
          <w:szCs w:val="21"/>
          <w:highlight w:val="none"/>
        </w:rPr>
        <w:t>供应商名称:</w:t>
      </w:r>
    </w:p>
    <w:p w14:paraId="44CC2CA2">
      <w:pPr>
        <w:pStyle w:val="77"/>
        <w:shd w:val="clear"/>
        <w:spacing w:line="360" w:lineRule="auto"/>
        <w:ind w:firstLine="433"/>
        <w:rPr>
          <w:rFonts w:ascii="宋体" w:eastAsia="宋体"/>
          <w:color w:val="auto"/>
          <w:sz w:val="21"/>
          <w:szCs w:val="21"/>
          <w:highlight w:val="none"/>
        </w:rPr>
      </w:pPr>
      <w:r>
        <w:rPr>
          <w:rFonts w:hint="eastAsia" w:ascii="宋体" w:eastAsia="宋体"/>
          <w:color w:val="auto"/>
          <w:sz w:val="21"/>
          <w:szCs w:val="21"/>
          <w:highlight w:val="none"/>
        </w:rPr>
        <w:t>单 位 性质：</w:t>
      </w:r>
    </w:p>
    <w:p w14:paraId="4F1F73E0">
      <w:pPr>
        <w:pStyle w:val="77"/>
        <w:shd w:val="clear"/>
        <w:spacing w:line="360" w:lineRule="auto"/>
        <w:ind w:firstLine="433"/>
        <w:rPr>
          <w:rFonts w:ascii="宋体" w:eastAsia="宋体"/>
          <w:color w:val="auto"/>
          <w:sz w:val="21"/>
          <w:szCs w:val="21"/>
          <w:highlight w:val="none"/>
        </w:rPr>
      </w:pPr>
      <w:r>
        <w:rPr>
          <w:rFonts w:hint="eastAsia" w:ascii="宋体" w:eastAsia="宋体"/>
          <w:color w:val="auto"/>
          <w:sz w:val="21"/>
          <w:szCs w:val="21"/>
          <w:highlight w:val="none"/>
        </w:rPr>
        <w:t>地      址：</w:t>
      </w:r>
    </w:p>
    <w:p w14:paraId="0EFA81F7">
      <w:pPr>
        <w:pStyle w:val="77"/>
        <w:shd w:val="clear"/>
        <w:spacing w:line="360" w:lineRule="auto"/>
        <w:ind w:firstLine="433"/>
        <w:rPr>
          <w:rFonts w:ascii="宋体" w:eastAsia="宋体"/>
          <w:color w:val="auto"/>
          <w:sz w:val="21"/>
          <w:szCs w:val="21"/>
          <w:highlight w:val="none"/>
        </w:rPr>
      </w:pPr>
      <w:r>
        <w:rPr>
          <w:rFonts w:hint="eastAsia" w:ascii="宋体" w:eastAsia="宋体"/>
          <w:color w:val="auto"/>
          <w:sz w:val="21"/>
          <w:szCs w:val="21"/>
          <w:highlight w:val="none"/>
        </w:rPr>
        <w:t>成 立 时间：年月日</w:t>
      </w:r>
    </w:p>
    <w:p w14:paraId="499196FC">
      <w:pPr>
        <w:pStyle w:val="77"/>
        <w:shd w:val="clear"/>
        <w:spacing w:line="360" w:lineRule="auto"/>
        <w:ind w:firstLine="433"/>
        <w:rPr>
          <w:rFonts w:ascii="宋体" w:eastAsia="宋体"/>
          <w:color w:val="auto"/>
          <w:sz w:val="21"/>
          <w:szCs w:val="21"/>
          <w:highlight w:val="none"/>
        </w:rPr>
      </w:pPr>
      <w:r>
        <w:rPr>
          <w:rFonts w:hint="eastAsia" w:ascii="宋体" w:eastAsia="宋体"/>
          <w:color w:val="auto"/>
          <w:sz w:val="21"/>
          <w:szCs w:val="21"/>
          <w:highlight w:val="none"/>
        </w:rPr>
        <w:t>经 营 期限：</w:t>
      </w:r>
    </w:p>
    <w:p w14:paraId="501E9E2D">
      <w:pPr>
        <w:pStyle w:val="77"/>
        <w:shd w:val="clear"/>
        <w:spacing w:line="360" w:lineRule="auto"/>
        <w:ind w:firstLine="433"/>
        <w:rPr>
          <w:rFonts w:hint="default" w:ascii="宋体" w:eastAsia="宋体"/>
          <w:color w:val="auto"/>
          <w:sz w:val="21"/>
          <w:szCs w:val="21"/>
          <w:highlight w:val="none"/>
          <w:lang w:val="en-US" w:eastAsia="zh-CN"/>
        </w:rPr>
      </w:pPr>
      <w:r>
        <w:rPr>
          <w:rFonts w:hint="eastAsia" w:ascii="宋体" w:eastAsia="宋体"/>
          <w:color w:val="auto"/>
          <w:sz w:val="21"/>
          <w:szCs w:val="21"/>
          <w:highlight w:val="none"/>
        </w:rPr>
        <w:t>姓名：</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性别：</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年龄：</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职务：</w:t>
      </w:r>
      <w:r>
        <w:rPr>
          <w:rFonts w:hint="eastAsia" w:ascii="宋体" w:eastAsia="宋体"/>
          <w:color w:val="auto"/>
          <w:sz w:val="21"/>
          <w:szCs w:val="21"/>
          <w:highlight w:val="none"/>
          <w:lang w:val="en-US" w:eastAsia="zh-CN"/>
        </w:rPr>
        <w:t xml:space="preserve">        </w:t>
      </w:r>
    </w:p>
    <w:p w14:paraId="5E0EE0EB">
      <w:pPr>
        <w:pStyle w:val="77"/>
        <w:shd w:val="clear"/>
        <w:spacing w:line="360" w:lineRule="auto"/>
        <w:ind w:firstLine="433"/>
        <w:rPr>
          <w:rFonts w:ascii="宋体" w:eastAsia="宋体"/>
          <w:color w:val="auto"/>
          <w:sz w:val="21"/>
          <w:szCs w:val="21"/>
          <w:highlight w:val="none"/>
        </w:rPr>
      </w:pPr>
      <w:r>
        <w:rPr>
          <w:rFonts w:hint="eastAsia" w:ascii="宋体" w:eastAsia="宋体"/>
          <w:color w:val="auto"/>
          <w:sz w:val="21"/>
          <w:szCs w:val="21"/>
          <w:highlight w:val="none"/>
        </w:rPr>
        <w:t>系（供应商名称）的法定代表人。</w:t>
      </w:r>
    </w:p>
    <w:p w14:paraId="553A2203">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特此证明。</w:t>
      </w:r>
    </w:p>
    <w:p w14:paraId="045E77A5">
      <w:pPr>
        <w:pStyle w:val="77"/>
        <w:shd w:val="clear"/>
        <w:spacing w:line="500" w:lineRule="atLeast"/>
        <w:ind w:firstLine="3517" w:firstLineChars="1675"/>
        <w:rPr>
          <w:rFonts w:ascii="宋体" w:eastAsia="宋体"/>
          <w:color w:val="auto"/>
          <w:sz w:val="21"/>
          <w:szCs w:val="21"/>
          <w:highlight w:val="none"/>
        </w:rPr>
      </w:pPr>
    </w:p>
    <w:p w14:paraId="69DFCF3A">
      <w:pPr>
        <w:pStyle w:val="77"/>
        <w:shd w:val="clear"/>
        <w:spacing w:line="360" w:lineRule="auto"/>
        <w:ind w:firstLine="3517" w:firstLineChars="1675"/>
        <w:rPr>
          <w:rFonts w:ascii="宋体" w:eastAsia="宋体"/>
          <w:color w:val="auto"/>
          <w:sz w:val="21"/>
          <w:szCs w:val="21"/>
          <w:highlight w:val="none"/>
        </w:rPr>
      </w:pPr>
      <w:r>
        <w:rPr>
          <w:rFonts w:hint="eastAsia" w:ascii="宋体" w:eastAsia="宋体"/>
          <w:color w:val="auto"/>
          <w:sz w:val="21"/>
          <w:szCs w:val="21"/>
          <w:highlight w:val="none"/>
        </w:rPr>
        <w:t>供应商名称（加盖公章）</w:t>
      </w:r>
    </w:p>
    <w:p w14:paraId="65F699A4">
      <w:pPr>
        <w:pStyle w:val="77"/>
        <w:shd w:val="clear"/>
        <w:spacing w:line="360" w:lineRule="auto"/>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法定代表人（签名或盖私章）：</w:t>
      </w:r>
    </w:p>
    <w:p w14:paraId="1431E2AB">
      <w:pPr>
        <w:pStyle w:val="77"/>
        <w:shd w:val="clear"/>
        <w:spacing w:line="360" w:lineRule="auto"/>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身份证号码：</w:t>
      </w:r>
    </w:p>
    <w:p w14:paraId="629BD21C">
      <w:pPr>
        <w:pStyle w:val="77"/>
        <w:shd w:val="clear"/>
        <w:spacing w:line="360" w:lineRule="auto"/>
        <w:ind w:firstLine="3507" w:firstLineChars="1670"/>
        <w:rPr>
          <w:rFonts w:ascii="宋体" w:eastAsia="宋体"/>
          <w:color w:val="auto"/>
          <w:sz w:val="21"/>
          <w:szCs w:val="21"/>
          <w:highlight w:val="none"/>
        </w:rPr>
      </w:pPr>
      <w:r>
        <w:rPr>
          <w:rFonts w:hint="eastAsia" w:ascii="宋体" w:eastAsia="宋体"/>
          <w:color w:val="auto"/>
          <w:sz w:val="21"/>
          <w:szCs w:val="21"/>
          <w:highlight w:val="none"/>
        </w:rPr>
        <w:t>日      期：</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年</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月</w:t>
      </w:r>
      <w:r>
        <w:rPr>
          <w:rFonts w:hint="eastAsia" w:ascii="宋体" w:eastAsia="宋体"/>
          <w:color w:val="auto"/>
          <w:sz w:val="21"/>
          <w:szCs w:val="21"/>
          <w:highlight w:val="none"/>
          <w:lang w:val="en-US" w:eastAsia="zh-CN"/>
        </w:rPr>
        <w:t xml:space="preserve">     </w:t>
      </w:r>
      <w:r>
        <w:rPr>
          <w:rFonts w:hint="eastAsia" w:ascii="宋体" w:eastAsia="宋体"/>
          <w:color w:val="auto"/>
          <w:sz w:val="21"/>
          <w:szCs w:val="21"/>
          <w:highlight w:val="none"/>
        </w:rPr>
        <w:t>日</w:t>
      </w:r>
    </w:p>
    <w:p w14:paraId="76D07605">
      <w:pPr>
        <w:shd w:val="clear"/>
        <w:spacing w:line="420" w:lineRule="atLeast"/>
        <w:ind w:firstLine="422" w:firstLineChars="200"/>
        <w:rPr>
          <w:rFonts w:hint="eastAsia" w:hAnsi="宋体"/>
          <w:b/>
          <w:color w:val="auto"/>
          <w:sz w:val="21"/>
          <w:szCs w:val="21"/>
          <w:highlight w:val="none"/>
        </w:rPr>
      </w:pPr>
    </w:p>
    <w:p w14:paraId="7F1195E0">
      <w:pPr>
        <w:shd w:val="clear"/>
        <w:spacing w:line="420" w:lineRule="atLeast"/>
        <w:ind w:firstLine="422" w:firstLineChars="200"/>
        <w:rPr>
          <w:rFonts w:hAnsi="宋体"/>
          <w:b/>
          <w:color w:val="auto"/>
          <w:sz w:val="21"/>
          <w:szCs w:val="21"/>
          <w:highlight w:val="none"/>
        </w:rPr>
      </w:pPr>
      <w:r>
        <w:rPr>
          <w:rFonts w:hint="eastAsia" w:hAnsi="宋体"/>
          <w:b/>
          <w:color w:val="auto"/>
          <w:sz w:val="21"/>
          <w:szCs w:val="21"/>
          <w:highlight w:val="none"/>
        </w:rPr>
        <w:t>须附：法定代表人身份证复印件</w:t>
      </w:r>
    </w:p>
    <w:p w14:paraId="7AAFC1F0">
      <w:pPr>
        <w:shd w:val="clear"/>
        <w:spacing w:line="420" w:lineRule="atLeast"/>
        <w:ind w:firstLine="422" w:firstLineChars="200"/>
        <w:rPr>
          <w:b/>
          <w:color w:val="auto"/>
          <w:sz w:val="21"/>
          <w:szCs w:val="21"/>
          <w:highlight w:val="none"/>
        </w:rPr>
      </w:pPr>
    </w:p>
    <w:tbl>
      <w:tblPr>
        <w:tblStyle w:val="53"/>
        <w:tblW w:w="83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14:paraId="02ED38F3">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17" w:hRule="atLeast"/>
          <w:jc w:val="center"/>
        </w:trPr>
        <w:tc>
          <w:tcPr>
            <w:tcW w:w="4182" w:type="dxa"/>
            <w:vAlign w:val="center"/>
          </w:tcPr>
          <w:p w14:paraId="0BEE6EEF">
            <w:pPr>
              <w:pStyle w:val="77"/>
              <w:shd w:val="clear"/>
              <w:spacing w:line="460" w:lineRule="exact"/>
              <w:ind w:firstLine="0" w:firstLineChars="0"/>
              <w:jc w:val="center"/>
              <w:rPr>
                <w:rFonts w:ascii="宋体" w:eastAsia="宋体"/>
                <w:color w:val="auto"/>
                <w:sz w:val="21"/>
                <w:szCs w:val="21"/>
                <w:highlight w:val="none"/>
              </w:rPr>
            </w:pPr>
          </w:p>
        </w:tc>
        <w:tc>
          <w:tcPr>
            <w:tcW w:w="4182" w:type="dxa"/>
            <w:vAlign w:val="center"/>
          </w:tcPr>
          <w:p w14:paraId="5EA5B536">
            <w:pPr>
              <w:pStyle w:val="77"/>
              <w:shd w:val="clear"/>
              <w:spacing w:line="460" w:lineRule="exact"/>
              <w:ind w:firstLine="0" w:firstLineChars="0"/>
              <w:jc w:val="center"/>
              <w:rPr>
                <w:rFonts w:ascii="宋体" w:eastAsia="宋体"/>
                <w:color w:val="auto"/>
                <w:sz w:val="21"/>
                <w:szCs w:val="21"/>
                <w:highlight w:val="none"/>
              </w:rPr>
            </w:pPr>
          </w:p>
        </w:tc>
      </w:tr>
    </w:tbl>
    <w:p w14:paraId="46B33FBE">
      <w:pPr>
        <w:shd w:val="clear"/>
        <w:rPr>
          <w:rFonts w:hAnsi="宋体"/>
          <w:color w:val="auto"/>
          <w:highlight w:val="none"/>
        </w:rPr>
      </w:pPr>
    </w:p>
    <w:p w14:paraId="64B3E876">
      <w:pPr>
        <w:pStyle w:val="3"/>
        <w:numPr>
          <w:ilvl w:val="0"/>
          <w:numId w:val="20"/>
        </w:numPr>
        <w:shd w:val="clear"/>
        <w:jc w:val="center"/>
        <w:rPr>
          <w:bCs/>
          <w:color w:val="auto"/>
          <w:sz w:val="28"/>
          <w:szCs w:val="28"/>
          <w:highlight w:val="none"/>
        </w:rPr>
      </w:pPr>
      <w:r>
        <w:rPr>
          <w:rFonts w:hint="eastAsia"/>
          <w:bCs/>
          <w:color w:val="auto"/>
          <w:sz w:val="28"/>
          <w:szCs w:val="28"/>
          <w:highlight w:val="none"/>
        </w:rPr>
        <w:br w:type="page"/>
      </w:r>
      <w:bookmarkStart w:id="223" w:name="_Toc18590"/>
      <w:bookmarkStart w:id="224" w:name="_Toc7897892"/>
      <w:bookmarkStart w:id="225" w:name="_Toc19634"/>
      <w:bookmarkStart w:id="226" w:name="_Toc28882"/>
      <w:r>
        <w:rPr>
          <w:rFonts w:hint="eastAsia"/>
          <w:bCs/>
          <w:color w:val="auto"/>
          <w:sz w:val="28"/>
          <w:szCs w:val="28"/>
          <w:highlight w:val="none"/>
        </w:rPr>
        <w:t>授权委托书</w:t>
      </w:r>
      <w:bookmarkEnd w:id="223"/>
      <w:bookmarkEnd w:id="224"/>
      <w:bookmarkEnd w:id="225"/>
      <w:bookmarkEnd w:id="226"/>
    </w:p>
    <w:p w14:paraId="21BF00C5">
      <w:pPr>
        <w:pStyle w:val="12"/>
        <w:shd w:val="clear"/>
        <w:ind w:firstLine="400"/>
        <w:rPr>
          <w:color w:val="auto"/>
          <w:highlight w:val="none"/>
        </w:rPr>
      </w:pPr>
    </w:p>
    <w:p w14:paraId="3E714105">
      <w:pPr>
        <w:shd w:val="clear"/>
        <w:spacing w:line="420" w:lineRule="exact"/>
        <w:rPr>
          <w:rFonts w:hAnsi="宋体"/>
          <w:color w:val="auto"/>
          <w:sz w:val="22"/>
          <w:szCs w:val="22"/>
          <w:highlight w:val="none"/>
        </w:rPr>
      </w:pPr>
    </w:p>
    <w:p w14:paraId="2AE38EA0">
      <w:pPr>
        <w:shd w:val="clear"/>
        <w:spacing w:line="360" w:lineRule="auto"/>
        <w:rPr>
          <w:rFonts w:hint="eastAsia" w:hAnsi="宋体" w:eastAsia="宋体"/>
          <w:color w:val="auto"/>
          <w:sz w:val="21"/>
          <w:szCs w:val="21"/>
          <w:highlight w:val="none"/>
          <w:lang w:eastAsia="zh-CN"/>
        </w:rPr>
      </w:pPr>
      <w:r>
        <w:rPr>
          <w:rFonts w:hint="eastAsia" w:hAnsi="宋体"/>
          <w:color w:val="auto"/>
          <w:sz w:val="21"/>
          <w:szCs w:val="21"/>
          <w:highlight w:val="none"/>
        </w:rPr>
        <w:t>致：</w:t>
      </w:r>
      <w:r>
        <w:rPr>
          <w:rFonts w:hint="eastAsia" w:hAnsi="宋体"/>
          <w:color w:val="auto"/>
          <w:sz w:val="21"/>
          <w:szCs w:val="21"/>
          <w:highlight w:val="none"/>
          <w:lang w:eastAsia="zh-CN"/>
        </w:rPr>
        <w:t>广东有德招标采购有限公司</w:t>
      </w:r>
    </w:p>
    <w:p w14:paraId="619299F8">
      <w:pPr>
        <w:pStyle w:val="77"/>
        <w:shd w:val="clear"/>
        <w:spacing w:line="360" w:lineRule="auto"/>
        <w:ind w:firstLine="450" w:firstLineChars="0"/>
        <w:rPr>
          <w:rFonts w:ascii="宋体" w:eastAsia="宋体"/>
          <w:color w:val="auto"/>
          <w:sz w:val="21"/>
          <w:szCs w:val="21"/>
          <w:highlight w:val="none"/>
        </w:rPr>
      </w:pPr>
      <w:r>
        <w:rPr>
          <w:rFonts w:hint="eastAsia" w:ascii="宋体" w:eastAsia="宋体"/>
          <w:color w:val="auto"/>
          <w:sz w:val="21"/>
          <w:szCs w:val="21"/>
          <w:highlight w:val="none"/>
        </w:rPr>
        <w:t>本人</w:t>
      </w:r>
      <w:r>
        <w:rPr>
          <w:rFonts w:hint="eastAsia" w:ascii="宋体" w:eastAsia="宋体"/>
          <w:color w:val="auto"/>
          <w:sz w:val="21"/>
          <w:szCs w:val="21"/>
          <w:highlight w:val="none"/>
          <w:u w:val="single"/>
        </w:rPr>
        <w:t xml:space="preserve">  （姓名） </w:t>
      </w:r>
      <w:r>
        <w:rPr>
          <w:rFonts w:hint="eastAsia" w:ascii="宋体" w:eastAsia="宋体"/>
          <w:color w:val="auto"/>
          <w:sz w:val="21"/>
          <w:szCs w:val="21"/>
          <w:highlight w:val="none"/>
        </w:rPr>
        <w:t>系</w:t>
      </w:r>
      <w:r>
        <w:rPr>
          <w:rFonts w:hint="eastAsia" w:ascii="宋体" w:eastAsia="宋体"/>
          <w:color w:val="auto"/>
          <w:sz w:val="21"/>
          <w:szCs w:val="21"/>
          <w:highlight w:val="none"/>
          <w:u w:val="single"/>
        </w:rPr>
        <w:t xml:space="preserve">     （供应商名称）        </w:t>
      </w:r>
      <w:r>
        <w:rPr>
          <w:rFonts w:hint="eastAsia" w:ascii="宋体" w:eastAsia="宋体"/>
          <w:color w:val="auto"/>
          <w:sz w:val="21"/>
          <w:szCs w:val="21"/>
          <w:highlight w:val="none"/>
        </w:rPr>
        <w:t>的法定代表人，现委托</w:t>
      </w:r>
      <w:r>
        <w:rPr>
          <w:rFonts w:hint="eastAsia" w:ascii="宋体" w:eastAsia="宋体"/>
          <w:color w:val="auto"/>
          <w:sz w:val="21"/>
          <w:szCs w:val="21"/>
          <w:highlight w:val="none"/>
          <w:u w:val="single"/>
        </w:rPr>
        <w:t xml:space="preserve"> （姓名） </w:t>
      </w:r>
      <w:r>
        <w:rPr>
          <w:rFonts w:hint="eastAsia" w:ascii="宋体" w:eastAsia="宋体"/>
          <w:color w:val="auto"/>
          <w:sz w:val="21"/>
          <w:szCs w:val="21"/>
          <w:highlight w:val="none"/>
        </w:rPr>
        <w:t>为我方合法代理人。代理人根据授权，以我方名义签署、澄清、说明、补正、递交、撤回、修改</w:t>
      </w:r>
      <w:r>
        <w:rPr>
          <w:rFonts w:hint="eastAsia" w:ascii="宋体" w:eastAsia="宋体"/>
          <w:color w:val="auto"/>
          <w:sz w:val="21"/>
          <w:szCs w:val="21"/>
          <w:highlight w:val="none"/>
          <w:u w:val="single"/>
        </w:rPr>
        <w:t xml:space="preserve">        （项目名称）        </w:t>
      </w:r>
      <w:r>
        <w:rPr>
          <w:rFonts w:hint="eastAsia" w:ascii="宋体" w:eastAsia="宋体"/>
          <w:color w:val="auto"/>
          <w:sz w:val="21"/>
          <w:szCs w:val="21"/>
          <w:highlight w:val="none"/>
        </w:rPr>
        <w:t>[</w:t>
      </w:r>
      <w:r>
        <w:rPr>
          <w:rFonts w:hint="eastAsia" w:ascii="宋体" w:eastAsia="宋体"/>
          <w:color w:val="auto"/>
          <w:sz w:val="21"/>
          <w:szCs w:val="21"/>
          <w:highlight w:val="none"/>
          <w:lang w:val="en-US" w:eastAsia="zh-CN"/>
        </w:rPr>
        <w:t>项目</w:t>
      </w:r>
      <w:r>
        <w:rPr>
          <w:rFonts w:hint="eastAsia" w:ascii="宋体" w:eastAsia="宋体"/>
          <w:color w:val="auto"/>
          <w:sz w:val="21"/>
          <w:szCs w:val="21"/>
          <w:highlight w:val="none"/>
        </w:rPr>
        <w:t>编号：</w:t>
      </w:r>
      <w:r>
        <w:rPr>
          <w:rFonts w:hint="eastAsia" w:ascii="宋体" w:eastAsia="宋体"/>
          <w:color w:val="auto"/>
          <w:sz w:val="21"/>
          <w:szCs w:val="21"/>
          <w:highlight w:val="none"/>
          <w:u w:val="single"/>
        </w:rPr>
        <w:t>　　　　　　　</w:t>
      </w:r>
      <w:r>
        <w:rPr>
          <w:rFonts w:hint="eastAsia" w:ascii="宋体" w:eastAsia="宋体"/>
          <w:color w:val="auto"/>
          <w:sz w:val="21"/>
          <w:szCs w:val="21"/>
          <w:highlight w:val="none"/>
        </w:rPr>
        <w:t>]磋商响应文件、签订合同和处理有关事宜，其法律后果由我方承担。</w:t>
      </w:r>
    </w:p>
    <w:p w14:paraId="174553C1">
      <w:pPr>
        <w:pStyle w:val="77"/>
        <w:shd w:val="clear"/>
        <w:spacing w:line="360" w:lineRule="auto"/>
        <w:ind w:firstLine="428" w:firstLineChars="204"/>
        <w:rPr>
          <w:rFonts w:ascii="宋体" w:eastAsia="宋体"/>
          <w:color w:val="auto"/>
          <w:sz w:val="21"/>
          <w:szCs w:val="21"/>
          <w:highlight w:val="none"/>
        </w:rPr>
      </w:pPr>
      <w:r>
        <w:rPr>
          <w:rFonts w:hint="eastAsia" w:ascii="宋体" w:eastAsia="宋体"/>
          <w:color w:val="auto"/>
          <w:sz w:val="21"/>
          <w:szCs w:val="21"/>
          <w:highlight w:val="none"/>
        </w:rPr>
        <w:t>本委托书于</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年</w:t>
      </w:r>
      <w:r>
        <w:rPr>
          <w:rFonts w:hint="eastAsia" w:ascii="宋体" w:eastAsia="宋体"/>
          <w:color w:val="auto"/>
          <w:sz w:val="21"/>
          <w:szCs w:val="21"/>
          <w:highlight w:val="none"/>
          <w:u w:val="single"/>
        </w:rPr>
        <w:t>　</w:t>
      </w:r>
      <w:r>
        <w:rPr>
          <w:rFonts w:hint="eastAsia" w:ascii="宋体" w:eastAsia="宋体"/>
          <w:color w:val="auto"/>
          <w:sz w:val="21"/>
          <w:szCs w:val="21"/>
          <w:highlight w:val="none"/>
          <w:u w:val="single"/>
          <w:lang w:val="en-US" w:eastAsia="zh-CN"/>
        </w:rPr>
        <w:t xml:space="preserve"> </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月</w:t>
      </w:r>
      <w:r>
        <w:rPr>
          <w:rFonts w:hint="eastAsia" w:ascii="宋体" w:eastAsia="宋体"/>
          <w:color w:val="auto"/>
          <w:sz w:val="21"/>
          <w:szCs w:val="21"/>
          <w:highlight w:val="none"/>
          <w:u w:val="single"/>
        </w:rPr>
        <w:t>　</w:t>
      </w:r>
      <w:r>
        <w:rPr>
          <w:rFonts w:hint="eastAsia" w:ascii="宋体" w:eastAsia="宋体"/>
          <w:color w:val="auto"/>
          <w:sz w:val="21"/>
          <w:szCs w:val="21"/>
          <w:highlight w:val="none"/>
          <w:u w:val="single"/>
          <w:lang w:val="en-US" w:eastAsia="zh-CN"/>
        </w:rPr>
        <w:t xml:space="preserve"> </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u w:val="single"/>
          <w:lang w:val="en-US" w:eastAsia="zh-CN"/>
        </w:rPr>
        <w:t xml:space="preserve"> </w:t>
      </w:r>
      <w:r>
        <w:rPr>
          <w:rFonts w:hint="eastAsia" w:ascii="宋体" w:eastAsia="宋体"/>
          <w:color w:val="auto"/>
          <w:sz w:val="21"/>
          <w:szCs w:val="21"/>
          <w:highlight w:val="none"/>
        </w:rPr>
        <w:t>日签字生效，特此证明。</w:t>
      </w:r>
    </w:p>
    <w:p w14:paraId="62530312">
      <w:pPr>
        <w:pStyle w:val="77"/>
        <w:shd w:val="clear"/>
        <w:spacing w:line="360" w:lineRule="auto"/>
        <w:ind w:firstLine="450" w:firstLineChars="0"/>
        <w:rPr>
          <w:rFonts w:ascii="宋体" w:eastAsia="宋体"/>
          <w:color w:val="auto"/>
          <w:sz w:val="21"/>
          <w:szCs w:val="21"/>
          <w:highlight w:val="none"/>
        </w:rPr>
      </w:pPr>
      <w:r>
        <w:rPr>
          <w:rFonts w:hint="eastAsia" w:ascii="宋体" w:eastAsia="宋体"/>
          <w:color w:val="auto"/>
          <w:sz w:val="21"/>
          <w:szCs w:val="21"/>
          <w:highlight w:val="none"/>
        </w:rPr>
        <w:t>代理人无转委托权</w:t>
      </w:r>
    </w:p>
    <w:p w14:paraId="3EE30ABD">
      <w:pPr>
        <w:pStyle w:val="77"/>
        <w:shd w:val="clear"/>
        <w:spacing w:line="360" w:lineRule="auto"/>
        <w:ind w:firstLine="450" w:firstLineChars="0"/>
        <w:rPr>
          <w:rFonts w:ascii="宋体" w:eastAsia="宋体"/>
          <w:color w:val="auto"/>
          <w:sz w:val="21"/>
          <w:szCs w:val="21"/>
          <w:highlight w:val="none"/>
        </w:rPr>
      </w:pPr>
    </w:p>
    <w:p w14:paraId="2302891D">
      <w:pPr>
        <w:pStyle w:val="77"/>
        <w:shd w:val="clear"/>
        <w:spacing w:line="360" w:lineRule="auto"/>
        <w:ind w:firstLine="428" w:firstLineChars="204"/>
        <w:rPr>
          <w:rFonts w:ascii="宋体" w:eastAsia="宋体"/>
          <w:color w:val="auto"/>
          <w:sz w:val="21"/>
          <w:szCs w:val="21"/>
          <w:highlight w:val="none"/>
        </w:rPr>
      </w:pPr>
    </w:p>
    <w:p w14:paraId="66330764">
      <w:pPr>
        <w:pStyle w:val="77"/>
        <w:shd w:val="clear"/>
        <w:spacing w:line="360" w:lineRule="auto"/>
        <w:ind w:firstLine="3517" w:firstLineChars="1675"/>
        <w:rPr>
          <w:rFonts w:ascii="宋体" w:eastAsia="宋体"/>
          <w:color w:val="auto"/>
          <w:sz w:val="21"/>
          <w:szCs w:val="21"/>
          <w:highlight w:val="none"/>
        </w:rPr>
      </w:pPr>
      <w:r>
        <w:rPr>
          <w:rFonts w:hint="eastAsia" w:ascii="宋体" w:eastAsia="宋体"/>
          <w:color w:val="auto"/>
          <w:sz w:val="21"/>
          <w:szCs w:val="21"/>
          <w:highlight w:val="none"/>
        </w:rPr>
        <w:t>供应商名称（加盖公章）</w:t>
      </w:r>
    </w:p>
    <w:p w14:paraId="65876201">
      <w:pPr>
        <w:pStyle w:val="77"/>
        <w:shd w:val="clear"/>
        <w:spacing w:line="360" w:lineRule="auto"/>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法定代表人（签名或盖私章）：</w:t>
      </w:r>
    </w:p>
    <w:p w14:paraId="3EA4D370">
      <w:pPr>
        <w:pStyle w:val="77"/>
        <w:shd w:val="clear"/>
        <w:spacing w:line="360" w:lineRule="auto"/>
        <w:ind w:firstLine="3517" w:firstLineChars="1675"/>
        <w:rPr>
          <w:rFonts w:ascii="宋体" w:eastAsia="宋体"/>
          <w:color w:val="auto"/>
          <w:sz w:val="21"/>
          <w:szCs w:val="21"/>
          <w:highlight w:val="none"/>
        </w:rPr>
      </w:pPr>
      <w:r>
        <w:rPr>
          <w:rFonts w:hint="eastAsia" w:ascii="宋体" w:eastAsia="宋体"/>
          <w:color w:val="auto"/>
          <w:sz w:val="21"/>
          <w:szCs w:val="21"/>
          <w:highlight w:val="none"/>
        </w:rPr>
        <w:t>身份证号码：</w:t>
      </w:r>
    </w:p>
    <w:p w14:paraId="7242BC80">
      <w:pPr>
        <w:pStyle w:val="77"/>
        <w:shd w:val="clear"/>
        <w:spacing w:line="360" w:lineRule="auto"/>
        <w:ind w:firstLine="3517" w:firstLineChars="1675"/>
        <w:rPr>
          <w:rFonts w:ascii="宋体" w:eastAsia="宋体"/>
          <w:color w:val="auto"/>
          <w:sz w:val="21"/>
          <w:szCs w:val="21"/>
          <w:highlight w:val="none"/>
        </w:rPr>
      </w:pPr>
    </w:p>
    <w:p w14:paraId="6BA0C3C4">
      <w:pPr>
        <w:pStyle w:val="77"/>
        <w:shd w:val="clear"/>
        <w:spacing w:line="360" w:lineRule="auto"/>
        <w:ind w:firstLine="3517" w:firstLineChars="1675"/>
        <w:rPr>
          <w:rFonts w:ascii="宋体" w:eastAsia="宋体"/>
          <w:color w:val="auto"/>
          <w:sz w:val="21"/>
          <w:szCs w:val="21"/>
          <w:highlight w:val="none"/>
        </w:rPr>
      </w:pPr>
      <w:r>
        <w:rPr>
          <w:rFonts w:hint="eastAsia" w:ascii="宋体" w:eastAsia="宋体"/>
          <w:color w:val="auto"/>
          <w:sz w:val="21"/>
          <w:szCs w:val="21"/>
          <w:highlight w:val="none"/>
        </w:rPr>
        <w:t>受托代理人（签名或盖私章）：</w:t>
      </w:r>
    </w:p>
    <w:p w14:paraId="0BC82BD6">
      <w:pPr>
        <w:pStyle w:val="77"/>
        <w:shd w:val="clear"/>
        <w:spacing w:line="360" w:lineRule="auto"/>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身份证号码：</w:t>
      </w:r>
    </w:p>
    <w:p w14:paraId="63E4632E">
      <w:pPr>
        <w:pStyle w:val="77"/>
        <w:shd w:val="clear"/>
        <w:spacing w:line="360" w:lineRule="auto"/>
        <w:ind w:firstLine="3507" w:firstLineChars="1670"/>
        <w:rPr>
          <w:rFonts w:ascii="宋体" w:eastAsia="宋体"/>
          <w:color w:val="auto"/>
          <w:sz w:val="21"/>
          <w:szCs w:val="21"/>
          <w:highlight w:val="none"/>
        </w:rPr>
      </w:pPr>
      <w:r>
        <w:rPr>
          <w:rFonts w:hint="eastAsia" w:ascii="宋体" w:eastAsia="宋体"/>
          <w:color w:val="auto"/>
          <w:sz w:val="21"/>
          <w:szCs w:val="21"/>
          <w:highlight w:val="none"/>
        </w:rPr>
        <w:t>日      期：年月日</w:t>
      </w:r>
    </w:p>
    <w:p w14:paraId="181CEB12">
      <w:pPr>
        <w:shd w:val="clear"/>
        <w:spacing w:line="420" w:lineRule="atLeast"/>
        <w:ind w:firstLine="422" w:firstLineChars="200"/>
        <w:rPr>
          <w:rFonts w:hAnsi="宋体"/>
          <w:b/>
          <w:color w:val="auto"/>
          <w:sz w:val="21"/>
          <w:szCs w:val="21"/>
          <w:highlight w:val="none"/>
        </w:rPr>
      </w:pPr>
    </w:p>
    <w:p w14:paraId="376B5BE7">
      <w:pPr>
        <w:shd w:val="clear"/>
        <w:spacing w:line="420" w:lineRule="atLeast"/>
        <w:ind w:firstLine="422" w:firstLineChars="200"/>
        <w:rPr>
          <w:rFonts w:hAnsi="宋体"/>
          <w:b/>
          <w:color w:val="auto"/>
          <w:sz w:val="21"/>
          <w:szCs w:val="21"/>
          <w:highlight w:val="none"/>
        </w:rPr>
      </w:pPr>
    </w:p>
    <w:p w14:paraId="738AE9FC">
      <w:pPr>
        <w:shd w:val="clear"/>
        <w:spacing w:line="420" w:lineRule="atLeast"/>
        <w:ind w:firstLine="422" w:firstLineChars="200"/>
        <w:rPr>
          <w:rFonts w:hAnsi="宋体"/>
          <w:b/>
          <w:color w:val="auto"/>
          <w:sz w:val="21"/>
          <w:szCs w:val="21"/>
          <w:highlight w:val="none"/>
        </w:rPr>
      </w:pPr>
      <w:r>
        <w:rPr>
          <w:rFonts w:hint="eastAsia" w:hAnsi="宋体"/>
          <w:b/>
          <w:color w:val="auto"/>
          <w:sz w:val="21"/>
          <w:szCs w:val="21"/>
          <w:highlight w:val="none"/>
        </w:rPr>
        <w:t>须附：授权代理人身份证复印件</w:t>
      </w:r>
    </w:p>
    <w:p w14:paraId="79674858">
      <w:pPr>
        <w:shd w:val="clear"/>
        <w:spacing w:line="420" w:lineRule="atLeast"/>
        <w:ind w:firstLine="420" w:firstLineChars="200"/>
        <w:rPr>
          <w:color w:val="auto"/>
          <w:sz w:val="21"/>
          <w:szCs w:val="21"/>
          <w:highlight w:val="none"/>
        </w:rPr>
      </w:pPr>
    </w:p>
    <w:tbl>
      <w:tblPr>
        <w:tblStyle w:val="53"/>
        <w:tblW w:w="84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32"/>
        <w:gridCol w:w="4232"/>
      </w:tblGrid>
      <w:tr w14:paraId="1ADEDDF5">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661" w:hRule="atLeast"/>
          <w:jc w:val="center"/>
        </w:trPr>
        <w:tc>
          <w:tcPr>
            <w:tcW w:w="4232" w:type="dxa"/>
            <w:vAlign w:val="center"/>
          </w:tcPr>
          <w:p w14:paraId="4852D0A2">
            <w:pPr>
              <w:pStyle w:val="77"/>
              <w:shd w:val="clear"/>
              <w:spacing w:line="460" w:lineRule="exact"/>
              <w:ind w:firstLine="0" w:firstLineChars="0"/>
              <w:jc w:val="center"/>
              <w:rPr>
                <w:rFonts w:ascii="宋体" w:eastAsia="宋体"/>
                <w:color w:val="auto"/>
                <w:sz w:val="21"/>
                <w:szCs w:val="21"/>
                <w:highlight w:val="none"/>
              </w:rPr>
            </w:pPr>
          </w:p>
        </w:tc>
        <w:tc>
          <w:tcPr>
            <w:tcW w:w="4232" w:type="dxa"/>
            <w:vAlign w:val="center"/>
          </w:tcPr>
          <w:p w14:paraId="211ED9C4">
            <w:pPr>
              <w:pStyle w:val="77"/>
              <w:shd w:val="clear"/>
              <w:spacing w:line="460" w:lineRule="exact"/>
              <w:ind w:firstLine="0" w:firstLineChars="0"/>
              <w:jc w:val="center"/>
              <w:rPr>
                <w:rFonts w:ascii="宋体" w:eastAsia="宋体"/>
                <w:color w:val="auto"/>
                <w:sz w:val="21"/>
                <w:szCs w:val="21"/>
                <w:highlight w:val="none"/>
              </w:rPr>
            </w:pPr>
          </w:p>
        </w:tc>
      </w:tr>
    </w:tbl>
    <w:p w14:paraId="4FFFBBEA">
      <w:pPr>
        <w:pStyle w:val="12"/>
        <w:shd w:val="clear"/>
        <w:ind w:firstLine="482"/>
        <w:rPr>
          <w:b/>
          <w:color w:val="auto"/>
          <w:sz w:val="24"/>
          <w:szCs w:val="24"/>
          <w:highlight w:val="none"/>
        </w:rPr>
      </w:pPr>
    </w:p>
    <w:p w14:paraId="0D910639">
      <w:pPr>
        <w:shd w:val="clear"/>
        <w:tabs>
          <w:tab w:val="left" w:pos="7740"/>
        </w:tabs>
        <w:spacing w:line="360" w:lineRule="auto"/>
        <w:rPr>
          <w:rFonts w:hAnsi="宋体"/>
          <w:color w:val="auto"/>
          <w:sz w:val="21"/>
          <w:szCs w:val="21"/>
          <w:highlight w:val="none"/>
        </w:rPr>
      </w:pPr>
      <w:bookmarkStart w:id="227" w:name="_Toc7897893"/>
      <w:bookmarkStart w:id="228" w:name="_Toc4592"/>
    </w:p>
    <w:p w14:paraId="42110364">
      <w:pPr>
        <w:pStyle w:val="3"/>
        <w:numPr>
          <w:ilvl w:val="0"/>
          <w:numId w:val="20"/>
        </w:numPr>
        <w:shd w:val="clear"/>
        <w:jc w:val="center"/>
        <w:rPr>
          <w:color w:val="auto"/>
          <w:sz w:val="28"/>
          <w:szCs w:val="28"/>
          <w:highlight w:val="none"/>
        </w:rPr>
      </w:pPr>
      <w:bookmarkStart w:id="229" w:name="_Toc17363"/>
      <w:bookmarkStart w:id="230" w:name="_Toc1276"/>
      <w:r>
        <w:rPr>
          <w:rFonts w:hint="eastAsia"/>
          <w:color w:val="auto"/>
          <w:sz w:val="28"/>
          <w:szCs w:val="28"/>
          <w:highlight w:val="none"/>
        </w:rPr>
        <w:t>供应商基本情况说明</w:t>
      </w:r>
      <w:bookmarkEnd w:id="227"/>
      <w:bookmarkEnd w:id="228"/>
      <w:bookmarkEnd w:id="229"/>
      <w:bookmarkEnd w:id="230"/>
    </w:p>
    <w:p w14:paraId="129B45A5">
      <w:pPr>
        <w:shd w:val="clear"/>
        <w:spacing w:line="360" w:lineRule="auto"/>
        <w:rPr>
          <w:rFonts w:hAnsi="宋体"/>
          <w:color w:val="auto"/>
          <w:sz w:val="21"/>
          <w:szCs w:val="21"/>
          <w:highlight w:val="none"/>
        </w:rPr>
      </w:pPr>
      <w:r>
        <w:rPr>
          <w:rFonts w:hint="eastAsia" w:hAnsi="宋体"/>
          <w:color w:val="auto"/>
          <w:sz w:val="21"/>
          <w:szCs w:val="21"/>
          <w:highlight w:val="none"/>
        </w:rPr>
        <w:t>一、</w:t>
      </w:r>
      <w:r>
        <w:rPr>
          <w:rFonts w:hAnsi="宋体"/>
          <w:color w:val="auto"/>
          <w:sz w:val="21"/>
          <w:szCs w:val="21"/>
          <w:highlight w:val="none"/>
        </w:rPr>
        <w:t>公司基本情况</w:t>
      </w:r>
    </w:p>
    <w:p w14:paraId="416A6C31">
      <w:pPr>
        <w:shd w:val="clear"/>
        <w:tabs>
          <w:tab w:val="left" w:pos="4678"/>
        </w:tabs>
        <w:spacing w:line="360" w:lineRule="auto"/>
        <w:rPr>
          <w:rFonts w:hAnsi="宋体"/>
          <w:color w:val="auto"/>
          <w:sz w:val="21"/>
          <w:szCs w:val="21"/>
          <w:highlight w:val="none"/>
        </w:rPr>
      </w:pPr>
      <w:r>
        <w:rPr>
          <w:rFonts w:hAnsi="宋体"/>
          <w:color w:val="auto"/>
          <w:sz w:val="21"/>
          <w:szCs w:val="21"/>
          <w:highlight w:val="none"/>
        </w:rPr>
        <w:t>1、公司名称：</w:t>
      </w:r>
      <w:r>
        <w:rPr>
          <w:rFonts w:hint="eastAsia" w:hAnsi="宋体"/>
          <w:color w:val="auto"/>
          <w:sz w:val="21"/>
          <w:szCs w:val="21"/>
          <w:highlight w:val="none"/>
          <w:lang w:val="en-US" w:eastAsia="zh-CN"/>
        </w:rPr>
        <w:t xml:space="preserve">          </w:t>
      </w:r>
      <w:r>
        <w:rPr>
          <w:rFonts w:hAnsi="宋体"/>
          <w:color w:val="auto"/>
          <w:sz w:val="21"/>
          <w:szCs w:val="21"/>
          <w:highlight w:val="none"/>
        </w:rPr>
        <w:t xml:space="preserve"> 电话号码：</w:t>
      </w:r>
    </w:p>
    <w:p w14:paraId="2EFEF959">
      <w:pPr>
        <w:shd w:val="clear"/>
        <w:spacing w:line="360" w:lineRule="auto"/>
        <w:rPr>
          <w:rFonts w:hAnsi="宋体"/>
          <w:color w:val="auto"/>
          <w:sz w:val="21"/>
          <w:szCs w:val="21"/>
          <w:highlight w:val="none"/>
        </w:rPr>
      </w:pPr>
      <w:r>
        <w:rPr>
          <w:rFonts w:hAnsi="宋体"/>
          <w:color w:val="auto"/>
          <w:sz w:val="21"/>
          <w:szCs w:val="21"/>
          <w:highlight w:val="none"/>
        </w:rPr>
        <w:t xml:space="preserve">2、地  址： </w:t>
      </w:r>
      <w:r>
        <w:rPr>
          <w:rFonts w:hint="eastAsia" w:hAnsi="宋体"/>
          <w:color w:val="auto"/>
          <w:sz w:val="21"/>
          <w:szCs w:val="21"/>
          <w:highlight w:val="none"/>
          <w:lang w:val="en-US" w:eastAsia="zh-CN"/>
        </w:rPr>
        <w:t xml:space="preserve">            </w:t>
      </w:r>
      <w:r>
        <w:rPr>
          <w:rFonts w:hAnsi="宋体"/>
          <w:color w:val="auto"/>
          <w:sz w:val="21"/>
          <w:szCs w:val="21"/>
          <w:highlight w:val="none"/>
        </w:rPr>
        <w:t>传  真：</w:t>
      </w:r>
    </w:p>
    <w:p w14:paraId="3C653851">
      <w:pPr>
        <w:shd w:val="clear"/>
        <w:spacing w:line="360" w:lineRule="auto"/>
        <w:rPr>
          <w:rFonts w:hAnsi="宋体"/>
          <w:color w:val="auto"/>
          <w:sz w:val="21"/>
          <w:szCs w:val="21"/>
          <w:highlight w:val="none"/>
          <w:u w:val="single"/>
        </w:rPr>
      </w:pPr>
      <w:r>
        <w:rPr>
          <w:rFonts w:hAnsi="宋体"/>
          <w:color w:val="auto"/>
          <w:sz w:val="21"/>
          <w:szCs w:val="21"/>
          <w:highlight w:val="none"/>
        </w:rPr>
        <w:t xml:space="preserve">3、注册资金： </w:t>
      </w:r>
      <w:r>
        <w:rPr>
          <w:rFonts w:hint="eastAsia" w:hAnsi="宋体"/>
          <w:color w:val="auto"/>
          <w:sz w:val="21"/>
          <w:szCs w:val="21"/>
          <w:highlight w:val="none"/>
          <w:lang w:val="en-US" w:eastAsia="zh-CN"/>
        </w:rPr>
        <w:t xml:space="preserve">          </w:t>
      </w:r>
      <w:r>
        <w:rPr>
          <w:rFonts w:hAnsi="宋体"/>
          <w:color w:val="auto"/>
          <w:sz w:val="21"/>
          <w:szCs w:val="21"/>
          <w:highlight w:val="none"/>
        </w:rPr>
        <w:t>经济性质：</w:t>
      </w:r>
    </w:p>
    <w:p w14:paraId="0F2B18DD">
      <w:pPr>
        <w:shd w:val="clear"/>
        <w:spacing w:line="360" w:lineRule="auto"/>
        <w:rPr>
          <w:rFonts w:hAnsi="宋体"/>
          <w:color w:val="auto"/>
          <w:sz w:val="21"/>
          <w:szCs w:val="21"/>
          <w:highlight w:val="none"/>
        </w:rPr>
      </w:pPr>
      <w:r>
        <w:rPr>
          <w:rFonts w:hAnsi="宋体"/>
          <w:color w:val="auto"/>
          <w:sz w:val="21"/>
          <w:szCs w:val="21"/>
          <w:highlight w:val="none"/>
        </w:rPr>
        <w:t xml:space="preserve">4、公司开户银行名称及账号：      </w:t>
      </w:r>
    </w:p>
    <w:p w14:paraId="5E0F477D">
      <w:pPr>
        <w:shd w:val="clear"/>
        <w:spacing w:line="360" w:lineRule="auto"/>
        <w:rPr>
          <w:rFonts w:hAnsi="宋体"/>
          <w:color w:val="auto"/>
          <w:sz w:val="21"/>
          <w:szCs w:val="21"/>
          <w:highlight w:val="none"/>
        </w:rPr>
      </w:pPr>
      <w:r>
        <w:rPr>
          <w:rFonts w:hAnsi="宋体"/>
          <w:color w:val="auto"/>
          <w:sz w:val="21"/>
          <w:szCs w:val="21"/>
          <w:highlight w:val="none"/>
        </w:rPr>
        <w:t xml:space="preserve">5、营业注册执照号：  </w:t>
      </w:r>
    </w:p>
    <w:p w14:paraId="1A12F930">
      <w:pPr>
        <w:shd w:val="clear"/>
        <w:spacing w:line="360" w:lineRule="auto"/>
        <w:rPr>
          <w:rFonts w:hAnsi="宋体"/>
          <w:color w:val="auto"/>
          <w:sz w:val="21"/>
          <w:szCs w:val="21"/>
          <w:highlight w:val="none"/>
        </w:rPr>
      </w:pPr>
      <w:r>
        <w:rPr>
          <w:rFonts w:hAnsi="宋体"/>
          <w:color w:val="auto"/>
          <w:sz w:val="21"/>
          <w:szCs w:val="21"/>
          <w:highlight w:val="none"/>
        </w:rPr>
        <w:t>6、公司简介:</w:t>
      </w:r>
    </w:p>
    <w:p w14:paraId="34013C2F">
      <w:pPr>
        <w:shd w:val="clear"/>
        <w:spacing w:line="360" w:lineRule="auto"/>
        <w:rPr>
          <w:rFonts w:hAnsi="宋体"/>
          <w:color w:val="auto"/>
          <w:sz w:val="21"/>
          <w:szCs w:val="21"/>
          <w:highlight w:val="none"/>
        </w:rPr>
      </w:pPr>
      <w:r>
        <w:rPr>
          <w:rFonts w:hAnsi="宋体"/>
          <w:color w:val="auto"/>
          <w:sz w:val="21"/>
          <w:szCs w:val="21"/>
          <w:highlight w:val="none"/>
        </w:rPr>
        <w:t>7、公司财务情况：</w:t>
      </w:r>
    </w:p>
    <w:p w14:paraId="7CFAA8B9">
      <w:pPr>
        <w:shd w:val="clear"/>
        <w:spacing w:line="360" w:lineRule="auto"/>
        <w:jc w:val="right"/>
        <w:rPr>
          <w:rFonts w:hAnsi="宋体"/>
          <w:color w:val="auto"/>
          <w:sz w:val="21"/>
          <w:szCs w:val="21"/>
          <w:highlight w:val="none"/>
        </w:rPr>
      </w:pPr>
      <w:r>
        <w:rPr>
          <w:rFonts w:hint="eastAsia" w:hAnsi="宋体"/>
          <w:color w:val="auto"/>
          <w:sz w:val="21"/>
          <w:szCs w:val="21"/>
          <w:highlight w:val="none"/>
        </w:rPr>
        <w:t>【价格单位：（人民币）元】</w:t>
      </w:r>
    </w:p>
    <w:tbl>
      <w:tblPr>
        <w:tblStyle w:val="53"/>
        <w:tblW w:w="4998"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796"/>
        <w:gridCol w:w="1993"/>
        <w:gridCol w:w="1993"/>
        <w:gridCol w:w="2027"/>
        <w:gridCol w:w="2042"/>
      </w:tblGrid>
      <w:tr w14:paraId="7BD4C1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3" w:hRule="atLeast"/>
          <w:jc w:val="center"/>
        </w:trPr>
        <w:tc>
          <w:tcPr>
            <w:tcW w:w="911" w:type="pct"/>
            <w:vAlign w:val="center"/>
          </w:tcPr>
          <w:p w14:paraId="7B66E936">
            <w:pPr>
              <w:shd w:val="clear"/>
              <w:jc w:val="center"/>
              <w:rPr>
                <w:rFonts w:hAnsi="宋体"/>
                <w:color w:val="auto"/>
                <w:sz w:val="21"/>
                <w:szCs w:val="21"/>
                <w:highlight w:val="none"/>
              </w:rPr>
            </w:pPr>
            <w:r>
              <w:rPr>
                <w:rFonts w:hint="eastAsia" w:hAnsi="宋体"/>
                <w:color w:val="auto"/>
                <w:sz w:val="21"/>
                <w:szCs w:val="21"/>
                <w:highlight w:val="none"/>
              </w:rPr>
              <w:t>年  度</w:t>
            </w:r>
          </w:p>
        </w:tc>
        <w:tc>
          <w:tcPr>
            <w:tcW w:w="1011" w:type="pct"/>
            <w:vAlign w:val="center"/>
          </w:tcPr>
          <w:p w14:paraId="7A3B54D9">
            <w:pPr>
              <w:shd w:val="clear"/>
              <w:jc w:val="center"/>
              <w:rPr>
                <w:rFonts w:hAnsi="宋体"/>
                <w:color w:val="auto"/>
                <w:sz w:val="21"/>
                <w:szCs w:val="21"/>
                <w:highlight w:val="none"/>
              </w:rPr>
            </w:pPr>
            <w:r>
              <w:rPr>
                <w:rFonts w:hint="eastAsia" w:hAnsi="宋体"/>
                <w:color w:val="auto"/>
                <w:sz w:val="21"/>
                <w:szCs w:val="21"/>
                <w:highlight w:val="none"/>
              </w:rPr>
              <w:t>总资产（元）</w:t>
            </w:r>
          </w:p>
        </w:tc>
        <w:tc>
          <w:tcPr>
            <w:tcW w:w="1011" w:type="pct"/>
            <w:vAlign w:val="center"/>
          </w:tcPr>
          <w:p w14:paraId="44073637">
            <w:pPr>
              <w:shd w:val="clear"/>
              <w:jc w:val="center"/>
              <w:rPr>
                <w:rFonts w:hAnsi="宋体"/>
                <w:color w:val="auto"/>
                <w:sz w:val="21"/>
                <w:szCs w:val="21"/>
                <w:highlight w:val="none"/>
              </w:rPr>
            </w:pPr>
            <w:r>
              <w:rPr>
                <w:rFonts w:hint="eastAsia" w:hAnsi="宋体"/>
                <w:color w:val="auto"/>
                <w:sz w:val="21"/>
                <w:szCs w:val="21"/>
                <w:highlight w:val="none"/>
              </w:rPr>
              <w:t>资产负债率（%）</w:t>
            </w:r>
          </w:p>
        </w:tc>
        <w:tc>
          <w:tcPr>
            <w:tcW w:w="1028" w:type="pct"/>
            <w:vAlign w:val="center"/>
          </w:tcPr>
          <w:p w14:paraId="48245082">
            <w:pPr>
              <w:shd w:val="clear"/>
              <w:jc w:val="center"/>
              <w:rPr>
                <w:rFonts w:hAnsi="宋体"/>
                <w:color w:val="auto"/>
                <w:sz w:val="21"/>
                <w:szCs w:val="21"/>
                <w:highlight w:val="none"/>
              </w:rPr>
            </w:pPr>
            <w:r>
              <w:rPr>
                <w:rFonts w:hint="eastAsia" w:hAnsi="宋体"/>
                <w:color w:val="auto"/>
                <w:sz w:val="21"/>
                <w:szCs w:val="21"/>
                <w:highlight w:val="none"/>
              </w:rPr>
              <w:t>年营业额（元）</w:t>
            </w:r>
          </w:p>
        </w:tc>
        <w:tc>
          <w:tcPr>
            <w:tcW w:w="1035" w:type="pct"/>
            <w:vAlign w:val="center"/>
          </w:tcPr>
          <w:p w14:paraId="0342634D">
            <w:pPr>
              <w:shd w:val="clear"/>
              <w:jc w:val="center"/>
              <w:rPr>
                <w:rFonts w:hAnsi="宋体"/>
                <w:color w:val="auto"/>
                <w:sz w:val="21"/>
                <w:szCs w:val="21"/>
                <w:highlight w:val="none"/>
              </w:rPr>
            </w:pPr>
            <w:r>
              <w:rPr>
                <w:rFonts w:hint="eastAsia" w:hAnsi="宋体"/>
                <w:color w:val="auto"/>
                <w:sz w:val="21"/>
                <w:szCs w:val="21"/>
                <w:highlight w:val="none"/>
              </w:rPr>
              <w:t>年净利润（元）</w:t>
            </w:r>
          </w:p>
        </w:tc>
      </w:tr>
      <w:tr w14:paraId="6C7FA4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911" w:type="pct"/>
            <w:vAlign w:val="center"/>
          </w:tcPr>
          <w:p w14:paraId="0146B162">
            <w:pPr>
              <w:shd w:val="clear"/>
              <w:spacing w:line="360" w:lineRule="auto"/>
              <w:jc w:val="center"/>
              <w:rPr>
                <w:rFonts w:hAnsi="宋体"/>
                <w:color w:val="auto"/>
                <w:sz w:val="21"/>
                <w:szCs w:val="21"/>
                <w:highlight w:val="none"/>
              </w:rPr>
            </w:pPr>
          </w:p>
        </w:tc>
        <w:tc>
          <w:tcPr>
            <w:tcW w:w="1011" w:type="pct"/>
            <w:vAlign w:val="center"/>
          </w:tcPr>
          <w:p w14:paraId="4890D6DD">
            <w:pPr>
              <w:shd w:val="clear"/>
              <w:spacing w:line="360" w:lineRule="auto"/>
              <w:jc w:val="center"/>
              <w:rPr>
                <w:rFonts w:hAnsi="宋体"/>
                <w:color w:val="auto"/>
                <w:sz w:val="21"/>
                <w:szCs w:val="21"/>
                <w:highlight w:val="none"/>
              </w:rPr>
            </w:pPr>
          </w:p>
        </w:tc>
        <w:tc>
          <w:tcPr>
            <w:tcW w:w="1011" w:type="pct"/>
            <w:vAlign w:val="center"/>
          </w:tcPr>
          <w:p w14:paraId="566D31A2">
            <w:pPr>
              <w:shd w:val="clear"/>
              <w:spacing w:line="360" w:lineRule="auto"/>
              <w:jc w:val="center"/>
              <w:rPr>
                <w:rFonts w:hAnsi="宋体"/>
                <w:color w:val="auto"/>
                <w:sz w:val="21"/>
                <w:szCs w:val="21"/>
                <w:highlight w:val="none"/>
              </w:rPr>
            </w:pPr>
          </w:p>
        </w:tc>
        <w:tc>
          <w:tcPr>
            <w:tcW w:w="1028" w:type="pct"/>
            <w:vAlign w:val="center"/>
          </w:tcPr>
          <w:p w14:paraId="78524168">
            <w:pPr>
              <w:shd w:val="clear"/>
              <w:spacing w:line="360" w:lineRule="auto"/>
              <w:jc w:val="center"/>
              <w:rPr>
                <w:rFonts w:hAnsi="宋体"/>
                <w:color w:val="auto"/>
                <w:sz w:val="21"/>
                <w:szCs w:val="21"/>
                <w:highlight w:val="none"/>
              </w:rPr>
            </w:pPr>
          </w:p>
        </w:tc>
        <w:tc>
          <w:tcPr>
            <w:tcW w:w="1035" w:type="pct"/>
            <w:vAlign w:val="center"/>
          </w:tcPr>
          <w:p w14:paraId="3E3BA9A1">
            <w:pPr>
              <w:shd w:val="clear"/>
              <w:spacing w:line="360" w:lineRule="auto"/>
              <w:jc w:val="center"/>
              <w:rPr>
                <w:rFonts w:hAnsi="宋体"/>
                <w:color w:val="auto"/>
                <w:sz w:val="21"/>
                <w:szCs w:val="21"/>
                <w:highlight w:val="none"/>
              </w:rPr>
            </w:pPr>
          </w:p>
        </w:tc>
      </w:tr>
      <w:tr w14:paraId="2FED1F8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911" w:type="pct"/>
            <w:vAlign w:val="center"/>
          </w:tcPr>
          <w:p w14:paraId="05662960">
            <w:pPr>
              <w:shd w:val="clear"/>
              <w:spacing w:line="360" w:lineRule="auto"/>
              <w:jc w:val="center"/>
              <w:rPr>
                <w:rFonts w:hAnsi="宋体"/>
                <w:color w:val="auto"/>
                <w:sz w:val="21"/>
                <w:szCs w:val="21"/>
                <w:highlight w:val="none"/>
              </w:rPr>
            </w:pPr>
          </w:p>
        </w:tc>
        <w:tc>
          <w:tcPr>
            <w:tcW w:w="1011" w:type="pct"/>
            <w:vAlign w:val="center"/>
          </w:tcPr>
          <w:p w14:paraId="7CCF36B3">
            <w:pPr>
              <w:shd w:val="clear"/>
              <w:spacing w:line="360" w:lineRule="auto"/>
              <w:jc w:val="center"/>
              <w:rPr>
                <w:rFonts w:hAnsi="宋体"/>
                <w:color w:val="auto"/>
                <w:sz w:val="21"/>
                <w:szCs w:val="21"/>
                <w:highlight w:val="none"/>
              </w:rPr>
            </w:pPr>
          </w:p>
        </w:tc>
        <w:tc>
          <w:tcPr>
            <w:tcW w:w="1011" w:type="pct"/>
            <w:vAlign w:val="center"/>
          </w:tcPr>
          <w:p w14:paraId="1B525F6C">
            <w:pPr>
              <w:shd w:val="clear"/>
              <w:spacing w:line="360" w:lineRule="auto"/>
              <w:jc w:val="center"/>
              <w:rPr>
                <w:rFonts w:hAnsi="宋体"/>
                <w:color w:val="auto"/>
                <w:sz w:val="21"/>
                <w:szCs w:val="21"/>
                <w:highlight w:val="none"/>
              </w:rPr>
            </w:pPr>
          </w:p>
        </w:tc>
        <w:tc>
          <w:tcPr>
            <w:tcW w:w="1028" w:type="pct"/>
            <w:vAlign w:val="center"/>
          </w:tcPr>
          <w:p w14:paraId="70A43E38">
            <w:pPr>
              <w:shd w:val="clear"/>
              <w:spacing w:line="360" w:lineRule="auto"/>
              <w:jc w:val="center"/>
              <w:rPr>
                <w:rFonts w:hAnsi="宋体"/>
                <w:color w:val="auto"/>
                <w:sz w:val="21"/>
                <w:szCs w:val="21"/>
                <w:highlight w:val="none"/>
              </w:rPr>
            </w:pPr>
          </w:p>
        </w:tc>
        <w:tc>
          <w:tcPr>
            <w:tcW w:w="1035" w:type="pct"/>
            <w:vAlign w:val="center"/>
          </w:tcPr>
          <w:p w14:paraId="277E400E">
            <w:pPr>
              <w:shd w:val="clear"/>
              <w:spacing w:line="360" w:lineRule="auto"/>
              <w:jc w:val="center"/>
              <w:rPr>
                <w:rFonts w:hAnsi="宋体"/>
                <w:color w:val="auto"/>
                <w:sz w:val="21"/>
                <w:szCs w:val="21"/>
                <w:highlight w:val="none"/>
              </w:rPr>
            </w:pPr>
          </w:p>
        </w:tc>
      </w:tr>
      <w:tr w14:paraId="125C2F6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7" w:hRule="atLeast"/>
          <w:jc w:val="center"/>
        </w:trPr>
        <w:tc>
          <w:tcPr>
            <w:tcW w:w="911" w:type="pct"/>
            <w:vAlign w:val="center"/>
          </w:tcPr>
          <w:p w14:paraId="2BAE4641">
            <w:pPr>
              <w:shd w:val="clear"/>
              <w:spacing w:line="360" w:lineRule="auto"/>
              <w:jc w:val="center"/>
              <w:rPr>
                <w:rFonts w:hAnsi="宋体"/>
                <w:color w:val="auto"/>
                <w:sz w:val="21"/>
                <w:szCs w:val="21"/>
                <w:highlight w:val="none"/>
              </w:rPr>
            </w:pPr>
          </w:p>
        </w:tc>
        <w:tc>
          <w:tcPr>
            <w:tcW w:w="1011" w:type="pct"/>
            <w:vAlign w:val="center"/>
          </w:tcPr>
          <w:p w14:paraId="095E33C6">
            <w:pPr>
              <w:shd w:val="clear"/>
              <w:spacing w:line="360" w:lineRule="auto"/>
              <w:jc w:val="center"/>
              <w:rPr>
                <w:rFonts w:hAnsi="宋体"/>
                <w:color w:val="auto"/>
                <w:sz w:val="21"/>
                <w:szCs w:val="21"/>
                <w:highlight w:val="none"/>
              </w:rPr>
            </w:pPr>
          </w:p>
        </w:tc>
        <w:tc>
          <w:tcPr>
            <w:tcW w:w="1011" w:type="pct"/>
            <w:vAlign w:val="center"/>
          </w:tcPr>
          <w:p w14:paraId="22528307">
            <w:pPr>
              <w:shd w:val="clear"/>
              <w:spacing w:line="360" w:lineRule="auto"/>
              <w:jc w:val="center"/>
              <w:rPr>
                <w:rFonts w:hAnsi="宋体"/>
                <w:color w:val="auto"/>
                <w:sz w:val="21"/>
                <w:szCs w:val="21"/>
                <w:highlight w:val="none"/>
              </w:rPr>
            </w:pPr>
          </w:p>
        </w:tc>
        <w:tc>
          <w:tcPr>
            <w:tcW w:w="1028" w:type="pct"/>
            <w:vAlign w:val="center"/>
          </w:tcPr>
          <w:p w14:paraId="661CD474">
            <w:pPr>
              <w:shd w:val="clear"/>
              <w:spacing w:line="360" w:lineRule="auto"/>
              <w:jc w:val="center"/>
              <w:rPr>
                <w:rFonts w:hAnsi="宋体"/>
                <w:color w:val="auto"/>
                <w:sz w:val="21"/>
                <w:szCs w:val="21"/>
                <w:highlight w:val="none"/>
              </w:rPr>
            </w:pPr>
          </w:p>
        </w:tc>
        <w:tc>
          <w:tcPr>
            <w:tcW w:w="1035" w:type="pct"/>
            <w:vAlign w:val="center"/>
          </w:tcPr>
          <w:p w14:paraId="2D3B840E">
            <w:pPr>
              <w:shd w:val="clear"/>
              <w:spacing w:line="360" w:lineRule="auto"/>
              <w:jc w:val="center"/>
              <w:rPr>
                <w:rFonts w:hAnsi="宋体"/>
                <w:color w:val="auto"/>
                <w:sz w:val="21"/>
                <w:szCs w:val="21"/>
                <w:highlight w:val="none"/>
              </w:rPr>
            </w:pPr>
          </w:p>
        </w:tc>
      </w:tr>
    </w:tbl>
    <w:p w14:paraId="1D05165F">
      <w:pPr>
        <w:shd w:val="clear"/>
        <w:spacing w:line="360" w:lineRule="auto"/>
        <w:rPr>
          <w:rFonts w:hAnsi="宋体"/>
          <w:b/>
          <w:color w:val="auto"/>
          <w:sz w:val="21"/>
          <w:szCs w:val="21"/>
          <w:highlight w:val="none"/>
        </w:rPr>
      </w:pPr>
    </w:p>
    <w:p w14:paraId="7A26A317">
      <w:pPr>
        <w:shd w:val="clear"/>
        <w:tabs>
          <w:tab w:val="left" w:pos="420"/>
          <w:tab w:val="left" w:pos="1485"/>
        </w:tabs>
        <w:spacing w:line="360" w:lineRule="auto"/>
        <w:rPr>
          <w:rFonts w:hAnsi="宋体"/>
          <w:color w:val="auto"/>
          <w:sz w:val="21"/>
          <w:szCs w:val="21"/>
          <w:highlight w:val="none"/>
        </w:rPr>
      </w:pPr>
      <w:bookmarkStart w:id="231" w:name="_Toc7860"/>
      <w:r>
        <w:rPr>
          <w:rFonts w:hint="eastAsia" w:hAnsi="宋体"/>
          <w:color w:val="auto"/>
          <w:sz w:val="21"/>
          <w:szCs w:val="21"/>
          <w:highlight w:val="none"/>
        </w:rPr>
        <w:t>二、</w:t>
      </w:r>
      <w:r>
        <w:rPr>
          <w:rFonts w:hAnsi="宋体"/>
          <w:color w:val="auto"/>
          <w:sz w:val="21"/>
          <w:szCs w:val="21"/>
          <w:highlight w:val="none"/>
        </w:rPr>
        <w:t>供应商获得国家有关部门颁发的资质证明</w:t>
      </w:r>
      <w:r>
        <w:rPr>
          <w:rFonts w:hint="eastAsia" w:hAnsi="宋体"/>
          <w:color w:val="auto"/>
          <w:sz w:val="21"/>
          <w:szCs w:val="21"/>
          <w:highlight w:val="none"/>
        </w:rPr>
        <w:t>或荣誉</w:t>
      </w:r>
      <w:r>
        <w:rPr>
          <w:rFonts w:hAnsi="宋体"/>
          <w:color w:val="auto"/>
          <w:sz w:val="21"/>
          <w:szCs w:val="21"/>
          <w:highlight w:val="none"/>
        </w:rPr>
        <w:t>：</w:t>
      </w:r>
      <w:r>
        <w:rPr>
          <w:rFonts w:hint="eastAsia" w:hAnsi="宋体"/>
          <w:color w:val="auto"/>
          <w:sz w:val="21"/>
          <w:szCs w:val="21"/>
          <w:highlight w:val="none"/>
        </w:rPr>
        <w:t>（如有）</w:t>
      </w:r>
      <w:bookmarkEnd w:id="231"/>
    </w:p>
    <w:tbl>
      <w:tblPr>
        <w:tblStyle w:val="53"/>
        <w:tblW w:w="4998"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794"/>
        <w:gridCol w:w="1993"/>
        <w:gridCol w:w="1993"/>
        <w:gridCol w:w="2029"/>
        <w:gridCol w:w="2042"/>
      </w:tblGrid>
      <w:tr w14:paraId="414DD3C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jc w:val="center"/>
        </w:trPr>
        <w:tc>
          <w:tcPr>
            <w:tcW w:w="910" w:type="pct"/>
            <w:vAlign w:val="center"/>
          </w:tcPr>
          <w:p w14:paraId="35AEFAAF">
            <w:pPr>
              <w:shd w:val="clear"/>
              <w:jc w:val="center"/>
              <w:rPr>
                <w:rFonts w:hAnsi="宋体"/>
                <w:color w:val="auto"/>
                <w:sz w:val="21"/>
                <w:szCs w:val="21"/>
                <w:highlight w:val="none"/>
              </w:rPr>
            </w:pPr>
            <w:r>
              <w:rPr>
                <w:rFonts w:hAnsi="宋体"/>
                <w:color w:val="auto"/>
                <w:sz w:val="21"/>
                <w:szCs w:val="21"/>
                <w:highlight w:val="none"/>
              </w:rPr>
              <w:t>证书名称</w:t>
            </w:r>
          </w:p>
        </w:tc>
        <w:tc>
          <w:tcPr>
            <w:tcW w:w="1011" w:type="pct"/>
            <w:vAlign w:val="center"/>
          </w:tcPr>
          <w:p w14:paraId="7AA21BFE">
            <w:pPr>
              <w:shd w:val="clear"/>
              <w:jc w:val="center"/>
              <w:rPr>
                <w:rFonts w:hAnsi="宋体"/>
                <w:color w:val="auto"/>
                <w:sz w:val="21"/>
                <w:szCs w:val="21"/>
                <w:highlight w:val="none"/>
              </w:rPr>
            </w:pPr>
            <w:r>
              <w:rPr>
                <w:rFonts w:hAnsi="宋体"/>
                <w:color w:val="auto"/>
                <w:sz w:val="21"/>
                <w:szCs w:val="21"/>
                <w:highlight w:val="none"/>
              </w:rPr>
              <w:t>发证单位</w:t>
            </w:r>
          </w:p>
        </w:tc>
        <w:tc>
          <w:tcPr>
            <w:tcW w:w="1011" w:type="pct"/>
            <w:vAlign w:val="center"/>
          </w:tcPr>
          <w:p w14:paraId="11730BC6">
            <w:pPr>
              <w:shd w:val="clear"/>
              <w:jc w:val="center"/>
              <w:rPr>
                <w:rFonts w:hAnsi="宋体"/>
                <w:color w:val="auto"/>
                <w:sz w:val="21"/>
                <w:szCs w:val="21"/>
                <w:highlight w:val="none"/>
              </w:rPr>
            </w:pPr>
            <w:r>
              <w:rPr>
                <w:rFonts w:hAnsi="宋体"/>
                <w:color w:val="auto"/>
                <w:sz w:val="21"/>
                <w:szCs w:val="21"/>
                <w:highlight w:val="none"/>
              </w:rPr>
              <w:t>证书等级</w:t>
            </w:r>
          </w:p>
        </w:tc>
        <w:tc>
          <w:tcPr>
            <w:tcW w:w="1029" w:type="pct"/>
            <w:vAlign w:val="center"/>
          </w:tcPr>
          <w:p w14:paraId="1BB7CC79">
            <w:pPr>
              <w:shd w:val="clear"/>
              <w:jc w:val="center"/>
              <w:rPr>
                <w:rFonts w:hAnsi="宋体"/>
                <w:color w:val="auto"/>
                <w:sz w:val="21"/>
                <w:szCs w:val="21"/>
                <w:highlight w:val="none"/>
              </w:rPr>
            </w:pPr>
            <w:r>
              <w:rPr>
                <w:rFonts w:hAnsi="宋体"/>
                <w:color w:val="auto"/>
                <w:sz w:val="21"/>
                <w:szCs w:val="21"/>
                <w:highlight w:val="none"/>
              </w:rPr>
              <w:t>证书有效期</w:t>
            </w:r>
          </w:p>
        </w:tc>
        <w:tc>
          <w:tcPr>
            <w:tcW w:w="1035" w:type="pct"/>
            <w:vAlign w:val="center"/>
          </w:tcPr>
          <w:p w14:paraId="1D88B60B">
            <w:pPr>
              <w:shd w:val="clear"/>
              <w:jc w:val="center"/>
              <w:rPr>
                <w:rFonts w:hAnsi="宋体"/>
                <w:color w:val="auto"/>
                <w:sz w:val="21"/>
                <w:szCs w:val="21"/>
                <w:highlight w:val="none"/>
              </w:rPr>
            </w:pPr>
            <w:r>
              <w:rPr>
                <w:rFonts w:hint="eastAsia" w:hAnsi="宋体"/>
                <w:color w:val="auto"/>
                <w:sz w:val="21"/>
                <w:szCs w:val="21"/>
                <w:highlight w:val="none"/>
              </w:rPr>
              <w:t>备注</w:t>
            </w:r>
          </w:p>
        </w:tc>
      </w:tr>
      <w:tr w14:paraId="0AF649F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7" w:hRule="atLeast"/>
          <w:jc w:val="center"/>
        </w:trPr>
        <w:tc>
          <w:tcPr>
            <w:tcW w:w="910" w:type="pct"/>
            <w:vAlign w:val="center"/>
          </w:tcPr>
          <w:p w14:paraId="1E4B2B66">
            <w:pPr>
              <w:shd w:val="clear"/>
              <w:spacing w:line="360" w:lineRule="auto"/>
              <w:jc w:val="center"/>
              <w:rPr>
                <w:rFonts w:hAnsi="宋体"/>
                <w:color w:val="auto"/>
                <w:sz w:val="21"/>
                <w:szCs w:val="21"/>
                <w:highlight w:val="none"/>
              </w:rPr>
            </w:pPr>
          </w:p>
        </w:tc>
        <w:tc>
          <w:tcPr>
            <w:tcW w:w="1011" w:type="pct"/>
            <w:vAlign w:val="center"/>
          </w:tcPr>
          <w:p w14:paraId="04B16075">
            <w:pPr>
              <w:shd w:val="clear"/>
              <w:spacing w:line="360" w:lineRule="auto"/>
              <w:jc w:val="center"/>
              <w:rPr>
                <w:rFonts w:hAnsi="宋体"/>
                <w:color w:val="auto"/>
                <w:sz w:val="21"/>
                <w:szCs w:val="21"/>
                <w:highlight w:val="none"/>
              </w:rPr>
            </w:pPr>
          </w:p>
        </w:tc>
        <w:tc>
          <w:tcPr>
            <w:tcW w:w="1011" w:type="pct"/>
            <w:vAlign w:val="center"/>
          </w:tcPr>
          <w:p w14:paraId="3E913519">
            <w:pPr>
              <w:shd w:val="clear"/>
              <w:spacing w:line="360" w:lineRule="auto"/>
              <w:jc w:val="center"/>
              <w:rPr>
                <w:rFonts w:hAnsi="宋体"/>
                <w:color w:val="auto"/>
                <w:sz w:val="21"/>
                <w:szCs w:val="21"/>
                <w:highlight w:val="none"/>
              </w:rPr>
            </w:pPr>
          </w:p>
        </w:tc>
        <w:tc>
          <w:tcPr>
            <w:tcW w:w="1029" w:type="pct"/>
            <w:vAlign w:val="center"/>
          </w:tcPr>
          <w:p w14:paraId="4F0EA94E">
            <w:pPr>
              <w:shd w:val="clear"/>
              <w:spacing w:line="360" w:lineRule="auto"/>
              <w:jc w:val="center"/>
              <w:rPr>
                <w:rFonts w:hAnsi="宋体"/>
                <w:color w:val="auto"/>
                <w:sz w:val="21"/>
                <w:szCs w:val="21"/>
                <w:highlight w:val="none"/>
              </w:rPr>
            </w:pPr>
          </w:p>
        </w:tc>
        <w:tc>
          <w:tcPr>
            <w:tcW w:w="1035" w:type="pct"/>
            <w:vAlign w:val="center"/>
          </w:tcPr>
          <w:p w14:paraId="1C231075">
            <w:pPr>
              <w:shd w:val="clear"/>
              <w:spacing w:line="360" w:lineRule="auto"/>
              <w:jc w:val="center"/>
              <w:rPr>
                <w:rFonts w:hAnsi="宋体"/>
                <w:color w:val="auto"/>
                <w:sz w:val="21"/>
                <w:szCs w:val="21"/>
                <w:highlight w:val="none"/>
              </w:rPr>
            </w:pPr>
          </w:p>
        </w:tc>
      </w:tr>
      <w:tr w14:paraId="1EB693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8" w:hRule="atLeast"/>
          <w:jc w:val="center"/>
        </w:trPr>
        <w:tc>
          <w:tcPr>
            <w:tcW w:w="910" w:type="pct"/>
            <w:vAlign w:val="center"/>
          </w:tcPr>
          <w:p w14:paraId="6A752485">
            <w:pPr>
              <w:shd w:val="clear"/>
              <w:spacing w:line="360" w:lineRule="auto"/>
              <w:jc w:val="center"/>
              <w:rPr>
                <w:rFonts w:hAnsi="宋体"/>
                <w:color w:val="auto"/>
                <w:sz w:val="21"/>
                <w:szCs w:val="21"/>
                <w:highlight w:val="none"/>
              </w:rPr>
            </w:pPr>
          </w:p>
        </w:tc>
        <w:tc>
          <w:tcPr>
            <w:tcW w:w="1011" w:type="pct"/>
            <w:vAlign w:val="center"/>
          </w:tcPr>
          <w:p w14:paraId="32D41982">
            <w:pPr>
              <w:shd w:val="clear"/>
              <w:spacing w:line="360" w:lineRule="auto"/>
              <w:jc w:val="center"/>
              <w:rPr>
                <w:rFonts w:hAnsi="宋体"/>
                <w:color w:val="auto"/>
                <w:sz w:val="21"/>
                <w:szCs w:val="21"/>
                <w:highlight w:val="none"/>
              </w:rPr>
            </w:pPr>
          </w:p>
        </w:tc>
        <w:tc>
          <w:tcPr>
            <w:tcW w:w="1011" w:type="pct"/>
            <w:vAlign w:val="center"/>
          </w:tcPr>
          <w:p w14:paraId="4EA500C3">
            <w:pPr>
              <w:shd w:val="clear"/>
              <w:spacing w:line="360" w:lineRule="auto"/>
              <w:jc w:val="center"/>
              <w:rPr>
                <w:rFonts w:hAnsi="宋体"/>
                <w:color w:val="auto"/>
                <w:sz w:val="21"/>
                <w:szCs w:val="21"/>
                <w:highlight w:val="none"/>
              </w:rPr>
            </w:pPr>
          </w:p>
        </w:tc>
        <w:tc>
          <w:tcPr>
            <w:tcW w:w="1029" w:type="pct"/>
            <w:vAlign w:val="center"/>
          </w:tcPr>
          <w:p w14:paraId="5ED08CEB">
            <w:pPr>
              <w:shd w:val="clear"/>
              <w:spacing w:line="360" w:lineRule="auto"/>
              <w:jc w:val="center"/>
              <w:rPr>
                <w:rFonts w:hAnsi="宋体"/>
                <w:color w:val="auto"/>
                <w:sz w:val="21"/>
                <w:szCs w:val="21"/>
                <w:highlight w:val="none"/>
              </w:rPr>
            </w:pPr>
          </w:p>
        </w:tc>
        <w:tc>
          <w:tcPr>
            <w:tcW w:w="1035" w:type="pct"/>
            <w:vAlign w:val="center"/>
          </w:tcPr>
          <w:p w14:paraId="13C5CFBB">
            <w:pPr>
              <w:shd w:val="clear"/>
              <w:spacing w:line="360" w:lineRule="auto"/>
              <w:jc w:val="center"/>
              <w:rPr>
                <w:rFonts w:hAnsi="宋体"/>
                <w:color w:val="auto"/>
                <w:sz w:val="21"/>
                <w:szCs w:val="21"/>
                <w:highlight w:val="none"/>
              </w:rPr>
            </w:pPr>
          </w:p>
        </w:tc>
      </w:tr>
    </w:tbl>
    <w:p w14:paraId="27DDE44B">
      <w:pPr>
        <w:shd w:val="clear"/>
        <w:spacing w:line="360" w:lineRule="auto"/>
        <w:rPr>
          <w:rFonts w:hAnsi="宋体"/>
          <w:color w:val="auto"/>
          <w:sz w:val="21"/>
          <w:szCs w:val="21"/>
          <w:highlight w:val="none"/>
        </w:rPr>
      </w:pPr>
      <w:r>
        <w:rPr>
          <w:rFonts w:hint="eastAsia" w:hAnsi="宋体"/>
          <w:color w:val="auto"/>
          <w:sz w:val="21"/>
          <w:szCs w:val="21"/>
          <w:highlight w:val="none"/>
        </w:rPr>
        <w:t>备注：以上资质或荣誉必须提供相关证明材料。</w:t>
      </w:r>
    </w:p>
    <w:p w14:paraId="7F7FE3CC">
      <w:pPr>
        <w:shd w:val="clear"/>
        <w:spacing w:line="360" w:lineRule="auto"/>
        <w:rPr>
          <w:rFonts w:hAnsi="宋体"/>
          <w:color w:val="auto"/>
          <w:sz w:val="21"/>
          <w:szCs w:val="21"/>
          <w:highlight w:val="none"/>
        </w:rPr>
      </w:pPr>
      <w:r>
        <w:rPr>
          <w:rFonts w:hint="eastAsia" w:hAnsi="宋体"/>
          <w:color w:val="auto"/>
          <w:sz w:val="21"/>
          <w:szCs w:val="21"/>
          <w:highlight w:val="none"/>
        </w:rPr>
        <w:t>兹证明上述声明是真实、正确的，并提供了全部能提供的资料和数据，我方同意遵照贵方要求出示有关证明文件。</w:t>
      </w:r>
    </w:p>
    <w:p w14:paraId="73060E40">
      <w:pPr>
        <w:shd w:val="clear"/>
        <w:overflowPunct w:val="0"/>
        <w:spacing w:line="360" w:lineRule="auto"/>
        <w:rPr>
          <w:rFonts w:hAnsi="宋体"/>
          <w:color w:val="auto"/>
          <w:sz w:val="21"/>
          <w:szCs w:val="21"/>
          <w:highlight w:val="none"/>
        </w:rPr>
      </w:pPr>
      <w:r>
        <w:rPr>
          <w:rFonts w:hint="eastAsia" w:hAnsi="宋体"/>
          <w:color w:val="auto"/>
          <w:sz w:val="21"/>
          <w:szCs w:val="21"/>
          <w:highlight w:val="none"/>
        </w:rPr>
        <w:t>供应商名称（加盖公章）：</w:t>
      </w:r>
    </w:p>
    <w:p w14:paraId="7613D2AD">
      <w:pPr>
        <w:shd w:val="clear"/>
        <w:overflowPunct w:val="0"/>
        <w:spacing w:line="360" w:lineRule="auto"/>
        <w:rPr>
          <w:rFonts w:hAnsi="宋体"/>
          <w:color w:val="auto"/>
          <w:sz w:val="21"/>
          <w:szCs w:val="21"/>
          <w:highlight w:val="none"/>
        </w:rPr>
      </w:pPr>
      <w:r>
        <w:rPr>
          <w:rFonts w:hint="eastAsia" w:hAnsi="宋体"/>
          <w:color w:val="auto"/>
          <w:sz w:val="21"/>
          <w:szCs w:val="21"/>
          <w:highlight w:val="none"/>
        </w:rPr>
        <w:t>供应商法定代表人或受委托人（签名或盖私章）：</w:t>
      </w:r>
    </w:p>
    <w:p w14:paraId="06C742BF">
      <w:pPr>
        <w:shd w:val="clear"/>
        <w:overflowPunct w:val="0"/>
        <w:spacing w:line="360" w:lineRule="auto"/>
        <w:rPr>
          <w:rFonts w:hAnsi="宋体"/>
          <w:color w:val="auto"/>
          <w:sz w:val="21"/>
          <w:szCs w:val="21"/>
          <w:highlight w:val="none"/>
        </w:rPr>
      </w:pPr>
      <w:r>
        <w:rPr>
          <w:rFonts w:hint="eastAsia" w:hAnsi="宋体"/>
          <w:color w:val="auto"/>
          <w:sz w:val="21"/>
          <w:szCs w:val="21"/>
          <w:highlight w:val="none"/>
        </w:rPr>
        <w:t>日期：</w:t>
      </w:r>
      <w:r>
        <w:rPr>
          <w:rFonts w:hint="eastAsia" w:hAnsi="宋体"/>
          <w:color w:val="auto"/>
          <w:sz w:val="21"/>
          <w:szCs w:val="21"/>
          <w:highlight w:val="none"/>
          <w:lang w:val="en-US" w:eastAsia="zh-CN"/>
        </w:rPr>
        <w:t xml:space="preserve">   </w:t>
      </w:r>
      <w:r>
        <w:rPr>
          <w:rFonts w:hint="eastAsia" w:hAnsi="宋体"/>
          <w:color w:val="auto"/>
          <w:sz w:val="21"/>
          <w:szCs w:val="21"/>
          <w:highlight w:val="none"/>
        </w:rPr>
        <w:t>年</w:t>
      </w:r>
      <w:r>
        <w:rPr>
          <w:rFonts w:hint="eastAsia" w:hAnsi="宋体"/>
          <w:color w:val="auto"/>
          <w:sz w:val="21"/>
          <w:szCs w:val="21"/>
          <w:highlight w:val="none"/>
          <w:lang w:val="en-US" w:eastAsia="zh-CN"/>
        </w:rPr>
        <w:t xml:space="preserve">   </w:t>
      </w:r>
      <w:r>
        <w:rPr>
          <w:rFonts w:hint="eastAsia" w:hAnsi="宋体"/>
          <w:color w:val="auto"/>
          <w:sz w:val="21"/>
          <w:szCs w:val="21"/>
          <w:highlight w:val="none"/>
        </w:rPr>
        <w:t>月</w:t>
      </w:r>
      <w:r>
        <w:rPr>
          <w:rFonts w:hint="eastAsia" w:hAnsi="宋体"/>
          <w:color w:val="auto"/>
          <w:sz w:val="21"/>
          <w:szCs w:val="21"/>
          <w:highlight w:val="none"/>
          <w:lang w:val="en-US" w:eastAsia="zh-CN"/>
        </w:rPr>
        <w:t xml:space="preserve">    </w:t>
      </w:r>
      <w:r>
        <w:rPr>
          <w:rFonts w:hint="eastAsia" w:hAnsi="宋体"/>
          <w:color w:val="auto"/>
          <w:sz w:val="21"/>
          <w:szCs w:val="21"/>
          <w:highlight w:val="none"/>
        </w:rPr>
        <w:t>日</w:t>
      </w:r>
    </w:p>
    <w:p w14:paraId="12D24863">
      <w:pPr>
        <w:pStyle w:val="3"/>
        <w:numPr>
          <w:ilvl w:val="0"/>
          <w:numId w:val="20"/>
        </w:numPr>
        <w:shd w:val="clear"/>
        <w:jc w:val="center"/>
        <w:rPr>
          <w:b w:val="0"/>
          <w:color w:val="auto"/>
          <w:sz w:val="28"/>
          <w:szCs w:val="28"/>
          <w:highlight w:val="none"/>
          <w:u w:val="single"/>
        </w:rPr>
      </w:pPr>
      <w:r>
        <w:rPr>
          <w:color w:val="auto"/>
          <w:sz w:val="22"/>
          <w:szCs w:val="22"/>
          <w:highlight w:val="none"/>
        </w:rPr>
        <w:br w:type="page"/>
      </w:r>
      <w:bookmarkStart w:id="232" w:name="_Toc7897894"/>
      <w:bookmarkStart w:id="233" w:name="_Toc27094"/>
      <w:bookmarkStart w:id="234" w:name="_Toc8896"/>
      <w:bookmarkStart w:id="235" w:name="_Toc17704"/>
      <w:r>
        <w:rPr>
          <w:rFonts w:hint="eastAsia" w:ascii="宋体" w:hAnsi="宋体" w:eastAsia="宋体" w:cs="宋体"/>
          <w:bCs/>
          <w:color w:val="auto"/>
          <w:sz w:val="28"/>
          <w:szCs w:val="28"/>
          <w:highlight w:val="none"/>
          <w:lang w:val="en-US" w:eastAsia="zh-CN"/>
        </w:rPr>
        <w:t>用户需求</w:t>
      </w:r>
      <w:r>
        <w:rPr>
          <w:rFonts w:hint="eastAsia"/>
          <w:bCs/>
          <w:color w:val="auto"/>
          <w:sz w:val="28"/>
          <w:szCs w:val="28"/>
          <w:highlight w:val="none"/>
        </w:rPr>
        <w:t>偏离表</w:t>
      </w:r>
      <w:bookmarkEnd w:id="207"/>
      <w:bookmarkEnd w:id="232"/>
      <w:bookmarkEnd w:id="233"/>
      <w:bookmarkEnd w:id="234"/>
      <w:bookmarkEnd w:id="235"/>
    </w:p>
    <w:p w14:paraId="377DE566">
      <w:pPr>
        <w:pStyle w:val="12"/>
        <w:shd w:val="clear"/>
        <w:ind w:firstLine="480"/>
        <w:rPr>
          <w:color w:val="auto"/>
          <w:sz w:val="24"/>
          <w:szCs w:val="21"/>
          <w:highlight w:val="none"/>
        </w:rPr>
      </w:pPr>
    </w:p>
    <w:p w14:paraId="21B13862">
      <w:pPr>
        <w:shd w:val="clear"/>
        <w:tabs>
          <w:tab w:val="left" w:pos="654"/>
          <w:tab w:val="left" w:pos="1734"/>
          <w:tab w:val="left" w:pos="2814"/>
          <w:tab w:val="left" w:pos="3894"/>
          <w:tab w:val="left" w:pos="5334"/>
          <w:tab w:val="left" w:pos="6414"/>
          <w:tab w:val="left" w:pos="7254"/>
          <w:tab w:val="left" w:pos="8574"/>
          <w:tab w:val="left" w:pos="9654"/>
        </w:tabs>
        <w:spacing w:line="480" w:lineRule="exact"/>
        <w:ind w:left="850" w:hanging="850"/>
        <w:rPr>
          <w:rFonts w:hAnsi="宋体"/>
          <w:color w:val="auto"/>
          <w:szCs w:val="21"/>
          <w:highlight w:val="none"/>
        </w:rPr>
      </w:pPr>
    </w:p>
    <w:tbl>
      <w:tblPr>
        <w:tblStyle w:val="53"/>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1"/>
        <w:gridCol w:w="2349"/>
        <w:gridCol w:w="2782"/>
        <w:gridCol w:w="1283"/>
        <w:gridCol w:w="2272"/>
      </w:tblGrid>
      <w:tr w14:paraId="741FF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589" w:type="pct"/>
            <w:vAlign w:val="center"/>
          </w:tcPr>
          <w:p w14:paraId="504EB51C">
            <w:pPr>
              <w:shd w:val="clear"/>
              <w:jc w:val="center"/>
              <w:rPr>
                <w:rFonts w:hAnsi="宋体"/>
                <w:b/>
                <w:bCs/>
                <w:color w:val="auto"/>
                <w:sz w:val="21"/>
                <w:szCs w:val="21"/>
                <w:highlight w:val="none"/>
              </w:rPr>
            </w:pPr>
            <w:r>
              <w:rPr>
                <w:rFonts w:hint="eastAsia" w:hAnsi="宋体"/>
                <w:b/>
                <w:bCs/>
                <w:color w:val="auto"/>
                <w:sz w:val="21"/>
                <w:szCs w:val="21"/>
                <w:highlight w:val="none"/>
              </w:rPr>
              <w:t>序号</w:t>
            </w:r>
          </w:p>
        </w:tc>
        <w:tc>
          <w:tcPr>
            <w:tcW w:w="1192" w:type="pct"/>
            <w:vAlign w:val="center"/>
          </w:tcPr>
          <w:p w14:paraId="4DA26DF4">
            <w:pPr>
              <w:shd w:val="clear"/>
              <w:jc w:val="center"/>
              <w:rPr>
                <w:rFonts w:hAnsi="宋体"/>
                <w:b/>
                <w:bCs/>
                <w:color w:val="auto"/>
                <w:sz w:val="21"/>
                <w:szCs w:val="21"/>
                <w:highlight w:val="none"/>
              </w:rPr>
            </w:pPr>
            <w:r>
              <w:rPr>
                <w:rFonts w:hint="eastAsia" w:hAnsi="宋体"/>
                <w:b/>
                <w:bCs/>
                <w:color w:val="auto"/>
                <w:sz w:val="21"/>
                <w:szCs w:val="21"/>
                <w:highlight w:val="none"/>
              </w:rPr>
              <w:t>磋商文件要求</w:t>
            </w:r>
          </w:p>
        </w:tc>
        <w:tc>
          <w:tcPr>
            <w:tcW w:w="1412" w:type="pct"/>
            <w:vAlign w:val="center"/>
          </w:tcPr>
          <w:p w14:paraId="5F8BD297">
            <w:pPr>
              <w:shd w:val="clear"/>
              <w:jc w:val="center"/>
              <w:rPr>
                <w:rFonts w:hAnsi="宋体"/>
                <w:b/>
                <w:bCs/>
                <w:color w:val="auto"/>
                <w:sz w:val="21"/>
                <w:szCs w:val="21"/>
                <w:highlight w:val="none"/>
              </w:rPr>
            </w:pPr>
            <w:r>
              <w:rPr>
                <w:rFonts w:hint="eastAsia" w:hAnsi="宋体"/>
                <w:b/>
                <w:bCs/>
                <w:color w:val="auto"/>
                <w:sz w:val="21"/>
                <w:szCs w:val="21"/>
                <w:highlight w:val="none"/>
              </w:rPr>
              <w:t>响应文件</w:t>
            </w:r>
          </w:p>
          <w:p w14:paraId="759977EE">
            <w:pPr>
              <w:shd w:val="clear"/>
              <w:jc w:val="center"/>
              <w:rPr>
                <w:rFonts w:hAnsi="宋体"/>
                <w:b/>
                <w:bCs/>
                <w:color w:val="auto"/>
                <w:sz w:val="21"/>
                <w:szCs w:val="21"/>
                <w:highlight w:val="none"/>
              </w:rPr>
            </w:pPr>
            <w:r>
              <w:rPr>
                <w:rFonts w:hint="eastAsia" w:hAnsi="宋体"/>
                <w:b/>
                <w:bCs/>
                <w:color w:val="auto"/>
                <w:sz w:val="21"/>
                <w:szCs w:val="21"/>
                <w:highlight w:val="none"/>
              </w:rPr>
              <w:t>响应情况</w:t>
            </w:r>
          </w:p>
        </w:tc>
        <w:tc>
          <w:tcPr>
            <w:tcW w:w="651" w:type="pct"/>
            <w:vAlign w:val="center"/>
          </w:tcPr>
          <w:p w14:paraId="2492A607">
            <w:pPr>
              <w:shd w:val="clear"/>
              <w:jc w:val="center"/>
              <w:rPr>
                <w:rFonts w:hAnsi="宋体"/>
                <w:b/>
                <w:bCs/>
                <w:color w:val="auto"/>
                <w:sz w:val="21"/>
                <w:szCs w:val="21"/>
                <w:highlight w:val="none"/>
              </w:rPr>
            </w:pPr>
            <w:r>
              <w:rPr>
                <w:rFonts w:hint="eastAsia" w:hAnsi="宋体"/>
                <w:b/>
                <w:bCs/>
                <w:color w:val="auto"/>
                <w:sz w:val="21"/>
                <w:szCs w:val="21"/>
                <w:highlight w:val="none"/>
              </w:rPr>
              <w:t>偏离情况</w:t>
            </w:r>
          </w:p>
        </w:tc>
        <w:tc>
          <w:tcPr>
            <w:tcW w:w="1153" w:type="pct"/>
            <w:vAlign w:val="center"/>
          </w:tcPr>
          <w:p w14:paraId="7F857A13">
            <w:pPr>
              <w:shd w:val="clear"/>
              <w:jc w:val="center"/>
              <w:rPr>
                <w:rFonts w:hAnsi="宋体"/>
                <w:b/>
                <w:bCs/>
                <w:color w:val="auto"/>
                <w:sz w:val="21"/>
                <w:szCs w:val="21"/>
                <w:highlight w:val="none"/>
              </w:rPr>
            </w:pPr>
            <w:r>
              <w:rPr>
                <w:rFonts w:hint="eastAsia" w:hAnsi="宋体"/>
                <w:b/>
                <w:bCs/>
                <w:color w:val="auto"/>
                <w:sz w:val="21"/>
                <w:szCs w:val="21"/>
                <w:highlight w:val="none"/>
              </w:rPr>
              <w:t>偏离情况</w:t>
            </w:r>
          </w:p>
          <w:p w14:paraId="2C65B789">
            <w:pPr>
              <w:shd w:val="clear"/>
              <w:jc w:val="center"/>
              <w:rPr>
                <w:rFonts w:hAnsi="宋体"/>
                <w:b/>
                <w:bCs/>
                <w:color w:val="auto"/>
                <w:sz w:val="21"/>
                <w:szCs w:val="21"/>
                <w:highlight w:val="none"/>
              </w:rPr>
            </w:pPr>
            <w:r>
              <w:rPr>
                <w:rFonts w:hint="eastAsia" w:hAnsi="宋体"/>
                <w:b/>
                <w:bCs/>
                <w:color w:val="auto"/>
                <w:sz w:val="21"/>
                <w:szCs w:val="21"/>
                <w:highlight w:val="none"/>
              </w:rPr>
              <w:t>说明</w:t>
            </w:r>
          </w:p>
        </w:tc>
      </w:tr>
      <w:tr w14:paraId="7F9B3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Align w:val="center"/>
          </w:tcPr>
          <w:p w14:paraId="5A500A18">
            <w:pPr>
              <w:shd w:val="clear"/>
              <w:jc w:val="center"/>
              <w:rPr>
                <w:rFonts w:hAnsi="宋体"/>
                <w:b/>
                <w:color w:val="auto"/>
                <w:sz w:val="21"/>
                <w:szCs w:val="21"/>
                <w:highlight w:val="none"/>
              </w:rPr>
            </w:pPr>
            <w:r>
              <w:rPr>
                <w:rFonts w:hint="eastAsia" w:hAnsi="宋体"/>
                <w:b/>
                <w:color w:val="auto"/>
                <w:sz w:val="21"/>
                <w:szCs w:val="21"/>
                <w:highlight w:val="none"/>
              </w:rPr>
              <w:t>1</w:t>
            </w:r>
          </w:p>
        </w:tc>
        <w:tc>
          <w:tcPr>
            <w:tcW w:w="1192" w:type="pct"/>
            <w:vAlign w:val="center"/>
          </w:tcPr>
          <w:p w14:paraId="55DE2971">
            <w:pPr>
              <w:shd w:val="clear"/>
              <w:jc w:val="center"/>
              <w:rPr>
                <w:rFonts w:hAnsi="宋体"/>
                <w:color w:val="auto"/>
                <w:sz w:val="21"/>
                <w:szCs w:val="21"/>
                <w:highlight w:val="none"/>
              </w:rPr>
            </w:pPr>
          </w:p>
        </w:tc>
        <w:tc>
          <w:tcPr>
            <w:tcW w:w="1412" w:type="pct"/>
            <w:vAlign w:val="center"/>
          </w:tcPr>
          <w:p w14:paraId="3481FC7E">
            <w:pPr>
              <w:shd w:val="clear"/>
              <w:jc w:val="center"/>
              <w:rPr>
                <w:rFonts w:hAnsi="宋体"/>
                <w:color w:val="auto"/>
                <w:sz w:val="21"/>
                <w:szCs w:val="21"/>
                <w:highlight w:val="none"/>
              </w:rPr>
            </w:pPr>
          </w:p>
        </w:tc>
        <w:tc>
          <w:tcPr>
            <w:tcW w:w="651" w:type="pct"/>
            <w:vAlign w:val="center"/>
          </w:tcPr>
          <w:p w14:paraId="4C08D143">
            <w:pPr>
              <w:shd w:val="clear"/>
              <w:ind w:left="-446" w:leftChars="-186" w:firstLine="390" w:firstLineChars="186"/>
              <w:jc w:val="center"/>
              <w:rPr>
                <w:rFonts w:hAnsi="宋体"/>
                <w:color w:val="auto"/>
                <w:sz w:val="21"/>
                <w:szCs w:val="21"/>
                <w:highlight w:val="none"/>
              </w:rPr>
            </w:pPr>
          </w:p>
        </w:tc>
        <w:tc>
          <w:tcPr>
            <w:tcW w:w="1153" w:type="pct"/>
            <w:vAlign w:val="center"/>
          </w:tcPr>
          <w:p w14:paraId="4745701A">
            <w:pPr>
              <w:shd w:val="clear"/>
              <w:ind w:left="-446" w:leftChars="-186" w:firstLine="390" w:firstLineChars="186"/>
              <w:jc w:val="center"/>
              <w:rPr>
                <w:rFonts w:hAnsi="宋体"/>
                <w:color w:val="auto"/>
                <w:sz w:val="21"/>
                <w:szCs w:val="21"/>
                <w:highlight w:val="none"/>
              </w:rPr>
            </w:pPr>
          </w:p>
        </w:tc>
      </w:tr>
      <w:tr w14:paraId="0CBCB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Align w:val="center"/>
          </w:tcPr>
          <w:p w14:paraId="782C9F19">
            <w:pPr>
              <w:shd w:val="clear"/>
              <w:jc w:val="center"/>
              <w:rPr>
                <w:rFonts w:hAnsi="宋体"/>
                <w:b/>
                <w:color w:val="auto"/>
                <w:sz w:val="21"/>
                <w:szCs w:val="21"/>
                <w:highlight w:val="none"/>
              </w:rPr>
            </w:pPr>
            <w:r>
              <w:rPr>
                <w:rFonts w:hint="eastAsia" w:hAnsi="宋体"/>
                <w:b/>
                <w:color w:val="auto"/>
                <w:sz w:val="21"/>
                <w:szCs w:val="21"/>
                <w:highlight w:val="none"/>
              </w:rPr>
              <w:t>2</w:t>
            </w:r>
          </w:p>
        </w:tc>
        <w:tc>
          <w:tcPr>
            <w:tcW w:w="1192" w:type="pct"/>
            <w:vAlign w:val="center"/>
          </w:tcPr>
          <w:p w14:paraId="41FA7337">
            <w:pPr>
              <w:shd w:val="clear"/>
              <w:jc w:val="center"/>
              <w:rPr>
                <w:rFonts w:hAnsi="宋体"/>
                <w:color w:val="auto"/>
                <w:sz w:val="21"/>
                <w:szCs w:val="21"/>
                <w:highlight w:val="none"/>
              </w:rPr>
            </w:pPr>
          </w:p>
        </w:tc>
        <w:tc>
          <w:tcPr>
            <w:tcW w:w="1412" w:type="pct"/>
            <w:vAlign w:val="center"/>
          </w:tcPr>
          <w:p w14:paraId="1A7387E4">
            <w:pPr>
              <w:shd w:val="clear"/>
              <w:jc w:val="center"/>
              <w:rPr>
                <w:rFonts w:hAnsi="宋体"/>
                <w:color w:val="auto"/>
                <w:sz w:val="21"/>
                <w:szCs w:val="21"/>
                <w:highlight w:val="none"/>
              </w:rPr>
            </w:pPr>
          </w:p>
        </w:tc>
        <w:tc>
          <w:tcPr>
            <w:tcW w:w="651" w:type="pct"/>
            <w:vAlign w:val="center"/>
          </w:tcPr>
          <w:p w14:paraId="46F6585D">
            <w:pPr>
              <w:shd w:val="clear"/>
              <w:jc w:val="center"/>
              <w:rPr>
                <w:rFonts w:hAnsi="宋体"/>
                <w:color w:val="auto"/>
                <w:sz w:val="21"/>
                <w:szCs w:val="21"/>
                <w:highlight w:val="none"/>
              </w:rPr>
            </w:pPr>
          </w:p>
        </w:tc>
        <w:tc>
          <w:tcPr>
            <w:tcW w:w="1153" w:type="pct"/>
            <w:vAlign w:val="center"/>
          </w:tcPr>
          <w:p w14:paraId="3B495B78">
            <w:pPr>
              <w:shd w:val="clear"/>
              <w:jc w:val="center"/>
              <w:rPr>
                <w:rFonts w:hAnsi="宋体"/>
                <w:color w:val="auto"/>
                <w:sz w:val="21"/>
                <w:szCs w:val="21"/>
                <w:highlight w:val="none"/>
              </w:rPr>
            </w:pPr>
          </w:p>
        </w:tc>
      </w:tr>
      <w:tr w14:paraId="3DAB3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Align w:val="center"/>
          </w:tcPr>
          <w:p w14:paraId="7DA9C876">
            <w:pPr>
              <w:shd w:val="clear"/>
              <w:jc w:val="center"/>
              <w:rPr>
                <w:rFonts w:hAnsi="宋体"/>
                <w:b/>
                <w:color w:val="auto"/>
                <w:sz w:val="21"/>
                <w:szCs w:val="21"/>
                <w:highlight w:val="none"/>
              </w:rPr>
            </w:pPr>
            <w:r>
              <w:rPr>
                <w:rFonts w:hint="eastAsia" w:hAnsi="宋体"/>
                <w:b/>
                <w:color w:val="auto"/>
                <w:sz w:val="21"/>
                <w:szCs w:val="21"/>
                <w:highlight w:val="none"/>
              </w:rPr>
              <w:t>3</w:t>
            </w:r>
          </w:p>
        </w:tc>
        <w:tc>
          <w:tcPr>
            <w:tcW w:w="1192" w:type="pct"/>
            <w:vAlign w:val="center"/>
          </w:tcPr>
          <w:p w14:paraId="4674353A">
            <w:pPr>
              <w:shd w:val="clear"/>
              <w:jc w:val="center"/>
              <w:rPr>
                <w:rFonts w:hAnsi="宋体"/>
                <w:color w:val="auto"/>
                <w:sz w:val="21"/>
                <w:szCs w:val="21"/>
                <w:highlight w:val="none"/>
              </w:rPr>
            </w:pPr>
          </w:p>
        </w:tc>
        <w:tc>
          <w:tcPr>
            <w:tcW w:w="1412" w:type="pct"/>
            <w:vAlign w:val="center"/>
          </w:tcPr>
          <w:p w14:paraId="5BDD19E7">
            <w:pPr>
              <w:shd w:val="clear"/>
              <w:jc w:val="center"/>
              <w:rPr>
                <w:rFonts w:hAnsi="宋体"/>
                <w:color w:val="auto"/>
                <w:sz w:val="21"/>
                <w:szCs w:val="21"/>
                <w:highlight w:val="none"/>
              </w:rPr>
            </w:pPr>
          </w:p>
        </w:tc>
        <w:tc>
          <w:tcPr>
            <w:tcW w:w="651" w:type="pct"/>
            <w:vAlign w:val="center"/>
          </w:tcPr>
          <w:p w14:paraId="115A8049">
            <w:pPr>
              <w:shd w:val="clear"/>
              <w:jc w:val="center"/>
              <w:rPr>
                <w:rFonts w:hAnsi="宋体"/>
                <w:color w:val="auto"/>
                <w:sz w:val="21"/>
                <w:szCs w:val="21"/>
                <w:highlight w:val="none"/>
              </w:rPr>
            </w:pPr>
          </w:p>
        </w:tc>
        <w:tc>
          <w:tcPr>
            <w:tcW w:w="1153" w:type="pct"/>
            <w:vAlign w:val="center"/>
          </w:tcPr>
          <w:p w14:paraId="3770ECD8">
            <w:pPr>
              <w:shd w:val="clear"/>
              <w:jc w:val="center"/>
              <w:rPr>
                <w:rFonts w:hAnsi="宋体"/>
                <w:color w:val="auto"/>
                <w:sz w:val="21"/>
                <w:szCs w:val="21"/>
                <w:highlight w:val="none"/>
              </w:rPr>
            </w:pPr>
          </w:p>
        </w:tc>
      </w:tr>
      <w:tr w14:paraId="4E406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Align w:val="center"/>
          </w:tcPr>
          <w:p w14:paraId="275B4D15">
            <w:pPr>
              <w:shd w:val="clear"/>
              <w:jc w:val="center"/>
              <w:rPr>
                <w:rFonts w:hAnsi="宋体"/>
                <w:b/>
                <w:color w:val="auto"/>
                <w:sz w:val="21"/>
                <w:szCs w:val="21"/>
                <w:highlight w:val="none"/>
              </w:rPr>
            </w:pPr>
            <w:r>
              <w:rPr>
                <w:rFonts w:hint="eastAsia" w:hAnsi="宋体"/>
                <w:b/>
                <w:color w:val="auto"/>
                <w:sz w:val="21"/>
                <w:szCs w:val="21"/>
                <w:highlight w:val="none"/>
              </w:rPr>
              <w:t>···</w:t>
            </w:r>
          </w:p>
        </w:tc>
        <w:tc>
          <w:tcPr>
            <w:tcW w:w="1192" w:type="pct"/>
            <w:vAlign w:val="center"/>
          </w:tcPr>
          <w:p w14:paraId="41708A38">
            <w:pPr>
              <w:shd w:val="clear"/>
              <w:jc w:val="center"/>
              <w:rPr>
                <w:rFonts w:hAnsi="宋体"/>
                <w:color w:val="auto"/>
                <w:sz w:val="21"/>
                <w:szCs w:val="21"/>
                <w:highlight w:val="none"/>
              </w:rPr>
            </w:pPr>
          </w:p>
        </w:tc>
        <w:tc>
          <w:tcPr>
            <w:tcW w:w="1412" w:type="pct"/>
            <w:vAlign w:val="center"/>
          </w:tcPr>
          <w:p w14:paraId="470B7B6D">
            <w:pPr>
              <w:shd w:val="clear"/>
              <w:jc w:val="center"/>
              <w:rPr>
                <w:rFonts w:hAnsi="宋体"/>
                <w:color w:val="auto"/>
                <w:sz w:val="21"/>
                <w:szCs w:val="21"/>
                <w:highlight w:val="none"/>
              </w:rPr>
            </w:pPr>
          </w:p>
        </w:tc>
        <w:tc>
          <w:tcPr>
            <w:tcW w:w="651" w:type="pct"/>
            <w:vAlign w:val="center"/>
          </w:tcPr>
          <w:p w14:paraId="3B7B08CA">
            <w:pPr>
              <w:shd w:val="clear"/>
              <w:jc w:val="center"/>
              <w:rPr>
                <w:rFonts w:hAnsi="宋体"/>
                <w:color w:val="auto"/>
                <w:sz w:val="21"/>
                <w:szCs w:val="21"/>
                <w:highlight w:val="none"/>
              </w:rPr>
            </w:pPr>
          </w:p>
        </w:tc>
        <w:tc>
          <w:tcPr>
            <w:tcW w:w="1153" w:type="pct"/>
            <w:vAlign w:val="center"/>
          </w:tcPr>
          <w:p w14:paraId="24E7FAA7">
            <w:pPr>
              <w:shd w:val="clear"/>
              <w:jc w:val="center"/>
              <w:rPr>
                <w:rFonts w:hAnsi="宋体"/>
                <w:color w:val="auto"/>
                <w:sz w:val="21"/>
                <w:szCs w:val="21"/>
                <w:highlight w:val="none"/>
              </w:rPr>
            </w:pPr>
          </w:p>
        </w:tc>
      </w:tr>
      <w:tr w14:paraId="48616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Align w:val="center"/>
          </w:tcPr>
          <w:p w14:paraId="2C1F9B49">
            <w:pPr>
              <w:shd w:val="clear"/>
              <w:jc w:val="center"/>
              <w:rPr>
                <w:rFonts w:hAnsi="宋体"/>
                <w:b/>
                <w:color w:val="auto"/>
                <w:sz w:val="21"/>
                <w:szCs w:val="21"/>
                <w:highlight w:val="none"/>
              </w:rPr>
            </w:pPr>
          </w:p>
        </w:tc>
        <w:tc>
          <w:tcPr>
            <w:tcW w:w="1192" w:type="pct"/>
            <w:vAlign w:val="center"/>
          </w:tcPr>
          <w:p w14:paraId="1B684C62">
            <w:pPr>
              <w:shd w:val="clear"/>
              <w:jc w:val="center"/>
              <w:rPr>
                <w:rFonts w:hAnsi="宋体"/>
                <w:color w:val="auto"/>
                <w:sz w:val="21"/>
                <w:szCs w:val="21"/>
                <w:highlight w:val="none"/>
              </w:rPr>
            </w:pPr>
          </w:p>
        </w:tc>
        <w:tc>
          <w:tcPr>
            <w:tcW w:w="1412" w:type="pct"/>
            <w:vAlign w:val="center"/>
          </w:tcPr>
          <w:p w14:paraId="566B9F72">
            <w:pPr>
              <w:shd w:val="clear"/>
              <w:jc w:val="center"/>
              <w:rPr>
                <w:rFonts w:hAnsi="宋体"/>
                <w:color w:val="auto"/>
                <w:sz w:val="21"/>
                <w:szCs w:val="21"/>
                <w:highlight w:val="none"/>
              </w:rPr>
            </w:pPr>
          </w:p>
        </w:tc>
        <w:tc>
          <w:tcPr>
            <w:tcW w:w="651" w:type="pct"/>
            <w:vAlign w:val="center"/>
          </w:tcPr>
          <w:p w14:paraId="16A3D687">
            <w:pPr>
              <w:shd w:val="clear"/>
              <w:jc w:val="center"/>
              <w:rPr>
                <w:rFonts w:hAnsi="宋体"/>
                <w:color w:val="auto"/>
                <w:sz w:val="21"/>
                <w:szCs w:val="21"/>
                <w:highlight w:val="none"/>
              </w:rPr>
            </w:pPr>
          </w:p>
        </w:tc>
        <w:tc>
          <w:tcPr>
            <w:tcW w:w="1153" w:type="pct"/>
            <w:vAlign w:val="center"/>
          </w:tcPr>
          <w:p w14:paraId="200D9B07">
            <w:pPr>
              <w:shd w:val="clear"/>
              <w:jc w:val="center"/>
              <w:rPr>
                <w:rFonts w:hAnsi="宋体"/>
                <w:color w:val="auto"/>
                <w:sz w:val="21"/>
                <w:szCs w:val="21"/>
                <w:highlight w:val="none"/>
              </w:rPr>
            </w:pPr>
          </w:p>
        </w:tc>
      </w:tr>
      <w:tr w14:paraId="31A01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Align w:val="center"/>
          </w:tcPr>
          <w:p w14:paraId="731FCB01">
            <w:pPr>
              <w:shd w:val="clear"/>
              <w:jc w:val="center"/>
              <w:rPr>
                <w:rFonts w:hAnsi="宋体"/>
                <w:b/>
                <w:color w:val="auto"/>
                <w:sz w:val="21"/>
                <w:szCs w:val="21"/>
                <w:highlight w:val="none"/>
              </w:rPr>
            </w:pPr>
          </w:p>
        </w:tc>
        <w:tc>
          <w:tcPr>
            <w:tcW w:w="1192" w:type="pct"/>
            <w:vAlign w:val="center"/>
          </w:tcPr>
          <w:p w14:paraId="0756B6F9">
            <w:pPr>
              <w:shd w:val="clear"/>
              <w:jc w:val="center"/>
              <w:rPr>
                <w:rFonts w:hAnsi="宋体"/>
                <w:color w:val="auto"/>
                <w:sz w:val="21"/>
                <w:szCs w:val="21"/>
                <w:highlight w:val="none"/>
              </w:rPr>
            </w:pPr>
          </w:p>
        </w:tc>
        <w:tc>
          <w:tcPr>
            <w:tcW w:w="1412" w:type="pct"/>
            <w:vAlign w:val="center"/>
          </w:tcPr>
          <w:p w14:paraId="60522522">
            <w:pPr>
              <w:shd w:val="clear"/>
              <w:jc w:val="center"/>
              <w:rPr>
                <w:rFonts w:hAnsi="宋体"/>
                <w:color w:val="auto"/>
                <w:sz w:val="21"/>
                <w:szCs w:val="21"/>
                <w:highlight w:val="none"/>
              </w:rPr>
            </w:pPr>
          </w:p>
        </w:tc>
        <w:tc>
          <w:tcPr>
            <w:tcW w:w="651" w:type="pct"/>
            <w:vAlign w:val="center"/>
          </w:tcPr>
          <w:p w14:paraId="324C0654">
            <w:pPr>
              <w:shd w:val="clear"/>
              <w:jc w:val="center"/>
              <w:rPr>
                <w:rFonts w:hAnsi="宋体"/>
                <w:color w:val="auto"/>
                <w:sz w:val="21"/>
                <w:szCs w:val="21"/>
                <w:highlight w:val="none"/>
              </w:rPr>
            </w:pPr>
          </w:p>
        </w:tc>
        <w:tc>
          <w:tcPr>
            <w:tcW w:w="1153" w:type="pct"/>
            <w:vAlign w:val="center"/>
          </w:tcPr>
          <w:p w14:paraId="7375B742">
            <w:pPr>
              <w:shd w:val="clear"/>
              <w:jc w:val="center"/>
              <w:rPr>
                <w:rFonts w:hAnsi="宋体"/>
                <w:color w:val="auto"/>
                <w:sz w:val="21"/>
                <w:szCs w:val="21"/>
                <w:highlight w:val="none"/>
              </w:rPr>
            </w:pPr>
          </w:p>
        </w:tc>
      </w:tr>
      <w:tr w14:paraId="50310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89" w:type="pct"/>
            <w:vAlign w:val="center"/>
          </w:tcPr>
          <w:p w14:paraId="38CE1CED">
            <w:pPr>
              <w:shd w:val="clear"/>
              <w:jc w:val="center"/>
              <w:rPr>
                <w:rFonts w:hAnsi="宋体"/>
                <w:b/>
                <w:color w:val="auto"/>
                <w:sz w:val="21"/>
                <w:szCs w:val="21"/>
                <w:highlight w:val="none"/>
              </w:rPr>
            </w:pPr>
          </w:p>
        </w:tc>
        <w:tc>
          <w:tcPr>
            <w:tcW w:w="1192" w:type="pct"/>
            <w:vAlign w:val="center"/>
          </w:tcPr>
          <w:p w14:paraId="4D1B9483">
            <w:pPr>
              <w:shd w:val="clear"/>
              <w:jc w:val="center"/>
              <w:rPr>
                <w:rFonts w:hAnsi="宋体"/>
                <w:color w:val="auto"/>
                <w:sz w:val="21"/>
                <w:szCs w:val="21"/>
                <w:highlight w:val="none"/>
              </w:rPr>
            </w:pPr>
          </w:p>
        </w:tc>
        <w:tc>
          <w:tcPr>
            <w:tcW w:w="1412" w:type="pct"/>
            <w:vAlign w:val="center"/>
          </w:tcPr>
          <w:p w14:paraId="216A0DC0">
            <w:pPr>
              <w:shd w:val="clear"/>
              <w:jc w:val="center"/>
              <w:rPr>
                <w:rFonts w:hAnsi="宋体"/>
                <w:color w:val="auto"/>
                <w:sz w:val="21"/>
                <w:szCs w:val="21"/>
                <w:highlight w:val="none"/>
              </w:rPr>
            </w:pPr>
          </w:p>
        </w:tc>
        <w:tc>
          <w:tcPr>
            <w:tcW w:w="651" w:type="pct"/>
            <w:vAlign w:val="center"/>
          </w:tcPr>
          <w:p w14:paraId="61E07A56">
            <w:pPr>
              <w:shd w:val="clear"/>
              <w:jc w:val="center"/>
              <w:rPr>
                <w:rFonts w:hAnsi="宋体"/>
                <w:color w:val="auto"/>
                <w:sz w:val="21"/>
                <w:szCs w:val="21"/>
                <w:highlight w:val="none"/>
              </w:rPr>
            </w:pPr>
          </w:p>
        </w:tc>
        <w:tc>
          <w:tcPr>
            <w:tcW w:w="1153" w:type="pct"/>
            <w:vAlign w:val="center"/>
          </w:tcPr>
          <w:p w14:paraId="0DE04302">
            <w:pPr>
              <w:shd w:val="clear"/>
              <w:jc w:val="center"/>
              <w:rPr>
                <w:rFonts w:hAnsi="宋体"/>
                <w:color w:val="auto"/>
                <w:sz w:val="21"/>
                <w:szCs w:val="21"/>
                <w:highlight w:val="none"/>
              </w:rPr>
            </w:pPr>
          </w:p>
        </w:tc>
      </w:tr>
    </w:tbl>
    <w:p w14:paraId="7ED2B486">
      <w:pPr>
        <w:shd w:val="clear"/>
        <w:tabs>
          <w:tab w:val="left" w:pos="654"/>
          <w:tab w:val="left" w:pos="1734"/>
          <w:tab w:val="left" w:pos="2814"/>
          <w:tab w:val="left" w:pos="3894"/>
          <w:tab w:val="left" w:pos="5334"/>
          <w:tab w:val="left" w:pos="6414"/>
          <w:tab w:val="left" w:pos="7254"/>
          <w:tab w:val="left" w:pos="8574"/>
          <w:tab w:val="left" w:pos="9654"/>
        </w:tabs>
        <w:spacing w:line="480" w:lineRule="exact"/>
        <w:ind w:left="850" w:hanging="850"/>
        <w:rPr>
          <w:rFonts w:hAnsi="宋体"/>
          <w:b/>
          <w:bCs/>
          <w:color w:val="auto"/>
          <w:sz w:val="21"/>
          <w:szCs w:val="21"/>
          <w:highlight w:val="none"/>
        </w:rPr>
      </w:pPr>
    </w:p>
    <w:p w14:paraId="2CA0A2AE">
      <w:pPr>
        <w:shd w:val="clear"/>
        <w:tabs>
          <w:tab w:val="left" w:pos="654"/>
          <w:tab w:val="left" w:pos="1734"/>
          <w:tab w:val="left" w:pos="2814"/>
          <w:tab w:val="left" w:pos="3894"/>
          <w:tab w:val="left" w:pos="5334"/>
          <w:tab w:val="left" w:pos="6414"/>
          <w:tab w:val="left" w:pos="7254"/>
          <w:tab w:val="left" w:pos="8574"/>
          <w:tab w:val="left" w:pos="9654"/>
        </w:tabs>
        <w:spacing w:line="360" w:lineRule="auto"/>
        <w:rPr>
          <w:rFonts w:hAnsi="宋体"/>
          <w:color w:val="auto"/>
          <w:sz w:val="21"/>
          <w:szCs w:val="21"/>
          <w:highlight w:val="none"/>
        </w:rPr>
      </w:pPr>
      <w:r>
        <w:rPr>
          <w:rFonts w:hint="eastAsia" w:hAnsi="宋体"/>
          <w:color w:val="auto"/>
          <w:sz w:val="21"/>
          <w:szCs w:val="21"/>
          <w:highlight w:val="none"/>
        </w:rPr>
        <w:t>要求：</w:t>
      </w:r>
    </w:p>
    <w:p w14:paraId="085935F6">
      <w:pPr>
        <w:shd w:val="clear"/>
        <w:tabs>
          <w:tab w:val="left" w:pos="654"/>
          <w:tab w:val="left" w:pos="1734"/>
          <w:tab w:val="left" w:pos="2814"/>
          <w:tab w:val="left" w:pos="3894"/>
          <w:tab w:val="left" w:pos="5334"/>
          <w:tab w:val="left" w:pos="6414"/>
          <w:tab w:val="left" w:pos="7254"/>
          <w:tab w:val="left" w:pos="8574"/>
          <w:tab w:val="left" w:pos="9654"/>
        </w:tabs>
        <w:spacing w:line="360" w:lineRule="auto"/>
        <w:ind w:firstLine="420" w:firstLineChars="200"/>
        <w:rPr>
          <w:rFonts w:hAnsi="宋体"/>
          <w:color w:val="auto"/>
          <w:sz w:val="21"/>
          <w:szCs w:val="21"/>
          <w:highlight w:val="none"/>
        </w:rPr>
      </w:pPr>
      <w:r>
        <w:rPr>
          <w:rFonts w:hint="eastAsia" w:hAnsi="宋体"/>
          <w:color w:val="auto"/>
          <w:sz w:val="21"/>
          <w:szCs w:val="21"/>
          <w:highlight w:val="none"/>
        </w:rPr>
        <w:t>1.“磋商文件要求”见磋商文件“用户需求书”，“响应文件响应情况”是指供应商的投报情况。</w:t>
      </w:r>
    </w:p>
    <w:p w14:paraId="329112E5">
      <w:pPr>
        <w:shd w:val="clear"/>
        <w:tabs>
          <w:tab w:val="left" w:pos="654"/>
          <w:tab w:val="left" w:pos="1734"/>
          <w:tab w:val="left" w:pos="2814"/>
          <w:tab w:val="left" w:pos="3894"/>
          <w:tab w:val="left" w:pos="5334"/>
          <w:tab w:val="left" w:pos="6414"/>
          <w:tab w:val="left" w:pos="7254"/>
          <w:tab w:val="left" w:pos="8574"/>
          <w:tab w:val="left" w:pos="9654"/>
        </w:tabs>
        <w:spacing w:line="360" w:lineRule="auto"/>
        <w:ind w:firstLine="420" w:firstLineChars="200"/>
        <w:rPr>
          <w:rFonts w:hAnsi="宋体"/>
          <w:color w:val="auto"/>
          <w:sz w:val="21"/>
          <w:szCs w:val="21"/>
          <w:highlight w:val="none"/>
        </w:rPr>
      </w:pPr>
      <w:r>
        <w:rPr>
          <w:rFonts w:hint="eastAsia" w:hAnsi="宋体"/>
          <w:color w:val="auto"/>
          <w:sz w:val="21"/>
          <w:szCs w:val="21"/>
          <w:highlight w:val="none"/>
        </w:rPr>
        <w:t>2.“</w:t>
      </w:r>
      <w:r>
        <w:rPr>
          <w:rFonts w:hint="eastAsia" w:hAnsi="宋体"/>
          <w:bCs/>
          <w:color w:val="auto"/>
          <w:sz w:val="21"/>
          <w:szCs w:val="21"/>
          <w:highlight w:val="none"/>
        </w:rPr>
        <w:t>偏离情况</w:t>
      </w:r>
      <w:r>
        <w:rPr>
          <w:rFonts w:hint="eastAsia" w:hAnsi="宋体"/>
          <w:color w:val="auto"/>
          <w:sz w:val="21"/>
          <w:szCs w:val="21"/>
          <w:highlight w:val="none"/>
        </w:rPr>
        <w:t>”包括“完全响应”、“正偏离”、“负偏离”。</w:t>
      </w:r>
    </w:p>
    <w:p w14:paraId="2DDB8118">
      <w:pPr>
        <w:shd w:val="clear"/>
        <w:tabs>
          <w:tab w:val="left" w:pos="654"/>
          <w:tab w:val="left" w:pos="1734"/>
          <w:tab w:val="left" w:pos="2814"/>
          <w:tab w:val="left" w:pos="3894"/>
          <w:tab w:val="left" w:pos="5334"/>
          <w:tab w:val="left" w:pos="6414"/>
          <w:tab w:val="left" w:pos="7254"/>
          <w:tab w:val="left" w:pos="8574"/>
          <w:tab w:val="left" w:pos="9654"/>
        </w:tabs>
        <w:spacing w:line="360" w:lineRule="auto"/>
        <w:ind w:left="850" w:hanging="850"/>
        <w:rPr>
          <w:rFonts w:hAnsi="宋体"/>
          <w:color w:val="auto"/>
          <w:sz w:val="21"/>
          <w:szCs w:val="21"/>
          <w:highlight w:val="none"/>
        </w:rPr>
      </w:pPr>
    </w:p>
    <w:p w14:paraId="53288FDD">
      <w:pPr>
        <w:shd w:val="clear"/>
        <w:overflowPunct w:val="0"/>
        <w:spacing w:line="360" w:lineRule="auto"/>
        <w:rPr>
          <w:rFonts w:hAnsi="宋体"/>
          <w:color w:val="auto"/>
          <w:sz w:val="21"/>
          <w:szCs w:val="21"/>
          <w:highlight w:val="none"/>
        </w:rPr>
      </w:pPr>
      <w:r>
        <w:rPr>
          <w:rFonts w:hint="eastAsia" w:hAnsi="宋体"/>
          <w:color w:val="auto"/>
          <w:sz w:val="21"/>
          <w:szCs w:val="21"/>
          <w:highlight w:val="none"/>
        </w:rPr>
        <w:t>供应商名称（加盖公章）：</w:t>
      </w:r>
    </w:p>
    <w:p w14:paraId="43F6651C">
      <w:pPr>
        <w:shd w:val="clear"/>
        <w:overflowPunct w:val="0"/>
        <w:spacing w:line="360" w:lineRule="auto"/>
        <w:rPr>
          <w:rFonts w:hAnsi="宋体"/>
          <w:color w:val="auto"/>
          <w:sz w:val="21"/>
          <w:szCs w:val="21"/>
          <w:highlight w:val="none"/>
        </w:rPr>
      </w:pPr>
      <w:r>
        <w:rPr>
          <w:rFonts w:hint="eastAsia" w:hAnsi="宋体"/>
          <w:color w:val="auto"/>
          <w:sz w:val="21"/>
          <w:szCs w:val="21"/>
          <w:highlight w:val="none"/>
        </w:rPr>
        <w:t>供应商法定代表人或受委托人（签名或盖私章）：</w:t>
      </w:r>
    </w:p>
    <w:p w14:paraId="0455ACD8">
      <w:pPr>
        <w:shd w:val="clear"/>
        <w:overflowPunct w:val="0"/>
        <w:spacing w:line="360" w:lineRule="auto"/>
        <w:rPr>
          <w:rFonts w:hAnsi="宋体"/>
          <w:color w:val="auto"/>
          <w:sz w:val="22"/>
          <w:szCs w:val="22"/>
          <w:highlight w:val="none"/>
        </w:rPr>
      </w:pPr>
      <w:r>
        <w:rPr>
          <w:rFonts w:hint="eastAsia" w:hAnsi="宋体"/>
          <w:color w:val="auto"/>
          <w:sz w:val="21"/>
          <w:szCs w:val="21"/>
          <w:highlight w:val="none"/>
        </w:rPr>
        <w:t>日期：</w:t>
      </w:r>
      <w:r>
        <w:rPr>
          <w:rFonts w:hint="eastAsia" w:hAnsi="宋体"/>
          <w:color w:val="auto"/>
          <w:sz w:val="21"/>
          <w:szCs w:val="21"/>
          <w:highlight w:val="none"/>
          <w:lang w:val="en-US" w:eastAsia="zh-CN"/>
        </w:rPr>
        <w:t xml:space="preserve">    </w:t>
      </w:r>
      <w:r>
        <w:rPr>
          <w:rFonts w:hint="eastAsia" w:hAnsi="宋体"/>
          <w:color w:val="auto"/>
          <w:sz w:val="21"/>
          <w:szCs w:val="21"/>
          <w:highlight w:val="none"/>
        </w:rPr>
        <w:t>年</w:t>
      </w:r>
      <w:r>
        <w:rPr>
          <w:rFonts w:hint="eastAsia" w:hAnsi="宋体"/>
          <w:color w:val="auto"/>
          <w:sz w:val="21"/>
          <w:szCs w:val="21"/>
          <w:highlight w:val="none"/>
          <w:lang w:val="en-US" w:eastAsia="zh-CN"/>
        </w:rPr>
        <w:t xml:space="preserve">     </w:t>
      </w:r>
      <w:r>
        <w:rPr>
          <w:rFonts w:hint="eastAsia" w:hAnsi="宋体"/>
          <w:color w:val="auto"/>
          <w:sz w:val="21"/>
          <w:szCs w:val="21"/>
          <w:highlight w:val="none"/>
        </w:rPr>
        <w:t>月</w:t>
      </w:r>
      <w:r>
        <w:rPr>
          <w:rFonts w:hint="eastAsia" w:hAnsi="宋体"/>
          <w:color w:val="auto"/>
          <w:sz w:val="21"/>
          <w:szCs w:val="21"/>
          <w:highlight w:val="none"/>
          <w:lang w:val="en-US" w:eastAsia="zh-CN"/>
        </w:rPr>
        <w:t xml:space="preserve">      </w:t>
      </w:r>
      <w:r>
        <w:rPr>
          <w:rFonts w:hint="eastAsia" w:hAnsi="宋体"/>
          <w:color w:val="auto"/>
          <w:sz w:val="21"/>
          <w:szCs w:val="21"/>
          <w:highlight w:val="none"/>
        </w:rPr>
        <w:t xml:space="preserve">日 </w:t>
      </w:r>
    </w:p>
    <w:p w14:paraId="273C8A41">
      <w:pPr>
        <w:shd w:val="clear"/>
        <w:rPr>
          <w:color w:val="auto"/>
          <w:highlight w:val="none"/>
        </w:rPr>
      </w:pPr>
      <w:r>
        <w:rPr>
          <w:color w:val="auto"/>
          <w:highlight w:val="none"/>
        </w:rPr>
        <w:br w:type="page"/>
      </w:r>
    </w:p>
    <w:p w14:paraId="7F7D02EC">
      <w:pPr>
        <w:pStyle w:val="3"/>
        <w:numPr>
          <w:ilvl w:val="0"/>
          <w:numId w:val="20"/>
        </w:numPr>
        <w:shd w:val="clear"/>
        <w:jc w:val="center"/>
        <w:rPr>
          <w:rFonts w:ascii="Calibri" w:hAnsi="Times New Roman"/>
          <w:color w:val="auto"/>
          <w:sz w:val="28"/>
          <w:szCs w:val="28"/>
          <w:highlight w:val="none"/>
        </w:rPr>
      </w:pPr>
      <w:bookmarkStart w:id="236" w:name="_Toc10734"/>
      <w:bookmarkStart w:id="237" w:name="_Toc8299"/>
      <w:bookmarkStart w:id="238" w:name="_Toc7897895"/>
      <w:bookmarkStart w:id="239" w:name="_Toc31965"/>
      <w:r>
        <w:rPr>
          <w:rFonts w:hint="eastAsia" w:ascii="Calibri"/>
          <w:color w:val="auto"/>
          <w:sz w:val="28"/>
          <w:szCs w:val="28"/>
          <w:highlight w:val="none"/>
        </w:rPr>
        <w:t>磋商</w:t>
      </w:r>
      <w:r>
        <w:rPr>
          <w:rFonts w:hint="eastAsia" w:ascii="Calibri" w:hAnsi="Times New Roman"/>
          <w:color w:val="auto"/>
          <w:sz w:val="28"/>
          <w:szCs w:val="28"/>
          <w:highlight w:val="none"/>
        </w:rPr>
        <w:t>文件“★”号条款响应表</w:t>
      </w:r>
      <w:bookmarkEnd w:id="236"/>
      <w:bookmarkEnd w:id="237"/>
    </w:p>
    <w:p w14:paraId="3EF980E2">
      <w:pPr>
        <w:shd w:val="clear"/>
        <w:rPr>
          <w:rFonts w:hAnsi="宋体"/>
          <w:b/>
          <w:bCs/>
          <w:color w:val="auto"/>
          <w:highlight w:val="none"/>
        </w:rPr>
      </w:pPr>
    </w:p>
    <w:p w14:paraId="1ADC2B77">
      <w:pPr>
        <w:shd w:val="clear"/>
        <w:rPr>
          <w:rFonts w:hAnsi="宋体"/>
          <w:b/>
          <w:bCs/>
          <w:color w:val="auto"/>
          <w:highlight w:val="none"/>
        </w:rPr>
      </w:pPr>
    </w:p>
    <w:tbl>
      <w:tblPr>
        <w:tblStyle w:val="53"/>
        <w:tblW w:w="96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3"/>
        <w:gridCol w:w="1266"/>
        <w:gridCol w:w="3371"/>
        <w:gridCol w:w="2113"/>
        <w:gridCol w:w="2079"/>
      </w:tblGrid>
      <w:tr w14:paraId="502A1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82" w:hRule="exact"/>
        </w:trPr>
        <w:tc>
          <w:tcPr>
            <w:tcW w:w="863" w:type="dxa"/>
            <w:vMerge w:val="restart"/>
            <w:vAlign w:val="center"/>
          </w:tcPr>
          <w:p w14:paraId="74EE8C01">
            <w:pPr>
              <w:shd w:val="clear"/>
              <w:autoSpaceDE/>
              <w:autoSpaceDN/>
              <w:adjustRightInd/>
              <w:spacing w:before="120" w:after="120" w:line="360" w:lineRule="auto"/>
              <w:jc w:val="center"/>
              <w:rPr>
                <w:rFonts w:hAnsi="宋体"/>
                <w:color w:val="auto"/>
                <w:sz w:val="21"/>
                <w:szCs w:val="21"/>
                <w:highlight w:val="none"/>
              </w:rPr>
            </w:pPr>
            <w:r>
              <w:rPr>
                <w:rFonts w:hint="eastAsia" w:hAnsi="宋体"/>
                <w:color w:val="auto"/>
                <w:sz w:val="21"/>
                <w:szCs w:val="21"/>
                <w:highlight w:val="none"/>
              </w:rPr>
              <w:t>序号</w:t>
            </w:r>
          </w:p>
        </w:tc>
        <w:tc>
          <w:tcPr>
            <w:tcW w:w="4637" w:type="dxa"/>
            <w:gridSpan w:val="2"/>
            <w:vAlign w:val="center"/>
          </w:tcPr>
          <w:p w14:paraId="73AA7416">
            <w:pPr>
              <w:shd w:val="clear"/>
              <w:autoSpaceDE/>
              <w:autoSpaceDN/>
              <w:adjustRightInd/>
              <w:spacing w:before="120" w:after="120" w:line="360" w:lineRule="auto"/>
              <w:ind w:left="-122" w:leftChars="-51"/>
              <w:jc w:val="center"/>
              <w:rPr>
                <w:rFonts w:hAnsi="宋体"/>
                <w:color w:val="auto"/>
                <w:sz w:val="21"/>
                <w:szCs w:val="21"/>
                <w:highlight w:val="none"/>
              </w:rPr>
            </w:pPr>
            <w:r>
              <w:rPr>
                <w:rFonts w:hint="eastAsia" w:hAnsi="宋体"/>
                <w:color w:val="auto"/>
                <w:sz w:val="21"/>
                <w:szCs w:val="21"/>
                <w:highlight w:val="none"/>
              </w:rPr>
              <w:t>磋商文件“★”号条款要求</w:t>
            </w:r>
          </w:p>
        </w:tc>
        <w:tc>
          <w:tcPr>
            <w:tcW w:w="4192" w:type="dxa"/>
            <w:gridSpan w:val="2"/>
            <w:vAlign w:val="center"/>
          </w:tcPr>
          <w:p w14:paraId="3C134A68">
            <w:pPr>
              <w:shd w:val="clear"/>
              <w:autoSpaceDE/>
              <w:autoSpaceDN/>
              <w:adjustRightInd/>
              <w:spacing w:before="120" w:after="120" w:line="360" w:lineRule="auto"/>
              <w:ind w:left="-88"/>
              <w:jc w:val="center"/>
              <w:rPr>
                <w:rFonts w:hAnsi="宋体"/>
                <w:color w:val="auto"/>
                <w:sz w:val="21"/>
                <w:szCs w:val="21"/>
                <w:highlight w:val="none"/>
              </w:rPr>
            </w:pPr>
            <w:r>
              <w:rPr>
                <w:rFonts w:hint="eastAsia" w:hAnsi="宋体"/>
                <w:color w:val="auto"/>
                <w:sz w:val="21"/>
                <w:szCs w:val="21"/>
                <w:highlight w:val="none"/>
              </w:rPr>
              <w:t>磋商响应文件内容</w:t>
            </w:r>
          </w:p>
        </w:tc>
      </w:tr>
      <w:tr w14:paraId="3A161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exact"/>
        </w:trPr>
        <w:tc>
          <w:tcPr>
            <w:tcW w:w="863" w:type="dxa"/>
            <w:vMerge w:val="continue"/>
            <w:vAlign w:val="center"/>
          </w:tcPr>
          <w:p w14:paraId="43DA85E5">
            <w:pPr>
              <w:keepNext/>
              <w:keepLines/>
              <w:shd w:val="clear"/>
              <w:autoSpaceDE/>
              <w:autoSpaceDN/>
              <w:adjustRightInd/>
              <w:spacing w:before="120" w:after="120" w:line="360" w:lineRule="auto"/>
              <w:ind w:left="629"/>
              <w:jc w:val="center"/>
              <w:rPr>
                <w:rFonts w:hAnsi="宋体"/>
                <w:color w:val="auto"/>
                <w:sz w:val="21"/>
                <w:szCs w:val="21"/>
                <w:highlight w:val="none"/>
              </w:rPr>
            </w:pPr>
          </w:p>
        </w:tc>
        <w:tc>
          <w:tcPr>
            <w:tcW w:w="1266" w:type="dxa"/>
            <w:vAlign w:val="center"/>
          </w:tcPr>
          <w:p w14:paraId="07BAC88C">
            <w:pPr>
              <w:shd w:val="clear"/>
              <w:autoSpaceDE/>
              <w:autoSpaceDN/>
              <w:adjustRightInd/>
              <w:spacing w:before="120" w:after="120" w:line="360" w:lineRule="auto"/>
              <w:jc w:val="center"/>
              <w:rPr>
                <w:rFonts w:hAnsi="宋体"/>
                <w:color w:val="auto"/>
                <w:sz w:val="21"/>
                <w:szCs w:val="21"/>
                <w:highlight w:val="none"/>
              </w:rPr>
            </w:pPr>
            <w:r>
              <w:rPr>
                <w:rFonts w:hint="eastAsia" w:hAnsi="宋体"/>
                <w:color w:val="auto"/>
                <w:sz w:val="21"/>
                <w:szCs w:val="21"/>
                <w:highlight w:val="none"/>
              </w:rPr>
              <w:t>条款号</w:t>
            </w:r>
          </w:p>
        </w:tc>
        <w:tc>
          <w:tcPr>
            <w:tcW w:w="3371" w:type="dxa"/>
            <w:vAlign w:val="center"/>
          </w:tcPr>
          <w:p w14:paraId="31999C9D">
            <w:pPr>
              <w:shd w:val="clear"/>
              <w:autoSpaceDE/>
              <w:autoSpaceDN/>
              <w:adjustRightInd/>
              <w:spacing w:before="120" w:after="120" w:line="360" w:lineRule="auto"/>
              <w:jc w:val="center"/>
              <w:rPr>
                <w:rFonts w:hAnsi="宋体"/>
                <w:color w:val="auto"/>
                <w:sz w:val="21"/>
                <w:szCs w:val="21"/>
                <w:highlight w:val="none"/>
              </w:rPr>
            </w:pPr>
            <w:r>
              <w:rPr>
                <w:rFonts w:hint="eastAsia" w:hAnsi="宋体"/>
                <w:color w:val="auto"/>
                <w:sz w:val="21"/>
                <w:szCs w:val="21"/>
                <w:highlight w:val="none"/>
              </w:rPr>
              <w:t>简要内容</w:t>
            </w:r>
          </w:p>
        </w:tc>
        <w:tc>
          <w:tcPr>
            <w:tcW w:w="2113" w:type="dxa"/>
            <w:vAlign w:val="center"/>
          </w:tcPr>
          <w:p w14:paraId="0684A85E">
            <w:pPr>
              <w:shd w:val="clear"/>
              <w:autoSpaceDE/>
              <w:autoSpaceDN/>
              <w:adjustRightInd/>
              <w:spacing w:before="120" w:after="120" w:line="360" w:lineRule="auto"/>
              <w:jc w:val="center"/>
              <w:rPr>
                <w:rFonts w:hAnsi="宋体"/>
                <w:color w:val="auto"/>
                <w:sz w:val="21"/>
                <w:szCs w:val="21"/>
                <w:highlight w:val="none"/>
              </w:rPr>
            </w:pPr>
            <w:r>
              <w:rPr>
                <w:rFonts w:hint="eastAsia" w:hAnsi="宋体"/>
                <w:color w:val="auto"/>
                <w:sz w:val="21"/>
                <w:szCs w:val="21"/>
                <w:highlight w:val="none"/>
              </w:rPr>
              <w:t>偏离情况</w:t>
            </w:r>
          </w:p>
        </w:tc>
        <w:tc>
          <w:tcPr>
            <w:tcW w:w="2079" w:type="dxa"/>
            <w:vAlign w:val="center"/>
          </w:tcPr>
          <w:p w14:paraId="159BBF2B">
            <w:pPr>
              <w:shd w:val="clear"/>
              <w:autoSpaceDE/>
              <w:autoSpaceDN/>
              <w:adjustRightInd/>
              <w:spacing w:before="120" w:after="120" w:line="360" w:lineRule="auto"/>
              <w:jc w:val="center"/>
              <w:rPr>
                <w:rFonts w:hAnsi="宋体"/>
                <w:color w:val="auto"/>
                <w:sz w:val="21"/>
                <w:szCs w:val="21"/>
                <w:highlight w:val="none"/>
              </w:rPr>
            </w:pPr>
            <w:r>
              <w:rPr>
                <w:rFonts w:hint="eastAsia" w:hAnsi="宋体"/>
                <w:color w:val="auto"/>
                <w:sz w:val="21"/>
                <w:szCs w:val="21"/>
                <w:highlight w:val="none"/>
              </w:rPr>
              <w:t>具体偏离内容</w:t>
            </w:r>
          </w:p>
        </w:tc>
      </w:tr>
      <w:tr w14:paraId="6DC91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vAlign w:val="center"/>
          </w:tcPr>
          <w:p w14:paraId="6110F076">
            <w:pPr>
              <w:shd w:val="clear"/>
              <w:autoSpaceDE/>
              <w:autoSpaceDN/>
              <w:adjustRightInd/>
              <w:spacing w:before="120" w:after="120" w:line="360" w:lineRule="auto"/>
              <w:ind w:left="-108"/>
              <w:jc w:val="center"/>
              <w:rPr>
                <w:rFonts w:hAnsi="宋体"/>
                <w:color w:val="auto"/>
                <w:sz w:val="21"/>
                <w:szCs w:val="21"/>
                <w:highlight w:val="none"/>
              </w:rPr>
            </w:pPr>
            <w:r>
              <w:rPr>
                <w:rFonts w:hint="eastAsia" w:hAnsi="宋体"/>
                <w:color w:val="auto"/>
                <w:sz w:val="21"/>
                <w:szCs w:val="21"/>
                <w:highlight w:val="none"/>
              </w:rPr>
              <w:t>1</w:t>
            </w:r>
          </w:p>
        </w:tc>
        <w:tc>
          <w:tcPr>
            <w:tcW w:w="1266" w:type="dxa"/>
            <w:vAlign w:val="center"/>
          </w:tcPr>
          <w:p w14:paraId="57F50E8B">
            <w:pPr>
              <w:shd w:val="clear"/>
              <w:spacing w:line="360" w:lineRule="auto"/>
              <w:jc w:val="center"/>
              <w:rPr>
                <w:rFonts w:hAnsi="宋体"/>
                <w:color w:val="auto"/>
                <w:sz w:val="21"/>
                <w:szCs w:val="21"/>
                <w:highlight w:val="none"/>
              </w:rPr>
            </w:pPr>
          </w:p>
          <w:p w14:paraId="1B9028D0">
            <w:pPr>
              <w:shd w:val="clear"/>
              <w:spacing w:line="360" w:lineRule="auto"/>
              <w:jc w:val="center"/>
              <w:rPr>
                <w:rFonts w:hAnsi="宋体"/>
                <w:color w:val="auto"/>
                <w:sz w:val="21"/>
                <w:szCs w:val="21"/>
                <w:highlight w:val="none"/>
              </w:rPr>
            </w:pPr>
          </w:p>
          <w:p w14:paraId="1F37A916">
            <w:pPr>
              <w:shd w:val="clear"/>
              <w:spacing w:line="360" w:lineRule="auto"/>
              <w:jc w:val="center"/>
              <w:rPr>
                <w:rFonts w:hAnsi="宋体"/>
                <w:color w:val="auto"/>
                <w:sz w:val="21"/>
                <w:szCs w:val="21"/>
                <w:highlight w:val="none"/>
              </w:rPr>
            </w:pPr>
          </w:p>
          <w:p w14:paraId="0F01281D">
            <w:pPr>
              <w:shd w:val="clear"/>
              <w:spacing w:line="360" w:lineRule="auto"/>
              <w:jc w:val="center"/>
              <w:rPr>
                <w:rFonts w:hAnsi="宋体"/>
                <w:color w:val="auto"/>
                <w:sz w:val="21"/>
                <w:szCs w:val="21"/>
                <w:highlight w:val="none"/>
              </w:rPr>
            </w:pPr>
          </w:p>
          <w:p w14:paraId="5E69ED19">
            <w:pPr>
              <w:shd w:val="clear"/>
              <w:spacing w:line="360" w:lineRule="auto"/>
              <w:jc w:val="center"/>
              <w:rPr>
                <w:rFonts w:hAnsi="宋体"/>
                <w:color w:val="auto"/>
                <w:sz w:val="21"/>
                <w:szCs w:val="21"/>
                <w:highlight w:val="none"/>
              </w:rPr>
            </w:pPr>
          </w:p>
        </w:tc>
        <w:tc>
          <w:tcPr>
            <w:tcW w:w="3371" w:type="dxa"/>
            <w:vAlign w:val="center"/>
          </w:tcPr>
          <w:p w14:paraId="374BBF3A">
            <w:pPr>
              <w:shd w:val="clear"/>
              <w:spacing w:line="360" w:lineRule="auto"/>
              <w:jc w:val="center"/>
              <w:rPr>
                <w:rFonts w:hAnsi="宋体"/>
                <w:color w:val="auto"/>
                <w:sz w:val="21"/>
                <w:szCs w:val="21"/>
                <w:highlight w:val="none"/>
              </w:rPr>
            </w:pPr>
          </w:p>
        </w:tc>
        <w:tc>
          <w:tcPr>
            <w:tcW w:w="2113" w:type="dxa"/>
            <w:vAlign w:val="center"/>
          </w:tcPr>
          <w:p w14:paraId="11F7586C">
            <w:pPr>
              <w:keepNext/>
              <w:keepLines/>
              <w:shd w:val="clear"/>
              <w:autoSpaceDE/>
              <w:autoSpaceDN/>
              <w:adjustRightInd/>
              <w:spacing w:before="120" w:after="120" w:line="360" w:lineRule="auto"/>
              <w:ind w:left="629"/>
              <w:jc w:val="center"/>
              <w:rPr>
                <w:rFonts w:hAnsi="宋体"/>
                <w:color w:val="auto"/>
                <w:sz w:val="21"/>
                <w:szCs w:val="21"/>
                <w:highlight w:val="none"/>
              </w:rPr>
            </w:pPr>
          </w:p>
        </w:tc>
        <w:tc>
          <w:tcPr>
            <w:tcW w:w="2079" w:type="dxa"/>
            <w:vAlign w:val="center"/>
          </w:tcPr>
          <w:p w14:paraId="199CDB28">
            <w:pPr>
              <w:keepNext/>
              <w:keepLines/>
              <w:shd w:val="clear"/>
              <w:autoSpaceDE/>
              <w:autoSpaceDN/>
              <w:adjustRightInd/>
              <w:spacing w:before="120" w:after="120" w:line="360" w:lineRule="auto"/>
              <w:ind w:left="629"/>
              <w:jc w:val="center"/>
              <w:rPr>
                <w:rFonts w:hAnsi="宋体"/>
                <w:color w:val="auto"/>
                <w:sz w:val="21"/>
                <w:szCs w:val="21"/>
                <w:highlight w:val="none"/>
              </w:rPr>
            </w:pPr>
          </w:p>
        </w:tc>
      </w:tr>
      <w:tr w14:paraId="3083E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2" w:hRule="exact"/>
        </w:trPr>
        <w:tc>
          <w:tcPr>
            <w:tcW w:w="863" w:type="dxa"/>
            <w:vAlign w:val="center"/>
          </w:tcPr>
          <w:p w14:paraId="4370D695">
            <w:pPr>
              <w:shd w:val="clear"/>
              <w:autoSpaceDE/>
              <w:autoSpaceDN/>
              <w:adjustRightInd/>
              <w:spacing w:before="120" w:after="120" w:line="360" w:lineRule="auto"/>
              <w:ind w:left="-108"/>
              <w:jc w:val="center"/>
              <w:rPr>
                <w:rFonts w:hAnsi="宋体"/>
                <w:color w:val="auto"/>
                <w:sz w:val="21"/>
                <w:szCs w:val="21"/>
                <w:highlight w:val="none"/>
              </w:rPr>
            </w:pPr>
            <w:r>
              <w:rPr>
                <w:rFonts w:hint="eastAsia" w:hAnsi="宋体"/>
                <w:color w:val="auto"/>
                <w:sz w:val="21"/>
                <w:szCs w:val="21"/>
                <w:highlight w:val="none"/>
              </w:rPr>
              <w:t>2</w:t>
            </w:r>
          </w:p>
        </w:tc>
        <w:tc>
          <w:tcPr>
            <w:tcW w:w="1266" w:type="dxa"/>
            <w:vAlign w:val="center"/>
          </w:tcPr>
          <w:p w14:paraId="1A4926A7">
            <w:pPr>
              <w:shd w:val="clear"/>
              <w:spacing w:line="360" w:lineRule="auto"/>
              <w:jc w:val="center"/>
              <w:rPr>
                <w:rFonts w:hAnsi="宋体"/>
                <w:color w:val="auto"/>
                <w:sz w:val="21"/>
                <w:szCs w:val="21"/>
                <w:highlight w:val="none"/>
              </w:rPr>
            </w:pPr>
          </w:p>
        </w:tc>
        <w:tc>
          <w:tcPr>
            <w:tcW w:w="3371" w:type="dxa"/>
            <w:vAlign w:val="center"/>
          </w:tcPr>
          <w:p w14:paraId="506651E5">
            <w:pPr>
              <w:shd w:val="clear"/>
              <w:spacing w:line="360" w:lineRule="auto"/>
              <w:jc w:val="center"/>
              <w:rPr>
                <w:rFonts w:hAnsi="宋体"/>
                <w:color w:val="auto"/>
                <w:sz w:val="21"/>
                <w:szCs w:val="21"/>
                <w:highlight w:val="none"/>
              </w:rPr>
            </w:pPr>
          </w:p>
        </w:tc>
        <w:tc>
          <w:tcPr>
            <w:tcW w:w="2113" w:type="dxa"/>
          </w:tcPr>
          <w:p w14:paraId="50A453F8">
            <w:pPr>
              <w:keepNext/>
              <w:keepLines/>
              <w:shd w:val="clear"/>
              <w:autoSpaceDE/>
              <w:autoSpaceDN/>
              <w:adjustRightInd/>
              <w:spacing w:before="120" w:after="120" w:line="360" w:lineRule="auto"/>
              <w:ind w:left="629"/>
              <w:jc w:val="both"/>
              <w:rPr>
                <w:rFonts w:hAnsi="宋体"/>
                <w:color w:val="auto"/>
                <w:sz w:val="21"/>
                <w:szCs w:val="21"/>
                <w:highlight w:val="none"/>
              </w:rPr>
            </w:pPr>
          </w:p>
        </w:tc>
        <w:tc>
          <w:tcPr>
            <w:tcW w:w="2079" w:type="dxa"/>
            <w:vAlign w:val="center"/>
          </w:tcPr>
          <w:p w14:paraId="0874C6EE">
            <w:pPr>
              <w:keepNext/>
              <w:keepLines/>
              <w:shd w:val="clear"/>
              <w:autoSpaceDE/>
              <w:autoSpaceDN/>
              <w:adjustRightInd/>
              <w:spacing w:before="120" w:after="120" w:line="360" w:lineRule="auto"/>
              <w:ind w:left="629"/>
              <w:jc w:val="both"/>
              <w:rPr>
                <w:rFonts w:hAnsi="宋体"/>
                <w:color w:val="auto"/>
                <w:sz w:val="21"/>
                <w:szCs w:val="21"/>
                <w:highlight w:val="none"/>
              </w:rPr>
            </w:pPr>
          </w:p>
        </w:tc>
      </w:tr>
      <w:tr w14:paraId="58557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2" w:hRule="exact"/>
        </w:trPr>
        <w:tc>
          <w:tcPr>
            <w:tcW w:w="863" w:type="dxa"/>
            <w:vAlign w:val="center"/>
          </w:tcPr>
          <w:p w14:paraId="38C2D668">
            <w:pPr>
              <w:shd w:val="clear"/>
              <w:autoSpaceDE/>
              <w:autoSpaceDN/>
              <w:adjustRightInd/>
              <w:spacing w:before="120" w:after="120" w:line="360" w:lineRule="auto"/>
              <w:ind w:left="-122" w:leftChars="-51"/>
              <w:jc w:val="center"/>
              <w:rPr>
                <w:rFonts w:hAnsi="宋体"/>
                <w:color w:val="auto"/>
                <w:kern w:val="2"/>
                <w:sz w:val="21"/>
                <w:szCs w:val="21"/>
                <w:highlight w:val="none"/>
              </w:rPr>
            </w:pPr>
            <w:r>
              <w:rPr>
                <w:rFonts w:hint="eastAsia" w:hAnsi="宋体"/>
                <w:color w:val="auto"/>
                <w:kern w:val="2"/>
                <w:sz w:val="21"/>
                <w:szCs w:val="21"/>
                <w:highlight w:val="none"/>
              </w:rPr>
              <w:t>3</w:t>
            </w:r>
          </w:p>
        </w:tc>
        <w:tc>
          <w:tcPr>
            <w:tcW w:w="1266" w:type="dxa"/>
            <w:vAlign w:val="center"/>
          </w:tcPr>
          <w:p w14:paraId="6B6CE7A1">
            <w:pPr>
              <w:shd w:val="clear"/>
              <w:spacing w:line="360" w:lineRule="auto"/>
              <w:jc w:val="center"/>
              <w:rPr>
                <w:rFonts w:hAnsi="宋体"/>
                <w:color w:val="auto"/>
                <w:sz w:val="21"/>
                <w:szCs w:val="21"/>
                <w:highlight w:val="none"/>
              </w:rPr>
            </w:pPr>
          </w:p>
        </w:tc>
        <w:tc>
          <w:tcPr>
            <w:tcW w:w="3371" w:type="dxa"/>
            <w:vAlign w:val="center"/>
          </w:tcPr>
          <w:p w14:paraId="0E4733DE">
            <w:pPr>
              <w:shd w:val="clear"/>
              <w:spacing w:line="360" w:lineRule="auto"/>
              <w:jc w:val="center"/>
              <w:rPr>
                <w:rFonts w:hAnsi="宋体"/>
                <w:color w:val="auto"/>
                <w:sz w:val="21"/>
                <w:szCs w:val="21"/>
                <w:highlight w:val="none"/>
              </w:rPr>
            </w:pPr>
          </w:p>
        </w:tc>
        <w:tc>
          <w:tcPr>
            <w:tcW w:w="2113" w:type="dxa"/>
          </w:tcPr>
          <w:p w14:paraId="33B4576E">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2079" w:type="dxa"/>
            <w:vAlign w:val="center"/>
          </w:tcPr>
          <w:p w14:paraId="37D9C1AE">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r>
      <w:tr w14:paraId="2760E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vAlign w:val="center"/>
          </w:tcPr>
          <w:p w14:paraId="2A022BFD">
            <w:pPr>
              <w:shd w:val="clear"/>
              <w:autoSpaceDE/>
              <w:autoSpaceDN/>
              <w:adjustRightInd/>
              <w:spacing w:before="120" w:after="120" w:line="360" w:lineRule="auto"/>
              <w:ind w:left="-122" w:leftChars="-51"/>
              <w:jc w:val="center"/>
              <w:rPr>
                <w:rFonts w:hAnsi="宋体"/>
                <w:color w:val="auto"/>
                <w:kern w:val="2"/>
                <w:sz w:val="21"/>
                <w:szCs w:val="21"/>
                <w:highlight w:val="none"/>
              </w:rPr>
            </w:pPr>
            <w:r>
              <w:rPr>
                <w:rFonts w:hint="eastAsia" w:hAnsi="宋体"/>
                <w:color w:val="auto"/>
                <w:kern w:val="2"/>
                <w:sz w:val="21"/>
                <w:szCs w:val="21"/>
                <w:highlight w:val="none"/>
              </w:rPr>
              <w:t>……</w:t>
            </w:r>
          </w:p>
        </w:tc>
        <w:tc>
          <w:tcPr>
            <w:tcW w:w="1266" w:type="dxa"/>
            <w:vAlign w:val="center"/>
          </w:tcPr>
          <w:p w14:paraId="020F1200">
            <w:pPr>
              <w:shd w:val="clear"/>
              <w:spacing w:line="360" w:lineRule="auto"/>
              <w:jc w:val="center"/>
              <w:rPr>
                <w:rFonts w:hAnsi="宋体"/>
                <w:color w:val="auto"/>
                <w:sz w:val="21"/>
                <w:szCs w:val="21"/>
                <w:highlight w:val="none"/>
              </w:rPr>
            </w:pPr>
          </w:p>
        </w:tc>
        <w:tc>
          <w:tcPr>
            <w:tcW w:w="3371" w:type="dxa"/>
            <w:vAlign w:val="center"/>
          </w:tcPr>
          <w:p w14:paraId="230570D8">
            <w:pPr>
              <w:shd w:val="clear"/>
              <w:spacing w:line="360" w:lineRule="auto"/>
              <w:jc w:val="center"/>
              <w:rPr>
                <w:rFonts w:hAnsi="宋体"/>
                <w:color w:val="auto"/>
                <w:sz w:val="21"/>
                <w:szCs w:val="21"/>
                <w:highlight w:val="none"/>
              </w:rPr>
            </w:pPr>
          </w:p>
        </w:tc>
        <w:tc>
          <w:tcPr>
            <w:tcW w:w="2113" w:type="dxa"/>
          </w:tcPr>
          <w:p w14:paraId="4706DD9B">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2079" w:type="dxa"/>
            <w:vAlign w:val="center"/>
          </w:tcPr>
          <w:p w14:paraId="0A0CA005">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r>
      <w:tr w14:paraId="5AAE3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2" w:hRule="exact"/>
        </w:trPr>
        <w:tc>
          <w:tcPr>
            <w:tcW w:w="863" w:type="dxa"/>
            <w:vAlign w:val="center"/>
          </w:tcPr>
          <w:p w14:paraId="4CE67A11">
            <w:pPr>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1266" w:type="dxa"/>
            <w:vAlign w:val="center"/>
          </w:tcPr>
          <w:p w14:paraId="0D98A0C7">
            <w:pPr>
              <w:shd w:val="clear"/>
              <w:spacing w:line="360" w:lineRule="auto"/>
              <w:jc w:val="center"/>
              <w:rPr>
                <w:rFonts w:hAnsi="宋体"/>
                <w:color w:val="auto"/>
                <w:sz w:val="21"/>
                <w:szCs w:val="21"/>
                <w:highlight w:val="none"/>
              </w:rPr>
            </w:pPr>
          </w:p>
        </w:tc>
        <w:tc>
          <w:tcPr>
            <w:tcW w:w="3371" w:type="dxa"/>
            <w:vAlign w:val="center"/>
          </w:tcPr>
          <w:p w14:paraId="3164D62D">
            <w:pPr>
              <w:shd w:val="clear"/>
              <w:spacing w:line="360" w:lineRule="auto"/>
              <w:jc w:val="center"/>
              <w:rPr>
                <w:rFonts w:hAnsi="宋体"/>
                <w:color w:val="auto"/>
                <w:sz w:val="21"/>
                <w:szCs w:val="21"/>
                <w:highlight w:val="none"/>
              </w:rPr>
            </w:pPr>
          </w:p>
        </w:tc>
        <w:tc>
          <w:tcPr>
            <w:tcW w:w="2113" w:type="dxa"/>
          </w:tcPr>
          <w:p w14:paraId="4F8AC6E4">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2079" w:type="dxa"/>
            <w:vAlign w:val="center"/>
          </w:tcPr>
          <w:p w14:paraId="35E8D525">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r>
      <w:tr w14:paraId="74833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vAlign w:val="center"/>
          </w:tcPr>
          <w:p w14:paraId="4AE1F941">
            <w:pPr>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1266" w:type="dxa"/>
            <w:vAlign w:val="center"/>
          </w:tcPr>
          <w:p w14:paraId="180637A0">
            <w:pPr>
              <w:shd w:val="clear"/>
              <w:spacing w:line="360" w:lineRule="auto"/>
              <w:jc w:val="center"/>
              <w:rPr>
                <w:rFonts w:hAnsi="宋体"/>
                <w:color w:val="auto"/>
                <w:sz w:val="21"/>
                <w:szCs w:val="21"/>
                <w:highlight w:val="none"/>
              </w:rPr>
            </w:pPr>
          </w:p>
        </w:tc>
        <w:tc>
          <w:tcPr>
            <w:tcW w:w="3371" w:type="dxa"/>
            <w:vAlign w:val="center"/>
          </w:tcPr>
          <w:p w14:paraId="628D3CD2">
            <w:pPr>
              <w:shd w:val="clear"/>
              <w:spacing w:line="360" w:lineRule="auto"/>
              <w:jc w:val="center"/>
              <w:rPr>
                <w:rFonts w:hAnsi="宋体"/>
                <w:color w:val="auto"/>
                <w:sz w:val="21"/>
                <w:szCs w:val="21"/>
                <w:highlight w:val="none"/>
              </w:rPr>
            </w:pPr>
          </w:p>
        </w:tc>
        <w:tc>
          <w:tcPr>
            <w:tcW w:w="2113" w:type="dxa"/>
          </w:tcPr>
          <w:p w14:paraId="3F917F92">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2079" w:type="dxa"/>
            <w:vAlign w:val="center"/>
          </w:tcPr>
          <w:p w14:paraId="5230DC09">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r>
      <w:tr w14:paraId="4E978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5726C323">
            <w:pPr>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1266" w:type="dxa"/>
            <w:vAlign w:val="center"/>
          </w:tcPr>
          <w:p w14:paraId="3090B58F">
            <w:pPr>
              <w:shd w:val="clear"/>
              <w:spacing w:line="360" w:lineRule="auto"/>
              <w:jc w:val="center"/>
              <w:rPr>
                <w:rFonts w:hAnsi="宋体"/>
                <w:color w:val="auto"/>
                <w:sz w:val="21"/>
                <w:szCs w:val="21"/>
                <w:highlight w:val="none"/>
              </w:rPr>
            </w:pPr>
          </w:p>
        </w:tc>
        <w:tc>
          <w:tcPr>
            <w:tcW w:w="3371" w:type="dxa"/>
            <w:vAlign w:val="center"/>
          </w:tcPr>
          <w:p w14:paraId="1C81295D">
            <w:pPr>
              <w:shd w:val="clear"/>
              <w:spacing w:line="360" w:lineRule="auto"/>
              <w:jc w:val="center"/>
              <w:rPr>
                <w:rFonts w:hAnsi="宋体"/>
                <w:color w:val="auto"/>
                <w:sz w:val="21"/>
                <w:szCs w:val="21"/>
                <w:highlight w:val="none"/>
              </w:rPr>
            </w:pPr>
          </w:p>
        </w:tc>
        <w:tc>
          <w:tcPr>
            <w:tcW w:w="2113" w:type="dxa"/>
          </w:tcPr>
          <w:p w14:paraId="6A048EF2">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2079" w:type="dxa"/>
          </w:tcPr>
          <w:p w14:paraId="45B3F622">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r>
      <w:tr w14:paraId="6BBFE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3319DCBA">
            <w:pPr>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1266" w:type="dxa"/>
            <w:vAlign w:val="center"/>
          </w:tcPr>
          <w:p w14:paraId="54F12521">
            <w:pPr>
              <w:shd w:val="clear"/>
              <w:spacing w:line="360" w:lineRule="auto"/>
              <w:jc w:val="center"/>
              <w:rPr>
                <w:rFonts w:hAnsi="宋体"/>
                <w:color w:val="auto"/>
                <w:sz w:val="21"/>
                <w:szCs w:val="21"/>
                <w:highlight w:val="none"/>
              </w:rPr>
            </w:pPr>
          </w:p>
        </w:tc>
        <w:tc>
          <w:tcPr>
            <w:tcW w:w="3371" w:type="dxa"/>
            <w:vAlign w:val="center"/>
          </w:tcPr>
          <w:p w14:paraId="0C08A939">
            <w:pPr>
              <w:shd w:val="clear"/>
              <w:spacing w:line="360" w:lineRule="auto"/>
              <w:jc w:val="center"/>
              <w:rPr>
                <w:rFonts w:hAnsi="宋体"/>
                <w:color w:val="auto"/>
                <w:sz w:val="21"/>
                <w:szCs w:val="21"/>
                <w:highlight w:val="none"/>
              </w:rPr>
            </w:pPr>
          </w:p>
        </w:tc>
        <w:tc>
          <w:tcPr>
            <w:tcW w:w="2113" w:type="dxa"/>
          </w:tcPr>
          <w:p w14:paraId="3F8018E2">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2079" w:type="dxa"/>
          </w:tcPr>
          <w:p w14:paraId="28F8D86F">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r>
      <w:tr w14:paraId="65974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0C58C16B">
            <w:pPr>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1266" w:type="dxa"/>
            <w:vAlign w:val="center"/>
          </w:tcPr>
          <w:p w14:paraId="18B23D73">
            <w:pPr>
              <w:shd w:val="clear"/>
              <w:spacing w:line="360" w:lineRule="auto"/>
              <w:jc w:val="center"/>
              <w:rPr>
                <w:rFonts w:hAnsi="宋体"/>
                <w:color w:val="auto"/>
                <w:sz w:val="21"/>
                <w:szCs w:val="21"/>
                <w:highlight w:val="none"/>
              </w:rPr>
            </w:pPr>
          </w:p>
        </w:tc>
        <w:tc>
          <w:tcPr>
            <w:tcW w:w="3371" w:type="dxa"/>
            <w:vAlign w:val="center"/>
          </w:tcPr>
          <w:p w14:paraId="18465D60">
            <w:pPr>
              <w:shd w:val="clear"/>
              <w:spacing w:line="360" w:lineRule="auto"/>
              <w:jc w:val="center"/>
              <w:rPr>
                <w:rFonts w:hAnsi="宋体"/>
                <w:color w:val="auto"/>
                <w:sz w:val="21"/>
                <w:szCs w:val="21"/>
                <w:highlight w:val="none"/>
              </w:rPr>
            </w:pPr>
          </w:p>
        </w:tc>
        <w:tc>
          <w:tcPr>
            <w:tcW w:w="2113" w:type="dxa"/>
          </w:tcPr>
          <w:p w14:paraId="1F8BC415">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2079" w:type="dxa"/>
          </w:tcPr>
          <w:p w14:paraId="4EBE87C4">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r>
      <w:tr w14:paraId="74A4F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557C7A71">
            <w:pPr>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1266" w:type="dxa"/>
            <w:vAlign w:val="center"/>
          </w:tcPr>
          <w:p w14:paraId="49FEBDD4">
            <w:pPr>
              <w:shd w:val="clear"/>
              <w:spacing w:line="360" w:lineRule="auto"/>
              <w:jc w:val="center"/>
              <w:rPr>
                <w:rFonts w:hAnsi="宋体"/>
                <w:color w:val="auto"/>
                <w:sz w:val="21"/>
                <w:szCs w:val="21"/>
                <w:highlight w:val="none"/>
              </w:rPr>
            </w:pPr>
          </w:p>
        </w:tc>
        <w:tc>
          <w:tcPr>
            <w:tcW w:w="3371" w:type="dxa"/>
            <w:vAlign w:val="center"/>
          </w:tcPr>
          <w:p w14:paraId="1C73C8B9">
            <w:pPr>
              <w:shd w:val="clear"/>
              <w:spacing w:line="360" w:lineRule="auto"/>
              <w:jc w:val="center"/>
              <w:rPr>
                <w:rFonts w:hAnsi="宋体"/>
                <w:color w:val="auto"/>
                <w:sz w:val="21"/>
                <w:szCs w:val="21"/>
                <w:highlight w:val="none"/>
              </w:rPr>
            </w:pPr>
          </w:p>
        </w:tc>
        <w:tc>
          <w:tcPr>
            <w:tcW w:w="2113" w:type="dxa"/>
          </w:tcPr>
          <w:p w14:paraId="2139E58C">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2079" w:type="dxa"/>
          </w:tcPr>
          <w:p w14:paraId="7206556D">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r>
      <w:tr w14:paraId="05207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6F2F1373">
            <w:pPr>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1266" w:type="dxa"/>
            <w:vAlign w:val="center"/>
          </w:tcPr>
          <w:p w14:paraId="1450F284">
            <w:pPr>
              <w:shd w:val="clear"/>
              <w:spacing w:line="360" w:lineRule="auto"/>
              <w:jc w:val="center"/>
              <w:rPr>
                <w:rFonts w:hAnsi="宋体"/>
                <w:color w:val="auto"/>
                <w:sz w:val="21"/>
                <w:szCs w:val="21"/>
                <w:highlight w:val="none"/>
              </w:rPr>
            </w:pPr>
          </w:p>
        </w:tc>
        <w:tc>
          <w:tcPr>
            <w:tcW w:w="3371" w:type="dxa"/>
            <w:vAlign w:val="center"/>
          </w:tcPr>
          <w:p w14:paraId="00AE8514">
            <w:pPr>
              <w:shd w:val="clear"/>
              <w:spacing w:line="360" w:lineRule="auto"/>
              <w:jc w:val="center"/>
              <w:rPr>
                <w:rFonts w:hAnsi="宋体"/>
                <w:color w:val="auto"/>
                <w:sz w:val="21"/>
                <w:szCs w:val="21"/>
                <w:highlight w:val="none"/>
              </w:rPr>
            </w:pPr>
          </w:p>
        </w:tc>
        <w:tc>
          <w:tcPr>
            <w:tcW w:w="2113" w:type="dxa"/>
          </w:tcPr>
          <w:p w14:paraId="4160A464">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2079" w:type="dxa"/>
          </w:tcPr>
          <w:p w14:paraId="4D378B7B">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r>
      <w:tr w14:paraId="38639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3B2DCE12">
            <w:pPr>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1266" w:type="dxa"/>
            <w:vAlign w:val="center"/>
          </w:tcPr>
          <w:p w14:paraId="0E251038">
            <w:pPr>
              <w:shd w:val="clear"/>
              <w:spacing w:line="360" w:lineRule="auto"/>
              <w:jc w:val="center"/>
              <w:rPr>
                <w:rFonts w:hAnsi="宋体"/>
                <w:color w:val="auto"/>
                <w:sz w:val="21"/>
                <w:szCs w:val="21"/>
                <w:highlight w:val="none"/>
              </w:rPr>
            </w:pPr>
          </w:p>
        </w:tc>
        <w:tc>
          <w:tcPr>
            <w:tcW w:w="3371" w:type="dxa"/>
            <w:vAlign w:val="center"/>
          </w:tcPr>
          <w:p w14:paraId="30638C20">
            <w:pPr>
              <w:shd w:val="clear"/>
              <w:spacing w:line="360" w:lineRule="auto"/>
              <w:jc w:val="center"/>
              <w:rPr>
                <w:rFonts w:hAnsi="宋体"/>
                <w:color w:val="auto"/>
                <w:sz w:val="21"/>
                <w:szCs w:val="21"/>
                <w:highlight w:val="none"/>
              </w:rPr>
            </w:pPr>
          </w:p>
        </w:tc>
        <w:tc>
          <w:tcPr>
            <w:tcW w:w="2113" w:type="dxa"/>
          </w:tcPr>
          <w:p w14:paraId="706A1FCD">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2079" w:type="dxa"/>
          </w:tcPr>
          <w:p w14:paraId="63FFAE7F">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r>
      <w:tr w14:paraId="4A593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863" w:type="dxa"/>
          </w:tcPr>
          <w:p w14:paraId="23DAD2AD">
            <w:pPr>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1266" w:type="dxa"/>
            <w:vAlign w:val="center"/>
          </w:tcPr>
          <w:p w14:paraId="16C5BD6B">
            <w:pPr>
              <w:shd w:val="clear"/>
              <w:spacing w:line="360" w:lineRule="auto"/>
              <w:jc w:val="center"/>
              <w:rPr>
                <w:rFonts w:hAnsi="宋体"/>
                <w:color w:val="auto"/>
                <w:sz w:val="21"/>
                <w:szCs w:val="21"/>
                <w:highlight w:val="none"/>
              </w:rPr>
            </w:pPr>
          </w:p>
        </w:tc>
        <w:tc>
          <w:tcPr>
            <w:tcW w:w="3371" w:type="dxa"/>
            <w:vAlign w:val="center"/>
          </w:tcPr>
          <w:p w14:paraId="3AB8D9AF">
            <w:pPr>
              <w:shd w:val="clear"/>
              <w:spacing w:line="360" w:lineRule="auto"/>
              <w:jc w:val="center"/>
              <w:rPr>
                <w:rFonts w:hAnsi="宋体"/>
                <w:color w:val="auto"/>
                <w:sz w:val="21"/>
                <w:szCs w:val="21"/>
                <w:highlight w:val="none"/>
              </w:rPr>
            </w:pPr>
          </w:p>
        </w:tc>
        <w:tc>
          <w:tcPr>
            <w:tcW w:w="2113" w:type="dxa"/>
          </w:tcPr>
          <w:p w14:paraId="760F45E2">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c>
          <w:tcPr>
            <w:tcW w:w="2079" w:type="dxa"/>
          </w:tcPr>
          <w:p w14:paraId="5CCD194E">
            <w:pPr>
              <w:keepNext/>
              <w:keepLines/>
              <w:shd w:val="clear"/>
              <w:autoSpaceDE/>
              <w:autoSpaceDN/>
              <w:adjustRightInd/>
              <w:spacing w:before="120" w:after="120" w:line="360" w:lineRule="auto"/>
              <w:ind w:left="-122" w:leftChars="-51"/>
              <w:jc w:val="center"/>
              <w:rPr>
                <w:rFonts w:hAnsi="宋体"/>
                <w:color w:val="auto"/>
                <w:kern w:val="2"/>
                <w:sz w:val="21"/>
                <w:szCs w:val="21"/>
                <w:highlight w:val="none"/>
              </w:rPr>
            </w:pPr>
          </w:p>
        </w:tc>
      </w:tr>
    </w:tbl>
    <w:p w14:paraId="1BB8DD23">
      <w:pPr>
        <w:shd w:val="clear"/>
        <w:autoSpaceDE/>
        <w:autoSpaceDN/>
        <w:adjustRightInd/>
        <w:spacing w:line="360" w:lineRule="auto"/>
        <w:ind w:left="0" w:leftChars="0" w:firstLine="422" w:firstLineChars="200"/>
        <w:jc w:val="both"/>
        <w:rPr>
          <w:rFonts w:hAnsi="宋体"/>
          <w:b/>
          <w:color w:val="auto"/>
          <w:kern w:val="2"/>
          <w:sz w:val="21"/>
          <w:szCs w:val="21"/>
          <w:highlight w:val="none"/>
        </w:rPr>
      </w:pPr>
      <w:r>
        <w:rPr>
          <w:rFonts w:hint="eastAsia" w:hAnsi="宋体"/>
          <w:b/>
          <w:bCs/>
          <w:color w:val="auto"/>
          <w:kern w:val="2"/>
          <w:sz w:val="21"/>
          <w:szCs w:val="21"/>
          <w:highlight w:val="none"/>
        </w:rPr>
        <w:t>注：1、</w:t>
      </w:r>
      <w:r>
        <w:rPr>
          <w:rFonts w:hint="eastAsia" w:hAnsi="宋体"/>
          <w:b/>
          <w:color w:val="auto"/>
          <w:kern w:val="2"/>
          <w:sz w:val="21"/>
          <w:szCs w:val="21"/>
          <w:highlight w:val="none"/>
        </w:rPr>
        <w:t>供应商应按照磋商文件用户需求要求，逐条、如实地填写“偏离情况”项</w:t>
      </w:r>
      <w:r>
        <w:rPr>
          <w:rFonts w:hint="eastAsia" w:hAnsi="宋体"/>
          <w:color w:val="auto"/>
          <w:kern w:val="2"/>
          <w:sz w:val="21"/>
          <w:szCs w:val="21"/>
          <w:highlight w:val="none"/>
        </w:rPr>
        <w:t>。</w:t>
      </w:r>
      <w:r>
        <w:rPr>
          <w:rFonts w:hint="eastAsia" w:hAnsi="宋体"/>
          <w:b/>
          <w:color w:val="auto"/>
          <w:kern w:val="2"/>
          <w:sz w:val="21"/>
          <w:szCs w:val="21"/>
          <w:highlight w:val="none"/>
        </w:rPr>
        <w:t>“偏离情况”项为正偏离（或负偏离）的，必须在“具体偏离内容”项内详细说明与磋商文件的偏离内容，“偏离情况”项为无偏离的，在“具体偏离内容”项内填“无”。若发现此表未逐条填写或虚假填写本表，按无效磋商响应文件处理。</w:t>
      </w:r>
    </w:p>
    <w:p w14:paraId="23986329">
      <w:pPr>
        <w:shd w:val="clear"/>
        <w:autoSpaceDE/>
        <w:autoSpaceDN/>
        <w:adjustRightInd/>
        <w:spacing w:line="360" w:lineRule="auto"/>
        <w:ind w:left="0" w:leftChars="0" w:firstLine="422" w:firstLineChars="200"/>
        <w:jc w:val="both"/>
        <w:rPr>
          <w:rFonts w:hAnsi="宋体"/>
          <w:i/>
          <w:iCs/>
          <w:color w:val="auto"/>
          <w:sz w:val="21"/>
          <w:szCs w:val="21"/>
          <w:highlight w:val="none"/>
        </w:rPr>
      </w:pPr>
      <w:r>
        <w:rPr>
          <w:rFonts w:hint="eastAsia" w:hAnsi="宋体"/>
          <w:b/>
          <w:color w:val="auto"/>
          <w:kern w:val="2"/>
          <w:sz w:val="21"/>
          <w:szCs w:val="21"/>
          <w:highlight w:val="none"/>
        </w:rPr>
        <w:t>2、由供应商自行补充磋商文件所有“★”号条款内容（如有），标注“★”号条款均为必须完全满足指标，供应商须进行实质性响应，供应商若有一项带“★”的条款未响应或不满足，将按无效磋商处理。</w:t>
      </w:r>
    </w:p>
    <w:p w14:paraId="743B7B64">
      <w:pPr>
        <w:shd w:val="clear"/>
        <w:overflowPunct w:val="0"/>
        <w:spacing w:line="360" w:lineRule="auto"/>
        <w:rPr>
          <w:rFonts w:hAnsi="宋体"/>
          <w:color w:val="auto"/>
          <w:sz w:val="21"/>
          <w:szCs w:val="21"/>
          <w:highlight w:val="none"/>
        </w:rPr>
      </w:pPr>
      <w:r>
        <w:rPr>
          <w:rFonts w:hint="eastAsia" w:hAnsi="宋体"/>
          <w:color w:val="auto"/>
          <w:sz w:val="21"/>
          <w:szCs w:val="21"/>
          <w:highlight w:val="none"/>
        </w:rPr>
        <w:t>供应商名称（加盖公章）：</w:t>
      </w:r>
    </w:p>
    <w:p w14:paraId="0684F07B">
      <w:pPr>
        <w:shd w:val="clear"/>
        <w:overflowPunct w:val="0"/>
        <w:spacing w:line="360" w:lineRule="auto"/>
        <w:rPr>
          <w:rFonts w:hAnsi="宋体"/>
          <w:color w:val="auto"/>
          <w:sz w:val="21"/>
          <w:szCs w:val="21"/>
          <w:highlight w:val="none"/>
        </w:rPr>
      </w:pPr>
      <w:r>
        <w:rPr>
          <w:rFonts w:hint="eastAsia" w:hAnsi="宋体"/>
          <w:color w:val="auto"/>
          <w:sz w:val="21"/>
          <w:szCs w:val="21"/>
          <w:highlight w:val="none"/>
        </w:rPr>
        <w:t>供应商法定代表人或受委托人（签名或盖私章）：</w:t>
      </w:r>
    </w:p>
    <w:p w14:paraId="1F1C3AE5">
      <w:pPr>
        <w:shd w:val="clear"/>
        <w:spacing w:line="360" w:lineRule="auto"/>
        <w:rPr>
          <w:rFonts w:hAnsi="宋体"/>
          <w:color w:val="auto"/>
          <w:sz w:val="22"/>
          <w:szCs w:val="22"/>
          <w:highlight w:val="none"/>
        </w:rPr>
      </w:pPr>
      <w:r>
        <w:rPr>
          <w:rFonts w:hint="eastAsia" w:hAnsi="宋体"/>
          <w:color w:val="auto"/>
          <w:sz w:val="21"/>
          <w:szCs w:val="21"/>
          <w:highlight w:val="none"/>
        </w:rPr>
        <w:t>日期：</w:t>
      </w:r>
      <w:r>
        <w:rPr>
          <w:rFonts w:hint="eastAsia" w:hAnsi="宋体"/>
          <w:color w:val="auto"/>
          <w:sz w:val="21"/>
          <w:szCs w:val="21"/>
          <w:highlight w:val="none"/>
          <w:lang w:val="en-US" w:eastAsia="zh-CN"/>
        </w:rPr>
        <w:t xml:space="preserve">     </w:t>
      </w:r>
      <w:r>
        <w:rPr>
          <w:rFonts w:hint="eastAsia" w:hAnsi="宋体"/>
          <w:color w:val="auto"/>
          <w:sz w:val="21"/>
          <w:szCs w:val="21"/>
          <w:highlight w:val="none"/>
        </w:rPr>
        <w:t>年</w:t>
      </w:r>
      <w:r>
        <w:rPr>
          <w:rFonts w:hint="eastAsia" w:hAnsi="宋体"/>
          <w:color w:val="auto"/>
          <w:sz w:val="21"/>
          <w:szCs w:val="21"/>
          <w:highlight w:val="none"/>
          <w:lang w:val="en-US" w:eastAsia="zh-CN"/>
        </w:rPr>
        <w:t xml:space="preserve">     </w:t>
      </w:r>
      <w:r>
        <w:rPr>
          <w:rFonts w:hint="eastAsia" w:hAnsi="宋体"/>
          <w:color w:val="auto"/>
          <w:sz w:val="21"/>
          <w:szCs w:val="21"/>
          <w:highlight w:val="none"/>
        </w:rPr>
        <w:t>月</w:t>
      </w:r>
      <w:r>
        <w:rPr>
          <w:rFonts w:hint="eastAsia" w:hAnsi="宋体"/>
          <w:color w:val="auto"/>
          <w:sz w:val="21"/>
          <w:szCs w:val="21"/>
          <w:highlight w:val="none"/>
          <w:lang w:val="en-US" w:eastAsia="zh-CN"/>
        </w:rPr>
        <w:t xml:space="preserve">     </w:t>
      </w:r>
      <w:r>
        <w:rPr>
          <w:rFonts w:hint="eastAsia" w:hAnsi="宋体"/>
          <w:color w:val="auto"/>
          <w:sz w:val="21"/>
          <w:szCs w:val="21"/>
          <w:highlight w:val="none"/>
        </w:rPr>
        <w:t>日</w:t>
      </w:r>
    </w:p>
    <w:p w14:paraId="76D12030">
      <w:pPr>
        <w:pStyle w:val="12"/>
        <w:shd w:val="clear"/>
        <w:ind w:firstLine="400"/>
        <w:rPr>
          <w:color w:val="auto"/>
          <w:highlight w:val="none"/>
        </w:rPr>
      </w:pPr>
    </w:p>
    <w:p w14:paraId="682FF719">
      <w:pPr>
        <w:rPr>
          <w:color w:val="auto"/>
          <w:sz w:val="28"/>
          <w:szCs w:val="28"/>
          <w:highlight w:val="none"/>
        </w:rPr>
      </w:pPr>
      <w:bookmarkStart w:id="240" w:name="_Toc1441"/>
      <w:bookmarkStart w:id="241" w:name="_Toc12735"/>
      <w:r>
        <w:rPr>
          <w:rFonts w:hint="eastAsia"/>
          <w:bCs/>
          <w:color w:val="auto"/>
          <w:sz w:val="28"/>
          <w:szCs w:val="28"/>
          <w:highlight w:val="none"/>
        </w:rPr>
        <w:br w:type="page"/>
      </w:r>
    </w:p>
    <w:p w14:paraId="140BADCC">
      <w:pPr>
        <w:pStyle w:val="3"/>
        <w:numPr>
          <w:ilvl w:val="0"/>
          <w:numId w:val="20"/>
        </w:numPr>
        <w:shd w:val="clear"/>
        <w:jc w:val="center"/>
        <w:rPr>
          <w:color w:val="auto"/>
          <w:sz w:val="28"/>
          <w:szCs w:val="28"/>
          <w:highlight w:val="none"/>
        </w:rPr>
      </w:pPr>
      <w:r>
        <w:rPr>
          <w:rFonts w:hint="eastAsia"/>
          <w:bCs/>
          <w:color w:val="auto"/>
          <w:sz w:val="28"/>
          <w:szCs w:val="28"/>
          <w:highlight w:val="none"/>
        </w:rPr>
        <w:t>供应商所获资质或奖项证书一览表</w:t>
      </w:r>
      <w:bookmarkEnd w:id="238"/>
      <w:bookmarkEnd w:id="239"/>
      <w:bookmarkEnd w:id="240"/>
      <w:bookmarkEnd w:id="241"/>
    </w:p>
    <w:p w14:paraId="75132F17">
      <w:pPr>
        <w:pStyle w:val="12"/>
        <w:shd w:val="clear"/>
        <w:tabs>
          <w:tab w:val="left" w:pos="8280"/>
        </w:tabs>
        <w:spacing w:line="480" w:lineRule="exact"/>
        <w:ind w:firstLine="482"/>
        <w:rPr>
          <w:rFonts w:hAnsi="宋体"/>
          <w:b/>
          <w:color w:val="auto"/>
          <w:sz w:val="24"/>
          <w:szCs w:val="21"/>
          <w:highlight w:val="none"/>
        </w:rPr>
      </w:pPr>
    </w:p>
    <w:tbl>
      <w:tblPr>
        <w:tblStyle w:val="5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0"/>
        <w:gridCol w:w="2528"/>
        <w:gridCol w:w="2528"/>
        <w:gridCol w:w="2122"/>
        <w:gridCol w:w="1743"/>
      </w:tblGrid>
      <w:tr w14:paraId="5BBBE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2" w:type="pct"/>
            <w:vAlign w:val="center"/>
          </w:tcPr>
          <w:p w14:paraId="7D240EDD">
            <w:pPr>
              <w:pStyle w:val="12"/>
              <w:shd w:val="clear"/>
              <w:spacing w:line="360" w:lineRule="auto"/>
              <w:ind w:firstLine="0" w:firstLineChars="0"/>
              <w:jc w:val="both"/>
              <w:rPr>
                <w:rFonts w:ascii="Times New Roman" w:hAnsi="宋体"/>
                <w:b/>
                <w:bCs/>
                <w:color w:val="auto"/>
                <w:sz w:val="21"/>
                <w:szCs w:val="21"/>
                <w:highlight w:val="none"/>
              </w:rPr>
            </w:pPr>
            <w:r>
              <w:rPr>
                <w:rFonts w:hint="eastAsia" w:ascii="Times New Roman" w:hAnsi="宋体"/>
                <w:b/>
                <w:bCs/>
                <w:color w:val="auto"/>
                <w:sz w:val="21"/>
                <w:szCs w:val="21"/>
                <w:highlight w:val="none"/>
              </w:rPr>
              <w:t>序号</w:t>
            </w:r>
          </w:p>
        </w:tc>
        <w:tc>
          <w:tcPr>
            <w:tcW w:w="1282" w:type="pct"/>
            <w:vAlign w:val="center"/>
          </w:tcPr>
          <w:p w14:paraId="5CE910FC">
            <w:pPr>
              <w:pStyle w:val="12"/>
              <w:shd w:val="clear"/>
              <w:spacing w:line="360" w:lineRule="auto"/>
              <w:ind w:firstLine="0" w:firstLineChars="0"/>
              <w:jc w:val="center"/>
              <w:rPr>
                <w:rFonts w:ascii="Times New Roman" w:hAnsi="宋体"/>
                <w:b/>
                <w:bCs/>
                <w:color w:val="auto"/>
                <w:sz w:val="21"/>
                <w:szCs w:val="21"/>
                <w:highlight w:val="none"/>
              </w:rPr>
            </w:pPr>
            <w:r>
              <w:rPr>
                <w:rFonts w:hint="eastAsia" w:ascii="Times New Roman" w:hAnsi="宋体"/>
                <w:b/>
                <w:bCs/>
                <w:color w:val="auto"/>
                <w:sz w:val="21"/>
                <w:szCs w:val="21"/>
                <w:highlight w:val="none"/>
              </w:rPr>
              <w:t>证书名称及等级</w:t>
            </w:r>
          </w:p>
        </w:tc>
        <w:tc>
          <w:tcPr>
            <w:tcW w:w="1282" w:type="pct"/>
            <w:vAlign w:val="center"/>
          </w:tcPr>
          <w:p w14:paraId="4D50D684">
            <w:pPr>
              <w:pStyle w:val="12"/>
              <w:shd w:val="clear"/>
              <w:spacing w:line="360" w:lineRule="auto"/>
              <w:ind w:firstLine="0" w:firstLineChars="0"/>
              <w:jc w:val="center"/>
              <w:rPr>
                <w:rFonts w:ascii="Times New Roman" w:hAnsi="宋体"/>
                <w:b/>
                <w:bCs/>
                <w:color w:val="auto"/>
                <w:sz w:val="21"/>
                <w:szCs w:val="21"/>
                <w:highlight w:val="none"/>
              </w:rPr>
            </w:pPr>
            <w:r>
              <w:rPr>
                <w:rFonts w:hint="eastAsia" w:ascii="Times New Roman" w:hAnsi="宋体"/>
                <w:b/>
                <w:bCs/>
                <w:color w:val="auto"/>
                <w:sz w:val="21"/>
                <w:szCs w:val="21"/>
                <w:highlight w:val="none"/>
              </w:rPr>
              <w:t>证书编号</w:t>
            </w:r>
          </w:p>
        </w:tc>
        <w:tc>
          <w:tcPr>
            <w:tcW w:w="1076" w:type="pct"/>
            <w:vAlign w:val="center"/>
          </w:tcPr>
          <w:p w14:paraId="11F33FDE">
            <w:pPr>
              <w:pStyle w:val="12"/>
              <w:shd w:val="clear"/>
              <w:spacing w:line="360" w:lineRule="auto"/>
              <w:ind w:firstLine="0" w:firstLineChars="0"/>
              <w:jc w:val="center"/>
              <w:rPr>
                <w:rFonts w:ascii="Times New Roman" w:hAnsi="宋体"/>
                <w:b/>
                <w:bCs/>
                <w:color w:val="auto"/>
                <w:sz w:val="21"/>
                <w:szCs w:val="21"/>
                <w:highlight w:val="none"/>
              </w:rPr>
            </w:pPr>
            <w:r>
              <w:rPr>
                <w:rFonts w:hint="eastAsia" w:ascii="Times New Roman" w:hAnsi="宋体"/>
                <w:b/>
                <w:bCs/>
                <w:color w:val="auto"/>
                <w:sz w:val="21"/>
                <w:szCs w:val="21"/>
                <w:highlight w:val="none"/>
              </w:rPr>
              <w:t>发证单位</w:t>
            </w:r>
          </w:p>
        </w:tc>
        <w:tc>
          <w:tcPr>
            <w:tcW w:w="884" w:type="pct"/>
            <w:vAlign w:val="center"/>
          </w:tcPr>
          <w:p w14:paraId="709C4907">
            <w:pPr>
              <w:pStyle w:val="12"/>
              <w:shd w:val="clear"/>
              <w:spacing w:line="360" w:lineRule="auto"/>
              <w:ind w:firstLine="0" w:firstLineChars="0"/>
              <w:jc w:val="center"/>
              <w:rPr>
                <w:rFonts w:ascii="Times New Roman" w:hAnsi="宋体"/>
                <w:b/>
                <w:bCs/>
                <w:color w:val="auto"/>
                <w:sz w:val="21"/>
                <w:szCs w:val="21"/>
                <w:highlight w:val="none"/>
              </w:rPr>
            </w:pPr>
            <w:r>
              <w:rPr>
                <w:rFonts w:hint="eastAsia" w:ascii="Times New Roman" w:hAnsi="宋体"/>
                <w:b/>
                <w:bCs/>
                <w:color w:val="auto"/>
                <w:sz w:val="21"/>
                <w:szCs w:val="21"/>
                <w:highlight w:val="none"/>
              </w:rPr>
              <w:t>证书有效期</w:t>
            </w:r>
          </w:p>
        </w:tc>
      </w:tr>
      <w:tr w14:paraId="367BE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2" w:type="pct"/>
            <w:vAlign w:val="center"/>
          </w:tcPr>
          <w:p w14:paraId="17744345">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68089E87">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70EC093F">
            <w:pPr>
              <w:pStyle w:val="12"/>
              <w:shd w:val="clear"/>
              <w:spacing w:line="360" w:lineRule="auto"/>
              <w:ind w:firstLine="0" w:firstLineChars="0"/>
              <w:jc w:val="center"/>
              <w:rPr>
                <w:rFonts w:ascii="Times New Roman" w:hAnsi="宋体"/>
                <w:b/>
                <w:bCs/>
                <w:color w:val="auto"/>
                <w:sz w:val="21"/>
                <w:szCs w:val="21"/>
                <w:highlight w:val="none"/>
              </w:rPr>
            </w:pPr>
          </w:p>
        </w:tc>
        <w:tc>
          <w:tcPr>
            <w:tcW w:w="1076" w:type="pct"/>
            <w:vAlign w:val="center"/>
          </w:tcPr>
          <w:p w14:paraId="052E4659">
            <w:pPr>
              <w:pStyle w:val="12"/>
              <w:shd w:val="clear"/>
              <w:spacing w:line="360" w:lineRule="auto"/>
              <w:ind w:firstLine="0" w:firstLineChars="0"/>
              <w:jc w:val="center"/>
              <w:rPr>
                <w:rFonts w:ascii="Times New Roman" w:hAnsi="宋体"/>
                <w:b/>
                <w:bCs/>
                <w:color w:val="auto"/>
                <w:sz w:val="21"/>
                <w:szCs w:val="21"/>
                <w:highlight w:val="none"/>
              </w:rPr>
            </w:pPr>
          </w:p>
        </w:tc>
        <w:tc>
          <w:tcPr>
            <w:tcW w:w="884" w:type="pct"/>
            <w:vAlign w:val="center"/>
          </w:tcPr>
          <w:p w14:paraId="37B76FB8">
            <w:pPr>
              <w:pStyle w:val="12"/>
              <w:shd w:val="clear"/>
              <w:spacing w:line="360" w:lineRule="auto"/>
              <w:ind w:firstLine="0" w:firstLineChars="0"/>
              <w:jc w:val="center"/>
              <w:rPr>
                <w:rFonts w:ascii="Times New Roman" w:hAnsi="宋体"/>
                <w:b/>
                <w:bCs/>
                <w:color w:val="auto"/>
                <w:sz w:val="21"/>
                <w:szCs w:val="21"/>
                <w:highlight w:val="none"/>
              </w:rPr>
            </w:pPr>
          </w:p>
        </w:tc>
      </w:tr>
      <w:tr w14:paraId="15E9F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2" w:type="pct"/>
            <w:vAlign w:val="center"/>
          </w:tcPr>
          <w:p w14:paraId="6089E451">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6D9BEB2B">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305D3EAC">
            <w:pPr>
              <w:pStyle w:val="12"/>
              <w:shd w:val="clear"/>
              <w:spacing w:line="360" w:lineRule="auto"/>
              <w:ind w:firstLine="0" w:firstLineChars="0"/>
              <w:jc w:val="center"/>
              <w:rPr>
                <w:rFonts w:ascii="Times New Roman" w:hAnsi="宋体"/>
                <w:b/>
                <w:bCs/>
                <w:color w:val="auto"/>
                <w:sz w:val="21"/>
                <w:szCs w:val="21"/>
                <w:highlight w:val="none"/>
              </w:rPr>
            </w:pPr>
          </w:p>
        </w:tc>
        <w:tc>
          <w:tcPr>
            <w:tcW w:w="1076" w:type="pct"/>
            <w:vAlign w:val="center"/>
          </w:tcPr>
          <w:p w14:paraId="6A639A0F">
            <w:pPr>
              <w:pStyle w:val="12"/>
              <w:shd w:val="clear"/>
              <w:spacing w:line="360" w:lineRule="auto"/>
              <w:ind w:firstLine="0" w:firstLineChars="0"/>
              <w:jc w:val="center"/>
              <w:rPr>
                <w:rFonts w:ascii="Times New Roman" w:hAnsi="宋体"/>
                <w:b/>
                <w:bCs/>
                <w:color w:val="auto"/>
                <w:sz w:val="21"/>
                <w:szCs w:val="21"/>
                <w:highlight w:val="none"/>
              </w:rPr>
            </w:pPr>
          </w:p>
        </w:tc>
        <w:tc>
          <w:tcPr>
            <w:tcW w:w="884" w:type="pct"/>
            <w:vAlign w:val="center"/>
          </w:tcPr>
          <w:p w14:paraId="7D5EBC83">
            <w:pPr>
              <w:pStyle w:val="12"/>
              <w:shd w:val="clear"/>
              <w:spacing w:line="360" w:lineRule="auto"/>
              <w:ind w:firstLine="0" w:firstLineChars="0"/>
              <w:jc w:val="center"/>
              <w:rPr>
                <w:rFonts w:ascii="Times New Roman" w:hAnsi="宋体"/>
                <w:b/>
                <w:bCs/>
                <w:color w:val="auto"/>
                <w:sz w:val="21"/>
                <w:szCs w:val="21"/>
                <w:highlight w:val="none"/>
              </w:rPr>
            </w:pPr>
          </w:p>
        </w:tc>
      </w:tr>
      <w:tr w14:paraId="7C934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2" w:type="pct"/>
            <w:vAlign w:val="center"/>
          </w:tcPr>
          <w:p w14:paraId="5DB8FB14">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1092EA26">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31E0B1A1">
            <w:pPr>
              <w:pStyle w:val="12"/>
              <w:shd w:val="clear"/>
              <w:spacing w:line="360" w:lineRule="auto"/>
              <w:ind w:firstLine="0" w:firstLineChars="0"/>
              <w:jc w:val="center"/>
              <w:rPr>
                <w:rFonts w:ascii="Times New Roman" w:hAnsi="宋体"/>
                <w:b/>
                <w:bCs/>
                <w:color w:val="auto"/>
                <w:sz w:val="21"/>
                <w:szCs w:val="21"/>
                <w:highlight w:val="none"/>
              </w:rPr>
            </w:pPr>
          </w:p>
        </w:tc>
        <w:tc>
          <w:tcPr>
            <w:tcW w:w="1076" w:type="pct"/>
            <w:vAlign w:val="center"/>
          </w:tcPr>
          <w:p w14:paraId="50E7B841">
            <w:pPr>
              <w:pStyle w:val="12"/>
              <w:shd w:val="clear"/>
              <w:spacing w:line="360" w:lineRule="auto"/>
              <w:ind w:firstLine="0" w:firstLineChars="0"/>
              <w:jc w:val="center"/>
              <w:rPr>
                <w:rFonts w:ascii="Times New Roman" w:hAnsi="宋体"/>
                <w:b/>
                <w:bCs/>
                <w:color w:val="auto"/>
                <w:sz w:val="21"/>
                <w:szCs w:val="21"/>
                <w:highlight w:val="none"/>
              </w:rPr>
            </w:pPr>
          </w:p>
        </w:tc>
        <w:tc>
          <w:tcPr>
            <w:tcW w:w="884" w:type="pct"/>
            <w:vAlign w:val="center"/>
          </w:tcPr>
          <w:p w14:paraId="422577B1">
            <w:pPr>
              <w:pStyle w:val="12"/>
              <w:shd w:val="clear"/>
              <w:spacing w:line="360" w:lineRule="auto"/>
              <w:ind w:firstLine="0" w:firstLineChars="0"/>
              <w:jc w:val="center"/>
              <w:rPr>
                <w:rFonts w:ascii="Times New Roman" w:hAnsi="宋体"/>
                <w:b/>
                <w:bCs/>
                <w:color w:val="auto"/>
                <w:sz w:val="21"/>
                <w:szCs w:val="21"/>
                <w:highlight w:val="none"/>
              </w:rPr>
            </w:pPr>
          </w:p>
        </w:tc>
      </w:tr>
      <w:tr w14:paraId="3B839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2" w:type="pct"/>
            <w:vAlign w:val="center"/>
          </w:tcPr>
          <w:p w14:paraId="0559C4A3">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3ABD9A05">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7C65532F">
            <w:pPr>
              <w:pStyle w:val="12"/>
              <w:shd w:val="clear"/>
              <w:spacing w:line="360" w:lineRule="auto"/>
              <w:ind w:firstLine="0" w:firstLineChars="0"/>
              <w:jc w:val="center"/>
              <w:rPr>
                <w:rFonts w:ascii="Times New Roman" w:hAnsi="宋体"/>
                <w:b/>
                <w:bCs/>
                <w:color w:val="auto"/>
                <w:sz w:val="21"/>
                <w:szCs w:val="21"/>
                <w:highlight w:val="none"/>
              </w:rPr>
            </w:pPr>
          </w:p>
        </w:tc>
        <w:tc>
          <w:tcPr>
            <w:tcW w:w="1076" w:type="pct"/>
            <w:vAlign w:val="center"/>
          </w:tcPr>
          <w:p w14:paraId="3C79B7EB">
            <w:pPr>
              <w:pStyle w:val="12"/>
              <w:shd w:val="clear"/>
              <w:spacing w:line="360" w:lineRule="auto"/>
              <w:ind w:firstLine="0" w:firstLineChars="0"/>
              <w:jc w:val="center"/>
              <w:rPr>
                <w:rFonts w:ascii="Times New Roman" w:hAnsi="宋体"/>
                <w:b/>
                <w:bCs/>
                <w:color w:val="auto"/>
                <w:sz w:val="21"/>
                <w:szCs w:val="21"/>
                <w:highlight w:val="none"/>
              </w:rPr>
            </w:pPr>
          </w:p>
        </w:tc>
        <w:tc>
          <w:tcPr>
            <w:tcW w:w="884" w:type="pct"/>
            <w:vAlign w:val="center"/>
          </w:tcPr>
          <w:p w14:paraId="5DF20962">
            <w:pPr>
              <w:pStyle w:val="12"/>
              <w:shd w:val="clear"/>
              <w:spacing w:line="360" w:lineRule="auto"/>
              <w:ind w:firstLine="0" w:firstLineChars="0"/>
              <w:jc w:val="center"/>
              <w:rPr>
                <w:rFonts w:ascii="Times New Roman" w:hAnsi="宋体"/>
                <w:b/>
                <w:bCs/>
                <w:color w:val="auto"/>
                <w:sz w:val="21"/>
                <w:szCs w:val="21"/>
                <w:highlight w:val="none"/>
              </w:rPr>
            </w:pPr>
          </w:p>
        </w:tc>
      </w:tr>
      <w:tr w14:paraId="3D7F7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2" w:type="pct"/>
            <w:vAlign w:val="center"/>
          </w:tcPr>
          <w:p w14:paraId="50C136C6">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78CD61CB">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6AA821FE">
            <w:pPr>
              <w:pStyle w:val="12"/>
              <w:shd w:val="clear"/>
              <w:spacing w:line="360" w:lineRule="auto"/>
              <w:ind w:firstLine="0" w:firstLineChars="0"/>
              <w:jc w:val="center"/>
              <w:rPr>
                <w:rFonts w:ascii="Times New Roman" w:hAnsi="宋体"/>
                <w:b/>
                <w:bCs/>
                <w:color w:val="auto"/>
                <w:sz w:val="21"/>
                <w:szCs w:val="21"/>
                <w:highlight w:val="none"/>
              </w:rPr>
            </w:pPr>
          </w:p>
        </w:tc>
        <w:tc>
          <w:tcPr>
            <w:tcW w:w="1076" w:type="pct"/>
            <w:vAlign w:val="center"/>
          </w:tcPr>
          <w:p w14:paraId="24B6448B">
            <w:pPr>
              <w:pStyle w:val="12"/>
              <w:shd w:val="clear"/>
              <w:spacing w:line="360" w:lineRule="auto"/>
              <w:ind w:firstLine="0" w:firstLineChars="0"/>
              <w:jc w:val="center"/>
              <w:rPr>
                <w:rFonts w:ascii="Times New Roman" w:hAnsi="宋体"/>
                <w:b/>
                <w:bCs/>
                <w:color w:val="auto"/>
                <w:sz w:val="21"/>
                <w:szCs w:val="21"/>
                <w:highlight w:val="none"/>
              </w:rPr>
            </w:pPr>
          </w:p>
        </w:tc>
        <w:tc>
          <w:tcPr>
            <w:tcW w:w="884" w:type="pct"/>
            <w:vAlign w:val="center"/>
          </w:tcPr>
          <w:p w14:paraId="506E8F6F">
            <w:pPr>
              <w:pStyle w:val="12"/>
              <w:shd w:val="clear"/>
              <w:spacing w:line="360" w:lineRule="auto"/>
              <w:ind w:firstLine="0" w:firstLineChars="0"/>
              <w:jc w:val="center"/>
              <w:rPr>
                <w:rFonts w:ascii="Times New Roman" w:hAnsi="宋体"/>
                <w:b/>
                <w:bCs/>
                <w:color w:val="auto"/>
                <w:sz w:val="21"/>
                <w:szCs w:val="21"/>
                <w:highlight w:val="none"/>
              </w:rPr>
            </w:pPr>
          </w:p>
        </w:tc>
      </w:tr>
      <w:tr w14:paraId="11B70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2" w:type="pct"/>
            <w:vAlign w:val="center"/>
          </w:tcPr>
          <w:p w14:paraId="516CB2CD">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79E3B437">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5111C575">
            <w:pPr>
              <w:pStyle w:val="12"/>
              <w:shd w:val="clear"/>
              <w:spacing w:line="360" w:lineRule="auto"/>
              <w:ind w:firstLine="0" w:firstLineChars="0"/>
              <w:jc w:val="center"/>
              <w:rPr>
                <w:rFonts w:ascii="Times New Roman" w:hAnsi="宋体"/>
                <w:b/>
                <w:bCs/>
                <w:color w:val="auto"/>
                <w:sz w:val="21"/>
                <w:szCs w:val="21"/>
                <w:highlight w:val="none"/>
              </w:rPr>
            </w:pPr>
          </w:p>
        </w:tc>
        <w:tc>
          <w:tcPr>
            <w:tcW w:w="1076" w:type="pct"/>
            <w:vAlign w:val="center"/>
          </w:tcPr>
          <w:p w14:paraId="5D2F5E5B">
            <w:pPr>
              <w:pStyle w:val="12"/>
              <w:shd w:val="clear"/>
              <w:spacing w:line="360" w:lineRule="auto"/>
              <w:ind w:firstLine="0" w:firstLineChars="0"/>
              <w:jc w:val="center"/>
              <w:rPr>
                <w:rFonts w:ascii="Times New Roman" w:hAnsi="宋体"/>
                <w:b/>
                <w:bCs/>
                <w:color w:val="auto"/>
                <w:sz w:val="21"/>
                <w:szCs w:val="21"/>
                <w:highlight w:val="none"/>
              </w:rPr>
            </w:pPr>
          </w:p>
        </w:tc>
        <w:tc>
          <w:tcPr>
            <w:tcW w:w="884" w:type="pct"/>
            <w:vAlign w:val="center"/>
          </w:tcPr>
          <w:p w14:paraId="5DC0F6E6">
            <w:pPr>
              <w:pStyle w:val="12"/>
              <w:shd w:val="clear"/>
              <w:spacing w:line="360" w:lineRule="auto"/>
              <w:ind w:firstLine="0" w:firstLineChars="0"/>
              <w:jc w:val="center"/>
              <w:rPr>
                <w:rFonts w:ascii="Times New Roman" w:hAnsi="宋体"/>
                <w:b/>
                <w:bCs/>
                <w:color w:val="auto"/>
                <w:sz w:val="21"/>
                <w:szCs w:val="21"/>
                <w:highlight w:val="none"/>
              </w:rPr>
            </w:pPr>
          </w:p>
        </w:tc>
      </w:tr>
      <w:tr w14:paraId="5FAB6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2" w:type="pct"/>
            <w:vAlign w:val="center"/>
          </w:tcPr>
          <w:p w14:paraId="1E29D1AB">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7CA56AF1">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344D9221">
            <w:pPr>
              <w:pStyle w:val="12"/>
              <w:shd w:val="clear"/>
              <w:spacing w:line="360" w:lineRule="auto"/>
              <w:ind w:firstLine="0" w:firstLineChars="0"/>
              <w:jc w:val="center"/>
              <w:rPr>
                <w:rFonts w:ascii="Times New Roman" w:hAnsi="宋体"/>
                <w:b/>
                <w:bCs/>
                <w:color w:val="auto"/>
                <w:sz w:val="21"/>
                <w:szCs w:val="21"/>
                <w:highlight w:val="none"/>
              </w:rPr>
            </w:pPr>
          </w:p>
        </w:tc>
        <w:tc>
          <w:tcPr>
            <w:tcW w:w="1076" w:type="pct"/>
            <w:vAlign w:val="center"/>
          </w:tcPr>
          <w:p w14:paraId="74E5CA46">
            <w:pPr>
              <w:pStyle w:val="12"/>
              <w:shd w:val="clear"/>
              <w:spacing w:line="360" w:lineRule="auto"/>
              <w:ind w:firstLine="0" w:firstLineChars="0"/>
              <w:jc w:val="center"/>
              <w:rPr>
                <w:rFonts w:ascii="Times New Roman" w:hAnsi="宋体"/>
                <w:b/>
                <w:bCs/>
                <w:color w:val="auto"/>
                <w:sz w:val="21"/>
                <w:szCs w:val="21"/>
                <w:highlight w:val="none"/>
              </w:rPr>
            </w:pPr>
          </w:p>
        </w:tc>
        <w:tc>
          <w:tcPr>
            <w:tcW w:w="884" w:type="pct"/>
            <w:vAlign w:val="center"/>
          </w:tcPr>
          <w:p w14:paraId="72331D50">
            <w:pPr>
              <w:pStyle w:val="12"/>
              <w:shd w:val="clear"/>
              <w:spacing w:line="360" w:lineRule="auto"/>
              <w:ind w:firstLine="0" w:firstLineChars="0"/>
              <w:jc w:val="center"/>
              <w:rPr>
                <w:rFonts w:ascii="Times New Roman" w:hAnsi="宋体"/>
                <w:b/>
                <w:bCs/>
                <w:color w:val="auto"/>
                <w:sz w:val="21"/>
                <w:szCs w:val="21"/>
                <w:highlight w:val="none"/>
              </w:rPr>
            </w:pPr>
          </w:p>
        </w:tc>
      </w:tr>
      <w:tr w14:paraId="66F94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2" w:type="pct"/>
            <w:vAlign w:val="center"/>
          </w:tcPr>
          <w:p w14:paraId="342CDBD5">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3C7A8ABB">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60C6B97E">
            <w:pPr>
              <w:pStyle w:val="12"/>
              <w:shd w:val="clear"/>
              <w:spacing w:line="360" w:lineRule="auto"/>
              <w:ind w:firstLine="0" w:firstLineChars="0"/>
              <w:jc w:val="center"/>
              <w:rPr>
                <w:rFonts w:ascii="Times New Roman" w:hAnsi="宋体"/>
                <w:b/>
                <w:bCs/>
                <w:color w:val="auto"/>
                <w:sz w:val="21"/>
                <w:szCs w:val="21"/>
                <w:highlight w:val="none"/>
              </w:rPr>
            </w:pPr>
          </w:p>
        </w:tc>
        <w:tc>
          <w:tcPr>
            <w:tcW w:w="1076" w:type="pct"/>
            <w:vAlign w:val="center"/>
          </w:tcPr>
          <w:p w14:paraId="1BC887C0">
            <w:pPr>
              <w:pStyle w:val="12"/>
              <w:shd w:val="clear"/>
              <w:spacing w:line="360" w:lineRule="auto"/>
              <w:ind w:firstLine="0" w:firstLineChars="0"/>
              <w:jc w:val="center"/>
              <w:rPr>
                <w:rFonts w:ascii="Times New Roman" w:hAnsi="宋体"/>
                <w:b/>
                <w:bCs/>
                <w:color w:val="auto"/>
                <w:sz w:val="21"/>
                <w:szCs w:val="21"/>
                <w:highlight w:val="none"/>
              </w:rPr>
            </w:pPr>
          </w:p>
        </w:tc>
        <w:tc>
          <w:tcPr>
            <w:tcW w:w="884" w:type="pct"/>
            <w:vAlign w:val="center"/>
          </w:tcPr>
          <w:p w14:paraId="4DFFBAB9">
            <w:pPr>
              <w:pStyle w:val="12"/>
              <w:shd w:val="clear"/>
              <w:spacing w:line="360" w:lineRule="auto"/>
              <w:ind w:firstLine="0" w:firstLineChars="0"/>
              <w:jc w:val="center"/>
              <w:rPr>
                <w:rFonts w:ascii="Times New Roman" w:hAnsi="宋体"/>
                <w:b/>
                <w:bCs/>
                <w:color w:val="auto"/>
                <w:sz w:val="21"/>
                <w:szCs w:val="21"/>
                <w:highlight w:val="none"/>
              </w:rPr>
            </w:pPr>
          </w:p>
        </w:tc>
      </w:tr>
      <w:tr w14:paraId="2F1C2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2" w:type="pct"/>
            <w:vAlign w:val="center"/>
          </w:tcPr>
          <w:p w14:paraId="2BA446A4">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45BDAD49">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5199B735">
            <w:pPr>
              <w:pStyle w:val="12"/>
              <w:shd w:val="clear"/>
              <w:spacing w:line="360" w:lineRule="auto"/>
              <w:ind w:firstLine="0" w:firstLineChars="0"/>
              <w:jc w:val="center"/>
              <w:rPr>
                <w:rFonts w:ascii="Times New Roman" w:hAnsi="宋体"/>
                <w:b/>
                <w:bCs/>
                <w:color w:val="auto"/>
                <w:sz w:val="21"/>
                <w:szCs w:val="21"/>
                <w:highlight w:val="none"/>
              </w:rPr>
            </w:pPr>
          </w:p>
        </w:tc>
        <w:tc>
          <w:tcPr>
            <w:tcW w:w="1076" w:type="pct"/>
            <w:vAlign w:val="center"/>
          </w:tcPr>
          <w:p w14:paraId="7A764132">
            <w:pPr>
              <w:pStyle w:val="12"/>
              <w:shd w:val="clear"/>
              <w:spacing w:line="360" w:lineRule="auto"/>
              <w:ind w:firstLine="0" w:firstLineChars="0"/>
              <w:jc w:val="center"/>
              <w:rPr>
                <w:rFonts w:ascii="Times New Roman" w:hAnsi="宋体"/>
                <w:b/>
                <w:bCs/>
                <w:color w:val="auto"/>
                <w:sz w:val="21"/>
                <w:szCs w:val="21"/>
                <w:highlight w:val="none"/>
              </w:rPr>
            </w:pPr>
          </w:p>
        </w:tc>
        <w:tc>
          <w:tcPr>
            <w:tcW w:w="884" w:type="pct"/>
            <w:vAlign w:val="center"/>
          </w:tcPr>
          <w:p w14:paraId="6486A490">
            <w:pPr>
              <w:pStyle w:val="12"/>
              <w:shd w:val="clear"/>
              <w:spacing w:line="360" w:lineRule="auto"/>
              <w:ind w:firstLine="0" w:firstLineChars="0"/>
              <w:jc w:val="center"/>
              <w:rPr>
                <w:rFonts w:ascii="Times New Roman" w:hAnsi="宋体"/>
                <w:b/>
                <w:bCs/>
                <w:color w:val="auto"/>
                <w:sz w:val="21"/>
                <w:szCs w:val="21"/>
                <w:highlight w:val="none"/>
              </w:rPr>
            </w:pPr>
          </w:p>
        </w:tc>
      </w:tr>
      <w:tr w14:paraId="507C7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2" w:type="pct"/>
            <w:vAlign w:val="center"/>
          </w:tcPr>
          <w:p w14:paraId="3D57B90C">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75B0CBCE">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24F66508">
            <w:pPr>
              <w:pStyle w:val="12"/>
              <w:shd w:val="clear"/>
              <w:spacing w:line="360" w:lineRule="auto"/>
              <w:ind w:firstLine="0" w:firstLineChars="0"/>
              <w:jc w:val="center"/>
              <w:rPr>
                <w:rFonts w:ascii="Times New Roman" w:hAnsi="宋体"/>
                <w:b/>
                <w:bCs/>
                <w:color w:val="auto"/>
                <w:sz w:val="21"/>
                <w:szCs w:val="21"/>
                <w:highlight w:val="none"/>
              </w:rPr>
            </w:pPr>
          </w:p>
        </w:tc>
        <w:tc>
          <w:tcPr>
            <w:tcW w:w="1076" w:type="pct"/>
            <w:vAlign w:val="center"/>
          </w:tcPr>
          <w:p w14:paraId="2BB6AF15">
            <w:pPr>
              <w:pStyle w:val="12"/>
              <w:shd w:val="clear"/>
              <w:spacing w:line="360" w:lineRule="auto"/>
              <w:ind w:firstLine="0" w:firstLineChars="0"/>
              <w:jc w:val="center"/>
              <w:rPr>
                <w:rFonts w:ascii="Times New Roman" w:hAnsi="宋体"/>
                <w:b/>
                <w:bCs/>
                <w:color w:val="auto"/>
                <w:sz w:val="21"/>
                <w:szCs w:val="21"/>
                <w:highlight w:val="none"/>
              </w:rPr>
            </w:pPr>
          </w:p>
        </w:tc>
        <w:tc>
          <w:tcPr>
            <w:tcW w:w="884" w:type="pct"/>
            <w:vAlign w:val="center"/>
          </w:tcPr>
          <w:p w14:paraId="43CA47EB">
            <w:pPr>
              <w:pStyle w:val="12"/>
              <w:shd w:val="clear"/>
              <w:spacing w:line="360" w:lineRule="auto"/>
              <w:ind w:firstLine="0" w:firstLineChars="0"/>
              <w:jc w:val="center"/>
              <w:rPr>
                <w:rFonts w:ascii="Times New Roman" w:hAnsi="宋体"/>
                <w:b/>
                <w:bCs/>
                <w:color w:val="auto"/>
                <w:sz w:val="21"/>
                <w:szCs w:val="21"/>
                <w:highlight w:val="none"/>
              </w:rPr>
            </w:pPr>
          </w:p>
        </w:tc>
      </w:tr>
      <w:tr w14:paraId="67034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2" w:type="pct"/>
            <w:vAlign w:val="center"/>
          </w:tcPr>
          <w:p w14:paraId="2813AE7F">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45F12AA1">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3E9CCDA6">
            <w:pPr>
              <w:pStyle w:val="12"/>
              <w:shd w:val="clear"/>
              <w:spacing w:line="360" w:lineRule="auto"/>
              <w:ind w:firstLine="0" w:firstLineChars="0"/>
              <w:jc w:val="center"/>
              <w:rPr>
                <w:rFonts w:ascii="Times New Roman" w:hAnsi="宋体"/>
                <w:b/>
                <w:bCs/>
                <w:color w:val="auto"/>
                <w:sz w:val="21"/>
                <w:szCs w:val="21"/>
                <w:highlight w:val="none"/>
              </w:rPr>
            </w:pPr>
          </w:p>
        </w:tc>
        <w:tc>
          <w:tcPr>
            <w:tcW w:w="1076" w:type="pct"/>
            <w:vAlign w:val="center"/>
          </w:tcPr>
          <w:p w14:paraId="08356647">
            <w:pPr>
              <w:pStyle w:val="12"/>
              <w:shd w:val="clear"/>
              <w:spacing w:line="360" w:lineRule="auto"/>
              <w:ind w:firstLine="0" w:firstLineChars="0"/>
              <w:jc w:val="center"/>
              <w:rPr>
                <w:rFonts w:ascii="Times New Roman" w:hAnsi="宋体"/>
                <w:b/>
                <w:bCs/>
                <w:color w:val="auto"/>
                <w:sz w:val="21"/>
                <w:szCs w:val="21"/>
                <w:highlight w:val="none"/>
              </w:rPr>
            </w:pPr>
          </w:p>
        </w:tc>
        <w:tc>
          <w:tcPr>
            <w:tcW w:w="884" w:type="pct"/>
            <w:vAlign w:val="center"/>
          </w:tcPr>
          <w:p w14:paraId="6D0D4AD2">
            <w:pPr>
              <w:pStyle w:val="12"/>
              <w:shd w:val="clear"/>
              <w:spacing w:line="360" w:lineRule="auto"/>
              <w:ind w:firstLine="0" w:firstLineChars="0"/>
              <w:jc w:val="center"/>
              <w:rPr>
                <w:rFonts w:ascii="Times New Roman" w:hAnsi="宋体"/>
                <w:b/>
                <w:bCs/>
                <w:color w:val="auto"/>
                <w:sz w:val="21"/>
                <w:szCs w:val="21"/>
                <w:highlight w:val="none"/>
              </w:rPr>
            </w:pPr>
          </w:p>
        </w:tc>
      </w:tr>
      <w:tr w14:paraId="70D56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72" w:type="pct"/>
            <w:vAlign w:val="center"/>
          </w:tcPr>
          <w:p w14:paraId="1B983B1C">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2FA67303">
            <w:pPr>
              <w:pStyle w:val="12"/>
              <w:shd w:val="clear"/>
              <w:spacing w:line="360" w:lineRule="auto"/>
              <w:ind w:firstLine="0" w:firstLineChars="0"/>
              <w:jc w:val="center"/>
              <w:rPr>
                <w:rFonts w:ascii="Times New Roman" w:hAnsi="宋体"/>
                <w:b/>
                <w:bCs/>
                <w:color w:val="auto"/>
                <w:sz w:val="21"/>
                <w:szCs w:val="21"/>
                <w:highlight w:val="none"/>
              </w:rPr>
            </w:pPr>
          </w:p>
        </w:tc>
        <w:tc>
          <w:tcPr>
            <w:tcW w:w="1282" w:type="pct"/>
            <w:vAlign w:val="center"/>
          </w:tcPr>
          <w:p w14:paraId="05D676B1">
            <w:pPr>
              <w:pStyle w:val="12"/>
              <w:shd w:val="clear"/>
              <w:spacing w:line="360" w:lineRule="auto"/>
              <w:ind w:firstLine="0" w:firstLineChars="0"/>
              <w:jc w:val="center"/>
              <w:rPr>
                <w:rFonts w:ascii="Times New Roman" w:hAnsi="宋体"/>
                <w:b/>
                <w:bCs/>
                <w:color w:val="auto"/>
                <w:sz w:val="21"/>
                <w:szCs w:val="21"/>
                <w:highlight w:val="none"/>
              </w:rPr>
            </w:pPr>
          </w:p>
        </w:tc>
        <w:tc>
          <w:tcPr>
            <w:tcW w:w="1076" w:type="pct"/>
            <w:vAlign w:val="center"/>
          </w:tcPr>
          <w:p w14:paraId="53AAFD7D">
            <w:pPr>
              <w:pStyle w:val="12"/>
              <w:shd w:val="clear"/>
              <w:spacing w:line="360" w:lineRule="auto"/>
              <w:ind w:firstLine="0" w:firstLineChars="0"/>
              <w:jc w:val="center"/>
              <w:rPr>
                <w:rFonts w:ascii="Times New Roman" w:hAnsi="宋体"/>
                <w:b/>
                <w:bCs/>
                <w:color w:val="auto"/>
                <w:sz w:val="21"/>
                <w:szCs w:val="21"/>
                <w:highlight w:val="none"/>
              </w:rPr>
            </w:pPr>
          </w:p>
        </w:tc>
        <w:tc>
          <w:tcPr>
            <w:tcW w:w="884" w:type="pct"/>
            <w:vAlign w:val="center"/>
          </w:tcPr>
          <w:p w14:paraId="0C64606D">
            <w:pPr>
              <w:pStyle w:val="12"/>
              <w:shd w:val="clear"/>
              <w:spacing w:line="360" w:lineRule="auto"/>
              <w:ind w:firstLine="0" w:firstLineChars="0"/>
              <w:jc w:val="center"/>
              <w:rPr>
                <w:rFonts w:ascii="Times New Roman" w:hAnsi="宋体"/>
                <w:b/>
                <w:bCs/>
                <w:color w:val="auto"/>
                <w:sz w:val="21"/>
                <w:szCs w:val="21"/>
                <w:highlight w:val="none"/>
              </w:rPr>
            </w:pPr>
          </w:p>
        </w:tc>
      </w:tr>
    </w:tbl>
    <w:p w14:paraId="036F1C5E">
      <w:pPr>
        <w:shd w:val="clear"/>
        <w:overflowPunct w:val="0"/>
        <w:spacing w:line="360" w:lineRule="auto"/>
        <w:rPr>
          <w:rFonts w:hint="eastAsia" w:hAnsi="宋体"/>
          <w:color w:val="auto"/>
          <w:sz w:val="21"/>
          <w:szCs w:val="21"/>
          <w:highlight w:val="none"/>
        </w:rPr>
      </w:pPr>
    </w:p>
    <w:p w14:paraId="6F4C9808">
      <w:pPr>
        <w:shd w:val="clear"/>
        <w:overflowPunct w:val="0"/>
        <w:spacing w:line="360" w:lineRule="auto"/>
        <w:rPr>
          <w:rFonts w:hAnsi="宋体"/>
          <w:color w:val="auto"/>
          <w:sz w:val="21"/>
          <w:szCs w:val="21"/>
          <w:highlight w:val="none"/>
        </w:rPr>
      </w:pPr>
      <w:r>
        <w:rPr>
          <w:rFonts w:hint="eastAsia" w:hAnsi="宋体"/>
          <w:color w:val="auto"/>
          <w:sz w:val="21"/>
          <w:szCs w:val="21"/>
          <w:highlight w:val="none"/>
        </w:rPr>
        <w:t>供应商名称（加盖公章）：</w:t>
      </w:r>
    </w:p>
    <w:p w14:paraId="08DB70C0">
      <w:pPr>
        <w:shd w:val="clear"/>
        <w:overflowPunct w:val="0"/>
        <w:spacing w:line="360" w:lineRule="auto"/>
        <w:rPr>
          <w:rFonts w:hAnsi="宋体"/>
          <w:color w:val="auto"/>
          <w:sz w:val="21"/>
          <w:szCs w:val="21"/>
          <w:highlight w:val="none"/>
        </w:rPr>
      </w:pPr>
      <w:r>
        <w:rPr>
          <w:rFonts w:hint="eastAsia" w:hAnsi="宋体"/>
          <w:color w:val="auto"/>
          <w:sz w:val="21"/>
          <w:szCs w:val="21"/>
          <w:highlight w:val="none"/>
        </w:rPr>
        <w:t>供应商法定代表人或受委托人（签名或盖私章）：</w:t>
      </w:r>
    </w:p>
    <w:p w14:paraId="5169DA10">
      <w:pPr>
        <w:shd w:val="clear"/>
        <w:overflowPunct w:val="0"/>
        <w:spacing w:line="360" w:lineRule="auto"/>
        <w:rPr>
          <w:rFonts w:hAnsi="宋体"/>
          <w:color w:val="auto"/>
          <w:sz w:val="21"/>
          <w:szCs w:val="21"/>
          <w:highlight w:val="none"/>
        </w:rPr>
      </w:pPr>
      <w:r>
        <w:rPr>
          <w:rFonts w:hint="eastAsia" w:hAnsi="宋体"/>
          <w:color w:val="auto"/>
          <w:sz w:val="21"/>
          <w:szCs w:val="21"/>
          <w:highlight w:val="none"/>
        </w:rPr>
        <w:t>日期：</w:t>
      </w:r>
      <w:r>
        <w:rPr>
          <w:rFonts w:hint="eastAsia" w:hAnsi="宋体"/>
          <w:color w:val="auto"/>
          <w:sz w:val="21"/>
          <w:szCs w:val="21"/>
          <w:highlight w:val="none"/>
          <w:lang w:val="en-US" w:eastAsia="zh-CN"/>
        </w:rPr>
        <w:t xml:space="preserve">     </w:t>
      </w:r>
      <w:r>
        <w:rPr>
          <w:rFonts w:hint="eastAsia" w:hAnsi="宋体"/>
          <w:color w:val="auto"/>
          <w:sz w:val="21"/>
          <w:szCs w:val="21"/>
          <w:highlight w:val="none"/>
        </w:rPr>
        <w:t>年</w:t>
      </w:r>
      <w:r>
        <w:rPr>
          <w:rFonts w:hint="eastAsia" w:hAnsi="宋体"/>
          <w:color w:val="auto"/>
          <w:sz w:val="21"/>
          <w:szCs w:val="21"/>
          <w:highlight w:val="none"/>
          <w:lang w:val="en-US" w:eastAsia="zh-CN"/>
        </w:rPr>
        <w:t xml:space="preserve">     </w:t>
      </w:r>
      <w:r>
        <w:rPr>
          <w:rFonts w:hint="eastAsia" w:hAnsi="宋体"/>
          <w:color w:val="auto"/>
          <w:sz w:val="21"/>
          <w:szCs w:val="21"/>
          <w:highlight w:val="none"/>
        </w:rPr>
        <w:t>月</w:t>
      </w:r>
      <w:r>
        <w:rPr>
          <w:rFonts w:hint="eastAsia" w:hAnsi="宋体"/>
          <w:color w:val="auto"/>
          <w:sz w:val="21"/>
          <w:szCs w:val="21"/>
          <w:highlight w:val="none"/>
          <w:lang w:val="en-US" w:eastAsia="zh-CN"/>
        </w:rPr>
        <w:t xml:space="preserve">       </w:t>
      </w:r>
      <w:r>
        <w:rPr>
          <w:rFonts w:hint="eastAsia" w:hAnsi="宋体"/>
          <w:color w:val="auto"/>
          <w:sz w:val="21"/>
          <w:szCs w:val="21"/>
          <w:highlight w:val="none"/>
        </w:rPr>
        <w:t>日</w:t>
      </w:r>
    </w:p>
    <w:p w14:paraId="2A18529A">
      <w:pPr>
        <w:pStyle w:val="3"/>
        <w:numPr>
          <w:ilvl w:val="0"/>
          <w:numId w:val="20"/>
        </w:numPr>
        <w:shd w:val="clear"/>
        <w:jc w:val="center"/>
        <w:rPr>
          <w:color w:val="auto"/>
          <w:sz w:val="28"/>
          <w:szCs w:val="28"/>
          <w:highlight w:val="none"/>
        </w:rPr>
      </w:pPr>
      <w:r>
        <w:rPr>
          <w:color w:val="auto"/>
          <w:highlight w:val="none"/>
        </w:rPr>
        <w:br w:type="page"/>
      </w:r>
      <w:bookmarkStart w:id="242" w:name="_Toc23874"/>
      <w:bookmarkStart w:id="243" w:name="_Toc7897896"/>
      <w:bookmarkStart w:id="244" w:name="_Toc4539"/>
      <w:bookmarkStart w:id="245" w:name="_Toc4884"/>
      <w:r>
        <w:rPr>
          <w:rFonts w:hint="eastAsia"/>
          <w:bCs/>
          <w:color w:val="auto"/>
          <w:sz w:val="28"/>
          <w:szCs w:val="28"/>
          <w:highlight w:val="none"/>
        </w:rPr>
        <w:t>项目业绩一览表</w:t>
      </w:r>
      <w:bookmarkEnd w:id="242"/>
      <w:bookmarkEnd w:id="243"/>
      <w:bookmarkEnd w:id="244"/>
      <w:bookmarkEnd w:id="245"/>
    </w:p>
    <w:p w14:paraId="7B764ECE">
      <w:pPr>
        <w:pStyle w:val="28"/>
        <w:shd w:val="clear"/>
        <w:spacing w:line="480" w:lineRule="exact"/>
        <w:jc w:val="center"/>
        <w:rPr>
          <w:rFonts w:hAnsi="宋体"/>
          <w:b/>
          <w:color w:val="auto"/>
          <w:sz w:val="22"/>
          <w:szCs w:val="22"/>
          <w:highlight w:val="none"/>
        </w:rPr>
      </w:pPr>
    </w:p>
    <w:tbl>
      <w:tblPr>
        <w:tblStyle w:val="53"/>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2553"/>
        <w:gridCol w:w="2655"/>
        <w:gridCol w:w="1312"/>
        <w:gridCol w:w="1588"/>
        <w:gridCol w:w="944"/>
      </w:tblGrid>
      <w:tr w14:paraId="00BB8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403" w:type="pct"/>
            <w:tcBorders>
              <w:top w:val="single" w:color="auto" w:sz="4" w:space="0"/>
              <w:left w:val="single" w:color="auto" w:sz="4" w:space="0"/>
              <w:bottom w:val="single" w:color="auto" w:sz="4" w:space="0"/>
              <w:right w:val="single" w:color="auto" w:sz="4" w:space="0"/>
            </w:tcBorders>
            <w:vAlign w:val="center"/>
          </w:tcPr>
          <w:p w14:paraId="3A9BBA08">
            <w:pPr>
              <w:shd w:val="clear"/>
              <w:snapToGrid w:val="0"/>
              <w:spacing w:line="360" w:lineRule="auto"/>
              <w:jc w:val="center"/>
              <w:rPr>
                <w:rFonts w:hAnsi="宋体"/>
                <w:b/>
                <w:color w:val="auto"/>
                <w:sz w:val="21"/>
                <w:szCs w:val="21"/>
                <w:highlight w:val="none"/>
              </w:rPr>
            </w:pPr>
            <w:r>
              <w:rPr>
                <w:rFonts w:hint="eastAsia" w:hAnsi="宋体"/>
                <w:b/>
                <w:color w:val="auto"/>
                <w:sz w:val="21"/>
                <w:szCs w:val="21"/>
                <w:highlight w:val="none"/>
              </w:rPr>
              <w:t>序号</w:t>
            </w:r>
          </w:p>
        </w:tc>
        <w:tc>
          <w:tcPr>
            <w:tcW w:w="1296" w:type="pct"/>
            <w:tcBorders>
              <w:top w:val="single" w:color="auto" w:sz="4" w:space="0"/>
              <w:left w:val="single" w:color="auto" w:sz="4" w:space="0"/>
              <w:bottom w:val="single" w:color="auto" w:sz="4" w:space="0"/>
              <w:right w:val="single" w:color="auto" w:sz="4" w:space="0"/>
            </w:tcBorders>
            <w:vAlign w:val="center"/>
          </w:tcPr>
          <w:p w14:paraId="2766C8B5">
            <w:pPr>
              <w:shd w:val="clear"/>
              <w:snapToGrid w:val="0"/>
              <w:spacing w:line="360" w:lineRule="auto"/>
              <w:jc w:val="center"/>
              <w:rPr>
                <w:rFonts w:hAnsi="宋体"/>
                <w:b/>
                <w:color w:val="auto"/>
                <w:sz w:val="21"/>
                <w:szCs w:val="21"/>
                <w:highlight w:val="none"/>
              </w:rPr>
            </w:pPr>
            <w:r>
              <w:rPr>
                <w:rFonts w:hint="eastAsia" w:hAnsi="宋体"/>
                <w:b/>
                <w:color w:val="auto"/>
                <w:sz w:val="21"/>
                <w:szCs w:val="21"/>
                <w:highlight w:val="none"/>
              </w:rPr>
              <w:t>项目名称</w:t>
            </w:r>
          </w:p>
        </w:tc>
        <w:tc>
          <w:tcPr>
            <w:tcW w:w="1348" w:type="pct"/>
            <w:tcBorders>
              <w:top w:val="single" w:color="auto" w:sz="4" w:space="0"/>
              <w:left w:val="single" w:color="auto" w:sz="4" w:space="0"/>
              <w:bottom w:val="single" w:color="auto" w:sz="4" w:space="0"/>
              <w:right w:val="single" w:color="auto" w:sz="4" w:space="0"/>
            </w:tcBorders>
            <w:vAlign w:val="center"/>
          </w:tcPr>
          <w:p w14:paraId="3A9FBF91">
            <w:pPr>
              <w:shd w:val="clear"/>
              <w:snapToGrid w:val="0"/>
              <w:spacing w:line="360" w:lineRule="auto"/>
              <w:jc w:val="center"/>
              <w:rPr>
                <w:rFonts w:hAnsi="宋体"/>
                <w:b/>
                <w:color w:val="auto"/>
                <w:sz w:val="21"/>
                <w:szCs w:val="21"/>
                <w:highlight w:val="none"/>
              </w:rPr>
            </w:pPr>
            <w:r>
              <w:rPr>
                <w:rFonts w:hint="eastAsia" w:hAnsi="宋体"/>
                <w:b/>
                <w:color w:val="auto"/>
                <w:sz w:val="21"/>
                <w:szCs w:val="21"/>
                <w:highlight w:val="none"/>
              </w:rPr>
              <w:t>用户单位</w:t>
            </w:r>
          </w:p>
        </w:tc>
        <w:tc>
          <w:tcPr>
            <w:tcW w:w="666" w:type="pct"/>
            <w:tcBorders>
              <w:top w:val="single" w:color="auto" w:sz="4" w:space="0"/>
              <w:left w:val="single" w:color="auto" w:sz="4" w:space="0"/>
              <w:bottom w:val="single" w:color="auto" w:sz="4" w:space="0"/>
              <w:right w:val="single" w:color="auto" w:sz="4" w:space="0"/>
            </w:tcBorders>
            <w:vAlign w:val="center"/>
          </w:tcPr>
          <w:p w14:paraId="27759789">
            <w:pPr>
              <w:shd w:val="clear"/>
              <w:snapToGrid w:val="0"/>
              <w:spacing w:line="360" w:lineRule="auto"/>
              <w:jc w:val="center"/>
              <w:rPr>
                <w:rFonts w:hAnsi="宋体"/>
                <w:b/>
                <w:color w:val="auto"/>
                <w:sz w:val="21"/>
                <w:szCs w:val="21"/>
                <w:highlight w:val="none"/>
              </w:rPr>
            </w:pPr>
            <w:r>
              <w:rPr>
                <w:rFonts w:hint="eastAsia" w:hAnsi="宋体"/>
                <w:b/>
                <w:color w:val="auto"/>
                <w:sz w:val="21"/>
                <w:szCs w:val="21"/>
                <w:highlight w:val="none"/>
              </w:rPr>
              <w:t>项目金额</w:t>
            </w:r>
          </w:p>
        </w:tc>
        <w:tc>
          <w:tcPr>
            <w:tcW w:w="806" w:type="pct"/>
            <w:tcBorders>
              <w:top w:val="single" w:color="auto" w:sz="4" w:space="0"/>
              <w:left w:val="single" w:color="auto" w:sz="4" w:space="0"/>
              <w:bottom w:val="single" w:color="auto" w:sz="4" w:space="0"/>
              <w:right w:val="single" w:color="auto" w:sz="4" w:space="0"/>
            </w:tcBorders>
            <w:vAlign w:val="center"/>
          </w:tcPr>
          <w:p w14:paraId="7CADB2F9">
            <w:pPr>
              <w:shd w:val="clear"/>
              <w:snapToGrid w:val="0"/>
              <w:spacing w:line="360" w:lineRule="auto"/>
              <w:jc w:val="center"/>
              <w:rPr>
                <w:rFonts w:hAnsi="宋体"/>
                <w:b/>
                <w:color w:val="auto"/>
                <w:sz w:val="21"/>
                <w:szCs w:val="21"/>
                <w:highlight w:val="none"/>
              </w:rPr>
            </w:pPr>
            <w:r>
              <w:rPr>
                <w:rFonts w:hint="eastAsia" w:hAnsi="宋体"/>
                <w:b/>
                <w:color w:val="auto"/>
                <w:sz w:val="21"/>
                <w:szCs w:val="21"/>
                <w:highlight w:val="none"/>
              </w:rPr>
              <w:t>执行时间</w:t>
            </w:r>
          </w:p>
        </w:tc>
        <w:tc>
          <w:tcPr>
            <w:tcW w:w="479" w:type="pct"/>
            <w:tcBorders>
              <w:top w:val="single" w:color="auto" w:sz="4" w:space="0"/>
              <w:left w:val="single" w:color="auto" w:sz="4" w:space="0"/>
              <w:bottom w:val="single" w:color="auto" w:sz="4" w:space="0"/>
              <w:right w:val="single" w:color="auto" w:sz="4" w:space="0"/>
            </w:tcBorders>
            <w:vAlign w:val="center"/>
          </w:tcPr>
          <w:p w14:paraId="7743FAA8">
            <w:pPr>
              <w:shd w:val="clear"/>
              <w:snapToGrid w:val="0"/>
              <w:spacing w:line="360" w:lineRule="auto"/>
              <w:jc w:val="center"/>
              <w:rPr>
                <w:rFonts w:hAnsi="宋体"/>
                <w:b/>
                <w:color w:val="auto"/>
                <w:sz w:val="21"/>
                <w:szCs w:val="21"/>
                <w:highlight w:val="none"/>
              </w:rPr>
            </w:pPr>
            <w:r>
              <w:rPr>
                <w:rFonts w:hint="eastAsia" w:hAnsi="宋体"/>
                <w:b/>
                <w:color w:val="auto"/>
                <w:sz w:val="21"/>
                <w:szCs w:val="21"/>
                <w:highlight w:val="none"/>
              </w:rPr>
              <w:t>页码</w:t>
            </w:r>
          </w:p>
        </w:tc>
      </w:tr>
      <w:tr w14:paraId="438C7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 w:type="pct"/>
            <w:tcBorders>
              <w:top w:val="single" w:color="auto" w:sz="4" w:space="0"/>
              <w:left w:val="single" w:color="auto" w:sz="4" w:space="0"/>
              <w:bottom w:val="single" w:color="auto" w:sz="4" w:space="0"/>
              <w:right w:val="single" w:color="auto" w:sz="4" w:space="0"/>
            </w:tcBorders>
            <w:vAlign w:val="center"/>
          </w:tcPr>
          <w:p w14:paraId="41534D2F">
            <w:pPr>
              <w:pStyle w:val="28"/>
              <w:shd w:val="clear"/>
              <w:spacing w:line="360" w:lineRule="auto"/>
              <w:jc w:val="center"/>
              <w:rPr>
                <w:rFonts w:hAnsi="宋体"/>
                <w:color w:val="auto"/>
                <w:szCs w:val="21"/>
                <w:highlight w:val="none"/>
              </w:rPr>
            </w:pPr>
            <w:r>
              <w:rPr>
                <w:rFonts w:hint="eastAsia" w:hAnsi="宋体"/>
                <w:color w:val="auto"/>
                <w:szCs w:val="21"/>
                <w:highlight w:val="none"/>
              </w:rPr>
              <w:t>1</w:t>
            </w:r>
          </w:p>
        </w:tc>
        <w:tc>
          <w:tcPr>
            <w:tcW w:w="1296" w:type="pct"/>
            <w:tcBorders>
              <w:top w:val="single" w:color="auto" w:sz="4" w:space="0"/>
              <w:left w:val="single" w:color="auto" w:sz="4" w:space="0"/>
              <w:bottom w:val="single" w:color="auto" w:sz="4" w:space="0"/>
              <w:right w:val="single" w:color="auto" w:sz="4" w:space="0"/>
            </w:tcBorders>
          </w:tcPr>
          <w:p w14:paraId="739597F8">
            <w:pPr>
              <w:shd w:val="clear"/>
              <w:snapToGrid w:val="0"/>
              <w:spacing w:line="360" w:lineRule="auto"/>
              <w:rPr>
                <w:rFonts w:hAnsi="宋体"/>
                <w:color w:val="auto"/>
                <w:sz w:val="21"/>
                <w:szCs w:val="21"/>
                <w:highlight w:val="none"/>
                <w:u w:val="single"/>
              </w:rPr>
            </w:pPr>
          </w:p>
        </w:tc>
        <w:tc>
          <w:tcPr>
            <w:tcW w:w="1348" w:type="pct"/>
            <w:tcBorders>
              <w:top w:val="single" w:color="auto" w:sz="4" w:space="0"/>
              <w:left w:val="single" w:color="auto" w:sz="4" w:space="0"/>
              <w:bottom w:val="single" w:color="auto" w:sz="4" w:space="0"/>
              <w:right w:val="single" w:color="auto" w:sz="4" w:space="0"/>
            </w:tcBorders>
          </w:tcPr>
          <w:p w14:paraId="6C4EF514">
            <w:pPr>
              <w:shd w:val="clear"/>
              <w:snapToGrid w:val="0"/>
              <w:spacing w:line="360" w:lineRule="auto"/>
              <w:rPr>
                <w:rFonts w:hAnsi="宋体"/>
                <w:color w:val="auto"/>
                <w:sz w:val="21"/>
                <w:szCs w:val="21"/>
                <w:highlight w:val="none"/>
                <w:u w:val="single"/>
              </w:rPr>
            </w:pPr>
          </w:p>
        </w:tc>
        <w:tc>
          <w:tcPr>
            <w:tcW w:w="666" w:type="pct"/>
            <w:tcBorders>
              <w:top w:val="single" w:color="auto" w:sz="4" w:space="0"/>
              <w:left w:val="single" w:color="auto" w:sz="4" w:space="0"/>
              <w:bottom w:val="single" w:color="auto" w:sz="4" w:space="0"/>
              <w:right w:val="single" w:color="auto" w:sz="4" w:space="0"/>
            </w:tcBorders>
          </w:tcPr>
          <w:p w14:paraId="773607A0">
            <w:pPr>
              <w:shd w:val="clear"/>
              <w:snapToGrid w:val="0"/>
              <w:spacing w:line="360" w:lineRule="auto"/>
              <w:rPr>
                <w:rFonts w:hAnsi="宋体"/>
                <w:color w:val="auto"/>
                <w:sz w:val="21"/>
                <w:szCs w:val="21"/>
                <w:highlight w:val="none"/>
                <w:u w:val="single"/>
              </w:rPr>
            </w:pPr>
          </w:p>
        </w:tc>
        <w:tc>
          <w:tcPr>
            <w:tcW w:w="806" w:type="pct"/>
            <w:tcBorders>
              <w:top w:val="single" w:color="auto" w:sz="4" w:space="0"/>
              <w:left w:val="single" w:color="auto" w:sz="4" w:space="0"/>
              <w:bottom w:val="single" w:color="auto" w:sz="4" w:space="0"/>
              <w:right w:val="single" w:color="auto" w:sz="4" w:space="0"/>
            </w:tcBorders>
          </w:tcPr>
          <w:p w14:paraId="38D14AFF">
            <w:pPr>
              <w:shd w:val="clear"/>
              <w:snapToGrid w:val="0"/>
              <w:spacing w:line="360" w:lineRule="auto"/>
              <w:rPr>
                <w:rFonts w:hAnsi="宋体"/>
                <w:color w:val="auto"/>
                <w:sz w:val="21"/>
                <w:szCs w:val="21"/>
                <w:highlight w:val="none"/>
                <w:u w:val="single"/>
              </w:rPr>
            </w:pPr>
          </w:p>
        </w:tc>
        <w:tc>
          <w:tcPr>
            <w:tcW w:w="479" w:type="pct"/>
            <w:tcBorders>
              <w:top w:val="single" w:color="auto" w:sz="4" w:space="0"/>
              <w:left w:val="single" w:color="auto" w:sz="4" w:space="0"/>
              <w:bottom w:val="single" w:color="auto" w:sz="4" w:space="0"/>
              <w:right w:val="single" w:color="auto" w:sz="4" w:space="0"/>
            </w:tcBorders>
          </w:tcPr>
          <w:p w14:paraId="7223BFC5">
            <w:pPr>
              <w:shd w:val="clear"/>
              <w:snapToGrid w:val="0"/>
              <w:spacing w:line="360" w:lineRule="auto"/>
              <w:rPr>
                <w:rFonts w:hAnsi="宋体"/>
                <w:color w:val="auto"/>
                <w:sz w:val="21"/>
                <w:szCs w:val="21"/>
                <w:highlight w:val="none"/>
                <w:u w:val="single"/>
              </w:rPr>
            </w:pPr>
          </w:p>
        </w:tc>
      </w:tr>
      <w:tr w14:paraId="66216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 w:type="pct"/>
            <w:tcBorders>
              <w:top w:val="single" w:color="auto" w:sz="4" w:space="0"/>
              <w:left w:val="single" w:color="auto" w:sz="4" w:space="0"/>
              <w:bottom w:val="single" w:color="auto" w:sz="4" w:space="0"/>
              <w:right w:val="single" w:color="auto" w:sz="4" w:space="0"/>
            </w:tcBorders>
            <w:vAlign w:val="center"/>
          </w:tcPr>
          <w:p w14:paraId="4B966BBD">
            <w:pPr>
              <w:pStyle w:val="28"/>
              <w:shd w:val="clear"/>
              <w:spacing w:line="360" w:lineRule="auto"/>
              <w:jc w:val="center"/>
              <w:rPr>
                <w:rFonts w:hAnsi="宋体"/>
                <w:color w:val="auto"/>
                <w:szCs w:val="21"/>
                <w:highlight w:val="none"/>
              </w:rPr>
            </w:pPr>
            <w:r>
              <w:rPr>
                <w:rFonts w:hint="eastAsia" w:hAnsi="宋体"/>
                <w:color w:val="auto"/>
                <w:szCs w:val="21"/>
                <w:highlight w:val="none"/>
              </w:rPr>
              <w:t>2</w:t>
            </w:r>
          </w:p>
        </w:tc>
        <w:tc>
          <w:tcPr>
            <w:tcW w:w="1296" w:type="pct"/>
            <w:tcBorders>
              <w:top w:val="single" w:color="auto" w:sz="4" w:space="0"/>
              <w:left w:val="single" w:color="auto" w:sz="4" w:space="0"/>
              <w:bottom w:val="single" w:color="auto" w:sz="4" w:space="0"/>
              <w:right w:val="single" w:color="auto" w:sz="4" w:space="0"/>
            </w:tcBorders>
          </w:tcPr>
          <w:p w14:paraId="74E45D6B">
            <w:pPr>
              <w:shd w:val="clear"/>
              <w:snapToGrid w:val="0"/>
              <w:spacing w:line="360" w:lineRule="auto"/>
              <w:rPr>
                <w:rFonts w:hAnsi="宋体"/>
                <w:color w:val="auto"/>
                <w:sz w:val="21"/>
                <w:szCs w:val="21"/>
                <w:highlight w:val="none"/>
                <w:u w:val="single"/>
              </w:rPr>
            </w:pPr>
          </w:p>
        </w:tc>
        <w:tc>
          <w:tcPr>
            <w:tcW w:w="1348" w:type="pct"/>
            <w:tcBorders>
              <w:top w:val="single" w:color="auto" w:sz="4" w:space="0"/>
              <w:left w:val="single" w:color="auto" w:sz="4" w:space="0"/>
              <w:bottom w:val="single" w:color="auto" w:sz="4" w:space="0"/>
              <w:right w:val="single" w:color="auto" w:sz="4" w:space="0"/>
            </w:tcBorders>
          </w:tcPr>
          <w:p w14:paraId="10418873">
            <w:pPr>
              <w:shd w:val="clear"/>
              <w:snapToGrid w:val="0"/>
              <w:spacing w:line="360" w:lineRule="auto"/>
              <w:rPr>
                <w:rFonts w:hAnsi="宋体"/>
                <w:color w:val="auto"/>
                <w:sz w:val="21"/>
                <w:szCs w:val="21"/>
                <w:highlight w:val="none"/>
                <w:u w:val="single"/>
              </w:rPr>
            </w:pPr>
          </w:p>
        </w:tc>
        <w:tc>
          <w:tcPr>
            <w:tcW w:w="666" w:type="pct"/>
            <w:tcBorders>
              <w:top w:val="single" w:color="auto" w:sz="4" w:space="0"/>
              <w:left w:val="single" w:color="auto" w:sz="4" w:space="0"/>
              <w:bottom w:val="single" w:color="auto" w:sz="4" w:space="0"/>
              <w:right w:val="single" w:color="auto" w:sz="4" w:space="0"/>
            </w:tcBorders>
          </w:tcPr>
          <w:p w14:paraId="2D96114C">
            <w:pPr>
              <w:shd w:val="clear"/>
              <w:snapToGrid w:val="0"/>
              <w:spacing w:line="360" w:lineRule="auto"/>
              <w:rPr>
                <w:rFonts w:hAnsi="宋体"/>
                <w:color w:val="auto"/>
                <w:sz w:val="21"/>
                <w:szCs w:val="21"/>
                <w:highlight w:val="none"/>
                <w:u w:val="single"/>
              </w:rPr>
            </w:pPr>
          </w:p>
        </w:tc>
        <w:tc>
          <w:tcPr>
            <w:tcW w:w="806" w:type="pct"/>
            <w:tcBorders>
              <w:top w:val="single" w:color="auto" w:sz="4" w:space="0"/>
              <w:left w:val="single" w:color="auto" w:sz="4" w:space="0"/>
              <w:bottom w:val="single" w:color="auto" w:sz="4" w:space="0"/>
              <w:right w:val="single" w:color="auto" w:sz="4" w:space="0"/>
            </w:tcBorders>
          </w:tcPr>
          <w:p w14:paraId="6699461A">
            <w:pPr>
              <w:shd w:val="clear"/>
              <w:snapToGrid w:val="0"/>
              <w:spacing w:line="360" w:lineRule="auto"/>
              <w:rPr>
                <w:rFonts w:hAnsi="宋体"/>
                <w:color w:val="auto"/>
                <w:sz w:val="21"/>
                <w:szCs w:val="21"/>
                <w:highlight w:val="none"/>
                <w:u w:val="single"/>
              </w:rPr>
            </w:pPr>
          </w:p>
        </w:tc>
        <w:tc>
          <w:tcPr>
            <w:tcW w:w="479" w:type="pct"/>
            <w:tcBorders>
              <w:top w:val="single" w:color="auto" w:sz="4" w:space="0"/>
              <w:left w:val="single" w:color="auto" w:sz="4" w:space="0"/>
              <w:bottom w:val="single" w:color="auto" w:sz="4" w:space="0"/>
              <w:right w:val="single" w:color="auto" w:sz="4" w:space="0"/>
            </w:tcBorders>
          </w:tcPr>
          <w:p w14:paraId="6AD2D121">
            <w:pPr>
              <w:shd w:val="clear"/>
              <w:snapToGrid w:val="0"/>
              <w:spacing w:line="360" w:lineRule="auto"/>
              <w:rPr>
                <w:rFonts w:hAnsi="宋体"/>
                <w:color w:val="auto"/>
                <w:sz w:val="21"/>
                <w:szCs w:val="21"/>
                <w:highlight w:val="none"/>
                <w:u w:val="single"/>
              </w:rPr>
            </w:pPr>
          </w:p>
        </w:tc>
      </w:tr>
      <w:tr w14:paraId="116E8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 w:type="pct"/>
            <w:tcBorders>
              <w:top w:val="single" w:color="auto" w:sz="4" w:space="0"/>
              <w:left w:val="single" w:color="auto" w:sz="4" w:space="0"/>
              <w:bottom w:val="single" w:color="auto" w:sz="4" w:space="0"/>
              <w:right w:val="single" w:color="auto" w:sz="4" w:space="0"/>
            </w:tcBorders>
            <w:vAlign w:val="center"/>
          </w:tcPr>
          <w:p w14:paraId="0C4EE980">
            <w:pPr>
              <w:pStyle w:val="28"/>
              <w:shd w:val="clear"/>
              <w:spacing w:line="360" w:lineRule="auto"/>
              <w:jc w:val="center"/>
              <w:rPr>
                <w:rFonts w:hAnsi="宋体"/>
                <w:color w:val="auto"/>
                <w:szCs w:val="21"/>
                <w:highlight w:val="none"/>
              </w:rPr>
            </w:pPr>
            <w:r>
              <w:rPr>
                <w:rFonts w:hint="eastAsia" w:hAnsi="宋体"/>
                <w:color w:val="auto"/>
                <w:szCs w:val="21"/>
                <w:highlight w:val="none"/>
              </w:rPr>
              <w:t>3</w:t>
            </w:r>
          </w:p>
        </w:tc>
        <w:tc>
          <w:tcPr>
            <w:tcW w:w="1296" w:type="pct"/>
            <w:tcBorders>
              <w:top w:val="single" w:color="auto" w:sz="4" w:space="0"/>
              <w:left w:val="single" w:color="auto" w:sz="4" w:space="0"/>
              <w:bottom w:val="single" w:color="auto" w:sz="4" w:space="0"/>
              <w:right w:val="single" w:color="auto" w:sz="4" w:space="0"/>
            </w:tcBorders>
          </w:tcPr>
          <w:p w14:paraId="58BD4467">
            <w:pPr>
              <w:shd w:val="clear"/>
              <w:snapToGrid w:val="0"/>
              <w:spacing w:line="360" w:lineRule="auto"/>
              <w:rPr>
                <w:rFonts w:hAnsi="宋体"/>
                <w:color w:val="auto"/>
                <w:sz w:val="21"/>
                <w:szCs w:val="21"/>
                <w:highlight w:val="none"/>
                <w:u w:val="single"/>
              </w:rPr>
            </w:pPr>
          </w:p>
        </w:tc>
        <w:tc>
          <w:tcPr>
            <w:tcW w:w="1348" w:type="pct"/>
            <w:tcBorders>
              <w:top w:val="single" w:color="auto" w:sz="4" w:space="0"/>
              <w:left w:val="single" w:color="auto" w:sz="4" w:space="0"/>
              <w:bottom w:val="single" w:color="auto" w:sz="4" w:space="0"/>
              <w:right w:val="single" w:color="auto" w:sz="4" w:space="0"/>
            </w:tcBorders>
          </w:tcPr>
          <w:p w14:paraId="5F6C9B15">
            <w:pPr>
              <w:shd w:val="clear"/>
              <w:snapToGrid w:val="0"/>
              <w:spacing w:line="360" w:lineRule="auto"/>
              <w:rPr>
                <w:rFonts w:hAnsi="宋体"/>
                <w:color w:val="auto"/>
                <w:sz w:val="21"/>
                <w:szCs w:val="21"/>
                <w:highlight w:val="none"/>
                <w:u w:val="single"/>
              </w:rPr>
            </w:pPr>
          </w:p>
        </w:tc>
        <w:tc>
          <w:tcPr>
            <w:tcW w:w="666" w:type="pct"/>
            <w:tcBorders>
              <w:top w:val="single" w:color="auto" w:sz="4" w:space="0"/>
              <w:left w:val="single" w:color="auto" w:sz="4" w:space="0"/>
              <w:bottom w:val="single" w:color="auto" w:sz="4" w:space="0"/>
              <w:right w:val="single" w:color="auto" w:sz="4" w:space="0"/>
            </w:tcBorders>
          </w:tcPr>
          <w:p w14:paraId="006B1AB0">
            <w:pPr>
              <w:shd w:val="clear"/>
              <w:snapToGrid w:val="0"/>
              <w:spacing w:line="360" w:lineRule="auto"/>
              <w:rPr>
                <w:rFonts w:hAnsi="宋体"/>
                <w:color w:val="auto"/>
                <w:sz w:val="21"/>
                <w:szCs w:val="21"/>
                <w:highlight w:val="none"/>
                <w:u w:val="single"/>
              </w:rPr>
            </w:pPr>
          </w:p>
        </w:tc>
        <w:tc>
          <w:tcPr>
            <w:tcW w:w="806" w:type="pct"/>
            <w:tcBorders>
              <w:top w:val="single" w:color="auto" w:sz="4" w:space="0"/>
              <w:left w:val="single" w:color="auto" w:sz="4" w:space="0"/>
              <w:bottom w:val="single" w:color="auto" w:sz="4" w:space="0"/>
              <w:right w:val="single" w:color="auto" w:sz="4" w:space="0"/>
            </w:tcBorders>
          </w:tcPr>
          <w:p w14:paraId="7E5A13D8">
            <w:pPr>
              <w:shd w:val="clear"/>
              <w:snapToGrid w:val="0"/>
              <w:spacing w:line="360" w:lineRule="auto"/>
              <w:rPr>
                <w:rFonts w:hAnsi="宋体"/>
                <w:color w:val="auto"/>
                <w:sz w:val="21"/>
                <w:szCs w:val="21"/>
                <w:highlight w:val="none"/>
                <w:u w:val="single"/>
              </w:rPr>
            </w:pPr>
          </w:p>
        </w:tc>
        <w:tc>
          <w:tcPr>
            <w:tcW w:w="479" w:type="pct"/>
            <w:tcBorders>
              <w:top w:val="single" w:color="auto" w:sz="4" w:space="0"/>
              <w:left w:val="single" w:color="auto" w:sz="4" w:space="0"/>
              <w:bottom w:val="single" w:color="auto" w:sz="4" w:space="0"/>
              <w:right w:val="single" w:color="auto" w:sz="4" w:space="0"/>
            </w:tcBorders>
          </w:tcPr>
          <w:p w14:paraId="23BAA52A">
            <w:pPr>
              <w:shd w:val="clear"/>
              <w:snapToGrid w:val="0"/>
              <w:spacing w:line="360" w:lineRule="auto"/>
              <w:rPr>
                <w:rFonts w:hAnsi="宋体"/>
                <w:color w:val="auto"/>
                <w:sz w:val="21"/>
                <w:szCs w:val="21"/>
                <w:highlight w:val="none"/>
                <w:u w:val="single"/>
              </w:rPr>
            </w:pPr>
          </w:p>
        </w:tc>
      </w:tr>
      <w:tr w14:paraId="3850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 w:type="pct"/>
            <w:tcBorders>
              <w:top w:val="single" w:color="auto" w:sz="4" w:space="0"/>
              <w:left w:val="single" w:color="auto" w:sz="4" w:space="0"/>
              <w:bottom w:val="single" w:color="auto" w:sz="4" w:space="0"/>
              <w:right w:val="single" w:color="auto" w:sz="4" w:space="0"/>
            </w:tcBorders>
            <w:vAlign w:val="center"/>
          </w:tcPr>
          <w:p w14:paraId="516C0F7D">
            <w:pPr>
              <w:pStyle w:val="28"/>
              <w:shd w:val="clear"/>
              <w:spacing w:line="360" w:lineRule="auto"/>
              <w:jc w:val="center"/>
              <w:rPr>
                <w:rFonts w:hAnsi="宋体"/>
                <w:color w:val="auto"/>
                <w:szCs w:val="21"/>
                <w:highlight w:val="none"/>
              </w:rPr>
            </w:pPr>
            <w:r>
              <w:rPr>
                <w:rFonts w:hint="eastAsia" w:hAnsi="宋体"/>
                <w:color w:val="auto"/>
                <w:szCs w:val="21"/>
                <w:highlight w:val="none"/>
              </w:rPr>
              <w:t>…</w:t>
            </w:r>
          </w:p>
        </w:tc>
        <w:tc>
          <w:tcPr>
            <w:tcW w:w="1296" w:type="pct"/>
            <w:tcBorders>
              <w:top w:val="single" w:color="auto" w:sz="4" w:space="0"/>
              <w:left w:val="single" w:color="auto" w:sz="4" w:space="0"/>
              <w:bottom w:val="single" w:color="auto" w:sz="4" w:space="0"/>
              <w:right w:val="single" w:color="auto" w:sz="4" w:space="0"/>
            </w:tcBorders>
          </w:tcPr>
          <w:p w14:paraId="32C1D102">
            <w:pPr>
              <w:shd w:val="clear"/>
              <w:snapToGrid w:val="0"/>
              <w:spacing w:line="360" w:lineRule="auto"/>
              <w:rPr>
                <w:rFonts w:hAnsi="宋体"/>
                <w:color w:val="auto"/>
                <w:sz w:val="21"/>
                <w:szCs w:val="21"/>
                <w:highlight w:val="none"/>
                <w:u w:val="single"/>
              </w:rPr>
            </w:pPr>
          </w:p>
        </w:tc>
        <w:tc>
          <w:tcPr>
            <w:tcW w:w="1348" w:type="pct"/>
            <w:tcBorders>
              <w:top w:val="single" w:color="auto" w:sz="4" w:space="0"/>
              <w:left w:val="single" w:color="auto" w:sz="4" w:space="0"/>
              <w:bottom w:val="single" w:color="auto" w:sz="4" w:space="0"/>
              <w:right w:val="single" w:color="auto" w:sz="4" w:space="0"/>
            </w:tcBorders>
          </w:tcPr>
          <w:p w14:paraId="6CF52A3F">
            <w:pPr>
              <w:shd w:val="clear"/>
              <w:snapToGrid w:val="0"/>
              <w:spacing w:line="360" w:lineRule="auto"/>
              <w:rPr>
                <w:rFonts w:hAnsi="宋体"/>
                <w:color w:val="auto"/>
                <w:sz w:val="21"/>
                <w:szCs w:val="21"/>
                <w:highlight w:val="none"/>
                <w:u w:val="single"/>
              </w:rPr>
            </w:pPr>
          </w:p>
        </w:tc>
        <w:tc>
          <w:tcPr>
            <w:tcW w:w="666" w:type="pct"/>
            <w:tcBorders>
              <w:top w:val="single" w:color="auto" w:sz="4" w:space="0"/>
              <w:left w:val="single" w:color="auto" w:sz="4" w:space="0"/>
              <w:bottom w:val="single" w:color="auto" w:sz="4" w:space="0"/>
              <w:right w:val="single" w:color="auto" w:sz="4" w:space="0"/>
            </w:tcBorders>
          </w:tcPr>
          <w:p w14:paraId="225E715C">
            <w:pPr>
              <w:shd w:val="clear"/>
              <w:snapToGrid w:val="0"/>
              <w:spacing w:line="360" w:lineRule="auto"/>
              <w:rPr>
                <w:rFonts w:hAnsi="宋体"/>
                <w:color w:val="auto"/>
                <w:sz w:val="21"/>
                <w:szCs w:val="21"/>
                <w:highlight w:val="none"/>
                <w:u w:val="single"/>
              </w:rPr>
            </w:pPr>
          </w:p>
        </w:tc>
        <w:tc>
          <w:tcPr>
            <w:tcW w:w="806" w:type="pct"/>
            <w:tcBorders>
              <w:top w:val="single" w:color="auto" w:sz="4" w:space="0"/>
              <w:left w:val="single" w:color="auto" w:sz="4" w:space="0"/>
              <w:bottom w:val="single" w:color="auto" w:sz="4" w:space="0"/>
              <w:right w:val="single" w:color="auto" w:sz="4" w:space="0"/>
            </w:tcBorders>
          </w:tcPr>
          <w:p w14:paraId="0A09B25B">
            <w:pPr>
              <w:shd w:val="clear"/>
              <w:snapToGrid w:val="0"/>
              <w:spacing w:line="360" w:lineRule="auto"/>
              <w:rPr>
                <w:rFonts w:hAnsi="宋体"/>
                <w:color w:val="auto"/>
                <w:sz w:val="21"/>
                <w:szCs w:val="21"/>
                <w:highlight w:val="none"/>
                <w:u w:val="single"/>
              </w:rPr>
            </w:pPr>
          </w:p>
        </w:tc>
        <w:tc>
          <w:tcPr>
            <w:tcW w:w="479" w:type="pct"/>
            <w:tcBorders>
              <w:top w:val="single" w:color="auto" w:sz="4" w:space="0"/>
              <w:left w:val="single" w:color="auto" w:sz="4" w:space="0"/>
              <w:bottom w:val="single" w:color="auto" w:sz="4" w:space="0"/>
              <w:right w:val="single" w:color="auto" w:sz="4" w:space="0"/>
            </w:tcBorders>
          </w:tcPr>
          <w:p w14:paraId="2FEE6F68">
            <w:pPr>
              <w:shd w:val="clear"/>
              <w:snapToGrid w:val="0"/>
              <w:spacing w:line="360" w:lineRule="auto"/>
              <w:rPr>
                <w:rFonts w:hAnsi="宋体"/>
                <w:color w:val="auto"/>
                <w:sz w:val="21"/>
                <w:szCs w:val="21"/>
                <w:highlight w:val="none"/>
                <w:u w:val="single"/>
              </w:rPr>
            </w:pPr>
          </w:p>
        </w:tc>
      </w:tr>
      <w:tr w14:paraId="77157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 w:type="pct"/>
            <w:tcBorders>
              <w:top w:val="single" w:color="auto" w:sz="4" w:space="0"/>
              <w:left w:val="single" w:color="auto" w:sz="4" w:space="0"/>
              <w:bottom w:val="single" w:color="auto" w:sz="4" w:space="0"/>
              <w:right w:val="single" w:color="auto" w:sz="4" w:space="0"/>
            </w:tcBorders>
            <w:vAlign w:val="center"/>
          </w:tcPr>
          <w:p w14:paraId="1E429233">
            <w:pPr>
              <w:pStyle w:val="28"/>
              <w:shd w:val="clear"/>
              <w:spacing w:line="360" w:lineRule="auto"/>
              <w:jc w:val="center"/>
              <w:rPr>
                <w:rFonts w:hAnsi="宋体"/>
                <w:color w:val="auto"/>
                <w:szCs w:val="21"/>
                <w:highlight w:val="none"/>
              </w:rPr>
            </w:pPr>
          </w:p>
        </w:tc>
        <w:tc>
          <w:tcPr>
            <w:tcW w:w="1296" w:type="pct"/>
            <w:tcBorders>
              <w:top w:val="single" w:color="auto" w:sz="4" w:space="0"/>
              <w:left w:val="single" w:color="auto" w:sz="4" w:space="0"/>
              <w:bottom w:val="single" w:color="auto" w:sz="4" w:space="0"/>
              <w:right w:val="single" w:color="auto" w:sz="4" w:space="0"/>
            </w:tcBorders>
          </w:tcPr>
          <w:p w14:paraId="5242D701">
            <w:pPr>
              <w:shd w:val="clear"/>
              <w:snapToGrid w:val="0"/>
              <w:spacing w:line="360" w:lineRule="auto"/>
              <w:rPr>
                <w:rFonts w:hAnsi="宋体"/>
                <w:color w:val="auto"/>
                <w:sz w:val="21"/>
                <w:szCs w:val="21"/>
                <w:highlight w:val="none"/>
                <w:u w:val="single"/>
              </w:rPr>
            </w:pPr>
          </w:p>
        </w:tc>
        <w:tc>
          <w:tcPr>
            <w:tcW w:w="1348" w:type="pct"/>
            <w:tcBorders>
              <w:top w:val="single" w:color="auto" w:sz="4" w:space="0"/>
              <w:left w:val="single" w:color="auto" w:sz="4" w:space="0"/>
              <w:bottom w:val="single" w:color="auto" w:sz="4" w:space="0"/>
              <w:right w:val="single" w:color="auto" w:sz="4" w:space="0"/>
            </w:tcBorders>
          </w:tcPr>
          <w:p w14:paraId="35710419">
            <w:pPr>
              <w:shd w:val="clear"/>
              <w:snapToGrid w:val="0"/>
              <w:spacing w:line="360" w:lineRule="auto"/>
              <w:rPr>
                <w:rFonts w:hAnsi="宋体"/>
                <w:color w:val="auto"/>
                <w:sz w:val="21"/>
                <w:szCs w:val="21"/>
                <w:highlight w:val="none"/>
                <w:u w:val="single"/>
              </w:rPr>
            </w:pPr>
          </w:p>
        </w:tc>
        <w:tc>
          <w:tcPr>
            <w:tcW w:w="666" w:type="pct"/>
            <w:tcBorders>
              <w:top w:val="single" w:color="auto" w:sz="4" w:space="0"/>
              <w:left w:val="single" w:color="auto" w:sz="4" w:space="0"/>
              <w:bottom w:val="single" w:color="auto" w:sz="4" w:space="0"/>
              <w:right w:val="single" w:color="auto" w:sz="4" w:space="0"/>
            </w:tcBorders>
          </w:tcPr>
          <w:p w14:paraId="479C8E83">
            <w:pPr>
              <w:shd w:val="clear"/>
              <w:snapToGrid w:val="0"/>
              <w:spacing w:line="360" w:lineRule="auto"/>
              <w:rPr>
                <w:rFonts w:hAnsi="宋体"/>
                <w:color w:val="auto"/>
                <w:sz w:val="21"/>
                <w:szCs w:val="21"/>
                <w:highlight w:val="none"/>
                <w:u w:val="single"/>
              </w:rPr>
            </w:pPr>
          </w:p>
        </w:tc>
        <w:tc>
          <w:tcPr>
            <w:tcW w:w="806" w:type="pct"/>
            <w:tcBorders>
              <w:top w:val="single" w:color="auto" w:sz="4" w:space="0"/>
              <w:left w:val="single" w:color="auto" w:sz="4" w:space="0"/>
              <w:bottom w:val="single" w:color="auto" w:sz="4" w:space="0"/>
              <w:right w:val="single" w:color="auto" w:sz="4" w:space="0"/>
            </w:tcBorders>
          </w:tcPr>
          <w:p w14:paraId="6D62E645">
            <w:pPr>
              <w:shd w:val="clear"/>
              <w:snapToGrid w:val="0"/>
              <w:spacing w:line="360" w:lineRule="auto"/>
              <w:rPr>
                <w:rFonts w:hAnsi="宋体"/>
                <w:color w:val="auto"/>
                <w:sz w:val="21"/>
                <w:szCs w:val="21"/>
                <w:highlight w:val="none"/>
                <w:u w:val="single"/>
              </w:rPr>
            </w:pPr>
          </w:p>
        </w:tc>
        <w:tc>
          <w:tcPr>
            <w:tcW w:w="479" w:type="pct"/>
            <w:tcBorders>
              <w:top w:val="single" w:color="auto" w:sz="4" w:space="0"/>
              <w:left w:val="single" w:color="auto" w:sz="4" w:space="0"/>
              <w:bottom w:val="single" w:color="auto" w:sz="4" w:space="0"/>
              <w:right w:val="single" w:color="auto" w:sz="4" w:space="0"/>
            </w:tcBorders>
          </w:tcPr>
          <w:p w14:paraId="12A6AEC0">
            <w:pPr>
              <w:shd w:val="clear"/>
              <w:snapToGrid w:val="0"/>
              <w:spacing w:line="360" w:lineRule="auto"/>
              <w:rPr>
                <w:rFonts w:hAnsi="宋体"/>
                <w:color w:val="auto"/>
                <w:sz w:val="21"/>
                <w:szCs w:val="21"/>
                <w:highlight w:val="none"/>
                <w:u w:val="single"/>
              </w:rPr>
            </w:pPr>
          </w:p>
        </w:tc>
      </w:tr>
      <w:tr w14:paraId="3EA7C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 w:type="pct"/>
            <w:tcBorders>
              <w:top w:val="single" w:color="auto" w:sz="4" w:space="0"/>
              <w:left w:val="single" w:color="auto" w:sz="4" w:space="0"/>
              <w:bottom w:val="single" w:color="auto" w:sz="4" w:space="0"/>
              <w:right w:val="single" w:color="auto" w:sz="4" w:space="0"/>
            </w:tcBorders>
            <w:vAlign w:val="center"/>
          </w:tcPr>
          <w:p w14:paraId="4C72DAF2">
            <w:pPr>
              <w:pStyle w:val="28"/>
              <w:shd w:val="clear"/>
              <w:spacing w:line="360" w:lineRule="auto"/>
              <w:jc w:val="center"/>
              <w:rPr>
                <w:rFonts w:hAnsi="宋体"/>
                <w:color w:val="auto"/>
                <w:szCs w:val="21"/>
                <w:highlight w:val="none"/>
              </w:rPr>
            </w:pPr>
          </w:p>
        </w:tc>
        <w:tc>
          <w:tcPr>
            <w:tcW w:w="1296" w:type="pct"/>
            <w:tcBorders>
              <w:top w:val="single" w:color="auto" w:sz="4" w:space="0"/>
              <w:left w:val="single" w:color="auto" w:sz="4" w:space="0"/>
              <w:bottom w:val="single" w:color="auto" w:sz="4" w:space="0"/>
              <w:right w:val="single" w:color="auto" w:sz="4" w:space="0"/>
            </w:tcBorders>
          </w:tcPr>
          <w:p w14:paraId="763EE4A2">
            <w:pPr>
              <w:shd w:val="clear"/>
              <w:snapToGrid w:val="0"/>
              <w:spacing w:line="360" w:lineRule="auto"/>
              <w:rPr>
                <w:rFonts w:hAnsi="宋体"/>
                <w:color w:val="auto"/>
                <w:sz w:val="21"/>
                <w:szCs w:val="21"/>
                <w:highlight w:val="none"/>
                <w:u w:val="single"/>
              </w:rPr>
            </w:pPr>
          </w:p>
        </w:tc>
        <w:tc>
          <w:tcPr>
            <w:tcW w:w="1348" w:type="pct"/>
            <w:tcBorders>
              <w:top w:val="single" w:color="auto" w:sz="4" w:space="0"/>
              <w:left w:val="single" w:color="auto" w:sz="4" w:space="0"/>
              <w:bottom w:val="single" w:color="auto" w:sz="4" w:space="0"/>
              <w:right w:val="single" w:color="auto" w:sz="4" w:space="0"/>
            </w:tcBorders>
          </w:tcPr>
          <w:p w14:paraId="753AF004">
            <w:pPr>
              <w:shd w:val="clear"/>
              <w:snapToGrid w:val="0"/>
              <w:spacing w:line="360" w:lineRule="auto"/>
              <w:rPr>
                <w:rFonts w:hAnsi="宋体"/>
                <w:color w:val="auto"/>
                <w:sz w:val="21"/>
                <w:szCs w:val="21"/>
                <w:highlight w:val="none"/>
                <w:u w:val="single"/>
              </w:rPr>
            </w:pPr>
          </w:p>
        </w:tc>
        <w:tc>
          <w:tcPr>
            <w:tcW w:w="666" w:type="pct"/>
            <w:tcBorders>
              <w:top w:val="single" w:color="auto" w:sz="4" w:space="0"/>
              <w:left w:val="single" w:color="auto" w:sz="4" w:space="0"/>
              <w:bottom w:val="single" w:color="auto" w:sz="4" w:space="0"/>
              <w:right w:val="single" w:color="auto" w:sz="4" w:space="0"/>
            </w:tcBorders>
          </w:tcPr>
          <w:p w14:paraId="698E12DA">
            <w:pPr>
              <w:shd w:val="clear"/>
              <w:snapToGrid w:val="0"/>
              <w:spacing w:line="360" w:lineRule="auto"/>
              <w:rPr>
                <w:rFonts w:hAnsi="宋体"/>
                <w:color w:val="auto"/>
                <w:sz w:val="21"/>
                <w:szCs w:val="21"/>
                <w:highlight w:val="none"/>
                <w:u w:val="single"/>
              </w:rPr>
            </w:pPr>
          </w:p>
        </w:tc>
        <w:tc>
          <w:tcPr>
            <w:tcW w:w="806" w:type="pct"/>
            <w:tcBorders>
              <w:top w:val="single" w:color="auto" w:sz="4" w:space="0"/>
              <w:left w:val="single" w:color="auto" w:sz="4" w:space="0"/>
              <w:bottom w:val="single" w:color="auto" w:sz="4" w:space="0"/>
              <w:right w:val="single" w:color="auto" w:sz="4" w:space="0"/>
            </w:tcBorders>
          </w:tcPr>
          <w:p w14:paraId="24EFD3F8">
            <w:pPr>
              <w:shd w:val="clear"/>
              <w:snapToGrid w:val="0"/>
              <w:spacing w:line="360" w:lineRule="auto"/>
              <w:rPr>
                <w:rFonts w:hAnsi="宋体"/>
                <w:color w:val="auto"/>
                <w:sz w:val="21"/>
                <w:szCs w:val="21"/>
                <w:highlight w:val="none"/>
                <w:u w:val="single"/>
              </w:rPr>
            </w:pPr>
          </w:p>
        </w:tc>
        <w:tc>
          <w:tcPr>
            <w:tcW w:w="479" w:type="pct"/>
            <w:tcBorders>
              <w:top w:val="single" w:color="auto" w:sz="4" w:space="0"/>
              <w:left w:val="single" w:color="auto" w:sz="4" w:space="0"/>
              <w:bottom w:val="single" w:color="auto" w:sz="4" w:space="0"/>
              <w:right w:val="single" w:color="auto" w:sz="4" w:space="0"/>
            </w:tcBorders>
          </w:tcPr>
          <w:p w14:paraId="3944B0EE">
            <w:pPr>
              <w:shd w:val="clear"/>
              <w:snapToGrid w:val="0"/>
              <w:spacing w:line="360" w:lineRule="auto"/>
              <w:rPr>
                <w:rFonts w:hAnsi="宋体"/>
                <w:color w:val="auto"/>
                <w:sz w:val="21"/>
                <w:szCs w:val="21"/>
                <w:highlight w:val="none"/>
                <w:u w:val="single"/>
              </w:rPr>
            </w:pPr>
          </w:p>
        </w:tc>
      </w:tr>
      <w:tr w14:paraId="55068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 w:type="pct"/>
            <w:tcBorders>
              <w:top w:val="single" w:color="auto" w:sz="4" w:space="0"/>
              <w:left w:val="single" w:color="auto" w:sz="4" w:space="0"/>
              <w:bottom w:val="single" w:color="auto" w:sz="4" w:space="0"/>
              <w:right w:val="single" w:color="auto" w:sz="4" w:space="0"/>
            </w:tcBorders>
            <w:vAlign w:val="center"/>
          </w:tcPr>
          <w:p w14:paraId="05B952C9">
            <w:pPr>
              <w:pStyle w:val="28"/>
              <w:shd w:val="clear"/>
              <w:spacing w:line="360" w:lineRule="auto"/>
              <w:jc w:val="center"/>
              <w:rPr>
                <w:rFonts w:hAnsi="宋体"/>
                <w:color w:val="auto"/>
                <w:szCs w:val="21"/>
                <w:highlight w:val="none"/>
              </w:rPr>
            </w:pPr>
          </w:p>
        </w:tc>
        <w:tc>
          <w:tcPr>
            <w:tcW w:w="1296" w:type="pct"/>
            <w:tcBorders>
              <w:top w:val="single" w:color="auto" w:sz="4" w:space="0"/>
              <w:left w:val="single" w:color="auto" w:sz="4" w:space="0"/>
              <w:bottom w:val="single" w:color="auto" w:sz="4" w:space="0"/>
              <w:right w:val="single" w:color="auto" w:sz="4" w:space="0"/>
            </w:tcBorders>
          </w:tcPr>
          <w:p w14:paraId="163BC82E">
            <w:pPr>
              <w:shd w:val="clear"/>
              <w:snapToGrid w:val="0"/>
              <w:spacing w:line="360" w:lineRule="auto"/>
              <w:rPr>
                <w:rFonts w:hAnsi="宋体"/>
                <w:color w:val="auto"/>
                <w:sz w:val="21"/>
                <w:szCs w:val="21"/>
                <w:highlight w:val="none"/>
                <w:u w:val="single"/>
              </w:rPr>
            </w:pPr>
          </w:p>
        </w:tc>
        <w:tc>
          <w:tcPr>
            <w:tcW w:w="1348" w:type="pct"/>
            <w:tcBorders>
              <w:top w:val="single" w:color="auto" w:sz="4" w:space="0"/>
              <w:left w:val="single" w:color="auto" w:sz="4" w:space="0"/>
              <w:bottom w:val="single" w:color="auto" w:sz="4" w:space="0"/>
              <w:right w:val="single" w:color="auto" w:sz="4" w:space="0"/>
            </w:tcBorders>
          </w:tcPr>
          <w:p w14:paraId="6BA1D97A">
            <w:pPr>
              <w:shd w:val="clear"/>
              <w:snapToGrid w:val="0"/>
              <w:spacing w:line="360" w:lineRule="auto"/>
              <w:rPr>
                <w:rFonts w:hAnsi="宋体"/>
                <w:color w:val="auto"/>
                <w:sz w:val="21"/>
                <w:szCs w:val="21"/>
                <w:highlight w:val="none"/>
                <w:u w:val="single"/>
              </w:rPr>
            </w:pPr>
          </w:p>
        </w:tc>
        <w:tc>
          <w:tcPr>
            <w:tcW w:w="666" w:type="pct"/>
            <w:tcBorders>
              <w:top w:val="single" w:color="auto" w:sz="4" w:space="0"/>
              <w:left w:val="single" w:color="auto" w:sz="4" w:space="0"/>
              <w:bottom w:val="single" w:color="auto" w:sz="4" w:space="0"/>
              <w:right w:val="single" w:color="auto" w:sz="4" w:space="0"/>
            </w:tcBorders>
          </w:tcPr>
          <w:p w14:paraId="7483DE4E">
            <w:pPr>
              <w:shd w:val="clear"/>
              <w:snapToGrid w:val="0"/>
              <w:spacing w:line="360" w:lineRule="auto"/>
              <w:rPr>
                <w:rFonts w:hAnsi="宋体"/>
                <w:color w:val="auto"/>
                <w:sz w:val="21"/>
                <w:szCs w:val="21"/>
                <w:highlight w:val="none"/>
                <w:u w:val="single"/>
              </w:rPr>
            </w:pPr>
          </w:p>
        </w:tc>
        <w:tc>
          <w:tcPr>
            <w:tcW w:w="806" w:type="pct"/>
            <w:tcBorders>
              <w:top w:val="single" w:color="auto" w:sz="4" w:space="0"/>
              <w:left w:val="single" w:color="auto" w:sz="4" w:space="0"/>
              <w:bottom w:val="single" w:color="auto" w:sz="4" w:space="0"/>
              <w:right w:val="single" w:color="auto" w:sz="4" w:space="0"/>
            </w:tcBorders>
          </w:tcPr>
          <w:p w14:paraId="1A385CBC">
            <w:pPr>
              <w:shd w:val="clear"/>
              <w:snapToGrid w:val="0"/>
              <w:spacing w:line="360" w:lineRule="auto"/>
              <w:rPr>
                <w:rFonts w:hAnsi="宋体"/>
                <w:color w:val="auto"/>
                <w:sz w:val="21"/>
                <w:szCs w:val="21"/>
                <w:highlight w:val="none"/>
                <w:u w:val="single"/>
              </w:rPr>
            </w:pPr>
          </w:p>
        </w:tc>
        <w:tc>
          <w:tcPr>
            <w:tcW w:w="479" w:type="pct"/>
            <w:tcBorders>
              <w:top w:val="single" w:color="auto" w:sz="4" w:space="0"/>
              <w:left w:val="single" w:color="auto" w:sz="4" w:space="0"/>
              <w:bottom w:val="single" w:color="auto" w:sz="4" w:space="0"/>
              <w:right w:val="single" w:color="auto" w:sz="4" w:space="0"/>
            </w:tcBorders>
          </w:tcPr>
          <w:p w14:paraId="0AA3E977">
            <w:pPr>
              <w:shd w:val="clear"/>
              <w:snapToGrid w:val="0"/>
              <w:spacing w:line="360" w:lineRule="auto"/>
              <w:rPr>
                <w:rFonts w:hAnsi="宋体"/>
                <w:color w:val="auto"/>
                <w:sz w:val="21"/>
                <w:szCs w:val="21"/>
                <w:highlight w:val="none"/>
                <w:u w:val="single"/>
              </w:rPr>
            </w:pPr>
          </w:p>
        </w:tc>
      </w:tr>
      <w:tr w14:paraId="4B2C6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 w:type="pct"/>
            <w:tcBorders>
              <w:top w:val="single" w:color="auto" w:sz="4" w:space="0"/>
              <w:left w:val="single" w:color="auto" w:sz="4" w:space="0"/>
              <w:bottom w:val="single" w:color="auto" w:sz="4" w:space="0"/>
              <w:right w:val="single" w:color="auto" w:sz="4" w:space="0"/>
            </w:tcBorders>
            <w:vAlign w:val="center"/>
          </w:tcPr>
          <w:p w14:paraId="0D1EA5E4">
            <w:pPr>
              <w:pStyle w:val="28"/>
              <w:shd w:val="clear"/>
              <w:spacing w:line="360" w:lineRule="auto"/>
              <w:jc w:val="center"/>
              <w:rPr>
                <w:rFonts w:hAnsi="宋体"/>
                <w:color w:val="auto"/>
                <w:szCs w:val="21"/>
                <w:highlight w:val="none"/>
              </w:rPr>
            </w:pPr>
          </w:p>
        </w:tc>
        <w:tc>
          <w:tcPr>
            <w:tcW w:w="1296" w:type="pct"/>
            <w:tcBorders>
              <w:top w:val="single" w:color="auto" w:sz="4" w:space="0"/>
              <w:left w:val="single" w:color="auto" w:sz="4" w:space="0"/>
              <w:bottom w:val="single" w:color="auto" w:sz="4" w:space="0"/>
              <w:right w:val="single" w:color="auto" w:sz="4" w:space="0"/>
            </w:tcBorders>
          </w:tcPr>
          <w:p w14:paraId="36790A31">
            <w:pPr>
              <w:shd w:val="clear"/>
              <w:snapToGrid w:val="0"/>
              <w:spacing w:line="360" w:lineRule="auto"/>
              <w:rPr>
                <w:rFonts w:hAnsi="宋体"/>
                <w:color w:val="auto"/>
                <w:sz w:val="21"/>
                <w:szCs w:val="21"/>
                <w:highlight w:val="none"/>
                <w:u w:val="single"/>
              </w:rPr>
            </w:pPr>
          </w:p>
        </w:tc>
        <w:tc>
          <w:tcPr>
            <w:tcW w:w="1348" w:type="pct"/>
            <w:tcBorders>
              <w:top w:val="single" w:color="auto" w:sz="4" w:space="0"/>
              <w:left w:val="single" w:color="auto" w:sz="4" w:space="0"/>
              <w:bottom w:val="single" w:color="auto" w:sz="4" w:space="0"/>
              <w:right w:val="single" w:color="auto" w:sz="4" w:space="0"/>
            </w:tcBorders>
          </w:tcPr>
          <w:p w14:paraId="48E07F38">
            <w:pPr>
              <w:shd w:val="clear"/>
              <w:snapToGrid w:val="0"/>
              <w:spacing w:line="360" w:lineRule="auto"/>
              <w:rPr>
                <w:rFonts w:hAnsi="宋体"/>
                <w:color w:val="auto"/>
                <w:sz w:val="21"/>
                <w:szCs w:val="21"/>
                <w:highlight w:val="none"/>
                <w:u w:val="single"/>
              </w:rPr>
            </w:pPr>
          </w:p>
        </w:tc>
        <w:tc>
          <w:tcPr>
            <w:tcW w:w="666" w:type="pct"/>
            <w:tcBorders>
              <w:top w:val="single" w:color="auto" w:sz="4" w:space="0"/>
              <w:left w:val="single" w:color="auto" w:sz="4" w:space="0"/>
              <w:bottom w:val="single" w:color="auto" w:sz="4" w:space="0"/>
              <w:right w:val="single" w:color="auto" w:sz="4" w:space="0"/>
            </w:tcBorders>
          </w:tcPr>
          <w:p w14:paraId="00D1AE6F">
            <w:pPr>
              <w:shd w:val="clear"/>
              <w:snapToGrid w:val="0"/>
              <w:spacing w:line="360" w:lineRule="auto"/>
              <w:rPr>
                <w:rFonts w:hAnsi="宋体"/>
                <w:color w:val="auto"/>
                <w:sz w:val="21"/>
                <w:szCs w:val="21"/>
                <w:highlight w:val="none"/>
                <w:u w:val="single"/>
              </w:rPr>
            </w:pPr>
          </w:p>
        </w:tc>
        <w:tc>
          <w:tcPr>
            <w:tcW w:w="806" w:type="pct"/>
            <w:tcBorders>
              <w:top w:val="single" w:color="auto" w:sz="4" w:space="0"/>
              <w:left w:val="single" w:color="auto" w:sz="4" w:space="0"/>
              <w:bottom w:val="single" w:color="auto" w:sz="4" w:space="0"/>
              <w:right w:val="single" w:color="auto" w:sz="4" w:space="0"/>
            </w:tcBorders>
          </w:tcPr>
          <w:p w14:paraId="6DC367E3">
            <w:pPr>
              <w:shd w:val="clear"/>
              <w:snapToGrid w:val="0"/>
              <w:spacing w:line="360" w:lineRule="auto"/>
              <w:rPr>
                <w:rFonts w:hAnsi="宋体"/>
                <w:color w:val="auto"/>
                <w:sz w:val="21"/>
                <w:szCs w:val="21"/>
                <w:highlight w:val="none"/>
                <w:u w:val="single"/>
              </w:rPr>
            </w:pPr>
          </w:p>
        </w:tc>
        <w:tc>
          <w:tcPr>
            <w:tcW w:w="479" w:type="pct"/>
            <w:tcBorders>
              <w:top w:val="single" w:color="auto" w:sz="4" w:space="0"/>
              <w:left w:val="single" w:color="auto" w:sz="4" w:space="0"/>
              <w:bottom w:val="single" w:color="auto" w:sz="4" w:space="0"/>
              <w:right w:val="single" w:color="auto" w:sz="4" w:space="0"/>
            </w:tcBorders>
          </w:tcPr>
          <w:p w14:paraId="73ACA1F5">
            <w:pPr>
              <w:shd w:val="clear"/>
              <w:snapToGrid w:val="0"/>
              <w:spacing w:line="360" w:lineRule="auto"/>
              <w:rPr>
                <w:rFonts w:hAnsi="宋体"/>
                <w:color w:val="auto"/>
                <w:sz w:val="21"/>
                <w:szCs w:val="21"/>
                <w:highlight w:val="none"/>
                <w:u w:val="single"/>
              </w:rPr>
            </w:pPr>
          </w:p>
        </w:tc>
      </w:tr>
    </w:tbl>
    <w:p w14:paraId="4AA32614">
      <w:pPr>
        <w:pStyle w:val="28"/>
        <w:shd w:val="clear"/>
        <w:spacing w:line="480" w:lineRule="exact"/>
        <w:rPr>
          <w:rFonts w:hAnsi="宋体"/>
          <w:color w:val="auto"/>
          <w:sz w:val="22"/>
          <w:szCs w:val="22"/>
          <w:highlight w:val="none"/>
        </w:rPr>
      </w:pPr>
    </w:p>
    <w:p w14:paraId="7888E2A1">
      <w:pPr>
        <w:pStyle w:val="28"/>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要求：</w:t>
      </w:r>
    </w:p>
    <w:p w14:paraId="33D2DD18">
      <w:pPr>
        <w:pStyle w:val="28"/>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供应商应当如实、完整地填写本表格，内容包括所有同类或近似项目业绩。根据评分标准提供相应的证明材料。在填写过程中请按年份顺序填写。</w:t>
      </w:r>
    </w:p>
    <w:p w14:paraId="29FFE8E6">
      <w:pPr>
        <w:pStyle w:val="28"/>
        <w:shd w:val="clear"/>
        <w:spacing w:line="360" w:lineRule="auto"/>
        <w:ind w:firstLine="420" w:firstLineChars="200"/>
        <w:rPr>
          <w:rFonts w:hAnsi="宋体"/>
          <w:color w:val="auto"/>
          <w:sz w:val="21"/>
          <w:szCs w:val="21"/>
          <w:highlight w:val="none"/>
        </w:rPr>
      </w:pPr>
    </w:p>
    <w:p w14:paraId="4E9B0149">
      <w:pPr>
        <w:shd w:val="clear"/>
        <w:overflowPunct w:val="0"/>
        <w:spacing w:line="360" w:lineRule="auto"/>
        <w:ind w:firstLine="420" w:firstLineChars="200"/>
        <w:rPr>
          <w:rFonts w:hAnsi="宋体"/>
          <w:color w:val="auto"/>
          <w:sz w:val="21"/>
          <w:szCs w:val="21"/>
          <w:highlight w:val="none"/>
        </w:rPr>
      </w:pPr>
      <w:r>
        <w:rPr>
          <w:rFonts w:hint="eastAsia" w:hAnsi="宋体"/>
          <w:color w:val="auto"/>
          <w:sz w:val="21"/>
          <w:szCs w:val="21"/>
          <w:highlight w:val="none"/>
        </w:rPr>
        <w:t>供应商名称（加盖公章）：</w:t>
      </w:r>
    </w:p>
    <w:p w14:paraId="2FAF19CE">
      <w:pPr>
        <w:shd w:val="clear"/>
        <w:overflowPunct w:val="0"/>
        <w:spacing w:line="360" w:lineRule="auto"/>
        <w:ind w:firstLine="420" w:firstLineChars="200"/>
        <w:rPr>
          <w:rFonts w:hAnsi="宋体"/>
          <w:color w:val="auto"/>
          <w:sz w:val="21"/>
          <w:szCs w:val="21"/>
          <w:highlight w:val="none"/>
        </w:rPr>
      </w:pPr>
      <w:r>
        <w:rPr>
          <w:rFonts w:hint="eastAsia" w:hAnsi="宋体"/>
          <w:color w:val="auto"/>
          <w:sz w:val="21"/>
          <w:szCs w:val="21"/>
          <w:highlight w:val="none"/>
        </w:rPr>
        <w:t>供应商法定代表人或受委托人（签名或盖私章）：</w:t>
      </w:r>
    </w:p>
    <w:p w14:paraId="3639C199">
      <w:pPr>
        <w:shd w:val="clear"/>
        <w:overflowPunct w:val="0"/>
        <w:spacing w:line="360" w:lineRule="auto"/>
        <w:ind w:firstLine="420" w:firstLineChars="200"/>
        <w:rPr>
          <w:rFonts w:hAnsi="宋体"/>
          <w:color w:val="auto"/>
          <w:sz w:val="21"/>
          <w:szCs w:val="21"/>
          <w:highlight w:val="none"/>
        </w:rPr>
      </w:pPr>
      <w:r>
        <w:rPr>
          <w:rFonts w:hint="eastAsia" w:hAnsi="宋体"/>
          <w:color w:val="auto"/>
          <w:sz w:val="21"/>
          <w:szCs w:val="21"/>
          <w:highlight w:val="none"/>
        </w:rPr>
        <w:t>日期：</w:t>
      </w:r>
      <w:r>
        <w:rPr>
          <w:rFonts w:hint="eastAsia" w:hAnsi="宋体"/>
          <w:color w:val="auto"/>
          <w:sz w:val="21"/>
          <w:szCs w:val="21"/>
          <w:highlight w:val="none"/>
          <w:lang w:val="en-US" w:eastAsia="zh-CN"/>
        </w:rPr>
        <w:t xml:space="preserve">   </w:t>
      </w:r>
      <w:r>
        <w:rPr>
          <w:rFonts w:hint="eastAsia" w:hAnsi="宋体"/>
          <w:color w:val="auto"/>
          <w:sz w:val="21"/>
          <w:szCs w:val="21"/>
          <w:highlight w:val="none"/>
        </w:rPr>
        <w:t>年</w:t>
      </w:r>
      <w:r>
        <w:rPr>
          <w:rFonts w:hint="eastAsia" w:hAnsi="宋体"/>
          <w:color w:val="auto"/>
          <w:sz w:val="21"/>
          <w:szCs w:val="21"/>
          <w:highlight w:val="none"/>
          <w:lang w:val="en-US" w:eastAsia="zh-CN"/>
        </w:rPr>
        <w:t xml:space="preserve">    </w:t>
      </w:r>
      <w:r>
        <w:rPr>
          <w:rFonts w:hint="eastAsia" w:hAnsi="宋体"/>
          <w:color w:val="auto"/>
          <w:sz w:val="21"/>
          <w:szCs w:val="21"/>
          <w:highlight w:val="none"/>
        </w:rPr>
        <w:t>月</w:t>
      </w:r>
      <w:r>
        <w:rPr>
          <w:rFonts w:hint="eastAsia" w:hAnsi="宋体"/>
          <w:color w:val="auto"/>
          <w:sz w:val="21"/>
          <w:szCs w:val="21"/>
          <w:highlight w:val="none"/>
          <w:lang w:val="en-US" w:eastAsia="zh-CN"/>
        </w:rPr>
        <w:t xml:space="preserve">      </w:t>
      </w:r>
      <w:r>
        <w:rPr>
          <w:rFonts w:hint="eastAsia" w:hAnsi="宋体"/>
          <w:color w:val="auto"/>
          <w:sz w:val="21"/>
          <w:szCs w:val="21"/>
          <w:highlight w:val="none"/>
        </w:rPr>
        <w:t>日</w:t>
      </w:r>
    </w:p>
    <w:p w14:paraId="09B6303E">
      <w:pPr>
        <w:pStyle w:val="3"/>
        <w:numPr>
          <w:ilvl w:val="0"/>
          <w:numId w:val="20"/>
        </w:numPr>
        <w:shd w:val="clear"/>
        <w:jc w:val="center"/>
        <w:rPr>
          <w:b w:val="0"/>
          <w:bCs/>
          <w:color w:val="auto"/>
          <w:sz w:val="28"/>
          <w:highlight w:val="none"/>
        </w:rPr>
      </w:pPr>
      <w:r>
        <w:rPr>
          <w:color w:val="auto"/>
          <w:sz w:val="22"/>
          <w:szCs w:val="22"/>
          <w:highlight w:val="none"/>
        </w:rPr>
        <w:br w:type="page"/>
      </w:r>
      <w:bookmarkStart w:id="246" w:name="_Toc17432"/>
      <w:bookmarkStart w:id="247" w:name="_Toc7897897"/>
      <w:bookmarkStart w:id="248" w:name="_Toc23633"/>
      <w:bookmarkStart w:id="249" w:name="_Toc6882"/>
      <w:r>
        <w:rPr>
          <w:rFonts w:hint="eastAsia"/>
          <w:bCs/>
          <w:color w:val="auto"/>
          <w:sz w:val="28"/>
          <w:highlight w:val="none"/>
        </w:rPr>
        <w:t>在经营活动中没有重大违法记录的书面声明</w:t>
      </w:r>
      <w:bookmarkEnd w:id="246"/>
      <w:bookmarkEnd w:id="247"/>
      <w:bookmarkEnd w:id="248"/>
      <w:bookmarkEnd w:id="249"/>
    </w:p>
    <w:p w14:paraId="0B73E8FF">
      <w:pPr>
        <w:pStyle w:val="77"/>
        <w:shd w:val="clear"/>
        <w:ind w:firstLine="0" w:firstLineChars="0"/>
        <w:jc w:val="center"/>
        <w:rPr>
          <w:rFonts w:ascii="宋体" w:eastAsia="宋体"/>
          <w:b/>
          <w:color w:val="auto"/>
          <w:sz w:val="28"/>
          <w:highlight w:val="none"/>
        </w:rPr>
      </w:pPr>
    </w:p>
    <w:p w14:paraId="0E065599">
      <w:pPr>
        <w:shd w:val="clear"/>
        <w:spacing w:line="360" w:lineRule="auto"/>
        <w:rPr>
          <w:rFonts w:hAnsi="宋体"/>
          <w:color w:val="auto"/>
          <w:sz w:val="21"/>
          <w:szCs w:val="21"/>
          <w:highlight w:val="none"/>
          <w:u w:val="single"/>
        </w:rPr>
      </w:pPr>
      <w:r>
        <w:rPr>
          <w:rFonts w:hint="eastAsia" w:hAnsi="宋体"/>
          <w:color w:val="auto"/>
          <w:sz w:val="21"/>
          <w:szCs w:val="21"/>
          <w:highlight w:val="none"/>
        </w:rPr>
        <w:t>致：</w:t>
      </w:r>
      <w:r>
        <w:rPr>
          <w:rFonts w:hint="eastAsia" w:hAnsi="宋体" w:cs="宋体"/>
          <w:b w:val="0"/>
          <w:color w:val="auto"/>
          <w:sz w:val="21"/>
          <w:szCs w:val="21"/>
          <w:highlight w:val="none"/>
          <w:lang w:eastAsia="zh-CN"/>
        </w:rPr>
        <w:t>东莞市东厚安居建设有限公司</w:t>
      </w:r>
      <w:r>
        <w:rPr>
          <w:rFonts w:hint="eastAsia" w:ascii="宋体" w:hAnsi="宋体" w:eastAsia="宋体" w:cs="宋体"/>
          <w:b w:val="0"/>
          <w:color w:val="auto"/>
          <w:sz w:val="21"/>
          <w:szCs w:val="21"/>
          <w:highlight w:val="none"/>
          <w:lang w:eastAsia="zh-CN"/>
        </w:rPr>
        <w:t>、</w:t>
      </w:r>
      <w:r>
        <w:rPr>
          <w:rFonts w:hint="eastAsia" w:hAnsi="宋体" w:cs="宋体"/>
          <w:b w:val="0"/>
          <w:color w:val="auto"/>
          <w:sz w:val="21"/>
          <w:szCs w:val="21"/>
          <w:highlight w:val="none"/>
          <w:lang w:eastAsia="zh-CN"/>
        </w:rPr>
        <w:t>广东有德招标采购有限公司</w:t>
      </w:r>
    </w:p>
    <w:p w14:paraId="2A4BC755">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本公司参加</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rPr>
        <w:t>采购项目（</w:t>
      </w:r>
      <w:r>
        <w:rPr>
          <w:rFonts w:hint="eastAsia" w:hAnsi="宋体"/>
          <w:color w:val="auto"/>
          <w:sz w:val="21"/>
          <w:szCs w:val="21"/>
          <w:highlight w:val="none"/>
          <w:lang w:val="en-US" w:eastAsia="zh-CN"/>
        </w:rPr>
        <w:t>项目</w:t>
      </w:r>
      <w:r>
        <w:rPr>
          <w:rFonts w:hint="eastAsia" w:hAnsi="宋体"/>
          <w:color w:val="auto"/>
          <w:sz w:val="21"/>
          <w:szCs w:val="21"/>
          <w:highlight w:val="none"/>
        </w:rPr>
        <w:t>编号</w:t>
      </w:r>
      <w:r>
        <w:rPr>
          <w:rFonts w:hint="eastAsia" w:hAnsi="宋体"/>
          <w:color w:val="auto"/>
          <w:sz w:val="21"/>
          <w:szCs w:val="21"/>
          <w:highlight w:val="none"/>
          <w:lang w:eastAsia="zh-CN"/>
        </w:rPr>
        <w:t>：</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rPr>
        <w:t>）的采购活动，并声明：</w:t>
      </w:r>
    </w:p>
    <w:p w14:paraId="59F47FB7">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本公司参加本采购项目采购前3年内在经营活动中没有因违法经营受到刑事处罚或者责令停产停业、吊销许可证或者执照、较大数额罚款等行政处罚。</w:t>
      </w:r>
    </w:p>
    <w:p w14:paraId="53D21EF6">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特此声明！</w:t>
      </w:r>
    </w:p>
    <w:p w14:paraId="7D0B9489">
      <w:pPr>
        <w:shd w:val="clear"/>
        <w:rPr>
          <w:rFonts w:hAnsi="宋体"/>
          <w:color w:val="auto"/>
          <w:sz w:val="21"/>
          <w:szCs w:val="21"/>
          <w:highlight w:val="none"/>
        </w:rPr>
      </w:pPr>
    </w:p>
    <w:p w14:paraId="0850E2AD">
      <w:pPr>
        <w:shd w:val="clear"/>
        <w:rPr>
          <w:rFonts w:hAnsi="宋体"/>
          <w:color w:val="auto"/>
          <w:sz w:val="21"/>
          <w:szCs w:val="21"/>
          <w:highlight w:val="none"/>
        </w:rPr>
      </w:pPr>
    </w:p>
    <w:p w14:paraId="1B8AA792">
      <w:pPr>
        <w:shd w:val="clear"/>
        <w:overflowPunct w:val="0"/>
        <w:spacing w:line="360" w:lineRule="auto"/>
        <w:rPr>
          <w:rFonts w:hAnsi="宋体"/>
          <w:color w:val="auto"/>
          <w:sz w:val="21"/>
          <w:szCs w:val="21"/>
          <w:highlight w:val="none"/>
        </w:rPr>
      </w:pPr>
      <w:r>
        <w:rPr>
          <w:rFonts w:hint="eastAsia" w:hAnsi="宋体"/>
          <w:color w:val="auto"/>
          <w:sz w:val="21"/>
          <w:szCs w:val="21"/>
          <w:highlight w:val="none"/>
        </w:rPr>
        <w:t>供应商名称（加盖公章）：</w:t>
      </w:r>
    </w:p>
    <w:p w14:paraId="42BCB48E">
      <w:pPr>
        <w:shd w:val="clear"/>
        <w:overflowPunct w:val="0"/>
        <w:spacing w:line="360" w:lineRule="auto"/>
        <w:rPr>
          <w:rFonts w:hAnsi="宋体"/>
          <w:color w:val="auto"/>
          <w:sz w:val="21"/>
          <w:szCs w:val="21"/>
          <w:highlight w:val="none"/>
        </w:rPr>
      </w:pPr>
      <w:r>
        <w:rPr>
          <w:rFonts w:hint="eastAsia" w:hAnsi="宋体"/>
          <w:color w:val="auto"/>
          <w:sz w:val="21"/>
          <w:szCs w:val="21"/>
          <w:highlight w:val="none"/>
        </w:rPr>
        <w:t>供应商法定代表人或受委托人（签名或盖私章）：</w:t>
      </w:r>
    </w:p>
    <w:p w14:paraId="6717EF9F">
      <w:pPr>
        <w:shd w:val="clear"/>
        <w:overflowPunct w:val="0"/>
        <w:spacing w:line="360" w:lineRule="auto"/>
        <w:rPr>
          <w:rFonts w:hAnsi="宋体"/>
          <w:color w:val="auto"/>
          <w:sz w:val="21"/>
          <w:szCs w:val="21"/>
          <w:highlight w:val="none"/>
        </w:rPr>
      </w:pPr>
      <w:r>
        <w:rPr>
          <w:rFonts w:hint="eastAsia" w:hAnsi="宋体"/>
          <w:color w:val="auto"/>
          <w:sz w:val="21"/>
          <w:szCs w:val="21"/>
          <w:highlight w:val="none"/>
        </w:rPr>
        <w:t>日期：</w:t>
      </w:r>
      <w:r>
        <w:rPr>
          <w:rFonts w:hint="eastAsia" w:hAnsi="宋体"/>
          <w:color w:val="auto"/>
          <w:sz w:val="21"/>
          <w:szCs w:val="21"/>
          <w:highlight w:val="none"/>
          <w:lang w:val="en-US" w:eastAsia="zh-CN"/>
        </w:rPr>
        <w:t xml:space="preserve">     </w:t>
      </w:r>
      <w:r>
        <w:rPr>
          <w:rFonts w:hint="eastAsia" w:hAnsi="宋体"/>
          <w:color w:val="auto"/>
          <w:sz w:val="21"/>
          <w:szCs w:val="21"/>
          <w:highlight w:val="none"/>
        </w:rPr>
        <w:t>年</w:t>
      </w:r>
      <w:r>
        <w:rPr>
          <w:rFonts w:hint="eastAsia" w:hAnsi="宋体"/>
          <w:color w:val="auto"/>
          <w:sz w:val="21"/>
          <w:szCs w:val="21"/>
          <w:highlight w:val="none"/>
          <w:lang w:val="en-US" w:eastAsia="zh-CN"/>
        </w:rPr>
        <w:t xml:space="preserve">     </w:t>
      </w:r>
      <w:r>
        <w:rPr>
          <w:rFonts w:hint="eastAsia" w:hAnsi="宋体"/>
          <w:color w:val="auto"/>
          <w:sz w:val="21"/>
          <w:szCs w:val="21"/>
          <w:highlight w:val="none"/>
        </w:rPr>
        <w:t>月</w:t>
      </w:r>
      <w:r>
        <w:rPr>
          <w:rFonts w:hint="eastAsia" w:hAnsi="宋体"/>
          <w:color w:val="auto"/>
          <w:sz w:val="21"/>
          <w:szCs w:val="21"/>
          <w:highlight w:val="none"/>
          <w:lang w:val="en-US" w:eastAsia="zh-CN"/>
        </w:rPr>
        <w:t xml:space="preserve">      </w:t>
      </w:r>
      <w:r>
        <w:rPr>
          <w:rFonts w:hint="eastAsia" w:hAnsi="宋体"/>
          <w:color w:val="auto"/>
          <w:sz w:val="21"/>
          <w:szCs w:val="21"/>
          <w:highlight w:val="none"/>
        </w:rPr>
        <w:t>日</w:t>
      </w:r>
    </w:p>
    <w:bookmarkEnd w:id="208"/>
    <w:bookmarkEnd w:id="209"/>
    <w:bookmarkEnd w:id="210"/>
    <w:bookmarkEnd w:id="211"/>
    <w:bookmarkEnd w:id="212"/>
    <w:bookmarkEnd w:id="213"/>
    <w:bookmarkEnd w:id="214"/>
    <w:p w14:paraId="08A2CA4B">
      <w:pPr>
        <w:rPr>
          <w:color w:val="auto"/>
          <w:highlight w:val="none"/>
        </w:rPr>
      </w:pPr>
      <w:bookmarkStart w:id="250" w:name="_Toc110953865"/>
      <w:bookmarkStart w:id="251" w:name="_Toc480020290"/>
      <w:bookmarkStart w:id="252" w:name="_Toc480171915"/>
      <w:bookmarkStart w:id="253" w:name="_Toc467236774"/>
      <w:bookmarkStart w:id="254" w:name="_Toc454701411"/>
      <w:bookmarkStart w:id="255" w:name="_Toc35233726"/>
      <w:bookmarkStart w:id="256" w:name="_Toc467987857"/>
      <w:bookmarkStart w:id="257" w:name="_Toc468606065"/>
      <w:bookmarkStart w:id="258" w:name="_Toc458262644"/>
      <w:bookmarkStart w:id="259" w:name="_Toc479991617"/>
      <w:bookmarkStart w:id="260" w:name="_Toc468157570"/>
      <w:bookmarkStart w:id="261" w:name="_Toc480021086"/>
      <w:bookmarkStart w:id="262" w:name="_Toc480010743"/>
      <w:r>
        <w:rPr>
          <w:color w:val="auto"/>
          <w:highlight w:val="none"/>
        </w:rPr>
        <w:br w:type="page"/>
      </w:r>
      <w:bookmarkEnd w:id="250"/>
      <w:bookmarkStart w:id="263" w:name="_Toc2461"/>
      <w:bookmarkStart w:id="264" w:name="_Toc18024"/>
      <w:bookmarkStart w:id="265" w:name="_Toc7897900"/>
      <w:bookmarkStart w:id="266" w:name="_Toc8181"/>
    </w:p>
    <w:p w14:paraId="468A2939">
      <w:pPr>
        <w:pStyle w:val="3"/>
        <w:numPr>
          <w:ilvl w:val="0"/>
          <w:numId w:val="20"/>
        </w:numPr>
        <w:shd w:val="clear"/>
        <w:jc w:val="center"/>
        <w:rPr>
          <w:b/>
          <w:bCs/>
          <w:color w:val="auto"/>
          <w:sz w:val="28"/>
          <w:szCs w:val="28"/>
          <w:highlight w:val="none"/>
        </w:rPr>
      </w:pPr>
      <w:r>
        <w:rPr>
          <w:rFonts w:hint="eastAsia"/>
          <w:b/>
          <w:bCs/>
          <w:color w:val="auto"/>
          <w:sz w:val="28"/>
          <w:szCs w:val="28"/>
          <w:highlight w:val="none"/>
        </w:rPr>
        <w:t>供应商资格证明文件</w:t>
      </w:r>
    </w:p>
    <w:p w14:paraId="45558BC2">
      <w:pPr>
        <w:rPr>
          <w:b w:val="0"/>
          <w:color w:val="auto"/>
          <w:sz w:val="28"/>
          <w:szCs w:val="28"/>
          <w:highlight w:val="none"/>
        </w:rPr>
      </w:pPr>
      <w:r>
        <w:rPr>
          <w:rFonts w:hint="eastAsia"/>
          <w:color w:val="auto"/>
          <w:sz w:val="28"/>
          <w:szCs w:val="28"/>
          <w:highlight w:val="none"/>
        </w:rPr>
        <w:br w:type="page"/>
      </w:r>
    </w:p>
    <w:p w14:paraId="6BDDBC4A">
      <w:pPr>
        <w:pStyle w:val="3"/>
        <w:numPr>
          <w:ilvl w:val="0"/>
          <w:numId w:val="20"/>
        </w:numPr>
        <w:shd w:val="clear"/>
        <w:jc w:val="center"/>
        <w:rPr>
          <w:b w:val="0"/>
          <w:color w:val="auto"/>
          <w:sz w:val="28"/>
          <w:szCs w:val="28"/>
          <w:highlight w:val="none"/>
        </w:rPr>
      </w:pPr>
      <w:r>
        <w:rPr>
          <w:rFonts w:hint="eastAsia"/>
          <w:color w:val="auto"/>
          <w:sz w:val="28"/>
          <w:szCs w:val="28"/>
          <w:highlight w:val="none"/>
        </w:rPr>
        <w:t>针对本项目拟派人员及其技术资格一览表</w:t>
      </w:r>
      <w:bookmarkEnd w:id="263"/>
      <w:bookmarkEnd w:id="264"/>
      <w:bookmarkEnd w:id="265"/>
      <w:bookmarkEnd w:id="266"/>
    </w:p>
    <w:p w14:paraId="4A0DDA3F">
      <w:pPr>
        <w:pStyle w:val="28"/>
        <w:shd w:val="clear"/>
        <w:spacing w:line="480" w:lineRule="exact"/>
        <w:ind w:left="-202" w:leftChars="-84" w:firstLine="241" w:firstLineChars="100"/>
        <w:rPr>
          <w:rFonts w:hAnsi="宋体"/>
          <w:b/>
          <w:color w:val="auto"/>
          <w:sz w:val="24"/>
          <w:szCs w:val="21"/>
          <w:highlight w:val="none"/>
        </w:rPr>
      </w:pPr>
    </w:p>
    <w:p w14:paraId="6A87D040">
      <w:pPr>
        <w:pStyle w:val="28"/>
        <w:shd w:val="clear"/>
        <w:spacing w:line="480" w:lineRule="exact"/>
        <w:ind w:left="-202" w:leftChars="-84" w:firstLine="221" w:firstLineChars="100"/>
        <w:rPr>
          <w:rFonts w:hAnsi="宋体"/>
          <w:b/>
          <w:color w:val="auto"/>
          <w:sz w:val="22"/>
          <w:szCs w:val="22"/>
          <w:highlight w:val="none"/>
          <w:u w:val="single"/>
        </w:rPr>
      </w:pPr>
    </w:p>
    <w:tbl>
      <w:tblPr>
        <w:tblStyle w:val="53"/>
        <w:tblW w:w="93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1026"/>
        <w:gridCol w:w="877"/>
        <w:gridCol w:w="1533"/>
        <w:gridCol w:w="1357"/>
        <w:gridCol w:w="1200"/>
        <w:gridCol w:w="1403"/>
        <w:gridCol w:w="1403"/>
      </w:tblGrid>
      <w:tr w14:paraId="75659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34" w:type="dxa"/>
            <w:vAlign w:val="center"/>
          </w:tcPr>
          <w:p w14:paraId="2FFA0953">
            <w:pPr>
              <w:pStyle w:val="28"/>
              <w:shd w:val="clear"/>
              <w:spacing w:line="480" w:lineRule="exact"/>
              <w:jc w:val="center"/>
              <w:rPr>
                <w:rFonts w:hAnsi="宋体"/>
                <w:b/>
                <w:color w:val="auto"/>
                <w:szCs w:val="21"/>
                <w:highlight w:val="none"/>
              </w:rPr>
            </w:pPr>
            <w:r>
              <w:rPr>
                <w:rFonts w:hint="eastAsia" w:hAnsi="宋体"/>
                <w:b/>
                <w:color w:val="auto"/>
                <w:szCs w:val="21"/>
                <w:highlight w:val="none"/>
              </w:rPr>
              <w:t>序号</w:t>
            </w:r>
          </w:p>
        </w:tc>
        <w:tc>
          <w:tcPr>
            <w:tcW w:w="1026" w:type="dxa"/>
            <w:vAlign w:val="center"/>
          </w:tcPr>
          <w:p w14:paraId="625DC407">
            <w:pPr>
              <w:pStyle w:val="28"/>
              <w:shd w:val="clear"/>
              <w:spacing w:line="480" w:lineRule="exact"/>
              <w:jc w:val="center"/>
              <w:rPr>
                <w:rFonts w:hAnsi="宋体"/>
                <w:b/>
                <w:color w:val="auto"/>
                <w:szCs w:val="21"/>
                <w:highlight w:val="none"/>
              </w:rPr>
            </w:pPr>
            <w:r>
              <w:rPr>
                <w:rFonts w:hint="eastAsia" w:hAnsi="宋体"/>
                <w:b/>
                <w:color w:val="auto"/>
                <w:szCs w:val="21"/>
                <w:highlight w:val="none"/>
              </w:rPr>
              <w:t>姓名</w:t>
            </w:r>
          </w:p>
        </w:tc>
        <w:tc>
          <w:tcPr>
            <w:tcW w:w="877" w:type="dxa"/>
            <w:vAlign w:val="center"/>
          </w:tcPr>
          <w:p w14:paraId="30531E54">
            <w:pPr>
              <w:pStyle w:val="28"/>
              <w:shd w:val="clear"/>
              <w:spacing w:line="480" w:lineRule="exact"/>
              <w:jc w:val="center"/>
              <w:rPr>
                <w:rFonts w:hAnsi="宋体"/>
                <w:b/>
                <w:color w:val="auto"/>
                <w:szCs w:val="21"/>
                <w:highlight w:val="none"/>
              </w:rPr>
            </w:pPr>
            <w:r>
              <w:rPr>
                <w:rFonts w:hint="eastAsia" w:hAnsi="宋体"/>
                <w:b/>
                <w:color w:val="auto"/>
                <w:szCs w:val="21"/>
                <w:highlight w:val="none"/>
              </w:rPr>
              <w:t>职位</w:t>
            </w:r>
          </w:p>
        </w:tc>
        <w:tc>
          <w:tcPr>
            <w:tcW w:w="1533" w:type="dxa"/>
          </w:tcPr>
          <w:p w14:paraId="1215B9F5">
            <w:pPr>
              <w:pStyle w:val="28"/>
              <w:shd w:val="clear"/>
              <w:spacing w:line="480" w:lineRule="exact"/>
              <w:jc w:val="center"/>
              <w:rPr>
                <w:rFonts w:hAnsi="宋体"/>
                <w:b/>
                <w:color w:val="auto"/>
                <w:szCs w:val="21"/>
                <w:highlight w:val="none"/>
              </w:rPr>
            </w:pPr>
            <w:r>
              <w:rPr>
                <w:rFonts w:hint="eastAsia" w:hAnsi="宋体"/>
                <w:b/>
                <w:color w:val="auto"/>
                <w:szCs w:val="21"/>
                <w:highlight w:val="none"/>
              </w:rPr>
              <w:t>拟在本项目担任职务</w:t>
            </w:r>
          </w:p>
        </w:tc>
        <w:tc>
          <w:tcPr>
            <w:tcW w:w="1357" w:type="dxa"/>
            <w:vAlign w:val="center"/>
          </w:tcPr>
          <w:p w14:paraId="375DCD70">
            <w:pPr>
              <w:pStyle w:val="28"/>
              <w:shd w:val="clear"/>
              <w:spacing w:line="480" w:lineRule="exact"/>
              <w:jc w:val="center"/>
              <w:rPr>
                <w:rFonts w:hAnsi="宋体"/>
                <w:b/>
                <w:color w:val="auto"/>
                <w:szCs w:val="21"/>
                <w:highlight w:val="none"/>
              </w:rPr>
            </w:pPr>
            <w:r>
              <w:rPr>
                <w:rFonts w:hint="eastAsia" w:hAnsi="宋体"/>
                <w:b/>
                <w:color w:val="auto"/>
                <w:szCs w:val="21"/>
                <w:highlight w:val="none"/>
              </w:rPr>
              <w:t>专业、资格证件</w:t>
            </w:r>
          </w:p>
        </w:tc>
        <w:tc>
          <w:tcPr>
            <w:tcW w:w="1200" w:type="dxa"/>
            <w:vAlign w:val="center"/>
          </w:tcPr>
          <w:p w14:paraId="6A68461E">
            <w:pPr>
              <w:pStyle w:val="28"/>
              <w:shd w:val="clear"/>
              <w:spacing w:line="480" w:lineRule="exact"/>
              <w:jc w:val="center"/>
              <w:rPr>
                <w:rFonts w:hAnsi="宋体"/>
                <w:b/>
                <w:color w:val="auto"/>
                <w:szCs w:val="21"/>
                <w:highlight w:val="none"/>
              </w:rPr>
            </w:pPr>
            <w:r>
              <w:rPr>
                <w:rFonts w:hint="eastAsia" w:hAnsi="宋体"/>
                <w:b/>
                <w:color w:val="auto"/>
                <w:szCs w:val="21"/>
                <w:highlight w:val="none"/>
              </w:rPr>
              <w:t>发证时间</w:t>
            </w:r>
          </w:p>
        </w:tc>
        <w:tc>
          <w:tcPr>
            <w:tcW w:w="1403" w:type="dxa"/>
            <w:vAlign w:val="center"/>
          </w:tcPr>
          <w:p w14:paraId="7747F923">
            <w:pPr>
              <w:pStyle w:val="28"/>
              <w:shd w:val="clear"/>
              <w:spacing w:line="480" w:lineRule="exact"/>
              <w:jc w:val="center"/>
              <w:rPr>
                <w:rFonts w:hAnsi="宋体"/>
                <w:b/>
                <w:color w:val="auto"/>
                <w:szCs w:val="21"/>
                <w:highlight w:val="none"/>
              </w:rPr>
            </w:pPr>
            <w:r>
              <w:rPr>
                <w:rFonts w:hint="eastAsia" w:hAnsi="宋体"/>
                <w:b/>
                <w:color w:val="auto"/>
                <w:szCs w:val="21"/>
                <w:highlight w:val="none"/>
              </w:rPr>
              <w:t>经验年限</w:t>
            </w:r>
          </w:p>
        </w:tc>
        <w:tc>
          <w:tcPr>
            <w:tcW w:w="1403" w:type="dxa"/>
          </w:tcPr>
          <w:p w14:paraId="6B06F4B1">
            <w:pPr>
              <w:pStyle w:val="28"/>
              <w:shd w:val="clear"/>
              <w:spacing w:line="480" w:lineRule="exact"/>
              <w:jc w:val="center"/>
              <w:rPr>
                <w:rFonts w:hAnsi="宋体"/>
                <w:b/>
                <w:color w:val="auto"/>
                <w:szCs w:val="21"/>
                <w:highlight w:val="none"/>
              </w:rPr>
            </w:pPr>
            <w:r>
              <w:rPr>
                <w:rFonts w:hint="eastAsia" w:hAnsi="宋体"/>
                <w:b/>
                <w:color w:val="auto"/>
                <w:szCs w:val="21"/>
                <w:highlight w:val="none"/>
              </w:rPr>
              <w:t>主要承担过的项目</w:t>
            </w:r>
          </w:p>
        </w:tc>
      </w:tr>
      <w:tr w14:paraId="677D6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08500825">
            <w:pPr>
              <w:pStyle w:val="28"/>
              <w:shd w:val="clear"/>
              <w:spacing w:line="480" w:lineRule="exact"/>
              <w:jc w:val="center"/>
              <w:rPr>
                <w:rFonts w:hAnsi="宋体"/>
                <w:color w:val="auto"/>
                <w:szCs w:val="21"/>
                <w:highlight w:val="none"/>
              </w:rPr>
            </w:pPr>
          </w:p>
        </w:tc>
        <w:tc>
          <w:tcPr>
            <w:tcW w:w="1026" w:type="dxa"/>
            <w:vAlign w:val="center"/>
          </w:tcPr>
          <w:p w14:paraId="60A78DFD">
            <w:pPr>
              <w:pStyle w:val="28"/>
              <w:shd w:val="clear"/>
              <w:spacing w:line="480" w:lineRule="exact"/>
              <w:jc w:val="center"/>
              <w:rPr>
                <w:rFonts w:hAnsi="宋体"/>
                <w:color w:val="auto"/>
                <w:szCs w:val="21"/>
                <w:highlight w:val="none"/>
              </w:rPr>
            </w:pPr>
          </w:p>
        </w:tc>
        <w:tc>
          <w:tcPr>
            <w:tcW w:w="877" w:type="dxa"/>
            <w:vAlign w:val="center"/>
          </w:tcPr>
          <w:p w14:paraId="1189B937">
            <w:pPr>
              <w:pStyle w:val="28"/>
              <w:shd w:val="clear"/>
              <w:spacing w:line="480" w:lineRule="exact"/>
              <w:jc w:val="center"/>
              <w:rPr>
                <w:rFonts w:hAnsi="宋体"/>
                <w:color w:val="auto"/>
                <w:szCs w:val="21"/>
                <w:highlight w:val="none"/>
              </w:rPr>
            </w:pPr>
          </w:p>
        </w:tc>
        <w:tc>
          <w:tcPr>
            <w:tcW w:w="1533" w:type="dxa"/>
          </w:tcPr>
          <w:p w14:paraId="2788EF72">
            <w:pPr>
              <w:pStyle w:val="28"/>
              <w:shd w:val="clear"/>
              <w:spacing w:line="480" w:lineRule="exact"/>
              <w:jc w:val="center"/>
              <w:rPr>
                <w:rFonts w:hAnsi="宋体"/>
                <w:color w:val="auto"/>
                <w:szCs w:val="21"/>
                <w:highlight w:val="none"/>
              </w:rPr>
            </w:pPr>
            <w:r>
              <w:rPr>
                <w:rFonts w:hint="eastAsia" w:hAnsi="宋体"/>
                <w:color w:val="auto"/>
                <w:szCs w:val="21"/>
                <w:highlight w:val="none"/>
              </w:rPr>
              <w:t>项目负责人</w:t>
            </w:r>
          </w:p>
        </w:tc>
        <w:tc>
          <w:tcPr>
            <w:tcW w:w="1357" w:type="dxa"/>
            <w:vAlign w:val="center"/>
          </w:tcPr>
          <w:p w14:paraId="01387F58">
            <w:pPr>
              <w:pStyle w:val="28"/>
              <w:shd w:val="clear"/>
              <w:spacing w:line="480" w:lineRule="exact"/>
              <w:jc w:val="center"/>
              <w:rPr>
                <w:rFonts w:hAnsi="宋体"/>
                <w:color w:val="auto"/>
                <w:szCs w:val="21"/>
                <w:highlight w:val="none"/>
              </w:rPr>
            </w:pPr>
          </w:p>
        </w:tc>
        <w:tc>
          <w:tcPr>
            <w:tcW w:w="1200" w:type="dxa"/>
            <w:vAlign w:val="center"/>
          </w:tcPr>
          <w:p w14:paraId="54F7A64A">
            <w:pPr>
              <w:pStyle w:val="28"/>
              <w:shd w:val="clear"/>
              <w:spacing w:line="480" w:lineRule="exact"/>
              <w:jc w:val="center"/>
              <w:rPr>
                <w:rFonts w:hAnsi="宋体"/>
                <w:color w:val="auto"/>
                <w:szCs w:val="21"/>
                <w:highlight w:val="none"/>
              </w:rPr>
            </w:pPr>
          </w:p>
        </w:tc>
        <w:tc>
          <w:tcPr>
            <w:tcW w:w="1403" w:type="dxa"/>
            <w:vAlign w:val="center"/>
          </w:tcPr>
          <w:p w14:paraId="4C71F52A">
            <w:pPr>
              <w:pStyle w:val="28"/>
              <w:shd w:val="clear"/>
              <w:spacing w:line="480" w:lineRule="exact"/>
              <w:jc w:val="center"/>
              <w:rPr>
                <w:rFonts w:hAnsi="宋体"/>
                <w:color w:val="auto"/>
                <w:szCs w:val="21"/>
                <w:highlight w:val="none"/>
              </w:rPr>
            </w:pPr>
          </w:p>
        </w:tc>
        <w:tc>
          <w:tcPr>
            <w:tcW w:w="1403" w:type="dxa"/>
          </w:tcPr>
          <w:p w14:paraId="25665A35">
            <w:pPr>
              <w:pStyle w:val="28"/>
              <w:shd w:val="clear"/>
              <w:spacing w:line="480" w:lineRule="exact"/>
              <w:jc w:val="center"/>
              <w:rPr>
                <w:rFonts w:hAnsi="宋体"/>
                <w:color w:val="auto"/>
                <w:szCs w:val="21"/>
                <w:highlight w:val="none"/>
              </w:rPr>
            </w:pPr>
          </w:p>
        </w:tc>
      </w:tr>
      <w:tr w14:paraId="3A87A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5903D2DE">
            <w:pPr>
              <w:pStyle w:val="28"/>
              <w:shd w:val="clear"/>
              <w:spacing w:line="480" w:lineRule="exact"/>
              <w:jc w:val="center"/>
              <w:rPr>
                <w:rFonts w:hAnsi="宋体"/>
                <w:color w:val="auto"/>
                <w:szCs w:val="21"/>
                <w:highlight w:val="none"/>
              </w:rPr>
            </w:pPr>
          </w:p>
        </w:tc>
        <w:tc>
          <w:tcPr>
            <w:tcW w:w="1026" w:type="dxa"/>
            <w:vAlign w:val="center"/>
          </w:tcPr>
          <w:p w14:paraId="05882E9F">
            <w:pPr>
              <w:pStyle w:val="28"/>
              <w:shd w:val="clear"/>
              <w:spacing w:line="480" w:lineRule="exact"/>
              <w:jc w:val="center"/>
              <w:rPr>
                <w:rFonts w:hAnsi="宋体"/>
                <w:color w:val="auto"/>
                <w:szCs w:val="21"/>
                <w:highlight w:val="none"/>
              </w:rPr>
            </w:pPr>
          </w:p>
        </w:tc>
        <w:tc>
          <w:tcPr>
            <w:tcW w:w="877" w:type="dxa"/>
            <w:vAlign w:val="center"/>
          </w:tcPr>
          <w:p w14:paraId="5C837F55">
            <w:pPr>
              <w:pStyle w:val="28"/>
              <w:shd w:val="clear"/>
              <w:spacing w:line="480" w:lineRule="exact"/>
              <w:jc w:val="center"/>
              <w:rPr>
                <w:rFonts w:hAnsi="宋体"/>
                <w:color w:val="auto"/>
                <w:szCs w:val="21"/>
                <w:highlight w:val="none"/>
              </w:rPr>
            </w:pPr>
          </w:p>
        </w:tc>
        <w:tc>
          <w:tcPr>
            <w:tcW w:w="1533" w:type="dxa"/>
            <w:vAlign w:val="center"/>
          </w:tcPr>
          <w:p w14:paraId="7575376B">
            <w:pPr>
              <w:shd w:val="clear"/>
              <w:jc w:val="center"/>
              <w:rPr>
                <w:rFonts w:hAnsi="宋体"/>
                <w:color w:val="auto"/>
                <w:sz w:val="21"/>
                <w:szCs w:val="21"/>
                <w:highlight w:val="none"/>
              </w:rPr>
            </w:pPr>
            <w:r>
              <w:rPr>
                <w:rFonts w:hint="eastAsia" w:hAnsi="宋体"/>
                <w:color w:val="auto"/>
                <w:sz w:val="21"/>
                <w:szCs w:val="21"/>
                <w:highlight w:val="none"/>
              </w:rPr>
              <w:t>项目人员</w:t>
            </w:r>
          </w:p>
        </w:tc>
        <w:tc>
          <w:tcPr>
            <w:tcW w:w="1357" w:type="dxa"/>
            <w:vAlign w:val="center"/>
          </w:tcPr>
          <w:p w14:paraId="06576F91">
            <w:pPr>
              <w:pStyle w:val="28"/>
              <w:shd w:val="clear"/>
              <w:spacing w:line="480" w:lineRule="exact"/>
              <w:jc w:val="center"/>
              <w:rPr>
                <w:rFonts w:hAnsi="宋体"/>
                <w:color w:val="auto"/>
                <w:szCs w:val="21"/>
                <w:highlight w:val="none"/>
              </w:rPr>
            </w:pPr>
          </w:p>
        </w:tc>
        <w:tc>
          <w:tcPr>
            <w:tcW w:w="1200" w:type="dxa"/>
            <w:vAlign w:val="center"/>
          </w:tcPr>
          <w:p w14:paraId="559CF44B">
            <w:pPr>
              <w:pStyle w:val="28"/>
              <w:shd w:val="clear"/>
              <w:spacing w:line="480" w:lineRule="exact"/>
              <w:jc w:val="center"/>
              <w:rPr>
                <w:rFonts w:hAnsi="宋体"/>
                <w:color w:val="auto"/>
                <w:szCs w:val="21"/>
                <w:highlight w:val="none"/>
              </w:rPr>
            </w:pPr>
          </w:p>
        </w:tc>
        <w:tc>
          <w:tcPr>
            <w:tcW w:w="1403" w:type="dxa"/>
            <w:vAlign w:val="center"/>
          </w:tcPr>
          <w:p w14:paraId="5EDA7741">
            <w:pPr>
              <w:pStyle w:val="28"/>
              <w:shd w:val="clear"/>
              <w:spacing w:line="480" w:lineRule="exact"/>
              <w:jc w:val="center"/>
              <w:rPr>
                <w:rFonts w:hAnsi="宋体"/>
                <w:color w:val="auto"/>
                <w:szCs w:val="21"/>
                <w:highlight w:val="none"/>
              </w:rPr>
            </w:pPr>
          </w:p>
        </w:tc>
        <w:tc>
          <w:tcPr>
            <w:tcW w:w="1403" w:type="dxa"/>
          </w:tcPr>
          <w:p w14:paraId="445FCFD8">
            <w:pPr>
              <w:pStyle w:val="28"/>
              <w:shd w:val="clear"/>
              <w:spacing w:line="480" w:lineRule="exact"/>
              <w:jc w:val="center"/>
              <w:rPr>
                <w:rFonts w:hAnsi="宋体"/>
                <w:color w:val="auto"/>
                <w:szCs w:val="21"/>
                <w:highlight w:val="none"/>
              </w:rPr>
            </w:pPr>
          </w:p>
        </w:tc>
      </w:tr>
      <w:tr w14:paraId="1C63C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4930EBF0">
            <w:pPr>
              <w:pStyle w:val="28"/>
              <w:shd w:val="clear"/>
              <w:spacing w:line="480" w:lineRule="exact"/>
              <w:jc w:val="center"/>
              <w:rPr>
                <w:rFonts w:hAnsi="宋体"/>
                <w:color w:val="auto"/>
                <w:szCs w:val="21"/>
                <w:highlight w:val="none"/>
              </w:rPr>
            </w:pPr>
          </w:p>
        </w:tc>
        <w:tc>
          <w:tcPr>
            <w:tcW w:w="1026" w:type="dxa"/>
            <w:vAlign w:val="center"/>
          </w:tcPr>
          <w:p w14:paraId="0FD84F58">
            <w:pPr>
              <w:pStyle w:val="28"/>
              <w:shd w:val="clear"/>
              <w:spacing w:line="480" w:lineRule="exact"/>
              <w:jc w:val="center"/>
              <w:rPr>
                <w:rFonts w:hAnsi="宋体"/>
                <w:color w:val="auto"/>
                <w:szCs w:val="21"/>
                <w:highlight w:val="none"/>
              </w:rPr>
            </w:pPr>
          </w:p>
        </w:tc>
        <w:tc>
          <w:tcPr>
            <w:tcW w:w="877" w:type="dxa"/>
            <w:vAlign w:val="center"/>
          </w:tcPr>
          <w:p w14:paraId="74BC879D">
            <w:pPr>
              <w:pStyle w:val="28"/>
              <w:shd w:val="clear"/>
              <w:spacing w:line="480" w:lineRule="exact"/>
              <w:jc w:val="center"/>
              <w:rPr>
                <w:rFonts w:hAnsi="宋体"/>
                <w:color w:val="auto"/>
                <w:szCs w:val="21"/>
                <w:highlight w:val="none"/>
              </w:rPr>
            </w:pPr>
          </w:p>
        </w:tc>
        <w:tc>
          <w:tcPr>
            <w:tcW w:w="1533" w:type="dxa"/>
          </w:tcPr>
          <w:p w14:paraId="1E480FE8">
            <w:pPr>
              <w:pStyle w:val="28"/>
              <w:shd w:val="clear"/>
              <w:spacing w:line="480" w:lineRule="exact"/>
              <w:jc w:val="center"/>
              <w:rPr>
                <w:rFonts w:hAnsi="宋体"/>
                <w:color w:val="auto"/>
                <w:szCs w:val="21"/>
                <w:highlight w:val="none"/>
              </w:rPr>
            </w:pPr>
            <w:r>
              <w:rPr>
                <w:rFonts w:hint="eastAsia" w:hAnsi="宋体"/>
                <w:color w:val="auto"/>
                <w:szCs w:val="21"/>
                <w:highlight w:val="none"/>
              </w:rPr>
              <w:t>…</w:t>
            </w:r>
          </w:p>
        </w:tc>
        <w:tc>
          <w:tcPr>
            <w:tcW w:w="1357" w:type="dxa"/>
            <w:vAlign w:val="center"/>
          </w:tcPr>
          <w:p w14:paraId="4EA6D03B">
            <w:pPr>
              <w:pStyle w:val="28"/>
              <w:shd w:val="clear"/>
              <w:spacing w:line="480" w:lineRule="exact"/>
              <w:jc w:val="center"/>
              <w:rPr>
                <w:rFonts w:hAnsi="宋体"/>
                <w:color w:val="auto"/>
                <w:szCs w:val="21"/>
                <w:highlight w:val="none"/>
              </w:rPr>
            </w:pPr>
          </w:p>
        </w:tc>
        <w:tc>
          <w:tcPr>
            <w:tcW w:w="1200" w:type="dxa"/>
            <w:vAlign w:val="center"/>
          </w:tcPr>
          <w:p w14:paraId="277BCA6F">
            <w:pPr>
              <w:pStyle w:val="28"/>
              <w:shd w:val="clear"/>
              <w:spacing w:line="480" w:lineRule="exact"/>
              <w:jc w:val="center"/>
              <w:rPr>
                <w:rFonts w:hAnsi="宋体"/>
                <w:color w:val="auto"/>
                <w:szCs w:val="21"/>
                <w:highlight w:val="none"/>
              </w:rPr>
            </w:pPr>
          </w:p>
        </w:tc>
        <w:tc>
          <w:tcPr>
            <w:tcW w:w="1403" w:type="dxa"/>
            <w:vAlign w:val="center"/>
          </w:tcPr>
          <w:p w14:paraId="58076CE1">
            <w:pPr>
              <w:pStyle w:val="28"/>
              <w:shd w:val="clear"/>
              <w:spacing w:line="480" w:lineRule="exact"/>
              <w:jc w:val="center"/>
              <w:rPr>
                <w:rFonts w:hAnsi="宋体"/>
                <w:color w:val="auto"/>
                <w:szCs w:val="21"/>
                <w:highlight w:val="none"/>
              </w:rPr>
            </w:pPr>
          </w:p>
        </w:tc>
        <w:tc>
          <w:tcPr>
            <w:tcW w:w="1403" w:type="dxa"/>
          </w:tcPr>
          <w:p w14:paraId="327EC308">
            <w:pPr>
              <w:pStyle w:val="28"/>
              <w:shd w:val="clear"/>
              <w:spacing w:line="480" w:lineRule="exact"/>
              <w:jc w:val="center"/>
              <w:rPr>
                <w:rFonts w:hAnsi="宋体"/>
                <w:color w:val="auto"/>
                <w:szCs w:val="21"/>
                <w:highlight w:val="none"/>
              </w:rPr>
            </w:pPr>
          </w:p>
        </w:tc>
      </w:tr>
      <w:tr w14:paraId="583E4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7DA3E442">
            <w:pPr>
              <w:pStyle w:val="28"/>
              <w:shd w:val="clear"/>
              <w:spacing w:line="480" w:lineRule="exact"/>
              <w:jc w:val="center"/>
              <w:rPr>
                <w:rFonts w:hAnsi="宋体"/>
                <w:color w:val="auto"/>
                <w:szCs w:val="21"/>
                <w:highlight w:val="none"/>
              </w:rPr>
            </w:pPr>
          </w:p>
        </w:tc>
        <w:tc>
          <w:tcPr>
            <w:tcW w:w="1026" w:type="dxa"/>
            <w:vAlign w:val="center"/>
          </w:tcPr>
          <w:p w14:paraId="7FB0D214">
            <w:pPr>
              <w:pStyle w:val="28"/>
              <w:shd w:val="clear"/>
              <w:spacing w:line="480" w:lineRule="exact"/>
              <w:jc w:val="center"/>
              <w:rPr>
                <w:rFonts w:hAnsi="宋体"/>
                <w:color w:val="auto"/>
                <w:szCs w:val="21"/>
                <w:highlight w:val="none"/>
              </w:rPr>
            </w:pPr>
          </w:p>
        </w:tc>
        <w:tc>
          <w:tcPr>
            <w:tcW w:w="877" w:type="dxa"/>
            <w:vAlign w:val="center"/>
          </w:tcPr>
          <w:p w14:paraId="732EA84E">
            <w:pPr>
              <w:pStyle w:val="28"/>
              <w:shd w:val="clear"/>
              <w:spacing w:line="480" w:lineRule="exact"/>
              <w:jc w:val="center"/>
              <w:rPr>
                <w:rFonts w:hAnsi="宋体"/>
                <w:color w:val="auto"/>
                <w:szCs w:val="21"/>
                <w:highlight w:val="none"/>
              </w:rPr>
            </w:pPr>
          </w:p>
        </w:tc>
        <w:tc>
          <w:tcPr>
            <w:tcW w:w="1533" w:type="dxa"/>
          </w:tcPr>
          <w:p w14:paraId="1B48CC2E">
            <w:pPr>
              <w:pStyle w:val="28"/>
              <w:shd w:val="clear"/>
              <w:spacing w:line="480" w:lineRule="exact"/>
              <w:jc w:val="center"/>
              <w:rPr>
                <w:rFonts w:hAnsi="宋体"/>
                <w:color w:val="auto"/>
                <w:szCs w:val="21"/>
                <w:highlight w:val="none"/>
              </w:rPr>
            </w:pPr>
          </w:p>
        </w:tc>
        <w:tc>
          <w:tcPr>
            <w:tcW w:w="1357" w:type="dxa"/>
            <w:vAlign w:val="center"/>
          </w:tcPr>
          <w:p w14:paraId="62904CB8">
            <w:pPr>
              <w:pStyle w:val="28"/>
              <w:shd w:val="clear"/>
              <w:spacing w:line="480" w:lineRule="exact"/>
              <w:jc w:val="center"/>
              <w:rPr>
                <w:rFonts w:hAnsi="宋体"/>
                <w:color w:val="auto"/>
                <w:szCs w:val="21"/>
                <w:highlight w:val="none"/>
              </w:rPr>
            </w:pPr>
          </w:p>
        </w:tc>
        <w:tc>
          <w:tcPr>
            <w:tcW w:w="1200" w:type="dxa"/>
            <w:vAlign w:val="center"/>
          </w:tcPr>
          <w:p w14:paraId="0310DE87">
            <w:pPr>
              <w:pStyle w:val="28"/>
              <w:shd w:val="clear"/>
              <w:spacing w:line="480" w:lineRule="exact"/>
              <w:jc w:val="center"/>
              <w:rPr>
                <w:rFonts w:hAnsi="宋体"/>
                <w:color w:val="auto"/>
                <w:szCs w:val="21"/>
                <w:highlight w:val="none"/>
              </w:rPr>
            </w:pPr>
          </w:p>
        </w:tc>
        <w:tc>
          <w:tcPr>
            <w:tcW w:w="1403" w:type="dxa"/>
            <w:vAlign w:val="center"/>
          </w:tcPr>
          <w:p w14:paraId="0318152A">
            <w:pPr>
              <w:pStyle w:val="28"/>
              <w:shd w:val="clear"/>
              <w:spacing w:line="480" w:lineRule="exact"/>
              <w:jc w:val="center"/>
              <w:rPr>
                <w:rFonts w:hAnsi="宋体"/>
                <w:color w:val="auto"/>
                <w:szCs w:val="21"/>
                <w:highlight w:val="none"/>
              </w:rPr>
            </w:pPr>
          </w:p>
        </w:tc>
        <w:tc>
          <w:tcPr>
            <w:tcW w:w="1403" w:type="dxa"/>
          </w:tcPr>
          <w:p w14:paraId="666F8607">
            <w:pPr>
              <w:pStyle w:val="28"/>
              <w:shd w:val="clear"/>
              <w:spacing w:line="480" w:lineRule="exact"/>
              <w:jc w:val="center"/>
              <w:rPr>
                <w:rFonts w:hAnsi="宋体"/>
                <w:color w:val="auto"/>
                <w:szCs w:val="21"/>
                <w:highlight w:val="none"/>
              </w:rPr>
            </w:pPr>
          </w:p>
        </w:tc>
      </w:tr>
      <w:tr w14:paraId="0DE64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46D4E994">
            <w:pPr>
              <w:pStyle w:val="28"/>
              <w:shd w:val="clear"/>
              <w:spacing w:line="480" w:lineRule="exact"/>
              <w:jc w:val="center"/>
              <w:rPr>
                <w:rFonts w:hAnsi="宋体"/>
                <w:color w:val="auto"/>
                <w:szCs w:val="21"/>
                <w:highlight w:val="none"/>
              </w:rPr>
            </w:pPr>
          </w:p>
        </w:tc>
        <w:tc>
          <w:tcPr>
            <w:tcW w:w="1026" w:type="dxa"/>
            <w:vAlign w:val="center"/>
          </w:tcPr>
          <w:p w14:paraId="571A190D">
            <w:pPr>
              <w:pStyle w:val="28"/>
              <w:shd w:val="clear"/>
              <w:spacing w:line="480" w:lineRule="exact"/>
              <w:jc w:val="center"/>
              <w:rPr>
                <w:rFonts w:hAnsi="宋体"/>
                <w:color w:val="auto"/>
                <w:szCs w:val="21"/>
                <w:highlight w:val="none"/>
              </w:rPr>
            </w:pPr>
          </w:p>
        </w:tc>
        <w:tc>
          <w:tcPr>
            <w:tcW w:w="877" w:type="dxa"/>
            <w:vAlign w:val="center"/>
          </w:tcPr>
          <w:p w14:paraId="53B3A0C7">
            <w:pPr>
              <w:pStyle w:val="28"/>
              <w:shd w:val="clear"/>
              <w:spacing w:line="480" w:lineRule="exact"/>
              <w:jc w:val="center"/>
              <w:rPr>
                <w:rFonts w:hAnsi="宋体"/>
                <w:color w:val="auto"/>
                <w:szCs w:val="21"/>
                <w:highlight w:val="none"/>
              </w:rPr>
            </w:pPr>
          </w:p>
        </w:tc>
        <w:tc>
          <w:tcPr>
            <w:tcW w:w="1533" w:type="dxa"/>
          </w:tcPr>
          <w:p w14:paraId="5718E70D">
            <w:pPr>
              <w:pStyle w:val="28"/>
              <w:shd w:val="clear"/>
              <w:spacing w:line="480" w:lineRule="exact"/>
              <w:jc w:val="center"/>
              <w:rPr>
                <w:rFonts w:hAnsi="宋体"/>
                <w:color w:val="auto"/>
                <w:szCs w:val="21"/>
                <w:highlight w:val="none"/>
              </w:rPr>
            </w:pPr>
          </w:p>
        </w:tc>
        <w:tc>
          <w:tcPr>
            <w:tcW w:w="1357" w:type="dxa"/>
            <w:vAlign w:val="center"/>
          </w:tcPr>
          <w:p w14:paraId="76F5FC83">
            <w:pPr>
              <w:pStyle w:val="28"/>
              <w:shd w:val="clear"/>
              <w:spacing w:line="480" w:lineRule="exact"/>
              <w:jc w:val="center"/>
              <w:rPr>
                <w:rFonts w:hAnsi="宋体"/>
                <w:color w:val="auto"/>
                <w:szCs w:val="21"/>
                <w:highlight w:val="none"/>
              </w:rPr>
            </w:pPr>
          </w:p>
        </w:tc>
        <w:tc>
          <w:tcPr>
            <w:tcW w:w="1200" w:type="dxa"/>
            <w:vAlign w:val="center"/>
          </w:tcPr>
          <w:p w14:paraId="397A767E">
            <w:pPr>
              <w:pStyle w:val="28"/>
              <w:shd w:val="clear"/>
              <w:spacing w:line="480" w:lineRule="exact"/>
              <w:jc w:val="center"/>
              <w:rPr>
                <w:rFonts w:hAnsi="宋体"/>
                <w:color w:val="auto"/>
                <w:szCs w:val="21"/>
                <w:highlight w:val="none"/>
              </w:rPr>
            </w:pPr>
          </w:p>
        </w:tc>
        <w:tc>
          <w:tcPr>
            <w:tcW w:w="1403" w:type="dxa"/>
            <w:vAlign w:val="center"/>
          </w:tcPr>
          <w:p w14:paraId="4CB7576B">
            <w:pPr>
              <w:pStyle w:val="28"/>
              <w:shd w:val="clear"/>
              <w:spacing w:line="480" w:lineRule="exact"/>
              <w:jc w:val="center"/>
              <w:rPr>
                <w:rFonts w:hAnsi="宋体"/>
                <w:color w:val="auto"/>
                <w:szCs w:val="21"/>
                <w:highlight w:val="none"/>
              </w:rPr>
            </w:pPr>
          </w:p>
        </w:tc>
        <w:tc>
          <w:tcPr>
            <w:tcW w:w="1403" w:type="dxa"/>
          </w:tcPr>
          <w:p w14:paraId="52F6189D">
            <w:pPr>
              <w:pStyle w:val="28"/>
              <w:shd w:val="clear"/>
              <w:spacing w:line="480" w:lineRule="exact"/>
              <w:jc w:val="center"/>
              <w:rPr>
                <w:rFonts w:hAnsi="宋体"/>
                <w:color w:val="auto"/>
                <w:szCs w:val="21"/>
                <w:highlight w:val="none"/>
              </w:rPr>
            </w:pPr>
          </w:p>
        </w:tc>
      </w:tr>
      <w:tr w14:paraId="09B0D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6EEE420B">
            <w:pPr>
              <w:pStyle w:val="28"/>
              <w:shd w:val="clear"/>
              <w:spacing w:line="480" w:lineRule="exact"/>
              <w:jc w:val="center"/>
              <w:rPr>
                <w:rFonts w:hAnsi="宋体"/>
                <w:color w:val="auto"/>
                <w:szCs w:val="21"/>
                <w:highlight w:val="none"/>
              </w:rPr>
            </w:pPr>
          </w:p>
        </w:tc>
        <w:tc>
          <w:tcPr>
            <w:tcW w:w="1026" w:type="dxa"/>
            <w:vAlign w:val="center"/>
          </w:tcPr>
          <w:p w14:paraId="4CA52069">
            <w:pPr>
              <w:pStyle w:val="28"/>
              <w:shd w:val="clear"/>
              <w:spacing w:line="480" w:lineRule="exact"/>
              <w:jc w:val="center"/>
              <w:rPr>
                <w:rFonts w:hAnsi="宋体"/>
                <w:color w:val="auto"/>
                <w:szCs w:val="21"/>
                <w:highlight w:val="none"/>
              </w:rPr>
            </w:pPr>
          </w:p>
        </w:tc>
        <w:tc>
          <w:tcPr>
            <w:tcW w:w="877" w:type="dxa"/>
            <w:vAlign w:val="center"/>
          </w:tcPr>
          <w:p w14:paraId="3834FBA4">
            <w:pPr>
              <w:pStyle w:val="28"/>
              <w:shd w:val="clear"/>
              <w:spacing w:line="480" w:lineRule="exact"/>
              <w:jc w:val="center"/>
              <w:rPr>
                <w:rFonts w:hAnsi="宋体"/>
                <w:color w:val="auto"/>
                <w:szCs w:val="21"/>
                <w:highlight w:val="none"/>
              </w:rPr>
            </w:pPr>
          </w:p>
        </w:tc>
        <w:tc>
          <w:tcPr>
            <w:tcW w:w="1533" w:type="dxa"/>
          </w:tcPr>
          <w:p w14:paraId="47263B43">
            <w:pPr>
              <w:pStyle w:val="28"/>
              <w:shd w:val="clear"/>
              <w:spacing w:line="480" w:lineRule="exact"/>
              <w:jc w:val="center"/>
              <w:rPr>
                <w:rFonts w:hAnsi="宋体"/>
                <w:color w:val="auto"/>
                <w:szCs w:val="21"/>
                <w:highlight w:val="none"/>
              </w:rPr>
            </w:pPr>
          </w:p>
        </w:tc>
        <w:tc>
          <w:tcPr>
            <w:tcW w:w="1357" w:type="dxa"/>
            <w:vAlign w:val="center"/>
          </w:tcPr>
          <w:p w14:paraId="45D7CA45">
            <w:pPr>
              <w:pStyle w:val="28"/>
              <w:shd w:val="clear"/>
              <w:spacing w:line="480" w:lineRule="exact"/>
              <w:jc w:val="center"/>
              <w:rPr>
                <w:rFonts w:hAnsi="宋体"/>
                <w:color w:val="auto"/>
                <w:szCs w:val="21"/>
                <w:highlight w:val="none"/>
              </w:rPr>
            </w:pPr>
          </w:p>
        </w:tc>
        <w:tc>
          <w:tcPr>
            <w:tcW w:w="1200" w:type="dxa"/>
            <w:vAlign w:val="center"/>
          </w:tcPr>
          <w:p w14:paraId="3712F103">
            <w:pPr>
              <w:pStyle w:val="28"/>
              <w:shd w:val="clear"/>
              <w:spacing w:line="480" w:lineRule="exact"/>
              <w:jc w:val="center"/>
              <w:rPr>
                <w:rFonts w:hAnsi="宋体"/>
                <w:color w:val="auto"/>
                <w:szCs w:val="21"/>
                <w:highlight w:val="none"/>
              </w:rPr>
            </w:pPr>
          </w:p>
        </w:tc>
        <w:tc>
          <w:tcPr>
            <w:tcW w:w="1403" w:type="dxa"/>
            <w:vAlign w:val="center"/>
          </w:tcPr>
          <w:p w14:paraId="3D8482A0">
            <w:pPr>
              <w:pStyle w:val="28"/>
              <w:shd w:val="clear"/>
              <w:spacing w:line="480" w:lineRule="exact"/>
              <w:jc w:val="center"/>
              <w:rPr>
                <w:rFonts w:hAnsi="宋体"/>
                <w:color w:val="auto"/>
                <w:szCs w:val="21"/>
                <w:highlight w:val="none"/>
              </w:rPr>
            </w:pPr>
          </w:p>
        </w:tc>
        <w:tc>
          <w:tcPr>
            <w:tcW w:w="1403" w:type="dxa"/>
          </w:tcPr>
          <w:p w14:paraId="55A3D0B2">
            <w:pPr>
              <w:pStyle w:val="28"/>
              <w:shd w:val="clear"/>
              <w:spacing w:line="480" w:lineRule="exact"/>
              <w:jc w:val="center"/>
              <w:rPr>
                <w:rFonts w:hAnsi="宋体"/>
                <w:color w:val="auto"/>
                <w:szCs w:val="21"/>
                <w:highlight w:val="none"/>
              </w:rPr>
            </w:pPr>
          </w:p>
        </w:tc>
      </w:tr>
      <w:tr w14:paraId="4BD6C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 w:hRule="atLeast"/>
          <w:jc w:val="center"/>
        </w:trPr>
        <w:tc>
          <w:tcPr>
            <w:tcW w:w="534" w:type="dxa"/>
            <w:vAlign w:val="center"/>
          </w:tcPr>
          <w:p w14:paraId="3A1993FB">
            <w:pPr>
              <w:pStyle w:val="28"/>
              <w:shd w:val="clear"/>
              <w:spacing w:line="480" w:lineRule="exact"/>
              <w:jc w:val="center"/>
              <w:rPr>
                <w:rFonts w:hAnsi="宋体"/>
                <w:color w:val="auto"/>
                <w:szCs w:val="21"/>
                <w:highlight w:val="none"/>
              </w:rPr>
            </w:pPr>
          </w:p>
        </w:tc>
        <w:tc>
          <w:tcPr>
            <w:tcW w:w="1026" w:type="dxa"/>
            <w:vAlign w:val="center"/>
          </w:tcPr>
          <w:p w14:paraId="2CF8A268">
            <w:pPr>
              <w:pStyle w:val="28"/>
              <w:shd w:val="clear"/>
              <w:spacing w:line="480" w:lineRule="exact"/>
              <w:jc w:val="center"/>
              <w:rPr>
                <w:rFonts w:hAnsi="宋体"/>
                <w:color w:val="auto"/>
                <w:szCs w:val="21"/>
                <w:highlight w:val="none"/>
              </w:rPr>
            </w:pPr>
          </w:p>
        </w:tc>
        <w:tc>
          <w:tcPr>
            <w:tcW w:w="877" w:type="dxa"/>
            <w:vAlign w:val="center"/>
          </w:tcPr>
          <w:p w14:paraId="620F6350">
            <w:pPr>
              <w:pStyle w:val="28"/>
              <w:shd w:val="clear"/>
              <w:spacing w:line="480" w:lineRule="exact"/>
              <w:jc w:val="center"/>
              <w:rPr>
                <w:rFonts w:hAnsi="宋体"/>
                <w:color w:val="auto"/>
                <w:szCs w:val="21"/>
                <w:highlight w:val="none"/>
              </w:rPr>
            </w:pPr>
          </w:p>
        </w:tc>
        <w:tc>
          <w:tcPr>
            <w:tcW w:w="1533" w:type="dxa"/>
          </w:tcPr>
          <w:p w14:paraId="3D60FA2F">
            <w:pPr>
              <w:pStyle w:val="28"/>
              <w:shd w:val="clear"/>
              <w:spacing w:line="480" w:lineRule="exact"/>
              <w:jc w:val="center"/>
              <w:rPr>
                <w:rFonts w:hAnsi="宋体"/>
                <w:color w:val="auto"/>
                <w:szCs w:val="21"/>
                <w:highlight w:val="none"/>
              </w:rPr>
            </w:pPr>
          </w:p>
        </w:tc>
        <w:tc>
          <w:tcPr>
            <w:tcW w:w="1357" w:type="dxa"/>
            <w:vAlign w:val="center"/>
          </w:tcPr>
          <w:p w14:paraId="4DEFEFEA">
            <w:pPr>
              <w:pStyle w:val="28"/>
              <w:shd w:val="clear"/>
              <w:spacing w:line="480" w:lineRule="exact"/>
              <w:jc w:val="center"/>
              <w:rPr>
                <w:rFonts w:hAnsi="宋体"/>
                <w:color w:val="auto"/>
                <w:szCs w:val="21"/>
                <w:highlight w:val="none"/>
              </w:rPr>
            </w:pPr>
          </w:p>
        </w:tc>
        <w:tc>
          <w:tcPr>
            <w:tcW w:w="1200" w:type="dxa"/>
            <w:vAlign w:val="center"/>
          </w:tcPr>
          <w:p w14:paraId="2FF042F5">
            <w:pPr>
              <w:pStyle w:val="28"/>
              <w:shd w:val="clear"/>
              <w:spacing w:line="480" w:lineRule="exact"/>
              <w:jc w:val="center"/>
              <w:rPr>
                <w:rFonts w:hAnsi="宋体"/>
                <w:color w:val="auto"/>
                <w:szCs w:val="21"/>
                <w:highlight w:val="none"/>
              </w:rPr>
            </w:pPr>
          </w:p>
        </w:tc>
        <w:tc>
          <w:tcPr>
            <w:tcW w:w="1403" w:type="dxa"/>
            <w:vAlign w:val="center"/>
          </w:tcPr>
          <w:p w14:paraId="50DE4CDA">
            <w:pPr>
              <w:pStyle w:val="28"/>
              <w:shd w:val="clear"/>
              <w:spacing w:line="480" w:lineRule="exact"/>
              <w:jc w:val="center"/>
              <w:rPr>
                <w:rFonts w:hAnsi="宋体"/>
                <w:color w:val="auto"/>
                <w:szCs w:val="21"/>
                <w:highlight w:val="none"/>
              </w:rPr>
            </w:pPr>
          </w:p>
        </w:tc>
        <w:tc>
          <w:tcPr>
            <w:tcW w:w="1403" w:type="dxa"/>
          </w:tcPr>
          <w:p w14:paraId="7A35CCA1">
            <w:pPr>
              <w:pStyle w:val="28"/>
              <w:shd w:val="clear"/>
              <w:spacing w:line="480" w:lineRule="exact"/>
              <w:jc w:val="center"/>
              <w:rPr>
                <w:rFonts w:hAnsi="宋体"/>
                <w:color w:val="auto"/>
                <w:szCs w:val="21"/>
                <w:highlight w:val="none"/>
              </w:rPr>
            </w:pPr>
          </w:p>
        </w:tc>
      </w:tr>
      <w:tr w14:paraId="65B4D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505A21F5">
            <w:pPr>
              <w:pStyle w:val="28"/>
              <w:shd w:val="clear"/>
              <w:spacing w:line="480" w:lineRule="exact"/>
              <w:jc w:val="center"/>
              <w:rPr>
                <w:rFonts w:hAnsi="宋体"/>
                <w:color w:val="auto"/>
                <w:szCs w:val="21"/>
                <w:highlight w:val="none"/>
              </w:rPr>
            </w:pPr>
          </w:p>
        </w:tc>
        <w:tc>
          <w:tcPr>
            <w:tcW w:w="1026" w:type="dxa"/>
            <w:vAlign w:val="center"/>
          </w:tcPr>
          <w:p w14:paraId="47529BDA">
            <w:pPr>
              <w:pStyle w:val="28"/>
              <w:shd w:val="clear"/>
              <w:spacing w:line="480" w:lineRule="exact"/>
              <w:jc w:val="center"/>
              <w:rPr>
                <w:rFonts w:hAnsi="宋体"/>
                <w:color w:val="auto"/>
                <w:szCs w:val="21"/>
                <w:highlight w:val="none"/>
              </w:rPr>
            </w:pPr>
          </w:p>
        </w:tc>
        <w:tc>
          <w:tcPr>
            <w:tcW w:w="877" w:type="dxa"/>
            <w:vAlign w:val="center"/>
          </w:tcPr>
          <w:p w14:paraId="5A06BA9C">
            <w:pPr>
              <w:pStyle w:val="28"/>
              <w:shd w:val="clear"/>
              <w:spacing w:line="480" w:lineRule="exact"/>
              <w:jc w:val="center"/>
              <w:rPr>
                <w:rFonts w:hAnsi="宋体"/>
                <w:color w:val="auto"/>
                <w:szCs w:val="21"/>
                <w:highlight w:val="none"/>
              </w:rPr>
            </w:pPr>
          </w:p>
        </w:tc>
        <w:tc>
          <w:tcPr>
            <w:tcW w:w="1533" w:type="dxa"/>
          </w:tcPr>
          <w:p w14:paraId="59CACDFE">
            <w:pPr>
              <w:pStyle w:val="28"/>
              <w:shd w:val="clear"/>
              <w:spacing w:line="480" w:lineRule="exact"/>
              <w:jc w:val="center"/>
              <w:rPr>
                <w:rFonts w:hAnsi="宋体"/>
                <w:color w:val="auto"/>
                <w:szCs w:val="21"/>
                <w:highlight w:val="none"/>
              </w:rPr>
            </w:pPr>
          </w:p>
        </w:tc>
        <w:tc>
          <w:tcPr>
            <w:tcW w:w="1357" w:type="dxa"/>
            <w:vAlign w:val="center"/>
          </w:tcPr>
          <w:p w14:paraId="25FE1ABD">
            <w:pPr>
              <w:pStyle w:val="28"/>
              <w:shd w:val="clear"/>
              <w:spacing w:line="480" w:lineRule="exact"/>
              <w:jc w:val="center"/>
              <w:rPr>
                <w:rFonts w:hAnsi="宋体"/>
                <w:color w:val="auto"/>
                <w:szCs w:val="21"/>
                <w:highlight w:val="none"/>
              </w:rPr>
            </w:pPr>
          </w:p>
        </w:tc>
        <w:tc>
          <w:tcPr>
            <w:tcW w:w="1200" w:type="dxa"/>
            <w:vAlign w:val="center"/>
          </w:tcPr>
          <w:p w14:paraId="60733494">
            <w:pPr>
              <w:pStyle w:val="28"/>
              <w:shd w:val="clear"/>
              <w:spacing w:line="480" w:lineRule="exact"/>
              <w:jc w:val="center"/>
              <w:rPr>
                <w:rFonts w:hAnsi="宋体"/>
                <w:color w:val="auto"/>
                <w:szCs w:val="21"/>
                <w:highlight w:val="none"/>
              </w:rPr>
            </w:pPr>
          </w:p>
        </w:tc>
        <w:tc>
          <w:tcPr>
            <w:tcW w:w="1403" w:type="dxa"/>
            <w:vAlign w:val="center"/>
          </w:tcPr>
          <w:p w14:paraId="3D965DD6">
            <w:pPr>
              <w:pStyle w:val="28"/>
              <w:shd w:val="clear"/>
              <w:spacing w:line="480" w:lineRule="exact"/>
              <w:jc w:val="center"/>
              <w:rPr>
                <w:rFonts w:hAnsi="宋体"/>
                <w:color w:val="auto"/>
                <w:szCs w:val="21"/>
                <w:highlight w:val="none"/>
              </w:rPr>
            </w:pPr>
          </w:p>
        </w:tc>
        <w:tc>
          <w:tcPr>
            <w:tcW w:w="1403" w:type="dxa"/>
          </w:tcPr>
          <w:p w14:paraId="3629BE95">
            <w:pPr>
              <w:pStyle w:val="28"/>
              <w:shd w:val="clear"/>
              <w:spacing w:line="480" w:lineRule="exact"/>
              <w:jc w:val="center"/>
              <w:rPr>
                <w:rFonts w:hAnsi="宋体"/>
                <w:color w:val="auto"/>
                <w:szCs w:val="21"/>
                <w:highlight w:val="none"/>
              </w:rPr>
            </w:pPr>
          </w:p>
        </w:tc>
      </w:tr>
      <w:tr w14:paraId="233A4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10D3A511">
            <w:pPr>
              <w:pStyle w:val="28"/>
              <w:shd w:val="clear"/>
              <w:spacing w:line="480" w:lineRule="exact"/>
              <w:jc w:val="center"/>
              <w:rPr>
                <w:rFonts w:hAnsi="宋体"/>
                <w:color w:val="auto"/>
                <w:szCs w:val="21"/>
                <w:highlight w:val="none"/>
              </w:rPr>
            </w:pPr>
          </w:p>
        </w:tc>
        <w:tc>
          <w:tcPr>
            <w:tcW w:w="1026" w:type="dxa"/>
            <w:vAlign w:val="center"/>
          </w:tcPr>
          <w:p w14:paraId="522F2F4B">
            <w:pPr>
              <w:pStyle w:val="28"/>
              <w:shd w:val="clear"/>
              <w:spacing w:line="480" w:lineRule="exact"/>
              <w:jc w:val="center"/>
              <w:rPr>
                <w:rFonts w:hAnsi="宋体"/>
                <w:color w:val="auto"/>
                <w:szCs w:val="21"/>
                <w:highlight w:val="none"/>
              </w:rPr>
            </w:pPr>
          </w:p>
        </w:tc>
        <w:tc>
          <w:tcPr>
            <w:tcW w:w="877" w:type="dxa"/>
            <w:vAlign w:val="center"/>
          </w:tcPr>
          <w:p w14:paraId="20134B99">
            <w:pPr>
              <w:pStyle w:val="28"/>
              <w:shd w:val="clear"/>
              <w:spacing w:line="480" w:lineRule="exact"/>
              <w:jc w:val="center"/>
              <w:rPr>
                <w:rFonts w:hAnsi="宋体"/>
                <w:color w:val="auto"/>
                <w:szCs w:val="21"/>
                <w:highlight w:val="none"/>
              </w:rPr>
            </w:pPr>
          </w:p>
        </w:tc>
        <w:tc>
          <w:tcPr>
            <w:tcW w:w="1533" w:type="dxa"/>
          </w:tcPr>
          <w:p w14:paraId="696995A3">
            <w:pPr>
              <w:pStyle w:val="28"/>
              <w:shd w:val="clear"/>
              <w:spacing w:line="480" w:lineRule="exact"/>
              <w:jc w:val="center"/>
              <w:rPr>
                <w:rFonts w:hAnsi="宋体"/>
                <w:color w:val="auto"/>
                <w:szCs w:val="21"/>
                <w:highlight w:val="none"/>
              </w:rPr>
            </w:pPr>
          </w:p>
        </w:tc>
        <w:tc>
          <w:tcPr>
            <w:tcW w:w="1357" w:type="dxa"/>
            <w:vAlign w:val="center"/>
          </w:tcPr>
          <w:p w14:paraId="1940A3AF">
            <w:pPr>
              <w:pStyle w:val="28"/>
              <w:shd w:val="clear"/>
              <w:spacing w:line="480" w:lineRule="exact"/>
              <w:jc w:val="center"/>
              <w:rPr>
                <w:rFonts w:hAnsi="宋体"/>
                <w:color w:val="auto"/>
                <w:szCs w:val="21"/>
                <w:highlight w:val="none"/>
              </w:rPr>
            </w:pPr>
          </w:p>
        </w:tc>
        <w:tc>
          <w:tcPr>
            <w:tcW w:w="1200" w:type="dxa"/>
            <w:vAlign w:val="center"/>
          </w:tcPr>
          <w:p w14:paraId="018222D9">
            <w:pPr>
              <w:pStyle w:val="28"/>
              <w:shd w:val="clear"/>
              <w:spacing w:line="480" w:lineRule="exact"/>
              <w:jc w:val="center"/>
              <w:rPr>
                <w:rFonts w:hAnsi="宋体"/>
                <w:color w:val="auto"/>
                <w:szCs w:val="21"/>
                <w:highlight w:val="none"/>
              </w:rPr>
            </w:pPr>
          </w:p>
        </w:tc>
        <w:tc>
          <w:tcPr>
            <w:tcW w:w="1403" w:type="dxa"/>
            <w:vAlign w:val="center"/>
          </w:tcPr>
          <w:p w14:paraId="3C6E9C8A">
            <w:pPr>
              <w:pStyle w:val="28"/>
              <w:shd w:val="clear"/>
              <w:spacing w:line="480" w:lineRule="exact"/>
              <w:jc w:val="center"/>
              <w:rPr>
                <w:rFonts w:hAnsi="宋体"/>
                <w:color w:val="auto"/>
                <w:szCs w:val="21"/>
                <w:highlight w:val="none"/>
              </w:rPr>
            </w:pPr>
          </w:p>
        </w:tc>
        <w:tc>
          <w:tcPr>
            <w:tcW w:w="1403" w:type="dxa"/>
          </w:tcPr>
          <w:p w14:paraId="0CE00EC3">
            <w:pPr>
              <w:pStyle w:val="28"/>
              <w:shd w:val="clear"/>
              <w:spacing w:line="480" w:lineRule="exact"/>
              <w:jc w:val="center"/>
              <w:rPr>
                <w:rFonts w:hAnsi="宋体"/>
                <w:color w:val="auto"/>
                <w:szCs w:val="21"/>
                <w:highlight w:val="none"/>
              </w:rPr>
            </w:pPr>
          </w:p>
        </w:tc>
      </w:tr>
      <w:tr w14:paraId="50817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34" w:type="dxa"/>
            <w:vAlign w:val="center"/>
          </w:tcPr>
          <w:p w14:paraId="47871909">
            <w:pPr>
              <w:pStyle w:val="28"/>
              <w:shd w:val="clear"/>
              <w:spacing w:line="480" w:lineRule="exact"/>
              <w:jc w:val="center"/>
              <w:rPr>
                <w:rFonts w:hAnsi="宋体"/>
                <w:color w:val="auto"/>
                <w:szCs w:val="21"/>
                <w:highlight w:val="none"/>
              </w:rPr>
            </w:pPr>
          </w:p>
        </w:tc>
        <w:tc>
          <w:tcPr>
            <w:tcW w:w="1026" w:type="dxa"/>
            <w:vAlign w:val="center"/>
          </w:tcPr>
          <w:p w14:paraId="6C44C238">
            <w:pPr>
              <w:pStyle w:val="28"/>
              <w:shd w:val="clear"/>
              <w:spacing w:line="480" w:lineRule="exact"/>
              <w:jc w:val="center"/>
              <w:rPr>
                <w:rFonts w:hAnsi="宋体"/>
                <w:color w:val="auto"/>
                <w:szCs w:val="21"/>
                <w:highlight w:val="none"/>
              </w:rPr>
            </w:pPr>
          </w:p>
        </w:tc>
        <w:tc>
          <w:tcPr>
            <w:tcW w:w="877" w:type="dxa"/>
            <w:vAlign w:val="center"/>
          </w:tcPr>
          <w:p w14:paraId="7D7EF7B2">
            <w:pPr>
              <w:pStyle w:val="28"/>
              <w:shd w:val="clear"/>
              <w:spacing w:line="480" w:lineRule="exact"/>
              <w:jc w:val="center"/>
              <w:rPr>
                <w:rFonts w:hAnsi="宋体"/>
                <w:color w:val="auto"/>
                <w:szCs w:val="21"/>
                <w:highlight w:val="none"/>
              </w:rPr>
            </w:pPr>
          </w:p>
        </w:tc>
        <w:tc>
          <w:tcPr>
            <w:tcW w:w="1533" w:type="dxa"/>
          </w:tcPr>
          <w:p w14:paraId="3C562467">
            <w:pPr>
              <w:pStyle w:val="28"/>
              <w:shd w:val="clear"/>
              <w:spacing w:line="480" w:lineRule="exact"/>
              <w:jc w:val="center"/>
              <w:rPr>
                <w:rFonts w:hAnsi="宋体"/>
                <w:color w:val="auto"/>
                <w:szCs w:val="21"/>
                <w:highlight w:val="none"/>
              </w:rPr>
            </w:pPr>
          </w:p>
        </w:tc>
        <w:tc>
          <w:tcPr>
            <w:tcW w:w="1357" w:type="dxa"/>
            <w:vAlign w:val="center"/>
          </w:tcPr>
          <w:p w14:paraId="7DCCB0C1">
            <w:pPr>
              <w:pStyle w:val="28"/>
              <w:shd w:val="clear"/>
              <w:spacing w:line="480" w:lineRule="exact"/>
              <w:jc w:val="center"/>
              <w:rPr>
                <w:rFonts w:hAnsi="宋体"/>
                <w:color w:val="auto"/>
                <w:szCs w:val="21"/>
                <w:highlight w:val="none"/>
              </w:rPr>
            </w:pPr>
          </w:p>
        </w:tc>
        <w:tc>
          <w:tcPr>
            <w:tcW w:w="1200" w:type="dxa"/>
            <w:vAlign w:val="center"/>
          </w:tcPr>
          <w:p w14:paraId="0C6417F0">
            <w:pPr>
              <w:pStyle w:val="28"/>
              <w:shd w:val="clear"/>
              <w:spacing w:line="480" w:lineRule="exact"/>
              <w:jc w:val="center"/>
              <w:rPr>
                <w:rFonts w:hAnsi="宋体"/>
                <w:color w:val="auto"/>
                <w:szCs w:val="21"/>
                <w:highlight w:val="none"/>
              </w:rPr>
            </w:pPr>
          </w:p>
        </w:tc>
        <w:tc>
          <w:tcPr>
            <w:tcW w:w="1403" w:type="dxa"/>
            <w:vAlign w:val="center"/>
          </w:tcPr>
          <w:p w14:paraId="1ED1B254">
            <w:pPr>
              <w:pStyle w:val="28"/>
              <w:shd w:val="clear"/>
              <w:spacing w:line="480" w:lineRule="exact"/>
              <w:jc w:val="center"/>
              <w:rPr>
                <w:rFonts w:hAnsi="宋体"/>
                <w:color w:val="auto"/>
                <w:szCs w:val="21"/>
                <w:highlight w:val="none"/>
              </w:rPr>
            </w:pPr>
          </w:p>
        </w:tc>
        <w:tc>
          <w:tcPr>
            <w:tcW w:w="1403" w:type="dxa"/>
          </w:tcPr>
          <w:p w14:paraId="50F98C9B">
            <w:pPr>
              <w:pStyle w:val="28"/>
              <w:shd w:val="clear"/>
              <w:spacing w:line="480" w:lineRule="exact"/>
              <w:jc w:val="center"/>
              <w:rPr>
                <w:rFonts w:hAnsi="宋体"/>
                <w:color w:val="auto"/>
                <w:szCs w:val="21"/>
                <w:highlight w:val="none"/>
              </w:rPr>
            </w:pPr>
          </w:p>
        </w:tc>
      </w:tr>
    </w:tbl>
    <w:p w14:paraId="1A5567B2">
      <w:pPr>
        <w:shd w:val="clear"/>
        <w:tabs>
          <w:tab w:val="left" w:pos="654"/>
          <w:tab w:val="left" w:pos="1734"/>
          <w:tab w:val="left" w:pos="2814"/>
          <w:tab w:val="left" w:pos="3894"/>
          <w:tab w:val="left" w:pos="5334"/>
          <w:tab w:val="left" w:pos="6414"/>
          <w:tab w:val="left" w:pos="7254"/>
          <w:tab w:val="left" w:pos="8574"/>
          <w:tab w:val="left" w:pos="9654"/>
        </w:tabs>
        <w:spacing w:line="480" w:lineRule="exact"/>
        <w:ind w:left="850" w:hanging="850"/>
        <w:rPr>
          <w:rFonts w:hAnsi="宋体"/>
          <w:color w:val="auto"/>
          <w:sz w:val="22"/>
          <w:szCs w:val="22"/>
          <w:highlight w:val="none"/>
        </w:rPr>
      </w:pPr>
    </w:p>
    <w:p w14:paraId="09B8BF35">
      <w:pPr>
        <w:shd w:val="clear"/>
        <w:tabs>
          <w:tab w:val="left" w:pos="654"/>
          <w:tab w:val="left" w:pos="1734"/>
          <w:tab w:val="left" w:pos="2814"/>
          <w:tab w:val="left" w:pos="3894"/>
          <w:tab w:val="left" w:pos="5334"/>
          <w:tab w:val="left" w:pos="6414"/>
          <w:tab w:val="left" w:pos="7254"/>
          <w:tab w:val="left" w:pos="8574"/>
          <w:tab w:val="left" w:pos="9654"/>
        </w:tabs>
        <w:spacing w:line="480" w:lineRule="exact"/>
        <w:rPr>
          <w:rFonts w:hAnsi="宋体"/>
          <w:color w:val="auto"/>
          <w:sz w:val="21"/>
          <w:szCs w:val="21"/>
          <w:highlight w:val="none"/>
        </w:rPr>
      </w:pPr>
      <w:r>
        <w:rPr>
          <w:rFonts w:hint="eastAsia" w:hAnsi="宋体"/>
          <w:color w:val="auto"/>
          <w:sz w:val="21"/>
          <w:szCs w:val="21"/>
          <w:highlight w:val="none"/>
        </w:rPr>
        <w:t>要求：</w:t>
      </w:r>
    </w:p>
    <w:p w14:paraId="45AC6F1B">
      <w:pPr>
        <w:shd w:val="clear"/>
        <w:tabs>
          <w:tab w:val="left" w:pos="654"/>
          <w:tab w:val="left" w:pos="1734"/>
          <w:tab w:val="left" w:pos="2814"/>
          <w:tab w:val="left" w:pos="3894"/>
          <w:tab w:val="left" w:pos="5334"/>
          <w:tab w:val="left" w:pos="6414"/>
          <w:tab w:val="left" w:pos="7254"/>
          <w:tab w:val="left" w:pos="8574"/>
          <w:tab w:val="left" w:pos="9654"/>
        </w:tabs>
        <w:spacing w:line="480" w:lineRule="exact"/>
        <w:ind w:firstLine="420" w:firstLineChars="200"/>
        <w:rPr>
          <w:rFonts w:hAnsi="宋体"/>
          <w:color w:val="auto"/>
          <w:sz w:val="21"/>
          <w:szCs w:val="21"/>
          <w:highlight w:val="none"/>
        </w:rPr>
      </w:pPr>
      <w:r>
        <w:rPr>
          <w:rFonts w:hint="eastAsia" w:hAnsi="宋体"/>
          <w:color w:val="auto"/>
          <w:sz w:val="21"/>
          <w:szCs w:val="21"/>
          <w:highlight w:val="none"/>
        </w:rPr>
        <w:t>1.供应商可以根据本表格内容和实际情况制作本表格。</w:t>
      </w:r>
    </w:p>
    <w:p w14:paraId="41C9051B">
      <w:pPr>
        <w:shd w:val="clear"/>
        <w:tabs>
          <w:tab w:val="left" w:pos="654"/>
          <w:tab w:val="left" w:pos="1734"/>
          <w:tab w:val="left" w:pos="2814"/>
          <w:tab w:val="left" w:pos="3894"/>
          <w:tab w:val="left" w:pos="5334"/>
          <w:tab w:val="left" w:pos="6414"/>
          <w:tab w:val="left" w:pos="7254"/>
          <w:tab w:val="left" w:pos="8574"/>
          <w:tab w:val="left" w:pos="9654"/>
        </w:tabs>
        <w:spacing w:line="480" w:lineRule="exact"/>
        <w:ind w:firstLine="420" w:firstLineChars="200"/>
        <w:rPr>
          <w:rFonts w:hAnsi="宋体"/>
          <w:color w:val="auto"/>
          <w:sz w:val="21"/>
          <w:szCs w:val="21"/>
          <w:highlight w:val="none"/>
        </w:rPr>
      </w:pPr>
      <w:r>
        <w:rPr>
          <w:rFonts w:hint="eastAsia" w:hAnsi="宋体"/>
          <w:color w:val="auto"/>
          <w:sz w:val="21"/>
          <w:szCs w:val="21"/>
          <w:highlight w:val="none"/>
        </w:rPr>
        <w:t>2.供应商应当在响应文件中提供评分标准中要求提供的资料。（上述文件均加盖供应商公章）</w:t>
      </w:r>
    </w:p>
    <w:p w14:paraId="25E0FDB5">
      <w:pPr>
        <w:pStyle w:val="20"/>
        <w:shd w:val="clear"/>
        <w:rPr>
          <w:rFonts w:hAnsi="宋体"/>
          <w:color w:val="auto"/>
          <w:sz w:val="21"/>
          <w:szCs w:val="21"/>
          <w:highlight w:val="none"/>
        </w:rPr>
      </w:pPr>
    </w:p>
    <w:p w14:paraId="696A9045">
      <w:pPr>
        <w:shd w:val="clear"/>
        <w:overflowPunct w:val="0"/>
        <w:spacing w:line="460" w:lineRule="exact"/>
        <w:rPr>
          <w:rFonts w:hAnsi="宋体"/>
          <w:color w:val="auto"/>
          <w:sz w:val="21"/>
          <w:szCs w:val="21"/>
          <w:highlight w:val="none"/>
        </w:rPr>
      </w:pPr>
      <w:r>
        <w:rPr>
          <w:rFonts w:hint="eastAsia" w:hAnsi="宋体"/>
          <w:color w:val="auto"/>
          <w:sz w:val="21"/>
          <w:szCs w:val="21"/>
          <w:highlight w:val="none"/>
        </w:rPr>
        <w:t>供应商名称（加盖公章）：</w:t>
      </w:r>
    </w:p>
    <w:p w14:paraId="40EFD831">
      <w:pPr>
        <w:shd w:val="clear"/>
        <w:overflowPunct w:val="0"/>
        <w:spacing w:line="460" w:lineRule="exact"/>
        <w:rPr>
          <w:rFonts w:hAnsi="宋体"/>
          <w:color w:val="auto"/>
          <w:sz w:val="21"/>
          <w:szCs w:val="21"/>
          <w:highlight w:val="none"/>
        </w:rPr>
      </w:pPr>
      <w:r>
        <w:rPr>
          <w:rFonts w:hint="eastAsia" w:hAnsi="宋体"/>
          <w:color w:val="auto"/>
          <w:sz w:val="21"/>
          <w:szCs w:val="21"/>
          <w:highlight w:val="none"/>
        </w:rPr>
        <w:t>供应商法定代表人或受委托人（签名或盖私章）：</w:t>
      </w:r>
    </w:p>
    <w:p w14:paraId="7179EA08">
      <w:pPr>
        <w:shd w:val="clear"/>
        <w:overflowPunct w:val="0"/>
        <w:spacing w:line="460" w:lineRule="exact"/>
        <w:rPr>
          <w:rFonts w:hAnsi="宋体"/>
          <w:color w:val="auto"/>
          <w:sz w:val="22"/>
          <w:szCs w:val="22"/>
          <w:highlight w:val="none"/>
        </w:rPr>
      </w:pPr>
      <w:r>
        <w:rPr>
          <w:rFonts w:hint="eastAsia" w:hAnsi="宋体"/>
          <w:color w:val="auto"/>
          <w:sz w:val="21"/>
          <w:szCs w:val="21"/>
          <w:highlight w:val="none"/>
        </w:rPr>
        <w:t>日期：年月日</w:t>
      </w:r>
    </w:p>
    <w:p w14:paraId="53A323D0">
      <w:pPr>
        <w:shd w:val="clear"/>
        <w:spacing w:line="480" w:lineRule="exact"/>
        <w:rPr>
          <w:rFonts w:hAnsi="宋体"/>
          <w:b/>
          <w:bCs/>
          <w:color w:val="auto"/>
          <w:szCs w:val="21"/>
          <w:highlight w:val="none"/>
          <w:u w:val="single"/>
        </w:rPr>
      </w:pPr>
    </w:p>
    <w:p w14:paraId="63EB4B56">
      <w:pPr>
        <w:pStyle w:val="3"/>
        <w:numPr>
          <w:ilvl w:val="0"/>
          <w:numId w:val="20"/>
        </w:numPr>
        <w:shd w:val="clear"/>
        <w:jc w:val="center"/>
        <w:rPr>
          <w:bCs/>
          <w:color w:val="auto"/>
          <w:sz w:val="28"/>
          <w:szCs w:val="28"/>
          <w:highlight w:val="none"/>
        </w:rPr>
      </w:pPr>
      <w:r>
        <w:rPr>
          <w:bCs/>
          <w:color w:val="auto"/>
          <w:szCs w:val="21"/>
          <w:highlight w:val="none"/>
        </w:rPr>
        <w:br w:type="page"/>
      </w:r>
      <w:bookmarkEnd w:id="251"/>
      <w:bookmarkEnd w:id="252"/>
      <w:bookmarkEnd w:id="253"/>
      <w:bookmarkEnd w:id="254"/>
      <w:bookmarkEnd w:id="255"/>
      <w:bookmarkEnd w:id="256"/>
      <w:bookmarkEnd w:id="257"/>
      <w:bookmarkEnd w:id="258"/>
      <w:bookmarkEnd w:id="259"/>
      <w:bookmarkEnd w:id="260"/>
      <w:bookmarkEnd w:id="261"/>
      <w:bookmarkEnd w:id="262"/>
      <w:bookmarkStart w:id="267" w:name="_Toc13441"/>
      <w:bookmarkStart w:id="268" w:name="_Toc16598"/>
      <w:r>
        <w:rPr>
          <w:rFonts w:hint="eastAsia"/>
          <w:bCs/>
          <w:color w:val="auto"/>
          <w:sz w:val="28"/>
          <w:szCs w:val="28"/>
          <w:highlight w:val="none"/>
        </w:rPr>
        <w:t>磋商保证金汇入情况说明（适用于转账、电汇方式）</w:t>
      </w:r>
      <w:bookmarkEnd w:id="267"/>
      <w:bookmarkEnd w:id="268"/>
    </w:p>
    <w:p w14:paraId="174AACE7">
      <w:pPr>
        <w:shd w:val="clear"/>
        <w:spacing w:line="460" w:lineRule="exact"/>
        <w:rPr>
          <w:rFonts w:hAnsi="宋体"/>
          <w:b/>
          <w:bCs/>
          <w:color w:val="auto"/>
          <w:sz w:val="22"/>
          <w:szCs w:val="22"/>
          <w:highlight w:val="none"/>
        </w:rPr>
      </w:pPr>
    </w:p>
    <w:p w14:paraId="03C4186E">
      <w:pPr>
        <w:shd w:val="clear"/>
        <w:spacing w:line="360" w:lineRule="auto"/>
        <w:rPr>
          <w:rFonts w:hAnsi="宋体"/>
          <w:color w:val="auto"/>
          <w:sz w:val="21"/>
          <w:szCs w:val="21"/>
          <w:highlight w:val="none"/>
        </w:rPr>
      </w:pPr>
      <w:r>
        <w:rPr>
          <w:rFonts w:hint="eastAsia" w:hAnsi="宋体"/>
          <w:color w:val="auto"/>
          <w:sz w:val="21"/>
          <w:szCs w:val="21"/>
          <w:highlight w:val="none"/>
          <w:lang w:eastAsia="zh-CN"/>
        </w:rPr>
        <w:t>广东有德招标采购有限公司</w:t>
      </w:r>
      <w:r>
        <w:rPr>
          <w:rFonts w:hint="eastAsia" w:hAnsi="宋体"/>
          <w:color w:val="auto"/>
          <w:sz w:val="21"/>
          <w:szCs w:val="21"/>
          <w:highlight w:val="none"/>
        </w:rPr>
        <w:t>：</w:t>
      </w:r>
    </w:p>
    <w:p w14:paraId="63215611">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本单位已按</w:t>
      </w:r>
      <w:r>
        <w:rPr>
          <w:rFonts w:hint="eastAsia" w:hAnsi="宋体"/>
          <w:color w:val="auto"/>
          <w:sz w:val="21"/>
          <w:szCs w:val="21"/>
          <w:highlight w:val="none"/>
          <w:u w:val="single"/>
        </w:rPr>
        <w:t xml:space="preserve"> </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u w:val="single"/>
        </w:rPr>
        <w:t xml:space="preserve"> （项目名称）  </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u w:val="single"/>
        </w:rPr>
        <w:t xml:space="preserve"> </w:t>
      </w:r>
      <w:r>
        <w:rPr>
          <w:rFonts w:hint="eastAsia" w:hAnsi="宋体"/>
          <w:color w:val="auto"/>
          <w:sz w:val="21"/>
          <w:szCs w:val="21"/>
          <w:highlight w:val="none"/>
          <w:u w:val="none"/>
        </w:rPr>
        <w:t>（</w:t>
      </w:r>
      <w:r>
        <w:rPr>
          <w:rFonts w:hint="eastAsia" w:hAnsi="宋体"/>
          <w:color w:val="auto"/>
          <w:sz w:val="21"/>
          <w:szCs w:val="21"/>
          <w:highlight w:val="none"/>
          <w:u w:val="none"/>
          <w:lang w:val="en-US" w:eastAsia="zh-CN"/>
        </w:rPr>
        <w:t>项目</w:t>
      </w:r>
      <w:r>
        <w:rPr>
          <w:rFonts w:hint="eastAsia" w:hAnsi="宋体"/>
          <w:color w:val="auto"/>
          <w:sz w:val="21"/>
          <w:szCs w:val="21"/>
          <w:highlight w:val="none"/>
        </w:rPr>
        <w:t>编号：</w:t>
      </w:r>
      <w:r>
        <w:rPr>
          <w:rFonts w:hint="eastAsia" w:hAnsi="宋体"/>
          <w:color w:val="auto"/>
          <w:sz w:val="21"/>
          <w:szCs w:val="21"/>
          <w:highlight w:val="none"/>
          <w:u w:val="single"/>
        </w:rPr>
        <w:t xml:space="preserve">   </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u w:val="single"/>
        </w:rPr>
        <w:t xml:space="preserve">  </w:t>
      </w:r>
      <w:r>
        <w:rPr>
          <w:rFonts w:hint="eastAsia" w:hAnsi="宋体"/>
          <w:color w:val="auto"/>
          <w:sz w:val="21"/>
          <w:szCs w:val="21"/>
          <w:highlight w:val="none"/>
          <w:u w:val="none"/>
        </w:rPr>
        <w:t>）</w:t>
      </w:r>
      <w:r>
        <w:rPr>
          <w:rFonts w:hint="eastAsia" w:hAnsi="宋体"/>
          <w:color w:val="auto"/>
          <w:sz w:val="21"/>
          <w:szCs w:val="21"/>
          <w:highlight w:val="none"/>
        </w:rPr>
        <w:t>的磋商文件要求，于</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u w:val="single"/>
        </w:rPr>
        <w:t>年</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u w:val="single"/>
        </w:rPr>
        <w:t>月</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u w:val="single"/>
        </w:rPr>
        <w:t>日</w:t>
      </w:r>
      <w:r>
        <w:rPr>
          <w:rFonts w:hint="eastAsia" w:hAnsi="宋体"/>
          <w:color w:val="auto"/>
          <w:sz w:val="21"/>
          <w:szCs w:val="21"/>
          <w:highlight w:val="none"/>
        </w:rPr>
        <w:t>前以</w:t>
      </w:r>
      <w:r>
        <w:rPr>
          <w:rFonts w:hint="eastAsia" w:hAnsi="宋体"/>
          <w:color w:val="auto"/>
          <w:sz w:val="21"/>
          <w:szCs w:val="21"/>
          <w:highlight w:val="none"/>
          <w:u w:val="single"/>
        </w:rPr>
        <w:t>（付款形式）</w:t>
      </w:r>
      <w:r>
        <w:rPr>
          <w:rFonts w:hint="eastAsia" w:hAnsi="宋体"/>
          <w:color w:val="auto"/>
          <w:sz w:val="21"/>
          <w:szCs w:val="21"/>
          <w:highlight w:val="none"/>
        </w:rPr>
        <w:t>方式汇入指定帐户（帐户名称：</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rPr>
        <w:t>，帐号：</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rPr>
        <w:t>,开户银行：</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rPr>
        <w:t>）。</w:t>
      </w:r>
    </w:p>
    <w:p w14:paraId="41A65E42">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供应商磋商保证金的汇款情况：（详见附件－磋商保证金进帐单）汇出时间：年月日；</w:t>
      </w:r>
    </w:p>
    <w:p w14:paraId="2DA72D54">
      <w:pPr>
        <w:shd w:val="clear"/>
        <w:spacing w:line="360" w:lineRule="auto"/>
        <w:ind w:firstLine="420" w:firstLineChars="200"/>
        <w:rPr>
          <w:rFonts w:hAnsi="宋体"/>
          <w:color w:val="auto"/>
          <w:sz w:val="21"/>
          <w:szCs w:val="21"/>
          <w:highlight w:val="none"/>
          <w:u w:val="single"/>
        </w:rPr>
      </w:pPr>
      <w:r>
        <w:rPr>
          <w:rFonts w:hint="eastAsia" w:hAnsi="宋体"/>
          <w:color w:val="auto"/>
          <w:sz w:val="21"/>
          <w:szCs w:val="21"/>
          <w:highlight w:val="none"/>
        </w:rPr>
        <w:t>汇款金额：（大写）人民币</w:t>
      </w:r>
      <w:r>
        <w:rPr>
          <w:rFonts w:hint="eastAsia" w:hAnsi="宋体"/>
          <w:color w:val="auto"/>
          <w:sz w:val="21"/>
          <w:szCs w:val="21"/>
          <w:highlight w:val="none"/>
          <w:u w:val="single"/>
        </w:rPr>
        <w:t xml:space="preserve">               元整</w:t>
      </w:r>
    </w:p>
    <w:p w14:paraId="4134425A">
      <w:pPr>
        <w:shd w:val="clear"/>
        <w:spacing w:line="360" w:lineRule="auto"/>
        <w:ind w:firstLine="1365" w:firstLineChars="650"/>
        <w:rPr>
          <w:rFonts w:hAnsi="宋体"/>
          <w:color w:val="auto"/>
          <w:sz w:val="21"/>
          <w:szCs w:val="21"/>
          <w:highlight w:val="none"/>
          <w:u w:val="single"/>
        </w:rPr>
      </w:pPr>
      <w:r>
        <w:rPr>
          <w:rFonts w:hint="eastAsia" w:hAnsi="宋体"/>
          <w:color w:val="auto"/>
          <w:sz w:val="21"/>
          <w:szCs w:val="21"/>
          <w:highlight w:val="none"/>
        </w:rPr>
        <w:t>（小写）￥</w:t>
      </w:r>
      <w:r>
        <w:rPr>
          <w:rFonts w:hint="eastAsia" w:hAnsi="宋体"/>
          <w:color w:val="auto"/>
          <w:sz w:val="21"/>
          <w:szCs w:val="21"/>
          <w:highlight w:val="none"/>
          <w:u w:val="single"/>
        </w:rPr>
        <w:t xml:space="preserve">              </w:t>
      </w:r>
      <w:r>
        <w:rPr>
          <w:rFonts w:hint="eastAsia" w:hAnsi="宋体"/>
          <w:color w:val="auto"/>
          <w:sz w:val="21"/>
          <w:szCs w:val="21"/>
          <w:highlight w:val="none"/>
        </w:rPr>
        <w:t>元。</w:t>
      </w:r>
    </w:p>
    <w:p w14:paraId="0E99904E">
      <w:pPr>
        <w:shd w:val="clear"/>
        <w:spacing w:line="360" w:lineRule="auto"/>
        <w:ind w:firstLine="420" w:firstLineChars="200"/>
        <w:rPr>
          <w:rFonts w:hAnsi="宋体"/>
          <w:color w:val="auto"/>
          <w:sz w:val="21"/>
          <w:szCs w:val="21"/>
          <w:highlight w:val="none"/>
          <w:u w:val="single"/>
        </w:rPr>
      </w:pPr>
      <w:r>
        <w:rPr>
          <w:rFonts w:hint="eastAsia" w:hAnsi="宋体"/>
          <w:color w:val="auto"/>
          <w:sz w:val="21"/>
          <w:szCs w:val="21"/>
          <w:highlight w:val="none"/>
        </w:rPr>
        <w:t>汇款帐户名称：</w:t>
      </w:r>
      <w:r>
        <w:rPr>
          <w:rFonts w:hint="eastAsia" w:hAnsi="宋体"/>
          <w:color w:val="auto"/>
          <w:sz w:val="21"/>
          <w:szCs w:val="21"/>
          <w:highlight w:val="none"/>
          <w:u w:val="single"/>
        </w:rPr>
        <w:t xml:space="preserve">  （必须是磋商时使用的单位名称）</w:t>
      </w:r>
    </w:p>
    <w:p w14:paraId="2C555BA1">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帐    号：</w:t>
      </w:r>
      <w:r>
        <w:rPr>
          <w:rFonts w:hint="eastAsia" w:hAnsi="宋体"/>
          <w:color w:val="auto"/>
          <w:sz w:val="21"/>
          <w:szCs w:val="21"/>
          <w:highlight w:val="none"/>
          <w:u w:val="single"/>
        </w:rPr>
        <w:t xml:space="preserve">  （必须是磋商时使用的帐号）     </w:t>
      </w:r>
    </w:p>
    <w:p w14:paraId="02D7FE61">
      <w:pPr>
        <w:shd w:val="clear"/>
        <w:spacing w:line="360" w:lineRule="auto"/>
        <w:ind w:firstLine="420" w:firstLineChars="200"/>
        <w:rPr>
          <w:rFonts w:hAnsi="宋体"/>
          <w:color w:val="auto"/>
          <w:sz w:val="21"/>
          <w:szCs w:val="21"/>
          <w:highlight w:val="none"/>
          <w:u w:val="single"/>
        </w:rPr>
      </w:pPr>
      <w:r>
        <w:rPr>
          <w:rFonts w:hint="eastAsia" w:hAnsi="宋体"/>
          <w:color w:val="auto"/>
          <w:sz w:val="21"/>
          <w:szCs w:val="21"/>
          <w:highlight w:val="none"/>
        </w:rPr>
        <w:t>开户银行：</w:t>
      </w:r>
      <w:r>
        <w:rPr>
          <w:rFonts w:hint="eastAsia" w:hAnsi="宋体"/>
          <w:color w:val="auto"/>
          <w:sz w:val="21"/>
          <w:szCs w:val="21"/>
          <w:highlight w:val="none"/>
          <w:u w:val="single"/>
        </w:rPr>
        <w:t xml:space="preserve">    银行   省    市          (分行/支行)</w:t>
      </w:r>
    </w:p>
    <w:p w14:paraId="3A60228D">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本单位谨承诺上述资料是正确、真实的，如因上述证明与事实不符导致的一切损失，本单位保证承担赔偿等一切法律责任。</w:t>
      </w:r>
    </w:p>
    <w:p w14:paraId="7B8BD7D2">
      <w:pPr>
        <w:shd w:val="clear"/>
        <w:spacing w:line="360" w:lineRule="auto"/>
        <w:ind w:firstLine="420" w:firstLineChars="200"/>
        <w:rPr>
          <w:rFonts w:hAnsi="宋体"/>
          <w:color w:val="auto"/>
          <w:sz w:val="21"/>
          <w:szCs w:val="21"/>
          <w:highlight w:val="none"/>
        </w:rPr>
      </w:pPr>
      <w:r>
        <w:rPr>
          <w:rFonts w:hint="eastAsia" w:hAnsi="宋体"/>
          <w:color w:val="auto"/>
          <w:sz w:val="21"/>
          <w:szCs w:val="21"/>
          <w:highlight w:val="none"/>
        </w:rPr>
        <w:t>磋商保证金退回时，请按上述资料退回。</w:t>
      </w:r>
    </w:p>
    <w:p w14:paraId="09487F7B">
      <w:pPr>
        <w:shd w:val="clear"/>
        <w:spacing w:line="360" w:lineRule="auto"/>
        <w:rPr>
          <w:rFonts w:hAnsi="宋体"/>
          <w:b/>
          <w:bCs/>
          <w:color w:val="auto"/>
          <w:sz w:val="21"/>
          <w:szCs w:val="21"/>
          <w:highlight w:val="none"/>
        </w:rPr>
      </w:pPr>
    </w:p>
    <w:p w14:paraId="3E347F7D">
      <w:pPr>
        <w:shd w:val="clear"/>
        <w:spacing w:line="360" w:lineRule="auto"/>
        <w:rPr>
          <w:rFonts w:hAnsi="宋体"/>
          <w:b/>
          <w:bCs/>
          <w:color w:val="auto"/>
          <w:sz w:val="21"/>
          <w:szCs w:val="21"/>
          <w:highlight w:val="none"/>
        </w:rPr>
      </w:pPr>
      <w:r>
        <w:rPr>
          <w:rFonts w:hint="eastAsia" w:hAnsi="宋体"/>
          <w:b/>
          <w:bCs/>
          <w:color w:val="auto"/>
          <w:sz w:val="21"/>
          <w:szCs w:val="21"/>
          <w:highlight w:val="none"/>
        </w:rPr>
        <w:t>附件：磋商保证金进帐单复印件（加盖公章）</w:t>
      </w:r>
    </w:p>
    <w:p w14:paraId="3887E3CF">
      <w:pPr>
        <w:shd w:val="clear"/>
        <w:spacing w:line="360" w:lineRule="auto"/>
        <w:ind w:right="965" w:rightChars="402"/>
        <w:jc w:val="right"/>
        <w:rPr>
          <w:rFonts w:hAnsi="宋体"/>
          <w:color w:val="auto"/>
          <w:sz w:val="21"/>
          <w:szCs w:val="21"/>
          <w:highlight w:val="none"/>
        </w:rPr>
      </w:pPr>
      <w:r>
        <w:rPr>
          <w:rFonts w:hint="eastAsia" w:hAnsi="宋体"/>
          <w:color w:val="auto"/>
          <w:sz w:val="21"/>
          <w:szCs w:val="21"/>
          <w:highlight w:val="none"/>
        </w:rPr>
        <w:t>（公章）</w:t>
      </w:r>
    </w:p>
    <w:p w14:paraId="2C0CDE70">
      <w:pPr>
        <w:shd w:val="clear"/>
        <w:spacing w:line="360" w:lineRule="auto"/>
        <w:ind w:right="718" w:rightChars="299"/>
        <w:jc w:val="right"/>
        <w:rPr>
          <w:rFonts w:hAnsi="宋体"/>
          <w:color w:val="auto"/>
          <w:sz w:val="21"/>
          <w:szCs w:val="21"/>
          <w:highlight w:val="none"/>
        </w:rPr>
      </w:pPr>
      <w:r>
        <w:rPr>
          <w:rFonts w:hint="eastAsia" w:hAnsi="宋体"/>
          <w:color w:val="auto"/>
          <w:sz w:val="21"/>
          <w:szCs w:val="21"/>
          <w:highlight w:val="none"/>
        </w:rPr>
        <w:t>年   月   日</w:t>
      </w:r>
    </w:p>
    <w:p w14:paraId="79FA9EC5">
      <w:pPr>
        <w:shd w:val="clear"/>
        <w:spacing w:line="360" w:lineRule="auto"/>
        <w:rPr>
          <w:rFonts w:hAnsi="宋体"/>
          <w:color w:val="auto"/>
          <w:sz w:val="21"/>
          <w:szCs w:val="21"/>
          <w:highlight w:val="none"/>
        </w:rPr>
      </w:pPr>
      <w:r>
        <w:rPr>
          <w:rFonts w:hint="eastAsia" w:hAnsi="宋体"/>
          <w:color w:val="auto"/>
          <w:sz w:val="21"/>
          <w:szCs w:val="21"/>
          <w:highlight w:val="none"/>
        </w:rPr>
        <w:t xml:space="preserve">单位名称：           </w:t>
      </w:r>
    </w:p>
    <w:p w14:paraId="31C5AF73">
      <w:pPr>
        <w:shd w:val="clear"/>
        <w:spacing w:line="360" w:lineRule="auto"/>
        <w:rPr>
          <w:rFonts w:hAnsi="宋体"/>
          <w:color w:val="auto"/>
          <w:sz w:val="21"/>
          <w:szCs w:val="21"/>
          <w:highlight w:val="none"/>
        </w:rPr>
      </w:pPr>
      <w:r>
        <w:rPr>
          <w:rFonts w:hint="eastAsia" w:hAnsi="宋体"/>
          <w:color w:val="auto"/>
          <w:sz w:val="21"/>
          <w:szCs w:val="21"/>
          <w:highlight w:val="none"/>
        </w:rPr>
        <w:t xml:space="preserve">单位地址：           </w:t>
      </w:r>
    </w:p>
    <w:p w14:paraId="64562AD5">
      <w:pPr>
        <w:shd w:val="clear"/>
        <w:spacing w:line="360" w:lineRule="auto"/>
        <w:rPr>
          <w:rFonts w:hAnsi="宋体"/>
          <w:color w:val="auto"/>
          <w:sz w:val="21"/>
          <w:szCs w:val="21"/>
          <w:highlight w:val="none"/>
        </w:rPr>
      </w:pPr>
      <w:r>
        <w:rPr>
          <w:rFonts w:hint="eastAsia" w:hAnsi="宋体"/>
          <w:color w:val="auto"/>
          <w:sz w:val="21"/>
          <w:szCs w:val="21"/>
          <w:highlight w:val="none"/>
        </w:rPr>
        <w:t xml:space="preserve">联系人：                   </w:t>
      </w:r>
    </w:p>
    <w:p w14:paraId="26DFF93F">
      <w:pPr>
        <w:shd w:val="clear"/>
        <w:spacing w:line="360" w:lineRule="auto"/>
        <w:rPr>
          <w:rFonts w:hAnsi="宋体"/>
          <w:color w:val="auto"/>
          <w:sz w:val="21"/>
          <w:szCs w:val="21"/>
          <w:highlight w:val="none"/>
        </w:rPr>
      </w:pPr>
      <w:r>
        <w:rPr>
          <w:rFonts w:hint="eastAsia" w:hAnsi="宋体"/>
          <w:color w:val="auto"/>
          <w:sz w:val="21"/>
          <w:szCs w:val="21"/>
          <w:highlight w:val="none"/>
        </w:rPr>
        <w:t xml:space="preserve">单位电话：                 联系人手机：              </w:t>
      </w:r>
    </w:p>
    <w:p w14:paraId="23189B1B">
      <w:pPr>
        <w:shd w:val="clear"/>
        <w:spacing w:line="360" w:lineRule="auto"/>
        <w:rPr>
          <w:rFonts w:hAnsi="宋体"/>
          <w:b/>
          <w:color w:val="auto"/>
          <w:sz w:val="21"/>
          <w:szCs w:val="21"/>
          <w:highlight w:val="none"/>
        </w:rPr>
      </w:pPr>
    </w:p>
    <w:p w14:paraId="0CFF28FC">
      <w:pPr>
        <w:shd w:val="clear"/>
        <w:spacing w:line="360" w:lineRule="auto"/>
        <w:jc w:val="left"/>
        <w:rPr>
          <w:rFonts w:hint="eastAsia"/>
          <w:color w:val="auto"/>
          <w:sz w:val="21"/>
          <w:szCs w:val="21"/>
          <w:highlight w:val="none"/>
        </w:rPr>
      </w:pPr>
      <w:r>
        <w:rPr>
          <w:rFonts w:hint="eastAsia"/>
          <w:color w:val="auto"/>
          <w:sz w:val="21"/>
          <w:szCs w:val="21"/>
          <w:highlight w:val="none"/>
        </w:rPr>
        <w:t>注：1、本说明的所有内容（包括所填写内容）均需打印；</w:t>
      </w:r>
    </w:p>
    <w:p w14:paraId="7EA5E6CD">
      <w:pPr>
        <w:shd w:val="clear"/>
        <w:spacing w:line="360" w:lineRule="auto"/>
        <w:jc w:val="left"/>
        <w:rPr>
          <w:rFonts w:hint="eastAsia"/>
          <w:color w:val="auto"/>
          <w:sz w:val="21"/>
          <w:szCs w:val="21"/>
          <w:highlight w:val="none"/>
        </w:rPr>
      </w:pPr>
      <w:r>
        <w:rPr>
          <w:rFonts w:hint="eastAsia"/>
          <w:color w:val="auto"/>
          <w:sz w:val="21"/>
          <w:szCs w:val="21"/>
          <w:highlight w:val="none"/>
        </w:rPr>
        <w:t>2、本说明及磋商保证金进帐单复印件（加盖公章）放入</w:t>
      </w:r>
      <w:r>
        <w:rPr>
          <w:rFonts w:hint="eastAsia"/>
          <w:color w:val="auto"/>
          <w:sz w:val="21"/>
          <w:szCs w:val="21"/>
          <w:highlight w:val="none"/>
          <w:lang w:eastAsia="zh-CN"/>
        </w:rPr>
        <w:t>保证金信封</w:t>
      </w:r>
      <w:r>
        <w:rPr>
          <w:rFonts w:hint="eastAsia"/>
          <w:color w:val="auto"/>
          <w:sz w:val="21"/>
          <w:szCs w:val="21"/>
          <w:highlight w:val="none"/>
        </w:rPr>
        <w:t>内。</w:t>
      </w:r>
      <w:bookmarkStart w:id="269" w:name="_Toc23871"/>
      <w:bookmarkStart w:id="270" w:name="_Toc32258"/>
      <w:bookmarkStart w:id="271" w:name="_Toc25023"/>
      <w:bookmarkStart w:id="272" w:name="_Toc5810"/>
      <w:bookmarkStart w:id="273" w:name="_Toc9804"/>
      <w:bookmarkStart w:id="274" w:name="_Toc24921"/>
      <w:bookmarkStart w:id="275" w:name="_Toc1711"/>
      <w:bookmarkStart w:id="276" w:name="_Toc28312"/>
      <w:bookmarkStart w:id="277" w:name="_Toc3469"/>
      <w:bookmarkStart w:id="278" w:name="_Toc10038"/>
      <w:bookmarkStart w:id="279" w:name="_Toc3023"/>
    </w:p>
    <w:p w14:paraId="62BE126C">
      <w:pPr>
        <w:rPr>
          <w:rFonts w:hint="eastAsia"/>
          <w:b/>
          <w:bCs/>
          <w:color w:val="auto"/>
          <w:highlight w:val="none"/>
          <w:lang w:eastAsia="zh-CN"/>
        </w:rPr>
      </w:pPr>
      <w:r>
        <w:rPr>
          <w:rFonts w:hint="eastAsia"/>
          <w:b/>
          <w:bCs/>
          <w:color w:val="auto"/>
          <w:highlight w:val="none"/>
          <w:lang w:eastAsia="zh-CN"/>
        </w:rPr>
        <w:br w:type="page"/>
      </w:r>
    </w:p>
    <w:bookmarkEnd w:id="269"/>
    <w:bookmarkEnd w:id="270"/>
    <w:bookmarkEnd w:id="271"/>
    <w:bookmarkEnd w:id="272"/>
    <w:bookmarkEnd w:id="273"/>
    <w:bookmarkEnd w:id="274"/>
    <w:bookmarkEnd w:id="275"/>
    <w:bookmarkEnd w:id="276"/>
    <w:bookmarkEnd w:id="277"/>
    <w:bookmarkEnd w:id="278"/>
    <w:bookmarkEnd w:id="279"/>
    <w:p w14:paraId="2A37CD42">
      <w:pPr>
        <w:pStyle w:val="3"/>
        <w:pageBreakBefore/>
        <w:shd w:val="clear"/>
        <w:spacing w:line="360" w:lineRule="auto"/>
        <w:jc w:val="center"/>
        <w:rPr>
          <w:bCs/>
          <w:color w:val="auto"/>
          <w:sz w:val="28"/>
          <w:szCs w:val="28"/>
          <w:highlight w:val="none"/>
        </w:rPr>
      </w:pPr>
      <w:bookmarkStart w:id="280" w:name="_Toc20966"/>
      <w:bookmarkStart w:id="281" w:name="_Toc19888"/>
      <w:r>
        <w:rPr>
          <w:rFonts w:hint="eastAsia"/>
          <w:bCs/>
          <w:color w:val="auto"/>
          <w:sz w:val="28"/>
          <w:szCs w:val="28"/>
          <w:highlight w:val="none"/>
        </w:rPr>
        <w:t>第三部分 技术文件</w:t>
      </w:r>
      <w:bookmarkEnd w:id="280"/>
      <w:bookmarkEnd w:id="281"/>
      <w:r>
        <w:rPr>
          <w:rFonts w:hint="eastAsia"/>
          <w:color w:val="auto"/>
          <w:sz w:val="28"/>
          <w:szCs w:val="28"/>
          <w:highlight w:val="none"/>
        </w:rPr>
        <w:t>（单独编制装订成册）</w:t>
      </w:r>
    </w:p>
    <w:p w14:paraId="3EC3B092">
      <w:pPr>
        <w:shd w:val="clear"/>
        <w:jc w:val="center"/>
        <w:rPr>
          <w:color w:val="auto"/>
          <w:highlight w:val="none"/>
        </w:rPr>
      </w:pPr>
    </w:p>
    <w:p w14:paraId="3F7086E3">
      <w:pPr>
        <w:pStyle w:val="3"/>
        <w:numPr>
          <w:ilvl w:val="0"/>
          <w:numId w:val="21"/>
        </w:numPr>
        <w:shd w:val="clear"/>
        <w:jc w:val="center"/>
        <w:rPr>
          <w:color w:val="auto"/>
          <w:highlight w:val="none"/>
        </w:rPr>
      </w:pPr>
      <w:bookmarkStart w:id="282" w:name="_Toc9579"/>
      <w:bookmarkStart w:id="283" w:name="_Toc9540"/>
      <w:bookmarkStart w:id="284" w:name="_Toc15167"/>
      <w:bookmarkStart w:id="285" w:name="_Toc31683"/>
      <w:bookmarkStart w:id="286" w:name="_Toc28884"/>
      <w:bookmarkStart w:id="287" w:name="_Toc1852"/>
      <w:bookmarkStart w:id="288" w:name="_Toc7161"/>
      <w:bookmarkStart w:id="289" w:name="_Toc25949"/>
      <w:bookmarkStart w:id="290" w:name="_Toc24064"/>
      <w:r>
        <w:rPr>
          <w:rFonts w:hint="eastAsia"/>
          <w:color w:val="auto"/>
          <w:highlight w:val="none"/>
        </w:rPr>
        <w:t>技术方案</w:t>
      </w:r>
      <w:bookmarkEnd w:id="282"/>
      <w:bookmarkEnd w:id="283"/>
      <w:bookmarkEnd w:id="284"/>
      <w:bookmarkEnd w:id="285"/>
      <w:bookmarkEnd w:id="286"/>
      <w:bookmarkEnd w:id="287"/>
      <w:bookmarkEnd w:id="288"/>
      <w:bookmarkEnd w:id="289"/>
      <w:bookmarkEnd w:id="290"/>
    </w:p>
    <w:p w14:paraId="3F8FEC7F">
      <w:pPr>
        <w:shd w:val="clear"/>
        <w:snapToGrid w:val="0"/>
        <w:spacing w:line="360" w:lineRule="auto"/>
        <w:rPr>
          <w:rFonts w:hAnsi="宋体"/>
          <w:color w:val="auto"/>
          <w:sz w:val="21"/>
          <w:szCs w:val="21"/>
          <w:highlight w:val="none"/>
        </w:rPr>
      </w:pPr>
    </w:p>
    <w:p w14:paraId="24F8F150">
      <w:pPr>
        <w:shd w:val="clear"/>
        <w:snapToGrid w:val="0"/>
        <w:spacing w:line="360" w:lineRule="auto"/>
        <w:ind w:firstLine="420" w:firstLineChars="200"/>
        <w:rPr>
          <w:rFonts w:hAnsi="宋体"/>
          <w:color w:val="auto"/>
          <w:sz w:val="21"/>
          <w:szCs w:val="21"/>
          <w:highlight w:val="none"/>
        </w:rPr>
      </w:pPr>
      <w:r>
        <w:rPr>
          <w:rFonts w:hint="eastAsia" w:hAnsi="宋体"/>
          <w:color w:val="auto"/>
          <w:sz w:val="21"/>
          <w:szCs w:val="21"/>
          <w:highlight w:val="none"/>
        </w:rPr>
        <w:t>根据用户需求书</w:t>
      </w:r>
      <w:r>
        <w:rPr>
          <w:rFonts w:hint="eastAsia" w:hAnsi="宋体"/>
          <w:color w:val="auto"/>
          <w:sz w:val="21"/>
          <w:szCs w:val="21"/>
          <w:highlight w:val="none"/>
          <w:lang w:val="en-US" w:eastAsia="zh-CN"/>
        </w:rPr>
        <w:t>及评审要求</w:t>
      </w:r>
      <w:r>
        <w:rPr>
          <w:rFonts w:hint="eastAsia" w:hAnsi="宋体"/>
          <w:color w:val="auto"/>
          <w:sz w:val="21"/>
          <w:szCs w:val="21"/>
          <w:highlight w:val="none"/>
        </w:rPr>
        <w:t>编写。</w:t>
      </w:r>
    </w:p>
    <w:p w14:paraId="71F68441">
      <w:pPr>
        <w:shd w:val="clear"/>
        <w:snapToGrid/>
        <w:spacing w:line="240" w:lineRule="auto"/>
        <w:rPr>
          <w:rFonts w:hAnsi="宋体"/>
          <w:color w:val="auto"/>
          <w:sz w:val="21"/>
          <w:szCs w:val="21"/>
          <w:highlight w:val="none"/>
        </w:rPr>
      </w:pPr>
      <w:r>
        <w:rPr>
          <w:rFonts w:hAnsi="宋体"/>
          <w:color w:val="auto"/>
          <w:sz w:val="21"/>
          <w:szCs w:val="21"/>
          <w:highlight w:val="none"/>
        </w:rPr>
        <w:br w:type="page"/>
      </w:r>
    </w:p>
    <w:p w14:paraId="636A429C">
      <w:pPr>
        <w:pStyle w:val="3"/>
        <w:numPr>
          <w:ilvl w:val="0"/>
          <w:numId w:val="21"/>
        </w:numPr>
        <w:shd w:val="clear"/>
        <w:jc w:val="center"/>
        <w:rPr>
          <w:color w:val="auto"/>
          <w:highlight w:val="none"/>
        </w:rPr>
      </w:pPr>
      <w:bookmarkStart w:id="291" w:name="_Toc11036"/>
      <w:bookmarkStart w:id="292" w:name="_Toc9982"/>
      <w:bookmarkStart w:id="293" w:name="_Toc9619"/>
      <w:bookmarkStart w:id="294" w:name="_Toc24947"/>
      <w:bookmarkStart w:id="295" w:name="_Toc30049"/>
      <w:bookmarkStart w:id="296" w:name="_Toc15530"/>
      <w:bookmarkStart w:id="297" w:name="_Toc12278"/>
      <w:bookmarkStart w:id="298" w:name="_Toc28953"/>
      <w:bookmarkStart w:id="299" w:name="_Toc23849"/>
      <w:r>
        <w:rPr>
          <w:rFonts w:hint="eastAsia"/>
          <w:color w:val="auto"/>
          <w:highlight w:val="none"/>
        </w:rPr>
        <w:t>其他资料</w:t>
      </w:r>
      <w:bookmarkEnd w:id="291"/>
      <w:bookmarkEnd w:id="292"/>
      <w:bookmarkEnd w:id="293"/>
      <w:bookmarkEnd w:id="294"/>
      <w:bookmarkEnd w:id="295"/>
      <w:bookmarkEnd w:id="296"/>
      <w:bookmarkEnd w:id="297"/>
      <w:bookmarkEnd w:id="298"/>
      <w:bookmarkEnd w:id="299"/>
    </w:p>
    <w:p w14:paraId="37841E47">
      <w:pPr>
        <w:pStyle w:val="28"/>
        <w:shd w:val="clear"/>
        <w:spacing w:line="360" w:lineRule="auto"/>
        <w:ind w:firstLine="420"/>
        <w:rPr>
          <w:rFonts w:hAnsi="宋体"/>
          <w:color w:val="auto"/>
          <w:highlight w:val="none"/>
        </w:rPr>
      </w:pPr>
    </w:p>
    <w:p w14:paraId="6D0F0355">
      <w:pPr>
        <w:shd w:val="clear"/>
        <w:spacing w:line="360" w:lineRule="auto"/>
        <w:rPr>
          <w:rFonts w:hAnsi="宋体"/>
          <w:color w:val="auto"/>
          <w:sz w:val="21"/>
          <w:szCs w:val="21"/>
          <w:highlight w:val="none"/>
        </w:rPr>
      </w:pPr>
      <w:r>
        <w:rPr>
          <w:rFonts w:hint="eastAsia" w:hAnsi="宋体"/>
          <w:color w:val="auto"/>
          <w:sz w:val="21"/>
          <w:szCs w:val="21"/>
          <w:highlight w:val="none"/>
        </w:rPr>
        <w:t>1、磋商文件要求提供的其他资料（如有）</w:t>
      </w:r>
    </w:p>
    <w:p w14:paraId="2027564E">
      <w:pPr>
        <w:shd w:val="clear"/>
        <w:spacing w:line="360" w:lineRule="auto"/>
        <w:rPr>
          <w:rFonts w:hAnsi="宋体"/>
          <w:color w:val="auto"/>
          <w:sz w:val="21"/>
          <w:szCs w:val="21"/>
          <w:highlight w:val="none"/>
        </w:rPr>
      </w:pPr>
      <w:r>
        <w:rPr>
          <w:rFonts w:hint="eastAsia" w:hAnsi="宋体"/>
          <w:color w:val="auto"/>
          <w:sz w:val="21"/>
          <w:szCs w:val="21"/>
          <w:highlight w:val="none"/>
        </w:rPr>
        <w:t>2、供应商认为需要提供的其他资料（如有）</w:t>
      </w:r>
    </w:p>
    <w:p w14:paraId="38D90C8B">
      <w:pPr>
        <w:rPr>
          <w:rFonts w:hAnsi="宋体"/>
          <w:color w:val="auto"/>
          <w:sz w:val="21"/>
          <w:szCs w:val="21"/>
          <w:highlight w:val="none"/>
        </w:rPr>
      </w:pPr>
      <w:r>
        <w:rPr>
          <w:rFonts w:hAnsi="宋体"/>
          <w:color w:val="auto"/>
          <w:sz w:val="21"/>
          <w:szCs w:val="21"/>
          <w:highlight w:val="none"/>
        </w:rPr>
        <w:br w:type="page"/>
      </w:r>
    </w:p>
    <w:p w14:paraId="573D1BB1">
      <w:pPr>
        <w:pStyle w:val="3"/>
        <w:shd w:val="clear"/>
        <w:jc w:val="center"/>
        <w:rPr>
          <w:color w:val="auto"/>
          <w:sz w:val="28"/>
          <w:szCs w:val="28"/>
          <w:highlight w:val="none"/>
        </w:rPr>
      </w:pPr>
      <w:bookmarkStart w:id="300" w:name="_Toc17492"/>
      <w:r>
        <w:rPr>
          <w:rFonts w:hint="eastAsia"/>
          <w:color w:val="auto"/>
          <w:sz w:val="28"/>
          <w:szCs w:val="28"/>
          <w:highlight w:val="none"/>
        </w:rPr>
        <w:t xml:space="preserve">第四部分 </w:t>
      </w:r>
      <w:r>
        <w:rPr>
          <w:rFonts w:hint="eastAsia"/>
          <w:color w:val="auto"/>
          <w:sz w:val="28"/>
          <w:szCs w:val="28"/>
          <w:highlight w:val="none"/>
          <w:lang w:eastAsia="zh-CN"/>
        </w:rPr>
        <w:t>保证金信封</w:t>
      </w:r>
      <w:r>
        <w:rPr>
          <w:rFonts w:hint="eastAsia"/>
          <w:bCs/>
          <w:color w:val="auto"/>
          <w:sz w:val="28"/>
          <w:szCs w:val="28"/>
          <w:highlight w:val="none"/>
        </w:rPr>
        <w:t>（单独编制装订成册，单独封装）</w:t>
      </w:r>
      <w:bookmarkEnd w:id="300"/>
    </w:p>
    <w:p w14:paraId="2DA14ABD">
      <w:pPr>
        <w:pStyle w:val="77"/>
        <w:shd w:val="clear"/>
        <w:spacing w:line="460" w:lineRule="exact"/>
        <w:ind w:firstLine="0" w:firstLineChars="0"/>
        <w:rPr>
          <w:rFonts w:ascii="宋体" w:eastAsia="宋体"/>
          <w:color w:val="auto"/>
          <w:sz w:val="21"/>
          <w:szCs w:val="21"/>
          <w:highlight w:val="none"/>
        </w:rPr>
      </w:pPr>
      <w:r>
        <w:rPr>
          <w:rFonts w:hint="eastAsia" w:ascii="宋体" w:eastAsia="宋体"/>
          <w:color w:val="auto"/>
          <w:sz w:val="21"/>
          <w:szCs w:val="21"/>
          <w:highlight w:val="none"/>
          <w:lang w:eastAsia="zh-CN"/>
        </w:rPr>
        <w:t>保证金信封</w:t>
      </w:r>
      <w:r>
        <w:rPr>
          <w:rFonts w:hint="eastAsia" w:ascii="宋体" w:eastAsia="宋体"/>
          <w:color w:val="auto"/>
          <w:sz w:val="21"/>
          <w:szCs w:val="21"/>
          <w:highlight w:val="none"/>
        </w:rPr>
        <w:t>内装：</w:t>
      </w:r>
    </w:p>
    <w:p w14:paraId="15C32B02">
      <w:pPr>
        <w:pStyle w:val="77"/>
        <w:shd w:val="clear"/>
        <w:spacing w:line="460" w:lineRule="exact"/>
        <w:ind w:firstLine="433"/>
        <w:rPr>
          <w:rFonts w:ascii="宋体" w:eastAsia="宋体"/>
          <w:color w:val="auto"/>
          <w:sz w:val="21"/>
          <w:szCs w:val="21"/>
          <w:highlight w:val="none"/>
        </w:rPr>
      </w:pPr>
      <w:r>
        <w:rPr>
          <w:rFonts w:hint="eastAsia" w:ascii="宋体" w:eastAsia="宋体"/>
          <w:color w:val="auto"/>
          <w:sz w:val="21"/>
          <w:szCs w:val="21"/>
          <w:highlight w:val="none"/>
        </w:rPr>
        <w:t>（1）磋商保证金汇入情况说明及银行汇款凭证复印件加盖公章；</w:t>
      </w:r>
    </w:p>
    <w:p w14:paraId="124011B4">
      <w:pPr>
        <w:pStyle w:val="77"/>
        <w:shd w:val="clear"/>
        <w:spacing w:line="460" w:lineRule="exact"/>
        <w:ind w:firstLine="433"/>
        <w:rPr>
          <w:rFonts w:ascii="宋体" w:eastAsia="宋体"/>
          <w:color w:val="auto"/>
          <w:sz w:val="21"/>
          <w:szCs w:val="21"/>
          <w:highlight w:val="none"/>
        </w:rPr>
      </w:pPr>
      <w:r>
        <w:rPr>
          <w:rFonts w:hint="eastAsia" w:ascii="宋体" w:eastAsia="宋体"/>
          <w:color w:val="auto"/>
          <w:sz w:val="21"/>
          <w:szCs w:val="21"/>
          <w:highlight w:val="none"/>
        </w:rPr>
        <w:t>（2）法定代表人证明书原件或正本复印件加盖公章；</w:t>
      </w:r>
    </w:p>
    <w:p w14:paraId="23256596">
      <w:pPr>
        <w:pStyle w:val="77"/>
        <w:shd w:val="clear"/>
        <w:spacing w:line="460" w:lineRule="exact"/>
        <w:ind w:firstLine="433"/>
        <w:rPr>
          <w:rFonts w:ascii="宋体" w:eastAsia="宋体"/>
          <w:color w:val="auto"/>
          <w:sz w:val="21"/>
          <w:szCs w:val="21"/>
          <w:highlight w:val="none"/>
        </w:rPr>
      </w:pPr>
      <w:r>
        <w:rPr>
          <w:rFonts w:hint="eastAsia" w:ascii="宋体" w:eastAsia="宋体"/>
          <w:color w:val="auto"/>
          <w:sz w:val="21"/>
          <w:szCs w:val="21"/>
          <w:highlight w:val="none"/>
        </w:rPr>
        <w:t>（3）法定代表人授权委托书原件或正本复印件加盖公章（法定代表人磋商的除外）；</w:t>
      </w:r>
    </w:p>
    <w:p w14:paraId="2AAFEF32">
      <w:pPr>
        <w:pStyle w:val="77"/>
        <w:shd w:val="clear"/>
        <w:spacing w:line="460" w:lineRule="exact"/>
        <w:ind w:firstLine="433"/>
        <w:rPr>
          <w:rFonts w:ascii="宋体" w:eastAsia="宋体"/>
          <w:color w:val="auto"/>
          <w:sz w:val="22"/>
          <w:szCs w:val="22"/>
          <w:highlight w:val="none"/>
        </w:rPr>
      </w:pPr>
      <w:r>
        <w:rPr>
          <w:rFonts w:hint="eastAsia" w:ascii="宋体" w:eastAsia="宋体"/>
          <w:color w:val="auto"/>
          <w:sz w:val="21"/>
          <w:szCs w:val="21"/>
          <w:highlight w:val="none"/>
        </w:rPr>
        <w:t>（4）磋商文件电子文件（须含盖章版PDF磋商响应文件和WORD版磋商响应文件各一版，文字采用WORD文档，计算表格采用 EXCEL文档</w:t>
      </w:r>
      <w:r>
        <w:rPr>
          <w:rFonts w:hint="eastAsia" w:ascii="宋体" w:eastAsia="宋体"/>
          <w:color w:val="auto"/>
          <w:sz w:val="21"/>
          <w:szCs w:val="21"/>
          <w:highlight w:val="none"/>
          <w:lang w:eastAsia="zh-CN"/>
        </w:rPr>
        <w:t>，</w:t>
      </w:r>
      <w:r>
        <w:rPr>
          <w:rFonts w:hint="eastAsia" w:ascii="宋体" w:eastAsia="宋体"/>
          <w:color w:val="auto"/>
          <w:sz w:val="21"/>
          <w:szCs w:val="21"/>
          <w:highlight w:val="none"/>
        </w:rPr>
        <w:t>可采用光盘介质或U盘装载）</w:t>
      </w:r>
      <w:r>
        <w:rPr>
          <w:rFonts w:hint="eastAsia" w:ascii="宋体" w:eastAsia="宋体"/>
          <w:color w:val="auto"/>
          <w:sz w:val="21"/>
          <w:szCs w:val="21"/>
          <w:highlight w:val="none"/>
          <w:lang w:eastAsia="zh-CN"/>
        </w:rPr>
        <w:t>。</w:t>
      </w:r>
    </w:p>
    <w:p w14:paraId="1F97A5F1">
      <w:pPr>
        <w:pStyle w:val="77"/>
        <w:shd w:val="clear"/>
        <w:spacing w:line="460" w:lineRule="exact"/>
        <w:ind w:firstLine="453"/>
        <w:rPr>
          <w:rFonts w:ascii="宋体" w:eastAsia="宋体"/>
          <w:color w:val="auto"/>
          <w:sz w:val="22"/>
          <w:szCs w:val="22"/>
          <w:highlight w:val="none"/>
        </w:rPr>
        <w:sectPr>
          <w:headerReference r:id="rId11" w:type="default"/>
          <w:footerReference r:id="rId12" w:type="default"/>
          <w:pgSz w:w="11907" w:h="16840"/>
          <w:pgMar w:top="1440" w:right="1134" w:bottom="1440" w:left="1134" w:header="850" w:footer="720" w:gutter="0"/>
          <w:pgBorders>
            <w:top w:val="none" w:sz="0" w:space="0"/>
            <w:left w:val="none" w:sz="0" w:space="0"/>
            <w:bottom w:val="none" w:sz="0" w:space="0"/>
            <w:right w:val="none" w:sz="0" w:space="0"/>
          </w:pgBorders>
          <w:pgNumType w:fmt="decimal"/>
          <w:cols w:space="720" w:num="1"/>
          <w:docGrid w:type="lines" w:linePitch="326" w:charSpace="0"/>
        </w:sectPr>
      </w:pPr>
    </w:p>
    <w:p w14:paraId="39F257FC">
      <w:pPr>
        <w:pStyle w:val="3"/>
        <w:numPr>
          <w:ilvl w:val="0"/>
          <w:numId w:val="22"/>
        </w:numPr>
        <w:jc w:val="center"/>
        <w:rPr>
          <w:rFonts w:hint="eastAsia"/>
          <w:color w:val="auto"/>
          <w:sz w:val="28"/>
          <w:szCs w:val="28"/>
          <w:highlight w:val="none"/>
          <w:lang w:eastAsia="zh-CN"/>
        </w:rPr>
      </w:pPr>
      <w:r>
        <w:rPr>
          <w:rFonts w:hint="eastAsia"/>
          <w:color w:val="auto"/>
          <w:sz w:val="28"/>
          <w:szCs w:val="28"/>
          <w:highlight w:val="none"/>
          <w:lang w:eastAsia="zh-CN"/>
        </w:rPr>
        <w:t>其他格式</w:t>
      </w:r>
    </w:p>
    <w:p w14:paraId="0E1182F2">
      <w:pPr>
        <w:autoSpaceDE/>
        <w:autoSpaceDN/>
        <w:spacing w:before="164" w:beforeLines="50" w:after="164" w:afterLines="50" w:line="360" w:lineRule="auto"/>
        <w:ind w:firstLine="0" w:firstLineChars="0"/>
        <w:jc w:val="center"/>
        <w:textAlignment w:val="baseline"/>
        <w:outlineLvl w:val="1"/>
        <w:rPr>
          <w:rFonts w:hint="eastAsia" w:ascii="宋体" w:hAnsi="宋体" w:eastAsia="宋体" w:cs="宋体"/>
          <w:color w:val="auto"/>
          <w:sz w:val="21"/>
          <w:szCs w:val="21"/>
          <w:highlight w:val="none"/>
        </w:rPr>
      </w:pPr>
      <w:bookmarkStart w:id="301" w:name="_Toc5218"/>
      <w:bookmarkStart w:id="302" w:name="_Toc15851"/>
      <w:bookmarkStart w:id="303" w:name="_Toc29181"/>
      <w:bookmarkStart w:id="304" w:name="_Toc32416"/>
      <w:bookmarkStart w:id="305" w:name="_Toc13567"/>
      <w:r>
        <w:rPr>
          <w:rFonts w:hint="eastAsia" w:ascii="宋体" w:hAnsi="宋体" w:eastAsia="宋体" w:cs="宋体"/>
          <w:b/>
          <w:bCs/>
          <w:color w:val="auto"/>
          <w:sz w:val="28"/>
          <w:szCs w:val="28"/>
          <w:highlight w:val="none"/>
        </w:rPr>
        <w:t>不可撤销履约保函</w:t>
      </w:r>
      <w:bookmarkEnd w:id="301"/>
      <w:bookmarkEnd w:id="302"/>
      <w:bookmarkEnd w:id="303"/>
      <w:bookmarkEnd w:id="304"/>
      <w:bookmarkEnd w:id="305"/>
      <w:r>
        <w:rPr>
          <w:rFonts w:hint="eastAsia" w:ascii="宋体" w:hAnsi="宋体" w:eastAsia="宋体" w:cs="宋体"/>
          <w:b/>
          <w:bCs/>
          <w:color w:val="auto"/>
          <w:sz w:val="28"/>
          <w:szCs w:val="28"/>
          <w:highlight w:val="none"/>
        </w:rPr>
        <w:t>（如有）</w:t>
      </w:r>
    </w:p>
    <w:p w14:paraId="0B9EC371">
      <w:pPr>
        <w:spacing w:line="360" w:lineRule="auto"/>
        <w:ind w:firstLine="6300"/>
        <w:textAlignment w:val="baseline"/>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保函编号：</w:t>
      </w:r>
      <w:r>
        <w:rPr>
          <w:rFonts w:hint="eastAsia" w:ascii="宋体" w:hAnsi="宋体" w:eastAsia="宋体" w:cs="宋体"/>
          <w:color w:val="auto"/>
          <w:sz w:val="21"/>
          <w:szCs w:val="21"/>
          <w:highlight w:val="none"/>
          <w:u w:val="single" w:color="000000"/>
        </w:rPr>
        <w:t xml:space="preserve">             </w:t>
      </w:r>
    </w:p>
    <w:p w14:paraId="72D88455">
      <w:pPr>
        <w:spacing w:before="0" w:beforeAutospacing="0" w:after="0" w:afterAutospacing="0" w:line="360" w:lineRule="auto"/>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致：</w:t>
      </w:r>
      <w:r>
        <w:rPr>
          <w:rFonts w:hint="eastAsia" w:ascii="宋体" w:hAnsi="宋体" w:eastAsia="宋体" w:cs="宋体"/>
          <w:color w:val="auto"/>
          <w:sz w:val="21"/>
          <w:szCs w:val="21"/>
          <w:highlight w:val="none"/>
          <w:u w:val="single" w:color="000000"/>
        </w:rPr>
        <w:t xml:space="preserve"> </w:t>
      </w:r>
      <w:r>
        <w:rPr>
          <w:rFonts w:hint="eastAsia" w:ascii="宋体" w:hAnsi="宋体" w:eastAsia="宋体" w:cs="宋体"/>
          <w:color w:val="auto"/>
          <w:sz w:val="21"/>
          <w:szCs w:val="21"/>
          <w:highlight w:val="none"/>
          <w:u w:val="single" w:color="auto"/>
        </w:rPr>
        <w:t>（</w:t>
      </w:r>
      <w:r>
        <w:rPr>
          <w:rFonts w:hint="eastAsia" w:ascii="宋体" w:hAnsi="宋体" w:eastAsia="宋体" w:cs="宋体"/>
          <w:color w:val="auto"/>
          <w:sz w:val="21"/>
          <w:szCs w:val="21"/>
          <w:highlight w:val="none"/>
          <w:u w:val="single" w:color="auto"/>
          <w:lang w:val="en-US" w:eastAsia="zh-CN"/>
        </w:rPr>
        <w:t>建设单位</w:t>
      </w:r>
      <w:r>
        <w:rPr>
          <w:rFonts w:hint="eastAsia" w:ascii="宋体" w:hAnsi="宋体" w:eastAsia="宋体" w:cs="宋体"/>
          <w:color w:val="auto"/>
          <w:sz w:val="21"/>
          <w:szCs w:val="21"/>
          <w:highlight w:val="none"/>
          <w:u w:val="single" w:color="auto"/>
        </w:rPr>
        <w:t>的</w:t>
      </w:r>
      <w:r>
        <w:rPr>
          <w:rFonts w:hint="eastAsia" w:ascii="宋体" w:hAnsi="宋体" w:eastAsia="宋体" w:cs="宋体"/>
          <w:color w:val="auto"/>
          <w:sz w:val="21"/>
          <w:szCs w:val="21"/>
          <w:highlight w:val="none"/>
          <w:u w:val="single" w:color="000000"/>
        </w:rPr>
        <w:t xml:space="preserve">名称）  </w:t>
      </w:r>
      <w:r>
        <w:rPr>
          <w:rFonts w:hint="eastAsia" w:ascii="宋体" w:hAnsi="宋体" w:eastAsia="宋体" w:cs="宋体"/>
          <w:color w:val="auto"/>
          <w:sz w:val="21"/>
          <w:szCs w:val="21"/>
          <w:highlight w:val="none"/>
        </w:rPr>
        <w:t>（下称“</w:t>
      </w:r>
      <w:r>
        <w:rPr>
          <w:rFonts w:hint="eastAsia" w:ascii="宋体" w:hAnsi="宋体" w:eastAsia="宋体" w:cs="宋体"/>
          <w:color w:val="auto"/>
          <w:sz w:val="21"/>
          <w:szCs w:val="21"/>
          <w:highlight w:val="none"/>
          <w:lang w:val="en-US" w:eastAsia="zh-CN"/>
        </w:rPr>
        <w:t>建设单位</w:t>
      </w:r>
      <w:r>
        <w:rPr>
          <w:rFonts w:hint="eastAsia" w:ascii="宋体" w:hAnsi="宋体" w:eastAsia="宋体" w:cs="宋体"/>
          <w:color w:val="auto"/>
          <w:sz w:val="21"/>
          <w:szCs w:val="21"/>
          <w:highlight w:val="none"/>
        </w:rPr>
        <w:t>”）</w:t>
      </w:r>
    </w:p>
    <w:p w14:paraId="22AF0B5C">
      <w:pPr>
        <w:spacing w:before="0" w:beforeAutospacing="0" w:after="0" w:afterAutospacing="0" w:line="360" w:lineRule="auto"/>
        <w:ind w:firstLine="437"/>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鉴于</w:t>
      </w:r>
      <w:r>
        <w:rPr>
          <w:rFonts w:hint="eastAsia" w:ascii="宋体" w:hAnsi="宋体" w:eastAsia="宋体" w:cs="宋体"/>
          <w:color w:val="auto"/>
          <w:sz w:val="21"/>
          <w:szCs w:val="21"/>
          <w:highlight w:val="none"/>
          <w:u w:val="single" w:color="000000"/>
        </w:rPr>
        <w:t xml:space="preserve">  （承包人的名称与地址）  </w:t>
      </w:r>
      <w:r>
        <w:rPr>
          <w:rFonts w:hint="eastAsia" w:ascii="宋体" w:hAnsi="宋体" w:eastAsia="宋体" w:cs="宋体"/>
          <w:color w:val="auto"/>
          <w:sz w:val="21"/>
          <w:szCs w:val="21"/>
          <w:highlight w:val="none"/>
        </w:rPr>
        <w:t>（下称“承包人”），已保证按</w:t>
      </w:r>
      <w:r>
        <w:rPr>
          <w:rFonts w:hint="eastAsia" w:ascii="宋体" w:hAnsi="宋体" w:eastAsia="宋体" w:cs="宋体"/>
          <w:color w:val="auto"/>
          <w:sz w:val="21"/>
          <w:szCs w:val="21"/>
          <w:highlight w:val="none"/>
          <w:u w:val="single" w:color="000000"/>
        </w:rPr>
        <w:t xml:space="preserve">  （</w:t>
      </w:r>
      <w:r>
        <w:rPr>
          <w:rFonts w:hint="eastAsia" w:ascii="宋体" w:hAnsi="宋体" w:eastAsia="宋体" w:cs="宋体"/>
          <w:color w:val="auto"/>
          <w:sz w:val="21"/>
          <w:szCs w:val="21"/>
          <w:highlight w:val="none"/>
          <w:u w:val="single" w:color="000000"/>
          <w:lang w:eastAsia="zh-CN"/>
        </w:rPr>
        <w:t>采购</w:t>
      </w:r>
      <w:r>
        <w:rPr>
          <w:rFonts w:hint="eastAsia" w:ascii="宋体" w:hAnsi="宋体" w:eastAsia="宋体" w:cs="宋体"/>
          <w:color w:val="auto"/>
          <w:sz w:val="21"/>
          <w:szCs w:val="21"/>
          <w:highlight w:val="none"/>
          <w:u w:val="single" w:color="000000"/>
        </w:rPr>
        <w:t xml:space="preserve">项目名称）  </w:t>
      </w:r>
      <w:r>
        <w:rPr>
          <w:rFonts w:hint="eastAsia" w:ascii="宋体" w:hAnsi="宋体" w:eastAsia="宋体" w:cs="宋体"/>
          <w:color w:val="auto"/>
          <w:sz w:val="21"/>
          <w:szCs w:val="21"/>
          <w:highlight w:val="none"/>
          <w:lang w:eastAsia="zh-CN"/>
        </w:rPr>
        <w:t>采购</w:t>
      </w:r>
      <w:r>
        <w:rPr>
          <w:rFonts w:hint="eastAsia" w:ascii="宋体" w:hAnsi="宋体" w:eastAsia="宋体" w:cs="宋体"/>
          <w:color w:val="auto"/>
          <w:sz w:val="21"/>
          <w:szCs w:val="21"/>
          <w:highlight w:val="none"/>
        </w:rPr>
        <w:t>文件</w:t>
      </w:r>
      <w:r>
        <w:rPr>
          <w:rFonts w:hint="eastAsia" w:ascii="宋体" w:hAnsi="宋体" w:eastAsia="宋体" w:cs="宋体"/>
          <w:color w:val="auto"/>
          <w:sz w:val="21"/>
          <w:szCs w:val="21"/>
          <w:highlight w:val="none"/>
          <w:u w:val="single" w:color="000000"/>
        </w:rPr>
        <w:t>（</w:t>
      </w:r>
      <w:r>
        <w:rPr>
          <w:rFonts w:hint="eastAsia" w:ascii="宋体" w:hAnsi="宋体" w:eastAsia="宋体" w:cs="宋体"/>
          <w:color w:val="auto"/>
          <w:sz w:val="21"/>
          <w:szCs w:val="21"/>
          <w:highlight w:val="none"/>
          <w:u w:val="single" w:color="000000"/>
          <w:lang w:eastAsia="zh-CN"/>
        </w:rPr>
        <w:t>采购</w:t>
      </w:r>
      <w:r>
        <w:rPr>
          <w:rFonts w:hint="eastAsia" w:ascii="宋体" w:hAnsi="宋体" w:eastAsia="宋体" w:cs="宋体"/>
          <w:color w:val="auto"/>
          <w:sz w:val="21"/>
          <w:szCs w:val="21"/>
          <w:highlight w:val="none"/>
          <w:u w:val="single" w:color="000000"/>
        </w:rPr>
        <w:t xml:space="preserve">编号：   ） </w:t>
      </w:r>
      <w:r>
        <w:rPr>
          <w:rFonts w:hint="eastAsia" w:ascii="宋体" w:hAnsi="宋体" w:eastAsia="宋体" w:cs="宋体"/>
          <w:color w:val="auto"/>
          <w:sz w:val="21"/>
          <w:szCs w:val="21"/>
          <w:highlight w:val="none"/>
        </w:rPr>
        <w:t>及</w:t>
      </w:r>
      <w:r>
        <w:rPr>
          <w:rFonts w:hint="eastAsia" w:ascii="宋体" w:hAnsi="宋体" w:eastAsia="宋体" w:cs="宋体"/>
          <w:color w:val="auto"/>
          <w:sz w:val="21"/>
          <w:szCs w:val="21"/>
          <w:highlight w:val="none"/>
          <w:u w:val="single" w:color="000000"/>
        </w:rPr>
        <w:t xml:space="preserve">（合同名称） </w:t>
      </w:r>
      <w:r>
        <w:rPr>
          <w:rFonts w:hint="eastAsia" w:ascii="宋体" w:hAnsi="宋体" w:eastAsia="宋体" w:cs="宋体"/>
          <w:color w:val="auto"/>
          <w:sz w:val="21"/>
          <w:szCs w:val="21"/>
          <w:highlight w:val="none"/>
        </w:rPr>
        <w:t>建设工程施工合同</w:t>
      </w:r>
      <w:r>
        <w:rPr>
          <w:rFonts w:hint="eastAsia" w:ascii="宋体" w:hAnsi="宋体" w:eastAsia="宋体" w:cs="宋体"/>
          <w:color w:val="auto"/>
          <w:sz w:val="21"/>
          <w:szCs w:val="21"/>
          <w:highlight w:val="none"/>
          <w:u w:val="single" w:color="000000"/>
        </w:rPr>
        <w:t>（合同编号：   ）</w:t>
      </w:r>
      <w:r>
        <w:rPr>
          <w:rFonts w:hint="eastAsia" w:ascii="宋体" w:hAnsi="宋体" w:eastAsia="宋体" w:cs="宋体"/>
          <w:color w:val="auto"/>
          <w:sz w:val="21"/>
          <w:szCs w:val="21"/>
          <w:highlight w:val="none"/>
        </w:rPr>
        <w:t>中规定的义务履行合同。</w:t>
      </w:r>
    </w:p>
    <w:p w14:paraId="6DF931C7">
      <w:pPr>
        <w:spacing w:before="0" w:beforeAutospacing="0" w:after="0" w:afterAutospacing="0" w:line="360" w:lineRule="auto"/>
        <w:ind w:firstLine="437"/>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根据上述</w:t>
      </w:r>
      <w:r>
        <w:rPr>
          <w:rFonts w:hint="eastAsia" w:ascii="宋体" w:hAnsi="宋体" w:eastAsia="宋体" w:cs="宋体"/>
          <w:color w:val="auto"/>
          <w:sz w:val="21"/>
          <w:szCs w:val="21"/>
          <w:highlight w:val="none"/>
          <w:lang w:eastAsia="zh-CN"/>
        </w:rPr>
        <w:t>采购</w:t>
      </w:r>
      <w:r>
        <w:rPr>
          <w:rFonts w:hint="eastAsia" w:ascii="宋体" w:hAnsi="宋体" w:eastAsia="宋体" w:cs="宋体"/>
          <w:color w:val="auto"/>
          <w:sz w:val="21"/>
          <w:szCs w:val="21"/>
          <w:highlight w:val="none"/>
        </w:rPr>
        <w:t>文件及合同规定，承包人应向</w:t>
      </w:r>
      <w:r>
        <w:rPr>
          <w:rFonts w:hint="eastAsia" w:ascii="宋体" w:hAnsi="宋体" w:eastAsia="宋体" w:cs="宋体"/>
          <w:color w:val="auto"/>
          <w:sz w:val="21"/>
          <w:szCs w:val="21"/>
          <w:highlight w:val="none"/>
          <w:lang w:val="en-US" w:eastAsia="zh-CN"/>
        </w:rPr>
        <w:t>建设单位</w:t>
      </w:r>
      <w:r>
        <w:rPr>
          <w:rFonts w:hint="eastAsia" w:ascii="宋体" w:hAnsi="宋体" w:eastAsia="宋体" w:cs="宋体"/>
          <w:color w:val="auto"/>
          <w:sz w:val="21"/>
          <w:szCs w:val="21"/>
          <w:highlight w:val="none"/>
        </w:rPr>
        <w:t>提供一份金额为人民币（大写）</w:t>
      </w:r>
      <w:r>
        <w:rPr>
          <w:rFonts w:hint="eastAsia" w:ascii="宋体" w:hAnsi="宋体" w:eastAsia="宋体" w:cs="宋体"/>
          <w:color w:val="auto"/>
          <w:sz w:val="21"/>
          <w:szCs w:val="21"/>
          <w:highlight w:val="none"/>
          <w:u w:val="single" w:color="000000"/>
        </w:rPr>
        <w:t xml:space="preserve">   （￥     元）</w:t>
      </w:r>
      <w:r>
        <w:rPr>
          <w:rFonts w:hint="eastAsia" w:ascii="宋体" w:hAnsi="宋体" w:eastAsia="宋体" w:cs="宋体"/>
          <w:color w:val="auto"/>
          <w:sz w:val="21"/>
          <w:szCs w:val="21"/>
          <w:highlight w:val="none"/>
        </w:rPr>
        <w:t>的不可撤销银行履约保函，作为承包人履行上述合同的担保。</w:t>
      </w:r>
    </w:p>
    <w:p w14:paraId="0E3A9300">
      <w:pPr>
        <w:spacing w:before="0" w:beforeAutospacing="0" w:after="0" w:afterAutospacing="0" w:line="360" w:lineRule="auto"/>
        <w:ind w:firstLine="437"/>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我方</w:t>
      </w:r>
      <w:r>
        <w:rPr>
          <w:rFonts w:hint="eastAsia" w:ascii="宋体" w:hAnsi="宋体" w:eastAsia="宋体" w:cs="宋体"/>
          <w:color w:val="auto"/>
          <w:sz w:val="21"/>
          <w:szCs w:val="21"/>
          <w:highlight w:val="none"/>
          <w:u w:val="single" w:color="000000"/>
        </w:rPr>
        <w:t xml:space="preserve">  （银行名称）  </w:t>
      </w:r>
      <w:r>
        <w:rPr>
          <w:rFonts w:hint="eastAsia" w:ascii="宋体" w:hAnsi="宋体" w:eastAsia="宋体" w:cs="宋体"/>
          <w:color w:val="auto"/>
          <w:sz w:val="21"/>
          <w:szCs w:val="21"/>
          <w:highlight w:val="none"/>
        </w:rPr>
        <w:t>，受承包人的委托，作为连带责任保证人，无条件和不可撤销地同意在</w:t>
      </w:r>
      <w:r>
        <w:rPr>
          <w:rFonts w:hint="eastAsia" w:ascii="宋体" w:hAnsi="宋体" w:eastAsia="宋体" w:cs="宋体"/>
          <w:color w:val="auto"/>
          <w:sz w:val="21"/>
          <w:szCs w:val="21"/>
          <w:highlight w:val="none"/>
          <w:lang w:val="en-US" w:eastAsia="zh-CN"/>
        </w:rPr>
        <w:t>建设单位</w:t>
      </w:r>
      <w:r>
        <w:rPr>
          <w:rFonts w:hint="eastAsia" w:ascii="宋体" w:hAnsi="宋体" w:eastAsia="宋体" w:cs="宋体"/>
          <w:color w:val="auto"/>
          <w:sz w:val="21"/>
          <w:szCs w:val="21"/>
          <w:highlight w:val="none"/>
        </w:rPr>
        <w:t>提出因承包人没有履行上述</w:t>
      </w:r>
      <w:r>
        <w:rPr>
          <w:rFonts w:hint="eastAsia" w:ascii="宋体" w:hAnsi="宋体" w:eastAsia="宋体" w:cs="宋体"/>
          <w:color w:val="auto"/>
          <w:sz w:val="21"/>
          <w:szCs w:val="21"/>
          <w:highlight w:val="none"/>
          <w:lang w:eastAsia="zh-CN"/>
        </w:rPr>
        <w:t>采购</w:t>
      </w:r>
      <w:r>
        <w:rPr>
          <w:rFonts w:hint="eastAsia" w:ascii="宋体" w:hAnsi="宋体" w:eastAsia="宋体" w:cs="宋体"/>
          <w:color w:val="auto"/>
          <w:sz w:val="21"/>
          <w:szCs w:val="21"/>
          <w:highlight w:val="none"/>
        </w:rPr>
        <w:t>文件及合同规定，而要求扣划保证金的书面要求后，我方将在</w:t>
      </w:r>
      <w:r>
        <w:rPr>
          <w:rFonts w:hint="eastAsia" w:ascii="宋体" w:hAnsi="宋体" w:eastAsia="宋体" w:cs="宋体"/>
          <w:color w:val="auto"/>
          <w:sz w:val="21"/>
          <w:szCs w:val="21"/>
          <w:highlight w:val="none"/>
          <w:u w:val="single" w:color="000000"/>
        </w:rPr>
        <w:t xml:space="preserve">    </w:t>
      </w:r>
      <w:r>
        <w:rPr>
          <w:rFonts w:hint="eastAsia" w:ascii="宋体" w:hAnsi="宋体" w:eastAsia="宋体" w:cs="宋体"/>
          <w:color w:val="auto"/>
          <w:sz w:val="21"/>
          <w:szCs w:val="21"/>
          <w:highlight w:val="none"/>
        </w:rPr>
        <w:t>个工作日内为发包人扣划金额不超过人民币（大写）</w:t>
      </w:r>
      <w:r>
        <w:rPr>
          <w:rFonts w:hint="eastAsia" w:ascii="宋体" w:hAnsi="宋体" w:eastAsia="宋体" w:cs="宋体"/>
          <w:color w:val="auto"/>
          <w:sz w:val="21"/>
          <w:szCs w:val="21"/>
          <w:highlight w:val="none"/>
          <w:u w:val="single" w:color="000000"/>
        </w:rPr>
        <w:t xml:space="preserve">     （￥    元）</w:t>
      </w:r>
      <w:r>
        <w:rPr>
          <w:rFonts w:hint="eastAsia" w:ascii="宋体" w:hAnsi="宋体" w:eastAsia="宋体" w:cs="宋体"/>
          <w:color w:val="auto"/>
          <w:sz w:val="21"/>
          <w:szCs w:val="21"/>
          <w:highlight w:val="none"/>
        </w:rPr>
        <w:t>的保证金。</w:t>
      </w:r>
    </w:p>
    <w:p w14:paraId="32BF9F20">
      <w:pPr>
        <w:spacing w:before="0" w:beforeAutospacing="0" w:after="0" w:afterAutospacing="0" w:line="360" w:lineRule="auto"/>
        <w:ind w:firstLine="437"/>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我方还同意，任何</w:t>
      </w:r>
      <w:r>
        <w:rPr>
          <w:rFonts w:hint="eastAsia" w:ascii="宋体" w:hAnsi="宋体" w:eastAsia="宋体" w:cs="宋体"/>
          <w:color w:val="auto"/>
          <w:sz w:val="21"/>
          <w:szCs w:val="21"/>
          <w:highlight w:val="none"/>
          <w:lang w:val="en-US" w:eastAsia="zh-CN"/>
        </w:rPr>
        <w:t>建设单位</w:t>
      </w:r>
      <w:r>
        <w:rPr>
          <w:rFonts w:hint="eastAsia" w:ascii="宋体" w:hAnsi="宋体" w:eastAsia="宋体" w:cs="宋体"/>
          <w:color w:val="auto"/>
          <w:sz w:val="21"/>
          <w:szCs w:val="21"/>
          <w:highlight w:val="none"/>
        </w:rPr>
        <w:t>与承包人之间可能对合同条款的修改、规范或其他合同文件的变动补充，都不能免除我方按本保函所承担的责任。因此，有关上述变动、补充和修改无须通知我方。</w:t>
      </w:r>
    </w:p>
    <w:p w14:paraId="73B63DCA">
      <w:pPr>
        <w:spacing w:line="360" w:lineRule="auto"/>
        <w:ind w:firstLine="48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本保函从上述合同签订之日起至工程竣工验收合格并结算经双方签字确定后30日内保持有效。</w:t>
      </w:r>
    </w:p>
    <w:p w14:paraId="24D3B0B9">
      <w:pPr>
        <w:spacing w:line="360" w:lineRule="auto"/>
        <w:ind w:firstLine="482"/>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p w14:paraId="103DA918">
      <w:pPr>
        <w:spacing w:line="360" w:lineRule="auto"/>
        <w:ind w:firstLine="36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保证人：（公章）</w:t>
      </w:r>
      <w:r>
        <w:rPr>
          <w:rFonts w:hint="eastAsia" w:ascii="宋体" w:hAnsi="宋体" w:eastAsia="宋体" w:cs="宋体"/>
          <w:color w:val="auto"/>
          <w:sz w:val="21"/>
          <w:szCs w:val="21"/>
          <w:highlight w:val="none"/>
          <w:u w:val="single" w:color="000000"/>
        </w:rPr>
        <w:t xml:space="preserve">                              </w:t>
      </w:r>
    </w:p>
    <w:p w14:paraId="020AA061">
      <w:pPr>
        <w:spacing w:line="360" w:lineRule="auto"/>
        <w:ind w:firstLine="3600"/>
        <w:textAlignment w:val="baseline"/>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法定代表人或其委托代理人：（签字）</w:t>
      </w:r>
      <w:r>
        <w:rPr>
          <w:rFonts w:hint="eastAsia" w:ascii="宋体" w:hAnsi="宋体" w:eastAsia="宋体" w:cs="宋体"/>
          <w:color w:val="auto"/>
          <w:sz w:val="21"/>
          <w:szCs w:val="21"/>
          <w:highlight w:val="none"/>
          <w:u w:val="single" w:color="000000"/>
        </w:rPr>
        <w:t xml:space="preserve">            </w:t>
      </w:r>
    </w:p>
    <w:p w14:paraId="061F99F0">
      <w:pPr>
        <w:spacing w:line="360" w:lineRule="auto"/>
        <w:ind w:firstLine="3600"/>
        <w:textAlignment w:val="baseline"/>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联系电话：</w:t>
      </w:r>
      <w:r>
        <w:rPr>
          <w:rFonts w:hint="eastAsia" w:ascii="宋体" w:hAnsi="宋体" w:eastAsia="宋体" w:cs="宋体"/>
          <w:color w:val="auto"/>
          <w:sz w:val="21"/>
          <w:szCs w:val="21"/>
          <w:highlight w:val="none"/>
          <w:u w:val="single" w:color="000000"/>
        </w:rPr>
        <w:t xml:space="preserve">                                    </w:t>
      </w:r>
    </w:p>
    <w:p w14:paraId="701CDB87">
      <w:pPr>
        <w:spacing w:line="360" w:lineRule="auto"/>
        <w:ind w:firstLine="36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    址：</w:t>
      </w:r>
      <w:r>
        <w:rPr>
          <w:rFonts w:hint="eastAsia" w:ascii="宋体" w:hAnsi="宋体" w:eastAsia="宋体" w:cs="宋体"/>
          <w:color w:val="auto"/>
          <w:sz w:val="21"/>
          <w:szCs w:val="21"/>
          <w:highlight w:val="none"/>
          <w:u w:val="single" w:color="000000"/>
        </w:rPr>
        <w:t xml:space="preserve">                                    </w:t>
      </w:r>
    </w:p>
    <w:p w14:paraId="70222804">
      <w:pPr>
        <w:spacing w:line="360" w:lineRule="auto"/>
        <w:ind w:firstLine="3600"/>
        <w:textAlignment w:val="baseline"/>
        <w:rPr>
          <w:rFonts w:hint="eastAsia" w:ascii="宋体" w:hAnsi="宋体" w:eastAsia="宋体" w:cs="宋体"/>
          <w:color w:val="auto"/>
          <w:sz w:val="21"/>
          <w:szCs w:val="21"/>
          <w:highlight w:val="none"/>
          <w:u w:val="single" w:color="000000"/>
        </w:rPr>
      </w:pPr>
      <w:r>
        <w:rPr>
          <w:rFonts w:hint="eastAsia" w:ascii="宋体" w:hAnsi="宋体" w:eastAsia="宋体" w:cs="宋体"/>
          <w:color w:val="auto"/>
          <w:sz w:val="21"/>
          <w:szCs w:val="21"/>
          <w:highlight w:val="none"/>
        </w:rPr>
        <w:t>日    期：</w:t>
      </w:r>
      <w:r>
        <w:rPr>
          <w:rFonts w:hint="eastAsia" w:ascii="宋体" w:hAnsi="宋体" w:eastAsia="宋体" w:cs="宋体"/>
          <w:color w:val="auto"/>
          <w:sz w:val="21"/>
          <w:szCs w:val="21"/>
          <w:highlight w:val="none"/>
          <w:u w:val="single" w:color="000000"/>
        </w:rPr>
        <w:t xml:space="preserve">                                 </w:t>
      </w:r>
    </w:p>
    <w:p w14:paraId="555E0B5E">
      <w:pPr>
        <w:shd w:val="clear"/>
        <w:rPr>
          <w:color w:val="auto"/>
          <w:highlight w:val="none"/>
          <w:lang w:val="zh-CN"/>
        </w:rPr>
      </w:pPr>
    </w:p>
    <w:sectPr>
      <w:pgSz w:w="11907" w:h="16840"/>
      <w:pgMar w:top="1440" w:right="1134" w:bottom="1440" w:left="1134" w:header="850" w:footer="720" w:gutter="0"/>
      <w:pgBorders>
        <w:top w:val="none" w:sz="0" w:space="0"/>
        <w:left w:val="none" w:sz="0" w:space="0"/>
        <w:bottom w:val="none" w:sz="0" w:space="0"/>
        <w:right w:val="none" w:sz="0" w:space="0"/>
      </w:pgBorders>
      <w:pgNumType w:fmt="decimal"/>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369D01F-2D9C-4111-9A69-5EAC9DE645D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5DD94823-0113-4143-B1E2-C2AB043A20DF}"/>
  </w:font>
  <w:font w:name="Garamond">
    <w:panose1 w:val="02020404030301010803"/>
    <w:charset w:val="00"/>
    <w:family w:val="roman"/>
    <w:pitch w:val="default"/>
    <w:sig w:usb0="00000287" w:usb1="00000000" w:usb2="00000000" w:usb3="00000000" w:csb0="0000009F" w:csb1="DFD70000"/>
  </w:font>
  <w:font w:name="仿宋">
    <w:panose1 w:val="02010609060101010101"/>
    <w:charset w:val="86"/>
    <w:family w:val="modern"/>
    <w:pitch w:val="default"/>
    <w:sig w:usb0="800002BF" w:usb1="38CF7CFA" w:usb2="00000016" w:usb3="00000000" w:csb0="00040001" w:csb1="00000000"/>
  </w:font>
  <w:font w:name="Helvetica">
    <w:altName w:val="Arial"/>
    <w:panose1 w:val="020B0504020202030204"/>
    <w:charset w:val="00"/>
    <w:family w:val="swiss"/>
    <w:pitch w:val="default"/>
    <w:sig w:usb0="00000000" w:usb1="00000000" w:usb2="00000000" w:usb3="00000000" w:csb0="00000093" w:csb1="0000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华文细黑">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embedRegular r:id="rId3" w:fontKey="{9297AE21-6D89-48EF-BBF3-43CF1D27C709}"/>
  </w:font>
  <w:font w:name="DFKai-SB">
    <w:altName w:val="Microsoft JhengHei Light"/>
    <w:panose1 w:val="03000509000000000000"/>
    <w:charset w:val="88"/>
    <w:family w:val="script"/>
    <w:pitch w:val="default"/>
    <w:sig w:usb0="00000000" w:usb1="00000000" w:usb2="00000016" w:usb3="00000000" w:csb0="00100001" w:csb1="00000000"/>
  </w:font>
  <w:font w:name="Microsoft JhengHei Light">
    <w:panose1 w:val="020B0304030504040204"/>
    <w:charset w:val="88"/>
    <w:family w:val="auto"/>
    <w:pitch w:val="default"/>
    <w:sig w:usb0="800002A7" w:usb1="28CF4400" w:usb2="00000016" w:usb3="00000000" w:csb0="00100009" w:csb1="00000000"/>
  </w:font>
  <w:font w:name="Arial Black">
    <w:panose1 w:val="020B0A04020102020204"/>
    <w:charset w:val="00"/>
    <w:family w:val="swiss"/>
    <w:pitch w:val="default"/>
    <w:sig w:usb0="A00002AF" w:usb1="400078FB" w:usb2="00000000" w:usb3="00000000" w:csb0="6000009F" w:csb1="DFD70000"/>
  </w:font>
  <w:font w:name="思源黑体 CN Regular">
    <w:altName w:val="黑体"/>
    <w:panose1 w:val="00000000000000000000"/>
    <w:charset w:val="00"/>
    <w:family w:val="auto"/>
    <w:pitch w:val="default"/>
    <w:sig w:usb0="00000000" w:usb1="00000000" w:usb2="00000000" w:usb3="00000000" w:csb0="00040001" w:csb1="00000000"/>
  </w:font>
  <w:font w:name="时尚中黑简体">
    <w:panose1 w:val="01010104010101010101"/>
    <w:charset w:val="86"/>
    <w:family w:val="auto"/>
    <w:pitch w:val="default"/>
    <w:sig w:usb0="800002BF" w:usb1="184F6CF8" w:usb2="00000012" w:usb3="00000000" w:csb0="00040001" w:csb1="00000000"/>
    <w:embedRegular r:id="rId4" w:fontKey="{41ED3FD3-3D17-48D0-8ED3-91F6E0E30C22}"/>
  </w:font>
  <w:font w:name="WPSEMBED1">
    <w:panose1 w:val="01010104010101010101"/>
    <w:charset w:val="86"/>
    <w:family w:val="auto"/>
    <w:pitch w:val="default"/>
    <w:sig w:usb0="800002BF" w:usb1="184F6CF8" w:usb2="00000012"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51420E">
    <w:pPr>
      <w:pStyle w:val="3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CD0A87">
    <w:pPr>
      <w:pStyle w:val="33"/>
      <w:framePr w:wrap="around" w:vAnchor="text" w:hAnchor="margin" w:xAlign="right" w:y="1"/>
      <w:rPr>
        <w:rStyle w:val="57"/>
      </w:rPr>
    </w:pPr>
    <w:r>
      <w:fldChar w:fldCharType="begin"/>
    </w:r>
    <w:r>
      <w:rPr>
        <w:rStyle w:val="57"/>
      </w:rPr>
      <w:instrText xml:space="preserve">PAGE  </w:instrText>
    </w:r>
    <w:r>
      <w:fldChar w:fldCharType="separate"/>
    </w:r>
    <w:r>
      <w:rPr>
        <w:rStyle w:val="57"/>
      </w:rPr>
      <w:t>5</w:t>
    </w:r>
    <w:r>
      <w:fldChar w:fldCharType="end"/>
    </w:r>
  </w:p>
  <w:p w14:paraId="43C74AAF">
    <w:pPr>
      <w:pStyle w:val="3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C6C918">
    <w:pPr>
      <w:pStyle w:val="33"/>
      <w:ind w:right="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7395F9">
                          <w:pPr>
                            <w:pStyle w:val="3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1A7395F9">
                    <w:pPr>
                      <w:pStyle w:val="3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26B23C">
    <w:pPr>
      <w:pStyle w:val="3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DFB847">
                          <w:pPr>
                            <w:pStyle w:val="33"/>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11DFB847">
                    <w:pPr>
                      <w:pStyle w:val="33"/>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BE522C">
    <w:pPr>
      <w:pStyle w:val="33"/>
      <w:rPr>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47955"/>
              <wp:effectExtent l="0" t="0" r="0" b="0"/>
              <wp:wrapNone/>
              <wp:docPr id="4" name="文本框 4"/>
              <wp:cNvGraphicFramePr/>
              <a:graphic xmlns:a="http://schemas.openxmlformats.org/drawingml/2006/main">
                <a:graphicData uri="http://schemas.microsoft.com/office/word/2010/wordprocessingShape">
                  <wps:wsp>
                    <wps:cNvSpPr txBox="1"/>
                    <wps:spPr>
                      <a:xfrm>
                        <a:off x="0" y="0"/>
                        <a:ext cx="57785" cy="147955"/>
                      </a:xfrm>
                      <a:prstGeom prst="rect">
                        <a:avLst/>
                      </a:prstGeom>
                      <a:noFill/>
                      <a:ln w="15875">
                        <a:noFill/>
                      </a:ln>
                      <a:effectLst/>
                    </wps:spPr>
                    <wps:txbx>
                      <w:txbxContent>
                        <w:p w14:paraId="13807465">
                          <w:pPr>
                            <w:pStyle w:val="33"/>
                          </w:pPr>
                          <w:r>
                            <w:fldChar w:fldCharType="begin"/>
                          </w:r>
                          <w:r>
                            <w:instrText xml:space="preserve"> PAGE  \* MERGEFORMAT </w:instrText>
                          </w:r>
                          <w:r>
                            <w:fldChar w:fldCharType="separate"/>
                          </w:r>
                          <w:r>
                            <w:t>75</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1.65pt;width:4.55pt;mso-position-horizontal:center;mso-position-horizontal-relative:margin;mso-wrap-style:none;z-index:251659264;mso-width-relative:page;mso-height-relative:page;" filled="f" stroked="f" coordsize="21600,21600" o:gfxdata="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CUTtW31AAAAAIBAAAPAAAAAAAAAAEAIAAAACIA&#10;AABkcnMvZG93bnJldi54bWxQSwECFAAUAAAACACHTuJAElaCJtQBAACiAwAADgAAAAAAAAABACAA&#10;AAAjAQAAZHJzL2Uyb0RvYy54bWxQSwUGAAAAAAYABgBZAQAAaQUAAAAA&#10;">
              <v:fill on="f" focussize="0,0"/>
              <v:stroke on="f" weight="1.25pt"/>
              <v:imagedata o:title=""/>
              <o:lock v:ext="edit" aspectratio="f"/>
              <v:textbox inset="0mm,0mm,0mm,0mm" style="mso-fit-shape-to-text:t;">
                <w:txbxContent>
                  <w:p w14:paraId="13807465">
                    <w:pPr>
                      <w:pStyle w:val="33"/>
                    </w:pPr>
                    <w:r>
                      <w:fldChar w:fldCharType="begin"/>
                    </w:r>
                    <w:r>
                      <w:instrText xml:space="preserve"> PAGE  \* MERGEFORMAT </w:instrText>
                    </w:r>
                    <w:r>
                      <w:fldChar w:fldCharType="separate"/>
                    </w:r>
                    <w:r>
                      <w:t>75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3E6477">
    <w:pPr>
      <w:pStyle w:val="34"/>
      <w:pBdr>
        <w:bottom w:val="none" w:color="auto" w:sz="0" w:space="1"/>
      </w:pBdr>
      <w:tabs>
        <w:tab w:val="left" w:pos="5049"/>
      </w:tabs>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6F36C4">
    <w:pPr>
      <w:pStyle w:val="34"/>
      <w:pBdr>
        <w:bottom w:val="thickThinLargeGap" w:color="auto" w:sz="4" w:space="1"/>
      </w:pBdr>
      <w:wordWrap w:val="0"/>
      <w:jc w:val="right"/>
      <w:rPr>
        <w:bCs/>
        <w:sz w:val="21"/>
        <w:szCs w:val="21"/>
      </w:rPr>
    </w:pPr>
    <w:r>
      <w:rPr>
        <w:rFonts w:hint="eastAsia" w:ascii="时尚中黑简体" w:hAnsi="时尚中黑简体" w:eastAsia="时尚中黑简体" w:cs="时尚中黑简体"/>
        <w:bCs/>
        <w:sz w:val="21"/>
        <w:szCs w:val="21"/>
      </w:rPr>
      <w:drawing>
        <wp:anchor distT="0" distB="0" distL="114300" distR="114300" simplePos="0" relativeHeight="251661312" behindDoc="1" locked="0" layoutInCell="1" allowOverlap="1">
          <wp:simplePos x="0" y="0"/>
          <wp:positionH relativeFrom="column">
            <wp:posOffset>2621915</wp:posOffset>
          </wp:positionH>
          <wp:positionV relativeFrom="paragraph">
            <wp:posOffset>-259080</wp:posOffset>
          </wp:positionV>
          <wp:extent cx="434340" cy="434340"/>
          <wp:effectExtent l="0" t="0" r="3810" b="3810"/>
          <wp:wrapNone/>
          <wp:docPr id="9" name="图片 9" descr="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公司logo"/>
                  <pic:cNvPicPr>
                    <a:picLocks noChangeAspect="1" noChangeArrowheads="1"/>
                  </pic:cNvPicPr>
                </pic:nvPicPr>
                <pic:blipFill>
                  <a:blip r:embed="rId1"/>
                  <a:srcRect/>
                  <a:stretch>
                    <a:fillRect/>
                  </a:stretch>
                </pic:blipFill>
                <pic:spPr>
                  <a:xfrm>
                    <a:off x="0" y="0"/>
                    <a:ext cx="434340" cy="434340"/>
                  </a:xfrm>
                  <a:prstGeom prst="rect">
                    <a:avLst/>
                  </a:prstGeom>
                  <a:noFill/>
                  <a:ln w="9525" cmpd="sng">
                    <a:noFill/>
                    <a:miter lim="800000"/>
                    <a:headEnd/>
                    <a:tailEnd/>
                  </a:ln>
                </pic:spPr>
              </pic:pic>
            </a:graphicData>
          </a:graphic>
        </wp:anchor>
      </w:drawing>
    </w:r>
    <w:r>
      <w:rPr>
        <w:rFonts w:hint="eastAsia" w:ascii="时尚中黑简体" w:hAnsi="时尚中黑简体" w:eastAsia="时尚中黑简体" w:cs="时尚中黑简体"/>
        <w:bCs/>
        <w:sz w:val="21"/>
        <w:szCs w:val="21"/>
        <w:lang w:eastAsia="zh-CN"/>
      </w:rPr>
      <w:t>广东有德招标采购有限公司</w:t>
    </w:r>
    <w:r>
      <w:rPr>
        <w:rFonts w:hint="eastAsia" w:ascii="时尚中黑简体" w:hAnsi="时尚中黑简体" w:eastAsia="时尚中黑简体" w:cs="时尚中黑简体"/>
        <w:bCs/>
        <w:sz w:val="21"/>
        <w:szCs w:val="21"/>
      </w:rPr>
      <w:t xml:space="preserve">  编制</w:t>
    </w:r>
  </w:p>
  <w:p w14:paraId="4E33846C">
    <w:pPr>
      <w:pStyle w:val="34"/>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8E9F3D">
    <w:pPr>
      <w:pStyle w:val="34"/>
      <w:pBdr>
        <w:bottom w:val="thickThinLargeGap" w:color="auto" w:sz="4" w:space="1"/>
      </w:pBdr>
      <w:wordWrap w:val="0"/>
      <w:jc w:val="right"/>
      <w:rPr>
        <w:bCs/>
        <w:sz w:val="21"/>
        <w:szCs w:val="21"/>
      </w:rPr>
    </w:pPr>
    <w:r>
      <w:rPr>
        <w:rFonts w:hint="eastAsia" w:hAnsi="宋体" w:cs="宋体"/>
        <w:bCs/>
        <w:sz w:val="21"/>
        <w:szCs w:val="21"/>
        <w:lang w:eastAsia="zh-CN"/>
      </w:rPr>
      <w:t>广东有德招标采购有限公司</w:t>
    </w:r>
    <w:r>
      <w:rPr>
        <w:rFonts w:hint="eastAsia" w:ascii="宋体" w:hAnsi="宋体" w:eastAsia="宋体" w:cs="宋体"/>
        <w:bCs/>
        <w:sz w:val="21"/>
        <w:szCs w:val="21"/>
      </w:rPr>
      <w:t xml:space="preserve">  编制</w:t>
    </w:r>
  </w:p>
  <w:p w14:paraId="58568CB0">
    <w:pPr>
      <w:pStyle w:val="34"/>
      <w:pBdr>
        <w:bottom w:val="none" w:color="auto" w:sz="0" w:space="1"/>
      </w:pBdr>
      <w:tabs>
        <w:tab w:val="left" w:pos="5049"/>
      </w:tabs>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4348F4">
    <w:pPr>
      <w:pStyle w:val="34"/>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4A0175">
    <w:pPr>
      <w:pStyle w:val="34"/>
      <w:pBdr>
        <w:bottom w:val="thickThinLargeGap" w:color="auto" w:sz="4" w:space="1"/>
      </w:pBdr>
      <w:wordWrap w:val="0"/>
      <w:jc w:val="right"/>
      <w:rPr>
        <w:bCs/>
        <w:sz w:val="21"/>
        <w:szCs w:val="21"/>
      </w:rPr>
    </w:pPr>
    <w:r>
      <w:rPr>
        <w:rFonts w:hint="eastAsia" w:hAnsi="宋体" w:cs="宋体"/>
        <w:bCs/>
        <w:sz w:val="21"/>
        <w:szCs w:val="21"/>
        <w:lang w:eastAsia="zh-CN"/>
      </w:rPr>
      <w:t>广东有德招标采购有限公司</w:t>
    </w:r>
    <w:r>
      <w:rPr>
        <w:rFonts w:hint="eastAsia" w:ascii="宋体" w:hAnsi="宋体" w:eastAsia="宋体" w:cs="宋体"/>
        <w:bCs/>
        <w:sz w:val="21"/>
        <w:szCs w:val="21"/>
      </w:rPr>
      <w:t xml:space="preserve">  编制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EEAC35"/>
    <w:multiLevelType w:val="singleLevel"/>
    <w:tmpl w:val="92EEAC35"/>
    <w:lvl w:ilvl="0" w:tentative="0">
      <w:start w:val="1"/>
      <w:numFmt w:val="chineseCounting"/>
      <w:suff w:val="nothing"/>
      <w:lvlText w:val="%1、"/>
      <w:lvlJc w:val="left"/>
      <w:pPr>
        <w:ind w:left="0" w:firstLine="420"/>
      </w:pPr>
      <w:rPr>
        <w:rFonts w:hint="eastAsia"/>
      </w:rPr>
    </w:lvl>
  </w:abstractNum>
  <w:abstractNum w:abstractNumId="1">
    <w:nsid w:val="EC01E890"/>
    <w:multiLevelType w:val="singleLevel"/>
    <w:tmpl w:val="EC01E890"/>
    <w:lvl w:ilvl="0" w:tentative="0">
      <w:start w:val="1"/>
      <w:numFmt w:val="chineseCounting"/>
      <w:suff w:val="nothing"/>
      <w:lvlText w:val="%1、"/>
      <w:lvlJc w:val="left"/>
      <w:pPr>
        <w:ind w:left="0" w:firstLine="420"/>
      </w:pPr>
      <w:rPr>
        <w:rFonts w:hint="eastAsia"/>
      </w:rPr>
    </w:lvl>
  </w:abstractNum>
  <w:abstractNum w:abstractNumId="2">
    <w:nsid w:val="00000010"/>
    <w:multiLevelType w:val="multilevel"/>
    <w:tmpl w:val="00000010"/>
    <w:lvl w:ilvl="0" w:tentative="0">
      <w:start w:val="1"/>
      <w:numFmt w:val="decimal"/>
      <w:lvlText w:val="%1"/>
      <w:lvlJc w:val="left"/>
      <w:pPr>
        <w:tabs>
          <w:tab w:val="left" w:pos="425"/>
        </w:tabs>
        <w:ind w:left="425" w:hanging="425"/>
      </w:pPr>
    </w:lvl>
    <w:lvl w:ilvl="1" w:tentative="0">
      <w:start w:val="1"/>
      <w:numFmt w:val="decimal"/>
      <w:pStyle w:val="104"/>
      <w:lvlText w:val="%1.%2"/>
      <w:lvlJc w:val="left"/>
      <w:pPr>
        <w:tabs>
          <w:tab w:val="left" w:pos="992"/>
        </w:tabs>
        <w:ind w:left="992" w:hanging="567"/>
      </w:pPr>
    </w:lvl>
    <w:lvl w:ilvl="2" w:tentative="0">
      <w:start w:val="1"/>
      <w:numFmt w:val="decimal"/>
      <w:lvlText w:val="%1.%2.%3"/>
      <w:lvlJc w:val="left"/>
      <w:pPr>
        <w:tabs>
          <w:tab w:val="left" w:pos="1418"/>
        </w:tabs>
        <w:ind w:left="1418"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3">
    <w:nsid w:val="00000011"/>
    <w:multiLevelType w:val="multilevel"/>
    <w:tmpl w:val="00000011"/>
    <w:lvl w:ilvl="0" w:tentative="0">
      <w:start w:val="4"/>
      <w:numFmt w:val="japaneseCounting"/>
      <w:lvlText w:val="第%1篇"/>
      <w:lvlJc w:val="left"/>
      <w:pPr>
        <w:tabs>
          <w:tab w:val="left" w:pos="1080"/>
        </w:tabs>
        <w:ind w:left="1080" w:hanging="1080"/>
      </w:pPr>
      <w:rPr>
        <w:rFonts w:hint="default"/>
      </w:rPr>
    </w:lvl>
    <w:lvl w:ilvl="1" w:tentative="0">
      <w:start w:val="3"/>
      <w:numFmt w:val="japaneseCounting"/>
      <w:lvlText w:val="%2、"/>
      <w:lvlJc w:val="left"/>
      <w:pPr>
        <w:tabs>
          <w:tab w:val="left" w:pos="900"/>
        </w:tabs>
        <w:ind w:left="900" w:hanging="480"/>
      </w:pPr>
      <w:rPr>
        <w:rFonts w:hint="default"/>
      </w:rPr>
    </w:lvl>
    <w:lvl w:ilvl="2" w:tentative="0">
      <w:start w:val="1"/>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12"/>
    <w:multiLevelType w:val="multilevel"/>
    <w:tmpl w:val="00000012"/>
    <w:lvl w:ilvl="0" w:tentative="0">
      <w:start w:val="1"/>
      <w:numFmt w:val="bullet"/>
      <w:pStyle w:val="94"/>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5">
    <w:nsid w:val="00000013"/>
    <w:multiLevelType w:val="multilevel"/>
    <w:tmpl w:val="00000013"/>
    <w:lvl w:ilvl="0" w:tentative="0">
      <w:start w:val="1"/>
      <w:numFmt w:val="decimal"/>
      <w:pStyle w:val="112"/>
      <w:lvlText w:val="%1、"/>
      <w:lvlJc w:val="left"/>
      <w:pPr>
        <w:tabs>
          <w:tab w:val="left" w:pos="786"/>
        </w:tabs>
        <w:ind w:left="786" w:hanging="360"/>
      </w:pPr>
    </w:lvl>
    <w:lvl w:ilvl="1" w:tentative="0">
      <w:start w:val="1"/>
      <w:numFmt w:val="decimal"/>
      <w:lvlText w:val="%2、"/>
      <w:lvlJc w:val="left"/>
      <w:pPr>
        <w:tabs>
          <w:tab w:val="left" w:pos="1206"/>
        </w:tabs>
        <w:ind w:left="1206" w:hanging="360"/>
      </w:pPr>
    </w:lvl>
    <w:lvl w:ilvl="2" w:tentative="0">
      <w:start w:val="1"/>
      <w:numFmt w:val="lowerRoman"/>
      <w:lvlText w:val="%3."/>
      <w:lvlJc w:val="right"/>
      <w:pPr>
        <w:tabs>
          <w:tab w:val="left" w:pos="1686"/>
        </w:tabs>
        <w:ind w:left="1686" w:hanging="420"/>
      </w:pPr>
    </w:lvl>
    <w:lvl w:ilvl="3" w:tentative="0">
      <w:start w:val="2"/>
      <w:numFmt w:val="decimal"/>
      <w:lvlText w:val="%4）"/>
      <w:lvlJc w:val="left"/>
      <w:pPr>
        <w:tabs>
          <w:tab w:val="left" w:pos="2046"/>
        </w:tabs>
        <w:ind w:left="2046"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00000016"/>
    <w:multiLevelType w:val="multilevel"/>
    <w:tmpl w:val="00000016"/>
    <w:lvl w:ilvl="0" w:tentative="0">
      <w:start w:val="1"/>
      <w:numFmt w:val="decimal"/>
      <w:pStyle w:val="14"/>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0000020"/>
    <w:multiLevelType w:val="multilevel"/>
    <w:tmpl w:val="00000020"/>
    <w:lvl w:ilvl="0" w:tentative="0">
      <w:start w:val="1"/>
      <w:numFmt w:val="bullet"/>
      <w:pStyle w:val="93"/>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8">
    <w:nsid w:val="00000021"/>
    <w:multiLevelType w:val="multilevel"/>
    <w:tmpl w:val="00000021"/>
    <w:lvl w:ilvl="0" w:tentative="0">
      <w:start w:val="1"/>
      <w:numFmt w:val="chineseCounting"/>
      <w:suff w:val="nothing"/>
      <w:lvlText w:val="%1、"/>
      <w:lvlJc w:val="left"/>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0000028"/>
    <w:multiLevelType w:val="multilevel"/>
    <w:tmpl w:val="00000028"/>
    <w:lvl w:ilvl="0" w:tentative="0">
      <w:start w:val="1"/>
      <w:numFmt w:val="japaneseCounting"/>
      <w:lvlText w:val="第%1篇"/>
      <w:lvlJc w:val="left"/>
      <w:pPr>
        <w:ind w:left="1080" w:hanging="1080"/>
      </w:pPr>
      <w:rPr>
        <w:rFonts w:hint="default"/>
      </w:rPr>
    </w:lvl>
    <w:lvl w:ilvl="1" w:tentative="0">
      <w:start w:val="1"/>
      <w:numFmt w:val="japaneseCounting"/>
      <w:lvlText w:val="（%2）"/>
      <w:lvlJc w:val="left"/>
      <w:pPr>
        <w:ind w:left="1185" w:hanging="765"/>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0000029"/>
    <w:multiLevelType w:val="multilevel"/>
    <w:tmpl w:val="00000029"/>
    <w:lvl w:ilvl="0" w:tentative="0">
      <w:start w:val="1"/>
      <w:numFmt w:val="bullet"/>
      <w:pStyle w:val="48"/>
      <w:lvlText w:val=""/>
      <w:lvlJc w:val="left"/>
      <w:pPr>
        <w:tabs>
          <w:tab w:val="left" w:pos="2121"/>
        </w:tabs>
        <w:ind w:left="2121" w:hanging="420"/>
      </w:pPr>
      <w:rPr>
        <w:rFonts w:hint="default" w:ascii="Wingdings" w:hAnsi="Wingdings"/>
      </w:rPr>
    </w:lvl>
    <w:lvl w:ilvl="1" w:tentative="0">
      <w:start w:val="1"/>
      <w:numFmt w:val="bullet"/>
      <w:lvlText w:val=""/>
      <w:lvlJc w:val="left"/>
      <w:pPr>
        <w:tabs>
          <w:tab w:val="left" w:pos="2541"/>
        </w:tabs>
        <w:ind w:left="2541" w:hanging="420"/>
      </w:pPr>
      <w:rPr>
        <w:rFonts w:hint="default" w:ascii="Wingdings" w:hAnsi="Wingdings"/>
      </w:rPr>
    </w:lvl>
    <w:lvl w:ilvl="2" w:tentative="0">
      <w:start w:val="1"/>
      <w:numFmt w:val="bullet"/>
      <w:lvlText w:val=""/>
      <w:lvlJc w:val="left"/>
      <w:pPr>
        <w:tabs>
          <w:tab w:val="left" w:pos="2961"/>
        </w:tabs>
        <w:ind w:left="2961" w:hanging="420"/>
      </w:pPr>
      <w:rPr>
        <w:rFonts w:hint="default" w:ascii="Wingdings" w:hAnsi="Wingdings"/>
      </w:rPr>
    </w:lvl>
    <w:lvl w:ilvl="3" w:tentative="0">
      <w:start w:val="1"/>
      <w:numFmt w:val="bullet"/>
      <w:lvlText w:val=""/>
      <w:lvlJc w:val="left"/>
      <w:pPr>
        <w:tabs>
          <w:tab w:val="left" w:pos="3381"/>
        </w:tabs>
        <w:ind w:left="3381" w:hanging="420"/>
      </w:pPr>
      <w:rPr>
        <w:rFonts w:hint="default" w:ascii="Wingdings" w:hAnsi="Wingdings"/>
      </w:rPr>
    </w:lvl>
    <w:lvl w:ilvl="4" w:tentative="0">
      <w:start w:val="1"/>
      <w:numFmt w:val="bullet"/>
      <w:lvlText w:val=""/>
      <w:lvlJc w:val="left"/>
      <w:pPr>
        <w:tabs>
          <w:tab w:val="left" w:pos="3801"/>
        </w:tabs>
        <w:ind w:left="3801" w:hanging="420"/>
      </w:pPr>
      <w:rPr>
        <w:rFonts w:hint="default" w:ascii="Wingdings" w:hAnsi="Wingdings"/>
      </w:rPr>
    </w:lvl>
    <w:lvl w:ilvl="5" w:tentative="0">
      <w:start w:val="1"/>
      <w:numFmt w:val="bullet"/>
      <w:lvlText w:val=""/>
      <w:lvlJc w:val="left"/>
      <w:pPr>
        <w:tabs>
          <w:tab w:val="left" w:pos="4221"/>
        </w:tabs>
        <w:ind w:left="4221" w:hanging="420"/>
      </w:pPr>
      <w:rPr>
        <w:rFonts w:hint="default" w:ascii="Wingdings" w:hAnsi="Wingdings"/>
      </w:rPr>
    </w:lvl>
    <w:lvl w:ilvl="6" w:tentative="0">
      <w:start w:val="1"/>
      <w:numFmt w:val="bullet"/>
      <w:lvlText w:val=""/>
      <w:lvlJc w:val="left"/>
      <w:pPr>
        <w:tabs>
          <w:tab w:val="left" w:pos="4641"/>
        </w:tabs>
        <w:ind w:left="4641" w:hanging="420"/>
      </w:pPr>
      <w:rPr>
        <w:rFonts w:hint="default" w:ascii="Wingdings" w:hAnsi="Wingdings"/>
      </w:rPr>
    </w:lvl>
    <w:lvl w:ilvl="7" w:tentative="0">
      <w:start w:val="1"/>
      <w:numFmt w:val="bullet"/>
      <w:lvlText w:val=""/>
      <w:lvlJc w:val="left"/>
      <w:pPr>
        <w:tabs>
          <w:tab w:val="left" w:pos="5061"/>
        </w:tabs>
        <w:ind w:left="5061" w:hanging="420"/>
      </w:pPr>
      <w:rPr>
        <w:rFonts w:hint="default" w:ascii="Wingdings" w:hAnsi="Wingdings"/>
      </w:rPr>
    </w:lvl>
    <w:lvl w:ilvl="8" w:tentative="0">
      <w:start w:val="1"/>
      <w:numFmt w:val="bullet"/>
      <w:lvlText w:val=""/>
      <w:lvlJc w:val="left"/>
      <w:pPr>
        <w:tabs>
          <w:tab w:val="left" w:pos="5481"/>
        </w:tabs>
        <w:ind w:left="5481" w:hanging="420"/>
      </w:pPr>
      <w:rPr>
        <w:rFonts w:hint="default" w:ascii="Wingdings" w:hAnsi="Wingdings"/>
      </w:rPr>
    </w:lvl>
  </w:abstractNum>
  <w:abstractNum w:abstractNumId="11">
    <w:nsid w:val="00000031"/>
    <w:multiLevelType w:val="multilevel"/>
    <w:tmpl w:val="00000031"/>
    <w:lvl w:ilvl="0" w:tentative="0">
      <w:start w:val="1"/>
      <w:numFmt w:val="japaneseCounting"/>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21BBEE17"/>
    <w:multiLevelType w:val="singleLevel"/>
    <w:tmpl w:val="21BBEE17"/>
    <w:lvl w:ilvl="0" w:tentative="0">
      <w:start w:val="5"/>
      <w:numFmt w:val="chineseCounting"/>
      <w:suff w:val="space"/>
      <w:lvlText w:val="第%1部分"/>
      <w:lvlJc w:val="left"/>
      <w:rPr>
        <w:rFonts w:hint="eastAsia"/>
      </w:rPr>
    </w:lvl>
  </w:abstractNum>
  <w:abstractNum w:abstractNumId="13">
    <w:nsid w:val="2727DD9B"/>
    <w:multiLevelType w:val="multilevel"/>
    <w:tmpl w:val="2727DD9B"/>
    <w:lvl w:ilvl="0" w:tentative="0">
      <w:start w:val="1"/>
      <w:numFmt w:val="decimal"/>
      <w:pStyle w:val="15"/>
      <w:lvlText w:val="%1、"/>
      <w:lvlJc w:val="left"/>
      <w:pPr>
        <w:tabs>
          <w:tab w:val="left" w:pos="420"/>
        </w:tabs>
        <w:ind w:left="840" w:hanging="420"/>
      </w:pPr>
      <w:rPr>
        <w:rFonts w:ascii="Times New Roman" w:hAnsi="Times New Roman" w:eastAsia="Times New Roman" w:cs="Times New Roman"/>
      </w:rPr>
    </w:lvl>
    <w:lvl w:ilvl="1" w:tentative="0">
      <w:start w:val="1"/>
      <w:numFmt w:val="bullet"/>
      <w:lvlText w:val=""/>
      <w:lvlJc w:val="left"/>
      <w:pPr>
        <w:tabs>
          <w:tab w:val="left" w:pos="1040"/>
        </w:tabs>
        <w:ind w:left="1040" w:hanging="420"/>
      </w:pPr>
      <w:rPr>
        <w:rFonts w:hint="default" w:ascii="Wingdings" w:hAnsi="Wingdings"/>
      </w:rPr>
    </w:lvl>
    <w:lvl w:ilvl="2" w:tentative="0">
      <w:start w:val="1"/>
      <w:numFmt w:val="decimal"/>
      <w:lvlText w:val="%3."/>
      <w:lvlJc w:val="left"/>
      <w:pPr>
        <w:tabs>
          <w:tab w:val="left" w:pos="1745"/>
        </w:tabs>
        <w:ind w:left="1745" w:hanging="705"/>
      </w:pPr>
      <w:rPr>
        <w:rFonts w:hint="default"/>
      </w:rPr>
    </w:lvl>
    <w:lvl w:ilvl="3" w:tentative="0">
      <w:start w:val="1"/>
      <w:numFmt w:val="bullet"/>
      <w:lvlText w:val=""/>
      <w:lvlJc w:val="left"/>
      <w:pPr>
        <w:tabs>
          <w:tab w:val="left" w:pos="1880"/>
        </w:tabs>
        <w:ind w:left="1880" w:hanging="420"/>
      </w:pPr>
      <w:rPr>
        <w:rFonts w:hint="default" w:ascii="Wingdings" w:hAnsi="Wingdings"/>
      </w:rPr>
    </w:lvl>
    <w:lvl w:ilvl="4" w:tentative="0">
      <w:start w:val="1"/>
      <w:numFmt w:val="bullet"/>
      <w:lvlText w:val=""/>
      <w:lvlJc w:val="left"/>
      <w:pPr>
        <w:tabs>
          <w:tab w:val="left" w:pos="2300"/>
        </w:tabs>
        <w:ind w:left="2300" w:hanging="420"/>
      </w:pPr>
      <w:rPr>
        <w:rFonts w:hint="default" w:ascii="Wingdings" w:hAnsi="Wingdings"/>
      </w:rPr>
    </w:lvl>
    <w:lvl w:ilvl="5" w:tentative="0">
      <w:start w:val="1"/>
      <w:numFmt w:val="bullet"/>
      <w:lvlText w:val=""/>
      <w:lvlJc w:val="left"/>
      <w:pPr>
        <w:tabs>
          <w:tab w:val="left" w:pos="2720"/>
        </w:tabs>
        <w:ind w:left="2720" w:hanging="420"/>
      </w:pPr>
      <w:rPr>
        <w:rFonts w:hint="default" w:ascii="Wingdings" w:hAnsi="Wingdings"/>
      </w:rPr>
    </w:lvl>
    <w:lvl w:ilvl="6" w:tentative="0">
      <w:start w:val="1"/>
      <w:numFmt w:val="bullet"/>
      <w:lvlText w:val=""/>
      <w:lvlJc w:val="left"/>
      <w:pPr>
        <w:tabs>
          <w:tab w:val="left" w:pos="3140"/>
        </w:tabs>
        <w:ind w:left="3140" w:hanging="420"/>
      </w:pPr>
      <w:rPr>
        <w:rFonts w:hint="default" w:ascii="Wingdings" w:hAnsi="Wingdings"/>
      </w:rPr>
    </w:lvl>
    <w:lvl w:ilvl="7" w:tentative="0">
      <w:start w:val="1"/>
      <w:numFmt w:val="bullet"/>
      <w:lvlText w:val=""/>
      <w:lvlJc w:val="left"/>
      <w:pPr>
        <w:tabs>
          <w:tab w:val="left" w:pos="3560"/>
        </w:tabs>
        <w:ind w:left="3560" w:hanging="420"/>
      </w:pPr>
      <w:rPr>
        <w:rFonts w:hint="default" w:ascii="Wingdings" w:hAnsi="Wingdings"/>
      </w:rPr>
    </w:lvl>
    <w:lvl w:ilvl="8" w:tentative="0">
      <w:start w:val="1"/>
      <w:numFmt w:val="bullet"/>
      <w:lvlText w:val=""/>
      <w:lvlJc w:val="left"/>
      <w:pPr>
        <w:tabs>
          <w:tab w:val="left" w:pos="3980"/>
        </w:tabs>
        <w:ind w:left="3980" w:hanging="420"/>
      </w:pPr>
      <w:rPr>
        <w:rFonts w:hint="default" w:ascii="Wingdings" w:hAnsi="Wingdings"/>
      </w:rPr>
    </w:lvl>
  </w:abstractNum>
  <w:abstractNum w:abstractNumId="14">
    <w:nsid w:val="28910231"/>
    <w:multiLevelType w:val="singleLevel"/>
    <w:tmpl w:val="28910231"/>
    <w:lvl w:ilvl="0" w:tentative="0">
      <w:start w:val="1"/>
      <w:numFmt w:val="decimal"/>
      <w:suff w:val="nothing"/>
      <w:lvlText w:val="%1、"/>
      <w:lvlJc w:val="left"/>
      <w:rPr>
        <w:rFonts w:hint="default"/>
        <w:b w:val="0"/>
        <w:bCs/>
      </w:rPr>
    </w:lvl>
  </w:abstractNum>
  <w:abstractNum w:abstractNumId="15">
    <w:nsid w:val="2B923B16"/>
    <w:multiLevelType w:val="singleLevel"/>
    <w:tmpl w:val="2B923B16"/>
    <w:lvl w:ilvl="0" w:tentative="0">
      <w:start w:val="1"/>
      <w:numFmt w:val="decimal"/>
      <w:suff w:val="nothing"/>
      <w:lvlText w:val="（%1）"/>
      <w:lvlJc w:val="left"/>
    </w:lvl>
  </w:abstractNum>
  <w:abstractNum w:abstractNumId="16">
    <w:nsid w:val="37402185"/>
    <w:multiLevelType w:val="singleLevel"/>
    <w:tmpl w:val="37402185"/>
    <w:lvl w:ilvl="0" w:tentative="0">
      <w:start w:val="1"/>
      <w:numFmt w:val="decimal"/>
      <w:pStyle w:val="23"/>
      <w:lvlText w:val="%1."/>
      <w:lvlJc w:val="left"/>
      <w:pPr>
        <w:tabs>
          <w:tab w:val="left" w:pos="1200"/>
        </w:tabs>
        <w:ind w:left="1200" w:hanging="360"/>
      </w:pPr>
    </w:lvl>
  </w:abstractNum>
  <w:abstractNum w:abstractNumId="17">
    <w:nsid w:val="3B4D949D"/>
    <w:multiLevelType w:val="singleLevel"/>
    <w:tmpl w:val="3B4D949D"/>
    <w:lvl w:ilvl="0" w:tentative="0">
      <w:start w:val="1"/>
      <w:numFmt w:val="decimal"/>
      <w:suff w:val="nothing"/>
      <w:lvlText w:val="（%1）"/>
      <w:lvlJc w:val="left"/>
    </w:lvl>
  </w:abstractNum>
  <w:abstractNum w:abstractNumId="18">
    <w:nsid w:val="4E73506E"/>
    <w:multiLevelType w:val="singleLevel"/>
    <w:tmpl w:val="4E73506E"/>
    <w:lvl w:ilvl="0" w:tentative="0">
      <w:start w:val="6"/>
      <w:numFmt w:val="chineseCounting"/>
      <w:suff w:val="nothing"/>
      <w:lvlText w:val="%1、"/>
      <w:lvlJc w:val="left"/>
      <w:rPr>
        <w:rFonts w:hint="eastAsia"/>
      </w:rPr>
    </w:lvl>
  </w:abstractNum>
  <w:abstractNum w:abstractNumId="19">
    <w:nsid w:val="52F421C6"/>
    <w:multiLevelType w:val="singleLevel"/>
    <w:tmpl w:val="52F421C6"/>
    <w:lvl w:ilvl="0" w:tentative="0">
      <w:start w:val="1"/>
      <w:numFmt w:val="chineseCounting"/>
      <w:suff w:val="nothing"/>
      <w:lvlText w:val="%1、"/>
      <w:lvlJc w:val="left"/>
      <w:pPr>
        <w:ind w:left="0" w:firstLine="420"/>
      </w:pPr>
      <w:rPr>
        <w:rFonts w:hint="eastAsia"/>
      </w:rPr>
    </w:lvl>
  </w:abstractNum>
  <w:abstractNum w:abstractNumId="20">
    <w:nsid w:val="57289543"/>
    <w:multiLevelType w:val="singleLevel"/>
    <w:tmpl w:val="57289543"/>
    <w:lvl w:ilvl="0" w:tentative="0">
      <w:start w:val="7"/>
      <w:numFmt w:val="decimal"/>
      <w:suff w:val="nothing"/>
      <w:lvlText w:val="%1)"/>
      <w:lvlJc w:val="left"/>
    </w:lvl>
  </w:abstractNum>
  <w:abstractNum w:abstractNumId="21">
    <w:nsid w:val="7809F481"/>
    <w:multiLevelType w:val="singleLevel"/>
    <w:tmpl w:val="7809F481"/>
    <w:lvl w:ilvl="0" w:tentative="0">
      <w:start w:val="1"/>
      <w:numFmt w:val="decimal"/>
      <w:lvlText w:val="(%1)"/>
      <w:lvlJc w:val="left"/>
      <w:pPr>
        <w:tabs>
          <w:tab w:val="left" w:pos="312"/>
        </w:tabs>
      </w:pPr>
    </w:lvl>
  </w:abstractNum>
  <w:num w:numId="1">
    <w:abstractNumId w:val="6"/>
  </w:num>
  <w:num w:numId="2">
    <w:abstractNumId w:val="13"/>
  </w:num>
  <w:num w:numId="3">
    <w:abstractNumId w:val="16"/>
  </w:num>
  <w:num w:numId="4">
    <w:abstractNumId w:val="10"/>
  </w:num>
  <w:num w:numId="5">
    <w:abstractNumId w:val="7"/>
  </w:num>
  <w:num w:numId="6">
    <w:abstractNumId w:val="4"/>
  </w:num>
  <w:num w:numId="7">
    <w:abstractNumId w:val="2"/>
  </w:num>
  <w:num w:numId="8">
    <w:abstractNumId w:val="5"/>
  </w:num>
  <w:num w:numId="9">
    <w:abstractNumId w:val="11"/>
  </w:num>
  <w:num w:numId="10">
    <w:abstractNumId w:val="9"/>
  </w:num>
  <w:num w:numId="11">
    <w:abstractNumId w:val="18"/>
  </w:num>
  <w:num w:numId="12">
    <w:abstractNumId w:val="3"/>
  </w:num>
  <w:num w:numId="13">
    <w:abstractNumId w:val="20"/>
  </w:num>
  <w:num w:numId="14">
    <w:abstractNumId w:val="8"/>
  </w:num>
  <w:num w:numId="15">
    <w:abstractNumId w:val="21"/>
  </w:num>
  <w:num w:numId="16">
    <w:abstractNumId w:val="17"/>
  </w:num>
  <w:num w:numId="17">
    <w:abstractNumId w:val="15"/>
  </w:num>
  <w:num w:numId="18">
    <w:abstractNumId w:val="0"/>
  </w:num>
  <w:num w:numId="19">
    <w:abstractNumId w:val="14"/>
  </w:num>
  <w:num w:numId="20">
    <w:abstractNumId w:val="1"/>
  </w:num>
  <w:num w:numId="21">
    <w:abstractNumId w:val="19"/>
  </w:num>
  <w:num w:numId="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720"/>
  <w:drawingGridHorizontalSpacing w:val="120"/>
  <w:drawingGridVerticalSpacing w:val="163"/>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IwYmYxMTEyODE0ZTZmMjJhMThiYTY0ZTIyMmY0NDIifQ=="/>
  </w:docVars>
  <w:rsids>
    <w:rsidRoot w:val="00172A27"/>
    <w:rsid w:val="00003320"/>
    <w:rsid w:val="00010435"/>
    <w:rsid w:val="0002249C"/>
    <w:rsid w:val="00027890"/>
    <w:rsid w:val="000310C4"/>
    <w:rsid w:val="00036141"/>
    <w:rsid w:val="00055CD6"/>
    <w:rsid w:val="00060BFF"/>
    <w:rsid w:val="000656BF"/>
    <w:rsid w:val="00075200"/>
    <w:rsid w:val="000823D9"/>
    <w:rsid w:val="00086422"/>
    <w:rsid w:val="000E3D5A"/>
    <w:rsid w:val="000F69BF"/>
    <w:rsid w:val="00106809"/>
    <w:rsid w:val="00113D74"/>
    <w:rsid w:val="00114009"/>
    <w:rsid w:val="0011439F"/>
    <w:rsid w:val="00114927"/>
    <w:rsid w:val="00124125"/>
    <w:rsid w:val="00135223"/>
    <w:rsid w:val="00145E79"/>
    <w:rsid w:val="00152EFD"/>
    <w:rsid w:val="001617C8"/>
    <w:rsid w:val="00172A27"/>
    <w:rsid w:val="001749FA"/>
    <w:rsid w:val="001B549E"/>
    <w:rsid w:val="001B72E4"/>
    <w:rsid w:val="001C49E6"/>
    <w:rsid w:val="001C51E0"/>
    <w:rsid w:val="001D4260"/>
    <w:rsid w:val="001E2687"/>
    <w:rsid w:val="001E68CA"/>
    <w:rsid w:val="002002A4"/>
    <w:rsid w:val="00201FF9"/>
    <w:rsid w:val="00216ABC"/>
    <w:rsid w:val="002172C9"/>
    <w:rsid w:val="00217AB8"/>
    <w:rsid w:val="002326CA"/>
    <w:rsid w:val="0025621E"/>
    <w:rsid w:val="00265319"/>
    <w:rsid w:val="00265A37"/>
    <w:rsid w:val="00267764"/>
    <w:rsid w:val="00270A95"/>
    <w:rsid w:val="002877C1"/>
    <w:rsid w:val="002908F6"/>
    <w:rsid w:val="00291FAB"/>
    <w:rsid w:val="002C0888"/>
    <w:rsid w:val="002C53F2"/>
    <w:rsid w:val="002D14E4"/>
    <w:rsid w:val="002D4AB1"/>
    <w:rsid w:val="002D687C"/>
    <w:rsid w:val="002E58AE"/>
    <w:rsid w:val="003537B6"/>
    <w:rsid w:val="00354336"/>
    <w:rsid w:val="003613BD"/>
    <w:rsid w:val="00376337"/>
    <w:rsid w:val="003824C3"/>
    <w:rsid w:val="00391ED7"/>
    <w:rsid w:val="00393E42"/>
    <w:rsid w:val="003A2560"/>
    <w:rsid w:val="003C228D"/>
    <w:rsid w:val="003C2F31"/>
    <w:rsid w:val="003C73C3"/>
    <w:rsid w:val="00414870"/>
    <w:rsid w:val="004167E4"/>
    <w:rsid w:val="004207FB"/>
    <w:rsid w:val="0044257A"/>
    <w:rsid w:val="0045071E"/>
    <w:rsid w:val="0046288B"/>
    <w:rsid w:val="00465BC3"/>
    <w:rsid w:val="00473DA1"/>
    <w:rsid w:val="004D1919"/>
    <w:rsid w:val="004D2652"/>
    <w:rsid w:val="005471BA"/>
    <w:rsid w:val="00553F3A"/>
    <w:rsid w:val="00555F92"/>
    <w:rsid w:val="00563F71"/>
    <w:rsid w:val="005663EA"/>
    <w:rsid w:val="00585BAB"/>
    <w:rsid w:val="005A06DF"/>
    <w:rsid w:val="005A5A0D"/>
    <w:rsid w:val="005B5C14"/>
    <w:rsid w:val="005C3A06"/>
    <w:rsid w:val="005C7F93"/>
    <w:rsid w:val="005E0DBE"/>
    <w:rsid w:val="005F37C4"/>
    <w:rsid w:val="006023DD"/>
    <w:rsid w:val="006071A1"/>
    <w:rsid w:val="00636A66"/>
    <w:rsid w:val="00637720"/>
    <w:rsid w:val="006421D2"/>
    <w:rsid w:val="00643C95"/>
    <w:rsid w:val="006529BE"/>
    <w:rsid w:val="00661DDF"/>
    <w:rsid w:val="00662A8A"/>
    <w:rsid w:val="00675141"/>
    <w:rsid w:val="006B678C"/>
    <w:rsid w:val="006C4ED2"/>
    <w:rsid w:val="006E2C33"/>
    <w:rsid w:val="006F7565"/>
    <w:rsid w:val="00722579"/>
    <w:rsid w:val="007266BA"/>
    <w:rsid w:val="00737573"/>
    <w:rsid w:val="0075111E"/>
    <w:rsid w:val="00766AFF"/>
    <w:rsid w:val="0079444F"/>
    <w:rsid w:val="007A6701"/>
    <w:rsid w:val="007B21FC"/>
    <w:rsid w:val="007B3581"/>
    <w:rsid w:val="007D280B"/>
    <w:rsid w:val="007F1FF8"/>
    <w:rsid w:val="007F2B89"/>
    <w:rsid w:val="00803F10"/>
    <w:rsid w:val="00813E25"/>
    <w:rsid w:val="00821042"/>
    <w:rsid w:val="00821BD7"/>
    <w:rsid w:val="00823A4E"/>
    <w:rsid w:val="00831E15"/>
    <w:rsid w:val="00835AD1"/>
    <w:rsid w:val="00847835"/>
    <w:rsid w:val="008A0878"/>
    <w:rsid w:val="008A3562"/>
    <w:rsid w:val="008B5078"/>
    <w:rsid w:val="008B52E4"/>
    <w:rsid w:val="008C4084"/>
    <w:rsid w:val="008C4968"/>
    <w:rsid w:val="008D2C58"/>
    <w:rsid w:val="008E129D"/>
    <w:rsid w:val="008E37B0"/>
    <w:rsid w:val="008E464C"/>
    <w:rsid w:val="008E4970"/>
    <w:rsid w:val="009009BC"/>
    <w:rsid w:val="00904619"/>
    <w:rsid w:val="00915614"/>
    <w:rsid w:val="00915F7F"/>
    <w:rsid w:val="00921F1A"/>
    <w:rsid w:val="009229CB"/>
    <w:rsid w:val="00926978"/>
    <w:rsid w:val="009368EA"/>
    <w:rsid w:val="009422CE"/>
    <w:rsid w:val="00944D1A"/>
    <w:rsid w:val="00951A8F"/>
    <w:rsid w:val="009628FD"/>
    <w:rsid w:val="009B27B4"/>
    <w:rsid w:val="009C6B18"/>
    <w:rsid w:val="009E2C75"/>
    <w:rsid w:val="009E6598"/>
    <w:rsid w:val="009F7268"/>
    <w:rsid w:val="00A03228"/>
    <w:rsid w:val="00A1101A"/>
    <w:rsid w:val="00A11A47"/>
    <w:rsid w:val="00A36EC6"/>
    <w:rsid w:val="00A37D41"/>
    <w:rsid w:val="00A52F6D"/>
    <w:rsid w:val="00A613B6"/>
    <w:rsid w:val="00A71C09"/>
    <w:rsid w:val="00A72DA8"/>
    <w:rsid w:val="00A752A6"/>
    <w:rsid w:val="00A82229"/>
    <w:rsid w:val="00A943C3"/>
    <w:rsid w:val="00A95831"/>
    <w:rsid w:val="00A975B4"/>
    <w:rsid w:val="00AA7D8C"/>
    <w:rsid w:val="00AB4015"/>
    <w:rsid w:val="00AC148A"/>
    <w:rsid w:val="00AF6912"/>
    <w:rsid w:val="00B04B0E"/>
    <w:rsid w:val="00B16495"/>
    <w:rsid w:val="00B225FD"/>
    <w:rsid w:val="00B248DA"/>
    <w:rsid w:val="00B50EA0"/>
    <w:rsid w:val="00B71A50"/>
    <w:rsid w:val="00B74DE3"/>
    <w:rsid w:val="00B80D89"/>
    <w:rsid w:val="00B818AE"/>
    <w:rsid w:val="00B96173"/>
    <w:rsid w:val="00BB48AD"/>
    <w:rsid w:val="00BB6F89"/>
    <w:rsid w:val="00BC02E2"/>
    <w:rsid w:val="00BE183C"/>
    <w:rsid w:val="00BE779E"/>
    <w:rsid w:val="00BF09ED"/>
    <w:rsid w:val="00BF27E1"/>
    <w:rsid w:val="00C00F5A"/>
    <w:rsid w:val="00C03F08"/>
    <w:rsid w:val="00C12379"/>
    <w:rsid w:val="00C16CB7"/>
    <w:rsid w:val="00C25C61"/>
    <w:rsid w:val="00C40AF8"/>
    <w:rsid w:val="00C41180"/>
    <w:rsid w:val="00C5753E"/>
    <w:rsid w:val="00C61390"/>
    <w:rsid w:val="00C62932"/>
    <w:rsid w:val="00C760CD"/>
    <w:rsid w:val="00C9047D"/>
    <w:rsid w:val="00C9061D"/>
    <w:rsid w:val="00C97323"/>
    <w:rsid w:val="00CB45F9"/>
    <w:rsid w:val="00CC3CDE"/>
    <w:rsid w:val="00CD0AE3"/>
    <w:rsid w:val="00CD3B80"/>
    <w:rsid w:val="00CE7558"/>
    <w:rsid w:val="00D17FB1"/>
    <w:rsid w:val="00D31F0D"/>
    <w:rsid w:val="00D34EDF"/>
    <w:rsid w:val="00D35C22"/>
    <w:rsid w:val="00D954DE"/>
    <w:rsid w:val="00DB7E8A"/>
    <w:rsid w:val="00DC735D"/>
    <w:rsid w:val="00DE49C8"/>
    <w:rsid w:val="00DF0CE0"/>
    <w:rsid w:val="00E023D0"/>
    <w:rsid w:val="00E419FA"/>
    <w:rsid w:val="00E438D2"/>
    <w:rsid w:val="00E53F8C"/>
    <w:rsid w:val="00E61200"/>
    <w:rsid w:val="00E63FBE"/>
    <w:rsid w:val="00E678C7"/>
    <w:rsid w:val="00E80F9B"/>
    <w:rsid w:val="00E82600"/>
    <w:rsid w:val="00E90F29"/>
    <w:rsid w:val="00EB1ABE"/>
    <w:rsid w:val="00EB4346"/>
    <w:rsid w:val="00ED1779"/>
    <w:rsid w:val="00EE7CA8"/>
    <w:rsid w:val="00EF189B"/>
    <w:rsid w:val="00EF6736"/>
    <w:rsid w:val="00EF6B76"/>
    <w:rsid w:val="00F014C7"/>
    <w:rsid w:val="00F02C24"/>
    <w:rsid w:val="00F04A9D"/>
    <w:rsid w:val="00F07594"/>
    <w:rsid w:val="00F31719"/>
    <w:rsid w:val="00F32C3A"/>
    <w:rsid w:val="00F53394"/>
    <w:rsid w:val="00F54AFB"/>
    <w:rsid w:val="00F67D80"/>
    <w:rsid w:val="00F718C6"/>
    <w:rsid w:val="00FC4DD8"/>
    <w:rsid w:val="00FC6B2E"/>
    <w:rsid w:val="00FD40C9"/>
    <w:rsid w:val="01016788"/>
    <w:rsid w:val="010B18A0"/>
    <w:rsid w:val="01101FD4"/>
    <w:rsid w:val="013511BC"/>
    <w:rsid w:val="01547328"/>
    <w:rsid w:val="01630778"/>
    <w:rsid w:val="01857C73"/>
    <w:rsid w:val="01964C25"/>
    <w:rsid w:val="01A12C3F"/>
    <w:rsid w:val="01CD1195"/>
    <w:rsid w:val="01D142D7"/>
    <w:rsid w:val="021F4C81"/>
    <w:rsid w:val="02414B92"/>
    <w:rsid w:val="028339A0"/>
    <w:rsid w:val="028366E4"/>
    <w:rsid w:val="02A56B80"/>
    <w:rsid w:val="02B5383F"/>
    <w:rsid w:val="02C560C8"/>
    <w:rsid w:val="02F571CF"/>
    <w:rsid w:val="02F741FF"/>
    <w:rsid w:val="03077BF2"/>
    <w:rsid w:val="03240B2D"/>
    <w:rsid w:val="03404A6C"/>
    <w:rsid w:val="035324D3"/>
    <w:rsid w:val="036719BE"/>
    <w:rsid w:val="03772BBD"/>
    <w:rsid w:val="038413BE"/>
    <w:rsid w:val="038C71B9"/>
    <w:rsid w:val="0396442E"/>
    <w:rsid w:val="03C53166"/>
    <w:rsid w:val="03E3700D"/>
    <w:rsid w:val="04082941"/>
    <w:rsid w:val="0437435F"/>
    <w:rsid w:val="043948C2"/>
    <w:rsid w:val="0441683D"/>
    <w:rsid w:val="04755FE3"/>
    <w:rsid w:val="04897AAE"/>
    <w:rsid w:val="048D3C72"/>
    <w:rsid w:val="04946A57"/>
    <w:rsid w:val="049E01CA"/>
    <w:rsid w:val="04A67F3F"/>
    <w:rsid w:val="04AA7A54"/>
    <w:rsid w:val="04DC1E95"/>
    <w:rsid w:val="04FB3B5C"/>
    <w:rsid w:val="04FC5824"/>
    <w:rsid w:val="04FF7EFB"/>
    <w:rsid w:val="05056F9C"/>
    <w:rsid w:val="053B507A"/>
    <w:rsid w:val="056B6415"/>
    <w:rsid w:val="056F7E9D"/>
    <w:rsid w:val="05A04252"/>
    <w:rsid w:val="05B531D5"/>
    <w:rsid w:val="05CF3167"/>
    <w:rsid w:val="05D17368"/>
    <w:rsid w:val="05D64E8C"/>
    <w:rsid w:val="05D70893"/>
    <w:rsid w:val="05D879EE"/>
    <w:rsid w:val="05E66954"/>
    <w:rsid w:val="05EF3BF5"/>
    <w:rsid w:val="061B4DCC"/>
    <w:rsid w:val="0631131C"/>
    <w:rsid w:val="065C4ACB"/>
    <w:rsid w:val="0684556E"/>
    <w:rsid w:val="06B72B51"/>
    <w:rsid w:val="06D773BE"/>
    <w:rsid w:val="07005EC6"/>
    <w:rsid w:val="07144968"/>
    <w:rsid w:val="071F2807"/>
    <w:rsid w:val="074D0B91"/>
    <w:rsid w:val="0754125A"/>
    <w:rsid w:val="07667537"/>
    <w:rsid w:val="076F789A"/>
    <w:rsid w:val="0784472B"/>
    <w:rsid w:val="079B0031"/>
    <w:rsid w:val="079F5559"/>
    <w:rsid w:val="07B00267"/>
    <w:rsid w:val="07B55B45"/>
    <w:rsid w:val="07E16810"/>
    <w:rsid w:val="08091249"/>
    <w:rsid w:val="080D19C3"/>
    <w:rsid w:val="08213B81"/>
    <w:rsid w:val="084C0B9D"/>
    <w:rsid w:val="0873640D"/>
    <w:rsid w:val="08776995"/>
    <w:rsid w:val="08783888"/>
    <w:rsid w:val="087D7A26"/>
    <w:rsid w:val="08AE00F7"/>
    <w:rsid w:val="08C30F20"/>
    <w:rsid w:val="08D1467C"/>
    <w:rsid w:val="08D23011"/>
    <w:rsid w:val="08DD3BDB"/>
    <w:rsid w:val="08ED6EB4"/>
    <w:rsid w:val="090029F5"/>
    <w:rsid w:val="093F4ABD"/>
    <w:rsid w:val="09583AE9"/>
    <w:rsid w:val="09717CB2"/>
    <w:rsid w:val="099F3397"/>
    <w:rsid w:val="09A37C42"/>
    <w:rsid w:val="09B71979"/>
    <w:rsid w:val="09CA4C87"/>
    <w:rsid w:val="09EC0032"/>
    <w:rsid w:val="0A1846AD"/>
    <w:rsid w:val="0A291313"/>
    <w:rsid w:val="0A334DE9"/>
    <w:rsid w:val="0A3673D1"/>
    <w:rsid w:val="0A391C61"/>
    <w:rsid w:val="0A747C95"/>
    <w:rsid w:val="0A7E31A9"/>
    <w:rsid w:val="0A99628C"/>
    <w:rsid w:val="0AA12C61"/>
    <w:rsid w:val="0AA421E5"/>
    <w:rsid w:val="0AD50B07"/>
    <w:rsid w:val="0B0D3780"/>
    <w:rsid w:val="0B192E69"/>
    <w:rsid w:val="0B1E5674"/>
    <w:rsid w:val="0B481D54"/>
    <w:rsid w:val="0B504CAD"/>
    <w:rsid w:val="0B567FBC"/>
    <w:rsid w:val="0BA32867"/>
    <w:rsid w:val="0C3A618D"/>
    <w:rsid w:val="0C405D06"/>
    <w:rsid w:val="0C417DC3"/>
    <w:rsid w:val="0C5F45C4"/>
    <w:rsid w:val="0C6352C9"/>
    <w:rsid w:val="0C694A19"/>
    <w:rsid w:val="0C6E22F8"/>
    <w:rsid w:val="0C752414"/>
    <w:rsid w:val="0C781DA4"/>
    <w:rsid w:val="0CA4014A"/>
    <w:rsid w:val="0CC23CB2"/>
    <w:rsid w:val="0CD86DE7"/>
    <w:rsid w:val="0CE51F42"/>
    <w:rsid w:val="0CF9441B"/>
    <w:rsid w:val="0CFE63A4"/>
    <w:rsid w:val="0D0807FC"/>
    <w:rsid w:val="0D282054"/>
    <w:rsid w:val="0D33119A"/>
    <w:rsid w:val="0D4A2577"/>
    <w:rsid w:val="0D4D7EA2"/>
    <w:rsid w:val="0D596969"/>
    <w:rsid w:val="0D6D348A"/>
    <w:rsid w:val="0D731909"/>
    <w:rsid w:val="0D9C0739"/>
    <w:rsid w:val="0DC77E1F"/>
    <w:rsid w:val="0DC87629"/>
    <w:rsid w:val="0DE500C7"/>
    <w:rsid w:val="0DFF5312"/>
    <w:rsid w:val="0E30061A"/>
    <w:rsid w:val="0E565A26"/>
    <w:rsid w:val="0E6759EA"/>
    <w:rsid w:val="0E693E94"/>
    <w:rsid w:val="0E88287D"/>
    <w:rsid w:val="0EAB15DF"/>
    <w:rsid w:val="0EB71B66"/>
    <w:rsid w:val="0EBD4ECC"/>
    <w:rsid w:val="0EC12B61"/>
    <w:rsid w:val="0ECB16D0"/>
    <w:rsid w:val="0F0F3E67"/>
    <w:rsid w:val="0F36681E"/>
    <w:rsid w:val="0F4B3B77"/>
    <w:rsid w:val="0F554B61"/>
    <w:rsid w:val="0F684139"/>
    <w:rsid w:val="0F732230"/>
    <w:rsid w:val="0FA658B8"/>
    <w:rsid w:val="0FA725F9"/>
    <w:rsid w:val="0FB125A0"/>
    <w:rsid w:val="0FB82AB4"/>
    <w:rsid w:val="0FD32B55"/>
    <w:rsid w:val="0FF75B36"/>
    <w:rsid w:val="1007384E"/>
    <w:rsid w:val="107962EB"/>
    <w:rsid w:val="107D7A08"/>
    <w:rsid w:val="109E5300"/>
    <w:rsid w:val="10BF5108"/>
    <w:rsid w:val="10C4053D"/>
    <w:rsid w:val="10D064F7"/>
    <w:rsid w:val="10D24A7B"/>
    <w:rsid w:val="10D763F7"/>
    <w:rsid w:val="10DA580F"/>
    <w:rsid w:val="10DF7BBC"/>
    <w:rsid w:val="111909B9"/>
    <w:rsid w:val="111A2A3D"/>
    <w:rsid w:val="11244D2A"/>
    <w:rsid w:val="114253E0"/>
    <w:rsid w:val="11461A94"/>
    <w:rsid w:val="115D274C"/>
    <w:rsid w:val="115E3727"/>
    <w:rsid w:val="11B472DB"/>
    <w:rsid w:val="11EC1420"/>
    <w:rsid w:val="11EE2FAE"/>
    <w:rsid w:val="11FA2120"/>
    <w:rsid w:val="1207493D"/>
    <w:rsid w:val="120D27E9"/>
    <w:rsid w:val="123E0456"/>
    <w:rsid w:val="124364E9"/>
    <w:rsid w:val="12835C65"/>
    <w:rsid w:val="129E014D"/>
    <w:rsid w:val="12AC1D0D"/>
    <w:rsid w:val="12BA6A0A"/>
    <w:rsid w:val="12C2266E"/>
    <w:rsid w:val="12CB160F"/>
    <w:rsid w:val="12D77FEC"/>
    <w:rsid w:val="12DB00BA"/>
    <w:rsid w:val="12F90EE0"/>
    <w:rsid w:val="1306089F"/>
    <w:rsid w:val="13206016"/>
    <w:rsid w:val="13276FF6"/>
    <w:rsid w:val="134F0DA1"/>
    <w:rsid w:val="13693296"/>
    <w:rsid w:val="139726F4"/>
    <w:rsid w:val="139B4F53"/>
    <w:rsid w:val="13CE5FC4"/>
    <w:rsid w:val="13F53443"/>
    <w:rsid w:val="144C6770"/>
    <w:rsid w:val="147778EA"/>
    <w:rsid w:val="14943CCC"/>
    <w:rsid w:val="14BA4603"/>
    <w:rsid w:val="14CD7B2A"/>
    <w:rsid w:val="14F16B6F"/>
    <w:rsid w:val="14F865C3"/>
    <w:rsid w:val="14FD2DF1"/>
    <w:rsid w:val="150F189B"/>
    <w:rsid w:val="1517294D"/>
    <w:rsid w:val="153642D6"/>
    <w:rsid w:val="15457698"/>
    <w:rsid w:val="154A5906"/>
    <w:rsid w:val="155558C2"/>
    <w:rsid w:val="15753037"/>
    <w:rsid w:val="158A75E1"/>
    <w:rsid w:val="1592511B"/>
    <w:rsid w:val="159C567E"/>
    <w:rsid w:val="15A520DA"/>
    <w:rsid w:val="15BA178C"/>
    <w:rsid w:val="15C0221F"/>
    <w:rsid w:val="15C26E0E"/>
    <w:rsid w:val="15D77617"/>
    <w:rsid w:val="15D85E33"/>
    <w:rsid w:val="15E6513C"/>
    <w:rsid w:val="15E819C1"/>
    <w:rsid w:val="15F81571"/>
    <w:rsid w:val="161124BB"/>
    <w:rsid w:val="16483E1A"/>
    <w:rsid w:val="16554F68"/>
    <w:rsid w:val="165B5F0F"/>
    <w:rsid w:val="166320D6"/>
    <w:rsid w:val="166C4896"/>
    <w:rsid w:val="167B7AAC"/>
    <w:rsid w:val="169140C1"/>
    <w:rsid w:val="169B4AF9"/>
    <w:rsid w:val="16CA385E"/>
    <w:rsid w:val="16DA4D80"/>
    <w:rsid w:val="16DB0595"/>
    <w:rsid w:val="16DF2F08"/>
    <w:rsid w:val="16E051E8"/>
    <w:rsid w:val="16ED26EB"/>
    <w:rsid w:val="17066EDE"/>
    <w:rsid w:val="1713214D"/>
    <w:rsid w:val="17945C52"/>
    <w:rsid w:val="17970727"/>
    <w:rsid w:val="17DD1C51"/>
    <w:rsid w:val="18092CD5"/>
    <w:rsid w:val="180D00A7"/>
    <w:rsid w:val="181A6207"/>
    <w:rsid w:val="18214341"/>
    <w:rsid w:val="18336B8F"/>
    <w:rsid w:val="1874792B"/>
    <w:rsid w:val="18C00D35"/>
    <w:rsid w:val="18D13A9A"/>
    <w:rsid w:val="18DE453C"/>
    <w:rsid w:val="18E514CE"/>
    <w:rsid w:val="18F87670"/>
    <w:rsid w:val="19083C91"/>
    <w:rsid w:val="190848C5"/>
    <w:rsid w:val="190A3B3E"/>
    <w:rsid w:val="191306DF"/>
    <w:rsid w:val="191474B7"/>
    <w:rsid w:val="192616BB"/>
    <w:rsid w:val="192C0FEE"/>
    <w:rsid w:val="19331160"/>
    <w:rsid w:val="19415AC1"/>
    <w:rsid w:val="19496281"/>
    <w:rsid w:val="196F6FC1"/>
    <w:rsid w:val="19711A8D"/>
    <w:rsid w:val="19992BD1"/>
    <w:rsid w:val="19AB5ACC"/>
    <w:rsid w:val="19C3351E"/>
    <w:rsid w:val="19CA0483"/>
    <w:rsid w:val="1A1D464D"/>
    <w:rsid w:val="1A6E6871"/>
    <w:rsid w:val="1A8635C8"/>
    <w:rsid w:val="1AB56D4E"/>
    <w:rsid w:val="1ADA1355"/>
    <w:rsid w:val="1B006539"/>
    <w:rsid w:val="1B194961"/>
    <w:rsid w:val="1B195DEC"/>
    <w:rsid w:val="1B285C20"/>
    <w:rsid w:val="1B4A6BAE"/>
    <w:rsid w:val="1B4B370A"/>
    <w:rsid w:val="1B537FF8"/>
    <w:rsid w:val="1B6D0A69"/>
    <w:rsid w:val="1B767B01"/>
    <w:rsid w:val="1B860FD9"/>
    <w:rsid w:val="1BB05E26"/>
    <w:rsid w:val="1BC40E99"/>
    <w:rsid w:val="1BC8314E"/>
    <w:rsid w:val="1BCA7890"/>
    <w:rsid w:val="1BCB6A47"/>
    <w:rsid w:val="1BFB1779"/>
    <w:rsid w:val="1BFD00F2"/>
    <w:rsid w:val="1C1327C3"/>
    <w:rsid w:val="1C3670C8"/>
    <w:rsid w:val="1C43363D"/>
    <w:rsid w:val="1C4628F7"/>
    <w:rsid w:val="1C5E28E7"/>
    <w:rsid w:val="1C79295A"/>
    <w:rsid w:val="1C9466B0"/>
    <w:rsid w:val="1CA03602"/>
    <w:rsid w:val="1CC16689"/>
    <w:rsid w:val="1CCC24BC"/>
    <w:rsid w:val="1CE512E6"/>
    <w:rsid w:val="1CEF2480"/>
    <w:rsid w:val="1D061139"/>
    <w:rsid w:val="1D870AB9"/>
    <w:rsid w:val="1D8A0E3C"/>
    <w:rsid w:val="1D8F4459"/>
    <w:rsid w:val="1D9254CD"/>
    <w:rsid w:val="1DA15E50"/>
    <w:rsid w:val="1DB27B15"/>
    <w:rsid w:val="1DB87E85"/>
    <w:rsid w:val="1DC85751"/>
    <w:rsid w:val="1DC934BA"/>
    <w:rsid w:val="1DEB61F5"/>
    <w:rsid w:val="1E0A627C"/>
    <w:rsid w:val="1E16086E"/>
    <w:rsid w:val="1E232F46"/>
    <w:rsid w:val="1E3A6AB1"/>
    <w:rsid w:val="1E514DFC"/>
    <w:rsid w:val="1E80319B"/>
    <w:rsid w:val="1E885A3B"/>
    <w:rsid w:val="1E927FD6"/>
    <w:rsid w:val="1E9860A5"/>
    <w:rsid w:val="1EA838E7"/>
    <w:rsid w:val="1ED20877"/>
    <w:rsid w:val="1ED94E4B"/>
    <w:rsid w:val="1EDE5D5E"/>
    <w:rsid w:val="1EF77DC5"/>
    <w:rsid w:val="1F383ACC"/>
    <w:rsid w:val="1F394458"/>
    <w:rsid w:val="1F596305"/>
    <w:rsid w:val="1F8811C7"/>
    <w:rsid w:val="1F9062F5"/>
    <w:rsid w:val="1FEB5C6A"/>
    <w:rsid w:val="1FFF5A5F"/>
    <w:rsid w:val="202209B9"/>
    <w:rsid w:val="20280066"/>
    <w:rsid w:val="202C0E96"/>
    <w:rsid w:val="20304AD2"/>
    <w:rsid w:val="203B6599"/>
    <w:rsid w:val="204F6722"/>
    <w:rsid w:val="20782C9F"/>
    <w:rsid w:val="20902778"/>
    <w:rsid w:val="20AF30C4"/>
    <w:rsid w:val="20C20F88"/>
    <w:rsid w:val="20FD5C7C"/>
    <w:rsid w:val="21096CBA"/>
    <w:rsid w:val="21142ADE"/>
    <w:rsid w:val="2115662C"/>
    <w:rsid w:val="211E06F8"/>
    <w:rsid w:val="21361A04"/>
    <w:rsid w:val="214418DF"/>
    <w:rsid w:val="21B95143"/>
    <w:rsid w:val="21C04FD1"/>
    <w:rsid w:val="21D51B3D"/>
    <w:rsid w:val="21ED2497"/>
    <w:rsid w:val="21FE0CB2"/>
    <w:rsid w:val="2201295E"/>
    <w:rsid w:val="220D6242"/>
    <w:rsid w:val="22196712"/>
    <w:rsid w:val="2272212A"/>
    <w:rsid w:val="22D6119B"/>
    <w:rsid w:val="22EC4950"/>
    <w:rsid w:val="22ED5F44"/>
    <w:rsid w:val="22FC0F78"/>
    <w:rsid w:val="230A1F70"/>
    <w:rsid w:val="23197F12"/>
    <w:rsid w:val="231A56E2"/>
    <w:rsid w:val="231F7C19"/>
    <w:rsid w:val="232B5FAF"/>
    <w:rsid w:val="233F76E0"/>
    <w:rsid w:val="23481CC9"/>
    <w:rsid w:val="235F1272"/>
    <w:rsid w:val="23AE10BA"/>
    <w:rsid w:val="23E56B32"/>
    <w:rsid w:val="24142B46"/>
    <w:rsid w:val="24183F62"/>
    <w:rsid w:val="241D037F"/>
    <w:rsid w:val="2433149D"/>
    <w:rsid w:val="246270E4"/>
    <w:rsid w:val="24703D25"/>
    <w:rsid w:val="24772C2B"/>
    <w:rsid w:val="248B2E3F"/>
    <w:rsid w:val="24A0493A"/>
    <w:rsid w:val="24DF22D5"/>
    <w:rsid w:val="25241FCD"/>
    <w:rsid w:val="25314C51"/>
    <w:rsid w:val="257008BE"/>
    <w:rsid w:val="258A0443"/>
    <w:rsid w:val="25BB679A"/>
    <w:rsid w:val="25E86FC2"/>
    <w:rsid w:val="260C3AE7"/>
    <w:rsid w:val="261B35E2"/>
    <w:rsid w:val="261D7A35"/>
    <w:rsid w:val="263A612D"/>
    <w:rsid w:val="26483965"/>
    <w:rsid w:val="26684108"/>
    <w:rsid w:val="268B0B22"/>
    <w:rsid w:val="26BB607A"/>
    <w:rsid w:val="26BB7E4E"/>
    <w:rsid w:val="26C10F08"/>
    <w:rsid w:val="26D075A8"/>
    <w:rsid w:val="26D17DBC"/>
    <w:rsid w:val="26D24757"/>
    <w:rsid w:val="274D17E4"/>
    <w:rsid w:val="27506176"/>
    <w:rsid w:val="275D4096"/>
    <w:rsid w:val="276C3DD0"/>
    <w:rsid w:val="277B4947"/>
    <w:rsid w:val="27A57C3A"/>
    <w:rsid w:val="27D20BC1"/>
    <w:rsid w:val="27EB7AF0"/>
    <w:rsid w:val="280553D3"/>
    <w:rsid w:val="280F6C60"/>
    <w:rsid w:val="281253C2"/>
    <w:rsid w:val="28163476"/>
    <w:rsid w:val="282455AC"/>
    <w:rsid w:val="28261D0F"/>
    <w:rsid w:val="2838738D"/>
    <w:rsid w:val="284833B2"/>
    <w:rsid w:val="286F250E"/>
    <w:rsid w:val="287D2504"/>
    <w:rsid w:val="2886147E"/>
    <w:rsid w:val="28A87389"/>
    <w:rsid w:val="28AB0694"/>
    <w:rsid w:val="28AE6A69"/>
    <w:rsid w:val="28B81772"/>
    <w:rsid w:val="28E6171F"/>
    <w:rsid w:val="290A4DA8"/>
    <w:rsid w:val="291176CC"/>
    <w:rsid w:val="291C67BC"/>
    <w:rsid w:val="2944347B"/>
    <w:rsid w:val="29503AAE"/>
    <w:rsid w:val="29573123"/>
    <w:rsid w:val="297F7A53"/>
    <w:rsid w:val="2992095F"/>
    <w:rsid w:val="29AC6651"/>
    <w:rsid w:val="29C4608A"/>
    <w:rsid w:val="29E769C8"/>
    <w:rsid w:val="29F21662"/>
    <w:rsid w:val="29F51AC1"/>
    <w:rsid w:val="29F51D07"/>
    <w:rsid w:val="29FC30C2"/>
    <w:rsid w:val="2A406B43"/>
    <w:rsid w:val="2A481CFC"/>
    <w:rsid w:val="2A6D3E9B"/>
    <w:rsid w:val="2A706411"/>
    <w:rsid w:val="2A783D0E"/>
    <w:rsid w:val="2A9C0461"/>
    <w:rsid w:val="2AD0515C"/>
    <w:rsid w:val="2ADA687F"/>
    <w:rsid w:val="2AE8528D"/>
    <w:rsid w:val="2AF16E8B"/>
    <w:rsid w:val="2B0B7CEC"/>
    <w:rsid w:val="2B1B3BE8"/>
    <w:rsid w:val="2B27452A"/>
    <w:rsid w:val="2B2D4BDC"/>
    <w:rsid w:val="2B4503EF"/>
    <w:rsid w:val="2B767712"/>
    <w:rsid w:val="2BBA7AC6"/>
    <w:rsid w:val="2BFC26B9"/>
    <w:rsid w:val="2BFF2965"/>
    <w:rsid w:val="2C3C0A88"/>
    <w:rsid w:val="2C51001B"/>
    <w:rsid w:val="2C596FFF"/>
    <w:rsid w:val="2C906216"/>
    <w:rsid w:val="2C9A17D6"/>
    <w:rsid w:val="2CA4172D"/>
    <w:rsid w:val="2CA6566A"/>
    <w:rsid w:val="2CAE7599"/>
    <w:rsid w:val="2CB749B3"/>
    <w:rsid w:val="2CBB6294"/>
    <w:rsid w:val="2CBF39BD"/>
    <w:rsid w:val="2D016EDC"/>
    <w:rsid w:val="2D2E04D4"/>
    <w:rsid w:val="2D3878C4"/>
    <w:rsid w:val="2D3A4057"/>
    <w:rsid w:val="2D5343E6"/>
    <w:rsid w:val="2D994DBE"/>
    <w:rsid w:val="2DD14453"/>
    <w:rsid w:val="2DD53F02"/>
    <w:rsid w:val="2E0A0263"/>
    <w:rsid w:val="2E73484D"/>
    <w:rsid w:val="2E734C4D"/>
    <w:rsid w:val="2E9A7164"/>
    <w:rsid w:val="2ED21188"/>
    <w:rsid w:val="2EE1137A"/>
    <w:rsid w:val="2EE6759F"/>
    <w:rsid w:val="2EEB0819"/>
    <w:rsid w:val="2EF44200"/>
    <w:rsid w:val="2F010E90"/>
    <w:rsid w:val="2F0A6300"/>
    <w:rsid w:val="2F0C69E6"/>
    <w:rsid w:val="2F0D5CED"/>
    <w:rsid w:val="2F110235"/>
    <w:rsid w:val="2F16689C"/>
    <w:rsid w:val="2F1C6FC0"/>
    <w:rsid w:val="2F236129"/>
    <w:rsid w:val="2F2C56BA"/>
    <w:rsid w:val="2F2D0218"/>
    <w:rsid w:val="2F356A16"/>
    <w:rsid w:val="2F4614DA"/>
    <w:rsid w:val="2F636A54"/>
    <w:rsid w:val="2F67592B"/>
    <w:rsid w:val="2FA00DAE"/>
    <w:rsid w:val="2FA32C08"/>
    <w:rsid w:val="30081603"/>
    <w:rsid w:val="301734EE"/>
    <w:rsid w:val="30420830"/>
    <w:rsid w:val="309C224F"/>
    <w:rsid w:val="31190489"/>
    <w:rsid w:val="311C3987"/>
    <w:rsid w:val="31232963"/>
    <w:rsid w:val="312C101E"/>
    <w:rsid w:val="313071E7"/>
    <w:rsid w:val="314C7D21"/>
    <w:rsid w:val="31540C79"/>
    <w:rsid w:val="315857B1"/>
    <w:rsid w:val="31650177"/>
    <w:rsid w:val="31A43DC9"/>
    <w:rsid w:val="31AB6658"/>
    <w:rsid w:val="31BC3F1B"/>
    <w:rsid w:val="31C37B9C"/>
    <w:rsid w:val="31CE13B9"/>
    <w:rsid w:val="31DE2AA8"/>
    <w:rsid w:val="31EA7F55"/>
    <w:rsid w:val="32137CF0"/>
    <w:rsid w:val="321E50BD"/>
    <w:rsid w:val="32224344"/>
    <w:rsid w:val="322518E6"/>
    <w:rsid w:val="322C74E5"/>
    <w:rsid w:val="32340C69"/>
    <w:rsid w:val="32363F32"/>
    <w:rsid w:val="32471F5A"/>
    <w:rsid w:val="3253078F"/>
    <w:rsid w:val="325E3A96"/>
    <w:rsid w:val="32B7356F"/>
    <w:rsid w:val="330C088A"/>
    <w:rsid w:val="330D0F43"/>
    <w:rsid w:val="332A5E08"/>
    <w:rsid w:val="33310C6F"/>
    <w:rsid w:val="333E728C"/>
    <w:rsid w:val="334F202E"/>
    <w:rsid w:val="33A03A4B"/>
    <w:rsid w:val="33A04007"/>
    <w:rsid w:val="33A60671"/>
    <w:rsid w:val="33AF4FB4"/>
    <w:rsid w:val="33BA05EA"/>
    <w:rsid w:val="33CF2119"/>
    <w:rsid w:val="33DE4357"/>
    <w:rsid w:val="33ED2B3F"/>
    <w:rsid w:val="341D5AAB"/>
    <w:rsid w:val="342732F1"/>
    <w:rsid w:val="342B2E3E"/>
    <w:rsid w:val="3454463B"/>
    <w:rsid w:val="346B507B"/>
    <w:rsid w:val="347A0A28"/>
    <w:rsid w:val="347B293F"/>
    <w:rsid w:val="348C37FE"/>
    <w:rsid w:val="349B5AE7"/>
    <w:rsid w:val="34A50FB8"/>
    <w:rsid w:val="34AA4F73"/>
    <w:rsid w:val="34CE6938"/>
    <w:rsid w:val="34F52FDD"/>
    <w:rsid w:val="352B6C5A"/>
    <w:rsid w:val="354B7A7C"/>
    <w:rsid w:val="35520294"/>
    <w:rsid w:val="357A04F1"/>
    <w:rsid w:val="357C1D84"/>
    <w:rsid w:val="35887A53"/>
    <w:rsid w:val="35AF4576"/>
    <w:rsid w:val="35B4397E"/>
    <w:rsid w:val="360300F8"/>
    <w:rsid w:val="36034EE1"/>
    <w:rsid w:val="36237D2D"/>
    <w:rsid w:val="363503EB"/>
    <w:rsid w:val="3647637B"/>
    <w:rsid w:val="367F686D"/>
    <w:rsid w:val="36A14C50"/>
    <w:rsid w:val="36B412F5"/>
    <w:rsid w:val="36B66A91"/>
    <w:rsid w:val="36CC7A6D"/>
    <w:rsid w:val="36E17616"/>
    <w:rsid w:val="37076693"/>
    <w:rsid w:val="372B30FF"/>
    <w:rsid w:val="372F768E"/>
    <w:rsid w:val="375E41FD"/>
    <w:rsid w:val="3765223E"/>
    <w:rsid w:val="376A4278"/>
    <w:rsid w:val="377870B5"/>
    <w:rsid w:val="377D54A5"/>
    <w:rsid w:val="377D5E16"/>
    <w:rsid w:val="377E65D4"/>
    <w:rsid w:val="37872B44"/>
    <w:rsid w:val="379F77DA"/>
    <w:rsid w:val="37A7041E"/>
    <w:rsid w:val="37A80A27"/>
    <w:rsid w:val="37C914D9"/>
    <w:rsid w:val="37D63EC9"/>
    <w:rsid w:val="37F02038"/>
    <w:rsid w:val="38280519"/>
    <w:rsid w:val="386D019E"/>
    <w:rsid w:val="38894B13"/>
    <w:rsid w:val="38A42A5B"/>
    <w:rsid w:val="38C10BFB"/>
    <w:rsid w:val="38DD791D"/>
    <w:rsid w:val="3920221B"/>
    <w:rsid w:val="39334BFF"/>
    <w:rsid w:val="393667C3"/>
    <w:rsid w:val="39457CAF"/>
    <w:rsid w:val="3948048E"/>
    <w:rsid w:val="39812B9C"/>
    <w:rsid w:val="399208A7"/>
    <w:rsid w:val="39B565E1"/>
    <w:rsid w:val="39D4235F"/>
    <w:rsid w:val="39FD6163"/>
    <w:rsid w:val="3A257802"/>
    <w:rsid w:val="3A606A76"/>
    <w:rsid w:val="3A8231F1"/>
    <w:rsid w:val="3A921749"/>
    <w:rsid w:val="3AA81B41"/>
    <w:rsid w:val="3ADD242D"/>
    <w:rsid w:val="3B143086"/>
    <w:rsid w:val="3B147A5B"/>
    <w:rsid w:val="3B1A2D8C"/>
    <w:rsid w:val="3B4042AB"/>
    <w:rsid w:val="3B4E6CEA"/>
    <w:rsid w:val="3B66210B"/>
    <w:rsid w:val="3B814E71"/>
    <w:rsid w:val="3B964D74"/>
    <w:rsid w:val="3B972AF7"/>
    <w:rsid w:val="3BB62FA9"/>
    <w:rsid w:val="3BB70D15"/>
    <w:rsid w:val="3BBB09FC"/>
    <w:rsid w:val="3BC91BB9"/>
    <w:rsid w:val="3C02622B"/>
    <w:rsid w:val="3C120308"/>
    <w:rsid w:val="3C42650A"/>
    <w:rsid w:val="3C762DF2"/>
    <w:rsid w:val="3C7D1D40"/>
    <w:rsid w:val="3C872CDC"/>
    <w:rsid w:val="3C9B51F8"/>
    <w:rsid w:val="3CDD0DBD"/>
    <w:rsid w:val="3D101034"/>
    <w:rsid w:val="3D544EBB"/>
    <w:rsid w:val="3D882CF1"/>
    <w:rsid w:val="3D9814F2"/>
    <w:rsid w:val="3DA43F41"/>
    <w:rsid w:val="3DAF40CD"/>
    <w:rsid w:val="3DE32AFA"/>
    <w:rsid w:val="3E0456CC"/>
    <w:rsid w:val="3E115C36"/>
    <w:rsid w:val="3E136ED4"/>
    <w:rsid w:val="3E2418CD"/>
    <w:rsid w:val="3E2726B6"/>
    <w:rsid w:val="3E3A6B14"/>
    <w:rsid w:val="3E7A6125"/>
    <w:rsid w:val="3E8A1A02"/>
    <w:rsid w:val="3E8E765E"/>
    <w:rsid w:val="3E91290F"/>
    <w:rsid w:val="3EA9393D"/>
    <w:rsid w:val="3EAD0498"/>
    <w:rsid w:val="3EC56D78"/>
    <w:rsid w:val="3EC7715A"/>
    <w:rsid w:val="3ED16A4F"/>
    <w:rsid w:val="3ED17EBE"/>
    <w:rsid w:val="3EDC543E"/>
    <w:rsid w:val="3EED5016"/>
    <w:rsid w:val="3EF52FF7"/>
    <w:rsid w:val="3EF62F89"/>
    <w:rsid w:val="3EF75B65"/>
    <w:rsid w:val="3EFB570C"/>
    <w:rsid w:val="3F204493"/>
    <w:rsid w:val="3F2B7413"/>
    <w:rsid w:val="3F5871FB"/>
    <w:rsid w:val="3F8E35DC"/>
    <w:rsid w:val="3F8F5DC2"/>
    <w:rsid w:val="3FA46F4F"/>
    <w:rsid w:val="3FA624AC"/>
    <w:rsid w:val="3FB00475"/>
    <w:rsid w:val="3FBF5991"/>
    <w:rsid w:val="3FE10717"/>
    <w:rsid w:val="40023F34"/>
    <w:rsid w:val="40090025"/>
    <w:rsid w:val="40181902"/>
    <w:rsid w:val="402F5A4D"/>
    <w:rsid w:val="40411288"/>
    <w:rsid w:val="404742BD"/>
    <w:rsid w:val="40600DD5"/>
    <w:rsid w:val="40660F91"/>
    <w:rsid w:val="407D57C8"/>
    <w:rsid w:val="40B26892"/>
    <w:rsid w:val="40E21CB8"/>
    <w:rsid w:val="410F31C3"/>
    <w:rsid w:val="4112553B"/>
    <w:rsid w:val="41344AAB"/>
    <w:rsid w:val="41550C30"/>
    <w:rsid w:val="41875FCE"/>
    <w:rsid w:val="4190424D"/>
    <w:rsid w:val="41BA6E78"/>
    <w:rsid w:val="41E43D07"/>
    <w:rsid w:val="41F6399A"/>
    <w:rsid w:val="41F94DC7"/>
    <w:rsid w:val="41FA3A29"/>
    <w:rsid w:val="42137C42"/>
    <w:rsid w:val="421B7727"/>
    <w:rsid w:val="422E57D7"/>
    <w:rsid w:val="42555DF7"/>
    <w:rsid w:val="42A27001"/>
    <w:rsid w:val="42B841CB"/>
    <w:rsid w:val="42C507A4"/>
    <w:rsid w:val="42F07508"/>
    <w:rsid w:val="43270B23"/>
    <w:rsid w:val="43366434"/>
    <w:rsid w:val="434A0913"/>
    <w:rsid w:val="436A64E9"/>
    <w:rsid w:val="4370434B"/>
    <w:rsid w:val="43711057"/>
    <w:rsid w:val="43891ADB"/>
    <w:rsid w:val="439C4F5E"/>
    <w:rsid w:val="43B6253E"/>
    <w:rsid w:val="43E630D7"/>
    <w:rsid w:val="43EF2D9F"/>
    <w:rsid w:val="43F02783"/>
    <w:rsid w:val="44656E26"/>
    <w:rsid w:val="4468183E"/>
    <w:rsid w:val="44786783"/>
    <w:rsid w:val="44934F90"/>
    <w:rsid w:val="449457D3"/>
    <w:rsid w:val="44A25A9F"/>
    <w:rsid w:val="44A61055"/>
    <w:rsid w:val="44BE5C95"/>
    <w:rsid w:val="44DD6EB7"/>
    <w:rsid w:val="44E01145"/>
    <w:rsid w:val="450018DF"/>
    <w:rsid w:val="450F2BC2"/>
    <w:rsid w:val="451D2C75"/>
    <w:rsid w:val="45203860"/>
    <w:rsid w:val="454746DD"/>
    <w:rsid w:val="455367B2"/>
    <w:rsid w:val="45555732"/>
    <w:rsid w:val="455F10D7"/>
    <w:rsid w:val="456355DA"/>
    <w:rsid w:val="45741675"/>
    <w:rsid w:val="459C4648"/>
    <w:rsid w:val="45A02EDD"/>
    <w:rsid w:val="45E61BCA"/>
    <w:rsid w:val="45EE32D7"/>
    <w:rsid w:val="460A6FE4"/>
    <w:rsid w:val="461A323C"/>
    <w:rsid w:val="4638018C"/>
    <w:rsid w:val="46416C3D"/>
    <w:rsid w:val="46433285"/>
    <w:rsid w:val="46526D41"/>
    <w:rsid w:val="46584865"/>
    <w:rsid w:val="465E20A1"/>
    <w:rsid w:val="46681B67"/>
    <w:rsid w:val="468200E4"/>
    <w:rsid w:val="46903F4D"/>
    <w:rsid w:val="469815BE"/>
    <w:rsid w:val="46A14FC5"/>
    <w:rsid w:val="46B27CB1"/>
    <w:rsid w:val="46D34E98"/>
    <w:rsid w:val="47001117"/>
    <w:rsid w:val="47246805"/>
    <w:rsid w:val="47492E75"/>
    <w:rsid w:val="474F7F9F"/>
    <w:rsid w:val="475F3AC1"/>
    <w:rsid w:val="47844901"/>
    <w:rsid w:val="479A2ED2"/>
    <w:rsid w:val="47B328B4"/>
    <w:rsid w:val="47C13542"/>
    <w:rsid w:val="48113D01"/>
    <w:rsid w:val="484C7B11"/>
    <w:rsid w:val="485E0A04"/>
    <w:rsid w:val="48740F1D"/>
    <w:rsid w:val="48761BE3"/>
    <w:rsid w:val="489E0EB1"/>
    <w:rsid w:val="48A4548A"/>
    <w:rsid w:val="48A57E1F"/>
    <w:rsid w:val="48B50D92"/>
    <w:rsid w:val="48D80297"/>
    <w:rsid w:val="48DE3BBF"/>
    <w:rsid w:val="48E77164"/>
    <w:rsid w:val="491D19DF"/>
    <w:rsid w:val="49304CB2"/>
    <w:rsid w:val="49620FF1"/>
    <w:rsid w:val="496F6EBE"/>
    <w:rsid w:val="49814F4C"/>
    <w:rsid w:val="49836E4C"/>
    <w:rsid w:val="49A364F7"/>
    <w:rsid w:val="49B42429"/>
    <w:rsid w:val="49C4569B"/>
    <w:rsid w:val="4A074043"/>
    <w:rsid w:val="4A090DC7"/>
    <w:rsid w:val="4A091441"/>
    <w:rsid w:val="4A14567E"/>
    <w:rsid w:val="4A160CF2"/>
    <w:rsid w:val="4A1C1271"/>
    <w:rsid w:val="4A1E6180"/>
    <w:rsid w:val="4A2308FE"/>
    <w:rsid w:val="4A2412C3"/>
    <w:rsid w:val="4A287AB1"/>
    <w:rsid w:val="4A5133EE"/>
    <w:rsid w:val="4A5D4EF8"/>
    <w:rsid w:val="4A791824"/>
    <w:rsid w:val="4A7C7CA2"/>
    <w:rsid w:val="4A915C19"/>
    <w:rsid w:val="4A955A49"/>
    <w:rsid w:val="4A9C5501"/>
    <w:rsid w:val="4AAF7BD4"/>
    <w:rsid w:val="4AD80F53"/>
    <w:rsid w:val="4B2C75A6"/>
    <w:rsid w:val="4B2F25FD"/>
    <w:rsid w:val="4BB15678"/>
    <w:rsid w:val="4BB635D2"/>
    <w:rsid w:val="4BB76960"/>
    <w:rsid w:val="4BC655C8"/>
    <w:rsid w:val="4BD03593"/>
    <w:rsid w:val="4BD63363"/>
    <w:rsid w:val="4BD87666"/>
    <w:rsid w:val="4BE63621"/>
    <w:rsid w:val="4BE6691C"/>
    <w:rsid w:val="4BF467F9"/>
    <w:rsid w:val="4BF83E44"/>
    <w:rsid w:val="4C276C17"/>
    <w:rsid w:val="4C73767A"/>
    <w:rsid w:val="4C7C0669"/>
    <w:rsid w:val="4C7D0871"/>
    <w:rsid w:val="4C850277"/>
    <w:rsid w:val="4C9904F2"/>
    <w:rsid w:val="4CC2186A"/>
    <w:rsid w:val="4CC52EB8"/>
    <w:rsid w:val="4D2572CD"/>
    <w:rsid w:val="4D354FF0"/>
    <w:rsid w:val="4D4C32B8"/>
    <w:rsid w:val="4D83782F"/>
    <w:rsid w:val="4DBB048A"/>
    <w:rsid w:val="4DCE336E"/>
    <w:rsid w:val="4DE07DE4"/>
    <w:rsid w:val="4E0D5D14"/>
    <w:rsid w:val="4E2809CC"/>
    <w:rsid w:val="4E2F45C0"/>
    <w:rsid w:val="4E363F2F"/>
    <w:rsid w:val="4E682F97"/>
    <w:rsid w:val="4EA42281"/>
    <w:rsid w:val="4EA546F0"/>
    <w:rsid w:val="4EAF3AED"/>
    <w:rsid w:val="4EB0019E"/>
    <w:rsid w:val="4ECB1385"/>
    <w:rsid w:val="4ED32851"/>
    <w:rsid w:val="4ED35762"/>
    <w:rsid w:val="4EDF1745"/>
    <w:rsid w:val="4EF5014E"/>
    <w:rsid w:val="4EFA3C4E"/>
    <w:rsid w:val="4F235A8E"/>
    <w:rsid w:val="4F26262A"/>
    <w:rsid w:val="4F33554E"/>
    <w:rsid w:val="4F612BE4"/>
    <w:rsid w:val="4F6461D6"/>
    <w:rsid w:val="4F7B292B"/>
    <w:rsid w:val="4F865749"/>
    <w:rsid w:val="4F9E59ED"/>
    <w:rsid w:val="4FDC58FD"/>
    <w:rsid w:val="4FDE1C0C"/>
    <w:rsid w:val="4FE54A2D"/>
    <w:rsid w:val="4FF958E6"/>
    <w:rsid w:val="50202BC7"/>
    <w:rsid w:val="50216FE4"/>
    <w:rsid w:val="5026246C"/>
    <w:rsid w:val="502D2C76"/>
    <w:rsid w:val="50614DD7"/>
    <w:rsid w:val="506B628A"/>
    <w:rsid w:val="50787CFE"/>
    <w:rsid w:val="50AE1AE4"/>
    <w:rsid w:val="50FE2631"/>
    <w:rsid w:val="51151D83"/>
    <w:rsid w:val="51167E7F"/>
    <w:rsid w:val="51390032"/>
    <w:rsid w:val="515426DE"/>
    <w:rsid w:val="515C74D2"/>
    <w:rsid w:val="51652C0F"/>
    <w:rsid w:val="518D4538"/>
    <w:rsid w:val="51960DFD"/>
    <w:rsid w:val="51BB2BF3"/>
    <w:rsid w:val="51C87FCE"/>
    <w:rsid w:val="51FD0367"/>
    <w:rsid w:val="52377D55"/>
    <w:rsid w:val="525F7483"/>
    <w:rsid w:val="52862351"/>
    <w:rsid w:val="52984624"/>
    <w:rsid w:val="52F10B24"/>
    <w:rsid w:val="534A2585"/>
    <w:rsid w:val="53921453"/>
    <w:rsid w:val="539D3FE2"/>
    <w:rsid w:val="53A03056"/>
    <w:rsid w:val="53A31787"/>
    <w:rsid w:val="53D7503B"/>
    <w:rsid w:val="53E637C7"/>
    <w:rsid w:val="53E8647E"/>
    <w:rsid w:val="53F45929"/>
    <w:rsid w:val="53FC0907"/>
    <w:rsid w:val="5468198B"/>
    <w:rsid w:val="546B1F14"/>
    <w:rsid w:val="54951AB4"/>
    <w:rsid w:val="549A0B06"/>
    <w:rsid w:val="54A655A6"/>
    <w:rsid w:val="54D53B13"/>
    <w:rsid w:val="54EB74E4"/>
    <w:rsid w:val="55220C80"/>
    <w:rsid w:val="55284AD7"/>
    <w:rsid w:val="5530324E"/>
    <w:rsid w:val="55457E29"/>
    <w:rsid w:val="555B0657"/>
    <w:rsid w:val="556032BE"/>
    <w:rsid w:val="55B86023"/>
    <w:rsid w:val="55C151DC"/>
    <w:rsid w:val="55E556DC"/>
    <w:rsid w:val="55E77D6B"/>
    <w:rsid w:val="55FF3036"/>
    <w:rsid w:val="56213505"/>
    <w:rsid w:val="56292705"/>
    <w:rsid w:val="5632227A"/>
    <w:rsid w:val="56482C0E"/>
    <w:rsid w:val="564E3203"/>
    <w:rsid w:val="568C03E5"/>
    <w:rsid w:val="56E60496"/>
    <w:rsid w:val="57360834"/>
    <w:rsid w:val="57374E0B"/>
    <w:rsid w:val="57444728"/>
    <w:rsid w:val="575B090B"/>
    <w:rsid w:val="577439B5"/>
    <w:rsid w:val="57926FF9"/>
    <w:rsid w:val="57A355F8"/>
    <w:rsid w:val="57E6509B"/>
    <w:rsid w:val="57E738F8"/>
    <w:rsid w:val="57EB5B27"/>
    <w:rsid w:val="57EC2D60"/>
    <w:rsid w:val="58263426"/>
    <w:rsid w:val="583C0E12"/>
    <w:rsid w:val="5856757B"/>
    <w:rsid w:val="58A14304"/>
    <w:rsid w:val="58A3772F"/>
    <w:rsid w:val="58CC5EFE"/>
    <w:rsid w:val="58E3487B"/>
    <w:rsid w:val="58FB3B6A"/>
    <w:rsid w:val="59026288"/>
    <w:rsid w:val="590668BB"/>
    <w:rsid w:val="59205FDE"/>
    <w:rsid w:val="59336ED5"/>
    <w:rsid w:val="59393A95"/>
    <w:rsid w:val="59432CA0"/>
    <w:rsid w:val="594A3241"/>
    <w:rsid w:val="594D3E46"/>
    <w:rsid w:val="595C3DA0"/>
    <w:rsid w:val="595E62F2"/>
    <w:rsid w:val="596658B9"/>
    <w:rsid w:val="59693F87"/>
    <w:rsid w:val="59851D75"/>
    <w:rsid w:val="59B42F07"/>
    <w:rsid w:val="59BB77BA"/>
    <w:rsid w:val="59D2668C"/>
    <w:rsid w:val="5A2C4220"/>
    <w:rsid w:val="5A316507"/>
    <w:rsid w:val="5A497C34"/>
    <w:rsid w:val="5A4C0E52"/>
    <w:rsid w:val="5A7B33E5"/>
    <w:rsid w:val="5A8C664D"/>
    <w:rsid w:val="5ABD43B1"/>
    <w:rsid w:val="5AC20EBF"/>
    <w:rsid w:val="5ACD5B73"/>
    <w:rsid w:val="5ADF42CD"/>
    <w:rsid w:val="5B050809"/>
    <w:rsid w:val="5B1038C0"/>
    <w:rsid w:val="5B366061"/>
    <w:rsid w:val="5B3846E5"/>
    <w:rsid w:val="5B440B6E"/>
    <w:rsid w:val="5B553BEC"/>
    <w:rsid w:val="5B5B4ABD"/>
    <w:rsid w:val="5B5C5E93"/>
    <w:rsid w:val="5B5E3394"/>
    <w:rsid w:val="5B74024A"/>
    <w:rsid w:val="5B792560"/>
    <w:rsid w:val="5B8A7735"/>
    <w:rsid w:val="5B9D0E06"/>
    <w:rsid w:val="5BA172F8"/>
    <w:rsid w:val="5BB151A5"/>
    <w:rsid w:val="5BB6027C"/>
    <w:rsid w:val="5BBB47C2"/>
    <w:rsid w:val="5BF62976"/>
    <w:rsid w:val="5C16597D"/>
    <w:rsid w:val="5C576F8B"/>
    <w:rsid w:val="5C707C6C"/>
    <w:rsid w:val="5C8E0CD7"/>
    <w:rsid w:val="5C9E2C36"/>
    <w:rsid w:val="5CB21C23"/>
    <w:rsid w:val="5CB6579C"/>
    <w:rsid w:val="5CBB2347"/>
    <w:rsid w:val="5CC6320E"/>
    <w:rsid w:val="5CC76C7C"/>
    <w:rsid w:val="5CF36024"/>
    <w:rsid w:val="5CFF01AA"/>
    <w:rsid w:val="5D1344DD"/>
    <w:rsid w:val="5D7726AE"/>
    <w:rsid w:val="5D7B6EDD"/>
    <w:rsid w:val="5D806796"/>
    <w:rsid w:val="5D827D40"/>
    <w:rsid w:val="5DA03D36"/>
    <w:rsid w:val="5DC43C07"/>
    <w:rsid w:val="5DCA3A55"/>
    <w:rsid w:val="5DCD3255"/>
    <w:rsid w:val="5DE03415"/>
    <w:rsid w:val="5DE640E1"/>
    <w:rsid w:val="5E297761"/>
    <w:rsid w:val="5E33770D"/>
    <w:rsid w:val="5E532ADD"/>
    <w:rsid w:val="5E610B28"/>
    <w:rsid w:val="5E66579C"/>
    <w:rsid w:val="5E91320F"/>
    <w:rsid w:val="5E915A7A"/>
    <w:rsid w:val="5E9345FF"/>
    <w:rsid w:val="5EA33A97"/>
    <w:rsid w:val="5ED134B6"/>
    <w:rsid w:val="5EF55DBA"/>
    <w:rsid w:val="5F6B1358"/>
    <w:rsid w:val="5F803CFA"/>
    <w:rsid w:val="5FC51458"/>
    <w:rsid w:val="5FC866E5"/>
    <w:rsid w:val="5FDC13D8"/>
    <w:rsid w:val="60090629"/>
    <w:rsid w:val="6024161B"/>
    <w:rsid w:val="60413F7F"/>
    <w:rsid w:val="60660F52"/>
    <w:rsid w:val="606A3C6B"/>
    <w:rsid w:val="608F5084"/>
    <w:rsid w:val="609B5019"/>
    <w:rsid w:val="60B4769E"/>
    <w:rsid w:val="60B55083"/>
    <w:rsid w:val="610242F6"/>
    <w:rsid w:val="6119401A"/>
    <w:rsid w:val="611D2CA6"/>
    <w:rsid w:val="61200642"/>
    <w:rsid w:val="61652DB1"/>
    <w:rsid w:val="61970BE7"/>
    <w:rsid w:val="61A20E5D"/>
    <w:rsid w:val="61B8332B"/>
    <w:rsid w:val="61F17268"/>
    <w:rsid w:val="61FC7432"/>
    <w:rsid w:val="620A3859"/>
    <w:rsid w:val="62204E0F"/>
    <w:rsid w:val="62207D5C"/>
    <w:rsid w:val="624063A3"/>
    <w:rsid w:val="62533606"/>
    <w:rsid w:val="62845968"/>
    <w:rsid w:val="628E2B97"/>
    <w:rsid w:val="62A86B6F"/>
    <w:rsid w:val="62B35B81"/>
    <w:rsid w:val="62B75EDD"/>
    <w:rsid w:val="62BA2CE3"/>
    <w:rsid w:val="62C01D55"/>
    <w:rsid w:val="62C92F2D"/>
    <w:rsid w:val="62D93169"/>
    <w:rsid w:val="62E40282"/>
    <w:rsid w:val="631D5B18"/>
    <w:rsid w:val="631E201F"/>
    <w:rsid w:val="63320961"/>
    <w:rsid w:val="634E6C76"/>
    <w:rsid w:val="63577D60"/>
    <w:rsid w:val="636514C6"/>
    <w:rsid w:val="636F701B"/>
    <w:rsid w:val="6382662F"/>
    <w:rsid w:val="63B23C71"/>
    <w:rsid w:val="63C95202"/>
    <w:rsid w:val="63CB4107"/>
    <w:rsid w:val="63DB551D"/>
    <w:rsid w:val="63ED3A09"/>
    <w:rsid w:val="64090834"/>
    <w:rsid w:val="64116EAE"/>
    <w:rsid w:val="64272A3B"/>
    <w:rsid w:val="6467063D"/>
    <w:rsid w:val="648F4A0E"/>
    <w:rsid w:val="64937E71"/>
    <w:rsid w:val="6495646A"/>
    <w:rsid w:val="64C02EBC"/>
    <w:rsid w:val="64FA320D"/>
    <w:rsid w:val="65797FD4"/>
    <w:rsid w:val="658D5E16"/>
    <w:rsid w:val="65953363"/>
    <w:rsid w:val="65B841DE"/>
    <w:rsid w:val="65CA03C9"/>
    <w:rsid w:val="65E1661E"/>
    <w:rsid w:val="65E36C18"/>
    <w:rsid w:val="65EB11B2"/>
    <w:rsid w:val="660918F9"/>
    <w:rsid w:val="663C1302"/>
    <w:rsid w:val="665F0112"/>
    <w:rsid w:val="66680B7E"/>
    <w:rsid w:val="667F18FA"/>
    <w:rsid w:val="669A5886"/>
    <w:rsid w:val="66BF54E4"/>
    <w:rsid w:val="67101119"/>
    <w:rsid w:val="67151BB5"/>
    <w:rsid w:val="671C67EA"/>
    <w:rsid w:val="67400D4D"/>
    <w:rsid w:val="677A414A"/>
    <w:rsid w:val="67C952B3"/>
    <w:rsid w:val="67CB697C"/>
    <w:rsid w:val="67DB4341"/>
    <w:rsid w:val="68720AE2"/>
    <w:rsid w:val="689554F5"/>
    <w:rsid w:val="68AA7215"/>
    <w:rsid w:val="68ED6911"/>
    <w:rsid w:val="6903642B"/>
    <w:rsid w:val="690F1870"/>
    <w:rsid w:val="692F5E27"/>
    <w:rsid w:val="69466675"/>
    <w:rsid w:val="698C2B7F"/>
    <w:rsid w:val="69AB5D7A"/>
    <w:rsid w:val="69DF7BDF"/>
    <w:rsid w:val="69F21353"/>
    <w:rsid w:val="69F575F2"/>
    <w:rsid w:val="6A1E730C"/>
    <w:rsid w:val="6A4C7335"/>
    <w:rsid w:val="6A531E39"/>
    <w:rsid w:val="6A545ADB"/>
    <w:rsid w:val="6A5D05BD"/>
    <w:rsid w:val="6A6B273C"/>
    <w:rsid w:val="6A703222"/>
    <w:rsid w:val="6AAA18E6"/>
    <w:rsid w:val="6AB66294"/>
    <w:rsid w:val="6AC60849"/>
    <w:rsid w:val="6AC938A9"/>
    <w:rsid w:val="6B2F05BC"/>
    <w:rsid w:val="6B435167"/>
    <w:rsid w:val="6BB237C9"/>
    <w:rsid w:val="6BB37104"/>
    <w:rsid w:val="6BDF1336"/>
    <w:rsid w:val="6C3161F1"/>
    <w:rsid w:val="6C3745DF"/>
    <w:rsid w:val="6C3D4127"/>
    <w:rsid w:val="6C6253EB"/>
    <w:rsid w:val="6C666B72"/>
    <w:rsid w:val="6C6D2D24"/>
    <w:rsid w:val="6C8F3EF6"/>
    <w:rsid w:val="6CAD55CC"/>
    <w:rsid w:val="6CBE1616"/>
    <w:rsid w:val="6CC15D2B"/>
    <w:rsid w:val="6CC15F94"/>
    <w:rsid w:val="6CDA118A"/>
    <w:rsid w:val="6D0C01A9"/>
    <w:rsid w:val="6D2A44DD"/>
    <w:rsid w:val="6D493A0A"/>
    <w:rsid w:val="6D551BE3"/>
    <w:rsid w:val="6D5C2995"/>
    <w:rsid w:val="6D8E2C9C"/>
    <w:rsid w:val="6DAD51A4"/>
    <w:rsid w:val="6E017D0E"/>
    <w:rsid w:val="6E053E0B"/>
    <w:rsid w:val="6E1E1DB6"/>
    <w:rsid w:val="6E3F4BAC"/>
    <w:rsid w:val="6E524DE3"/>
    <w:rsid w:val="6E735A03"/>
    <w:rsid w:val="6E7D3005"/>
    <w:rsid w:val="6EA04E08"/>
    <w:rsid w:val="6EAA18F7"/>
    <w:rsid w:val="6EBB6601"/>
    <w:rsid w:val="6ECF710B"/>
    <w:rsid w:val="6EEE5D94"/>
    <w:rsid w:val="6F050882"/>
    <w:rsid w:val="6F0B5A13"/>
    <w:rsid w:val="6F1579C7"/>
    <w:rsid w:val="6F62521C"/>
    <w:rsid w:val="6FBC6483"/>
    <w:rsid w:val="6FC130A1"/>
    <w:rsid w:val="6FC26F58"/>
    <w:rsid w:val="6FD761EC"/>
    <w:rsid w:val="6FE52312"/>
    <w:rsid w:val="6FF1085F"/>
    <w:rsid w:val="700F6510"/>
    <w:rsid w:val="70750A7A"/>
    <w:rsid w:val="70991D59"/>
    <w:rsid w:val="709A5C21"/>
    <w:rsid w:val="70C51917"/>
    <w:rsid w:val="70D02722"/>
    <w:rsid w:val="70F067F3"/>
    <w:rsid w:val="711A09D1"/>
    <w:rsid w:val="71275E70"/>
    <w:rsid w:val="712F60DB"/>
    <w:rsid w:val="714B6CD7"/>
    <w:rsid w:val="71653B96"/>
    <w:rsid w:val="71B20DD6"/>
    <w:rsid w:val="71D8215F"/>
    <w:rsid w:val="71DF1D07"/>
    <w:rsid w:val="71FB7CB1"/>
    <w:rsid w:val="720D209A"/>
    <w:rsid w:val="7221044F"/>
    <w:rsid w:val="72252F84"/>
    <w:rsid w:val="722F089D"/>
    <w:rsid w:val="723126FD"/>
    <w:rsid w:val="723E2E01"/>
    <w:rsid w:val="72404D8A"/>
    <w:rsid w:val="724C22E8"/>
    <w:rsid w:val="725F0F01"/>
    <w:rsid w:val="729D5E1F"/>
    <w:rsid w:val="72E72EAA"/>
    <w:rsid w:val="72F27051"/>
    <w:rsid w:val="7331658B"/>
    <w:rsid w:val="733C6C97"/>
    <w:rsid w:val="734B4A4B"/>
    <w:rsid w:val="734C70B6"/>
    <w:rsid w:val="73560C2B"/>
    <w:rsid w:val="735E4E1D"/>
    <w:rsid w:val="73770DDB"/>
    <w:rsid w:val="7388314F"/>
    <w:rsid w:val="73C30699"/>
    <w:rsid w:val="73CB394C"/>
    <w:rsid w:val="73D51780"/>
    <w:rsid w:val="73E34188"/>
    <w:rsid w:val="73F006A6"/>
    <w:rsid w:val="73F022C4"/>
    <w:rsid w:val="73F63EFE"/>
    <w:rsid w:val="73FF26B3"/>
    <w:rsid w:val="74071758"/>
    <w:rsid w:val="741425AC"/>
    <w:rsid w:val="741D773B"/>
    <w:rsid w:val="74280680"/>
    <w:rsid w:val="744F658E"/>
    <w:rsid w:val="7463178E"/>
    <w:rsid w:val="746371B3"/>
    <w:rsid w:val="74686F79"/>
    <w:rsid w:val="746E5228"/>
    <w:rsid w:val="747A43C9"/>
    <w:rsid w:val="74922B66"/>
    <w:rsid w:val="74DB20FA"/>
    <w:rsid w:val="7508529D"/>
    <w:rsid w:val="752C3218"/>
    <w:rsid w:val="75397634"/>
    <w:rsid w:val="75537CD8"/>
    <w:rsid w:val="75595BE3"/>
    <w:rsid w:val="755E58D5"/>
    <w:rsid w:val="757606EF"/>
    <w:rsid w:val="757E2855"/>
    <w:rsid w:val="75844FC1"/>
    <w:rsid w:val="75EE069B"/>
    <w:rsid w:val="75FC15CE"/>
    <w:rsid w:val="7615419A"/>
    <w:rsid w:val="76172D6A"/>
    <w:rsid w:val="761A409E"/>
    <w:rsid w:val="762F02D7"/>
    <w:rsid w:val="763D7340"/>
    <w:rsid w:val="76512EE8"/>
    <w:rsid w:val="767A6C09"/>
    <w:rsid w:val="767F5650"/>
    <w:rsid w:val="76880BA0"/>
    <w:rsid w:val="76885BC7"/>
    <w:rsid w:val="768C19C1"/>
    <w:rsid w:val="768C2564"/>
    <w:rsid w:val="76991D18"/>
    <w:rsid w:val="76BA43D5"/>
    <w:rsid w:val="76BE21DC"/>
    <w:rsid w:val="76CD5B13"/>
    <w:rsid w:val="76DF3C76"/>
    <w:rsid w:val="76EB41A9"/>
    <w:rsid w:val="76F71295"/>
    <w:rsid w:val="76FC2CE2"/>
    <w:rsid w:val="7706359E"/>
    <w:rsid w:val="771A5653"/>
    <w:rsid w:val="771B5FB2"/>
    <w:rsid w:val="772A75AD"/>
    <w:rsid w:val="7734542F"/>
    <w:rsid w:val="774073C9"/>
    <w:rsid w:val="77460079"/>
    <w:rsid w:val="774B4CD3"/>
    <w:rsid w:val="77567D26"/>
    <w:rsid w:val="77574E5D"/>
    <w:rsid w:val="77592E82"/>
    <w:rsid w:val="775D2B17"/>
    <w:rsid w:val="7760235E"/>
    <w:rsid w:val="777D4FBC"/>
    <w:rsid w:val="77C64121"/>
    <w:rsid w:val="77CD3C5D"/>
    <w:rsid w:val="77FD4667"/>
    <w:rsid w:val="781200C6"/>
    <w:rsid w:val="78150104"/>
    <w:rsid w:val="782331A0"/>
    <w:rsid w:val="786B1829"/>
    <w:rsid w:val="78C7234E"/>
    <w:rsid w:val="78F24D84"/>
    <w:rsid w:val="790706C1"/>
    <w:rsid w:val="791063B8"/>
    <w:rsid w:val="79235A1B"/>
    <w:rsid w:val="793842B6"/>
    <w:rsid w:val="793E7F2E"/>
    <w:rsid w:val="796362D3"/>
    <w:rsid w:val="79827C27"/>
    <w:rsid w:val="798834D2"/>
    <w:rsid w:val="799B7D73"/>
    <w:rsid w:val="79B07BB3"/>
    <w:rsid w:val="79B7369F"/>
    <w:rsid w:val="79C03278"/>
    <w:rsid w:val="79D510F0"/>
    <w:rsid w:val="79ED59B1"/>
    <w:rsid w:val="79F56CDC"/>
    <w:rsid w:val="7A032271"/>
    <w:rsid w:val="7A320BDB"/>
    <w:rsid w:val="7A491583"/>
    <w:rsid w:val="7A5019B8"/>
    <w:rsid w:val="7A5B6EDF"/>
    <w:rsid w:val="7A5D2F7E"/>
    <w:rsid w:val="7A676444"/>
    <w:rsid w:val="7A72534A"/>
    <w:rsid w:val="7A832DB1"/>
    <w:rsid w:val="7A8F7D69"/>
    <w:rsid w:val="7A9C5FF5"/>
    <w:rsid w:val="7AA27F96"/>
    <w:rsid w:val="7AB320ED"/>
    <w:rsid w:val="7AC2422A"/>
    <w:rsid w:val="7AD44A1D"/>
    <w:rsid w:val="7B045A0E"/>
    <w:rsid w:val="7B137629"/>
    <w:rsid w:val="7B1B29C2"/>
    <w:rsid w:val="7B5D2C25"/>
    <w:rsid w:val="7B832034"/>
    <w:rsid w:val="7BA57F90"/>
    <w:rsid w:val="7BBC18FF"/>
    <w:rsid w:val="7BE47300"/>
    <w:rsid w:val="7C100290"/>
    <w:rsid w:val="7C151FE3"/>
    <w:rsid w:val="7C1D63E0"/>
    <w:rsid w:val="7C2925EF"/>
    <w:rsid w:val="7C463AF9"/>
    <w:rsid w:val="7C4673AC"/>
    <w:rsid w:val="7C691C0E"/>
    <w:rsid w:val="7C6D0FAF"/>
    <w:rsid w:val="7C7654E0"/>
    <w:rsid w:val="7C9D56FC"/>
    <w:rsid w:val="7C9E2AE3"/>
    <w:rsid w:val="7CA34E3A"/>
    <w:rsid w:val="7CC7797E"/>
    <w:rsid w:val="7CDE5607"/>
    <w:rsid w:val="7D0D23F8"/>
    <w:rsid w:val="7D1819A4"/>
    <w:rsid w:val="7D57537E"/>
    <w:rsid w:val="7D657DFF"/>
    <w:rsid w:val="7D79413D"/>
    <w:rsid w:val="7D7F5BFA"/>
    <w:rsid w:val="7D872924"/>
    <w:rsid w:val="7D8B2DD3"/>
    <w:rsid w:val="7D8F5F9C"/>
    <w:rsid w:val="7D97637C"/>
    <w:rsid w:val="7DE5359B"/>
    <w:rsid w:val="7E180A37"/>
    <w:rsid w:val="7E252BD1"/>
    <w:rsid w:val="7E2D4483"/>
    <w:rsid w:val="7E324C0E"/>
    <w:rsid w:val="7E327A3B"/>
    <w:rsid w:val="7E621BA9"/>
    <w:rsid w:val="7E665892"/>
    <w:rsid w:val="7E782BA9"/>
    <w:rsid w:val="7E8926E1"/>
    <w:rsid w:val="7E9213CC"/>
    <w:rsid w:val="7EA926FF"/>
    <w:rsid w:val="7EAA18EA"/>
    <w:rsid w:val="7EC93E9C"/>
    <w:rsid w:val="7ED12906"/>
    <w:rsid w:val="7EF33F65"/>
    <w:rsid w:val="7EFA1C61"/>
    <w:rsid w:val="7F0300DD"/>
    <w:rsid w:val="7F167BBC"/>
    <w:rsid w:val="7F6C7183"/>
    <w:rsid w:val="7F826632"/>
    <w:rsid w:val="7FA31856"/>
    <w:rsid w:val="7FB2207D"/>
    <w:rsid w:val="7FFA710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qFormat="1"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99"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adjustRightInd w:val="0"/>
    </w:pPr>
    <w:rPr>
      <w:rFonts w:ascii="宋体" w:hAnsi="Calibri" w:eastAsia="宋体" w:cs="宋体"/>
      <w:sz w:val="24"/>
      <w:szCs w:val="24"/>
      <w:lang w:val="en-US" w:eastAsia="zh-CN" w:bidi="ar-SA"/>
    </w:rPr>
  </w:style>
  <w:style w:type="paragraph" w:styleId="2">
    <w:name w:val="heading 1"/>
    <w:basedOn w:val="1"/>
    <w:next w:val="1"/>
    <w:link w:val="72"/>
    <w:qFormat/>
    <w:uiPriority w:val="0"/>
    <w:pPr>
      <w:outlineLvl w:val="0"/>
    </w:pPr>
  </w:style>
  <w:style w:type="paragraph" w:styleId="3">
    <w:name w:val="heading 2"/>
    <w:basedOn w:val="1"/>
    <w:next w:val="1"/>
    <w:qFormat/>
    <w:uiPriority w:val="0"/>
    <w:pPr>
      <w:outlineLvl w:val="1"/>
    </w:pPr>
    <w:rPr>
      <w:rFonts w:hAnsi="宋体"/>
      <w:b/>
    </w:rPr>
  </w:style>
  <w:style w:type="paragraph" w:styleId="4">
    <w:name w:val="heading 3"/>
    <w:basedOn w:val="1"/>
    <w:next w:val="1"/>
    <w:qFormat/>
    <w:uiPriority w:val="0"/>
    <w:pPr>
      <w:outlineLvl w:val="2"/>
    </w:p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widowControl/>
      <w:tabs>
        <w:tab w:val="left" w:pos="1008"/>
      </w:tabs>
      <w:autoSpaceDE/>
      <w:autoSpaceDN/>
      <w:adjustRightInd/>
      <w:spacing w:before="280" w:after="290" w:line="376" w:lineRule="auto"/>
      <w:ind w:left="1008" w:hanging="1008"/>
      <w:outlineLvl w:val="4"/>
    </w:pPr>
    <w:rPr>
      <w:rFonts w:ascii="Times New Roman"/>
      <w:b/>
      <w:bCs/>
      <w:sz w:val="28"/>
      <w:szCs w:val="28"/>
    </w:rPr>
  </w:style>
  <w:style w:type="paragraph" w:styleId="7">
    <w:name w:val="heading 6"/>
    <w:basedOn w:val="1"/>
    <w:next w:val="1"/>
    <w:qFormat/>
    <w:uiPriority w:val="0"/>
    <w:pPr>
      <w:keepNext/>
      <w:keepLines/>
      <w:widowControl/>
      <w:tabs>
        <w:tab w:val="left" w:pos="1152"/>
      </w:tabs>
      <w:autoSpaceDE/>
      <w:autoSpaceDN/>
      <w:adjustRightInd/>
      <w:spacing w:before="240" w:after="64" w:line="320" w:lineRule="auto"/>
      <w:ind w:left="1152" w:hanging="1152"/>
      <w:outlineLvl w:val="5"/>
    </w:pPr>
    <w:rPr>
      <w:rFonts w:ascii="Arial" w:hAnsi="Arial" w:eastAsia="黑体"/>
      <w:b/>
      <w:bCs/>
    </w:rPr>
  </w:style>
  <w:style w:type="paragraph" w:styleId="8">
    <w:name w:val="heading 7"/>
    <w:basedOn w:val="1"/>
    <w:next w:val="1"/>
    <w:qFormat/>
    <w:uiPriority w:val="0"/>
    <w:pPr>
      <w:keepNext/>
      <w:keepLines/>
      <w:widowControl/>
      <w:tabs>
        <w:tab w:val="left" w:pos="1296"/>
      </w:tabs>
      <w:autoSpaceDE/>
      <w:autoSpaceDN/>
      <w:adjustRightInd/>
      <w:spacing w:before="240" w:after="64" w:line="320" w:lineRule="auto"/>
      <w:ind w:left="1296" w:hanging="1296"/>
      <w:outlineLvl w:val="6"/>
    </w:pPr>
    <w:rPr>
      <w:rFonts w:ascii="Times New Roman"/>
      <w:b/>
      <w:bCs/>
    </w:rPr>
  </w:style>
  <w:style w:type="paragraph" w:styleId="9">
    <w:name w:val="heading 8"/>
    <w:basedOn w:val="1"/>
    <w:next w:val="1"/>
    <w:qFormat/>
    <w:uiPriority w:val="0"/>
    <w:pPr>
      <w:keepNext/>
      <w:keepLines/>
      <w:widowControl/>
      <w:tabs>
        <w:tab w:val="left" w:pos="1440"/>
      </w:tabs>
      <w:autoSpaceDE/>
      <w:autoSpaceDN/>
      <w:adjustRightInd/>
      <w:spacing w:before="240" w:after="64" w:line="320" w:lineRule="auto"/>
      <w:ind w:left="1440" w:hanging="1440"/>
      <w:outlineLvl w:val="7"/>
    </w:pPr>
    <w:rPr>
      <w:rFonts w:ascii="Arial" w:hAnsi="Arial" w:eastAsia="黑体"/>
    </w:rPr>
  </w:style>
  <w:style w:type="paragraph" w:styleId="10">
    <w:name w:val="heading 9"/>
    <w:basedOn w:val="1"/>
    <w:next w:val="1"/>
    <w:qFormat/>
    <w:uiPriority w:val="0"/>
    <w:pPr>
      <w:keepNext/>
      <w:keepLines/>
      <w:widowControl/>
      <w:tabs>
        <w:tab w:val="left" w:pos="1584"/>
      </w:tabs>
      <w:autoSpaceDE/>
      <w:autoSpaceDN/>
      <w:adjustRightInd/>
      <w:spacing w:before="240" w:after="64" w:line="320" w:lineRule="auto"/>
      <w:ind w:left="1584" w:hanging="1584"/>
      <w:outlineLvl w:val="8"/>
    </w:pPr>
    <w:rPr>
      <w:rFonts w:ascii="Arial" w:hAnsi="Arial" w:eastAsia="黑体"/>
      <w:sz w:val="21"/>
      <w:szCs w:val="21"/>
    </w:rPr>
  </w:style>
  <w:style w:type="character" w:default="1" w:styleId="55">
    <w:name w:val="Default Paragraph Font"/>
    <w:semiHidden/>
    <w:unhideWhenUsed/>
    <w:qFormat/>
    <w:uiPriority w:val="1"/>
  </w:style>
  <w:style w:type="table" w:default="1" w:styleId="53">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ind w:left="1440"/>
    </w:pPr>
    <w:rPr>
      <w:rFonts w:ascii="Calibri" w:cs="Calibri"/>
      <w:sz w:val="18"/>
      <w:szCs w:val="18"/>
    </w:rPr>
  </w:style>
  <w:style w:type="paragraph" w:styleId="12">
    <w:name w:val="Normal Indent"/>
    <w:basedOn w:val="1"/>
    <w:link w:val="78"/>
    <w:qFormat/>
    <w:uiPriority w:val="0"/>
    <w:pPr>
      <w:widowControl/>
      <w:autoSpaceDE/>
      <w:autoSpaceDN/>
      <w:adjustRightInd/>
      <w:ind w:firstLine="420" w:firstLineChars="200"/>
    </w:pPr>
    <w:rPr>
      <w:rFonts w:ascii="Calibri"/>
      <w:sz w:val="20"/>
      <w:szCs w:val="20"/>
    </w:rPr>
  </w:style>
  <w:style w:type="paragraph" w:styleId="13">
    <w:name w:val="caption"/>
    <w:basedOn w:val="1"/>
    <w:next w:val="1"/>
    <w:qFormat/>
    <w:uiPriority w:val="0"/>
    <w:pPr>
      <w:spacing w:before="152" w:after="160"/>
    </w:pPr>
    <w:rPr>
      <w:rFonts w:ascii="Arial" w:hAnsi="Arial" w:eastAsia="黑体" w:cs="Arial"/>
      <w:sz w:val="20"/>
      <w:szCs w:val="20"/>
    </w:rPr>
  </w:style>
  <w:style w:type="paragraph" w:styleId="14">
    <w:name w:val="List Bullet"/>
    <w:basedOn w:val="15"/>
    <w:qFormat/>
    <w:uiPriority w:val="0"/>
    <w:pPr>
      <w:widowControl/>
      <w:numPr>
        <w:ilvl w:val="0"/>
        <w:numId w:val="1"/>
      </w:numPr>
      <w:tabs>
        <w:tab w:val="left" w:pos="420"/>
      </w:tabs>
      <w:adjustRightInd/>
      <w:snapToGrid/>
      <w:ind w:right="720"/>
    </w:pPr>
    <w:rPr>
      <w:rFonts w:ascii="Garamond" w:hAnsi="Garamond"/>
      <w:kern w:val="0"/>
      <w:sz w:val="24"/>
      <w:szCs w:val="20"/>
    </w:rPr>
  </w:style>
  <w:style w:type="paragraph" w:styleId="15">
    <w:name w:val="List"/>
    <w:basedOn w:val="1"/>
    <w:qFormat/>
    <w:uiPriority w:val="0"/>
    <w:pPr>
      <w:numPr>
        <w:ilvl w:val="0"/>
        <w:numId w:val="2"/>
      </w:numPr>
      <w:autoSpaceDE/>
      <w:autoSpaceDN/>
      <w:snapToGrid w:val="0"/>
      <w:spacing w:line="300" w:lineRule="auto"/>
      <w:jc w:val="both"/>
    </w:pPr>
    <w:rPr>
      <w:rFonts w:ascii="Times New Roman"/>
      <w:kern w:val="2"/>
      <w:sz w:val="21"/>
    </w:rPr>
  </w:style>
  <w:style w:type="paragraph" w:styleId="16">
    <w:name w:val="Document Map"/>
    <w:basedOn w:val="1"/>
    <w:qFormat/>
    <w:uiPriority w:val="0"/>
    <w:pPr>
      <w:shd w:val="clear" w:color="auto" w:fill="000080"/>
    </w:pPr>
  </w:style>
  <w:style w:type="paragraph" w:styleId="17">
    <w:name w:val="toa heading"/>
    <w:basedOn w:val="1"/>
    <w:next w:val="1"/>
    <w:qFormat/>
    <w:uiPriority w:val="0"/>
    <w:pPr>
      <w:snapToGrid w:val="0"/>
      <w:spacing w:before="120" w:line="360" w:lineRule="auto"/>
      <w:jc w:val="both"/>
    </w:pPr>
    <w:rPr>
      <w:rFonts w:ascii="Arial" w:hAnsi="Arial"/>
      <w:snapToGrid w:val="0"/>
      <w:color w:val="000000"/>
      <w:sz w:val="21"/>
      <w:szCs w:val="20"/>
    </w:rPr>
  </w:style>
  <w:style w:type="paragraph" w:styleId="18">
    <w:name w:val="annotation text"/>
    <w:basedOn w:val="1"/>
    <w:link w:val="185"/>
    <w:qFormat/>
    <w:uiPriority w:val="0"/>
    <w:pPr>
      <w:widowControl/>
      <w:autoSpaceDE/>
      <w:autoSpaceDN/>
      <w:adjustRightInd/>
    </w:pPr>
    <w:rPr>
      <w:rFonts w:ascii="Times New Roman"/>
      <w:sz w:val="21"/>
      <w:szCs w:val="20"/>
    </w:rPr>
  </w:style>
  <w:style w:type="paragraph" w:styleId="19">
    <w:name w:val="Body Text 3"/>
    <w:basedOn w:val="1"/>
    <w:qFormat/>
    <w:uiPriority w:val="0"/>
    <w:pPr>
      <w:ind w:right="-26"/>
      <w:jc w:val="center"/>
    </w:pPr>
    <w:rPr>
      <w:b/>
      <w:bCs/>
      <w:color w:val="3366FF"/>
      <w:kern w:val="2"/>
      <w:sz w:val="52"/>
      <w:szCs w:val="52"/>
      <w:lang w:val="zh-CN"/>
    </w:rPr>
  </w:style>
  <w:style w:type="paragraph" w:styleId="20">
    <w:name w:val="Body Text"/>
    <w:basedOn w:val="1"/>
    <w:next w:val="1"/>
    <w:link w:val="83"/>
    <w:qFormat/>
    <w:uiPriority w:val="0"/>
    <w:pPr>
      <w:ind w:right="-26"/>
      <w:jc w:val="center"/>
    </w:pPr>
    <w:rPr>
      <w:rFonts w:hAnsi="Times New Roman"/>
      <w:b/>
      <w:bCs/>
      <w:kern w:val="2"/>
      <w:sz w:val="84"/>
      <w:szCs w:val="84"/>
      <w:lang w:val="zh-CN"/>
    </w:rPr>
  </w:style>
  <w:style w:type="paragraph" w:styleId="21">
    <w:name w:val="Body Text Indent"/>
    <w:basedOn w:val="1"/>
    <w:next w:val="22"/>
    <w:qFormat/>
    <w:uiPriority w:val="0"/>
    <w:pPr>
      <w:autoSpaceDE/>
      <w:autoSpaceDN/>
      <w:adjustRightInd/>
      <w:ind w:left="567" w:leftChars="270"/>
      <w:jc w:val="both"/>
    </w:pPr>
    <w:rPr>
      <w:rFonts w:ascii="Times New Roman"/>
      <w:kern w:val="2"/>
      <w:sz w:val="21"/>
      <w:szCs w:val="20"/>
    </w:rPr>
  </w:style>
  <w:style w:type="paragraph" w:styleId="22">
    <w:name w:val="envelope return"/>
    <w:basedOn w:val="1"/>
    <w:qFormat/>
    <w:uiPriority w:val="0"/>
    <w:pPr>
      <w:widowControl w:val="0"/>
      <w:jc w:val="both"/>
    </w:pPr>
    <w:rPr>
      <w:rFonts w:ascii="Calibri" w:hAnsi="Calibri" w:cs="Times New Roman"/>
      <w:kern w:val="2"/>
      <w:szCs w:val="24"/>
    </w:rPr>
  </w:style>
  <w:style w:type="paragraph" w:styleId="23">
    <w:name w:val="List Number 3"/>
    <w:basedOn w:val="1"/>
    <w:qFormat/>
    <w:uiPriority w:val="0"/>
    <w:pPr>
      <w:numPr>
        <w:ilvl w:val="0"/>
        <w:numId w:val="3"/>
      </w:numPr>
    </w:pPr>
  </w:style>
  <w:style w:type="paragraph" w:styleId="24">
    <w:name w:val="List 2"/>
    <w:basedOn w:val="1"/>
    <w:qFormat/>
    <w:uiPriority w:val="0"/>
    <w:pPr>
      <w:widowControl/>
      <w:autoSpaceDE/>
      <w:autoSpaceDN/>
      <w:adjustRightInd/>
      <w:ind w:left="100" w:leftChars="200" w:hanging="200" w:hangingChars="200"/>
    </w:pPr>
    <w:rPr>
      <w:rFonts w:ascii="Times New Roman"/>
      <w:sz w:val="21"/>
      <w:szCs w:val="20"/>
    </w:rPr>
  </w:style>
  <w:style w:type="paragraph" w:styleId="25">
    <w:name w:val="Block Text"/>
    <w:basedOn w:val="1"/>
    <w:qFormat/>
    <w:uiPriority w:val="0"/>
    <w:pPr>
      <w:spacing w:after="120"/>
      <w:ind w:left="1440" w:leftChars="700" w:right="1440" w:rightChars="700"/>
    </w:pPr>
  </w:style>
  <w:style w:type="paragraph" w:styleId="26">
    <w:name w:val="toc 5"/>
    <w:basedOn w:val="1"/>
    <w:next w:val="1"/>
    <w:qFormat/>
    <w:uiPriority w:val="0"/>
    <w:pPr>
      <w:ind w:left="960"/>
    </w:pPr>
    <w:rPr>
      <w:rFonts w:ascii="Calibri" w:cs="Calibri"/>
      <w:sz w:val="18"/>
      <w:szCs w:val="18"/>
    </w:rPr>
  </w:style>
  <w:style w:type="paragraph" w:styleId="27">
    <w:name w:val="toc 3"/>
    <w:basedOn w:val="1"/>
    <w:next w:val="1"/>
    <w:qFormat/>
    <w:uiPriority w:val="0"/>
    <w:pPr>
      <w:ind w:left="480"/>
    </w:pPr>
    <w:rPr>
      <w:rFonts w:ascii="Calibri" w:cs="Calibri"/>
      <w:i/>
      <w:iCs/>
      <w:sz w:val="20"/>
      <w:szCs w:val="20"/>
    </w:rPr>
  </w:style>
  <w:style w:type="paragraph" w:styleId="28">
    <w:name w:val="Plain Text"/>
    <w:basedOn w:val="1"/>
    <w:next w:val="1"/>
    <w:link w:val="79"/>
    <w:qFormat/>
    <w:uiPriority w:val="0"/>
    <w:pPr>
      <w:autoSpaceDE/>
      <w:autoSpaceDN/>
      <w:adjustRightInd/>
      <w:jc w:val="both"/>
    </w:pPr>
    <w:rPr>
      <w:rFonts w:hAnsi="Courier New"/>
      <w:kern w:val="2"/>
      <w:sz w:val="21"/>
      <w:szCs w:val="20"/>
    </w:rPr>
  </w:style>
  <w:style w:type="paragraph" w:styleId="29">
    <w:name w:val="toc 8"/>
    <w:basedOn w:val="1"/>
    <w:next w:val="1"/>
    <w:qFormat/>
    <w:uiPriority w:val="0"/>
    <w:pPr>
      <w:ind w:left="1680"/>
    </w:pPr>
    <w:rPr>
      <w:rFonts w:ascii="Calibri" w:cs="Calibri"/>
      <w:sz w:val="18"/>
      <w:szCs w:val="18"/>
    </w:rPr>
  </w:style>
  <w:style w:type="paragraph" w:styleId="30">
    <w:name w:val="Date"/>
    <w:basedOn w:val="1"/>
    <w:next w:val="1"/>
    <w:qFormat/>
    <w:uiPriority w:val="0"/>
    <w:pPr>
      <w:ind w:left="100" w:leftChars="2500"/>
    </w:pPr>
    <w:rPr>
      <w:b/>
      <w:bCs/>
      <w:kern w:val="2"/>
      <w:sz w:val="21"/>
      <w:szCs w:val="21"/>
      <w:lang w:val="zh-CN"/>
    </w:rPr>
  </w:style>
  <w:style w:type="paragraph" w:styleId="31">
    <w:name w:val="Body Text Indent 2"/>
    <w:basedOn w:val="1"/>
    <w:qFormat/>
    <w:uiPriority w:val="0"/>
    <w:pPr>
      <w:tabs>
        <w:tab w:val="left" w:pos="8640"/>
      </w:tabs>
      <w:autoSpaceDE/>
      <w:autoSpaceDN/>
      <w:adjustRightInd/>
      <w:ind w:left="1260"/>
      <w:jc w:val="both"/>
    </w:pPr>
    <w:rPr>
      <w:kern w:val="2"/>
      <w:sz w:val="21"/>
      <w:szCs w:val="20"/>
    </w:rPr>
  </w:style>
  <w:style w:type="paragraph" w:styleId="32">
    <w:name w:val="Balloon Text"/>
    <w:basedOn w:val="1"/>
    <w:qFormat/>
    <w:uiPriority w:val="0"/>
    <w:pPr>
      <w:autoSpaceDE/>
      <w:autoSpaceDN/>
      <w:adjustRightInd/>
      <w:jc w:val="both"/>
    </w:pPr>
    <w:rPr>
      <w:rFonts w:ascii="Times New Roman"/>
      <w:kern w:val="2"/>
      <w:sz w:val="18"/>
      <w:szCs w:val="18"/>
    </w:rPr>
  </w:style>
  <w:style w:type="paragraph" w:styleId="33">
    <w:name w:val="footer"/>
    <w:basedOn w:val="1"/>
    <w:link w:val="92"/>
    <w:qFormat/>
    <w:uiPriority w:val="0"/>
    <w:pPr>
      <w:tabs>
        <w:tab w:val="center" w:pos="4153"/>
        <w:tab w:val="right" w:pos="8306"/>
      </w:tabs>
      <w:snapToGrid w:val="0"/>
    </w:pPr>
    <w:rPr>
      <w:rFonts w:hAnsi="Times New Roman"/>
      <w:sz w:val="18"/>
      <w:szCs w:val="18"/>
    </w:rPr>
  </w:style>
  <w:style w:type="paragraph" w:styleId="34">
    <w:name w:val="header"/>
    <w:basedOn w:val="1"/>
    <w:link w:val="88"/>
    <w:qFormat/>
    <w:uiPriority w:val="0"/>
    <w:pPr>
      <w:pBdr>
        <w:bottom w:val="single" w:color="auto" w:sz="6" w:space="1"/>
      </w:pBdr>
      <w:tabs>
        <w:tab w:val="center" w:pos="4153"/>
        <w:tab w:val="right" w:pos="8306"/>
      </w:tabs>
      <w:snapToGrid w:val="0"/>
      <w:jc w:val="center"/>
    </w:pPr>
    <w:rPr>
      <w:sz w:val="18"/>
      <w:szCs w:val="18"/>
    </w:rPr>
  </w:style>
  <w:style w:type="paragraph" w:styleId="35">
    <w:name w:val="toc 1"/>
    <w:basedOn w:val="1"/>
    <w:next w:val="1"/>
    <w:qFormat/>
    <w:uiPriority w:val="0"/>
    <w:pPr>
      <w:spacing w:before="120" w:after="120"/>
    </w:pPr>
    <w:rPr>
      <w:rFonts w:ascii="Calibri" w:cs="Calibri"/>
      <w:b/>
      <w:bCs/>
      <w:caps/>
      <w:sz w:val="20"/>
      <w:szCs w:val="20"/>
    </w:rPr>
  </w:style>
  <w:style w:type="paragraph" w:styleId="36">
    <w:name w:val="toc 4"/>
    <w:basedOn w:val="1"/>
    <w:next w:val="1"/>
    <w:qFormat/>
    <w:uiPriority w:val="0"/>
    <w:pPr>
      <w:ind w:left="720"/>
    </w:pPr>
    <w:rPr>
      <w:rFonts w:ascii="Calibri" w:cs="Calibri"/>
      <w:sz w:val="18"/>
      <w:szCs w:val="18"/>
    </w:rPr>
  </w:style>
  <w:style w:type="paragraph" w:styleId="37">
    <w:name w:val="index heading"/>
    <w:basedOn w:val="1"/>
    <w:next w:val="38"/>
    <w:qFormat/>
    <w:uiPriority w:val="0"/>
    <w:pPr>
      <w:autoSpaceDE/>
      <w:autoSpaceDN/>
      <w:adjustRightInd/>
      <w:jc w:val="both"/>
    </w:pPr>
    <w:rPr>
      <w:rFonts w:ascii="Times New Roman"/>
      <w:kern w:val="2"/>
      <w:sz w:val="21"/>
      <w:szCs w:val="20"/>
    </w:rPr>
  </w:style>
  <w:style w:type="paragraph" w:styleId="38">
    <w:name w:val="index 1"/>
    <w:basedOn w:val="1"/>
    <w:next w:val="1"/>
    <w:qFormat/>
    <w:uiPriority w:val="0"/>
    <w:pPr>
      <w:autoSpaceDE/>
      <w:autoSpaceDN/>
      <w:adjustRightInd/>
      <w:ind w:left="540" w:leftChars="257"/>
      <w:jc w:val="both"/>
    </w:pPr>
    <w:rPr>
      <w:rFonts w:ascii="Arial" w:hAnsi="Arial" w:cs="Arial"/>
      <w:kern w:val="2"/>
      <w:sz w:val="21"/>
    </w:rPr>
  </w:style>
  <w:style w:type="paragraph" w:styleId="39">
    <w:name w:val="Subtitle"/>
    <w:basedOn w:val="1"/>
    <w:link w:val="91"/>
    <w:qFormat/>
    <w:uiPriority w:val="0"/>
    <w:pPr>
      <w:autoSpaceDE/>
      <w:autoSpaceDN/>
      <w:adjustRightInd/>
      <w:spacing w:before="240" w:after="60" w:line="312" w:lineRule="auto"/>
      <w:jc w:val="center"/>
      <w:outlineLvl w:val="1"/>
    </w:pPr>
    <w:rPr>
      <w:rFonts w:ascii="Arial" w:hAnsi="Arial"/>
      <w:b/>
      <w:kern w:val="28"/>
      <w:sz w:val="32"/>
      <w:szCs w:val="20"/>
    </w:rPr>
  </w:style>
  <w:style w:type="paragraph" w:styleId="40">
    <w:name w:val="toc 6"/>
    <w:basedOn w:val="1"/>
    <w:next w:val="1"/>
    <w:qFormat/>
    <w:uiPriority w:val="0"/>
    <w:pPr>
      <w:ind w:left="1200"/>
    </w:pPr>
    <w:rPr>
      <w:rFonts w:ascii="Calibri" w:cs="Calibri"/>
      <w:sz w:val="18"/>
      <w:szCs w:val="18"/>
    </w:rPr>
  </w:style>
  <w:style w:type="paragraph" w:styleId="41">
    <w:name w:val="Body Text Indent 3"/>
    <w:basedOn w:val="1"/>
    <w:qFormat/>
    <w:uiPriority w:val="0"/>
    <w:pPr>
      <w:spacing w:line="360" w:lineRule="auto"/>
      <w:ind w:firstLine="480" w:firstLineChars="200"/>
    </w:pPr>
  </w:style>
  <w:style w:type="paragraph" w:styleId="42">
    <w:name w:val="toc 2"/>
    <w:basedOn w:val="1"/>
    <w:next w:val="1"/>
    <w:qFormat/>
    <w:uiPriority w:val="0"/>
    <w:pPr>
      <w:ind w:left="240"/>
    </w:pPr>
    <w:rPr>
      <w:rFonts w:ascii="Calibri" w:cs="Calibri"/>
      <w:smallCaps/>
      <w:sz w:val="20"/>
      <w:szCs w:val="20"/>
    </w:rPr>
  </w:style>
  <w:style w:type="paragraph" w:styleId="43">
    <w:name w:val="toc 9"/>
    <w:basedOn w:val="1"/>
    <w:next w:val="1"/>
    <w:qFormat/>
    <w:uiPriority w:val="0"/>
    <w:pPr>
      <w:ind w:left="1920"/>
    </w:pPr>
    <w:rPr>
      <w:rFonts w:ascii="Calibri" w:cs="Calibri"/>
      <w:sz w:val="18"/>
      <w:szCs w:val="18"/>
    </w:rPr>
  </w:style>
  <w:style w:type="paragraph" w:styleId="44">
    <w:name w:val="Body Text 2"/>
    <w:basedOn w:val="1"/>
    <w:qFormat/>
    <w:uiPriority w:val="0"/>
    <w:pPr>
      <w:tabs>
        <w:tab w:val="left" w:pos="0"/>
      </w:tabs>
      <w:autoSpaceDE/>
      <w:autoSpaceDN/>
      <w:adjustRightInd/>
      <w:spacing w:line="400" w:lineRule="atLeast"/>
      <w:jc w:val="both"/>
    </w:pPr>
    <w:rPr>
      <w:rFonts w:ascii="Arial" w:hAnsi="Arial"/>
      <w:color w:val="000000"/>
      <w:kern w:val="2"/>
      <w:sz w:val="21"/>
    </w:rPr>
  </w:style>
  <w:style w:type="paragraph" w:styleId="45">
    <w:name w:val="List 4"/>
    <w:basedOn w:val="1"/>
    <w:qFormat/>
    <w:uiPriority w:val="0"/>
    <w:pPr>
      <w:tabs>
        <w:tab w:val="left" w:pos="750"/>
      </w:tabs>
      <w:autoSpaceDE/>
      <w:autoSpaceDN/>
      <w:adjustRightInd/>
      <w:ind w:left="750" w:hanging="750"/>
      <w:jc w:val="both"/>
    </w:pPr>
    <w:rPr>
      <w:rFonts w:ascii="Times New Roman" w:hAnsi="Times New Roman" w:cs="Times New Roman"/>
      <w:b/>
      <w:kern w:val="2"/>
      <w:sz w:val="21"/>
      <w:szCs w:val="20"/>
    </w:rPr>
  </w:style>
  <w:style w:type="paragraph" w:styleId="46">
    <w:name w:val="HTML Preformatted"/>
    <w:basedOn w:val="1"/>
    <w:link w:val="89"/>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spacing w:line="380" w:lineRule="exact"/>
    </w:pPr>
    <w:rPr>
      <w:rFonts w:ascii="Arial" w:hAnsi="Arial" w:cs="Arial"/>
      <w:sz w:val="21"/>
      <w:szCs w:val="21"/>
    </w:rPr>
  </w:style>
  <w:style w:type="paragraph" w:styleId="47">
    <w:name w:val="Normal (Web)"/>
    <w:basedOn w:val="1"/>
    <w:qFormat/>
    <w:uiPriority w:val="0"/>
    <w:pPr>
      <w:widowControl/>
      <w:autoSpaceDE/>
      <w:autoSpaceDN/>
      <w:adjustRightInd/>
      <w:spacing w:before="100" w:beforeAutospacing="1" w:after="100" w:afterAutospacing="1"/>
    </w:pPr>
    <w:rPr>
      <w:rFonts w:hAnsi="宋体"/>
      <w:sz w:val="15"/>
      <w:szCs w:val="15"/>
    </w:rPr>
  </w:style>
  <w:style w:type="paragraph" w:styleId="48">
    <w:name w:val="Title"/>
    <w:basedOn w:val="1"/>
    <w:next w:val="1"/>
    <w:qFormat/>
    <w:uiPriority w:val="0"/>
    <w:pPr>
      <w:numPr>
        <w:ilvl w:val="0"/>
        <w:numId w:val="4"/>
      </w:numPr>
      <w:tabs>
        <w:tab w:val="clear" w:pos="2121"/>
      </w:tabs>
      <w:autoSpaceDE/>
      <w:autoSpaceDN/>
      <w:snapToGrid w:val="0"/>
      <w:spacing w:beforeLines="50" w:afterLines="50"/>
      <w:ind w:left="0" w:firstLine="0"/>
      <w:jc w:val="center"/>
      <w:outlineLvl w:val="0"/>
    </w:pPr>
    <w:rPr>
      <w:rFonts w:ascii="Arial" w:hAnsi="Arial" w:cs="Arial"/>
      <w:b/>
      <w:bCs/>
      <w:kern w:val="2"/>
      <w:sz w:val="52"/>
      <w:szCs w:val="32"/>
    </w:rPr>
  </w:style>
  <w:style w:type="paragraph" w:styleId="49">
    <w:name w:val="annotation subject"/>
    <w:basedOn w:val="18"/>
    <w:next w:val="18"/>
    <w:qFormat/>
    <w:uiPriority w:val="0"/>
    <w:rPr>
      <w:b/>
      <w:bCs/>
    </w:rPr>
  </w:style>
  <w:style w:type="paragraph" w:styleId="50">
    <w:name w:val="Body Text First Indent"/>
    <w:basedOn w:val="20"/>
    <w:next w:val="51"/>
    <w:qFormat/>
    <w:uiPriority w:val="0"/>
    <w:pPr>
      <w:widowControl/>
      <w:autoSpaceDE/>
      <w:autoSpaceDN/>
      <w:adjustRightInd/>
      <w:spacing w:after="120"/>
      <w:ind w:right="0" w:firstLine="420" w:firstLineChars="100"/>
      <w:jc w:val="left"/>
    </w:pPr>
    <w:rPr>
      <w:rFonts w:ascii="Times New Roman"/>
      <w:b w:val="0"/>
      <w:bCs w:val="0"/>
      <w:kern w:val="0"/>
      <w:sz w:val="21"/>
      <w:szCs w:val="20"/>
      <w:lang w:val="en-US"/>
    </w:rPr>
  </w:style>
  <w:style w:type="paragraph" w:customStyle="1" w:styleId="51">
    <w:name w:val="样式 正文首行缩进 + 首行缩进:  1 字符"/>
    <w:basedOn w:val="1"/>
    <w:next w:val="1"/>
    <w:qFormat/>
    <w:uiPriority w:val="0"/>
    <w:pPr>
      <w:ind w:firstLine="200" w:firstLineChars="200"/>
    </w:pPr>
    <w:rPr>
      <w:rFonts w:cs="宋体"/>
      <w:szCs w:val="20"/>
    </w:rPr>
  </w:style>
  <w:style w:type="paragraph" w:styleId="52">
    <w:name w:val="Body Text First Indent 2"/>
    <w:basedOn w:val="21"/>
    <w:semiHidden/>
    <w:unhideWhenUsed/>
    <w:qFormat/>
    <w:uiPriority w:val="99"/>
    <w:pPr>
      <w:ind w:firstLine="420" w:firstLineChars="200"/>
    </w:pPr>
  </w:style>
  <w:style w:type="table" w:styleId="54">
    <w:name w:val="Table Grid"/>
    <w:basedOn w:val="5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6">
    <w:name w:val="Strong"/>
    <w:qFormat/>
    <w:uiPriority w:val="0"/>
    <w:rPr>
      <w:b/>
      <w:bCs/>
    </w:rPr>
  </w:style>
  <w:style w:type="character" w:styleId="57">
    <w:name w:val="page number"/>
    <w:basedOn w:val="55"/>
    <w:qFormat/>
    <w:uiPriority w:val="0"/>
  </w:style>
  <w:style w:type="character" w:styleId="58">
    <w:name w:val="FollowedHyperlink"/>
    <w:qFormat/>
    <w:uiPriority w:val="0"/>
    <w:rPr>
      <w:color w:val="333333"/>
      <w:u w:val="none"/>
    </w:rPr>
  </w:style>
  <w:style w:type="character" w:styleId="59">
    <w:name w:val="Emphasis"/>
    <w:qFormat/>
    <w:uiPriority w:val="0"/>
    <w:rPr>
      <w:i/>
      <w:iCs/>
    </w:rPr>
  </w:style>
  <w:style w:type="character" w:styleId="60">
    <w:name w:val="Hyperlink"/>
    <w:qFormat/>
    <w:uiPriority w:val="0"/>
    <w:rPr>
      <w:color w:val="333333"/>
      <w:u w:val="none"/>
    </w:rPr>
  </w:style>
  <w:style w:type="character" w:styleId="61">
    <w:name w:val="annotation reference"/>
    <w:basedOn w:val="55"/>
    <w:qFormat/>
    <w:uiPriority w:val="0"/>
    <w:rPr>
      <w:sz w:val="21"/>
      <w:szCs w:val="21"/>
    </w:rPr>
  </w:style>
  <w:style w:type="paragraph" w:customStyle="1" w:styleId="62">
    <w:name w:val="表格文字"/>
    <w:basedOn w:val="1"/>
    <w:qFormat/>
    <w:uiPriority w:val="0"/>
    <w:pPr>
      <w:autoSpaceDE/>
      <w:autoSpaceDN/>
      <w:adjustRightInd/>
      <w:spacing w:before="25" w:after="25"/>
    </w:pPr>
    <w:rPr>
      <w:rFonts w:ascii="Times New Roman"/>
      <w:bCs/>
      <w:spacing w:val="10"/>
      <w:szCs w:val="20"/>
    </w:rPr>
  </w:style>
  <w:style w:type="paragraph" w:customStyle="1" w:styleId="63">
    <w:name w:val="Default"/>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 w:type="paragraph" w:customStyle="1" w:styleId="64">
    <w:name w:val="首行缩进"/>
    <w:basedOn w:val="1"/>
    <w:qFormat/>
    <w:uiPriority w:val="0"/>
    <w:pPr>
      <w:ind w:firstLine="480" w:firstLineChars="200"/>
    </w:pPr>
    <w:rPr>
      <w:lang w:val="zh-CN"/>
    </w:rPr>
  </w:style>
  <w:style w:type="character" w:customStyle="1" w:styleId="65">
    <w:name w:val="s1"/>
    <w:qFormat/>
    <w:uiPriority w:val="0"/>
    <w:rPr>
      <w:rFonts w:ascii="Helvetica" w:hAnsi="Helvetica" w:eastAsia="Helvetica" w:cs="Helvetica"/>
      <w:sz w:val="24"/>
      <w:szCs w:val="24"/>
    </w:rPr>
  </w:style>
  <w:style w:type="character" w:customStyle="1" w:styleId="66">
    <w:name w:val="keyfeatures1"/>
    <w:qFormat/>
    <w:uiPriority w:val="0"/>
    <w:rPr>
      <w:rFonts w:hint="default" w:ascii="Arial" w:hAnsi="Arial" w:cs="Arial"/>
      <w:color w:val="003366"/>
      <w:sz w:val="17"/>
      <w:szCs w:val="17"/>
      <w:u w:val="none"/>
    </w:rPr>
  </w:style>
  <w:style w:type="character" w:customStyle="1" w:styleId="67">
    <w:name w:val="小 Char"/>
    <w:qFormat/>
    <w:uiPriority w:val="0"/>
    <w:rPr>
      <w:rFonts w:ascii="宋体" w:hAnsi="Courier New" w:eastAsia="宋体" w:cs="Times New Roman"/>
      <w:kern w:val="2"/>
      <w:sz w:val="21"/>
      <w:lang w:val="en-US" w:eastAsia="zh-CN" w:bidi="ar-SA"/>
    </w:rPr>
  </w:style>
  <w:style w:type="character" w:customStyle="1" w:styleId="68">
    <w:name w:val="纯文本 Char Char"/>
    <w:qFormat/>
    <w:uiPriority w:val="0"/>
    <w:rPr>
      <w:rFonts w:ascii="宋体" w:hAnsi="Courier New" w:eastAsia="宋体"/>
      <w:kern w:val="2"/>
      <w:sz w:val="21"/>
      <w:lang w:val="en-US" w:eastAsia="zh-CN" w:bidi="ar-SA"/>
    </w:rPr>
  </w:style>
  <w:style w:type="character" w:customStyle="1" w:styleId="69">
    <w:name w:val="meuncn1"/>
    <w:qFormat/>
    <w:uiPriority w:val="0"/>
    <w:rPr>
      <w:rFonts w:hint="eastAsia" w:ascii="宋体" w:hAnsi="宋体" w:eastAsia="宋体"/>
      <w:color w:val="666666"/>
      <w:sz w:val="18"/>
      <w:u w:val="none"/>
    </w:rPr>
  </w:style>
  <w:style w:type="character" w:customStyle="1" w:styleId="70">
    <w:name w:val="标题 3.1 Char Char"/>
    <w:link w:val="71"/>
    <w:qFormat/>
    <w:uiPriority w:val="0"/>
    <w:rPr>
      <w:rFonts w:ascii="宋体" w:hAnsi="宋体"/>
      <w:b/>
      <w:bCs/>
      <w:kern w:val="2"/>
      <w:sz w:val="32"/>
      <w:szCs w:val="32"/>
    </w:rPr>
  </w:style>
  <w:style w:type="paragraph" w:customStyle="1" w:styleId="71">
    <w:name w:val="标题 3.1"/>
    <w:basedOn w:val="4"/>
    <w:link w:val="70"/>
    <w:qFormat/>
    <w:uiPriority w:val="0"/>
    <w:pPr>
      <w:keepNext/>
      <w:keepLines/>
      <w:tabs>
        <w:tab w:val="left" w:pos="1440"/>
        <w:tab w:val="left" w:pos="1620"/>
      </w:tabs>
      <w:autoSpaceDE/>
      <w:autoSpaceDN/>
      <w:adjustRightInd/>
      <w:spacing w:before="260" w:after="260" w:line="600" w:lineRule="exact"/>
      <w:jc w:val="both"/>
    </w:pPr>
    <w:rPr>
      <w:rFonts w:hAnsi="宋体"/>
      <w:b/>
      <w:bCs/>
      <w:kern w:val="2"/>
      <w:sz w:val="32"/>
      <w:szCs w:val="32"/>
    </w:rPr>
  </w:style>
  <w:style w:type="character" w:customStyle="1" w:styleId="72">
    <w:name w:val="标题 1 字符"/>
    <w:link w:val="2"/>
    <w:qFormat/>
    <w:uiPriority w:val="0"/>
  </w:style>
  <w:style w:type="character" w:customStyle="1" w:styleId="73">
    <w:name w:val="HTML Markup"/>
    <w:qFormat/>
    <w:uiPriority w:val="0"/>
    <w:rPr>
      <w:rFonts w:ascii="Times New Roman" w:hAnsi="Times New Roman" w:eastAsia="宋体" w:cs="Times New Roman"/>
      <w:vanish/>
      <w:color w:val="FF0000"/>
    </w:rPr>
  </w:style>
  <w:style w:type="character" w:customStyle="1" w:styleId="74">
    <w:name w:val="页脚 Char Char"/>
    <w:qFormat/>
    <w:uiPriority w:val="0"/>
    <w:rPr>
      <w:rFonts w:ascii="宋体"/>
      <w:sz w:val="18"/>
      <w:szCs w:val="18"/>
    </w:rPr>
  </w:style>
  <w:style w:type="character" w:customStyle="1" w:styleId="75">
    <w:name w:val="p105"/>
    <w:basedOn w:val="55"/>
    <w:qFormat/>
    <w:uiPriority w:val="0"/>
  </w:style>
  <w:style w:type="character" w:customStyle="1" w:styleId="76">
    <w:name w:val="正文缩进2格 Char Char"/>
    <w:link w:val="77"/>
    <w:qFormat/>
    <w:uiPriority w:val="0"/>
    <w:rPr>
      <w:rFonts w:ascii="仿宋_GB2312" w:hAnsi="宋体" w:eastAsia="仿宋_GB2312"/>
      <w:kern w:val="2"/>
      <w:sz w:val="31"/>
      <w:szCs w:val="28"/>
      <w:lang w:val="en-US" w:eastAsia="zh-CN" w:bidi="ar-SA"/>
    </w:rPr>
  </w:style>
  <w:style w:type="paragraph" w:customStyle="1" w:styleId="77">
    <w:name w:val="正文缩进2格"/>
    <w:basedOn w:val="1"/>
    <w:link w:val="76"/>
    <w:qFormat/>
    <w:uiPriority w:val="0"/>
    <w:pPr>
      <w:autoSpaceDE/>
      <w:autoSpaceDN/>
      <w:adjustRightInd/>
      <w:spacing w:line="600" w:lineRule="exact"/>
      <w:ind w:firstLine="639" w:firstLineChars="206"/>
      <w:jc w:val="both"/>
    </w:pPr>
    <w:rPr>
      <w:rFonts w:ascii="仿宋_GB2312" w:hAnsi="宋体" w:eastAsia="仿宋_GB2312"/>
      <w:kern w:val="2"/>
      <w:sz w:val="31"/>
      <w:szCs w:val="28"/>
    </w:rPr>
  </w:style>
  <w:style w:type="character" w:customStyle="1" w:styleId="78">
    <w:name w:val="正文缩进 字符"/>
    <w:link w:val="12"/>
    <w:qFormat/>
    <w:uiPriority w:val="0"/>
    <w:rPr>
      <w:rFonts w:eastAsia="宋体"/>
      <w:lang w:val="en-US" w:eastAsia="zh-CN" w:bidi="ar-SA"/>
    </w:rPr>
  </w:style>
  <w:style w:type="character" w:customStyle="1" w:styleId="79">
    <w:name w:val="纯文本 字符"/>
    <w:link w:val="28"/>
    <w:qFormat/>
    <w:uiPriority w:val="0"/>
    <w:rPr>
      <w:rFonts w:ascii="宋体" w:hAnsi="Courier New" w:eastAsia="宋体" w:cs="Times New Roman"/>
      <w:kern w:val="2"/>
      <w:sz w:val="21"/>
      <w:lang w:val="en-US" w:eastAsia="zh-CN" w:bidi="ar-SA"/>
    </w:rPr>
  </w:style>
  <w:style w:type="character" w:customStyle="1" w:styleId="80">
    <w:name w:val="font01"/>
    <w:qFormat/>
    <w:uiPriority w:val="0"/>
    <w:rPr>
      <w:rFonts w:hint="eastAsia" w:ascii="宋体" w:hAnsi="宋体" w:eastAsia="宋体" w:cs="宋体"/>
      <w:color w:val="000000"/>
      <w:sz w:val="24"/>
      <w:szCs w:val="24"/>
      <w:u w:val="none"/>
    </w:rPr>
  </w:style>
  <w:style w:type="character" w:customStyle="1" w:styleId="81">
    <w:name w:val="wctjfont1"/>
    <w:qFormat/>
    <w:uiPriority w:val="0"/>
    <w:rPr>
      <w:sz w:val="18"/>
    </w:rPr>
  </w:style>
  <w:style w:type="character" w:customStyle="1" w:styleId="82">
    <w:name w:val="bold1"/>
    <w:qFormat/>
    <w:uiPriority w:val="0"/>
    <w:rPr>
      <w:sz w:val="32"/>
    </w:rPr>
  </w:style>
  <w:style w:type="character" w:customStyle="1" w:styleId="83">
    <w:name w:val="正文文本 字符"/>
    <w:link w:val="20"/>
    <w:qFormat/>
    <w:uiPriority w:val="0"/>
    <w:rPr>
      <w:rFonts w:ascii="宋体" w:hAnsi="Times New Roman" w:eastAsia="宋体" w:cs="Times New Roman"/>
      <w:b/>
      <w:bCs/>
      <w:kern w:val="2"/>
      <w:sz w:val="84"/>
      <w:szCs w:val="84"/>
      <w:lang w:val="zh-CN" w:eastAsia="zh-CN" w:bidi="ar-SA"/>
    </w:rPr>
  </w:style>
  <w:style w:type="character" w:customStyle="1" w:styleId="84">
    <w:name w:val="DAS正文 Char Char"/>
    <w:qFormat/>
    <w:uiPriority w:val="0"/>
    <w:rPr>
      <w:rFonts w:ascii="Verdana" w:hAnsi="Verdana" w:eastAsia="宋体"/>
      <w:kern w:val="2"/>
      <w:sz w:val="21"/>
      <w:szCs w:val="21"/>
      <w:lang w:val="en-US" w:eastAsia="zh-CN" w:bidi="ar-SA"/>
    </w:rPr>
  </w:style>
  <w:style w:type="character" w:customStyle="1" w:styleId="85">
    <w:name w:val="Highlighted Variable"/>
    <w:qFormat/>
    <w:uiPriority w:val="0"/>
    <w:rPr>
      <w:color w:val="000000"/>
    </w:rPr>
  </w:style>
  <w:style w:type="character" w:customStyle="1" w:styleId="86">
    <w:name w:val="neir1"/>
    <w:qFormat/>
    <w:uiPriority w:val="0"/>
    <w:rPr>
      <w:rFonts w:hint="default" w:ascii="ˎ̥" w:hAnsi="ˎ̥" w:eastAsia="宋体" w:cs="Times New Roman"/>
      <w:color w:val="333333"/>
      <w:sz w:val="21"/>
      <w:szCs w:val="21"/>
      <w:u w:val="none"/>
    </w:rPr>
  </w:style>
  <w:style w:type="character" w:customStyle="1" w:styleId="87">
    <w:name w:val="style61"/>
    <w:qFormat/>
    <w:uiPriority w:val="0"/>
    <w:rPr>
      <w:b/>
      <w:bCs/>
    </w:rPr>
  </w:style>
  <w:style w:type="character" w:customStyle="1" w:styleId="88">
    <w:name w:val="页眉 字符"/>
    <w:link w:val="34"/>
    <w:qFormat/>
    <w:uiPriority w:val="0"/>
    <w:rPr>
      <w:rFonts w:ascii="宋体"/>
      <w:sz w:val="18"/>
      <w:szCs w:val="18"/>
    </w:rPr>
  </w:style>
  <w:style w:type="character" w:customStyle="1" w:styleId="89">
    <w:name w:val="HTML 预设格式 字符"/>
    <w:link w:val="46"/>
    <w:qFormat/>
    <w:uiPriority w:val="0"/>
    <w:rPr>
      <w:rFonts w:ascii="Arial" w:hAnsi="Arial" w:eastAsia="宋体" w:cs="Arial"/>
      <w:sz w:val="21"/>
      <w:szCs w:val="21"/>
      <w:lang w:val="en-US" w:eastAsia="zh-CN" w:bidi="ar-SA"/>
    </w:rPr>
  </w:style>
  <w:style w:type="character" w:customStyle="1" w:styleId="90">
    <w:name w:val="f141"/>
    <w:qFormat/>
    <w:uiPriority w:val="0"/>
    <w:rPr>
      <w:sz w:val="21"/>
      <w:szCs w:val="21"/>
    </w:rPr>
  </w:style>
  <w:style w:type="character" w:customStyle="1" w:styleId="91">
    <w:name w:val="副标题 字符"/>
    <w:link w:val="39"/>
    <w:qFormat/>
    <w:uiPriority w:val="0"/>
    <w:rPr>
      <w:rFonts w:ascii="Arial" w:hAnsi="Arial"/>
      <w:b/>
      <w:kern w:val="28"/>
      <w:sz w:val="32"/>
    </w:rPr>
  </w:style>
  <w:style w:type="character" w:customStyle="1" w:styleId="92">
    <w:name w:val="页脚 字符"/>
    <w:link w:val="33"/>
    <w:qFormat/>
    <w:uiPriority w:val="0"/>
    <w:rPr>
      <w:rFonts w:ascii="宋体" w:hAnsi="Times New Roman" w:eastAsia="宋体" w:cs="Times New Roman"/>
      <w:sz w:val="18"/>
      <w:szCs w:val="18"/>
      <w:lang w:val="en-US" w:eastAsia="zh-CN" w:bidi="ar-SA"/>
    </w:rPr>
  </w:style>
  <w:style w:type="paragraph" w:customStyle="1" w:styleId="93">
    <w:name w:val="技术响应2"/>
    <w:basedOn w:val="1"/>
    <w:qFormat/>
    <w:uiPriority w:val="0"/>
    <w:pPr>
      <w:numPr>
        <w:ilvl w:val="0"/>
        <w:numId w:val="5"/>
      </w:numPr>
      <w:autoSpaceDE/>
      <w:autoSpaceDN/>
      <w:adjustRightInd/>
      <w:jc w:val="both"/>
    </w:pPr>
    <w:rPr>
      <w:rFonts w:hAnsi="宋体"/>
      <w:b/>
      <w:bCs/>
      <w:kern w:val="2"/>
      <w:sz w:val="21"/>
      <w:szCs w:val="20"/>
    </w:rPr>
  </w:style>
  <w:style w:type="paragraph" w:customStyle="1" w:styleId="94">
    <w:name w:val="Bullet"/>
    <w:basedOn w:val="1"/>
    <w:qFormat/>
    <w:uiPriority w:val="0"/>
    <w:pPr>
      <w:numPr>
        <w:ilvl w:val="0"/>
        <w:numId w:val="6"/>
      </w:numPr>
      <w:autoSpaceDE/>
      <w:autoSpaceDN/>
      <w:adjustRightInd/>
      <w:spacing w:line="360" w:lineRule="exact"/>
      <w:jc w:val="both"/>
    </w:pPr>
    <w:rPr>
      <w:rFonts w:ascii="Times New Roman"/>
      <w:kern w:val="2"/>
      <w:szCs w:val="20"/>
    </w:rPr>
  </w:style>
  <w:style w:type="paragraph" w:customStyle="1" w:styleId="95">
    <w:name w:val="普通 (Web)"/>
    <w:basedOn w:val="1"/>
    <w:qFormat/>
    <w:uiPriority w:val="0"/>
    <w:pPr>
      <w:widowControl/>
      <w:autoSpaceDE/>
      <w:autoSpaceDN/>
      <w:adjustRightInd/>
      <w:spacing w:before="100" w:beforeAutospacing="1" w:after="100" w:afterAutospacing="1"/>
    </w:pPr>
    <w:rPr>
      <w:rFonts w:hAnsi="宋体"/>
    </w:rPr>
  </w:style>
  <w:style w:type="paragraph" w:customStyle="1" w:styleId="96">
    <w:name w:val="正文楷 Char"/>
    <w:basedOn w:val="1"/>
    <w:qFormat/>
    <w:uiPriority w:val="0"/>
    <w:pPr>
      <w:autoSpaceDE/>
      <w:autoSpaceDN/>
      <w:adjustRightInd/>
      <w:spacing w:line="500" w:lineRule="exact"/>
      <w:ind w:firstLine="560" w:firstLineChars="200"/>
      <w:jc w:val="both"/>
    </w:pPr>
    <w:rPr>
      <w:rFonts w:ascii="楷体_GB2312" w:hAnsi="楷体_GB2312" w:eastAsia="楷体_GB2312"/>
      <w:kern w:val="2"/>
      <w:sz w:val="28"/>
      <w:szCs w:val="20"/>
    </w:rPr>
  </w:style>
  <w:style w:type="paragraph" w:customStyle="1" w:styleId="97">
    <w:name w:val="Char Char Char Char Char Char1 Char"/>
    <w:basedOn w:val="1"/>
    <w:qFormat/>
    <w:uiPriority w:val="0"/>
    <w:pPr>
      <w:widowControl/>
      <w:autoSpaceDE/>
      <w:autoSpaceDN/>
      <w:adjustRightInd/>
      <w:spacing w:after="160" w:line="240" w:lineRule="exact"/>
    </w:pPr>
    <w:rPr>
      <w:rFonts w:ascii="Arial" w:hAnsi="Arial" w:eastAsia="楷体_GB2312" w:cs="Verdana"/>
      <w:b/>
      <w:lang w:eastAsia="en-US"/>
    </w:rPr>
  </w:style>
  <w:style w:type="paragraph" w:customStyle="1" w:styleId="98">
    <w:name w:val="样式 我的标题 + 两端对齐"/>
    <w:basedOn w:val="2"/>
    <w:qFormat/>
    <w:uiPriority w:val="0"/>
    <w:pPr>
      <w:keepNext/>
      <w:keepLines/>
      <w:autoSpaceDE/>
      <w:autoSpaceDN/>
      <w:adjustRightInd/>
      <w:spacing w:before="340" w:after="330" w:line="578" w:lineRule="auto"/>
      <w:jc w:val="center"/>
    </w:pPr>
    <w:rPr>
      <w:rFonts w:ascii="Times New Roman"/>
      <w:b/>
      <w:bCs/>
      <w:kern w:val="44"/>
      <w:sz w:val="32"/>
      <w:szCs w:val="20"/>
    </w:rPr>
  </w:style>
  <w:style w:type="paragraph" w:customStyle="1" w:styleId="99">
    <w:name w:val="默认段落字体 Para Char"/>
    <w:basedOn w:val="1"/>
    <w:qFormat/>
    <w:uiPriority w:val="0"/>
    <w:pPr>
      <w:autoSpaceDE/>
      <w:autoSpaceDN/>
      <w:spacing w:line="360" w:lineRule="auto"/>
      <w:jc w:val="both"/>
    </w:pPr>
    <w:rPr>
      <w:rFonts w:ascii="Times New Roman"/>
      <w:szCs w:val="20"/>
    </w:rPr>
  </w:style>
  <w:style w:type="paragraph" w:customStyle="1" w:styleId="100">
    <w:name w:val="Char Char Char Char"/>
    <w:basedOn w:val="1"/>
    <w:qFormat/>
    <w:uiPriority w:val="0"/>
    <w:pPr>
      <w:widowControl/>
      <w:autoSpaceDE/>
      <w:autoSpaceDN/>
      <w:adjustRightInd/>
      <w:spacing w:after="160" w:line="240" w:lineRule="exact"/>
    </w:pPr>
    <w:rPr>
      <w:rFonts w:ascii="Verdana" w:hAnsi="Verdana" w:eastAsia="仿宋_GB2312"/>
      <w:szCs w:val="20"/>
      <w:lang w:eastAsia="en-US"/>
    </w:rPr>
  </w:style>
  <w:style w:type="paragraph" w:customStyle="1" w:styleId="101">
    <w:name w:val="TOC 标题1"/>
    <w:basedOn w:val="2"/>
    <w:next w:val="1"/>
    <w:qFormat/>
    <w:uiPriority w:val="0"/>
    <w:pPr>
      <w:keepNext/>
      <w:keepLines/>
      <w:widowControl/>
      <w:autoSpaceDE/>
      <w:autoSpaceDN/>
      <w:adjustRightInd/>
      <w:spacing w:before="480" w:line="276" w:lineRule="auto"/>
      <w:outlineLvl w:val="9"/>
    </w:pPr>
    <w:rPr>
      <w:rFonts w:ascii="Cambria" w:hAnsi="Cambria" w:cs="Times New Roman"/>
      <w:b/>
      <w:bCs/>
      <w:color w:val="365F91"/>
      <w:sz w:val="28"/>
      <w:szCs w:val="28"/>
    </w:rPr>
  </w:style>
  <w:style w:type="paragraph" w:customStyle="1" w:styleId="102">
    <w:name w:val="_Style 3"/>
    <w:basedOn w:val="1"/>
    <w:qFormat/>
    <w:uiPriority w:val="0"/>
    <w:pPr>
      <w:adjustRightInd/>
      <w:ind w:firstLine="420" w:firstLineChars="200"/>
      <w:jc w:val="both"/>
    </w:pPr>
    <w:rPr>
      <w:rFonts w:ascii="Times New Roman" w:hAnsi="Times New Roman" w:cs="Times New Roman"/>
      <w:kern w:val="2"/>
      <w:sz w:val="21"/>
    </w:rPr>
  </w:style>
  <w:style w:type="paragraph" w:customStyle="1" w:styleId="103">
    <w:name w:val="需求书2"/>
    <w:basedOn w:val="1"/>
    <w:qFormat/>
    <w:uiPriority w:val="0"/>
    <w:pPr>
      <w:autoSpaceDE/>
      <w:autoSpaceDN/>
      <w:adjustRightInd/>
      <w:jc w:val="both"/>
    </w:pPr>
    <w:rPr>
      <w:rFonts w:hAnsi="宋体"/>
      <w:spacing w:val="10"/>
      <w:kern w:val="2"/>
      <w:sz w:val="18"/>
      <w:szCs w:val="20"/>
    </w:rPr>
  </w:style>
  <w:style w:type="paragraph" w:customStyle="1" w:styleId="104">
    <w:name w:val="Char Char Char Char1"/>
    <w:basedOn w:val="3"/>
    <w:qFormat/>
    <w:uiPriority w:val="0"/>
    <w:pPr>
      <w:keepNext/>
      <w:keepLines/>
      <w:pageBreakBefore/>
      <w:widowControl/>
      <w:numPr>
        <w:ilvl w:val="1"/>
        <w:numId w:val="7"/>
      </w:numPr>
      <w:autoSpaceDE/>
      <w:autoSpaceDN/>
      <w:adjustRightInd/>
      <w:spacing w:before="180" w:after="160" w:line="240" w:lineRule="exact"/>
    </w:pPr>
    <w:rPr>
      <w:rFonts w:ascii="Verdana" w:hAnsi="Verdana" w:eastAsia="黑体"/>
      <w:bCs/>
      <w:sz w:val="32"/>
      <w:szCs w:val="32"/>
      <w:lang w:eastAsia="en-US"/>
    </w:rPr>
  </w:style>
  <w:style w:type="paragraph" w:customStyle="1" w:styleId="105">
    <w:name w:val="Char1"/>
    <w:basedOn w:val="16"/>
    <w:qFormat/>
    <w:uiPriority w:val="0"/>
    <w:pPr>
      <w:autoSpaceDE/>
      <w:autoSpaceDN/>
      <w:adjustRightInd/>
      <w:jc w:val="both"/>
    </w:pPr>
    <w:rPr>
      <w:rFonts w:ascii="Tahoma" w:hAnsi="Tahoma"/>
      <w:kern w:val="2"/>
    </w:rPr>
  </w:style>
  <w:style w:type="paragraph" w:customStyle="1" w:styleId="106">
    <w:name w:val="xl39"/>
    <w:basedOn w:val="1"/>
    <w:qFormat/>
    <w:uiPriority w:val="0"/>
    <w:pPr>
      <w:widowControl/>
      <w:autoSpaceDE/>
      <w:autoSpaceDN/>
      <w:adjustRightInd/>
      <w:spacing w:before="100" w:beforeAutospacing="1" w:after="100" w:afterAutospacing="1"/>
    </w:pPr>
    <w:rPr>
      <w:rFonts w:ascii="Arial Unicode MS" w:hAnsi="Arial Unicode MS" w:eastAsia="Arial Unicode MS"/>
      <w:sz w:val="20"/>
      <w:szCs w:val="20"/>
    </w:rPr>
  </w:style>
  <w:style w:type="paragraph" w:customStyle="1" w:styleId="107">
    <w:name w:val="Blockquote"/>
    <w:basedOn w:val="1"/>
    <w:qFormat/>
    <w:uiPriority w:val="0"/>
    <w:pPr>
      <w:spacing w:before="100" w:after="100"/>
      <w:ind w:left="360" w:right="360"/>
    </w:pPr>
    <w:rPr>
      <w:rFonts w:ascii="Times New Roman" w:hAnsi="Times New Roman" w:cs="Times New Roman"/>
      <w:szCs w:val="20"/>
    </w:rPr>
  </w:style>
  <w:style w:type="paragraph" w:customStyle="1" w:styleId="108">
    <w:name w:val="样式 标题 2 + Times New Roman 四号 非加粗 段前: 5 磅 段后: 0 磅 行距: 固定值 20..."/>
    <w:basedOn w:val="3"/>
    <w:qFormat/>
    <w:uiPriority w:val="0"/>
    <w:pPr>
      <w:spacing w:before="100" w:line="400" w:lineRule="exact"/>
    </w:pPr>
    <w:rPr>
      <w:rFonts w:ascii="Times New Roman" w:hAnsi="Times New Roman"/>
      <w:b w:val="0"/>
      <w:sz w:val="28"/>
      <w:szCs w:val="20"/>
    </w:rPr>
  </w:style>
  <w:style w:type="paragraph" w:customStyle="1" w:styleId="109">
    <w:name w:val="Char"/>
    <w:basedOn w:val="1"/>
    <w:qFormat/>
    <w:uiPriority w:val="0"/>
    <w:pPr>
      <w:widowControl/>
      <w:autoSpaceDE/>
      <w:autoSpaceDN/>
      <w:adjustRightInd/>
      <w:spacing w:line="400" w:lineRule="exact"/>
      <w:jc w:val="center"/>
    </w:pPr>
    <w:rPr>
      <w:rFonts w:ascii="Times New Roman"/>
      <w:sz w:val="21"/>
      <w:szCs w:val="20"/>
    </w:rPr>
  </w:style>
  <w:style w:type="paragraph" w:customStyle="1" w:styleId="110">
    <w:name w:val="技术响应1"/>
    <w:basedOn w:val="1"/>
    <w:qFormat/>
    <w:uiPriority w:val="0"/>
    <w:pPr>
      <w:widowControl/>
      <w:autoSpaceDE/>
      <w:autoSpaceDN/>
      <w:adjustRightInd/>
      <w:spacing w:line="360" w:lineRule="auto"/>
      <w:ind w:firstLine="588"/>
      <w:jc w:val="center"/>
    </w:pPr>
    <w:rPr>
      <w:b/>
      <w:sz w:val="28"/>
      <w:szCs w:val="20"/>
    </w:rPr>
  </w:style>
  <w:style w:type="paragraph" w:customStyle="1" w:styleId="111">
    <w:name w:val="xl32"/>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ascii="Arial Unicode MS" w:hAnsi="Arial Unicode MS" w:eastAsia="Arial Unicode MS"/>
      <w:sz w:val="20"/>
      <w:szCs w:val="20"/>
    </w:rPr>
  </w:style>
  <w:style w:type="paragraph" w:customStyle="1" w:styleId="112">
    <w:name w:val="D标3"/>
    <w:basedOn w:val="4"/>
    <w:qFormat/>
    <w:uiPriority w:val="0"/>
    <w:pPr>
      <w:numPr>
        <w:ilvl w:val="0"/>
        <w:numId w:val="8"/>
      </w:numPr>
      <w:spacing w:before="120" w:line="480" w:lineRule="atLeast"/>
      <w:jc w:val="both"/>
    </w:pPr>
    <w:rPr>
      <w:rFonts w:ascii="Times New Roman" w:hAnsi="Times New Roman" w:cs="Times New Roman"/>
      <w:szCs w:val="20"/>
    </w:rPr>
  </w:style>
  <w:style w:type="paragraph" w:customStyle="1" w:styleId="113">
    <w:name w:val="xl34"/>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pPr>
    <w:rPr>
      <w:rFonts w:hAnsi="宋体"/>
    </w:rPr>
  </w:style>
  <w:style w:type="paragraph" w:customStyle="1" w:styleId="114">
    <w:name w:val="_Style 202"/>
    <w:basedOn w:val="1"/>
    <w:qFormat/>
    <w:uiPriority w:val="0"/>
    <w:pPr>
      <w:tabs>
        <w:tab w:val="left" w:pos="360"/>
      </w:tabs>
      <w:autoSpaceDE/>
      <w:autoSpaceDN/>
      <w:adjustRightInd/>
      <w:jc w:val="both"/>
    </w:pPr>
    <w:rPr>
      <w:rFonts w:ascii="Times New Roman"/>
      <w:kern w:val="2"/>
      <w:sz w:val="21"/>
    </w:rPr>
  </w:style>
  <w:style w:type="paragraph" w:customStyle="1" w:styleId="115">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C0C0C0"/>
      <w:autoSpaceDE/>
      <w:autoSpaceDN/>
      <w:adjustRightInd/>
      <w:spacing w:before="100" w:beforeAutospacing="1" w:after="100" w:afterAutospacing="1"/>
      <w:jc w:val="center"/>
      <w:textAlignment w:val="center"/>
    </w:pPr>
    <w:rPr>
      <w:rFonts w:ascii="Arial Unicode MS" w:hAnsi="Arial Unicode MS" w:eastAsia="Arial Unicode MS"/>
      <w:b/>
      <w:sz w:val="20"/>
      <w:szCs w:val="20"/>
    </w:rPr>
  </w:style>
  <w:style w:type="paragraph" w:customStyle="1" w:styleId="116">
    <w:name w:val="shall-正文"/>
    <w:basedOn w:val="1"/>
    <w:qFormat/>
    <w:uiPriority w:val="0"/>
    <w:pPr>
      <w:snapToGrid w:val="0"/>
      <w:spacing w:beforeLines="30" w:line="288" w:lineRule="auto"/>
      <w:ind w:firstLine="200" w:firstLineChars="200"/>
    </w:pPr>
    <w:rPr>
      <w:rFonts w:eastAsia="华文细黑"/>
    </w:rPr>
  </w:style>
  <w:style w:type="paragraph" w:customStyle="1" w:styleId="117">
    <w:name w:val="xl38"/>
    <w:basedOn w:val="1"/>
    <w:qFormat/>
    <w:uiPriority w:val="0"/>
    <w:pPr>
      <w:widowControl/>
      <w:pBdr>
        <w:bottom w:val="single" w:color="auto" w:sz="4" w:space="0"/>
      </w:pBdr>
      <w:autoSpaceDE/>
      <w:autoSpaceDN/>
      <w:adjustRightInd/>
      <w:spacing w:before="100" w:beforeAutospacing="1" w:after="100" w:afterAutospacing="1"/>
      <w:jc w:val="center"/>
      <w:textAlignment w:val="center"/>
    </w:pPr>
    <w:rPr>
      <w:rFonts w:ascii="Arial Unicode MS" w:hAnsi="Arial Unicode MS" w:eastAsia="Arial Unicode MS"/>
      <w:b/>
      <w:sz w:val="36"/>
      <w:szCs w:val="20"/>
    </w:rPr>
  </w:style>
  <w:style w:type="paragraph" w:customStyle="1" w:styleId="118">
    <w:name w:val="p2"/>
    <w:basedOn w:val="1"/>
    <w:qFormat/>
    <w:uiPriority w:val="0"/>
    <w:rPr>
      <w:rFonts w:cs="Times New Roman"/>
    </w:rPr>
  </w:style>
  <w:style w:type="paragraph" w:customStyle="1" w:styleId="119">
    <w:name w:val="Char Char Char Char Char Char"/>
    <w:basedOn w:val="1"/>
    <w:qFormat/>
    <w:uiPriority w:val="0"/>
    <w:pPr>
      <w:widowControl/>
      <w:autoSpaceDE/>
      <w:autoSpaceDN/>
      <w:adjustRightInd/>
      <w:spacing w:after="160" w:line="240" w:lineRule="exact"/>
    </w:pPr>
    <w:rPr>
      <w:rFonts w:ascii="Times New Roman"/>
      <w:kern w:val="2"/>
      <w:lang w:eastAsia="en-US"/>
    </w:rPr>
  </w:style>
  <w:style w:type="paragraph" w:customStyle="1" w:styleId="120">
    <w:name w:val="标题4"/>
    <w:basedOn w:val="77"/>
    <w:qFormat/>
    <w:uiPriority w:val="0"/>
    <w:pPr>
      <w:spacing w:line="540" w:lineRule="exact"/>
      <w:ind w:firstLine="0" w:firstLineChars="0"/>
    </w:pPr>
    <w:rPr>
      <w:rFonts w:hAnsi="Times New Roman"/>
      <w:szCs w:val="24"/>
    </w:rPr>
  </w:style>
  <w:style w:type="paragraph" w:styleId="121">
    <w:name w:val="No Spacing"/>
    <w:qFormat/>
    <w:uiPriority w:val="0"/>
    <w:pPr>
      <w:widowControl w:val="0"/>
      <w:jc w:val="both"/>
    </w:pPr>
    <w:rPr>
      <w:rFonts w:ascii="Calibri" w:hAnsi="Calibri" w:eastAsia="宋体" w:cs="宋体"/>
      <w:kern w:val="2"/>
      <w:sz w:val="21"/>
      <w:szCs w:val="24"/>
      <w:lang w:val="en-US" w:eastAsia="zh-CN" w:bidi="ar-SA"/>
    </w:rPr>
  </w:style>
  <w:style w:type="paragraph" w:customStyle="1" w:styleId="122">
    <w:name w:val="xl29"/>
    <w:basedOn w:val="1"/>
    <w:qFormat/>
    <w:uiPriority w:val="0"/>
    <w:pPr>
      <w:widowControl/>
      <w:pBdr>
        <w:top w:val="single" w:color="auto" w:sz="4" w:space="0"/>
        <w:left w:val="single" w:color="auto" w:sz="4" w:space="0"/>
        <w:bottom w:val="single" w:color="auto" w:sz="4" w:space="0"/>
        <w:right w:val="single" w:color="auto" w:sz="4" w:space="0"/>
      </w:pBdr>
      <w:shd w:val="clear" w:color="auto" w:fill="CC99FF"/>
      <w:autoSpaceDE/>
      <w:autoSpaceDN/>
      <w:adjustRightInd/>
      <w:spacing w:before="100" w:beforeAutospacing="1" w:after="100" w:afterAutospacing="1"/>
      <w:jc w:val="center"/>
      <w:textAlignment w:val="center"/>
    </w:pPr>
    <w:rPr>
      <w:rFonts w:ascii="Arial Unicode MS" w:hAnsi="Arial Unicode MS" w:eastAsia="Arial Unicode MS"/>
      <w:sz w:val="20"/>
      <w:szCs w:val="20"/>
    </w:rPr>
  </w:style>
  <w:style w:type="paragraph" w:customStyle="1" w:styleId="123">
    <w:name w:val="列表正文"/>
    <w:basedOn w:val="1"/>
    <w:qFormat/>
    <w:uiPriority w:val="0"/>
    <w:pPr>
      <w:autoSpaceDE/>
      <w:autoSpaceDN/>
      <w:snapToGrid w:val="0"/>
      <w:spacing w:line="300" w:lineRule="auto"/>
      <w:ind w:left="200" w:leftChars="200" w:firstLine="200" w:firstLineChars="200"/>
      <w:jc w:val="both"/>
    </w:pPr>
    <w:rPr>
      <w:rFonts w:ascii="Times New Roman"/>
      <w:kern w:val="2"/>
      <w:sz w:val="21"/>
    </w:rPr>
  </w:style>
  <w:style w:type="paragraph" w:customStyle="1" w:styleId="124">
    <w:name w:val="Char Char2 Char"/>
    <w:basedOn w:val="1"/>
    <w:qFormat/>
    <w:uiPriority w:val="0"/>
    <w:pPr>
      <w:autoSpaceDE/>
      <w:autoSpaceDN/>
      <w:adjustRightInd/>
      <w:jc w:val="both"/>
    </w:pPr>
    <w:rPr>
      <w:rFonts w:hAnsi="宋体"/>
      <w:b/>
      <w:kern w:val="2"/>
      <w:sz w:val="28"/>
      <w:szCs w:val="28"/>
    </w:rPr>
  </w:style>
  <w:style w:type="paragraph" w:customStyle="1" w:styleId="125">
    <w:name w:val="版权"/>
    <w:basedOn w:val="1"/>
    <w:qFormat/>
    <w:uiPriority w:val="0"/>
    <w:pPr>
      <w:autoSpaceDE/>
      <w:autoSpaceDN/>
      <w:adjustRightInd/>
      <w:spacing w:before="312" w:after="312"/>
      <w:ind w:firstLine="480"/>
      <w:jc w:val="center"/>
      <w:outlineLvl w:val="0"/>
    </w:pPr>
    <w:rPr>
      <w:rFonts w:ascii="华文中宋" w:hAnsi="华文中宋"/>
      <w:b/>
      <w:kern w:val="2"/>
      <w:szCs w:val="20"/>
    </w:rPr>
  </w:style>
  <w:style w:type="paragraph" w:customStyle="1" w:styleId="126">
    <w:name w:val="LEGALB Cont 2"/>
    <w:basedOn w:val="1"/>
    <w:qFormat/>
    <w:uiPriority w:val="0"/>
    <w:pPr>
      <w:widowControl/>
      <w:tabs>
        <w:tab w:val="left" w:pos="720"/>
      </w:tabs>
      <w:spacing w:after="240"/>
      <w:ind w:left="720" w:leftChars="300"/>
    </w:pPr>
    <w:rPr>
      <w:rFonts w:ascii="Calibri" w:eastAsia="DFKai-SB" w:cs="Times New Roman"/>
      <w:lang w:eastAsia="en-US"/>
    </w:rPr>
  </w:style>
  <w:style w:type="paragraph" w:customStyle="1" w:styleId="127">
    <w:name w:val="表格栏头"/>
    <w:basedOn w:val="128"/>
    <w:next w:val="128"/>
    <w:qFormat/>
    <w:uiPriority w:val="0"/>
    <w:rPr>
      <w:b/>
    </w:rPr>
  </w:style>
  <w:style w:type="paragraph" w:customStyle="1" w:styleId="128">
    <w:name w:val="表格正文"/>
    <w:basedOn w:val="1"/>
    <w:qFormat/>
    <w:uiPriority w:val="0"/>
    <w:pPr>
      <w:widowControl/>
      <w:overflowPunct w:val="0"/>
      <w:spacing w:before="312" w:after="312" w:line="360" w:lineRule="auto"/>
      <w:textAlignment w:val="baseline"/>
    </w:pPr>
    <w:rPr>
      <w:rFonts w:hAnsi="Tahoma"/>
      <w:szCs w:val="20"/>
    </w:rPr>
  </w:style>
  <w:style w:type="paragraph" w:customStyle="1" w:styleId="129">
    <w:name w:val="正文列表"/>
    <w:basedOn w:val="1"/>
    <w:qFormat/>
    <w:uiPriority w:val="0"/>
    <w:pPr>
      <w:jc w:val="center"/>
      <w:textAlignment w:val="baseline"/>
    </w:pPr>
    <w:rPr>
      <w:rFonts w:hAnsi="宋体"/>
      <w:szCs w:val="20"/>
    </w:rPr>
  </w:style>
  <w:style w:type="paragraph" w:customStyle="1" w:styleId="130">
    <w:name w:val="图"/>
    <w:basedOn w:val="1"/>
    <w:qFormat/>
    <w:uiPriority w:val="0"/>
    <w:pPr>
      <w:keepNext/>
      <w:autoSpaceDE/>
      <w:autoSpaceDN/>
      <w:spacing w:before="60" w:after="60" w:line="300" w:lineRule="auto"/>
      <w:jc w:val="center"/>
      <w:textAlignment w:val="center"/>
    </w:pPr>
    <w:rPr>
      <w:rFonts w:ascii="Times New Roman"/>
      <w:snapToGrid w:val="0"/>
      <w:spacing w:val="20"/>
      <w:szCs w:val="20"/>
    </w:rPr>
  </w:style>
  <w:style w:type="paragraph" w:customStyle="1" w:styleId="131">
    <w:name w:val="题注4"/>
    <w:basedOn w:val="1"/>
    <w:next w:val="13"/>
    <w:qFormat/>
    <w:uiPriority w:val="0"/>
    <w:pPr>
      <w:autoSpaceDE/>
      <w:autoSpaceDN/>
      <w:adjustRightInd/>
      <w:ind w:left="-132" w:leftChars="-64" w:right="-105" w:rightChars="-50" w:hanging="2"/>
      <w:jc w:val="center"/>
    </w:pPr>
    <w:rPr>
      <w:rFonts w:ascii="Times New Roman"/>
      <w:b/>
      <w:color w:val="FF0000"/>
      <w:kern w:val="2"/>
      <w:sz w:val="21"/>
      <w:szCs w:val="21"/>
      <w:lang w:val="en-GB"/>
    </w:rPr>
  </w:style>
  <w:style w:type="paragraph" w:customStyle="1" w:styleId="132">
    <w:name w:val="题目副题"/>
    <w:basedOn w:val="39"/>
    <w:qFormat/>
    <w:uiPriority w:val="0"/>
    <w:pPr>
      <w:spacing w:before="0" w:after="312"/>
      <w:ind w:left="240" w:firstLine="600"/>
      <w:jc w:val="left"/>
      <w:outlineLvl w:val="9"/>
    </w:pPr>
    <w:rPr>
      <w:rFonts w:ascii="宋体" w:hAnsi="宋体"/>
      <w:sz w:val="30"/>
    </w:rPr>
  </w:style>
  <w:style w:type="paragraph" w:customStyle="1" w:styleId="133">
    <w:name w:val="列出段落1"/>
    <w:basedOn w:val="1"/>
    <w:qFormat/>
    <w:uiPriority w:val="34"/>
    <w:pPr>
      <w:ind w:firstLine="420" w:firstLineChars="200"/>
    </w:pPr>
    <w:rPr>
      <w:rFonts w:ascii="Calibri" w:cs="黑体"/>
    </w:rPr>
  </w:style>
  <w:style w:type="paragraph" w:customStyle="1" w:styleId="134">
    <w:name w:val="xl25"/>
    <w:basedOn w:val="1"/>
    <w:qFormat/>
    <w:uiPriority w:val="0"/>
    <w:pPr>
      <w:widowControl/>
      <w:pBdr>
        <w:bottom w:val="single" w:color="auto" w:sz="4" w:space="0"/>
        <w:right w:val="single" w:color="auto" w:sz="4" w:space="0"/>
      </w:pBdr>
      <w:autoSpaceDE/>
      <w:autoSpaceDN/>
      <w:adjustRightInd/>
      <w:spacing w:before="100" w:beforeAutospacing="1" w:after="100" w:afterAutospacing="1"/>
      <w:jc w:val="center"/>
    </w:pPr>
    <w:rPr>
      <w:rFonts w:hAnsi="宋体"/>
      <w:sz w:val="21"/>
      <w:szCs w:val="21"/>
    </w:rPr>
  </w:style>
  <w:style w:type="paragraph" w:customStyle="1" w:styleId="135">
    <w:name w:val="3 Char"/>
    <w:basedOn w:val="1"/>
    <w:qFormat/>
    <w:uiPriority w:val="0"/>
    <w:pPr>
      <w:widowControl/>
      <w:autoSpaceDE/>
      <w:autoSpaceDN/>
      <w:adjustRightInd/>
      <w:spacing w:line="400" w:lineRule="exact"/>
      <w:jc w:val="center"/>
    </w:pPr>
    <w:rPr>
      <w:rFonts w:ascii="Verdana" w:hAnsi="Verdana"/>
      <w:sz w:val="21"/>
      <w:szCs w:val="20"/>
      <w:lang w:eastAsia="en-US"/>
    </w:rPr>
  </w:style>
  <w:style w:type="paragraph" w:customStyle="1" w:styleId="136">
    <w:name w:val="Char Char1 Char Char Char Char Char Char Char Char Char Char Char Char Char"/>
    <w:basedOn w:val="1"/>
    <w:qFormat/>
    <w:uiPriority w:val="0"/>
    <w:pPr>
      <w:widowControl/>
      <w:autoSpaceDE/>
      <w:autoSpaceDN/>
      <w:adjustRightInd/>
      <w:spacing w:after="160" w:line="360" w:lineRule="auto"/>
    </w:pPr>
    <w:rPr>
      <w:rFonts w:ascii="Verdana" w:hAnsi="Verdana" w:cs="Times New Roman"/>
      <w:sz w:val="21"/>
      <w:szCs w:val="20"/>
      <w:lang w:eastAsia="en-US"/>
    </w:rPr>
  </w:style>
  <w:style w:type="paragraph" w:customStyle="1" w:styleId="137">
    <w:name w:val="进度表"/>
    <w:basedOn w:val="12"/>
    <w:qFormat/>
    <w:uiPriority w:val="0"/>
    <w:pPr>
      <w:widowControl w:val="0"/>
      <w:snapToGrid w:val="0"/>
      <w:spacing w:line="440" w:lineRule="atLeast"/>
      <w:ind w:hanging="130" w:firstLineChars="0"/>
      <w:jc w:val="both"/>
    </w:pPr>
    <w:rPr>
      <w:rFonts w:ascii="宋体"/>
      <w:color w:val="000000"/>
      <w:kern w:val="2"/>
      <w:position w:val="-6"/>
      <w:sz w:val="28"/>
    </w:rPr>
  </w:style>
  <w:style w:type="paragraph" w:customStyle="1" w:styleId="138">
    <w:name w:val="大标题"/>
    <w:basedOn w:val="2"/>
    <w:qFormat/>
    <w:uiPriority w:val="0"/>
    <w:rPr>
      <w:snapToGrid w:val="0"/>
      <w:sz w:val="52"/>
      <w:szCs w:val="72"/>
    </w:rPr>
  </w:style>
  <w:style w:type="paragraph" w:customStyle="1" w:styleId="139">
    <w:name w:val="正文无缩进"/>
    <w:basedOn w:val="77"/>
    <w:qFormat/>
    <w:uiPriority w:val="0"/>
    <w:pPr>
      <w:ind w:firstLine="0" w:firstLineChars="0"/>
    </w:pPr>
  </w:style>
  <w:style w:type="paragraph" w:customStyle="1" w:styleId="140">
    <w:name w:val="标题 3.5"/>
    <w:basedOn w:val="4"/>
    <w:qFormat/>
    <w:uiPriority w:val="0"/>
    <w:pPr>
      <w:autoSpaceDE/>
      <w:autoSpaceDN/>
      <w:adjustRightInd/>
      <w:spacing w:line="600" w:lineRule="exact"/>
      <w:jc w:val="both"/>
      <w:outlineLvl w:val="9"/>
    </w:pPr>
    <w:rPr>
      <w:rFonts w:ascii="Times New Roman" w:eastAsia="仿宋_GB2312"/>
      <w:kern w:val="2"/>
      <w:sz w:val="31"/>
    </w:rPr>
  </w:style>
  <w:style w:type="paragraph" w:customStyle="1" w:styleId="141">
    <w:name w:val="题注5"/>
    <w:basedOn w:val="1"/>
    <w:next w:val="13"/>
    <w:qFormat/>
    <w:uiPriority w:val="0"/>
    <w:pPr>
      <w:autoSpaceDE/>
      <w:autoSpaceDN/>
      <w:adjustRightInd/>
      <w:jc w:val="center"/>
    </w:pPr>
    <w:rPr>
      <w:rFonts w:ascii="Times New Roman"/>
      <w:b/>
      <w:color w:val="000000"/>
      <w:kern w:val="2"/>
      <w:szCs w:val="21"/>
    </w:rPr>
  </w:style>
  <w:style w:type="paragraph" w:customStyle="1" w:styleId="142">
    <w:name w:val="xl44"/>
    <w:basedOn w:val="1"/>
    <w:qFormat/>
    <w:uiPriority w:val="0"/>
    <w:pPr>
      <w:widowControl/>
      <w:pBdr>
        <w:left w:val="single" w:color="auto" w:sz="4" w:space="0"/>
        <w:right w:val="single" w:color="auto" w:sz="4" w:space="0"/>
      </w:pBdr>
      <w:spacing w:before="100" w:beforeAutospacing="1" w:after="100" w:afterAutospacing="1"/>
      <w:jc w:val="center"/>
    </w:pPr>
    <w:rPr>
      <w:rFonts w:hint="eastAsia" w:hAnsi="宋体"/>
    </w:rPr>
  </w:style>
  <w:style w:type="paragraph" w:customStyle="1" w:styleId="143">
    <w:name w:val="Char Char1"/>
    <w:basedOn w:val="1"/>
    <w:qFormat/>
    <w:uiPriority w:val="0"/>
    <w:pPr>
      <w:widowControl/>
      <w:autoSpaceDE/>
      <w:autoSpaceDN/>
      <w:adjustRightInd/>
      <w:spacing w:after="160" w:line="240" w:lineRule="exact"/>
    </w:pPr>
    <w:rPr>
      <w:rFonts w:ascii="Verdana" w:hAnsi="Verdana" w:eastAsia="楷体_GB2312"/>
      <w:b/>
      <w:i/>
      <w:iCs/>
      <w:color w:val="000000"/>
      <w:sz w:val="20"/>
      <w:szCs w:val="20"/>
      <w:lang w:eastAsia="en-US"/>
    </w:rPr>
  </w:style>
  <w:style w:type="paragraph" w:customStyle="1" w:styleId="144">
    <w:name w:val="xl33"/>
    <w:basedOn w:val="1"/>
    <w:qFormat/>
    <w:uiPriority w:val="0"/>
    <w:pPr>
      <w:widowControl/>
      <w:autoSpaceDE/>
      <w:autoSpaceDN/>
      <w:adjustRightInd/>
      <w:spacing w:before="100" w:beforeAutospacing="1" w:after="100" w:afterAutospacing="1"/>
      <w:textAlignment w:val="center"/>
    </w:pPr>
    <w:rPr>
      <w:rFonts w:ascii="Arial Unicode MS" w:hAnsi="Arial Unicode MS" w:eastAsia="Arial Unicode MS"/>
      <w:sz w:val="20"/>
      <w:szCs w:val="20"/>
    </w:rPr>
  </w:style>
  <w:style w:type="paragraph" w:customStyle="1" w:styleId="145">
    <w:name w:val="Char Char11"/>
    <w:basedOn w:val="1"/>
    <w:qFormat/>
    <w:uiPriority w:val="0"/>
    <w:pPr>
      <w:widowControl/>
      <w:autoSpaceDE/>
      <w:autoSpaceDN/>
      <w:adjustRightInd/>
      <w:spacing w:after="160" w:line="240" w:lineRule="exact"/>
    </w:pPr>
    <w:rPr>
      <w:rFonts w:ascii="Verdana" w:hAnsi="Verdana" w:eastAsia="楷体_GB2312"/>
      <w:b/>
      <w:i/>
      <w:iCs/>
      <w:color w:val="000000"/>
      <w:sz w:val="20"/>
      <w:szCs w:val="20"/>
      <w:lang w:eastAsia="en-US"/>
    </w:rPr>
  </w:style>
  <w:style w:type="paragraph" w:styleId="146">
    <w:name w:val="List Paragraph"/>
    <w:basedOn w:val="1"/>
    <w:qFormat/>
    <w:uiPriority w:val="0"/>
    <w:pPr>
      <w:autoSpaceDE/>
      <w:autoSpaceDN/>
      <w:adjustRightInd/>
      <w:ind w:firstLine="420" w:firstLineChars="200"/>
      <w:jc w:val="both"/>
    </w:pPr>
    <w:rPr>
      <w:rFonts w:ascii="Calibri"/>
      <w:kern w:val="2"/>
      <w:sz w:val="21"/>
    </w:rPr>
  </w:style>
  <w:style w:type="paragraph" w:customStyle="1" w:styleId="147">
    <w:name w:val="xl31"/>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ascii="Times New Roman" w:eastAsia="Arial Unicode MS"/>
      <w:sz w:val="20"/>
      <w:szCs w:val="20"/>
    </w:rPr>
  </w:style>
  <w:style w:type="paragraph" w:customStyle="1" w:styleId="148">
    <w:name w:val="目录"/>
    <w:basedOn w:val="1"/>
    <w:qFormat/>
    <w:uiPriority w:val="0"/>
    <w:pPr>
      <w:widowControl/>
      <w:autoSpaceDE/>
      <w:autoSpaceDN/>
      <w:adjustRightInd/>
      <w:spacing w:line="480" w:lineRule="auto"/>
      <w:jc w:val="center"/>
    </w:pPr>
    <w:rPr>
      <w:b/>
      <w:szCs w:val="20"/>
    </w:rPr>
  </w:style>
  <w:style w:type="paragraph" w:customStyle="1" w:styleId="149">
    <w:name w:val="xl26"/>
    <w:basedOn w:val="1"/>
    <w:qFormat/>
    <w:uiPriority w:val="0"/>
    <w:pPr>
      <w:widowControl/>
      <w:autoSpaceDE/>
      <w:autoSpaceDN/>
      <w:adjustRightInd/>
      <w:spacing w:before="100" w:beforeAutospacing="1" w:after="100" w:afterAutospacing="1"/>
      <w:jc w:val="center"/>
    </w:pPr>
    <w:rPr>
      <w:rFonts w:hint="eastAsia" w:ascii="仿宋_GB2312" w:hAnsi="宋体" w:eastAsia="仿宋_GB2312"/>
    </w:rPr>
  </w:style>
  <w:style w:type="paragraph" w:customStyle="1" w:styleId="150">
    <w:name w:val="Char11"/>
    <w:basedOn w:val="16"/>
    <w:qFormat/>
    <w:uiPriority w:val="0"/>
    <w:pPr>
      <w:autoSpaceDE/>
      <w:autoSpaceDN/>
      <w:adjustRightInd/>
      <w:jc w:val="both"/>
    </w:pPr>
    <w:rPr>
      <w:rFonts w:ascii="Tahoma" w:hAnsi="Tahoma" w:cs="Times New Roman"/>
      <w:kern w:val="2"/>
    </w:rPr>
  </w:style>
  <w:style w:type="paragraph" w:customStyle="1" w:styleId="151">
    <w:name w:val="Char21"/>
    <w:basedOn w:val="1"/>
    <w:qFormat/>
    <w:uiPriority w:val="0"/>
    <w:pPr>
      <w:widowControl/>
      <w:autoSpaceDE/>
      <w:autoSpaceDN/>
      <w:adjustRightInd/>
      <w:spacing w:after="160" w:line="240" w:lineRule="exact"/>
      <w:jc w:val="center"/>
    </w:pPr>
    <w:rPr>
      <w:rFonts w:ascii="黑体" w:hAnsi="Verdana" w:eastAsia="黑体"/>
      <w:sz w:val="32"/>
      <w:szCs w:val="32"/>
      <w:lang w:eastAsia="en-US"/>
    </w:rPr>
  </w:style>
  <w:style w:type="paragraph" w:customStyle="1" w:styleId="152">
    <w:name w:val="普通(Web)"/>
    <w:basedOn w:val="1"/>
    <w:qFormat/>
    <w:uiPriority w:val="0"/>
    <w:pPr>
      <w:widowControl/>
      <w:autoSpaceDE/>
      <w:autoSpaceDN/>
      <w:adjustRightInd/>
      <w:spacing w:before="100" w:beforeAutospacing="1" w:after="100" w:afterAutospacing="1" w:line="240" w:lineRule="atLeast"/>
      <w:ind w:firstLine="360"/>
    </w:pPr>
    <w:rPr>
      <w:rFonts w:hAnsi="宋体"/>
      <w:sz w:val="18"/>
      <w:szCs w:val="20"/>
    </w:rPr>
  </w:style>
  <w:style w:type="paragraph" w:customStyle="1" w:styleId="153">
    <w:name w:val="信息标题2"/>
    <w:basedOn w:val="13"/>
    <w:next w:val="13"/>
    <w:qFormat/>
    <w:uiPriority w:val="0"/>
    <w:pPr>
      <w:autoSpaceDE/>
      <w:autoSpaceDN/>
      <w:adjustRightInd/>
      <w:spacing w:beforeLines="50" w:afterLines="50"/>
      <w:ind w:left="422" w:hanging="422" w:hangingChars="200"/>
    </w:pPr>
    <w:rPr>
      <w:rFonts w:ascii="Arial Black" w:hAnsi="Arial Black" w:eastAsia="宋体" w:cs="Times New Roman"/>
      <w:b/>
      <w:kern w:val="2"/>
      <w:sz w:val="30"/>
    </w:rPr>
  </w:style>
  <w:style w:type="paragraph" w:customStyle="1" w:styleId="154">
    <w:name w:val="表中文字"/>
    <w:basedOn w:val="1"/>
    <w:qFormat/>
    <w:uiPriority w:val="0"/>
    <w:pPr>
      <w:spacing w:line="400" w:lineRule="atLeast"/>
      <w:ind w:left="35" w:leftChars="14" w:hanging="1"/>
      <w:jc w:val="center"/>
      <w:textAlignment w:val="baseline"/>
    </w:pPr>
    <w:rPr>
      <w:rFonts w:ascii="Verdana" w:hAnsi="Verdana"/>
      <w:sz w:val="21"/>
      <w:szCs w:val="28"/>
    </w:rPr>
  </w:style>
  <w:style w:type="paragraph" w:customStyle="1" w:styleId="155">
    <w:name w:val="xl28"/>
    <w:basedOn w:val="1"/>
    <w:qFormat/>
    <w:uiPriority w:val="0"/>
    <w:pPr>
      <w:widowControl/>
      <w:autoSpaceDE/>
      <w:autoSpaceDN/>
      <w:adjustRightInd/>
      <w:spacing w:before="100" w:beforeAutospacing="1" w:after="100" w:afterAutospacing="1"/>
      <w:jc w:val="center"/>
      <w:textAlignment w:val="center"/>
    </w:pPr>
    <w:rPr>
      <w:rFonts w:ascii="Arial Unicode MS" w:hAnsi="Arial Unicode MS" w:eastAsia="Arial Unicode MS"/>
      <w:sz w:val="20"/>
      <w:szCs w:val="20"/>
    </w:rPr>
  </w:style>
  <w:style w:type="paragraph" w:customStyle="1" w:styleId="156">
    <w:name w:val="xl27"/>
    <w:basedOn w:val="1"/>
    <w:qFormat/>
    <w:uiPriority w:val="0"/>
    <w:pPr>
      <w:widowControl/>
      <w:pBdr>
        <w:top w:val="single" w:color="auto" w:sz="4" w:space="0"/>
        <w:left w:val="single" w:color="auto" w:sz="4" w:space="0"/>
        <w:bottom w:val="single" w:color="auto" w:sz="4" w:space="0"/>
        <w:right w:val="single" w:color="auto" w:sz="4" w:space="0"/>
      </w:pBdr>
      <w:autoSpaceDE/>
      <w:autoSpaceDN/>
      <w:adjustRightInd/>
      <w:spacing w:before="100" w:beforeAutospacing="1" w:after="100" w:afterAutospacing="1"/>
      <w:jc w:val="center"/>
      <w:textAlignment w:val="center"/>
    </w:pPr>
    <w:rPr>
      <w:rFonts w:ascii="Arial Unicode MS" w:hAnsi="Arial Unicode MS" w:eastAsia="Arial Unicode MS"/>
      <w:sz w:val="20"/>
      <w:szCs w:val="20"/>
    </w:rPr>
  </w:style>
  <w:style w:type="paragraph" w:customStyle="1" w:styleId="157">
    <w:name w:val="xl30"/>
    <w:basedOn w:val="1"/>
    <w:qFormat/>
    <w:uiPriority w:val="0"/>
    <w:pPr>
      <w:widowControl/>
      <w:pBdr>
        <w:top w:val="single" w:color="auto" w:sz="4" w:space="0"/>
        <w:left w:val="single" w:color="auto" w:sz="4" w:space="0"/>
        <w:bottom w:val="single" w:color="auto" w:sz="4" w:space="0"/>
        <w:right w:val="single" w:color="auto" w:sz="4" w:space="0"/>
      </w:pBdr>
      <w:shd w:val="clear" w:color="auto" w:fill="CC99FF"/>
      <w:autoSpaceDE/>
      <w:autoSpaceDN/>
      <w:adjustRightInd/>
      <w:spacing w:before="100" w:beforeAutospacing="1" w:after="100" w:afterAutospacing="1"/>
      <w:jc w:val="center"/>
      <w:textAlignment w:val="center"/>
    </w:pPr>
    <w:rPr>
      <w:rFonts w:ascii="Arial Unicode MS" w:hAnsi="Arial Unicode MS" w:eastAsia="Arial Unicode MS"/>
      <w:b/>
      <w:sz w:val="20"/>
      <w:szCs w:val="20"/>
    </w:rPr>
  </w:style>
  <w:style w:type="paragraph" w:customStyle="1" w:styleId="158">
    <w:name w:val="xl37"/>
    <w:basedOn w:val="1"/>
    <w:qFormat/>
    <w:uiPriority w:val="0"/>
    <w:pPr>
      <w:widowControl/>
      <w:pBdr>
        <w:top w:val="single" w:color="auto" w:sz="4" w:space="0"/>
        <w:bottom w:val="single" w:color="auto" w:sz="4" w:space="0"/>
        <w:right w:val="single" w:color="auto" w:sz="4" w:space="0"/>
      </w:pBdr>
      <w:autoSpaceDE/>
      <w:autoSpaceDN/>
      <w:adjustRightInd/>
      <w:spacing w:before="100" w:beforeAutospacing="1" w:after="100" w:afterAutospacing="1"/>
      <w:textAlignment w:val="center"/>
    </w:pPr>
    <w:rPr>
      <w:rFonts w:ascii="Arial Unicode MS" w:hAnsi="Arial Unicode MS" w:eastAsia="Arial Unicode MS"/>
      <w:sz w:val="20"/>
      <w:szCs w:val="20"/>
    </w:rPr>
  </w:style>
  <w:style w:type="paragraph" w:customStyle="1" w:styleId="159">
    <w:name w:val="正文（缩进）"/>
    <w:basedOn w:val="1"/>
    <w:qFormat/>
    <w:uiPriority w:val="0"/>
    <w:pPr>
      <w:autoSpaceDE/>
      <w:autoSpaceDN/>
      <w:adjustRightInd/>
      <w:spacing w:beforeLines="50" w:afterLines="50" w:line="360" w:lineRule="auto"/>
      <w:ind w:firstLine="480" w:firstLineChars="200"/>
      <w:jc w:val="both"/>
    </w:pPr>
    <w:rPr>
      <w:rFonts w:ascii="Times New Roman"/>
      <w:kern w:val="2"/>
    </w:rPr>
  </w:style>
  <w:style w:type="paragraph" w:customStyle="1" w:styleId="160">
    <w:name w:val="样式 样式 样式 首行缩进:  2 字符1 + 首行缩进:  2 字符 + 首行缩进:  2 字符"/>
    <w:basedOn w:val="1"/>
    <w:semiHidden/>
    <w:qFormat/>
    <w:uiPriority w:val="0"/>
    <w:pPr>
      <w:kinsoku w:val="0"/>
      <w:overflowPunct w:val="0"/>
      <w:ind w:firstLine="200" w:firstLineChars="200"/>
    </w:pPr>
    <w:rPr>
      <w:rFonts w:ascii="仿宋_GB2312" w:hAnsi="宋体" w:eastAsia="仿宋_GB2312"/>
      <w:sz w:val="32"/>
      <w:szCs w:val="20"/>
    </w:rPr>
  </w:style>
  <w:style w:type="paragraph" w:customStyle="1" w:styleId="161">
    <w:name w:val="样式 标题 3Level 3 HeadH3Heading 3 - oldh3sect1.2.3Head33l3..."/>
    <w:basedOn w:val="4"/>
    <w:qFormat/>
    <w:uiPriority w:val="0"/>
    <w:pPr>
      <w:tabs>
        <w:tab w:val="left" w:pos="720"/>
      </w:tabs>
      <w:autoSpaceDE/>
      <w:autoSpaceDN/>
      <w:adjustRightInd/>
      <w:spacing w:line="360" w:lineRule="auto"/>
      <w:ind w:left="720" w:hanging="720"/>
      <w:jc w:val="both"/>
    </w:pPr>
    <w:rPr>
      <w:rFonts w:ascii="Times New Roman"/>
      <w:kern w:val="2"/>
      <w:sz w:val="21"/>
      <w:szCs w:val="20"/>
    </w:rPr>
  </w:style>
  <w:style w:type="paragraph" w:customStyle="1" w:styleId="162">
    <w:name w:val="p0"/>
    <w:basedOn w:val="1"/>
    <w:qFormat/>
    <w:uiPriority w:val="99"/>
    <w:pPr>
      <w:widowControl/>
    </w:pPr>
    <w:rPr>
      <w:szCs w:val="21"/>
    </w:rPr>
  </w:style>
  <w:style w:type="paragraph" w:customStyle="1" w:styleId="163">
    <w:name w:val="font5"/>
    <w:basedOn w:val="1"/>
    <w:qFormat/>
    <w:uiPriority w:val="0"/>
    <w:pPr>
      <w:widowControl/>
      <w:autoSpaceDE/>
      <w:autoSpaceDN/>
      <w:adjustRightInd/>
      <w:spacing w:before="100" w:beforeAutospacing="1" w:after="100" w:afterAutospacing="1"/>
    </w:pPr>
    <w:rPr>
      <w:rFonts w:hint="eastAsia" w:hAnsi="宋体"/>
      <w:sz w:val="18"/>
      <w:szCs w:val="20"/>
    </w:rPr>
  </w:style>
  <w:style w:type="paragraph" w:customStyle="1" w:styleId="164">
    <w:name w:val="Char1 Char Char Char Char Char Char"/>
    <w:basedOn w:val="1"/>
    <w:qFormat/>
    <w:uiPriority w:val="0"/>
    <w:pPr>
      <w:widowControl/>
      <w:autoSpaceDE/>
      <w:autoSpaceDN/>
      <w:adjustRightInd/>
      <w:spacing w:line="400" w:lineRule="exact"/>
      <w:jc w:val="center"/>
    </w:pPr>
    <w:rPr>
      <w:rFonts w:ascii="Verdana" w:hAnsi="Verdana" w:cs="Times New Roman"/>
      <w:sz w:val="21"/>
      <w:szCs w:val="20"/>
      <w:lang w:eastAsia="en-US"/>
    </w:rPr>
  </w:style>
  <w:style w:type="paragraph" w:customStyle="1" w:styleId="165">
    <w:name w:val="投标文件格式"/>
    <w:basedOn w:val="28"/>
    <w:qFormat/>
    <w:uiPriority w:val="0"/>
    <w:pPr>
      <w:jc w:val="center"/>
    </w:pPr>
    <w:rPr>
      <w:rFonts w:hAnsi="Times New Roman"/>
      <w:b/>
    </w:rPr>
  </w:style>
  <w:style w:type="paragraph" w:customStyle="1" w:styleId="166">
    <w:name w:val="日期右"/>
    <w:basedOn w:val="30"/>
    <w:qFormat/>
    <w:uiPriority w:val="0"/>
    <w:pPr>
      <w:autoSpaceDE/>
      <w:autoSpaceDN/>
      <w:adjustRightInd/>
      <w:spacing w:line="600" w:lineRule="exact"/>
      <w:ind w:left="0" w:leftChars="0"/>
      <w:jc w:val="right"/>
    </w:pPr>
    <w:rPr>
      <w:rFonts w:ascii="Times New Roman" w:eastAsia="仿宋_GB2312"/>
      <w:b w:val="0"/>
      <w:bCs w:val="0"/>
      <w:sz w:val="31"/>
      <w:szCs w:val="24"/>
      <w:lang w:val="en-US"/>
    </w:rPr>
  </w:style>
  <w:style w:type="paragraph" w:customStyle="1" w:styleId="167">
    <w:name w:val="Char1 Char Char Char"/>
    <w:basedOn w:val="1"/>
    <w:qFormat/>
    <w:uiPriority w:val="0"/>
    <w:pPr>
      <w:autoSpaceDE/>
      <w:autoSpaceDN/>
      <w:adjustRightInd/>
      <w:jc w:val="both"/>
    </w:pPr>
    <w:rPr>
      <w:rFonts w:ascii="Tahoma" w:hAnsi="Tahoma"/>
      <w:kern w:val="2"/>
      <w:szCs w:val="20"/>
    </w:rPr>
  </w:style>
  <w:style w:type="paragraph" w:customStyle="1" w:styleId="168">
    <w:name w:val="List Paragraph1"/>
    <w:basedOn w:val="1"/>
    <w:qFormat/>
    <w:uiPriority w:val="0"/>
    <w:pPr>
      <w:autoSpaceDE/>
      <w:autoSpaceDN/>
      <w:adjustRightInd/>
      <w:ind w:firstLine="420" w:firstLineChars="200"/>
      <w:jc w:val="both"/>
    </w:pPr>
    <w:rPr>
      <w:rFonts w:ascii="Calibri" w:cs="Times New Roman"/>
      <w:kern w:val="2"/>
      <w:sz w:val="21"/>
      <w:szCs w:val="22"/>
    </w:rPr>
  </w:style>
  <w:style w:type="paragraph" w:customStyle="1" w:styleId="169">
    <w:name w:val="Char Char Char"/>
    <w:basedOn w:val="1"/>
    <w:qFormat/>
    <w:uiPriority w:val="0"/>
    <w:pPr>
      <w:autoSpaceDE/>
      <w:autoSpaceDN/>
      <w:adjustRightInd/>
      <w:jc w:val="both"/>
    </w:pPr>
    <w:rPr>
      <w:rFonts w:ascii="Tahoma" w:hAnsi="Tahoma"/>
      <w:b/>
      <w:sz w:val="28"/>
      <w:szCs w:val="20"/>
    </w:rPr>
  </w:style>
  <w:style w:type="paragraph" w:customStyle="1" w:styleId="170">
    <w:name w:val="保留正文"/>
    <w:basedOn w:val="20"/>
    <w:qFormat/>
    <w:uiPriority w:val="0"/>
    <w:pPr>
      <w:keepNext/>
      <w:autoSpaceDE/>
      <w:autoSpaceDN/>
      <w:adjustRightInd/>
      <w:spacing w:after="160"/>
      <w:ind w:right="0"/>
      <w:jc w:val="both"/>
    </w:pPr>
    <w:rPr>
      <w:rFonts w:ascii="Times New Roman"/>
      <w:b w:val="0"/>
      <w:bCs w:val="0"/>
      <w:sz w:val="21"/>
      <w:szCs w:val="24"/>
      <w:lang w:val="en-US"/>
    </w:rPr>
  </w:style>
  <w:style w:type="paragraph" w:customStyle="1" w:styleId="171">
    <w:name w:val="正文缩进6格"/>
    <w:basedOn w:val="172"/>
    <w:qFormat/>
    <w:uiPriority w:val="0"/>
    <w:pPr>
      <w:ind w:left="1758" w:leftChars="854"/>
    </w:pPr>
  </w:style>
  <w:style w:type="paragraph" w:customStyle="1" w:styleId="172">
    <w:name w:val="正文缩进4格"/>
    <w:basedOn w:val="77"/>
    <w:qFormat/>
    <w:uiPriority w:val="0"/>
    <w:pPr>
      <w:ind w:left="651" w:leftChars="310" w:firstLine="608" w:firstLineChars="196"/>
    </w:pPr>
    <w:rPr>
      <w:color w:val="000000"/>
    </w:rPr>
  </w:style>
  <w:style w:type="paragraph" w:customStyle="1" w:styleId="173">
    <w:name w:val="Char1 Char Char Char Char Char Char1"/>
    <w:basedOn w:val="1"/>
    <w:qFormat/>
    <w:uiPriority w:val="0"/>
    <w:pPr>
      <w:widowControl/>
      <w:autoSpaceDE/>
      <w:autoSpaceDN/>
      <w:adjustRightInd/>
      <w:spacing w:line="400" w:lineRule="exact"/>
      <w:jc w:val="center"/>
    </w:pPr>
    <w:rPr>
      <w:rFonts w:ascii="Verdana" w:hAnsi="Verdana"/>
      <w:sz w:val="21"/>
      <w:szCs w:val="20"/>
      <w:lang w:eastAsia="en-US"/>
    </w:rPr>
  </w:style>
  <w:style w:type="paragraph" w:customStyle="1" w:styleId="174">
    <w:name w:val="表头"/>
    <w:basedOn w:val="13"/>
    <w:qFormat/>
    <w:uiPriority w:val="0"/>
    <w:pPr>
      <w:keepNext/>
      <w:keepLines/>
      <w:widowControl/>
      <w:autoSpaceDE/>
      <w:autoSpaceDN/>
      <w:adjustRightInd/>
      <w:spacing w:before="120" w:after="120" w:line="300" w:lineRule="auto"/>
      <w:jc w:val="center"/>
      <w:textAlignment w:val="baseline"/>
    </w:pPr>
    <w:rPr>
      <w:rFonts w:cs="Times New Roman"/>
      <w:sz w:val="21"/>
    </w:rPr>
  </w:style>
  <w:style w:type="paragraph" w:customStyle="1" w:styleId="175">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99"/>
      <w:autoSpaceDE/>
      <w:autoSpaceDN/>
      <w:adjustRightInd/>
      <w:spacing w:before="100" w:beforeAutospacing="1" w:after="100" w:afterAutospacing="1"/>
      <w:jc w:val="center"/>
      <w:textAlignment w:val="center"/>
    </w:pPr>
    <w:rPr>
      <w:rFonts w:ascii="Arial Unicode MS" w:hAnsi="Arial Unicode MS" w:eastAsia="Arial Unicode MS"/>
      <w:sz w:val="20"/>
      <w:szCs w:val="20"/>
    </w:rPr>
  </w:style>
  <w:style w:type="paragraph" w:customStyle="1" w:styleId="176">
    <w:name w:val="1"/>
    <w:basedOn w:val="1"/>
    <w:qFormat/>
    <w:uiPriority w:val="0"/>
    <w:pPr>
      <w:widowControl/>
      <w:autoSpaceDE/>
      <w:autoSpaceDN/>
      <w:adjustRightInd/>
      <w:spacing w:after="160" w:line="240" w:lineRule="exact"/>
    </w:pPr>
    <w:rPr>
      <w:rFonts w:ascii="Verdana" w:hAnsi="Verdana" w:eastAsia="楷体_GB2312"/>
      <w:b/>
      <w:i/>
      <w:iCs/>
      <w:color w:val="000000"/>
      <w:sz w:val="20"/>
      <w:szCs w:val="20"/>
      <w:lang w:eastAsia="en-US"/>
    </w:rPr>
  </w:style>
  <w:style w:type="paragraph" w:customStyle="1" w:styleId="177">
    <w:name w:val="表正文"/>
    <w:basedOn w:val="1"/>
    <w:next w:val="25"/>
    <w:qFormat/>
    <w:uiPriority w:val="0"/>
    <w:pPr>
      <w:autoSpaceDE/>
      <w:autoSpaceDN/>
      <w:adjustRightInd/>
      <w:spacing w:line="360" w:lineRule="auto"/>
      <w:ind w:left="180" w:leftChars="85" w:right="2" w:hanging="2"/>
      <w:jc w:val="both"/>
    </w:pPr>
    <w:rPr>
      <w:rFonts w:ascii="Arial" w:hAnsi="Arial"/>
      <w:kern w:val="2"/>
      <w:sz w:val="21"/>
      <w:szCs w:val="20"/>
    </w:rPr>
  </w:style>
  <w:style w:type="paragraph" w:customStyle="1" w:styleId="178">
    <w:name w:val="Char2"/>
    <w:basedOn w:val="1"/>
    <w:qFormat/>
    <w:uiPriority w:val="0"/>
    <w:pPr>
      <w:widowControl/>
      <w:autoSpaceDE/>
      <w:autoSpaceDN/>
      <w:adjustRightInd/>
      <w:spacing w:after="160" w:line="240" w:lineRule="exact"/>
    </w:pPr>
    <w:rPr>
      <w:rFonts w:ascii="Verdana" w:hAnsi="Verdana" w:eastAsia="仿宋_GB2312"/>
      <w:szCs w:val="20"/>
      <w:lang w:eastAsia="en-US"/>
    </w:rPr>
  </w:style>
  <w:style w:type="paragraph" w:customStyle="1" w:styleId="179">
    <w:name w:val="DAS正文"/>
    <w:basedOn w:val="1"/>
    <w:qFormat/>
    <w:uiPriority w:val="0"/>
    <w:pPr>
      <w:autoSpaceDE/>
      <w:autoSpaceDN/>
      <w:adjustRightInd/>
      <w:spacing w:line="360" w:lineRule="exact"/>
      <w:jc w:val="both"/>
    </w:pPr>
    <w:rPr>
      <w:rFonts w:ascii="Verdana" w:hAnsi="Verdana"/>
      <w:kern w:val="2"/>
      <w:sz w:val="21"/>
      <w:szCs w:val="21"/>
    </w:rPr>
  </w:style>
  <w:style w:type="paragraph" w:customStyle="1" w:styleId="180">
    <w:name w:val="Char Char Char Char Char Char Char Char Char Char Char Char Char"/>
    <w:basedOn w:val="1"/>
    <w:qFormat/>
    <w:uiPriority w:val="0"/>
    <w:pPr>
      <w:widowControl/>
      <w:autoSpaceDE/>
      <w:autoSpaceDN/>
      <w:adjustRightInd/>
      <w:spacing w:after="160" w:line="240" w:lineRule="exact"/>
    </w:pPr>
    <w:rPr>
      <w:rFonts w:ascii="Times New Roman"/>
      <w:kern w:val="2"/>
      <w:sz w:val="21"/>
    </w:rPr>
  </w:style>
  <w:style w:type="paragraph" w:customStyle="1" w:styleId="181">
    <w:name w:val="正文居中"/>
    <w:basedOn w:val="1"/>
    <w:next w:val="1"/>
    <w:qFormat/>
    <w:uiPriority w:val="0"/>
    <w:pPr>
      <w:autoSpaceDE/>
      <w:autoSpaceDN/>
      <w:snapToGrid w:val="0"/>
      <w:spacing w:line="300" w:lineRule="auto"/>
      <w:jc w:val="center"/>
    </w:pPr>
    <w:rPr>
      <w:rFonts w:ascii="Times New Roman"/>
      <w:kern w:val="2"/>
      <w:sz w:val="21"/>
    </w:rPr>
  </w:style>
  <w:style w:type="paragraph" w:customStyle="1" w:styleId="182">
    <w:name w:val="样式37"/>
    <w:basedOn w:val="1"/>
    <w:qFormat/>
    <w:uiPriority w:val="0"/>
    <w:pPr>
      <w:widowControl/>
      <w:spacing w:line="360" w:lineRule="auto"/>
    </w:pPr>
    <w:rPr>
      <w:rFonts w:hAnsi="宋体"/>
      <w:spacing w:val="-2"/>
      <w:szCs w:val="21"/>
    </w:rPr>
  </w:style>
  <w:style w:type="paragraph" w:customStyle="1" w:styleId="183">
    <w:name w:val="文档正文"/>
    <w:basedOn w:val="1"/>
    <w:qFormat/>
    <w:uiPriority w:val="0"/>
    <w:pPr>
      <w:spacing w:line="460" w:lineRule="exact"/>
      <w:ind w:firstLine="567"/>
      <w:textAlignment w:val="baseline"/>
    </w:pPr>
    <w:rPr>
      <w:rFonts w:ascii="Arial" w:hAnsi="Arial"/>
    </w:rPr>
  </w:style>
  <w:style w:type="paragraph" w:customStyle="1" w:styleId="184">
    <w:name w:val="正文列序2"/>
    <w:basedOn w:val="1"/>
    <w:qFormat/>
    <w:uiPriority w:val="0"/>
    <w:pPr>
      <w:spacing w:line="360" w:lineRule="auto"/>
      <w:ind w:firstLine="425"/>
    </w:pPr>
    <w:rPr>
      <w:rFonts w:hAnsi="宋体"/>
    </w:rPr>
  </w:style>
  <w:style w:type="character" w:customStyle="1" w:styleId="185">
    <w:name w:val="批注文字 字符"/>
    <w:basedOn w:val="55"/>
    <w:link w:val="18"/>
    <w:qFormat/>
    <w:uiPriority w:val="0"/>
    <w:rPr>
      <w:rFonts w:ascii="Times New Roman" w:hAnsi="Calibri" w:eastAsia="宋体" w:cs="宋体"/>
      <w:sz w:val="21"/>
    </w:rPr>
  </w:style>
  <w:style w:type="paragraph" w:customStyle="1" w:styleId="186">
    <w:name w:val="正文文本缩进 21"/>
    <w:basedOn w:val="1"/>
    <w:qFormat/>
    <w:uiPriority w:val="99"/>
    <w:pPr>
      <w:spacing w:line="480" w:lineRule="auto"/>
      <w:ind w:firstLine="540"/>
    </w:pPr>
    <w:rPr>
      <w:sz w:val="20"/>
      <w:szCs w:val="20"/>
    </w:rPr>
  </w:style>
  <w:style w:type="paragraph" w:customStyle="1" w:styleId="187">
    <w:name w:val="WPSOffice手动目录 1"/>
    <w:qFormat/>
    <w:uiPriority w:val="0"/>
    <w:rPr>
      <w:rFonts w:ascii="Times New Roman" w:hAnsi="Times New Roman" w:eastAsia="宋体" w:cs="Times New Roman"/>
      <w:lang w:val="en-US" w:eastAsia="zh-CN" w:bidi="ar-SA"/>
    </w:rPr>
  </w:style>
  <w:style w:type="character" w:customStyle="1" w:styleId="188">
    <w:name w:val="font121"/>
    <w:basedOn w:val="55"/>
    <w:qFormat/>
    <w:uiPriority w:val="0"/>
    <w:rPr>
      <w:rFonts w:hint="default" w:ascii="思源黑体 CN Regular" w:hAnsi="思源黑体 CN Regular" w:eastAsia="思源黑体 CN Regular" w:cs="思源黑体 CN Regular"/>
      <w:b/>
      <w:bCs/>
      <w:color w:val="545454"/>
      <w:sz w:val="24"/>
      <w:szCs w:val="24"/>
      <w:u w:val="none"/>
    </w:rPr>
  </w:style>
  <w:style w:type="character" w:customStyle="1" w:styleId="189">
    <w:name w:val="font112"/>
    <w:basedOn w:val="55"/>
    <w:qFormat/>
    <w:uiPriority w:val="0"/>
    <w:rPr>
      <w:rFonts w:hint="default" w:ascii="思源黑体 CN Regular" w:hAnsi="思源黑体 CN Regular" w:eastAsia="思源黑体 CN Regular" w:cs="思源黑体 CN Regular"/>
      <w:b/>
      <w:bCs/>
      <w:color w:val="444444"/>
      <w:sz w:val="24"/>
      <w:szCs w:val="24"/>
      <w:u w:val="none"/>
    </w:rPr>
  </w:style>
  <w:style w:type="character" w:customStyle="1" w:styleId="190">
    <w:name w:val="font131"/>
    <w:basedOn w:val="55"/>
    <w:qFormat/>
    <w:uiPriority w:val="0"/>
    <w:rPr>
      <w:rFonts w:hint="default" w:ascii="思源黑体 CN Regular" w:hAnsi="思源黑体 CN Regular" w:eastAsia="思源黑体 CN Regular" w:cs="思源黑体 CN Regular"/>
      <w:b/>
      <w:bCs/>
      <w:color w:val="646464"/>
      <w:sz w:val="24"/>
      <w:szCs w:val="24"/>
      <w:u w:val="none"/>
    </w:rPr>
  </w:style>
  <w:style w:type="character" w:customStyle="1" w:styleId="191">
    <w:name w:val="font291"/>
    <w:basedOn w:val="55"/>
    <w:qFormat/>
    <w:uiPriority w:val="0"/>
    <w:rPr>
      <w:rFonts w:hint="default" w:ascii="思源黑体 CN Regular" w:hAnsi="思源黑体 CN Regular" w:eastAsia="思源黑体 CN Regular" w:cs="思源黑体 CN Regular"/>
      <w:b/>
      <w:bCs/>
      <w:color w:val="212121"/>
      <w:sz w:val="24"/>
      <w:szCs w:val="24"/>
      <w:u w:val="none"/>
    </w:rPr>
  </w:style>
  <w:style w:type="character" w:customStyle="1" w:styleId="192">
    <w:name w:val="font301"/>
    <w:basedOn w:val="55"/>
    <w:qFormat/>
    <w:uiPriority w:val="0"/>
    <w:rPr>
      <w:rFonts w:hint="default" w:ascii="思源黑体 CN Regular" w:hAnsi="思源黑体 CN Regular" w:eastAsia="思源黑体 CN Regular" w:cs="思源黑体 CN Regular"/>
      <w:b/>
      <w:bCs/>
      <w:color w:val="444444"/>
      <w:sz w:val="24"/>
      <w:szCs w:val="24"/>
      <w:u w:val="none"/>
    </w:rPr>
  </w:style>
  <w:style w:type="paragraph" w:customStyle="1" w:styleId="193">
    <w:name w:val="修订1"/>
    <w:hidden/>
    <w:semiHidden/>
    <w:qFormat/>
    <w:uiPriority w:val="99"/>
    <w:rPr>
      <w:rFonts w:ascii="宋体" w:hAnsi="Calibri" w:eastAsia="宋体" w:cs="宋体"/>
      <w:sz w:val="24"/>
      <w:szCs w:val="24"/>
      <w:lang w:val="en-US" w:eastAsia="zh-CN" w:bidi="ar-SA"/>
    </w:rPr>
  </w:style>
  <w:style w:type="character" w:customStyle="1" w:styleId="194">
    <w:name w:val="font51"/>
    <w:basedOn w:val="55"/>
    <w:qFormat/>
    <w:uiPriority w:val="0"/>
    <w:rPr>
      <w:rFonts w:hint="eastAsia" w:ascii="宋体" w:hAnsi="宋体" w:eastAsia="宋体" w:cs="宋体"/>
      <w:color w:val="000000"/>
      <w:sz w:val="20"/>
      <w:szCs w:val="20"/>
      <w:u w:val="none"/>
    </w:rPr>
  </w:style>
  <w:style w:type="paragraph" w:customStyle="1" w:styleId="195">
    <w:name w:val="列出段落11"/>
    <w:basedOn w:val="1"/>
    <w:qFormat/>
    <w:uiPriority w:val="99"/>
    <w:pPr>
      <w:adjustRightInd/>
      <w:spacing w:line="360" w:lineRule="auto"/>
      <w:ind w:firstLine="420" w:firstLineChars="200"/>
      <w:jc w:val="both"/>
    </w:pPr>
    <w:rPr>
      <w:rFonts w:ascii="Times New Roman" w:hAnsi="Times New Roman" w:cs="Times New Roman"/>
      <w:kern w:val="2"/>
    </w:rPr>
  </w:style>
  <w:style w:type="character" w:customStyle="1" w:styleId="196">
    <w:name w:val="font31"/>
    <w:basedOn w:val="55"/>
    <w:qFormat/>
    <w:uiPriority w:val="0"/>
    <w:rPr>
      <w:rFonts w:hint="default" w:ascii="Times New Roman" w:hAnsi="Times New Roman" w:cs="Times New Roman"/>
      <w:color w:val="FF0000"/>
      <w:sz w:val="22"/>
      <w:szCs w:val="22"/>
      <w:u w:val="none"/>
    </w:rPr>
  </w:style>
  <w:style w:type="character" w:customStyle="1" w:styleId="197">
    <w:name w:val="font41"/>
    <w:basedOn w:val="55"/>
    <w:qFormat/>
    <w:uiPriority w:val="0"/>
    <w:rPr>
      <w:rFonts w:hint="eastAsia" w:ascii="宋体" w:hAnsi="宋体" w:eastAsia="宋体" w:cs="宋体"/>
      <w:color w:val="FF0000"/>
      <w:sz w:val="22"/>
      <w:szCs w:val="22"/>
      <w:u w:val="none"/>
    </w:rPr>
  </w:style>
  <w:style w:type="character" w:customStyle="1" w:styleId="198">
    <w:name w:val="font11"/>
    <w:basedOn w:val="55"/>
    <w:qFormat/>
    <w:uiPriority w:val="0"/>
    <w:rPr>
      <w:rFonts w:hint="default" w:ascii="Times New Roman" w:hAnsi="Times New Roman" w:cs="Times New Roman"/>
      <w:color w:val="FF0000"/>
      <w:sz w:val="22"/>
      <w:szCs w:val="22"/>
      <w:u w:val="none"/>
    </w:rPr>
  </w:style>
  <w:style w:type="character" w:customStyle="1" w:styleId="199">
    <w:name w:val="font21"/>
    <w:basedOn w:val="55"/>
    <w:qFormat/>
    <w:uiPriority w:val="0"/>
    <w:rPr>
      <w:rFonts w:hint="eastAsia" w:ascii="仿宋" w:hAnsi="仿宋" w:eastAsia="仿宋" w:cs="仿宋"/>
      <w:color w:val="000000"/>
      <w:sz w:val="24"/>
      <w:szCs w:val="24"/>
      <w:u w:val="none"/>
    </w:rPr>
  </w:style>
  <w:style w:type="character" w:customStyle="1" w:styleId="200">
    <w:name w:val="font151"/>
    <w:basedOn w:val="55"/>
    <w:qFormat/>
    <w:uiPriority w:val="0"/>
    <w:rPr>
      <w:rFonts w:hint="eastAsia" w:ascii="宋体" w:hAnsi="宋体" w:eastAsia="宋体" w:cs="宋体"/>
      <w:color w:val="000000"/>
      <w:sz w:val="18"/>
      <w:szCs w:val="18"/>
      <w:u w:val="none"/>
    </w:rPr>
  </w:style>
  <w:style w:type="character" w:customStyle="1" w:styleId="201">
    <w:name w:val="font141"/>
    <w:basedOn w:val="55"/>
    <w:qFormat/>
    <w:uiPriority w:val="0"/>
    <w:rPr>
      <w:rFonts w:hint="eastAsia" w:ascii="宋体" w:hAnsi="宋体" w:eastAsia="宋体" w:cs="宋体"/>
      <w:color w:val="000000"/>
      <w:sz w:val="18"/>
      <w:szCs w:val="18"/>
      <w:u w:val="none"/>
    </w:rPr>
  </w:style>
  <w:style w:type="paragraph" w:customStyle="1" w:styleId="202">
    <w:name w:val="列出段落2"/>
    <w:basedOn w:val="1"/>
    <w:qFormat/>
    <w:uiPriority w:val="0"/>
    <w:pPr>
      <w:ind w:firstLine="420" w:firstLineChars="200"/>
    </w:pPr>
    <w:rPr>
      <w:rFonts w:ascii="Calibri" w:hAnsi="Calibri" w:cs="宋体"/>
      <w:szCs w:val="24"/>
    </w:rPr>
  </w:style>
  <w:style w:type="character" w:customStyle="1" w:styleId="203">
    <w:name w:val="NormalCharacter"/>
    <w:qFormat/>
    <w:uiPriority w:val="0"/>
  </w:style>
  <w:style w:type="paragraph" w:customStyle="1" w:styleId="204">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8ED33D1-28E5-49B2-810A-DFCA16599E46}">
  <ds:schemaRefs/>
</ds:datastoreItem>
</file>

<file path=docProps/app.xml><?xml version="1.0" encoding="utf-8"?>
<Properties xmlns="http://schemas.openxmlformats.org/officeDocument/2006/extended-properties" xmlns:vt="http://schemas.openxmlformats.org/officeDocument/2006/docPropsVTypes">
  <Template>Normal.dotm</Template>
  <Company>zgydgb</Company>
  <Pages>60</Pages>
  <Words>18507</Words>
  <Characters>19362</Characters>
  <Lines>375</Lines>
  <Paragraphs>105</Paragraphs>
  <TotalTime>35</TotalTime>
  <ScaleCrop>false</ScaleCrop>
  <LinksUpToDate>false</LinksUpToDate>
  <CharactersWithSpaces>19649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2023-11-23T12:45:00Z</dcterms:created>
  <dc:creator>lyy</dc:creator>
  <cp:lastModifiedBy>有德-陈佰仪</cp:lastModifiedBy>
  <cp:lastPrinted>2020-07-10T09:47:00Z</cp:lastPrinted>
  <dcterms:modified xsi:type="dcterms:W3CDTF">2025-12-18T03:50:57Z</dcterms:modified>
  <dc:title>货物公开</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796ECD58ECD04A32A9D25C5D4AC6B3A6_13</vt:lpwstr>
  </property>
  <property fmtid="{D5CDD505-2E9C-101B-9397-08002B2CF9AE}" pid="4" name="KSOTemplateDocerSaveRecord">
    <vt:lpwstr>eyJoZGlkIjoiZDA2MmNlZjA2NzliODg1NjcxMDhiMzFiNWQ0ZWVhYjQiLCJ1c2VySWQiOiI1NzI0NjcxOTYifQ==</vt:lpwstr>
  </property>
</Properties>
</file>