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20" w:after="120" w:line="276" w:lineRule="auto"/>
        <w:jc w:val="center"/>
        <w:rPr>
          <w:rFonts w:hint="eastAsia" w:ascii="方正小标宋简体" w:eastAsia="方正小标宋简体"/>
          <w:color w:val="auto"/>
          <w:sz w:val="44"/>
          <w:szCs w:val="44"/>
          <w:highlight w:val="none"/>
        </w:rPr>
      </w:pPr>
      <w:bookmarkStart w:id="0" w:name="OLE_LINK7"/>
      <w:r>
        <w:rPr>
          <w:rFonts w:hint="eastAsia" w:ascii="方正小标宋简体" w:eastAsia="方正小标宋简体"/>
          <w:color w:val="auto"/>
          <w:sz w:val="44"/>
          <w:szCs w:val="44"/>
          <w:highlight w:val="none"/>
        </w:rPr>
        <w:t>询价文件</w:t>
      </w:r>
    </w:p>
    <w:p>
      <w:pPr>
        <w:keepNext w:val="0"/>
        <w:keepLines w:val="0"/>
        <w:pageBreakBefore w:val="0"/>
        <w:kinsoku/>
        <w:wordWrap/>
        <w:overflowPunct/>
        <w:topLinePunct w:val="0"/>
        <w:autoSpaceDE/>
        <w:autoSpaceDN/>
        <w:bidi w:val="0"/>
        <w:spacing w:line="580" w:lineRule="exact"/>
        <w:ind w:firstLine="640" w:firstLineChars="200"/>
        <w:jc w:val="both"/>
        <w:textAlignment w:val="auto"/>
        <w:rPr>
          <w:rFonts w:eastAsia="仿宋"/>
          <w:color w:val="auto"/>
          <w:sz w:val="32"/>
          <w:szCs w:val="32"/>
          <w:highlight w:val="none"/>
        </w:rPr>
      </w:pPr>
      <w:bookmarkStart w:id="1" w:name="OLE_LINK3"/>
      <w:r>
        <w:rPr>
          <w:rFonts w:eastAsia="仿宋"/>
          <w:color w:val="auto"/>
          <w:sz w:val="32"/>
          <w:szCs w:val="32"/>
          <w:highlight w:val="none"/>
        </w:rPr>
        <w:t>东莞新锋交通能源发展有限公司</w:t>
      </w:r>
      <w:bookmarkStart w:id="2" w:name="OLE_LINK1"/>
      <w:r>
        <w:rPr>
          <w:rFonts w:eastAsia="仿宋"/>
          <w:color w:val="auto"/>
          <w:sz w:val="32"/>
          <w:szCs w:val="32"/>
          <w:highlight w:val="none"/>
        </w:rPr>
        <w:t>需采购</w:t>
      </w:r>
      <w:r>
        <w:rPr>
          <w:rFonts w:hint="eastAsia" w:eastAsia="仿宋"/>
          <w:color w:val="auto"/>
          <w:sz w:val="32"/>
          <w:szCs w:val="32"/>
          <w:highlight w:val="none"/>
          <w:lang w:val="en-US" w:eastAsia="zh-CN"/>
        </w:rPr>
        <w:t>一家广告供应商</w:t>
      </w:r>
      <w:bookmarkEnd w:id="1"/>
      <w:bookmarkEnd w:id="2"/>
      <w:r>
        <w:rPr>
          <w:rFonts w:hint="eastAsia" w:eastAsia="仿宋"/>
          <w:color w:val="auto"/>
          <w:sz w:val="32"/>
          <w:szCs w:val="32"/>
          <w:highlight w:val="none"/>
          <w:lang w:val="en-US" w:eastAsia="zh-CN"/>
        </w:rPr>
        <w:t>完成</w:t>
      </w:r>
      <w:r>
        <w:rPr>
          <w:rFonts w:hint="eastAsia" w:eastAsia="仿宋"/>
          <w:color w:val="auto"/>
          <w:sz w:val="32"/>
          <w:szCs w:val="32"/>
          <w:highlight w:val="none"/>
          <w:u w:val="single"/>
          <w:lang w:val="en-US" w:eastAsia="zh-CN"/>
        </w:rPr>
        <w:t>沙田加氢站投运仪式活动现场氛围布置项目</w:t>
      </w:r>
      <w:r>
        <w:rPr>
          <w:rFonts w:eastAsia="仿宋"/>
          <w:color w:val="auto"/>
          <w:sz w:val="32"/>
          <w:szCs w:val="32"/>
          <w:highlight w:val="none"/>
        </w:rPr>
        <w:t>，现将相关情况介绍如下：</w:t>
      </w:r>
    </w:p>
    <w:p>
      <w:pPr>
        <w:keepNext w:val="0"/>
        <w:keepLines w:val="0"/>
        <w:pageBreakBefore w:val="0"/>
        <w:kinsoku/>
        <w:wordWrap/>
        <w:overflowPunct/>
        <w:topLinePunct w:val="0"/>
        <w:autoSpaceDE/>
        <w:autoSpaceDN/>
        <w:bidi w:val="0"/>
        <w:adjustRightInd w:val="0"/>
        <w:snapToGrid w:val="0"/>
        <w:spacing w:line="580" w:lineRule="exact"/>
        <w:ind w:firstLine="643" w:firstLineChars="200"/>
        <w:jc w:val="both"/>
        <w:textAlignment w:val="auto"/>
        <w:outlineLvl w:val="1"/>
        <w:rPr>
          <w:rFonts w:hint="eastAsia" w:ascii="黑体" w:hAnsi="黑体" w:eastAsia="黑体" w:cs="黑体"/>
          <w:b/>
          <w:bCs/>
          <w:color w:val="auto"/>
          <w:sz w:val="32"/>
          <w:szCs w:val="32"/>
          <w:highlight w:val="none"/>
        </w:rPr>
      </w:pPr>
      <w:r>
        <w:rPr>
          <w:rFonts w:hint="eastAsia" w:ascii="黑体" w:hAnsi="黑体" w:eastAsia="黑体" w:cs="黑体"/>
          <w:b/>
          <w:bCs/>
          <w:color w:val="auto"/>
          <w:sz w:val="32"/>
          <w:szCs w:val="32"/>
          <w:highlight w:val="none"/>
        </w:rPr>
        <w:t>一、项目名称及内容</w:t>
      </w:r>
    </w:p>
    <w:p>
      <w:pPr>
        <w:keepNext w:val="0"/>
        <w:keepLines w:val="0"/>
        <w:pageBreakBefore w:val="0"/>
        <w:kinsoku/>
        <w:wordWrap/>
        <w:overflowPunct/>
        <w:topLinePunct w:val="0"/>
        <w:autoSpaceDE/>
        <w:autoSpaceDN/>
        <w:bidi w:val="0"/>
        <w:adjustRightInd w:val="0"/>
        <w:snapToGrid w:val="0"/>
        <w:spacing w:line="580" w:lineRule="exact"/>
        <w:ind w:firstLine="640" w:firstLineChars="200"/>
        <w:jc w:val="both"/>
        <w:textAlignment w:val="auto"/>
        <w:rPr>
          <w:rFonts w:eastAsia="仿宋"/>
          <w:color w:val="auto"/>
          <w:sz w:val="32"/>
          <w:szCs w:val="32"/>
          <w:highlight w:val="none"/>
        </w:rPr>
      </w:pPr>
      <w:r>
        <w:rPr>
          <w:rFonts w:eastAsia="仿宋"/>
          <w:color w:val="auto"/>
          <w:sz w:val="32"/>
          <w:szCs w:val="32"/>
          <w:highlight w:val="none"/>
        </w:rPr>
        <w:t>1、项目名称：</w:t>
      </w:r>
      <w:r>
        <w:rPr>
          <w:rFonts w:hint="eastAsia" w:eastAsia="仿宋"/>
          <w:color w:val="auto"/>
          <w:sz w:val="32"/>
          <w:szCs w:val="32"/>
          <w:highlight w:val="none"/>
          <w:u w:val="single"/>
          <w:lang w:val="en-US" w:eastAsia="zh-CN"/>
        </w:rPr>
        <w:t>沙田加氢站投运仪式活动现场氛围布置</w:t>
      </w:r>
      <w:r>
        <w:rPr>
          <w:rFonts w:eastAsia="仿宋"/>
          <w:color w:val="auto"/>
          <w:sz w:val="32"/>
          <w:szCs w:val="32"/>
          <w:highlight w:val="none"/>
          <w:u w:val="single"/>
        </w:rPr>
        <w:t>；</w:t>
      </w:r>
    </w:p>
    <w:p>
      <w:pPr>
        <w:keepNext w:val="0"/>
        <w:keepLines w:val="0"/>
        <w:pageBreakBefore w:val="0"/>
        <w:kinsoku/>
        <w:wordWrap/>
        <w:overflowPunct/>
        <w:topLinePunct w:val="0"/>
        <w:autoSpaceDE/>
        <w:autoSpaceDN/>
        <w:bidi w:val="0"/>
        <w:adjustRightInd w:val="0"/>
        <w:snapToGrid w:val="0"/>
        <w:spacing w:line="580" w:lineRule="exact"/>
        <w:ind w:firstLine="640" w:firstLineChars="200"/>
        <w:jc w:val="both"/>
        <w:textAlignment w:val="auto"/>
        <w:rPr>
          <w:rFonts w:eastAsia="仿宋"/>
          <w:color w:val="auto"/>
          <w:sz w:val="32"/>
          <w:szCs w:val="32"/>
          <w:highlight w:val="none"/>
          <w:u w:val="single"/>
        </w:rPr>
      </w:pPr>
      <w:r>
        <w:rPr>
          <w:rFonts w:eastAsia="仿宋"/>
          <w:color w:val="auto"/>
          <w:sz w:val="32"/>
          <w:szCs w:val="32"/>
          <w:highlight w:val="none"/>
        </w:rPr>
        <w:t>2、采购范围</w:t>
      </w:r>
      <w:r>
        <w:rPr>
          <w:rFonts w:hint="eastAsia" w:eastAsia="仿宋"/>
          <w:color w:val="auto"/>
          <w:sz w:val="32"/>
          <w:szCs w:val="32"/>
          <w:highlight w:val="none"/>
          <w:lang w:eastAsia="zh-CN"/>
        </w:rPr>
        <w:t>：</w:t>
      </w:r>
      <w:r>
        <w:rPr>
          <w:rFonts w:eastAsia="仿宋"/>
          <w:color w:val="auto"/>
          <w:sz w:val="32"/>
          <w:szCs w:val="32"/>
          <w:highlight w:val="none"/>
          <w:u w:val="single"/>
        </w:rPr>
        <w:t>详见</w:t>
      </w:r>
      <w:r>
        <w:rPr>
          <w:rFonts w:hint="eastAsia" w:eastAsia="仿宋"/>
          <w:color w:val="auto"/>
          <w:sz w:val="32"/>
          <w:szCs w:val="32"/>
          <w:highlight w:val="none"/>
          <w:u w:val="single"/>
        </w:rPr>
        <w:t>关于沙田加氢站投产仪式布置方案</w:t>
      </w:r>
      <w:r>
        <w:rPr>
          <w:rFonts w:eastAsia="仿宋"/>
          <w:color w:val="auto"/>
          <w:sz w:val="32"/>
          <w:szCs w:val="32"/>
          <w:highlight w:val="none"/>
          <w:u w:val="single"/>
        </w:rPr>
        <w:t>；</w:t>
      </w:r>
    </w:p>
    <w:p>
      <w:pPr>
        <w:keepNext w:val="0"/>
        <w:keepLines w:val="0"/>
        <w:pageBreakBefore w:val="0"/>
        <w:kinsoku/>
        <w:wordWrap/>
        <w:overflowPunct/>
        <w:topLinePunct w:val="0"/>
        <w:autoSpaceDE/>
        <w:autoSpaceDN/>
        <w:bidi w:val="0"/>
        <w:adjustRightInd w:val="0"/>
        <w:snapToGrid w:val="0"/>
        <w:spacing w:line="580" w:lineRule="exact"/>
        <w:ind w:firstLine="640" w:firstLineChars="200"/>
        <w:jc w:val="both"/>
        <w:textAlignment w:val="auto"/>
        <w:rPr>
          <w:rFonts w:eastAsia="仿宋"/>
          <w:color w:val="auto"/>
          <w:sz w:val="32"/>
          <w:szCs w:val="32"/>
          <w:highlight w:val="none"/>
        </w:rPr>
      </w:pPr>
      <w:r>
        <w:rPr>
          <w:rFonts w:eastAsia="仿宋"/>
          <w:color w:val="auto"/>
          <w:sz w:val="32"/>
          <w:szCs w:val="32"/>
          <w:highlight w:val="none"/>
        </w:rPr>
        <w:t>3、项目地点：</w:t>
      </w:r>
      <w:r>
        <w:rPr>
          <w:rFonts w:hint="eastAsia" w:eastAsia="仿宋"/>
          <w:color w:val="auto"/>
          <w:sz w:val="32"/>
          <w:szCs w:val="32"/>
          <w:highlight w:val="none"/>
          <w:u w:val="single"/>
          <w:lang w:val="en-US" w:eastAsia="zh-CN"/>
        </w:rPr>
        <w:t>东莞市沙田镇沙田大道502号。</w:t>
      </w:r>
    </w:p>
    <w:p>
      <w:pPr>
        <w:keepNext w:val="0"/>
        <w:keepLines w:val="0"/>
        <w:pageBreakBefore w:val="0"/>
        <w:kinsoku/>
        <w:wordWrap/>
        <w:overflowPunct/>
        <w:topLinePunct w:val="0"/>
        <w:autoSpaceDE/>
        <w:autoSpaceDN/>
        <w:bidi w:val="0"/>
        <w:adjustRightInd w:val="0"/>
        <w:snapToGrid w:val="0"/>
        <w:spacing w:line="580" w:lineRule="exact"/>
        <w:ind w:firstLine="643" w:firstLineChars="200"/>
        <w:jc w:val="both"/>
        <w:textAlignment w:val="auto"/>
        <w:outlineLvl w:val="1"/>
        <w:rPr>
          <w:rFonts w:hint="eastAsia" w:ascii="黑体" w:hAnsi="黑体" w:eastAsia="黑体" w:cs="黑体"/>
          <w:color w:val="auto"/>
          <w:sz w:val="32"/>
          <w:szCs w:val="32"/>
          <w:highlight w:val="none"/>
        </w:rPr>
      </w:pPr>
      <w:r>
        <w:rPr>
          <w:rFonts w:hint="eastAsia" w:ascii="黑体" w:hAnsi="黑体" w:eastAsia="黑体" w:cs="黑体"/>
          <w:b/>
          <w:bCs/>
          <w:color w:val="auto"/>
          <w:sz w:val="32"/>
          <w:szCs w:val="32"/>
          <w:highlight w:val="none"/>
        </w:rPr>
        <w:t>二、项目发布</w:t>
      </w:r>
    </w:p>
    <w:p>
      <w:pPr>
        <w:keepNext w:val="0"/>
        <w:keepLines w:val="0"/>
        <w:pageBreakBefore w:val="0"/>
        <w:kinsoku/>
        <w:wordWrap/>
        <w:overflowPunct/>
        <w:topLinePunct w:val="0"/>
        <w:autoSpaceDE/>
        <w:autoSpaceDN/>
        <w:bidi w:val="0"/>
        <w:adjustRightInd w:val="0"/>
        <w:snapToGrid w:val="0"/>
        <w:spacing w:line="580" w:lineRule="exact"/>
        <w:ind w:firstLine="640" w:firstLineChars="200"/>
        <w:jc w:val="both"/>
        <w:textAlignment w:val="auto"/>
        <w:rPr>
          <w:rFonts w:eastAsia="仿宋"/>
          <w:color w:val="auto"/>
          <w:sz w:val="32"/>
          <w:szCs w:val="32"/>
          <w:highlight w:val="none"/>
        </w:rPr>
      </w:pPr>
      <w:r>
        <w:rPr>
          <w:rFonts w:eastAsia="仿宋"/>
          <w:color w:val="auto"/>
          <w:sz w:val="32"/>
          <w:szCs w:val="32"/>
          <w:highlight w:val="none"/>
        </w:rPr>
        <w:t>本采购项目信息</w:t>
      </w:r>
      <w:bookmarkStart w:id="3" w:name="OLE_LINK6"/>
      <w:r>
        <w:rPr>
          <w:rFonts w:eastAsia="仿宋"/>
          <w:color w:val="auto"/>
          <w:sz w:val="32"/>
          <w:szCs w:val="32"/>
          <w:highlight w:val="none"/>
        </w:rPr>
        <w:t>在</w:t>
      </w:r>
      <w:bookmarkStart w:id="4" w:name="OLE_LINK2"/>
      <w:r>
        <w:rPr>
          <w:rFonts w:eastAsia="仿宋"/>
          <w:color w:val="auto"/>
          <w:sz w:val="32"/>
          <w:szCs w:val="32"/>
          <w:highlight w:val="none"/>
        </w:rPr>
        <w:t>东莞实业投资控股集团有限公司网站</w:t>
      </w:r>
      <w:bookmarkEnd w:id="4"/>
      <w:r>
        <w:rPr>
          <w:rFonts w:eastAsia="仿宋"/>
          <w:color w:val="auto"/>
          <w:sz w:val="32"/>
          <w:szCs w:val="32"/>
          <w:highlight w:val="none"/>
        </w:rPr>
        <w:t>（http://www.dgsy.com.cn/）发布</w:t>
      </w:r>
      <w:bookmarkEnd w:id="3"/>
      <w:r>
        <w:rPr>
          <w:rFonts w:eastAsia="仿宋"/>
          <w:color w:val="auto"/>
          <w:sz w:val="32"/>
          <w:szCs w:val="32"/>
          <w:highlight w:val="none"/>
        </w:rPr>
        <w:t>（参照《东实集团招标采购管理办法》、《工程招标实施细则》、《采购实施细则》要求执行）。</w:t>
      </w:r>
    </w:p>
    <w:p>
      <w:pPr>
        <w:keepNext w:val="0"/>
        <w:keepLines w:val="0"/>
        <w:pageBreakBefore w:val="0"/>
        <w:kinsoku/>
        <w:wordWrap/>
        <w:overflowPunct/>
        <w:topLinePunct w:val="0"/>
        <w:autoSpaceDE/>
        <w:autoSpaceDN/>
        <w:bidi w:val="0"/>
        <w:adjustRightInd w:val="0"/>
        <w:snapToGrid w:val="0"/>
        <w:spacing w:line="580" w:lineRule="exact"/>
        <w:ind w:firstLine="643" w:firstLineChars="200"/>
        <w:jc w:val="both"/>
        <w:textAlignment w:val="auto"/>
        <w:outlineLvl w:val="1"/>
        <w:rPr>
          <w:rFonts w:hint="eastAsia" w:ascii="黑体" w:hAnsi="黑体" w:eastAsia="黑体" w:cs="黑体"/>
          <w:color w:val="auto"/>
          <w:sz w:val="32"/>
          <w:szCs w:val="32"/>
          <w:highlight w:val="none"/>
        </w:rPr>
      </w:pPr>
      <w:r>
        <w:rPr>
          <w:rFonts w:hint="eastAsia" w:ascii="黑体" w:hAnsi="黑体" w:eastAsia="黑体" w:cs="黑体"/>
          <w:b/>
          <w:bCs/>
          <w:color w:val="auto"/>
          <w:sz w:val="32"/>
          <w:szCs w:val="32"/>
          <w:highlight w:val="none"/>
        </w:rPr>
        <w:sym w:font="Wingdings" w:char="F0AB"/>
      </w:r>
      <w:r>
        <w:rPr>
          <w:rFonts w:hint="eastAsia" w:ascii="黑体" w:hAnsi="黑体" w:eastAsia="黑体" w:cs="黑体"/>
          <w:b/>
          <w:bCs/>
          <w:color w:val="auto"/>
          <w:sz w:val="32"/>
          <w:szCs w:val="32"/>
          <w:highlight w:val="none"/>
        </w:rPr>
        <w:t>三、响应人资格要求</w:t>
      </w:r>
    </w:p>
    <w:p>
      <w:pPr>
        <w:keepNext w:val="0"/>
        <w:keepLines w:val="0"/>
        <w:pageBreakBefore w:val="0"/>
        <w:kinsoku/>
        <w:wordWrap/>
        <w:overflowPunct/>
        <w:topLinePunct w:val="0"/>
        <w:autoSpaceDE/>
        <w:autoSpaceDN/>
        <w:bidi w:val="0"/>
        <w:spacing w:line="580" w:lineRule="exact"/>
        <w:ind w:firstLine="640" w:firstLineChars="200"/>
        <w:jc w:val="both"/>
        <w:textAlignment w:val="auto"/>
        <w:rPr>
          <w:rFonts w:eastAsia="仿宋"/>
          <w:color w:val="auto"/>
          <w:sz w:val="32"/>
          <w:szCs w:val="32"/>
          <w:highlight w:val="none"/>
        </w:rPr>
      </w:pPr>
      <w:r>
        <w:rPr>
          <w:rFonts w:eastAsia="仿宋"/>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pPr>
        <w:keepNext w:val="0"/>
        <w:keepLines w:val="0"/>
        <w:pageBreakBefore w:val="0"/>
        <w:kinsoku/>
        <w:wordWrap/>
        <w:overflowPunct/>
        <w:topLinePunct w:val="0"/>
        <w:autoSpaceDE/>
        <w:autoSpaceDN/>
        <w:bidi w:val="0"/>
        <w:adjustRightInd w:val="0"/>
        <w:snapToGrid w:val="0"/>
        <w:spacing w:line="580" w:lineRule="exact"/>
        <w:ind w:firstLine="640" w:firstLineChars="200"/>
        <w:jc w:val="both"/>
        <w:textAlignment w:val="auto"/>
        <w:rPr>
          <w:rFonts w:hint="default" w:eastAsia="仿宋"/>
          <w:color w:val="auto"/>
          <w:sz w:val="32"/>
          <w:szCs w:val="32"/>
          <w:highlight w:val="none"/>
          <w:lang w:val="en-US" w:eastAsia="zh-CN"/>
        </w:rPr>
      </w:pPr>
      <w:r>
        <w:rPr>
          <w:rFonts w:eastAsia="仿宋"/>
          <w:color w:val="auto"/>
          <w:sz w:val="32"/>
          <w:szCs w:val="32"/>
          <w:highlight w:val="none"/>
        </w:rPr>
        <w:t>2、未被列入东实集团及下属企业相关领域黑名单。【以东莞实业投资控股集团有限公司发文（东实通〔2021〕44号）、（东实通〔2021〕98号）、（东实通〔2022〕75号）、（东实通〔2023〕37号）、（东实通〔2024〕163号）、（东实通〔2024〕195号）为准，如有最新发文通知，按最新文件执行。】</w:t>
      </w:r>
    </w:p>
    <w:p>
      <w:pPr>
        <w:keepNext w:val="0"/>
        <w:keepLines w:val="0"/>
        <w:pageBreakBefore w:val="0"/>
        <w:kinsoku/>
        <w:wordWrap/>
        <w:overflowPunct/>
        <w:topLinePunct w:val="0"/>
        <w:autoSpaceDE/>
        <w:autoSpaceDN/>
        <w:bidi w:val="0"/>
        <w:adjustRightInd w:val="0"/>
        <w:snapToGrid w:val="0"/>
        <w:spacing w:line="580" w:lineRule="exact"/>
        <w:ind w:firstLine="643" w:firstLineChars="200"/>
        <w:jc w:val="both"/>
        <w:textAlignment w:val="auto"/>
        <w:outlineLvl w:val="1"/>
        <w:rPr>
          <w:rFonts w:hint="eastAsia" w:ascii="黑体" w:hAnsi="黑体" w:eastAsia="黑体" w:cs="黑体"/>
          <w:color w:val="auto"/>
          <w:sz w:val="32"/>
          <w:szCs w:val="32"/>
          <w:highlight w:val="none"/>
        </w:rPr>
      </w:pPr>
      <w:r>
        <w:rPr>
          <w:rFonts w:hint="eastAsia" w:ascii="黑体" w:hAnsi="黑体" w:eastAsia="黑体" w:cs="黑体"/>
          <w:b/>
          <w:bCs/>
          <w:color w:val="auto"/>
          <w:sz w:val="32"/>
          <w:szCs w:val="32"/>
          <w:highlight w:val="none"/>
        </w:rPr>
        <w:t>四、采购内容及要求</w:t>
      </w:r>
    </w:p>
    <w:p>
      <w:pPr>
        <w:keepNext w:val="0"/>
        <w:keepLines w:val="0"/>
        <w:pageBreakBefore w:val="0"/>
        <w:kinsoku/>
        <w:wordWrap/>
        <w:overflowPunct/>
        <w:topLinePunct w:val="0"/>
        <w:autoSpaceDE/>
        <w:autoSpaceDN/>
        <w:bidi w:val="0"/>
        <w:spacing w:line="580" w:lineRule="exact"/>
        <w:ind w:firstLine="640" w:firstLineChars="200"/>
        <w:jc w:val="both"/>
        <w:textAlignment w:val="auto"/>
        <w:rPr>
          <w:rFonts w:eastAsia="仿宋"/>
          <w:color w:val="auto"/>
          <w:sz w:val="32"/>
          <w:szCs w:val="32"/>
          <w:highlight w:val="none"/>
        </w:rPr>
      </w:pPr>
      <w:r>
        <w:rPr>
          <w:rFonts w:eastAsia="仿宋"/>
          <w:color w:val="auto"/>
          <w:sz w:val="32"/>
          <w:szCs w:val="32"/>
          <w:highlight w:val="none"/>
        </w:rPr>
        <w:t>具体要求详见本询价文</w:t>
      </w:r>
      <w:r>
        <w:rPr>
          <w:rFonts w:hint="eastAsia" w:ascii="仿宋" w:hAnsi="仿宋" w:eastAsia="仿宋" w:cs="仿宋"/>
          <w:color w:val="auto"/>
          <w:sz w:val="32"/>
          <w:szCs w:val="32"/>
          <w:highlight w:val="none"/>
        </w:rPr>
        <w:t>件：详见关于沙田加氢站投产仪式活动的方案，</w:t>
      </w:r>
      <w:r>
        <w:rPr>
          <w:rFonts w:hint="eastAsia" w:ascii="仿宋" w:hAnsi="仿宋" w:eastAsia="仿宋" w:cs="仿宋"/>
          <w:color w:val="auto"/>
          <w:sz w:val="32"/>
          <w:szCs w:val="32"/>
          <w:highlight w:val="none"/>
          <w:lang w:val="en-US" w:eastAsia="zh-CN"/>
        </w:rPr>
        <w:t>如</w:t>
      </w:r>
      <w:r>
        <w:rPr>
          <w:rFonts w:hint="eastAsia" w:ascii="仿宋" w:hAnsi="仿宋" w:eastAsia="仿宋" w:cs="仿宋"/>
          <w:color w:val="auto"/>
          <w:sz w:val="32"/>
          <w:szCs w:val="32"/>
          <w:highlight w:val="none"/>
        </w:rPr>
        <w:t>因未详细了解本</w:t>
      </w:r>
      <w:r>
        <w:rPr>
          <w:rFonts w:hint="eastAsia" w:ascii="仿宋" w:hAnsi="仿宋" w:eastAsia="仿宋" w:cs="仿宋"/>
          <w:color w:val="auto"/>
          <w:sz w:val="32"/>
          <w:szCs w:val="32"/>
          <w:highlight w:val="none"/>
          <w:lang w:val="en-US" w:eastAsia="zh-CN"/>
        </w:rPr>
        <w:t>项目需求</w:t>
      </w:r>
      <w:r>
        <w:rPr>
          <w:rFonts w:hint="eastAsia" w:ascii="仿宋" w:hAnsi="仿宋" w:eastAsia="仿宋" w:cs="仿宋"/>
          <w:color w:val="auto"/>
          <w:sz w:val="32"/>
          <w:szCs w:val="32"/>
          <w:highlight w:val="none"/>
        </w:rPr>
        <w:t>造成报价遗漏，责任由响应人自行承担。</w:t>
      </w:r>
    </w:p>
    <w:p>
      <w:pPr>
        <w:keepNext w:val="0"/>
        <w:keepLines w:val="0"/>
        <w:pageBreakBefore w:val="0"/>
        <w:kinsoku/>
        <w:wordWrap/>
        <w:overflowPunct/>
        <w:topLinePunct w:val="0"/>
        <w:autoSpaceDE/>
        <w:autoSpaceDN/>
        <w:bidi w:val="0"/>
        <w:adjustRightInd w:val="0"/>
        <w:snapToGrid w:val="0"/>
        <w:spacing w:line="580" w:lineRule="exact"/>
        <w:ind w:firstLine="643" w:firstLineChars="200"/>
        <w:jc w:val="both"/>
        <w:textAlignment w:val="auto"/>
        <w:outlineLvl w:val="1"/>
        <w:rPr>
          <w:rFonts w:hint="eastAsia" w:ascii="黑体" w:hAnsi="黑体" w:eastAsia="黑体" w:cs="黑体"/>
          <w:color w:val="auto"/>
          <w:sz w:val="32"/>
          <w:szCs w:val="32"/>
          <w:highlight w:val="none"/>
        </w:rPr>
      </w:pPr>
      <w:r>
        <w:rPr>
          <w:rFonts w:hint="eastAsia" w:ascii="黑体" w:hAnsi="黑体" w:eastAsia="黑体" w:cs="黑体"/>
          <w:b/>
          <w:bCs/>
          <w:color w:val="auto"/>
          <w:sz w:val="32"/>
          <w:szCs w:val="32"/>
          <w:highlight w:val="none"/>
        </w:rPr>
        <w:t>五、完成时间</w:t>
      </w:r>
    </w:p>
    <w:p>
      <w:pPr>
        <w:keepNext w:val="0"/>
        <w:keepLines w:val="0"/>
        <w:pageBreakBefore w:val="0"/>
        <w:kinsoku/>
        <w:wordWrap/>
        <w:overflowPunct/>
        <w:topLinePunct w:val="0"/>
        <w:autoSpaceDE/>
        <w:autoSpaceDN/>
        <w:bidi w:val="0"/>
        <w:adjustRightInd w:val="0"/>
        <w:snapToGrid w:val="0"/>
        <w:spacing w:line="580" w:lineRule="exact"/>
        <w:ind w:firstLine="640" w:firstLineChars="200"/>
        <w:jc w:val="both"/>
        <w:textAlignment w:val="auto"/>
        <w:outlineLvl w:val="1"/>
        <w:rPr>
          <w:rFonts w:eastAsia="仿宋"/>
          <w:color w:val="auto"/>
          <w:sz w:val="32"/>
          <w:szCs w:val="32"/>
          <w:highlight w:val="none"/>
        </w:rPr>
      </w:pPr>
      <w:bookmarkStart w:id="5" w:name="_Hlk38897553"/>
      <w:r>
        <w:rPr>
          <w:rFonts w:hint="eastAsia" w:ascii="Times New Roman" w:hAnsi="Times New Roman" w:eastAsia="仿宋" w:cs="Times New Roman"/>
          <w:color w:val="auto"/>
          <w:sz w:val="32"/>
          <w:szCs w:val="32"/>
          <w:highlight w:val="none"/>
          <w:u w:val="single"/>
          <w:lang w:val="en-US" w:eastAsia="zh-CN"/>
        </w:rPr>
        <w:t>成交单位</w:t>
      </w:r>
      <w:r>
        <w:rPr>
          <w:rFonts w:hint="eastAsia" w:eastAsia="仿宋" w:cs="Times New Roman"/>
          <w:color w:val="auto"/>
          <w:sz w:val="32"/>
          <w:szCs w:val="32"/>
          <w:highlight w:val="none"/>
          <w:u w:val="single"/>
          <w:lang w:val="en-US" w:eastAsia="zh-CN"/>
        </w:rPr>
        <w:t>在收到成交通知书后2天内完成方案确认，5天内完成布置</w:t>
      </w:r>
      <w:r>
        <w:rPr>
          <w:rFonts w:hint="eastAsia" w:ascii="Times New Roman" w:hAnsi="Times New Roman" w:eastAsia="仿宋" w:cs="Times New Roman"/>
          <w:color w:val="auto"/>
          <w:sz w:val="32"/>
          <w:szCs w:val="32"/>
          <w:highlight w:val="none"/>
          <w:u w:val="single"/>
        </w:rPr>
        <w:t>。</w:t>
      </w:r>
      <w:bookmarkEnd w:id="5"/>
    </w:p>
    <w:p>
      <w:pPr>
        <w:keepNext w:val="0"/>
        <w:keepLines w:val="0"/>
        <w:pageBreakBefore w:val="0"/>
        <w:kinsoku/>
        <w:wordWrap/>
        <w:overflowPunct/>
        <w:topLinePunct w:val="0"/>
        <w:autoSpaceDE/>
        <w:autoSpaceDN/>
        <w:bidi w:val="0"/>
        <w:adjustRightInd w:val="0"/>
        <w:snapToGrid w:val="0"/>
        <w:spacing w:line="580" w:lineRule="exact"/>
        <w:ind w:firstLine="643" w:firstLineChars="200"/>
        <w:jc w:val="both"/>
        <w:textAlignment w:val="auto"/>
        <w:outlineLvl w:val="1"/>
        <w:rPr>
          <w:rFonts w:hint="eastAsia" w:ascii="黑体" w:hAnsi="黑体" w:eastAsia="黑体" w:cs="黑体"/>
          <w:b/>
          <w:bCs/>
          <w:color w:val="auto"/>
          <w:sz w:val="32"/>
          <w:szCs w:val="32"/>
          <w:highlight w:val="none"/>
        </w:rPr>
      </w:pPr>
      <w:r>
        <w:rPr>
          <w:rFonts w:hint="eastAsia" w:ascii="黑体" w:hAnsi="黑体" w:eastAsia="黑体" w:cs="黑体"/>
          <w:b/>
          <w:bCs/>
          <w:color w:val="auto"/>
          <w:sz w:val="32"/>
          <w:szCs w:val="32"/>
          <w:highlight w:val="none"/>
          <w:lang w:val="en-US" w:eastAsia="zh-CN"/>
        </w:rPr>
        <w:t>六</w:t>
      </w:r>
      <w:r>
        <w:rPr>
          <w:rFonts w:hint="eastAsia" w:ascii="黑体" w:hAnsi="黑体" w:eastAsia="黑体" w:cs="黑体"/>
          <w:b/>
          <w:bCs/>
          <w:color w:val="auto"/>
          <w:sz w:val="32"/>
          <w:szCs w:val="32"/>
          <w:highlight w:val="none"/>
        </w:rPr>
        <w:t>、支付方式</w:t>
      </w:r>
    </w:p>
    <w:p>
      <w:pPr>
        <w:keepNext w:val="0"/>
        <w:keepLines w:val="0"/>
        <w:pageBreakBefore w:val="0"/>
        <w:kinsoku/>
        <w:wordWrap/>
        <w:overflowPunct/>
        <w:topLinePunct w:val="0"/>
        <w:autoSpaceDE/>
        <w:autoSpaceDN/>
        <w:bidi w:val="0"/>
        <w:spacing w:line="580" w:lineRule="exact"/>
        <w:ind w:firstLine="640" w:firstLineChars="200"/>
        <w:jc w:val="both"/>
        <w:textAlignment w:val="auto"/>
        <w:rPr>
          <w:rFonts w:eastAsia="仿宋"/>
          <w:color w:val="auto"/>
          <w:sz w:val="32"/>
          <w:szCs w:val="32"/>
          <w:highlight w:val="none"/>
        </w:rPr>
      </w:pPr>
      <w:bookmarkStart w:id="6" w:name="_Hlk38897977"/>
      <w:r>
        <w:rPr>
          <w:rFonts w:hint="eastAsia" w:eastAsia="仿宋"/>
          <w:color w:val="auto"/>
          <w:sz w:val="32"/>
          <w:szCs w:val="32"/>
          <w:highlight w:val="none"/>
          <w:lang w:val="en-US" w:eastAsia="zh-CN"/>
        </w:rPr>
        <w:t>项目实施完成</w:t>
      </w:r>
      <w:r>
        <w:rPr>
          <w:rFonts w:eastAsia="仿宋"/>
          <w:color w:val="auto"/>
          <w:sz w:val="32"/>
          <w:szCs w:val="32"/>
          <w:highlight w:val="none"/>
        </w:rPr>
        <w:t>后</w:t>
      </w:r>
      <w:r>
        <w:rPr>
          <w:rFonts w:hint="eastAsia" w:eastAsia="仿宋"/>
          <w:color w:val="auto"/>
          <w:sz w:val="32"/>
          <w:szCs w:val="32"/>
          <w:highlight w:val="none"/>
          <w:lang w:val="en-US" w:eastAsia="zh-CN"/>
        </w:rPr>
        <w:t>7天内</w:t>
      </w:r>
      <w:r>
        <w:rPr>
          <w:rFonts w:eastAsia="仿宋"/>
          <w:color w:val="auto"/>
          <w:sz w:val="32"/>
          <w:szCs w:val="32"/>
          <w:highlight w:val="none"/>
        </w:rPr>
        <w:t>，</w:t>
      </w:r>
      <w:r>
        <w:rPr>
          <w:rFonts w:hint="eastAsia" w:eastAsia="仿宋"/>
          <w:color w:val="auto"/>
          <w:sz w:val="32"/>
          <w:szCs w:val="32"/>
          <w:highlight w:val="none"/>
          <w:lang w:val="en-US" w:eastAsia="zh-CN"/>
        </w:rPr>
        <w:t>供应方需向采购方开具3%增值税专用发票，采购方在收供应方发票后15天内</w:t>
      </w:r>
      <w:r>
        <w:rPr>
          <w:rFonts w:eastAsia="仿宋"/>
          <w:color w:val="auto"/>
          <w:sz w:val="32"/>
          <w:szCs w:val="32"/>
          <w:highlight w:val="none"/>
        </w:rPr>
        <w:t>一次性</w:t>
      </w:r>
      <w:r>
        <w:rPr>
          <w:rFonts w:hint="eastAsia" w:eastAsia="仿宋"/>
          <w:color w:val="auto"/>
          <w:sz w:val="32"/>
          <w:szCs w:val="32"/>
          <w:highlight w:val="none"/>
          <w:lang w:val="en-US" w:eastAsia="zh-CN"/>
        </w:rPr>
        <w:t>全额</w:t>
      </w:r>
      <w:r>
        <w:rPr>
          <w:rFonts w:eastAsia="仿宋"/>
          <w:color w:val="auto"/>
          <w:sz w:val="32"/>
          <w:szCs w:val="32"/>
          <w:highlight w:val="none"/>
        </w:rPr>
        <w:t>支付。</w:t>
      </w:r>
    </w:p>
    <w:bookmarkEnd w:id="6"/>
    <w:p>
      <w:pPr>
        <w:keepNext w:val="0"/>
        <w:keepLines w:val="0"/>
        <w:pageBreakBefore w:val="0"/>
        <w:kinsoku/>
        <w:wordWrap/>
        <w:overflowPunct/>
        <w:topLinePunct w:val="0"/>
        <w:autoSpaceDE/>
        <w:autoSpaceDN/>
        <w:bidi w:val="0"/>
        <w:adjustRightInd w:val="0"/>
        <w:snapToGrid w:val="0"/>
        <w:spacing w:line="580" w:lineRule="exact"/>
        <w:ind w:firstLine="643" w:firstLineChars="200"/>
        <w:jc w:val="both"/>
        <w:textAlignment w:val="auto"/>
        <w:outlineLvl w:val="1"/>
        <w:rPr>
          <w:rFonts w:hint="eastAsia" w:ascii="黑体" w:hAnsi="黑体" w:eastAsia="黑体" w:cs="黑体"/>
          <w:b/>
          <w:bCs/>
          <w:color w:val="auto"/>
          <w:sz w:val="32"/>
          <w:szCs w:val="32"/>
          <w:highlight w:val="none"/>
        </w:rPr>
      </w:pPr>
      <w:r>
        <w:rPr>
          <w:rFonts w:hint="eastAsia" w:ascii="黑体" w:hAnsi="黑体" w:eastAsia="黑体" w:cs="黑体"/>
          <w:b/>
          <w:bCs/>
          <w:color w:val="auto"/>
          <w:sz w:val="32"/>
          <w:szCs w:val="32"/>
          <w:highlight w:val="none"/>
          <w:lang w:val="en-US" w:eastAsia="zh-CN"/>
        </w:rPr>
        <w:t>七</w:t>
      </w:r>
      <w:r>
        <w:rPr>
          <w:rFonts w:hint="eastAsia" w:ascii="黑体" w:hAnsi="黑体" w:eastAsia="黑体" w:cs="黑体"/>
          <w:b/>
          <w:bCs/>
          <w:color w:val="auto"/>
          <w:sz w:val="32"/>
          <w:szCs w:val="32"/>
          <w:highlight w:val="none"/>
        </w:rPr>
        <w:t>、报价</w:t>
      </w:r>
    </w:p>
    <w:p>
      <w:pPr>
        <w:keepNext w:val="0"/>
        <w:keepLines w:val="0"/>
        <w:pageBreakBefore w:val="0"/>
        <w:kinsoku/>
        <w:wordWrap/>
        <w:overflowPunct/>
        <w:topLinePunct w:val="0"/>
        <w:autoSpaceDE/>
        <w:autoSpaceDN/>
        <w:bidi w:val="0"/>
        <w:spacing w:line="580" w:lineRule="exact"/>
        <w:ind w:firstLine="640" w:firstLineChars="200"/>
        <w:jc w:val="both"/>
        <w:textAlignment w:val="auto"/>
        <w:rPr>
          <w:rFonts w:hint="eastAsia" w:eastAsia="仿宋"/>
          <w:color w:val="auto"/>
          <w:sz w:val="32"/>
          <w:szCs w:val="32"/>
          <w:highlight w:val="none"/>
          <w:lang w:val="en-US" w:eastAsia="zh-CN"/>
        </w:rPr>
      </w:pPr>
      <w:r>
        <w:rPr>
          <w:rFonts w:hint="eastAsia" w:eastAsia="仿宋"/>
          <w:color w:val="auto"/>
          <w:sz w:val="32"/>
          <w:szCs w:val="32"/>
          <w:highlight w:val="none"/>
          <w:lang w:val="en-US" w:eastAsia="zh-CN"/>
        </w:rPr>
        <w:t>采购限价：不高于1.5万元</w:t>
      </w:r>
    </w:p>
    <w:p>
      <w:pPr>
        <w:keepNext w:val="0"/>
        <w:keepLines w:val="0"/>
        <w:pageBreakBefore w:val="0"/>
        <w:kinsoku/>
        <w:wordWrap/>
        <w:overflowPunct/>
        <w:topLinePunct w:val="0"/>
        <w:autoSpaceDE/>
        <w:autoSpaceDN/>
        <w:bidi w:val="0"/>
        <w:spacing w:line="580" w:lineRule="exact"/>
        <w:ind w:firstLine="640" w:firstLineChars="200"/>
        <w:jc w:val="both"/>
        <w:textAlignment w:val="auto"/>
        <w:rPr>
          <w:rFonts w:hint="default" w:eastAsia="仿宋"/>
          <w:color w:val="auto"/>
          <w:sz w:val="32"/>
          <w:szCs w:val="32"/>
          <w:highlight w:val="none"/>
          <w:lang w:val="en-US"/>
        </w:rPr>
      </w:pPr>
      <w:r>
        <w:rPr>
          <w:rFonts w:hint="eastAsia" w:eastAsia="仿宋"/>
          <w:color w:val="auto"/>
          <w:sz w:val="32"/>
          <w:szCs w:val="32"/>
          <w:highlight w:val="none"/>
          <w:lang w:val="en-US" w:eastAsia="zh-CN"/>
        </w:rPr>
        <w:t>响应人应根据询价文件，出具设计方案及报价清单。如有需求，可到现场查看活动场地。</w:t>
      </w:r>
    </w:p>
    <w:p>
      <w:pPr>
        <w:keepNext w:val="0"/>
        <w:keepLines w:val="0"/>
        <w:pageBreakBefore w:val="0"/>
        <w:kinsoku/>
        <w:wordWrap/>
        <w:overflowPunct/>
        <w:topLinePunct w:val="0"/>
        <w:autoSpaceDE/>
        <w:autoSpaceDN/>
        <w:bidi w:val="0"/>
        <w:spacing w:line="580" w:lineRule="exact"/>
        <w:ind w:firstLine="640" w:firstLineChars="200"/>
        <w:jc w:val="both"/>
        <w:textAlignment w:val="auto"/>
        <w:rPr>
          <w:rFonts w:eastAsia="仿宋"/>
          <w:color w:val="auto"/>
          <w:sz w:val="32"/>
          <w:szCs w:val="32"/>
          <w:highlight w:val="none"/>
        </w:rPr>
      </w:pPr>
      <w:r>
        <w:rPr>
          <w:rFonts w:eastAsia="仿宋"/>
          <w:color w:val="auto"/>
          <w:sz w:val="32"/>
          <w:szCs w:val="32"/>
          <w:highlight w:val="none"/>
        </w:rPr>
        <w:t>本项目发包方式为</w:t>
      </w:r>
      <w:r>
        <w:rPr>
          <w:rFonts w:eastAsia="仿宋"/>
          <w:color w:val="auto"/>
          <w:sz w:val="32"/>
          <w:szCs w:val="32"/>
          <w:highlight w:val="none"/>
          <w:u w:val="single"/>
        </w:rPr>
        <w:t>固定总价包干，实行固定价格报价，包括但不限于：</w:t>
      </w:r>
      <w:r>
        <w:rPr>
          <w:rFonts w:hint="eastAsia" w:eastAsia="仿宋"/>
          <w:color w:val="auto"/>
          <w:sz w:val="32"/>
          <w:szCs w:val="32"/>
          <w:highlight w:val="none"/>
          <w:u w:val="single"/>
        </w:rPr>
        <w:t>本项目中报价应包含</w:t>
      </w:r>
      <w:r>
        <w:rPr>
          <w:rFonts w:hint="eastAsia" w:eastAsia="仿宋"/>
          <w:color w:val="auto"/>
          <w:sz w:val="32"/>
          <w:szCs w:val="32"/>
          <w:highlight w:val="none"/>
          <w:u w:val="single"/>
          <w:lang w:val="en-US" w:eastAsia="zh-CN"/>
        </w:rPr>
        <w:t>的设计费、成本费、制作</w:t>
      </w:r>
      <w:r>
        <w:rPr>
          <w:rFonts w:hint="eastAsia" w:eastAsia="仿宋"/>
          <w:color w:val="auto"/>
          <w:sz w:val="32"/>
          <w:szCs w:val="32"/>
          <w:highlight w:val="none"/>
          <w:u w:val="single"/>
        </w:rPr>
        <w:t>费、运输费、安装费、人工费、</w:t>
      </w:r>
      <w:r>
        <w:rPr>
          <w:rFonts w:hint="eastAsia" w:eastAsia="仿宋"/>
          <w:color w:val="auto"/>
          <w:sz w:val="32"/>
          <w:szCs w:val="32"/>
          <w:highlight w:val="none"/>
          <w:u w:val="single"/>
          <w:lang w:val="en-US" w:eastAsia="zh-CN"/>
        </w:rPr>
        <w:t>税金等在项目过程中可能产生的一切费用</w:t>
      </w:r>
      <w:r>
        <w:rPr>
          <w:rFonts w:hint="eastAsia" w:eastAsia="仿宋"/>
          <w:color w:val="auto"/>
          <w:sz w:val="32"/>
          <w:szCs w:val="32"/>
          <w:highlight w:val="none"/>
          <w:u w:val="single"/>
        </w:rPr>
        <w:t>。采购人不再额外支付任何费用</w:t>
      </w:r>
      <w:r>
        <w:rPr>
          <w:rFonts w:eastAsia="仿宋"/>
          <w:color w:val="auto"/>
          <w:sz w:val="32"/>
          <w:szCs w:val="32"/>
          <w:highlight w:val="none"/>
          <w:u w:val="single"/>
        </w:rPr>
        <w:t>。响应人已充分考虑了本项目服务内容及要求描述工作量可能与最终实际工作量存在差距的风险。</w:t>
      </w:r>
    </w:p>
    <w:p>
      <w:pPr>
        <w:keepNext w:val="0"/>
        <w:keepLines w:val="0"/>
        <w:pageBreakBefore w:val="0"/>
        <w:kinsoku/>
        <w:wordWrap/>
        <w:overflowPunct/>
        <w:topLinePunct w:val="0"/>
        <w:autoSpaceDE/>
        <w:autoSpaceDN/>
        <w:bidi w:val="0"/>
        <w:adjustRightInd w:val="0"/>
        <w:snapToGrid w:val="0"/>
        <w:spacing w:line="580" w:lineRule="exact"/>
        <w:ind w:firstLine="643" w:firstLineChars="200"/>
        <w:jc w:val="both"/>
        <w:textAlignment w:val="auto"/>
        <w:outlineLvl w:val="1"/>
        <w:rPr>
          <w:rFonts w:hint="eastAsia" w:ascii="黑体" w:hAnsi="黑体" w:eastAsia="黑体" w:cs="黑体"/>
          <w:b/>
          <w:bCs/>
          <w:color w:val="auto"/>
          <w:sz w:val="32"/>
          <w:szCs w:val="32"/>
          <w:highlight w:val="none"/>
        </w:rPr>
      </w:pPr>
      <w:r>
        <w:rPr>
          <w:rFonts w:hint="eastAsia" w:ascii="黑体" w:hAnsi="黑体" w:eastAsia="黑体" w:cs="黑体"/>
          <w:b/>
          <w:bCs/>
          <w:color w:val="auto"/>
          <w:sz w:val="32"/>
          <w:szCs w:val="32"/>
          <w:highlight w:val="none"/>
          <w:lang w:val="en-US" w:eastAsia="zh-CN"/>
        </w:rPr>
        <w:t>八</w:t>
      </w:r>
      <w:r>
        <w:rPr>
          <w:rFonts w:hint="eastAsia" w:ascii="黑体" w:hAnsi="黑体" w:eastAsia="黑体" w:cs="黑体"/>
          <w:b/>
          <w:bCs/>
          <w:color w:val="auto"/>
          <w:sz w:val="32"/>
          <w:szCs w:val="32"/>
          <w:highlight w:val="none"/>
        </w:rPr>
        <w:t>、定标</w:t>
      </w:r>
    </w:p>
    <w:p>
      <w:pPr>
        <w:keepNext w:val="0"/>
        <w:keepLines w:val="0"/>
        <w:pageBreakBefore w:val="0"/>
        <w:numPr>
          <w:ilvl w:val="0"/>
          <w:numId w:val="0"/>
        </w:numPr>
        <w:kinsoku/>
        <w:wordWrap/>
        <w:overflowPunct/>
        <w:topLinePunct w:val="0"/>
        <w:autoSpaceDE/>
        <w:autoSpaceDN/>
        <w:bidi w:val="0"/>
        <w:spacing w:line="580" w:lineRule="exact"/>
        <w:ind w:firstLine="640" w:firstLineChars="200"/>
        <w:jc w:val="both"/>
        <w:textAlignment w:val="auto"/>
        <w:rPr>
          <w:rFonts w:hint="eastAsia" w:eastAsia="仿宋"/>
          <w:color w:val="auto"/>
          <w:sz w:val="32"/>
          <w:szCs w:val="32"/>
          <w:highlight w:val="none"/>
          <w:u w:val="single"/>
          <w:lang w:val="en-US" w:eastAsia="zh-CN"/>
        </w:rPr>
      </w:pPr>
      <w:bookmarkStart w:id="7" w:name="OLE_LINK5"/>
      <w:r>
        <w:rPr>
          <w:rFonts w:hint="default" w:eastAsia="仿宋"/>
          <w:color w:val="auto"/>
          <w:sz w:val="32"/>
          <w:szCs w:val="32"/>
          <w:highlight w:val="none"/>
          <w:u w:val="single"/>
          <w:lang w:val="en-US" w:eastAsia="zh-CN"/>
        </w:rPr>
        <w:t>本次项目采用</w:t>
      </w:r>
      <w:r>
        <w:rPr>
          <w:rFonts w:hint="eastAsia" w:eastAsia="仿宋"/>
          <w:color w:val="auto"/>
          <w:sz w:val="32"/>
          <w:szCs w:val="32"/>
          <w:highlight w:val="none"/>
          <w:u w:val="single"/>
          <w:lang w:val="en-US" w:eastAsia="zh-CN"/>
        </w:rPr>
        <w:t>综合评标</w:t>
      </w:r>
      <w:r>
        <w:rPr>
          <w:rFonts w:hint="default" w:eastAsia="仿宋"/>
          <w:color w:val="auto"/>
          <w:sz w:val="32"/>
          <w:szCs w:val="32"/>
          <w:highlight w:val="none"/>
          <w:u w:val="single"/>
          <w:lang w:val="en-US" w:eastAsia="zh-CN"/>
        </w:rPr>
        <w:t>方式</w:t>
      </w:r>
      <w:r>
        <w:rPr>
          <w:rFonts w:hint="eastAsia" w:eastAsia="仿宋"/>
          <w:color w:val="auto"/>
          <w:sz w:val="32"/>
          <w:szCs w:val="32"/>
          <w:highlight w:val="none"/>
          <w:u w:val="single"/>
          <w:lang w:val="en-US" w:eastAsia="zh-CN"/>
        </w:rPr>
        <w:t>进行</w:t>
      </w:r>
      <w:r>
        <w:rPr>
          <w:rFonts w:hint="default" w:eastAsia="仿宋"/>
          <w:color w:val="auto"/>
          <w:sz w:val="32"/>
          <w:szCs w:val="32"/>
          <w:highlight w:val="none"/>
          <w:u w:val="single"/>
          <w:lang w:val="en-US" w:eastAsia="zh-CN"/>
        </w:rPr>
        <w:t>采购：</w:t>
      </w:r>
      <w:r>
        <w:rPr>
          <w:rFonts w:hint="eastAsia" w:eastAsia="仿宋"/>
          <w:color w:val="auto"/>
          <w:sz w:val="32"/>
          <w:szCs w:val="32"/>
          <w:highlight w:val="none"/>
          <w:u w:val="single"/>
          <w:lang w:val="en-US" w:eastAsia="zh-CN"/>
        </w:rPr>
        <w:t>评标</w:t>
      </w:r>
      <w:r>
        <w:rPr>
          <w:rFonts w:hint="default" w:eastAsia="仿宋"/>
          <w:color w:val="auto"/>
          <w:sz w:val="32"/>
          <w:szCs w:val="32"/>
          <w:highlight w:val="none"/>
          <w:u w:val="single"/>
          <w:lang w:val="en-US" w:eastAsia="zh-CN"/>
        </w:rPr>
        <w:t>小组对响应文件进行审查，</w:t>
      </w:r>
      <w:r>
        <w:rPr>
          <w:rFonts w:hint="eastAsia" w:eastAsia="仿宋"/>
          <w:color w:val="auto"/>
          <w:sz w:val="32"/>
          <w:szCs w:val="32"/>
          <w:highlight w:val="none"/>
          <w:u w:val="single"/>
          <w:lang w:val="en-US" w:eastAsia="zh-CN"/>
        </w:rPr>
        <w:t>在满足符合要求的三家（含）以上报价情况下</w:t>
      </w:r>
      <w:r>
        <w:rPr>
          <w:rFonts w:hint="default" w:eastAsia="仿宋"/>
          <w:color w:val="auto"/>
          <w:sz w:val="32"/>
          <w:szCs w:val="32"/>
          <w:highlight w:val="none"/>
          <w:u w:val="single"/>
          <w:lang w:val="en-US" w:eastAsia="zh-CN"/>
        </w:rPr>
        <w:t>，</w:t>
      </w:r>
      <w:r>
        <w:rPr>
          <w:rFonts w:hint="eastAsia" w:eastAsia="仿宋"/>
          <w:color w:val="auto"/>
          <w:sz w:val="32"/>
          <w:szCs w:val="32"/>
          <w:highlight w:val="none"/>
          <w:u w:val="single"/>
          <w:lang w:val="en-US" w:eastAsia="zh-CN"/>
        </w:rPr>
        <w:t>评标</w:t>
      </w:r>
      <w:r>
        <w:rPr>
          <w:rFonts w:hint="default" w:eastAsia="仿宋"/>
          <w:color w:val="auto"/>
          <w:sz w:val="32"/>
          <w:szCs w:val="32"/>
          <w:highlight w:val="none"/>
          <w:u w:val="single"/>
          <w:lang w:val="en-US" w:eastAsia="zh-CN"/>
        </w:rPr>
        <w:t>小组</w:t>
      </w:r>
      <w:r>
        <w:rPr>
          <w:rFonts w:hint="eastAsia" w:eastAsia="仿宋"/>
          <w:color w:val="auto"/>
          <w:sz w:val="32"/>
          <w:szCs w:val="32"/>
          <w:highlight w:val="none"/>
          <w:u w:val="single"/>
          <w:lang w:val="en-US" w:eastAsia="zh-CN"/>
        </w:rPr>
        <w:t>将基于</w:t>
      </w:r>
      <w:r>
        <w:rPr>
          <w:rFonts w:hint="default" w:eastAsia="仿宋"/>
          <w:color w:val="auto"/>
          <w:sz w:val="32"/>
          <w:szCs w:val="32"/>
          <w:highlight w:val="none"/>
          <w:u w:val="single"/>
          <w:lang w:val="en-US" w:eastAsia="zh-CN"/>
        </w:rPr>
        <w:t>响应</w:t>
      </w:r>
      <w:r>
        <w:rPr>
          <w:rFonts w:hint="eastAsia" w:eastAsia="仿宋"/>
          <w:color w:val="auto"/>
          <w:sz w:val="32"/>
          <w:szCs w:val="32"/>
          <w:highlight w:val="none"/>
          <w:u w:val="single"/>
          <w:lang w:val="en-US" w:eastAsia="zh-CN"/>
        </w:rPr>
        <w:t>文件方案设计与活动主体的符合性、报价合理性、加氢站项目实施经验三方面综合评分，得分最高的为中标单位。</w:t>
      </w:r>
    </w:p>
    <w:bookmarkEnd w:id="7"/>
    <w:p>
      <w:pPr>
        <w:keepNext w:val="0"/>
        <w:keepLines w:val="0"/>
        <w:pageBreakBefore w:val="0"/>
        <w:kinsoku/>
        <w:wordWrap/>
        <w:overflowPunct/>
        <w:topLinePunct w:val="0"/>
        <w:autoSpaceDE/>
        <w:autoSpaceDN/>
        <w:bidi w:val="0"/>
        <w:adjustRightInd w:val="0"/>
        <w:snapToGrid w:val="0"/>
        <w:spacing w:line="580" w:lineRule="exact"/>
        <w:ind w:firstLine="643" w:firstLineChars="200"/>
        <w:jc w:val="both"/>
        <w:textAlignment w:val="auto"/>
        <w:outlineLvl w:val="1"/>
        <w:rPr>
          <w:rFonts w:hint="eastAsia" w:ascii="黑体" w:hAnsi="黑体" w:eastAsia="黑体" w:cs="黑体"/>
          <w:b/>
          <w:bCs/>
          <w:color w:val="auto"/>
          <w:sz w:val="32"/>
          <w:szCs w:val="32"/>
          <w:highlight w:val="none"/>
        </w:rPr>
      </w:pPr>
      <w:r>
        <w:rPr>
          <w:rFonts w:hint="eastAsia" w:ascii="黑体" w:hAnsi="黑体" w:eastAsia="黑体" w:cs="黑体"/>
          <w:b/>
          <w:bCs/>
          <w:color w:val="auto"/>
          <w:sz w:val="32"/>
          <w:szCs w:val="32"/>
          <w:highlight w:val="none"/>
          <w:lang w:val="en-US" w:eastAsia="zh-CN"/>
        </w:rPr>
        <w:t>九</w:t>
      </w:r>
      <w:r>
        <w:rPr>
          <w:rFonts w:hint="eastAsia" w:ascii="黑体" w:hAnsi="黑体" w:eastAsia="黑体" w:cs="黑体"/>
          <w:b/>
          <w:bCs/>
          <w:color w:val="auto"/>
          <w:sz w:val="32"/>
          <w:szCs w:val="32"/>
          <w:highlight w:val="none"/>
        </w:rPr>
        <w:t>、采取的合同文本</w:t>
      </w:r>
    </w:p>
    <w:p>
      <w:pPr>
        <w:keepNext w:val="0"/>
        <w:keepLines w:val="0"/>
        <w:pageBreakBefore w:val="0"/>
        <w:kinsoku/>
        <w:wordWrap/>
        <w:overflowPunct/>
        <w:topLinePunct w:val="0"/>
        <w:autoSpaceDE/>
        <w:autoSpaceDN/>
        <w:bidi w:val="0"/>
        <w:spacing w:line="580" w:lineRule="exact"/>
        <w:ind w:firstLine="640" w:firstLineChars="200"/>
        <w:jc w:val="both"/>
        <w:textAlignment w:val="auto"/>
        <w:rPr>
          <w:rFonts w:eastAsia="仿宋"/>
          <w:color w:val="auto"/>
          <w:sz w:val="32"/>
          <w:szCs w:val="32"/>
          <w:highlight w:val="none"/>
        </w:rPr>
      </w:pPr>
      <w:r>
        <w:rPr>
          <w:rFonts w:eastAsia="仿宋"/>
          <w:color w:val="auto"/>
          <w:sz w:val="32"/>
          <w:szCs w:val="32"/>
          <w:highlight w:val="none"/>
        </w:rPr>
        <w:t>合同签订的依据为询价函、响应文件及补充说明等。确定成交单位后，成交单位在</w:t>
      </w:r>
      <w:r>
        <w:rPr>
          <w:rFonts w:hint="eastAsia" w:eastAsia="仿宋"/>
          <w:color w:val="auto"/>
          <w:sz w:val="32"/>
          <w:szCs w:val="32"/>
          <w:highlight w:val="none"/>
          <w:u w:val="single"/>
          <w:lang w:val="en-US" w:eastAsia="zh-CN"/>
        </w:rPr>
        <w:t>3</w:t>
      </w:r>
      <w:r>
        <w:rPr>
          <w:rFonts w:eastAsia="仿宋"/>
          <w:color w:val="auto"/>
          <w:sz w:val="32"/>
          <w:szCs w:val="32"/>
          <w:highlight w:val="none"/>
        </w:rPr>
        <w:t>天内与采购人签订合同。</w:t>
      </w:r>
    </w:p>
    <w:p>
      <w:pPr>
        <w:keepNext w:val="0"/>
        <w:keepLines w:val="0"/>
        <w:pageBreakBefore w:val="0"/>
        <w:kinsoku/>
        <w:wordWrap/>
        <w:overflowPunct/>
        <w:topLinePunct w:val="0"/>
        <w:autoSpaceDE/>
        <w:autoSpaceDN/>
        <w:bidi w:val="0"/>
        <w:spacing w:line="580" w:lineRule="exact"/>
        <w:ind w:firstLine="640" w:firstLineChars="200"/>
        <w:jc w:val="both"/>
        <w:textAlignment w:val="auto"/>
        <w:rPr>
          <w:rFonts w:eastAsia="仿宋"/>
          <w:color w:val="auto"/>
          <w:sz w:val="32"/>
          <w:szCs w:val="32"/>
          <w:highlight w:val="none"/>
        </w:rPr>
      </w:pPr>
      <w:r>
        <w:rPr>
          <w:rFonts w:eastAsia="仿宋"/>
          <w:color w:val="auto"/>
          <w:sz w:val="32"/>
          <w:szCs w:val="32"/>
          <w:highlight w:val="none"/>
        </w:rPr>
        <w:t>响应人收款前需向采购人提供请款材料和开具合法有效等额的增值税专用发票，否则采购人有权拒绝付款。</w:t>
      </w:r>
    </w:p>
    <w:p>
      <w:pPr>
        <w:keepNext w:val="0"/>
        <w:keepLines w:val="0"/>
        <w:pageBreakBefore w:val="0"/>
        <w:kinsoku/>
        <w:wordWrap/>
        <w:overflowPunct/>
        <w:topLinePunct w:val="0"/>
        <w:autoSpaceDE/>
        <w:autoSpaceDN/>
        <w:bidi w:val="0"/>
        <w:adjustRightInd w:val="0"/>
        <w:snapToGrid w:val="0"/>
        <w:spacing w:line="580" w:lineRule="exact"/>
        <w:ind w:firstLine="643" w:firstLineChars="200"/>
        <w:jc w:val="both"/>
        <w:textAlignment w:val="auto"/>
        <w:outlineLvl w:val="1"/>
        <w:rPr>
          <w:rFonts w:hint="eastAsia" w:ascii="黑体" w:hAnsi="黑体" w:eastAsia="黑体" w:cs="黑体"/>
          <w:b/>
          <w:bCs/>
          <w:color w:val="auto"/>
          <w:sz w:val="32"/>
          <w:szCs w:val="32"/>
          <w:highlight w:val="none"/>
        </w:rPr>
      </w:pPr>
      <w:r>
        <w:rPr>
          <w:rFonts w:hint="eastAsia" w:ascii="黑体" w:hAnsi="黑体" w:eastAsia="黑体" w:cs="黑体"/>
          <w:b/>
          <w:bCs/>
          <w:color w:val="auto"/>
          <w:sz w:val="32"/>
          <w:szCs w:val="32"/>
          <w:highlight w:val="none"/>
        </w:rPr>
        <w:sym w:font="Wingdings" w:char="F0AB"/>
      </w:r>
      <w:r>
        <w:rPr>
          <w:rFonts w:hint="eastAsia" w:ascii="黑体" w:hAnsi="黑体" w:eastAsia="黑体" w:cs="黑体"/>
          <w:b/>
          <w:bCs/>
          <w:color w:val="auto"/>
          <w:sz w:val="32"/>
          <w:szCs w:val="32"/>
          <w:highlight w:val="none"/>
          <w:lang w:val="en-US" w:eastAsia="zh-CN"/>
        </w:rPr>
        <w:t>十</w:t>
      </w:r>
      <w:r>
        <w:rPr>
          <w:rFonts w:hint="eastAsia" w:ascii="黑体" w:hAnsi="黑体" w:eastAsia="黑体" w:cs="黑体"/>
          <w:b/>
          <w:bCs/>
          <w:color w:val="auto"/>
          <w:sz w:val="32"/>
          <w:szCs w:val="32"/>
          <w:highlight w:val="none"/>
        </w:rPr>
        <w:t>、响应文件的组成部分（响应文件本项资料如有不全，则作无效报价处理）</w:t>
      </w:r>
    </w:p>
    <w:p>
      <w:pPr>
        <w:keepNext w:val="0"/>
        <w:keepLines w:val="0"/>
        <w:pageBreakBefore w:val="0"/>
        <w:numPr>
          <w:ilvl w:val="0"/>
          <w:numId w:val="3"/>
        </w:numPr>
        <w:kinsoku/>
        <w:wordWrap/>
        <w:overflowPunct/>
        <w:topLinePunct w:val="0"/>
        <w:autoSpaceDE/>
        <w:autoSpaceDN/>
        <w:bidi w:val="0"/>
        <w:spacing w:line="580" w:lineRule="exact"/>
        <w:ind w:firstLine="640" w:firstLineChars="200"/>
        <w:jc w:val="both"/>
        <w:textAlignment w:val="auto"/>
        <w:rPr>
          <w:rFonts w:eastAsia="仿宋"/>
          <w:color w:val="auto"/>
          <w:sz w:val="32"/>
          <w:szCs w:val="32"/>
          <w:highlight w:val="none"/>
        </w:rPr>
      </w:pPr>
      <w:r>
        <w:rPr>
          <w:rFonts w:eastAsia="仿宋"/>
          <w:color w:val="auto"/>
          <w:sz w:val="32"/>
          <w:szCs w:val="32"/>
          <w:highlight w:val="none"/>
        </w:rPr>
        <w:t>报价函（模板）及报价清单（清单自拟）；</w:t>
      </w:r>
    </w:p>
    <w:p>
      <w:pPr>
        <w:keepNext w:val="0"/>
        <w:keepLines w:val="0"/>
        <w:pageBreakBefore w:val="0"/>
        <w:kinsoku/>
        <w:wordWrap/>
        <w:overflowPunct/>
        <w:topLinePunct w:val="0"/>
        <w:autoSpaceDE/>
        <w:autoSpaceDN/>
        <w:bidi w:val="0"/>
        <w:spacing w:line="580" w:lineRule="exact"/>
        <w:ind w:firstLine="640" w:firstLineChars="200"/>
        <w:jc w:val="both"/>
        <w:textAlignment w:val="auto"/>
        <w:rPr>
          <w:rFonts w:eastAsia="仿宋"/>
          <w:color w:val="auto"/>
          <w:sz w:val="32"/>
          <w:szCs w:val="32"/>
          <w:highlight w:val="none"/>
        </w:rPr>
      </w:pPr>
      <w:r>
        <w:rPr>
          <w:rFonts w:eastAsia="仿宋"/>
          <w:color w:val="auto"/>
          <w:sz w:val="32"/>
          <w:szCs w:val="32"/>
          <w:highlight w:val="none"/>
        </w:rPr>
        <w:t>2、法定代表人身份证明（模板）以及法定代表人身份证复印件；</w:t>
      </w:r>
    </w:p>
    <w:p>
      <w:pPr>
        <w:keepNext w:val="0"/>
        <w:keepLines w:val="0"/>
        <w:pageBreakBefore w:val="0"/>
        <w:kinsoku/>
        <w:wordWrap/>
        <w:overflowPunct/>
        <w:topLinePunct w:val="0"/>
        <w:autoSpaceDE/>
        <w:autoSpaceDN/>
        <w:bidi w:val="0"/>
        <w:spacing w:line="580" w:lineRule="exact"/>
        <w:ind w:firstLine="640" w:firstLineChars="200"/>
        <w:jc w:val="both"/>
        <w:textAlignment w:val="auto"/>
        <w:rPr>
          <w:rFonts w:eastAsia="仿宋"/>
          <w:color w:val="auto"/>
          <w:sz w:val="32"/>
          <w:szCs w:val="32"/>
          <w:highlight w:val="none"/>
        </w:rPr>
      </w:pPr>
      <w:r>
        <w:rPr>
          <w:rFonts w:eastAsia="仿宋"/>
          <w:color w:val="auto"/>
          <w:sz w:val="32"/>
          <w:szCs w:val="32"/>
          <w:highlight w:val="none"/>
        </w:rPr>
        <w:t>3、法人授权书（模板）及被委托人身份证复印件；</w:t>
      </w:r>
    </w:p>
    <w:p>
      <w:pPr>
        <w:keepNext w:val="0"/>
        <w:keepLines w:val="0"/>
        <w:pageBreakBefore w:val="0"/>
        <w:kinsoku/>
        <w:wordWrap/>
        <w:overflowPunct/>
        <w:topLinePunct w:val="0"/>
        <w:autoSpaceDE/>
        <w:autoSpaceDN/>
        <w:bidi w:val="0"/>
        <w:spacing w:line="580" w:lineRule="exact"/>
        <w:ind w:firstLine="640" w:firstLineChars="200"/>
        <w:jc w:val="both"/>
        <w:textAlignment w:val="auto"/>
        <w:rPr>
          <w:rFonts w:eastAsia="仿宋"/>
          <w:color w:val="auto"/>
          <w:sz w:val="32"/>
          <w:szCs w:val="32"/>
          <w:highlight w:val="none"/>
        </w:rPr>
      </w:pPr>
      <w:r>
        <w:rPr>
          <w:rFonts w:eastAsia="仿宋"/>
          <w:color w:val="auto"/>
          <w:sz w:val="32"/>
          <w:szCs w:val="32"/>
          <w:highlight w:val="none"/>
        </w:rPr>
        <w:t>4、承诺函（模板）；</w:t>
      </w:r>
    </w:p>
    <w:p>
      <w:pPr>
        <w:keepNext w:val="0"/>
        <w:keepLines w:val="0"/>
        <w:pageBreakBefore w:val="0"/>
        <w:kinsoku/>
        <w:wordWrap/>
        <w:overflowPunct/>
        <w:topLinePunct w:val="0"/>
        <w:autoSpaceDE/>
        <w:autoSpaceDN/>
        <w:bidi w:val="0"/>
        <w:spacing w:line="580" w:lineRule="exact"/>
        <w:ind w:firstLine="640" w:firstLineChars="200"/>
        <w:jc w:val="both"/>
        <w:textAlignment w:val="auto"/>
        <w:rPr>
          <w:rFonts w:eastAsia="仿宋"/>
          <w:color w:val="auto"/>
          <w:sz w:val="32"/>
          <w:szCs w:val="32"/>
          <w:highlight w:val="none"/>
        </w:rPr>
      </w:pPr>
      <w:r>
        <w:rPr>
          <w:rFonts w:eastAsia="仿宋"/>
          <w:color w:val="auto"/>
          <w:sz w:val="32"/>
          <w:szCs w:val="32"/>
          <w:highlight w:val="none"/>
        </w:rPr>
        <w:t>5、符合“响应人资格要求”对应的证明资料；</w:t>
      </w:r>
    </w:p>
    <w:p>
      <w:pPr>
        <w:ind w:firstLine="640" w:firstLineChars="200"/>
        <w:jc w:val="both"/>
        <w:rPr>
          <w:rFonts w:eastAsia="仿宋"/>
          <w:b/>
          <w:color w:val="auto"/>
          <w:sz w:val="32"/>
          <w:szCs w:val="32"/>
          <w:highlight w:val="none"/>
        </w:rPr>
      </w:pPr>
      <w:r>
        <w:rPr>
          <w:rFonts w:eastAsia="仿宋"/>
          <w:color w:val="auto"/>
          <w:sz w:val="32"/>
          <w:szCs w:val="32"/>
          <w:highlight w:val="none"/>
        </w:rPr>
        <w:t>6、响应人认为需要提供的其他资料。</w:t>
      </w:r>
    </w:p>
    <w:p>
      <w:pPr>
        <w:keepNext w:val="0"/>
        <w:keepLines w:val="0"/>
        <w:pageBreakBefore w:val="0"/>
        <w:kinsoku/>
        <w:wordWrap/>
        <w:overflowPunct/>
        <w:topLinePunct w:val="0"/>
        <w:autoSpaceDE/>
        <w:autoSpaceDN/>
        <w:bidi w:val="0"/>
        <w:spacing w:line="580" w:lineRule="exact"/>
        <w:ind w:firstLine="640" w:firstLineChars="200"/>
        <w:jc w:val="both"/>
        <w:textAlignment w:val="auto"/>
        <w:rPr>
          <w:rFonts w:eastAsia="仿宋"/>
          <w:color w:val="auto"/>
          <w:sz w:val="32"/>
          <w:szCs w:val="32"/>
          <w:highlight w:val="none"/>
        </w:rPr>
      </w:pPr>
      <w:r>
        <w:rPr>
          <w:rFonts w:eastAsia="仿宋"/>
          <w:color w:val="auto"/>
          <w:sz w:val="32"/>
          <w:szCs w:val="32"/>
          <w:highlight w:val="none"/>
        </w:rPr>
        <w:t>响应人须严格按照采购人提供的表单格式报价，响应文件必须装订完整，于骑缝处加盖投标单位企业公章。</w:t>
      </w:r>
      <w:r>
        <w:rPr>
          <w:rFonts w:eastAsia="仿宋"/>
          <w:b/>
          <w:bCs/>
          <w:color w:val="auto"/>
          <w:sz w:val="32"/>
          <w:szCs w:val="32"/>
          <w:highlight w:val="none"/>
        </w:rPr>
        <w:t>装有响应文件的文件袋须贴有密封条，于骑缝处加盖企业公章</w:t>
      </w:r>
      <w:r>
        <w:rPr>
          <w:rFonts w:eastAsia="仿宋"/>
          <w:color w:val="auto"/>
          <w:sz w:val="32"/>
          <w:szCs w:val="32"/>
          <w:highlight w:val="none"/>
        </w:rPr>
        <w:t>。</w:t>
      </w:r>
    </w:p>
    <w:p>
      <w:pPr>
        <w:keepNext w:val="0"/>
        <w:keepLines w:val="0"/>
        <w:pageBreakBefore w:val="0"/>
        <w:kinsoku/>
        <w:wordWrap/>
        <w:overflowPunct/>
        <w:topLinePunct w:val="0"/>
        <w:autoSpaceDE/>
        <w:autoSpaceDN/>
        <w:bidi w:val="0"/>
        <w:adjustRightInd w:val="0"/>
        <w:snapToGrid w:val="0"/>
        <w:spacing w:line="580" w:lineRule="exact"/>
        <w:ind w:firstLine="643" w:firstLineChars="200"/>
        <w:jc w:val="both"/>
        <w:textAlignment w:val="auto"/>
        <w:outlineLvl w:val="1"/>
        <w:rPr>
          <w:rFonts w:hint="eastAsia" w:ascii="黑体" w:hAnsi="黑体" w:eastAsia="黑体" w:cs="黑体"/>
          <w:color w:val="auto"/>
          <w:sz w:val="32"/>
          <w:szCs w:val="32"/>
          <w:highlight w:val="none"/>
        </w:rPr>
      </w:pPr>
      <w:r>
        <w:rPr>
          <w:rFonts w:hint="eastAsia" w:ascii="黑体" w:hAnsi="黑体" w:eastAsia="黑体" w:cs="黑体"/>
          <w:b/>
          <w:bCs/>
          <w:color w:val="auto"/>
          <w:sz w:val="32"/>
          <w:szCs w:val="32"/>
          <w:highlight w:val="none"/>
        </w:rPr>
        <w:t>十</w:t>
      </w:r>
      <w:r>
        <w:rPr>
          <w:rFonts w:hint="eastAsia" w:ascii="黑体" w:hAnsi="黑体" w:eastAsia="黑体" w:cs="黑体"/>
          <w:b/>
          <w:bCs/>
          <w:color w:val="auto"/>
          <w:sz w:val="32"/>
          <w:szCs w:val="32"/>
          <w:highlight w:val="none"/>
          <w:lang w:val="en-US" w:eastAsia="zh-CN"/>
        </w:rPr>
        <w:t>一</w:t>
      </w:r>
      <w:r>
        <w:rPr>
          <w:rFonts w:hint="eastAsia" w:ascii="黑体" w:hAnsi="黑体" w:eastAsia="黑体" w:cs="黑体"/>
          <w:b/>
          <w:bCs/>
          <w:color w:val="auto"/>
          <w:sz w:val="32"/>
          <w:szCs w:val="32"/>
          <w:highlight w:val="none"/>
        </w:rPr>
        <w:t>、响应文件份数</w:t>
      </w:r>
    </w:p>
    <w:p>
      <w:pPr>
        <w:keepNext w:val="0"/>
        <w:keepLines w:val="0"/>
        <w:pageBreakBefore w:val="0"/>
        <w:kinsoku/>
        <w:wordWrap/>
        <w:overflowPunct/>
        <w:topLinePunct w:val="0"/>
        <w:autoSpaceDE/>
        <w:autoSpaceDN/>
        <w:bidi w:val="0"/>
        <w:spacing w:line="580" w:lineRule="exact"/>
        <w:ind w:firstLine="640" w:firstLineChars="200"/>
        <w:jc w:val="both"/>
        <w:textAlignment w:val="auto"/>
        <w:rPr>
          <w:rFonts w:eastAsia="仿宋"/>
          <w:color w:val="auto"/>
          <w:sz w:val="32"/>
          <w:szCs w:val="32"/>
          <w:highlight w:val="none"/>
        </w:rPr>
      </w:pPr>
      <w:r>
        <w:rPr>
          <w:rFonts w:hint="eastAsia" w:eastAsia="仿宋"/>
          <w:color w:val="auto"/>
          <w:sz w:val="32"/>
          <w:szCs w:val="32"/>
          <w:highlight w:val="none"/>
          <w:lang w:val="en-US" w:eastAsia="zh-CN"/>
        </w:rPr>
        <w:t>1、</w:t>
      </w:r>
      <w:r>
        <w:rPr>
          <w:rFonts w:eastAsia="仿宋"/>
          <w:color w:val="auto"/>
          <w:sz w:val="32"/>
          <w:szCs w:val="32"/>
          <w:highlight w:val="none"/>
        </w:rPr>
        <w:t>正本一份。</w:t>
      </w:r>
    </w:p>
    <w:p>
      <w:pPr>
        <w:keepNext w:val="0"/>
        <w:keepLines w:val="0"/>
        <w:pageBreakBefore w:val="0"/>
        <w:kinsoku/>
        <w:wordWrap/>
        <w:overflowPunct/>
        <w:topLinePunct w:val="0"/>
        <w:autoSpaceDE/>
        <w:autoSpaceDN/>
        <w:bidi w:val="0"/>
        <w:spacing w:line="580" w:lineRule="exact"/>
        <w:ind w:firstLine="640" w:firstLineChars="200"/>
        <w:jc w:val="both"/>
        <w:textAlignment w:val="auto"/>
        <w:rPr>
          <w:rFonts w:hint="default" w:eastAsia="仿宋"/>
          <w:color w:val="auto"/>
          <w:sz w:val="32"/>
          <w:szCs w:val="32"/>
          <w:highlight w:val="none"/>
          <w:lang w:val="en-US" w:eastAsia="zh-CN"/>
        </w:rPr>
      </w:pPr>
      <w:r>
        <w:rPr>
          <w:rFonts w:hint="eastAsia" w:eastAsia="仿宋"/>
          <w:color w:val="auto"/>
          <w:sz w:val="32"/>
          <w:szCs w:val="32"/>
          <w:highlight w:val="none"/>
          <w:lang w:val="en-US" w:eastAsia="zh-CN"/>
        </w:rPr>
        <w:t>2、投标人应承担所有与编写投标文件和参加投标有关的自身的所有费用，不论投标的结果如何，采购人在任何情况下均无义务和责任承担这些费用。</w:t>
      </w:r>
    </w:p>
    <w:p>
      <w:pPr>
        <w:keepNext w:val="0"/>
        <w:keepLines w:val="0"/>
        <w:pageBreakBefore w:val="0"/>
        <w:kinsoku/>
        <w:wordWrap/>
        <w:overflowPunct/>
        <w:topLinePunct w:val="0"/>
        <w:autoSpaceDE/>
        <w:autoSpaceDN/>
        <w:bidi w:val="0"/>
        <w:adjustRightInd w:val="0"/>
        <w:snapToGrid w:val="0"/>
        <w:spacing w:line="580" w:lineRule="exact"/>
        <w:ind w:firstLine="643" w:firstLineChars="200"/>
        <w:jc w:val="both"/>
        <w:textAlignment w:val="auto"/>
        <w:outlineLvl w:val="1"/>
        <w:rPr>
          <w:rFonts w:hint="eastAsia" w:ascii="黑体" w:hAnsi="黑体" w:eastAsia="黑体" w:cs="黑体"/>
          <w:color w:val="auto"/>
          <w:sz w:val="32"/>
          <w:szCs w:val="32"/>
          <w:highlight w:val="none"/>
        </w:rPr>
      </w:pPr>
      <w:r>
        <w:rPr>
          <w:rFonts w:hint="eastAsia" w:ascii="黑体" w:hAnsi="黑体" w:eastAsia="黑体" w:cs="黑体"/>
          <w:b/>
          <w:bCs/>
          <w:color w:val="auto"/>
          <w:sz w:val="32"/>
          <w:szCs w:val="32"/>
          <w:highlight w:val="none"/>
        </w:rPr>
        <w:t>十</w:t>
      </w:r>
      <w:r>
        <w:rPr>
          <w:rFonts w:hint="eastAsia" w:ascii="黑体" w:hAnsi="黑体" w:eastAsia="黑体" w:cs="黑体"/>
          <w:b/>
          <w:bCs/>
          <w:color w:val="auto"/>
          <w:sz w:val="32"/>
          <w:szCs w:val="32"/>
          <w:highlight w:val="none"/>
          <w:lang w:val="en-US" w:eastAsia="zh-CN"/>
        </w:rPr>
        <w:t>二</w:t>
      </w:r>
      <w:r>
        <w:rPr>
          <w:rFonts w:hint="eastAsia" w:ascii="黑体" w:hAnsi="黑体" w:eastAsia="黑体" w:cs="黑体"/>
          <w:b/>
          <w:bCs/>
          <w:color w:val="auto"/>
          <w:sz w:val="32"/>
          <w:szCs w:val="32"/>
          <w:highlight w:val="none"/>
        </w:rPr>
        <w:t>、开标时间及地址</w:t>
      </w:r>
    </w:p>
    <w:p>
      <w:pPr>
        <w:keepNext w:val="0"/>
        <w:keepLines w:val="0"/>
        <w:pageBreakBefore w:val="0"/>
        <w:kinsoku/>
        <w:wordWrap/>
        <w:overflowPunct/>
        <w:topLinePunct w:val="0"/>
        <w:autoSpaceDE/>
        <w:autoSpaceDN/>
        <w:bidi w:val="0"/>
        <w:spacing w:line="580" w:lineRule="exact"/>
        <w:ind w:firstLine="640" w:firstLineChars="200"/>
        <w:jc w:val="both"/>
        <w:textAlignment w:val="auto"/>
        <w:rPr>
          <w:rFonts w:eastAsia="仿宋"/>
          <w:b w:val="0"/>
          <w:bCs/>
          <w:color w:val="auto"/>
          <w:sz w:val="32"/>
          <w:szCs w:val="32"/>
          <w:highlight w:val="none"/>
        </w:rPr>
      </w:pPr>
      <w:r>
        <w:rPr>
          <w:rFonts w:eastAsia="仿宋"/>
          <w:b w:val="0"/>
          <w:bCs/>
          <w:color w:val="auto"/>
          <w:sz w:val="32"/>
          <w:szCs w:val="32"/>
          <w:highlight w:val="none"/>
        </w:rPr>
        <w:t>1</w:t>
      </w:r>
      <w:r>
        <w:rPr>
          <w:rFonts w:hint="eastAsia" w:eastAsia="仿宋"/>
          <w:b w:val="0"/>
          <w:bCs/>
          <w:color w:val="auto"/>
          <w:sz w:val="32"/>
          <w:szCs w:val="32"/>
          <w:highlight w:val="none"/>
          <w:lang w:eastAsia="zh-CN"/>
        </w:rPr>
        <w:t>、</w:t>
      </w:r>
      <w:r>
        <w:rPr>
          <w:rFonts w:eastAsia="仿宋"/>
          <w:b w:val="0"/>
          <w:bCs/>
          <w:color w:val="auto"/>
          <w:sz w:val="32"/>
          <w:szCs w:val="32"/>
          <w:highlight w:val="none"/>
        </w:rPr>
        <w:t>开标时间：2025年</w:t>
      </w:r>
      <w:r>
        <w:rPr>
          <w:rFonts w:hint="eastAsia" w:eastAsia="仿宋"/>
          <w:b w:val="0"/>
          <w:bCs/>
          <w:color w:val="auto"/>
          <w:sz w:val="32"/>
          <w:szCs w:val="32"/>
          <w:highlight w:val="none"/>
          <w:lang w:val="en-US" w:eastAsia="zh-CN"/>
        </w:rPr>
        <w:t>12</w:t>
      </w:r>
      <w:r>
        <w:rPr>
          <w:rFonts w:eastAsia="仿宋"/>
          <w:b w:val="0"/>
          <w:bCs/>
          <w:color w:val="auto"/>
          <w:sz w:val="32"/>
          <w:szCs w:val="32"/>
          <w:highlight w:val="none"/>
        </w:rPr>
        <w:t>月</w:t>
      </w:r>
      <w:r>
        <w:rPr>
          <w:rFonts w:hint="eastAsia" w:eastAsia="仿宋"/>
          <w:b w:val="0"/>
          <w:bCs/>
          <w:color w:val="auto"/>
          <w:sz w:val="32"/>
          <w:szCs w:val="32"/>
          <w:highlight w:val="none"/>
          <w:lang w:val="en-US" w:eastAsia="zh-CN"/>
        </w:rPr>
        <w:t>18</w:t>
      </w:r>
      <w:r>
        <w:rPr>
          <w:rFonts w:eastAsia="仿宋"/>
          <w:b w:val="0"/>
          <w:bCs/>
          <w:color w:val="auto"/>
          <w:sz w:val="32"/>
          <w:szCs w:val="32"/>
          <w:highlight w:val="none"/>
        </w:rPr>
        <w:t>日（星期</w:t>
      </w:r>
      <w:r>
        <w:rPr>
          <w:rFonts w:hint="eastAsia" w:eastAsia="仿宋"/>
          <w:b w:val="0"/>
          <w:bCs/>
          <w:color w:val="auto"/>
          <w:sz w:val="32"/>
          <w:szCs w:val="32"/>
          <w:highlight w:val="none"/>
          <w:lang w:val="en-US" w:eastAsia="zh-CN"/>
        </w:rPr>
        <w:t>四</w:t>
      </w:r>
      <w:r>
        <w:rPr>
          <w:rFonts w:eastAsia="仿宋"/>
          <w:b w:val="0"/>
          <w:bCs/>
          <w:color w:val="auto"/>
          <w:sz w:val="32"/>
          <w:szCs w:val="32"/>
          <w:highlight w:val="none"/>
        </w:rPr>
        <w:t>）下午</w:t>
      </w:r>
      <w:r>
        <w:rPr>
          <w:rFonts w:hint="eastAsia" w:eastAsia="仿宋"/>
          <w:b w:val="0"/>
          <w:bCs/>
          <w:color w:val="auto"/>
          <w:sz w:val="32"/>
          <w:szCs w:val="32"/>
          <w:highlight w:val="none"/>
          <w:lang w:val="en-US" w:eastAsia="zh-CN"/>
        </w:rPr>
        <w:t>14</w:t>
      </w:r>
      <w:r>
        <w:rPr>
          <w:rFonts w:eastAsia="仿宋"/>
          <w:b w:val="0"/>
          <w:bCs/>
          <w:color w:val="auto"/>
          <w:sz w:val="32"/>
          <w:szCs w:val="32"/>
          <w:highlight w:val="none"/>
        </w:rPr>
        <w:t>:</w:t>
      </w:r>
      <w:r>
        <w:rPr>
          <w:rFonts w:hint="eastAsia" w:eastAsia="仿宋"/>
          <w:b w:val="0"/>
          <w:bCs/>
          <w:color w:val="auto"/>
          <w:sz w:val="32"/>
          <w:szCs w:val="32"/>
          <w:highlight w:val="none"/>
          <w:lang w:val="en-US" w:eastAsia="zh-CN"/>
        </w:rPr>
        <w:t>0</w:t>
      </w:r>
      <w:r>
        <w:rPr>
          <w:rFonts w:eastAsia="仿宋"/>
          <w:b w:val="0"/>
          <w:bCs/>
          <w:color w:val="auto"/>
          <w:sz w:val="32"/>
          <w:szCs w:val="32"/>
          <w:highlight w:val="none"/>
        </w:rPr>
        <w:t>0。</w:t>
      </w:r>
    </w:p>
    <w:p>
      <w:pPr>
        <w:keepNext w:val="0"/>
        <w:keepLines w:val="0"/>
        <w:pageBreakBefore w:val="0"/>
        <w:kinsoku/>
        <w:wordWrap/>
        <w:overflowPunct/>
        <w:topLinePunct w:val="0"/>
        <w:autoSpaceDE/>
        <w:autoSpaceDN/>
        <w:bidi w:val="0"/>
        <w:spacing w:line="580" w:lineRule="exact"/>
        <w:ind w:firstLine="640" w:firstLineChars="200"/>
        <w:jc w:val="both"/>
        <w:textAlignment w:val="auto"/>
        <w:rPr>
          <w:rFonts w:hint="eastAsia" w:eastAsia="仿宋"/>
          <w:color w:val="auto"/>
          <w:sz w:val="32"/>
          <w:szCs w:val="32"/>
          <w:highlight w:val="none"/>
        </w:rPr>
      </w:pPr>
      <w:r>
        <w:rPr>
          <w:rFonts w:hint="eastAsia" w:eastAsia="仿宋"/>
          <w:color w:val="auto"/>
          <w:sz w:val="32"/>
          <w:szCs w:val="32"/>
          <w:highlight w:val="none"/>
        </w:rPr>
        <w:t>（2025年12月1</w:t>
      </w:r>
      <w:r>
        <w:rPr>
          <w:rFonts w:hint="eastAsia" w:eastAsia="仿宋"/>
          <w:color w:val="auto"/>
          <w:sz w:val="32"/>
          <w:szCs w:val="32"/>
          <w:highlight w:val="none"/>
          <w:lang w:val="en-US" w:eastAsia="zh-CN"/>
        </w:rPr>
        <w:t>8</w:t>
      </w:r>
      <w:r>
        <w:rPr>
          <w:rFonts w:hint="eastAsia" w:eastAsia="仿宋"/>
          <w:color w:val="auto"/>
          <w:sz w:val="32"/>
          <w:szCs w:val="32"/>
          <w:highlight w:val="none"/>
        </w:rPr>
        <w:t>日上午12:00前为响应文件接收时间，以邮寄文件签收时间为准）。</w:t>
      </w:r>
    </w:p>
    <w:p>
      <w:pPr>
        <w:keepNext w:val="0"/>
        <w:keepLines w:val="0"/>
        <w:pageBreakBefore w:val="0"/>
        <w:numPr>
          <w:ilvl w:val="0"/>
          <w:numId w:val="3"/>
        </w:numPr>
        <w:kinsoku/>
        <w:wordWrap/>
        <w:overflowPunct/>
        <w:topLinePunct w:val="0"/>
        <w:autoSpaceDE/>
        <w:autoSpaceDN/>
        <w:bidi w:val="0"/>
        <w:spacing w:line="580" w:lineRule="exact"/>
        <w:ind w:left="0" w:leftChars="0" w:firstLine="640" w:firstLineChars="200"/>
        <w:jc w:val="both"/>
        <w:textAlignment w:val="auto"/>
        <w:rPr>
          <w:rFonts w:hint="default" w:eastAsia="仿宋"/>
          <w:color w:val="auto"/>
          <w:sz w:val="32"/>
          <w:szCs w:val="32"/>
          <w:highlight w:val="none"/>
          <w:lang w:val="en-US" w:eastAsia="zh-CN"/>
        </w:rPr>
      </w:pPr>
      <w:r>
        <w:rPr>
          <w:rFonts w:hint="eastAsia" w:eastAsia="仿宋"/>
          <w:color w:val="auto"/>
          <w:sz w:val="32"/>
          <w:szCs w:val="32"/>
          <w:highlight w:val="none"/>
        </w:rPr>
        <w:t>响应文件接收地址：广东省东莞市松山湖园区新城路5号科创金融广场</w:t>
      </w:r>
      <w:r>
        <w:rPr>
          <w:rFonts w:hint="eastAsia" w:eastAsia="仿宋"/>
          <w:color w:val="auto"/>
          <w:sz w:val="32"/>
          <w:szCs w:val="32"/>
          <w:highlight w:val="none"/>
          <w:lang w:val="en-US" w:eastAsia="zh-CN"/>
        </w:rPr>
        <w:t>A</w:t>
      </w:r>
      <w:r>
        <w:rPr>
          <w:rFonts w:hint="eastAsia" w:eastAsia="仿宋"/>
          <w:color w:val="auto"/>
          <w:sz w:val="32"/>
          <w:szCs w:val="32"/>
          <w:highlight w:val="none"/>
        </w:rPr>
        <w:t>栋50</w:t>
      </w:r>
      <w:r>
        <w:rPr>
          <w:rFonts w:hint="eastAsia" w:eastAsia="仿宋"/>
          <w:color w:val="auto"/>
          <w:sz w:val="32"/>
          <w:szCs w:val="32"/>
          <w:highlight w:val="none"/>
          <w:lang w:val="en-US" w:eastAsia="zh-CN"/>
        </w:rPr>
        <w:t>9</w:t>
      </w:r>
      <w:r>
        <w:rPr>
          <w:rFonts w:hint="eastAsia" w:eastAsia="仿宋"/>
          <w:color w:val="auto"/>
          <w:sz w:val="32"/>
          <w:szCs w:val="32"/>
          <w:highlight w:val="none"/>
        </w:rPr>
        <w:t xml:space="preserve"> </w:t>
      </w:r>
      <w:r>
        <w:rPr>
          <w:rFonts w:eastAsia="仿宋"/>
          <w:color w:val="auto"/>
          <w:sz w:val="32"/>
          <w:szCs w:val="32"/>
          <w:highlight w:val="none"/>
        </w:rPr>
        <w:t>联系人：</w:t>
      </w:r>
      <w:r>
        <w:rPr>
          <w:rFonts w:hint="eastAsia" w:eastAsia="仿宋"/>
          <w:color w:val="auto"/>
          <w:sz w:val="32"/>
          <w:szCs w:val="32"/>
          <w:highlight w:val="none"/>
          <w:lang w:val="en-US" w:eastAsia="zh-CN"/>
        </w:rPr>
        <w:t>毛雪峰，</w:t>
      </w:r>
      <w:r>
        <w:rPr>
          <w:rFonts w:eastAsia="仿宋"/>
          <w:color w:val="auto"/>
          <w:sz w:val="32"/>
          <w:szCs w:val="32"/>
          <w:highlight w:val="none"/>
        </w:rPr>
        <w:t>联系电话：</w:t>
      </w:r>
      <w:r>
        <w:rPr>
          <w:rFonts w:hint="eastAsia" w:eastAsia="仿宋"/>
          <w:color w:val="auto"/>
          <w:sz w:val="32"/>
          <w:szCs w:val="32"/>
          <w:highlight w:val="none"/>
          <w:lang w:val="en-US" w:eastAsia="zh-CN"/>
        </w:rPr>
        <w:t>13686038272。</w:t>
      </w:r>
    </w:p>
    <w:p>
      <w:pPr>
        <w:keepNext w:val="0"/>
        <w:keepLines w:val="0"/>
        <w:pageBreakBefore w:val="0"/>
        <w:kinsoku/>
        <w:wordWrap/>
        <w:overflowPunct/>
        <w:topLinePunct w:val="0"/>
        <w:autoSpaceDE/>
        <w:autoSpaceDN/>
        <w:bidi w:val="0"/>
        <w:adjustRightInd w:val="0"/>
        <w:snapToGrid w:val="0"/>
        <w:spacing w:line="580" w:lineRule="exact"/>
        <w:ind w:firstLine="643" w:firstLineChars="200"/>
        <w:jc w:val="both"/>
        <w:textAlignment w:val="auto"/>
        <w:outlineLvl w:val="1"/>
        <w:rPr>
          <w:rFonts w:eastAsia="仿宋"/>
          <w:b/>
          <w:bCs/>
          <w:color w:val="auto"/>
          <w:sz w:val="32"/>
          <w:szCs w:val="32"/>
          <w:highlight w:val="none"/>
        </w:rPr>
      </w:pPr>
      <w:r>
        <w:rPr>
          <w:rFonts w:eastAsia="仿宋"/>
          <w:b/>
          <w:bCs/>
          <w:color w:val="auto"/>
          <w:sz w:val="32"/>
          <w:szCs w:val="32"/>
          <w:highlight w:val="none"/>
        </w:rPr>
        <w:t>十</w:t>
      </w:r>
      <w:r>
        <w:rPr>
          <w:rFonts w:hint="eastAsia" w:eastAsia="仿宋"/>
          <w:b/>
          <w:bCs/>
          <w:color w:val="auto"/>
          <w:sz w:val="32"/>
          <w:szCs w:val="32"/>
          <w:highlight w:val="none"/>
          <w:lang w:val="en-US" w:eastAsia="zh-CN"/>
        </w:rPr>
        <w:t>三</w:t>
      </w:r>
      <w:r>
        <w:rPr>
          <w:rFonts w:eastAsia="仿宋"/>
          <w:b/>
          <w:bCs/>
          <w:color w:val="auto"/>
          <w:sz w:val="32"/>
          <w:szCs w:val="32"/>
          <w:highlight w:val="none"/>
        </w:rPr>
        <w:t>、注意事项</w:t>
      </w:r>
    </w:p>
    <w:p>
      <w:pPr>
        <w:spacing w:line="600" w:lineRule="exact"/>
        <w:ind w:firstLine="640" w:firstLineChars="200"/>
        <w:rPr>
          <w:rFonts w:hint="eastAsia" w:ascii="仿宋" w:hAnsi="仿宋" w:eastAsia="仿宋" w:cs="仿宋"/>
          <w:color w:val="auto"/>
          <w:sz w:val="32"/>
          <w:szCs w:val="32"/>
          <w:highlight w:val="none"/>
          <w:lang w:val="en-US" w:eastAsia="zh-CN"/>
        </w:rPr>
      </w:pPr>
      <w:bookmarkStart w:id="8" w:name="_Hlk517879660"/>
      <w:r>
        <w:rPr>
          <w:rFonts w:hint="eastAsia" w:ascii="仿宋" w:hAnsi="仿宋" w:eastAsia="仿宋" w:cs="仿宋"/>
          <w:color w:val="auto"/>
          <w:sz w:val="32"/>
          <w:szCs w:val="32"/>
          <w:highlight w:val="none"/>
        </w:rPr>
        <w:t>1、</w:t>
      </w:r>
      <w:r>
        <w:rPr>
          <w:rFonts w:hint="eastAsia" w:ascii="仿宋" w:hAnsi="仿宋" w:eastAsia="仿宋" w:cs="仿宋"/>
          <w:b/>
          <w:bCs/>
          <w:color w:val="auto"/>
          <w:sz w:val="32"/>
          <w:szCs w:val="32"/>
          <w:highlight w:val="none"/>
          <w:lang w:val="en-US" w:eastAsia="zh-CN"/>
        </w:rPr>
        <w:t>响应文件仅接收邮寄送达，不接受响应人现场递交，响应人须通过合法合规的邮寄渠道将寄至指定地点。</w:t>
      </w:r>
    </w:p>
    <w:p>
      <w:pPr>
        <w:spacing w:line="60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2、响应人须严格按照询价文件规定的截止时间完成邮寄送达，确保文件按时抵达指定地点。未按规定时间邮寄送达的，视为自动放弃投标资格，相关后果由响应人自行承担。</w:t>
      </w:r>
    </w:p>
    <w:p>
      <w:pPr>
        <w:spacing w:line="60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3、响应人应充分考虑物流时效、邮寄路程等因素，合理安排邮寄时间；建议选用可全程追踪物流信息的邮寄方式，以便及时掌握文件送达情况。。</w:t>
      </w:r>
    </w:p>
    <w:p>
      <w:pPr>
        <w:spacing w:line="60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、采购人向响应人提供的有关资料和数据，是采购人现有的能使响应人利用的资料，采购人对响应人由此而做出的推论、理解和结论概不负责。</w:t>
      </w:r>
    </w:p>
    <w:p>
      <w:pPr>
        <w:spacing w:line="60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、本项目执行过程中将遵循国家、省、市有关法律、法规、标准、技术规范和规范性文件的最新规定。</w:t>
      </w:r>
      <w:bookmarkEnd w:id="8"/>
    </w:p>
    <w:p>
      <w:pPr>
        <w:widowControl/>
        <w:spacing w:line="600" w:lineRule="exact"/>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7、本项目仅可提交一个报价方案，提交两个或以上报价方案的响应人视为无效报价。</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8、本项目不接受响应人其他附加条件。</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9、有下列情形之一的，纳入采购人供应商黑名单：</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（1）中标后无正当理由放弃中标或不与采购人签订合同。</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（2）成交人将本项目转让给他人，或者在报价文件中未说明，且未经采购人同意，将中标项目分包给他人。</w:t>
      </w:r>
    </w:p>
    <w:p>
      <w:pPr>
        <w:keepNext w:val="0"/>
        <w:keepLines w:val="0"/>
        <w:pageBreakBefore w:val="0"/>
        <w:kinsoku/>
        <w:wordWrap/>
        <w:overflowPunct/>
        <w:topLinePunct w:val="0"/>
        <w:autoSpaceDE/>
        <w:autoSpaceDN/>
        <w:bidi w:val="0"/>
        <w:spacing w:line="58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kern w:val="2"/>
          <w:sz w:val="32"/>
          <w:szCs w:val="32"/>
          <w:highlight w:val="none"/>
          <w:lang w:val="en-US" w:eastAsia="zh-CN" w:bidi="ar-SA"/>
        </w:rPr>
        <w:t>（3）报价人提供虚假报价文件或虚假补充文件。</w:t>
      </w:r>
    </w:p>
    <w:p>
      <w:pPr>
        <w:keepNext w:val="0"/>
        <w:keepLines w:val="0"/>
        <w:pageBreakBefore w:val="0"/>
        <w:kinsoku/>
        <w:wordWrap/>
        <w:overflowPunct/>
        <w:topLinePunct w:val="0"/>
        <w:autoSpaceDE/>
        <w:autoSpaceDN/>
        <w:bidi w:val="0"/>
        <w:spacing w:line="580" w:lineRule="exact"/>
        <w:ind w:firstLine="640" w:firstLineChars="200"/>
        <w:jc w:val="both"/>
        <w:textAlignment w:val="auto"/>
        <w:rPr>
          <w:rFonts w:hint="eastAsia" w:ascii="仿宋" w:hAnsi="仿宋" w:eastAsia="仿宋" w:cs="仿宋"/>
          <w:color w:val="auto"/>
          <w:sz w:val="32"/>
          <w:szCs w:val="32"/>
          <w:highlight w:val="none"/>
        </w:rPr>
      </w:pPr>
    </w:p>
    <w:p>
      <w:pPr>
        <w:keepNext w:val="0"/>
        <w:keepLines w:val="0"/>
        <w:pageBreakBefore w:val="0"/>
        <w:kinsoku/>
        <w:wordWrap/>
        <w:overflowPunct/>
        <w:topLinePunct w:val="0"/>
        <w:autoSpaceDE/>
        <w:autoSpaceDN/>
        <w:bidi w:val="0"/>
        <w:spacing w:line="580" w:lineRule="exact"/>
        <w:ind w:firstLine="4160" w:firstLineChars="1300"/>
        <w:jc w:val="both"/>
        <w:textAlignment w:val="auto"/>
        <w:rPr>
          <w:rFonts w:eastAsia="仿宋"/>
          <w:color w:val="auto"/>
          <w:sz w:val="32"/>
          <w:szCs w:val="32"/>
          <w:highlight w:val="none"/>
        </w:rPr>
      </w:pPr>
      <w:r>
        <w:rPr>
          <w:rFonts w:eastAsia="仿宋"/>
          <w:color w:val="auto"/>
          <w:sz w:val="32"/>
          <w:szCs w:val="32"/>
          <w:highlight w:val="none"/>
        </w:rPr>
        <w:t>东莞新锋交通能源发展有限公司</w:t>
      </w:r>
    </w:p>
    <w:p>
      <w:pPr>
        <w:keepNext w:val="0"/>
        <w:keepLines w:val="0"/>
        <w:pageBreakBefore w:val="0"/>
        <w:kinsoku/>
        <w:wordWrap/>
        <w:overflowPunct/>
        <w:topLinePunct w:val="0"/>
        <w:autoSpaceDE/>
        <w:autoSpaceDN/>
        <w:bidi w:val="0"/>
        <w:spacing w:line="580" w:lineRule="exact"/>
        <w:ind w:firstLine="5120" w:firstLineChars="1600"/>
        <w:jc w:val="both"/>
        <w:textAlignment w:val="auto"/>
        <w:rPr>
          <w:rFonts w:eastAsia="仿宋"/>
          <w:color w:val="auto"/>
          <w:sz w:val="32"/>
          <w:szCs w:val="32"/>
          <w:highlight w:val="none"/>
        </w:rPr>
      </w:pPr>
      <w:r>
        <w:rPr>
          <w:rFonts w:eastAsia="仿宋"/>
          <w:color w:val="auto"/>
          <w:sz w:val="32"/>
          <w:szCs w:val="32"/>
          <w:highlight w:val="none"/>
        </w:rPr>
        <w:t>2025年</w:t>
      </w:r>
      <w:r>
        <w:rPr>
          <w:rFonts w:hint="eastAsia" w:eastAsia="仿宋"/>
          <w:color w:val="auto"/>
          <w:sz w:val="32"/>
          <w:szCs w:val="32"/>
          <w:highlight w:val="none"/>
          <w:lang w:val="en-US" w:eastAsia="zh-CN"/>
        </w:rPr>
        <w:t>12</w:t>
      </w:r>
      <w:bookmarkStart w:id="13" w:name="_GoBack"/>
      <w:bookmarkEnd w:id="13"/>
      <w:r>
        <w:rPr>
          <w:rFonts w:eastAsia="仿宋"/>
          <w:color w:val="auto"/>
          <w:sz w:val="32"/>
          <w:szCs w:val="32"/>
          <w:highlight w:val="none"/>
        </w:rPr>
        <w:t>月</w:t>
      </w:r>
      <w:r>
        <w:rPr>
          <w:rFonts w:hint="eastAsia" w:eastAsia="仿宋"/>
          <w:color w:val="auto"/>
          <w:sz w:val="32"/>
          <w:szCs w:val="32"/>
          <w:highlight w:val="none"/>
          <w:lang w:val="en-US" w:eastAsia="zh-CN"/>
        </w:rPr>
        <w:t>15</w:t>
      </w:r>
      <w:r>
        <w:rPr>
          <w:rFonts w:eastAsia="仿宋"/>
          <w:color w:val="auto"/>
          <w:sz w:val="32"/>
          <w:szCs w:val="32"/>
          <w:highlight w:val="none"/>
        </w:rPr>
        <w:t>日</w:t>
      </w:r>
    </w:p>
    <w:p>
      <w:pPr>
        <w:widowControl/>
        <w:spacing w:line="600" w:lineRule="exact"/>
        <w:ind w:firstLine="640" w:firstLineChars="200"/>
        <w:jc w:val="both"/>
        <w:rPr>
          <w:rFonts w:eastAsia="仿宋_GB2312"/>
          <w:color w:val="auto"/>
          <w:sz w:val="32"/>
          <w:szCs w:val="32"/>
          <w:highlight w:val="none"/>
        </w:rPr>
        <w:sectPr>
          <w:headerReference r:id="rId3" w:type="default"/>
          <w:pgSz w:w="11906" w:h="16838"/>
          <w:pgMar w:top="2041" w:right="1531" w:bottom="2041" w:left="1531" w:header="851" w:footer="992" w:gutter="0"/>
          <w:cols w:space="720" w:num="1"/>
          <w:docGrid w:type="lines" w:linePitch="312" w:charSpace="0"/>
        </w:sectPr>
      </w:pPr>
    </w:p>
    <w:p>
      <w:pPr>
        <w:pStyle w:val="39"/>
        <w:ind w:firstLine="0" w:firstLineChars="0"/>
        <w:jc w:val="both"/>
        <w:outlineLvl w:val="1"/>
        <w:rPr>
          <w:rFonts w:ascii="仿宋" w:hAnsi="仿宋" w:eastAsia="仿宋"/>
          <w:color w:val="auto"/>
          <w:sz w:val="32"/>
          <w:szCs w:val="32"/>
          <w:highlight w:val="none"/>
        </w:rPr>
      </w:pPr>
      <w:r>
        <w:rPr>
          <w:rFonts w:hint="eastAsia" w:ascii="仿宋" w:hAnsi="仿宋" w:eastAsia="仿宋"/>
          <w:color w:val="auto"/>
          <w:sz w:val="32"/>
          <w:szCs w:val="32"/>
          <w:highlight w:val="none"/>
        </w:rPr>
        <w:t>附件一</w:t>
      </w:r>
      <w:r>
        <w:rPr>
          <w:rFonts w:hint="eastAsia" w:ascii="仿宋" w:hAnsi="仿宋" w:eastAsia="仿宋"/>
          <w:color w:val="auto"/>
          <w:sz w:val="32"/>
          <w:szCs w:val="32"/>
          <w:highlight w:val="none"/>
          <w:lang w:eastAsia="zh-CN"/>
        </w:rPr>
        <w:t>：</w:t>
      </w:r>
    </w:p>
    <w:p>
      <w:pPr>
        <w:jc w:val="center"/>
        <w:rPr>
          <w:rFonts w:ascii="仿宋" w:hAnsi="仿宋" w:eastAsia="仿宋"/>
          <w:b/>
          <w:bCs/>
          <w:color w:val="auto"/>
          <w:sz w:val="32"/>
          <w:szCs w:val="32"/>
          <w:highlight w:val="none"/>
        </w:rPr>
      </w:pPr>
      <w:r>
        <w:rPr>
          <w:rFonts w:hint="eastAsia" w:ascii="仿宋" w:hAnsi="仿宋" w:eastAsia="仿宋"/>
          <w:b/>
          <w:bCs/>
          <w:color w:val="auto"/>
          <w:sz w:val="32"/>
          <w:szCs w:val="32"/>
          <w:highlight w:val="none"/>
        </w:rPr>
        <w:t>响应须知</w:t>
      </w:r>
    </w:p>
    <w:tbl>
      <w:tblPr>
        <w:tblStyle w:val="19"/>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1710"/>
        <w:gridCol w:w="671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661" w:type="dxa"/>
            <w:tcBorders>
              <w:top w:val="double" w:color="auto" w:sz="4" w:space="0"/>
            </w:tcBorders>
            <w:vAlign w:val="center"/>
          </w:tcPr>
          <w:p>
            <w:pPr>
              <w:pStyle w:val="18"/>
              <w:keepNext w:val="0"/>
              <w:keepLines w:val="0"/>
              <w:pageBreakBefore w:val="0"/>
              <w:kinsoku/>
              <w:wordWrap/>
              <w:overflowPunct/>
              <w:topLinePunct w:val="0"/>
              <w:autoSpaceDE/>
              <w:autoSpaceDN/>
              <w:bidi w:val="0"/>
              <w:spacing w:after="0" w:line="440" w:lineRule="exact"/>
              <w:ind w:firstLine="0" w:firstLineChars="0"/>
              <w:jc w:val="center"/>
              <w:textAlignment w:val="auto"/>
              <w:rPr>
                <w:rFonts w:hint="eastAsia" w:ascii="仿宋" w:hAnsi="仿宋" w:eastAsia="仿宋" w:cs="仿宋"/>
                <w:b/>
                <w:bCs/>
                <w:color w:val="auto"/>
                <w:sz w:val="22"/>
                <w:szCs w:val="22"/>
                <w:highlight w:val="none"/>
              </w:rPr>
            </w:pPr>
            <w:r>
              <w:rPr>
                <w:rFonts w:hint="eastAsia" w:ascii="仿宋" w:hAnsi="仿宋" w:eastAsia="仿宋" w:cs="仿宋"/>
                <w:b/>
                <w:bCs/>
                <w:color w:val="auto"/>
                <w:sz w:val="22"/>
                <w:szCs w:val="22"/>
                <w:highlight w:val="none"/>
              </w:rPr>
              <w:t>项号</w:t>
            </w:r>
          </w:p>
        </w:tc>
        <w:tc>
          <w:tcPr>
            <w:tcW w:w="1710" w:type="dxa"/>
            <w:tcBorders>
              <w:top w:val="double" w:color="auto" w:sz="4" w:space="0"/>
            </w:tcBorders>
            <w:vAlign w:val="center"/>
          </w:tcPr>
          <w:p>
            <w:pPr>
              <w:pStyle w:val="18"/>
              <w:keepNext w:val="0"/>
              <w:keepLines w:val="0"/>
              <w:pageBreakBefore w:val="0"/>
              <w:kinsoku/>
              <w:wordWrap/>
              <w:overflowPunct/>
              <w:topLinePunct w:val="0"/>
              <w:autoSpaceDE/>
              <w:autoSpaceDN/>
              <w:bidi w:val="0"/>
              <w:spacing w:after="0" w:line="440" w:lineRule="exact"/>
              <w:ind w:firstLine="320"/>
              <w:jc w:val="center"/>
              <w:textAlignment w:val="auto"/>
              <w:rPr>
                <w:rFonts w:hint="eastAsia" w:ascii="仿宋" w:hAnsi="仿宋" w:eastAsia="仿宋" w:cs="仿宋"/>
                <w:b/>
                <w:bCs/>
                <w:color w:val="auto"/>
                <w:sz w:val="22"/>
                <w:szCs w:val="22"/>
                <w:highlight w:val="none"/>
              </w:rPr>
            </w:pPr>
            <w:r>
              <w:rPr>
                <w:rFonts w:hint="eastAsia" w:ascii="仿宋" w:hAnsi="仿宋" w:eastAsia="仿宋" w:cs="仿宋"/>
                <w:b/>
                <w:bCs/>
                <w:color w:val="auto"/>
                <w:sz w:val="22"/>
                <w:szCs w:val="22"/>
                <w:highlight w:val="none"/>
              </w:rPr>
              <w:t>内容</w:t>
            </w:r>
          </w:p>
        </w:tc>
        <w:tc>
          <w:tcPr>
            <w:tcW w:w="6716" w:type="dxa"/>
            <w:tcBorders>
              <w:top w:val="double" w:color="auto" w:sz="4" w:space="0"/>
            </w:tcBorders>
            <w:vAlign w:val="center"/>
          </w:tcPr>
          <w:p>
            <w:pPr>
              <w:pStyle w:val="18"/>
              <w:keepNext w:val="0"/>
              <w:keepLines w:val="0"/>
              <w:pageBreakBefore w:val="0"/>
              <w:kinsoku/>
              <w:wordWrap/>
              <w:overflowPunct/>
              <w:topLinePunct w:val="0"/>
              <w:autoSpaceDE/>
              <w:autoSpaceDN/>
              <w:bidi w:val="0"/>
              <w:spacing w:after="0" w:line="440" w:lineRule="exact"/>
              <w:ind w:firstLine="320"/>
              <w:jc w:val="center"/>
              <w:textAlignment w:val="auto"/>
              <w:rPr>
                <w:rFonts w:hint="eastAsia" w:ascii="仿宋" w:hAnsi="仿宋" w:eastAsia="仿宋" w:cs="仿宋"/>
                <w:b/>
                <w:bCs/>
                <w:color w:val="auto"/>
                <w:sz w:val="22"/>
                <w:szCs w:val="22"/>
                <w:highlight w:val="none"/>
              </w:rPr>
            </w:pPr>
            <w:r>
              <w:rPr>
                <w:rFonts w:hint="eastAsia" w:ascii="仿宋" w:hAnsi="仿宋" w:eastAsia="仿宋" w:cs="仿宋"/>
                <w:b/>
                <w:bCs/>
                <w:color w:val="auto"/>
                <w:sz w:val="22"/>
                <w:szCs w:val="22"/>
                <w:highlight w:val="none"/>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661"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w:t>
            </w:r>
          </w:p>
        </w:tc>
        <w:tc>
          <w:tcPr>
            <w:tcW w:w="171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项目名称</w:t>
            </w:r>
          </w:p>
        </w:tc>
        <w:tc>
          <w:tcPr>
            <w:tcW w:w="6716" w:type="dxa"/>
            <w:vAlign w:val="center"/>
          </w:tcPr>
          <w:p>
            <w:pPr>
              <w:keepNext w:val="0"/>
              <w:keepLines w:val="0"/>
              <w:pageBreakBefore w:val="0"/>
              <w:kinsoku/>
              <w:wordWrap/>
              <w:overflowPunct/>
              <w:topLinePunct w:val="0"/>
              <w:autoSpaceDE/>
              <w:autoSpaceDN/>
              <w:bidi w:val="0"/>
              <w:adjustRightInd w:val="0"/>
              <w:snapToGrid w:val="0"/>
              <w:spacing w:line="440" w:lineRule="exact"/>
              <w:jc w:val="both"/>
              <w:textAlignment w:val="auto"/>
              <w:rPr>
                <w:rFonts w:hint="eastAsia" w:ascii="仿宋" w:hAnsi="仿宋" w:eastAsia="仿宋" w:cs="仿宋"/>
                <w:color w:val="auto"/>
                <w:sz w:val="21"/>
                <w:szCs w:val="21"/>
                <w:highlight w:val="none"/>
                <w:lang w:val="en-US"/>
              </w:rPr>
            </w:pPr>
            <w:r>
              <w:rPr>
                <w:rFonts w:hint="eastAsia" w:ascii="仿宋" w:hAnsi="仿宋" w:eastAsia="仿宋" w:cs="仿宋"/>
                <w:color w:val="auto"/>
                <w:sz w:val="21"/>
                <w:szCs w:val="21"/>
                <w:highlight w:val="none"/>
                <w:lang w:val="en-US"/>
              </w:rPr>
              <w:t>沙田加氢站投运仪式活动现场氛围布置项目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661"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w:t>
            </w:r>
          </w:p>
        </w:tc>
        <w:tc>
          <w:tcPr>
            <w:tcW w:w="171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建设地点</w:t>
            </w:r>
          </w:p>
        </w:tc>
        <w:tc>
          <w:tcPr>
            <w:tcW w:w="6716" w:type="dxa"/>
            <w:vAlign w:val="center"/>
          </w:tcPr>
          <w:p>
            <w:pPr>
              <w:keepNext w:val="0"/>
              <w:keepLines w:val="0"/>
              <w:pageBreakBefore w:val="0"/>
              <w:kinsoku/>
              <w:wordWrap/>
              <w:overflowPunct/>
              <w:topLinePunct w:val="0"/>
              <w:autoSpaceDE/>
              <w:autoSpaceDN/>
              <w:bidi w:val="0"/>
              <w:spacing w:line="44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东莞市沙田镇沙田大道502号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661"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3</w:t>
            </w:r>
          </w:p>
        </w:tc>
        <w:tc>
          <w:tcPr>
            <w:tcW w:w="171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项目性质</w:t>
            </w:r>
          </w:p>
        </w:tc>
        <w:tc>
          <w:tcPr>
            <w:tcW w:w="6716" w:type="dxa"/>
            <w:vAlign w:val="center"/>
          </w:tcPr>
          <w:p>
            <w:pPr>
              <w:keepNext w:val="0"/>
              <w:keepLines w:val="0"/>
              <w:pageBreakBefore w:val="0"/>
              <w:kinsoku/>
              <w:wordWrap/>
              <w:overflowPunct/>
              <w:topLinePunct w:val="0"/>
              <w:autoSpaceDE/>
              <w:autoSpaceDN/>
              <w:bidi w:val="0"/>
              <w:spacing w:line="44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其他</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661"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4</w:t>
            </w:r>
          </w:p>
        </w:tc>
        <w:tc>
          <w:tcPr>
            <w:tcW w:w="171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发包要求</w:t>
            </w:r>
          </w:p>
        </w:tc>
        <w:tc>
          <w:tcPr>
            <w:tcW w:w="6716" w:type="dxa"/>
            <w:vAlign w:val="center"/>
          </w:tcPr>
          <w:p>
            <w:pPr>
              <w:keepNext w:val="0"/>
              <w:keepLines w:val="0"/>
              <w:pageBreakBefore w:val="0"/>
              <w:kinsoku/>
              <w:wordWrap/>
              <w:overflowPunct/>
              <w:topLinePunct w:val="0"/>
              <w:autoSpaceDE/>
              <w:autoSpaceDN/>
              <w:bidi w:val="0"/>
              <w:spacing w:line="44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固定总价包干</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661"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5</w:t>
            </w:r>
          </w:p>
        </w:tc>
        <w:tc>
          <w:tcPr>
            <w:tcW w:w="171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要求</w:t>
            </w:r>
            <w:r>
              <w:rPr>
                <w:rFonts w:hint="eastAsia" w:ascii="仿宋" w:hAnsi="仿宋" w:eastAsia="仿宋" w:cs="仿宋"/>
                <w:color w:val="auto"/>
                <w:sz w:val="21"/>
                <w:szCs w:val="21"/>
                <w:highlight w:val="none"/>
              </w:rPr>
              <w:t>标准</w:t>
            </w:r>
          </w:p>
        </w:tc>
        <w:tc>
          <w:tcPr>
            <w:tcW w:w="6716" w:type="dxa"/>
            <w:vAlign w:val="center"/>
          </w:tcPr>
          <w:p>
            <w:pPr>
              <w:keepNext w:val="0"/>
              <w:keepLines w:val="0"/>
              <w:pageBreakBefore w:val="0"/>
              <w:kinsoku/>
              <w:wordWrap/>
              <w:overflowPunct/>
              <w:topLinePunct w:val="0"/>
              <w:autoSpaceDE/>
              <w:autoSpaceDN/>
              <w:bidi w:val="0"/>
              <w:spacing w:line="44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详见“关于沙田加氢站投产仪式布置方案”</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661"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6</w:t>
            </w:r>
          </w:p>
        </w:tc>
        <w:tc>
          <w:tcPr>
            <w:tcW w:w="171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工期要求</w:t>
            </w:r>
          </w:p>
        </w:tc>
        <w:tc>
          <w:tcPr>
            <w:tcW w:w="6716" w:type="dxa"/>
            <w:vAlign w:val="center"/>
          </w:tcPr>
          <w:p>
            <w:pPr>
              <w:keepNext w:val="0"/>
              <w:keepLines w:val="0"/>
              <w:pageBreakBefore w:val="0"/>
              <w:kinsoku/>
              <w:wordWrap/>
              <w:overflowPunct/>
              <w:topLinePunct w:val="0"/>
              <w:autoSpaceDE/>
              <w:autoSpaceDN/>
              <w:bidi w:val="0"/>
              <w:spacing w:line="44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成交单位在收到成交通知书后2天内完成方案确认，5天内完成布置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661"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7</w:t>
            </w:r>
          </w:p>
        </w:tc>
        <w:tc>
          <w:tcPr>
            <w:tcW w:w="171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单位资质要求</w:t>
            </w:r>
          </w:p>
        </w:tc>
        <w:tc>
          <w:tcPr>
            <w:tcW w:w="6716" w:type="dxa"/>
            <w:vAlign w:val="center"/>
          </w:tcPr>
          <w:p>
            <w:pPr>
              <w:keepNext w:val="0"/>
              <w:keepLines w:val="0"/>
              <w:pageBreakBefore w:val="0"/>
              <w:kinsoku/>
              <w:wordWrap/>
              <w:overflowPunct/>
              <w:topLinePunct w:val="0"/>
              <w:autoSpaceDE/>
              <w:autoSpaceDN/>
              <w:bidi w:val="0"/>
              <w:adjustRightInd w:val="0"/>
              <w:snapToGrid w:val="0"/>
              <w:spacing w:line="44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详见“三、响应人资格要求”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661"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8</w:t>
            </w:r>
          </w:p>
        </w:tc>
        <w:tc>
          <w:tcPr>
            <w:tcW w:w="1710"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询价保证金金额及缴纳方式</w:t>
            </w:r>
          </w:p>
        </w:tc>
        <w:tc>
          <w:tcPr>
            <w:tcW w:w="6716" w:type="dxa"/>
            <w:vAlign w:val="center"/>
          </w:tcPr>
          <w:p>
            <w:pPr>
              <w:keepNext w:val="0"/>
              <w:keepLines w:val="0"/>
              <w:pageBreakBefore w:val="0"/>
              <w:kinsoku/>
              <w:wordWrap/>
              <w:overflowPunct/>
              <w:topLinePunct w:val="0"/>
              <w:autoSpaceDE/>
              <w:autoSpaceDN/>
              <w:bidi w:val="0"/>
              <w:adjustRightInd w:val="0"/>
              <w:snapToGrid w:val="0"/>
              <w:spacing w:line="44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661"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9</w:t>
            </w:r>
          </w:p>
        </w:tc>
        <w:tc>
          <w:tcPr>
            <w:tcW w:w="1710" w:type="dxa"/>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询价有效期</w:t>
            </w:r>
          </w:p>
        </w:tc>
        <w:tc>
          <w:tcPr>
            <w:tcW w:w="6716" w:type="dxa"/>
            <w:vAlign w:val="center"/>
          </w:tcPr>
          <w:p>
            <w:pPr>
              <w:keepNext w:val="0"/>
              <w:keepLines w:val="0"/>
              <w:pageBreakBefore w:val="0"/>
              <w:kinsoku/>
              <w:wordWrap/>
              <w:overflowPunct/>
              <w:topLinePunct w:val="0"/>
              <w:autoSpaceDE/>
              <w:autoSpaceDN/>
              <w:bidi w:val="0"/>
              <w:adjustRightInd w:val="0"/>
              <w:snapToGrid w:val="0"/>
              <w:spacing w:line="44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rPr>
              <w:t>0天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661"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10</w:t>
            </w:r>
          </w:p>
        </w:tc>
        <w:tc>
          <w:tcPr>
            <w:tcW w:w="171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响应人不得存在的情形</w:t>
            </w:r>
          </w:p>
        </w:tc>
        <w:tc>
          <w:tcPr>
            <w:tcW w:w="6716" w:type="dxa"/>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1、响应人不得存在下列情形之一，否则采购人有权取消其参与响应资格或成交资格：</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（1）为采购人不具有独立法人资格的附属机构（单位）；</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xml:space="preserve">（2）被责令停业的； </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xml:space="preserve">（3）被暂停或取消投标资格的； </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（4）财产被接管或冻结的；</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（5）在最近三年内有骗取中标、严重违约、重大质量或安全问题的；</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（6）法律法规规定的其他情形；</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（7）询价文件规定的其他情形：见询价公告或询价响应须知前附表。</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2、响应人在询价活动中有下列行为之一的，应视情节轻重，暂停或取消其参与采购人及东实集团旗下采购项目的资格：</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xml:space="preserve">（1）响应人之间相互串通、或与采购人、代理机构、评审委员会成员串通询价，损害采购人或者其他响应人的合法权益的； </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xml:space="preserve">（2）向采购人、代理机构、评审委会成员或其他相关工作人员行贿的； </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xml:space="preserve">（3）以他人名义询价或以其他方式弄虚作假，骗取成交的； </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xml:space="preserve">（4）成交人私自将成交项目转让给他人的，将成交项目肢解后分别转让给他人的； </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（5）成交人无正当理由不与采购人订立合同，在签订合同时向采购人提出附加条件，或者不按照询价文件要求提交履约担保的；</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xml:space="preserve">（6）响应人捏造事实、伪造材料或者以非法手段取得证明材料进行投诉，给他人造成损失的； </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xml:space="preserve">（7）相关工作人员应当回避而不回避的； </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（8）其他违法违规的行为。</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3、有下列情形之一的，视为响应人串通询价，其响应无效：</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（1）不同响应人的响应文件由同一单位或者个人编制；</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（2）不同响应人委托同一单位或者个人办理响应事宜；</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（3）不同响应人的响应文件载明的项目管理成员或者联系人员为同一人；</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（4）不同响应人的响应文件异常一致或者响应报价呈规律性差异；</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（5）不同响应人的响应文件相互混装；</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（6）不同响应人的响应保证金从同一单位或者个人的账户转出。</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4、使用通过受让或者租借等方式获取的资格、资质证书响应的，属于以他人名义询价，其响应无效：</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5、有下列情形之一的，属于以其他方式弄虚作假的行为，其响应无效：</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（1）使用伪造、变造的许可证件；</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xml:space="preserve">（2）提供虚假的财务状况或者业绩； </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xml:space="preserve">（3）提供虚假的项目负责人或者主要技术人员简历、劳动关系证明； </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（4）提供虚假的信用状况；</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（5）其他弄虚作假的行为。</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xml:space="preserve">6、响应人相关工作人员与采购人或采购代理机构有以下利害关系之一的，应当回避： </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（一）是其主要负责人的近亲属的；</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（二）询价活动前3年内与其存在劳动关系，担任其董事、监事，是其控股股东或实际控制人，或存在其他经济利益关系，可能影响询价活动公平公正的；</w:t>
            </w:r>
          </w:p>
          <w:p>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（三）其他可能影响询价活动公平、公正进行的关系。</w:t>
            </w:r>
          </w:p>
        </w:tc>
      </w:tr>
    </w:tbl>
    <w:p>
      <w:pPr>
        <w:pStyle w:val="39"/>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outlineLvl w:val="1"/>
        <w:rPr>
          <w:rFonts w:hint="eastAsia" w:eastAsia="黑体"/>
          <w:color w:val="auto"/>
          <w:sz w:val="28"/>
          <w:szCs w:val="44"/>
          <w:highlight w:val="none"/>
        </w:rPr>
      </w:pPr>
      <w:bookmarkStart w:id="9" w:name="_Hlk524442005"/>
    </w:p>
    <w:p>
      <w:pPr>
        <w:pStyle w:val="39"/>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outlineLvl w:val="1"/>
        <w:rPr>
          <w:rFonts w:hint="eastAsia" w:eastAsia="黑体"/>
          <w:color w:val="auto"/>
          <w:sz w:val="28"/>
          <w:szCs w:val="44"/>
          <w:highlight w:val="none"/>
        </w:rPr>
      </w:pPr>
    </w:p>
    <w:p>
      <w:pPr>
        <w:pStyle w:val="39"/>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outlineLvl w:val="1"/>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附件二</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报价函</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b/>
          <w:bCs/>
          <w:color w:val="auto"/>
          <w:sz w:val="32"/>
          <w:szCs w:val="32"/>
          <w:highlight w:val="none"/>
          <w:lang w:eastAsia="zh-CN"/>
        </w:rPr>
      </w:pPr>
      <w:r>
        <w:rPr>
          <w:rFonts w:hint="eastAsia" w:ascii="仿宋" w:hAnsi="仿宋" w:eastAsia="仿宋"/>
          <w:b/>
          <w:bCs/>
          <w:color w:val="auto"/>
          <w:sz w:val="32"/>
          <w:szCs w:val="32"/>
          <w:highlight w:val="none"/>
        </w:rPr>
        <w:t>报价函</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color w:val="auto"/>
          <w:sz w:val="32"/>
          <w:szCs w:val="32"/>
          <w:highlight w:val="none"/>
          <w:u w:val="single"/>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u w:val="single"/>
        </w:rPr>
        <w:t>东莞新锋交通能源发展有限公司</w:t>
      </w:r>
      <w:r>
        <w:rPr>
          <w:rFonts w:hint="eastAsia" w:ascii="仿宋" w:hAnsi="仿宋" w:eastAsia="仿宋"/>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32"/>
          <w:szCs w:val="32"/>
          <w:highlight w:val="none"/>
        </w:rPr>
        <w:t>针对贵司</w:t>
      </w:r>
      <w:r>
        <w:rPr>
          <w:rFonts w:ascii="仿宋" w:hAnsi="仿宋" w:eastAsia="仿宋"/>
          <w:color w:val="auto"/>
          <w:sz w:val="32"/>
          <w:szCs w:val="32"/>
          <w:highlight w:val="none"/>
          <w:u w:val="single"/>
        </w:rPr>
        <w:t xml:space="preserve"> </w:t>
      </w:r>
      <w:r>
        <w:rPr>
          <w:rFonts w:hint="eastAsia" w:eastAsia="仿宋"/>
          <w:color w:val="auto"/>
          <w:sz w:val="32"/>
          <w:szCs w:val="32"/>
          <w:highlight w:val="none"/>
          <w:u w:val="single"/>
          <w:lang w:val="en-US" w:eastAsia="zh-CN"/>
        </w:rPr>
        <w:t>沙田加氢站投运仪式活动现场氛围布置</w:t>
      </w:r>
      <w:r>
        <w:rPr>
          <w:rFonts w:hint="eastAsia"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项目，我司已充分理解项目需求，愿意以含税价(税率</w:t>
      </w:r>
      <w:r>
        <w:rPr>
          <w:rFonts w:hint="eastAsia" w:ascii="仿宋" w:hAnsi="仿宋" w:eastAsia="仿宋"/>
          <w:color w:val="auto"/>
          <w:sz w:val="32"/>
          <w:szCs w:val="32"/>
          <w:highlight w:val="none"/>
          <w:lang w:val="en-US" w:eastAsia="zh-CN"/>
        </w:rPr>
        <w:t>X</w:t>
      </w:r>
      <w:r>
        <w:rPr>
          <w:rFonts w:hint="eastAsia" w:ascii="仿宋" w:hAnsi="仿宋" w:eastAsia="仿宋"/>
          <w:color w:val="auto"/>
          <w:sz w:val="32"/>
          <w:szCs w:val="32"/>
          <w:highlight w:val="none"/>
        </w:rPr>
        <w:t>%)合计人民币</w:t>
      </w:r>
      <w:r>
        <w:rPr>
          <w:rFonts w:hint="eastAsia" w:ascii="仿宋" w:hAnsi="仿宋" w:eastAsia="仿宋"/>
          <w:color w:val="auto"/>
          <w:sz w:val="32"/>
          <w:szCs w:val="32"/>
          <w:highlight w:val="none"/>
          <w:lang w:val="en-US" w:eastAsia="zh-CN"/>
        </w:rPr>
        <w:t>XXXX</w:t>
      </w:r>
      <w:r>
        <w:rPr>
          <w:rFonts w:hint="eastAsia" w:ascii="仿宋" w:hAnsi="仿宋" w:eastAsia="仿宋"/>
          <w:color w:val="auto"/>
          <w:sz w:val="32"/>
          <w:szCs w:val="32"/>
          <w:highlight w:val="none"/>
        </w:rPr>
        <w:t>元(大写)，¥</w:t>
      </w:r>
      <w:r>
        <w:rPr>
          <w:rFonts w:hint="eastAsia" w:ascii="仿宋" w:hAnsi="仿宋" w:eastAsia="仿宋"/>
          <w:color w:val="auto"/>
          <w:sz w:val="32"/>
          <w:szCs w:val="32"/>
          <w:highlight w:val="none"/>
          <w:lang w:val="en-US" w:eastAsia="zh-CN"/>
        </w:rPr>
        <w:t>XXXX.XX</w:t>
      </w:r>
      <w:r>
        <w:rPr>
          <w:rFonts w:hint="eastAsia" w:ascii="仿宋" w:hAnsi="仿宋" w:eastAsia="仿宋"/>
          <w:color w:val="auto"/>
          <w:sz w:val="32"/>
          <w:szCs w:val="32"/>
          <w:highlight w:val="none"/>
        </w:rPr>
        <w:t>(小写)。</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响应人名称（加盖公章）：</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法定代表人（签名或盖章）：</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联系人：</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联系电话：</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日期：</w:t>
      </w:r>
    </w:p>
    <w:p>
      <w:pPr>
        <w:jc w:val="both"/>
        <w:rPr>
          <w:rFonts w:hint="eastAsia" w:eastAsia="黑体"/>
          <w:color w:val="auto"/>
          <w:sz w:val="28"/>
          <w:szCs w:val="44"/>
          <w:highlight w:val="none"/>
        </w:rPr>
      </w:pPr>
      <w:r>
        <w:rPr>
          <w:rFonts w:hint="eastAsia" w:eastAsia="黑体"/>
          <w:color w:val="auto"/>
          <w:sz w:val="28"/>
          <w:szCs w:val="44"/>
          <w:highlight w:val="none"/>
        </w:rPr>
        <w:br w:type="page"/>
      </w:r>
    </w:p>
    <w:p>
      <w:pPr>
        <w:pStyle w:val="39"/>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outlineLvl w:val="1"/>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附件三</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rPr>
        <w:t>法人证明</w:t>
      </w:r>
    </w:p>
    <w:p>
      <w:pPr>
        <w:pStyle w:val="39"/>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rPr>
          <w:rFonts w:hint="eastAsia" w:ascii="仿宋" w:hAnsi="仿宋" w:eastAsia="仿宋" w:cs="仿宋"/>
          <w:color w:val="auto"/>
          <w:sz w:val="30"/>
          <w:szCs w:val="30"/>
          <w:highlight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法定代表人身份证明书及法定代表人身份证复印件</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eastAsia="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u w:val="single"/>
        </w:rPr>
        <w:t>东莞新锋交通能源发展有限公司</w:t>
      </w:r>
      <w:r>
        <w:rPr>
          <w:rFonts w:hint="eastAsia" w:ascii="仿宋" w:hAnsi="仿宋" w:eastAsia="仿宋"/>
          <w:color w:val="auto"/>
          <w:sz w:val="32"/>
          <w:szCs w:val="32"/>
          <w:highlight w:val="none"/>
        </w:rPr>
        <w:t>：</w:t>
      </w:r>
    </w:p>
    <w:p>
      <w:pPr>
        <w:pStyle w:val="38"/>
        <w:keepNext w:val="0"/>
        <w:keepLines w:val="0"/>
        <w:pageBreakBefore w:val="0"/>
        <w:widowControl w:val="0"/>
        <w:kinsoku/>
        <w:wordWrap/>
        <w:overflowPunct/>
        <w:topLinePunct w:val="0"/>
        <w:autoSpaceDE/>
        <w:autoSpaceDN/>
        <w:bidi w:val="0"/>
        <w:adjustRightInd/>
        <w:snapToGrid/>
        <w:spacing w:line="600" w:lineRule="exact"/>
        <w:ind w:firstLine="659"/>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本证明书声明：注册于（国家名称）的</w:t>
      </w:r>
      <w:r>
        <w:rPr>
          <w:rFonts w:hint="eastAsia" w:ascii="仿宋" w:hAnsi="仿宋" w:eastAsia="仿宋"/>
          <w:color w:val="auto"/>
          <w:sz w:val="32"/>
          <w:szCs w:val="32"/>
          <w:highlight w:val="none"/>
          <w:u w:val="single"/>
        </w:rPr>
        <w:t>　　</w:t>
      </w:r>
      <w:r>
        <w:rPr>
          <w:rFonts w:hint="eastAsia" w:ascii="仿宋" w:hAnsi="仿宋" w:eastAsia="仿宋"/>
          <w:color w:val="auto"/>
          <w:sz w:val="32"/>
          <w:szCs w:val="32"/>
          <w:highlight w:val="none"/>
        </w:rPr>
        <w:t>（响应人名称）在下面签字的</w:t>
      </w:r>
      <w:r>
        <w:rPr>
          <w:rFonts w:hint="eastAsia" w:ascii="仿宋" w:hAnsi="仿宋" w:eastAsia="仿宋"/>
          <w:color w:val="auto"/>
          <w:sz w:val="32"/>
          <w:szCs w:val="32"/>
          <w:highlight w:val="none"/>
          <w:u w:val="single"/>
        </w:rPr>
        <w:t>　　　　　</w:t>
      </w:r>
      <w:r>
        <w:rPr>
          <w:rFonts w:hint="eastAsia" w:ascii="仿宋" w:hAnsi="仿宋" w:eastAsia="仿宋"/>
          <w:color w:val="auto"/>
          <w:sz w:val="32"/>
          <w:szCs w:val="32"/>
          <w:highlight w:val="none"/>
        </w:rPr>
        <w:t>（法定代表人姓名、职务）为本公司的合法代表人（</w:t>
      </w:r>
      <w:r>
        <w:rPr>
          <w:rFonts w:hint="eastAsia" w:ascii="仿宋" w:hAnsi="仿宋" w:eastAsia="仿宋"/>
          <w:b/>
          <w:bCs/>
          <w:color w:val="auto"/>
          <w:sz w:val="32"/>
          <w:szCs w:val="32"/>
          <w:highlight w:val="none"/>
        </w:rPr>
        <w:t>须附法定代表人身份证复印件</w:t>
      </w:r>
      <w:r>
        <w:rPr>
          <w:rFonts w:hint="eastAsia" w:ascii="仿宋" w:hAnsi="仿宋" w:eastAsia="仿宋"/>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150"/>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特此证明</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仿宋" w:hAnsi="仿宋" w:eastAsia="仿宋"/>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仿宋" w:hAnsi="仿宋" w:eastAsia="仿宋"/>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仿宋" w:hAnsi="仿宋" w:eastAsia="仿宋"/>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响应人名称（加盖公章）：</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响应人地址：</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法定代表人（签名或盖私章）：</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职务：</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eastAsia="仿宋_GB2312"/>
          <w:color w:val="auto"/>
          <w:sz w:val="32"/>
          <w:szCs w:val="32"/>
          <w:highlight w:val="none"/>
        </w:rPr>
      </w:pPr>
    </w:p>
    <w:p>
      <w:pPr>
        <w:widowControl/>
        <w:jc w:val="both"/>
        <w:rPr>
          <w:rFonts w:eastAsia="仿宋_GB2312"/>
          <w:color w:val="auto"/>
          <w:sz w:val="32"/>
          <w:szCs w:val="32"/>
          <w:highlight w:val="none"/>
        </w:rPr>
      </w:pPr>
      <w:r>
        <w:rPr>
          <w:rFonts w:eastAsia="仿宋_GB2312"/>
          <w:color w:val="auto"/>
          <w:sz w:val="32"/>
          <w:szCs w:val="32"/>
          <w:highlight w:val="none"/>
        </w:rPr>
        <w:br w:type="page"/>
      </w:r>
      <w:bookmarkStart w:id="10" w:name="_Toc384752807"/>
    </w:p>
    <w:p>
      <w:pPr>
        <w:pStyle w:val="39"/>
        <w:ind w:firstLine="0" w:firstLineChars="0"/>
        <w:jc w:val="both"/>
        <w:outlineLvl w:val="1"/>
        <w:rPr>
          <w:rFonts w:hint="eastAsia" w:ascii="仿宋" w:hAnsi="仿宋" w:eastAsia="仿宋" w:cs="仿宋"/>
          <w:color w:val="auto"/>
          <w:sz w:val="32"/>
          <w:szCs w:val="32"/>
          <w:highlight w:val="none"/>
        </w:rPr>
      </w:pPr>
      <w:bookmarkStart w:id="11" w:name="_Hlk40704362"/>
      <w:r>
        <w:rPr>
          <w:rFonts w:hint="eastAsia" w:ascii="仿宋" w:hAnsi="仿宋" w:eastAsia="仿宋" w:cs="仿宋"/>
          <w:color w:val="auto"/>
          <w:sz w:val="32"/>
          <w:szCs w:val="32"/>
          <w:highlight w:val="none"/>
        </w:rPr>
        <w:t>附件四</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法人授权书</w:t>
      </w:r>
    </w:p>
    <w:p>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仿宋" w:hAnsi="仿宋" w:eastAsia="仿宋" w:cs="仿宋"/>
          <w:b/>
          <w:color w:val="auto"/>
          <w:sz w:val="32"/>
          <w:szCs w:val="32"/>
          <w:highlight w:val="none"/>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仿宋" w:hAnsi="仿宋" w:eastAsia="仿宋" w:cs="仿宋"/>
          <w:color w:val="auto"/>
          <w:sz w:val="32"/>
          <w:szCs w:val="32"/>
          <w:highlight w:val="none"/>
        </w:rPr>
      </w:pPr>
      <w:r>
        <w:rPr>
          <w:rFonts w:hint="eastAsia" w:ascii="仿宋" w:hAnsi="仿宋" w:eastAsia="仿宋" w:cs="仿宋"/>
          <w:b/>
          <w:color w:val="auto"/>
          <w:sz w:val="32"/>
          <w:szCs w:val="32"/>
          <w:highlight w:val="none"/>
        </w:rPr>
        <w:t>授权委托书</w:t>
      </w:r>
      <w:bookmarkEnd w:id="10"/>
    </w:p>
    <w:p>
      <w:pPr>
        <w:pStyle w:val="38"/>
        <w:keepNext w:val="0"/>
        <w:keepLines w:val="0"/>
        <w:pageBreakBefore w:val="0"/>
        <w:kinsoku/>
        <w:wordWrap/>
        <w:overflowPunct/>
        <w:topLinePunct w:val="0"/>
        <w:autoSpaceDE/>
        <w:autoSpaceDN/>
        <w:bidi w:val="0"/>
        <w:adjustRightInd/>
        <w:snapToGrid/>
        <w:spacing w:line="600" w:lineRule="exact"/>
        <w:ind w:firstLine="0" w:firstLineChars="0"/>
        <w:jc w:val="both"/>
        <w:textAlignment w:val="auto"/>
        <w:rPr>
          <w:rFonts w:ascii="仿宋" w:hAnsi="仿宋" w:eastAsia="仿宋"/>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u w:val="single"/>
        </w:rPr>
        <w:t>东莞新锋交通能源发展有限公司</w:t>
      </w:r>
      <w:r>
        <w:rPr>
          <w:rFonts w:hint="eastAsia" w:ascii="仿宋" w:hAnsi="仿宋" w:eastAsia="仿宋"/>
          <w:color w:val="auto"/>
          <w:sz w:val="32"/>
          <w:szCs w:val="32"/>
          <w:highlight w:val="none"/>
        </w:rPr>
        <w:t>：</w:t>
      </w:r>
    </w:p>
    <w:p>
      <w:pPr>
        <w:pStyle w:val="38"/>
        <w:keepNext w:val="0"/>
        <w:keepLines w:val="0"/>
        <w:pageBreakBefore w:val="0"/>
        <w:widowControl w:val="0"/>
        <w:kinsoku/>
        <w:wordWrap/>
        <w:overflowPunct/>
        <w:topLinePunct w:val="0"/>
        <w:autoSpaceDE/>
        <w:autoSpaceDN/>
        <w:bidi w:val="0"/>
        <w:adjustRightInd/>
        <w:snapToGrid/>
        <w:spacing w:line="600" w:lineRule="exact"/>
        <w:ind w:firstLine="659"/>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本委托书声明：在下面签字的</w:t>
      </w:r>
      <w:r>
        <w:rPr>
          <w:rFonts w:hint="eastAsia" w:ascii="仿宋" w:hAnsi="仿宋" w:eastAsia="仿宋"/>
          <w:color w:val="auto"/>
          <w:sz w:val="32"/>
          <w:szCs w:val="32"/>
          <w:highlight w:val="none"/>
          <w:u w:val="single"/>
        </w:rPr>
        <w:t>（填写法定代表人姓名、职务）</w:t>
      </w:r>
      <w:r>
        <w:rPr>
          <w:rFonts w:hint="eastAsia" w:ascii="仿宋" w:hAnsi="仿宋" w:eastAsia="仿宋"/>
          <w:color w:val="auto"/>
          <w:sz w:val="32"/>
          <w:szCs w:val="32"/>
          <w:highlight w:val="none"/>
        </w:rPr>
        <w:t>代表</w:t>
      </w:r>
      <w:r>
        <w:rPr>
          <w:rFonts w:hint="eastAsia" w:ascii="仿宋" w:hAnsi="仿宋" w:eastAsia="仿宋"/>
          <w:color w:val="auto"/>
          <w:sz w:val="32"/>
          <w:szCs w:val="32"/>
          <w:highlight w:val="none"/>
          <w:u w:val="single"/>
        </w:rPr>
        <w:t>（填写响应人名称）</w:t>
      </w:r>
      <w:r>
        <w:rPr>
          <w:rFonts w:hint="eastAsia" w:ascii="仿宋" w:hAnsi="仿宋" w:eastAsia="仿宋"/>
          <w:color w:val="auto"/>
          <w:sz w:val="32"/>
          <w:szCs w:val="32"/>
          <w:highlight w:val="none"/>
        </w:rPr>
        <w:t>委托在下面签字的</w:t>
      </w:r>
      <w:r>
        <w:rPr>
          <w:rFonts w:hint="eastAsia" w:ascii="仿宋" w:hAnsi="仿宋" w:eastAsia="仿宋"/>
          <w:color w:val="auto"/>
          <w:sz w:val="32"/>
          <w:szCs w:val="32"/>
          <w:highlight w:val="none"/>
          <w:u w:val="single"/>
        </w:rPr>
        <w:t>（填写受委托人的姓名、职务）</w:t>
      </w:r>
      <w:r>
        <w:rPr>
          <w:rFonts w:hint="eastAsia" w:ascii="仿宋" w:hAnsi="仿宋" w:eastAsia="仿宋"/>
          <w:color w:val="auto"/>
          <w:sz w:val="32"/>
          <w:szCs w:val="32"/>
          <w:highlight w:val="none"/>
        </w:rPr>
        <w:t>为本公司的合法代表人，就</w:t>
      </w:r>
      <w:r>
        <w:rPr>
          <w:rFonts w:hint="eastAsia" w:ascii="仿宋" w:hAnsi="仿宋" w:eastAsia="仿宋"/>
          <w:color w:val="auto"/>
          <w:sz w:val="32"/>
          <w:szCs w:val="32"/>
          <w:highlight w:val="none"/>
          <w:u w:val="single"/>
        </w:rPr>
        <w:t>（沙田加氢站投运仪式活动现场氛围布置）</w:t>
      </w:r>
      <w:r>
        <w:rPr>
          <w:rFonts w:hint="eastAsia" w:ascii="仿宋" w:hAnsi="仿宋" w:eastAsia="仿宋"/>
          <w:color w:val="auto"/>
          <w:sz w:val="32"/>
          <w:szCs w:val="32"/>
          <w:highlight w:val="none"/>
        </w:rPr>
        <w:t>项目等相关服务的谈判和合同的执行，以我方的名义处理一切与之有关的事宜（相关身份证复印件须附后）。</w:t>
      </w:r>
    </w:p>
    <w:p>
      <w:pPr>
        <w:pStyle w:val="38"/>
        <w:keepNext w:val="0"/>
        <w:keepLines w:val="0"/>
        <w:pageBreakBefore w:val="0"/>
        <w:widowControl w:val="0"/>
        <w:kinsoku/>
        <w:wordWrap/>
        <w:overflowPunct/>
        <w:topLinePunct w:val="0"/>
        <w:autoSpaceDE/>
        <w:autoSpaceDN/>
        <w:bidi w:val="0"/>
        <w:adjustRightInd/>
        <w:snapToGrid/>
        <w:spacing w:line="600" w:lineRule="exact"/>
        <w:ind w:firstLine="659"/>
        <w:jc w:val="both"/>
        <w:textAlignment w:val="auto"/>
        <w:rPr>
          <w:rFonts w:ascii="仿宋" w:hAnsi="仿宋" w:eastAsia="仿宋"/>
          <w:color w:val="auto"/>
          <w:sz w:val="32"/>
          <w:szCs w:val="32"/>
          <w:highlight w:val="none"/>
        </w:rPr>
      </w:pPr>
    </w:p>
    <w:p>
      <w:pPr>
        <w:pStyle w:val="38"/>
        <w:keepNext w:val="0"/>
        <w:keepLines w:val="0"/>
        <w:pageBreakBefore w:val="0"/>
        <w:widowControl w:val="0"/>
        <w:kinsoku/>
        <w:wordWrap/>
        <w:overflowPunct/>
        <w:topLinePunct w:val="0"/>
        <w:autoSpaceDE/>
        <w:autoSpaceDN/>
        <w:bidi w:val="0"/>
        <w:adjustRightInd/>
        <w:snapToGrid/>
        <w:spacing w:line="600" w:lineRule="exact"/>
        <w:ind w:firstLine="659"/>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本委托书于  年  月  日至  年  月  日签字生效，有效期与询价有效期一致，特此声明。</w:t>
      </w:r>
    </w:p>
    <w:p>
      <w:pPr>
        <w:pStyle w:val="38"/>
        <w:keepNext w:val="0"/>
        <w:keepLines w:val="0"/>
        <w:pageBreakBefore w:val="0"/>
        <w:widowControl w:val="0"/>
        <w:kinsoku/>
        <w:wordWrap/>
        <w:overflowPunct/>
        <w:topLinePunct w:val="0"/>
        <w:autoSpaceDE/>
        <w:autoSpaceDN/>
        <w:bidi w:val="0"/>
        <w:adjustRightInd/>
        <w:snapToGrid/>
        <w:spacing w:line="600" w:lineRule="exact"/>
        <w:ind w:firstLine="659"/>
        <w:jc w:val="both"/>
        <w:textAlignment w:val="auto"/>
        <w:rPr>
          <w:rFonts w:ascii="仿宋" w:hAnsi="仿宋" w:eastAsia="仿宋"/>
          <w:color w:val="auto"/>
          <w:sz w:val="32"/>
          <w:szCs w:val="32"/>
          <w:highlight w:val="none"/>
        </w:rPr>
      </w:pPr>
    </w:p>
    <w:p>
      <w:pPr>
        <w:pStyle w:val="38"/>
        <w:keepNext w:val="0"/>
        <w:keepLines w:val="0"/>
        <w:pageBreakBefore w:val="0"/>
        <w:widowControl w:val="0"/>
        <w:kinsoku/>
        <w:wordWrap/>
        <w:overflowPunct/>
        <w:topLinePunct w:val="0"/>
        <w:autoSpaceDE/>
        <w:autoSpaceDN/>
        <w:bidi w:val="0"/>
        <w:adjustRightInd/>
        <w:snapToGrid/>
        <w:spacing w:line="600" w:lineRule="exact"/>
        <w:ind w:right="160" w:firstLine="0" w:firstLineChars="0"/>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响应人名称（加盖公章）：</w:t>
      </w:r>
    </w:p>
    <w:p>
      <w:pPr>
        <w:pStyle w:val="38"/>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响应人地址：</w:t>
      </w:r>
    </w:p>
    <w:p>
      <w:pPr>
        <w:pStyle w:val="38"/>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法定代表人（签字或盖章）：</w:t>
      </w:r>
    </w:p>
    <w:p>
      <w:pPr>
        <w:pStyle w:val="38"/>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职务：</w:t>
      </w:r>
    </w:p>
    <w:p>
      <w:pPr>
        <w:pStyle w:val="38"/>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受委托人（签字或盖章）：</w:t>
      </w:r>
    </w:p>
    <w:p>
      <w:pPr>
        <w:pStyle w:val="38"/>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职务：</w:t>
      </w:r>
    </w:p>
    <w:p>
      <w:pPr>
        <w:pStyle w:val="38"/>
        <w:ind w:firstLine="0" w:firstLineChars="0"/>
        <w:jc w:val="both"/>
        <w:rPr>
          <w:rFonts w:ascii="仿宋" w:hAnsi="仿宋" w:eastAsia="仿宋"/>
          <w:color w:val="auto"/>
          <w:sz w:val="32"/>
          <w:szCs w:val="32"/>
          <w:highlight w:val="none"/>
        </w:rPr>
      </w:pPr>
      <w:r>
        <w:rPr>
          <w:rFonts w:hint="eastAsia" w:ascii="仿宋" w:hAnsi="仿宋" w:eastAsia="仿宋"/>
          <w:color w:val="auto"/>
          <w:sz w:val="32"/>
          <w:szCs w:val="32"/>
          <w:highlight w:val="none"/>
        </w:rPr>
        <w:t>日期：</w:t>
      </w:r>
    </w:p>
    <w:bookmarkEnd w:id="11"/>
    <w:p>
      <w:pPr>
        <w:pStyle w:val="39"/>
        <w:ind w:firstLine="0" w:firstLineChars="0"/>
        <w:jc w:val="both"/>
        <w:outlineLvl w:val="1"/>
        <w:rPr>
          <w:rFonts w:hint="eastAsia" w:ascii="仿宋" w:hAnsi="仿宋" w:eastAsia="仿宋" w:cs="仿宋"/>
          <w:color w:val="auto"/>
          <w:sz w:val="32"/>
          <w:szCs w:val="32"/>
          <w:highlight w:val="none"/>
        </w:rPr>
      </w:pPr>
      <w:r>
        <w:rPr>
          <w:color w:val="auto"/>
          <w:sz w:val="32"/>
          <w:szCs w:val="32"/>
          <w:highlight w:val="none"/>
        </w:rPr>
        <w:br w:type="page"/>
      </w:r>
      <w:r>
        <w:rPr>
          <w:rFonts w:hint="eastAsia" w:ascii="仿宋" w:hAnsi="仿宋" w:eastAsia="仿宋" w:cs="仿宋"/>
          <w:color w:val="auto"/>
          <w:sz w:val="32"/>
          <w:szCs w:val="32"/>
          <w:highlight w:val="none"/>
        </w:rPr>
        <w:t>附件五</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承诺函</w:t>
      </w:r>
    </w:p>
    <w:p>
      <w:pPr>
        <w:pStyle w:val="39"/>
        <w:ind w:firstLine="0" w:firstLineChars="0"/>
        <w:jc w:val="center"/>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承诺函</w:t>
      </w:r>
    </w:p>
    <w:p>
      <w:pPr>
        <w:jc w:val="both"/>
        <w:rPr>
          <w:rFonts w:ascii="仿宋" w:hAnsi="仿宋" w:eastAsia="仿宋"/>
          <w:color w:val="auto"/>
          <w:sz w:val="32"/>
          <w:szCs w:val="32"/>
          <w:highlight w:val="none"/>
          <w:u w:val="single"/>
        </w:rPr>
      </w:pPr>
    </w:p>
    <w:p>
      <w:pPr>
        <w:jc w:val="both"/>
        <w:rPr>
          <w:rFonts w:ascii="仿宋" w:hAnsi="仿宋" w:eastAsia="仿宋"/>
          <w:color w:val="auto"/>
          <w:sz w:val="32"/>
          <w:szCs w:val="32"/>
          <w:highlight w:val="none"/>
        </w:rPr>
      </w:pPr>
      <w:r>
        <w:rPr>
          <w:rFonts w:hint="eastAsia" w:ascii="仿宋" w:hAnsi="仿宋" w:eastAsia="仿宋"/>
          <w:color w:val="auto"/>
          <w:sz w:val="32"/>
          <w:szCs w:val="32"/>
          <w:highlight w:val="none"/>
          <w:u w:val="single"/>
        </w:rPr>
        <w:t>东莞新锋交通能源发展有限公司</w:t>
      </w:r>
      <w:r>
        <w:rPr>
          <w:rFonts w:hint="eastAsia" w:ascii="仿宋" w:hAnsi="仿宋" w:eastAsia="仿宋"/>
          <w:color w:val="auto"/>
          <w:sz w:val="32"/>
          <w:szCs w:val="32"/>
          <w:highlight w:val="none"/>
        </w:rPr>
        <w:t>：</w:t>
      </w:r>
    </w:p>
    <w:p>
      <w:pPr>
        <w:pStyle w:val="38"/>
        <w:ind w:firstLine="640" w:firstLineChars="0"/>
        <w:jc w:val="both"/>
        <w:rPr>
          <w:rFonts w:hint="eastAsia" w:ascii="仿宋" w:hAnsi="仿宋" w:eastAsia="仿宋"/>
          <w:color w:val="auto"/>
          <w:sz w:val="32"/>
          <w:szCs w:val="32"/>
          <w:highlight w:val="none"/>
        </w:rPr>
      </w:pPr>
      <w:r>
        <w:rPr>
          <w:rFonts w:hint="eastAsia" w:ascii="仿宋" w:hAnsi="仿宋" w:eastAsia="仿宋"/>
          <w:color w:val="auto"/>
          <w:sz w:val="32"/>
          <w:szCs w:val="32"/>
          <w:highlight w:val="none"/>
        </w:rPr>
        <w:t>我司就参加</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沙田加氢站投运仪式活动现场氛围布置</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项目投标工作，作出以下承诺：</w:t>
      </w:r>
    </w:p>
    <w:p>
      <w:pPr>
        <w:ind w:firstLine="640" w:firstLineChars="200"/>
        <w:jc w:val="both"/>
        <w:rPr>
          <w:rFonts w:hint="eastAsia" w:ascii="仿宋" w:hAnsi="仿宋" w:eastAsia="仿宋"/>
          <w:color w:val="auto"/>
          <w:sz w:val="32"/>
          <w:szCs w:val="32"/>
          <w:highlight w:val="none"/>
        </w:rPr>
      </w:pPr>
      <w:r>
        <w:rPr>
          <w:rFonts w:hint="eastAsia" w:ascii="仿宋" w:hAnsi="仿宋" w:eastAsia="仿宋"/>
          <w:color w:val="auto"/>
          <w:sz w:val="32"/>
          <w:szCs w:val="32"/>
          <w:highlight w:val="none"/>
        </w:rPr>
        <w:t>1.我司具备本项目要求的全部资格条件，提供的营业执照、业绩证明、人员证书等资料真实有效，无虚假信息;</w:t>
      </w:r>
    </w:p>
    <w:p>
      <w:pPr>
        <w:ind w:firstLine="640" w:firstLineChars="200"/>
        <w:jc w:val="both"/>
        <w:rPr>
          <w:rFonts w:hint="eastAsia" w:ascii="仿宋" w:hAnsi="仿宋" w:eastAsia="仿宋"/>
          <w:color w:val="auto"/>
          <w:sz w:val="32"/>
          <w:szCs w:val="32"/>
          <w:highlight w:val="none"/>
        </w:rPr>
      </w:pPr>
      <w:r>
        <w:rPr>
          <w:rFonts w:hint="eastAsia" w:ascii="仿宋" w:hAnsi="仿宋" w:eastAsia="仿宋"/>
          <w:color w:val="auto"/>
          <w:sz w:val="32"/>
          <w:szCs w:val="32"/>
          <w:highlight w:val="none"/>
        </w:rPr>
        <w:t>2.我司已充分理解采购文件全部需求，报价完全响应要求，包含改造工程全部费用，无遗漏;</w:t>
      </w:r>
    </w:p>
    <w:p>
      <w:pPr>
        <w:ind w:firstLine="640" w:firstLineChars="200"/>
        <w:jc w:val="both"/>
        <w:rPr>
          <w:rFonts w:hint="eastAsia" w:ascii="仿宋" w:hAnsi="仿宋" w:eastAsia="仿宋"/>
          <w:color w:val="auto"/>
          <w:sz w:val="32"/>
          <w:szCs w:val="32"/>
          <w:highlight w:val="none"/>
        </w:rPr>
      </w:pPr>
      <w:r>
        <w:rPr>
          <w:rFonts w:hint="eastAsia" w:ascii="仿宋" w:hAnsi="仿宋" w:eastAsia="仿宋"/>
          <w:color w:val="auto"/>
          <w:sz w:val="32"/>
          <w:szCs w:val="32"/>
          <w:highlight w:val="none"/>
        </w:rPr>
        <w:t>3.我司将严格按“场地布置与广宣制作要求”</w:t>
      </w:r>
      <w:r>
        <w:rPr>
          <w:rFonts w:hint="eastAsia" w:ascii="仿宋" w:hAnsi="仿宋" w:eastAsia="仿宋"/>
          <w:color w:val="auto"/>
          <w:sz w:val="32"/>
          <w:szCs w:val="32"/>
          <w:highlight w:val="none"/>
          <w:lang w:val="en-US" w:eastAsia="zh-CN"/>
        </w:rPr>
        <w:t>进行方案设计与场地布置</w:t>
      </w:r>
      <w:r>
        <w:rPr>
          <w:rFonts w:hint="eastAsia" w:ascii="仿宋" w:hAnsi="仿宋" w:eastAsia="仿宋"/>
          <w:color w:val="auto"/>
          <w:sz w:val="32"/>
          <w:szCs w:val="32"/>
          <w:highlight w:val="none"/>
        </w:rPr>
        <w:t>，确保</w:t>
      </w:r>
      <w:r>
        <w:rPr>
          <w:rFonts w:hint="eastAsia" w:ascii="仿宋" w:hAnsi="仿宋" w:eastAsia="仿宋"/>
          <w:color w:val="auto"/>
          <w:sz w:val="32"/>
          <w:szCs w:val="32"/>
          <w:highlight w:val="none"/>
          <w:lang w:val="en-US" w:eastAsia="zh-CN"/>
        </w:rPr>
        <w:t>现场氛围布置符合活动要求</w:t>
      </w:r>
      <w:r>
        <w:rPr>
          <w:rFonts w:hint="eastAsia" w:ascii="仿宋" w:hAnsi="仿宋" w:eastAsia="仿宋"/>
          <w:color w:val="auto"/>
          <w:sz w:val="32"/>
          <w:szCs w:val="32"/>
          <w:highlight w:val="none"/>
        </w:rPr>
        <w:t>;</w:t>
      </w:r>
    </w:p>
    <w:p>
      <w:pPr>
        <w:ind w:firstLine="640" w:firstLineChars="200"/>
        <w:jc w:val="both"/>
        <w:rPr>
          <w:rFonts w:ascii="仿宋" w:hAnsi="仿宋" w:eastAsia="仿宋"/>
          <w:color w:val="auto"/>
          <w:sz w:val="32"/>
          <w:szCs w:val="32"/>
          <w:highlight w:val="none"/>
        </w:rPr>
      </w:pPr>
      <w:r>
        <w:rPr>
          <w:rFonts w:hint="eastAsia" w:ascii="仿宋" w:hAnsi="仿宋" w:eastAsia="仿宋"/>
          <w:color w:val="auto"/>
          <w:sz w:val="32"/>
          <w:szCs w:val="32"/>
          <w:highlight w:val="none"/>
        </w:rPr>
        <w:t>4.若未满足上述承诺或采购文件要求，采购人有权取消合同并追究我司违约责任，我司承担由此产生的全部损失。</w:t>
      </w:r>
    </w:p>
    <w:p>
      <w:pPr>
        <w:jc w:val="both"/>
        <w:rPr>
          <w:rFonts w:ascii="仿宋" w:hAnsi="仿宋" w:eastAsia="仿宋"/>
          <w:color w:val="auto"/>
          <w:sz w:val="32"/>
          <w:szCs w:val="32"/>
          <w:highlight w:val="none"/>
        </w:rPr>
      </w:pPr>
    </w:p>
    <w:p>
      <w:pPr>
        <w:pStyle w:val="38"/>
        <w:ind w:right="160" w:firstLine="0" w:firstLineChars="0"/>
        <w:jc w:val="both"/>
        <w:rPr>
          <w:rFonts w:ascii="仿宋" w:hAnsi="仿宋" w:eastAsia="仿宋"/>
          <w:color w:val="auto"/>
          <w:sz w:val="32"/>
          <w:szCs w:val="32"/>
          <w:highlight w:val="none"/>
        </w:rPr>
      </w:pPr>
      <w:r>
        <w:rPr>
          <w:rFonts w:hint="eastAsia" w:ascii="仿宋" w:hAnsi="仿宋" w:eastAsia="仿宋"/>
          <w:color w:val="auto"/>
          <w:sz w:val="32"/>
          <w:szCs w:val="32"/>
          <w:highlight w:val="none"/>
        </w:rPr>
        <w:t>响应人名称（加盖公章）：</w:t>
      </w:r>
    </w:p>
    <w:p>
      <w:pPr>
        <w:pStyle w:val="38"/>
        <w:ind w:firstLine="0" w:firstLineChars="0"/>
        <w:jc w:val="both"/>
        <w:rPr>
          <w:rFonts w:ascii="仿宋" w:hAnsi="仿宋" w:eastAsia="仿宋"/>
          <w:color w:val="auto"/>
          <w:sz w:val="32"/>
          <w:szCs w:val="32"/>
          <w:highlight w:val="none"/>
        </w:rPr>
      </w:pPr>
      <w:r>
        <w:rPr>
          <w:rFonts w:hint="eastAsia" w:ascii="仿宋" w:hAnsi="仿宋" w:eastAsia="仿宋"/>
          <w:color w:val="auto"/>
          <w:sz w:val="32"/>
          <w:szCs w:val="32"/>
          <w:highlight w:val="none"/>
        </w:rPr>
        <w:t>响应人地址：</w:t>
      </w:r>
    </w:p>
    <w:p>
      <w:pPr>
        <w:pStyle w:val="38"/>
        <w:ind w:firstLine="0" w:firstLineChars="0"/>
        <w:jc w:val="both"/>
        <w:rPr>
          <w:rFonts w:ascii="仿宋" w:hAnsi="仿宋" w:eastAsia="仿宋"/>
          <w:color w:val="auto"/>
          <w:sz w:val="32"/>
          <w:szCs w:val="32"/>
          <w:highlight w:val="none"/>
        </w:rPr>
      </w:pPr>
      <w:r>
        <w:rPr>
          <w:rFonts w:hint="eastAsia" w:ascii="仿宋" w:hAnsi="仿宋" w:eastAsia="仿宋"/>
          <w:color w:val="auto"/>
          <w:sz w:val="32"/>
          <w:szCs w:val="32"/>
          <w:highlight w:val="none"/>
        </w:rPr>
        <w:t>法定代表人（签字或盖章）：</w:t>
      </w:r>
    </w:p>
    <w:p>
      <w:pPr>
        <w:pStyle w:val="38"/>
        <w:ind w:firstLine="0" w:firstLineChars="0"/>
        <w:jc w:val="both"/>
        <w:rPr>
          <w:rFonts w:ascii="仿宋" w:hAnsi="仿宋" w:eastAsia="仿宋"/>
          <w:color w:val="auto"/>
          <w:sz w:val="32"/>
          <w:szCs w:val="32"/>
          <w:highlight w:val="none"/>
        </w:rPr>
      </w:pPr>
      <w:r>
        <w:rPr>
          <w:rFonts w:hint="eastAsia" w:ascii="仿宋" w:hAnsi="仿宋" w:eastAsia="仿宋"/>
          <w:color w:val="auto"/>
          <w:sz w:val="32"/>
          <w:szCs w:val="32"/>
          <w:highlight w:val="none"/>
        </w:rPr>
        <w:t>职务：</w:t>
      </w:r>
    </w:p>
    <w:p>
      <w:pPr>
        <w:pStyle w:val="38"/>
        <w:ind w:firstLine="0" w:firstLineChars="0"/>
        <w:jc w:val="both"/>
        <w:rPr>
          <w:rFonts w:ascii="仿宋" w:hAnsi="仿宋" w:eastAsia="仿宋"/>
          <w:color w:val="auto"/>
          <w:sz w:val="32"/>
          <w:szCs w:val="32"/>
          <w:highlight w:val="none"/>
        </w:rPr>
      </w:pPr>
      <w:r>
        <w:rPr>
          <w:rFonts w:hint="eastAsia" w:ascii="仿宋" w:hAnsi="仿宋" w:eastAsia="仿宋"/>
          <w:color w:val="auto"/>
          <w:sz w:val="32"/>
          <w:szCs w:val="32"/>
          <w:highlight w:val="none"/>
        </w:rPr>
        <w:t>日期：</w:t>
      </w:r>
    </w:p>
    <w:p>
      <w:pPr>
        <w:pStyle w:val="38"/>
        <w:ind w:firstLine="0" w:firstLineChars="0"/>
        <w:jc w:val="both"/>
        <w:rPr>
          <w:rFonts w:ascii="Times New Roman" w:hAnsi="Times New Roman"/>
          <w:color w:val="auto"/>
          <w:sz w:val="32"/>
          <w:szCs w:val="32"/>
          <w:highlight w:val="none"/>
        </w:rPr>
      </w:pPr>
    </w:p>
    <w:p>
      <w:pPr>
        <w:pStyle w:val="39"/>
        <w:ind w:firstLine="0" w:firstLineChars="0"/>
        <w:jc w:val="both"/>
        <w:outlineLvl w:val="1"/>
        <w:rPr>
          <w:rFonts w:hint="eastAsia" w:ascii="仿宋" w:hAnsi="仿宋" w:eastAsia="仿宋" w:cs="仿宋"/>
          <w:color w:val="auto"/>
          <w:sz w:val="32"/>
          <w:szCs w:val="32"/>
          <w:highlight w:val="none"/>
          <w:lang w:val="en-US" w:eastAsia="zh-CN"/>
        </w:rPr>
      </w:pPr>
      <w:bookmarkStart w:id="12" w:name="_Hlk40704598"/>
      <w:r>
        <w:rPr>
          <w:rFonts w:hint="eastAsia" w:ascii="仿宋" w:hAnsi="仿宋" w:eastAsia="仿宋" w:cs="仿宋"/>
          <w:color w:val="auto"/>
          <w:sz w:val="32"/>
          <w:szCs w:val="32"/>
          <w:highlight w:val="none"/>
        </w:rPr>
        <w:t>附件六</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关于沙田加氢站投产仪式活动的方案</w:t>
      </w:r>
    </w:p>
    <w:bookmarkEnd w:id="0"/>
    <w:bookmarkEnd w:id="9"/>
    <w:bookmarkEnd w:id="12"/>
    <w:p>
      <w:pPr>
        <w:pStyle w:val="39"/>
        <w:ind w:firstLine="0" w:firstLineChars="0"/>
        <w:jc w:val="both"/>
        <w:rPr>
          <w:rFonts w:hint="eastAsia" w:ascii="仿宋" w:hAnsi="仿宋" w:eastAsia="仿宋" w:cs="仿宋"/>
          <w:b/>
          <w:color w:val="auto"/>
          <w:sz w:val="32"/>
          <w:szCs w:val="32"/>
          <w:highlight w:val="none"/>
        </w:rPr>
      </w:pPr>
    </w:p>
    <w:p>
      <w:pPr>
        <w:pStyle w:val="39"/>
        <w:ind w:firstLine="0" w:firstLineChars="0"/>
        <w:jc w:val="center"/>
        <w:rPr>
          <w:rFonts w:hint="default" w:ascii="仿宋" w:hAnsi="仿宋" w:eastAsia="方正小标宋简体" w:cs="仿宋"/>
          <w:b/>
          <w:color w:val="auto"/>
          <w:sz w:val="32"/>
          <w:szCs w:val="32"/>
          <w:highlight w:val="none"/>
          <w:lang w:val="en-US" w:eastAsia="zh-CN"/>
        </w:rPr>
      </w:pPr>
      <w:r>
        <w:rPr>
          <w:rFonts w:hint="eastAsia" w:ascii="方正小标宋简体" w:hAnsi="宋体" w:eastAsia="方正小标宋简体"/>
          <w:b w:val="0"/>
          <w:bCs/>
          <w:sz w:val="44"/>
          <w:szCs w:val="44"/>
          <w:highlight w:val="none"/>
        </w:rPr>
        <w:t>关于沙田加氢站投产仪式</w:t>
      </w:r>
      <w:r>
        <w:rPr>
          <w:rFonts w:hint="eastAsia" w:ascii="方正小标宋简体" w:hAnsi="宋体" w:eastAsia="方正小标宋简体"/>
          <w:b w:val="0"/>
          <w:bCs/>
          <w:sz w:val="44"/>
          <w:szCs w:val="44"/>
          <w:highlight w:val="none"/>
          <w:lang w:val="en-US" w:eastAsia="zh-CN"/>
        </w:rPr>
        <w:t>布置方案</w:t>
      </w:r>
    </w:p>
    <w:p>
      <w:pPr>
        <w:pStyle w:val="39"/>
        <w:ind w:firstLine="0" w:firstLineChars="0"/>
        <w:jc w:val="both"/>
        <w:rPr>
          <w:rFonts w:hint="eastAsia" w:ascii="仿宋" w:hAnsi="仿宋" w:eastAsia="仿宋" w:cs="仿宋"/>
          <w:b/>
          <w:color w:val="auto"/>
          <w:sz w:val="32"/>
          <w:szCs w:val="32"/>
          <w:highlight w:val="none"/>
        </w:rPr>
      </w:pPr>
    </w:p>
    <w:p>
      <w:pPr>
        <w:numPr>
          <w:ilvl w:val="0"/>
          <w:numId w:val="0"/>
        </w:numPr>
        <w:spacing w:line="600" w:lineRule="exact"/>
        <w:ind w:firstLine="640" w:firstLineChars="200"/>
        <w:jc w:val="both"/>
        <w:rPr>
          <w:rFonts w:hint="default" w:ascii="仿宋" w:hAnsi="仿宋" w:eastAsia="黑体" w:cs="仿宋"/>
          <w:sz w:val="32"/>
          <w:szCs w:val="32"/>
          <w:highlight w:val="none"/>
          <w:lang w:val="en-US" w:eastAsia="zh-CN"/>
        </w:rPr>
      </w:pPr>
      <w:r>
        <w:rPr>
          <w:rFonts w:hint="eastAsia" w:ascii="黑体" w:hAnsi="黑体" w:eastAsia="黑体" w:cs="黑体"/>
          <w:sz w:val="32"/>
          <w:szCs w:val="32"/>
          <w:highlight w:val="none"/>
          <w:lang w:val="en-US" w:eastAsia="zh-CN"/>
        </w:rPr>
        <w:t>一、</w:t>
      </w:r>
      <w:r>
        <w:rPr>
          <w:rFonts w:hint="eastAsia" w:ascii="黑体" w:hAnsi="黑体" w:eastAsia="黑体" w:cs="黑体"/>
          <w:sz w:val="32"/>
          <w:szCs w:val="32"/>
          <w:highlight w:val="none"/>
        </w:rPr>
        <w:t>活动</w:t>
      </w:r>
      <w:r>
        <w:rPr>
          <w:rFonts w:hint="eastAsia" w:ascii="黑体" w:hAnsi="黑体" w:eastAsia="黑体" w:cs="黑体"/>
          <w:sz w:val="32"/>
          <w:szCs w:val="32"/>
          <w:highlight w:val="none"/>
          <w:lang w:val="en-US" w:eastAsia="zh-CN"/>
        </w:rPr>
        <w:t>基本信息</w:t>
      </w:r>
    </w:p>
    <w:p>
      <w:pPr>
        <w:numPr>
          <w:ilvl w:val="0"/>
          <w:numId w:val="0"/>
        </w:numPr>
        <w:spacing w:line="600" w:lineRule="exact"/>
        <w:ind w:firstLine="640" w:firstLineChars="200"/>
        <w:jc w:val="both"/>
        <w:rPr>
          <w:rFonts w:hint="eastAsia" w:ascii="仿宋" w:hAnsi="仿宋" w:eastAsia="仿宋" w:cs="仿宋"/>
          <w:b/>
          <w:bCs/>
          <w:sz w:val="32"/>
          <w:szCs w:val="32"/>
          <w:highlight w:val="none"/>
          <w:lang w:eastAsia="zh-CN"/>
        </w:rPr>
      </w:pPr>
      <w:r>
        <w:rPr>
          <w:rFonts w:hint="eastAsia" w:ascii="仿宋" w:hAnsi="仿宋" w:eastAsia="仿宋" w:cs="仿宋"/>
          <w:b/>
          <w:bCs/>
          <w:sz w:val="32"/>
          <w:szCs w:val="32"/>
          <w:highlight w:val="none"/>
          <w:lang w:eastAsia="zh-CN"/>
        </w:rPr>
        <w:t>活动</w:t>
      </w:r>
      <w:r>
        <w:rPr>
          <w:rFonts w:hint="eastAsia" w:ascii="仿宋" w:hAnsi="仿宋" w:eastAsia="仿宋" w:cs="仿宋"/>
          <w:b/>
          <w:bCs/>
          <w:sz w:val="32"/>
          <w:szCs w:val="32"/>
          <w:highlight w:val="none"/>
          <w:lang w:val="en-US" w:eastAsia="zh-CN"/>
        </w:rPr>
        <w:t>主题</w:t>
      </w:r>
      <w:r>
        <w:rPr>
          <w:rFonts w:hint="eastAsia" w:ascii="仿宋" w:hAnsi="仿宋" w:eastAsia="仿宋" w:cs="仿宋"/>
          <w:b/>
          <w:bCs/>
          <w:sz w:val="32"/>
          <w:szCs w:val="32"/>
          <w:highlight w:val="none"/>
          <w:lang w:eastAsia="zh-CN"/>
        </w:rPr>
        <w:t>：</w:t>
      </w:r>
      <w:r>
        <w:rPr>
          <w:rFonts w:hint="eastAsia" w:ascii="仿宋" w:hAnsi="仿宋" w:eastAsia="仿宋" w:cs="仿宋"/>
          <w:b w:val="0"/>
          <w:bCs w:val="0"/>
          <w:sz w:val="32"/>
          <w:szCs w:val="32"/>
          <w:highlight w:val="none"/>
          <w:lang w:eastAsia="zh-CN"/>
        </w:rPr>
        <w:t>沙田加氢站投产仪式</w:t>
      </w:r>
    </w:p>
    <w:p>
      <w:pPr>
        <w:numPr>
          <w:ilvl w:val="0"/>
          <w:numId w:val="0"/>
        </w:numPr>
        <w:spacing w:line="600" w:lineRule="exact"/>
        <w:ind w:firstLine="640" w:firstLineChars="200"/>
        <w:jc w:val="both"/>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eastAsia="zh-CN"/>
        </w:rPr>
        <w:t>活动地点：</w:t>
      </w:r>
      <w:r>
        <w:rPr>
          <w:rFonts w:hint="eastAsia" w:ascii="仿宋" w:hAnsi="仿宋" w:eastAsia="仿宋" w:cs="仿宋"/>
          <w:b w:val="0"/>
          <w:bCs w:val="0"/>
          <w:sz w:val="32"/>
          <w:szCs w:val="32"/>
          <w:highlight w:val="none"/>
          <w:lang w:val="en-US" w:eastAsia="zh-CN"/>
        </w:rPr>
        <w:t>东莞市沙田镇沙田大道502号 东莞能源沙田综合能源站</w:t>
      </w:r>
    </w:p>
    <w:p>
      <w:pPr>
        <w:numPr>
          <w:ilvl w:val="0"/>
          <w:numId w:val="0"/>
        </w:numPr>
        <w:spacing w:line="600" w:lineRule="exact"/>
        <w:ind w:firstLine="640" w:firstLineChars="200"/>
        <w:jc w:val="both"/>
        <w:rPr>
          <w:rFonts w:hint="eastAsia" w:ascii="仿宋" w:hAnsi="仿宋" w:eastAsia="仿宋" w:cs="仿宋"/>
          <w:b w:val="0"/>
          <w:bCs w:val="0"/>
          <w:sz w:val="32"/>
          <w:szCs w:val="32"/>
          <w:highlight w:val="none"/>
          <w:lang w:val="en-US" w:eastAsia="zh-CN"/>
        </w:rPr>
      </w:pPr>
      <w:r>
        <w:rPr>
          <w:rFonts w:hint="default" w:ascii="仿宋" w:hAnsi="仿宋" w:eastAsia="仿宋" w:cs="仿宋"/>
          <w:b/>
          <w:bCs/>
          <w:sz w:val="32"/>
          <w:szCs w:val="32"/>
          <w:highlight w:val="none"/>
          <w:lang w:val="en-US" w:eastAsia="zh-CN"/>
        </w:rPr>
        <w:t>参与人员</w:t>
      </w:r>
      <w:r>
        <w:rPr>
          <w:rFonts w:hint="eastAsia" w:ascii="仿宋" w:hAnsi="仿宋" w:eastAsia="仿宋" w:cs="仿宋"/>
          <w:b/>
          <w:bCs/>
          <w:sz w:val="32"/>
          <w:szCs w:val="32"/>
          <w:highlight w:val="none"/>
          <w:lang w:val="en-US" w:eastAsia="zh-CN"/>
        </w:rPr>
        <w:t>：</w:t>
      </w:r>
      <w:r>
        <w:rPr>
          <w:rFonts w:hint="eastAsia" w:ascii="仿宋" w:hAnsi="仿宋" w:eastAsia="仿宋" w:cs="仿宋"/>
          <w:b w:val="0"/>
          <w:bCs w:val="0"/>
          <w:sz w:val="32"/>
          <w:szCs w:val="32"/>
          <w:highlight w:val="none"/>
          <w:lang w:val="en-US" w:eastAsia="zh-CN"/>
        </w:rPr>
        <w:t>约50人</w:t>
      </w:r>
    </w:p>
    <w:p>
      <w:pPr>
        <w:pStyle w:val="10"/>
        <w:rPr>
          <w:rFonts w:hint="eastAsia"/>
          <w:highlight w:val="none"/>
          <w:lang w:val="en-US" w:eastAsia="zh-CN"/>
        </w:rPr>
      </w:pPr>
    </w:p>
    <w:p>
      <w:pPr>
        <w:numPr>
          <w:ilvl w:val="0"/>
          <w:numId w:val="0"/>
        </w:numPr>
        <w:spacing w:line="600" w:lineRule="exact"/>
        <w:ind w:firstLine="640" w:firstLineChars="200"/>
        <w:jc w:val="both"/>
        <w:rPr>
          <w:rFonts w:hint="default"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二、活动场地情况</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7" w:type="dxa"/>
          </w:tcPr>
          <w:p>
            <w:pPr>
              <w:keepNext w:val="0"/>
              <w:keepLines w:val="0"/>
              <w:pageBreakBefore w:val="0"/>
              <w:widowControl w:val="0"/>
              <w:numPr>
                <w:ilvl w:val="0"/>
                <w:numId w:val="0"/>
              </w:numPr>
              <w:kinsoku/>
              <w:wordWrap/>
              <w:overflowPunct/>
              <w:topLinePunct w:val="0"/>
              <w:autoSpaceDE/>
              <w:autoSpaceDN/>
              <w:bidi w:val="0"/>
              <w:adjustRightInd/>
              <w:snapToGrid/>
              <w:spacing w:line="20" w:lineRule="exact"/>
              <w:jc w:val="both"/>
              <w:textAlignment w:val="auto"/>
              <w:rPr>
                <w:rFonts w:hint="eastAsia" w:ascii="仿宋" w:hAnsi="仿宋" w:eastAsia="仿宋" w:cs="仿宋"/>
                <w:b w:val="0"/>
                <w:bCs w:val="0"/>
                <w:sz w:val="32"/>
                <w:szCs w:val="32"/>
                <w:highlight w:val="none"/>
                <w:vertAlign w:val="baseline"/>
                <w:lang w:val="en-US" w:eastAsia="zh-CN"/>
              </w:rPr>
            </w:pPr>
            <w:r>
              <w:rPr>
                <w:highlight w:val="none"/>
              </w:rPr>
              <w:drawing>
                <wp:anchor distT="0" distB="0" distL="114300" distR="114300" simplePos="0" relativeHeight="251659264" behindDoc="0" locked="0" layoutInCell="1" allowOverlap="1">
                  <wp:simplePos x="0" y="0"/>
                  <wp:positionH relativeFrom="column">
                    <wp:posOffset>-36195</wp:posOffset>
                  </wp:positionH>
                  <wp:positionV relativeFrom="paragraph">
                    <wp:posOffset>8890</wp:posOffset>
                  </wp:positionV>
                  <wp:extent cx="5791200" cy="3950970"/>
                  <wp:effectExtent l="0" t="0" r="0" b="1143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791200" cy="3950970"/>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7" w:type="dxa"/>
          </w:tcPr>
          <w:p>
            <w:pPr>
              <w:keepNext w:val="0"/>
              <w:keepLines w:val="0"/>
              <w:pageBreakBefore w:val="0"/>
              <w:widowControl w:val="0"/>
              <w:numPr>
                <w:ilvl w:val="0"/>
                <w:numId w:val="0"/>
              </w:numPr>
              <w:kinsoku/>
              <w:wordWrap/>
              <w:overflowPunct/>
              <w:topLinePunct w:val="0"/>
              <w:autoSpaceDE/>
              <w:autoSpaceDN/>
              <w:bidi w:val="0"/>
              <w:adjustRightInd/>
              <w:snapToGrid/>
              <w:spacing w:line="20" w:lineRule="exact"/>
              <w:jc w:val="both"/>
              <w:textAlignment w:val="auto"/>
              <w:rPr>
                <w:rFonts w:hint="eastAsia" w:ascii="仿宋" w:hAnsi="仿宋" w:eastAsia="仿宋" w:cs="仿宋"/>
                <w:b w:val="0"/>
                <w:bCs w:val="0"/>
                <w:sz w:val="32"/>
                <w:szCs w:val="32"/>
                <w:highlight w:val="none"/>
                <w:vertAlign w:val="baseline"/>
                <w:lang w:val="en-US" w:eastAsia="zh-CN"/>
              </w:rPr>
            </w:pPr>
            <w:r>
              <w:rPr>
                <w:highlight w:val="none"/>
              </w:rPr>
              <w:drawing>
                <wp:anchor distT="0" distB="0" distL="114300" distR="114300" simplePos="0" relativeHeight="251660288" behindDoc="0" locked="0" layoutInCell="1" allowOverlap="1">
                  <wp:simplePos x="0" y="0"/>
                  <wp:positionH relativeFrom="column">
                    <wp:posOffset>-58420</wp:posOffset>
                  </wp:positionH>
                  <wp:positionV relativeFrom="paragraph">
                    <wp:posOffset>-6350</wp:posOffset>
                  </wp:positionV>
                  <wp:extent cx="5769610" cy="3869690"/>
                  <wp:effectExtent l="0" t="0" r="2540" b="1651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5769610" cy="3869690"/>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7" w:type="dxa"/>
          </w:tcPr>
          <w:p>
            <w:pPr>
              <w:keepNext w:val="0"/>
              <w:keepLines w:val="0"/>
              <w:pageBreakBefore w:val="0"/>
              <w:widowControl w:val="0"/>
              <w:numPr>
                <w:ilvl w:val="0"/>
                <w:numId w:val="0"/>
              </w:numPr>
              <w:kinsoku/>
              <w:wordWrap/>
              <w:overflowPunct/>
              <w:topLinePunct w:val="0"/>
              <w:autoSpaceDE/>
              <w:autoSpaceDN/>
              <w:bidi w:val="0"/>
              <w:adjustRightInd/>
              <w:snapToGrid/>
              <w:spacing w:line="20" w:lineRule="exact"/>
              <w:jc w:val="both"/>
              <w:textAlignment w:val="auto"/>
              <w:rPr>
                <w:highlight w:val="none"/>
              </w:rPr>
            </w:pPr>
            <w:r>
              <w:rPr>
                <w:highlight w:val="none"/>
              </w:rPr>
              <w:drawing>
                <wp:anchor distT="0" distB="0" distL="114300" distR="114300" simplePos="0" relativeHeight="251661312" behindDoc="0" locked="0" layoutInCell="1" allowOverlap="1">
                  <wp:simplePos x="0" y="0"/>
                  <wp:positionH relativeFrom="column">
                    <wp:posOffset>0</wp:posOffset>
                  </wp:positionH>
                  <wp:positionV relativeFrom="paragraph">
                    <wp:posOffset>-2482850</wp:posOffset>
                  </wp:positionV>
                  <wp:extent cx="5746115" cy="3872230"/>
                  <wp:effectExtent l="0" t="0" r="6985" b="1397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5746115" cy="3872230"/>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7" w:type="dxa"/>
          </w:tcPr>
          <w:p>
            <w:pPr>
              <w:keepNext w:val="0"/>
              <w:keepLines w:val="0"/>
              <w:pageBreakBefore w:val="0"/>
              <w:widowControl w:val="0"/>
              <w:numPr>
                <w:ilvl w:val="0"/>
                <w:numId w:val="0"/>
              </w:numPr>
              <w:kinsoku/>
              <w:wordWrap/>
              <w:overflowPunct/>
              <w:topLinePunct w:val="0"/>
              <w:autoSpaceDE/>
              <w:autoSpaceDN/>
              <w:bidi w:val="0"/>
              <w:adjustRightInd/>
              <w:snapToGrid/>
              <w:spacing w:line="20" w:lineRule="exact"/>
              <w:jc w:val="both"/>
              <w:textAlignment w:val="auto"/>
              <w:rPr>
                <w:highlight w:val="none"/>
              </w:rPr>
            </w:pPr>
            <w:r>
              <w:rPr>
                <w:highlight w:val="none"/>
              </w:rPr>
              <w:drawing>
                <wp:anchor distT="0" distB="0" distL="114300" distR="114300" simplePos="0" relativeHeight="251662336" behindDoc="0" locked="0" layoutInCell="1" allowOverlap="1">
                  <wp:simplePos x="0" y="0"/>
                  <wp:positionH relativeFrom="column">
                    <wp:posOffset>0</wp:posOffset>
                  </wp:positionH>
                  <wp:positionV relativeFrom="paragraph">
                    <wp:posOffset>-2425700</wp:posOffset>
                  </wp:positionV>
                  <wp:extent cx="5683250" cy="3793490"/>
                  <wp:effectExtent l="0" t="0" r="12700" b="1651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5683250" cy="3793490"/>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7" w:type="dxa"/>
          </w:tcPr>
          <w:p>
            <w:pPr>
              <w:keepNext w:val="0"/>
              <w:keepLines w:val="0"/>
              <w:pageBreakBefore w:val="0"/>
              <w:widowControl w:val="0"/>
              <w:numPr>
                <w:ilvl w:val="0"/>
                <w:numId w:val="0"/>
              </w:numPr>
              <w:kinsoku/>
              <w:wordWrap/>
              <w:overflowPunct/>
              <w:topLinePunct w:val="0"/>
              <w:autoSpaceDE/>
              <w:autoSpaceDN/>
              <w:bidi w:val="0"/>
              <w:adjustRightInd/>
              <w:snapToGrid/>
              <w:spacing w:line="20" w:lineRule="exact"/>
              <w:jc w:val="both"/>
              <w:textAlignment w:val="auto"/>
              <w:rPr>
                <w:highlight w:val="none"/>
              </w:rPr>
            </w:pPr>
            <w:r>
              <w:rPr>
                <w:highlight w:val="none"/>
              </w:rPr>
              <w:drawing>
                <wp:anchor distT="0" distB="0" distL="114300" distR="114300" simplePos="0" relativeHeight="251663360" behindDoc="0" locked="0" layoutInCell="1" allowOverlap="1">
                  <wp:simplePos x="0" y="0"/>
                  <wp:positionH relativeFrom="column">
                    <wp:posOffset>0</wp:posOffset>
                  </wp:positionH>
                  <wp:positionV relativeFrom="paragraph">
                    <wp:posOffset>-2444750</wp:posOffset>
                  </wp:positionV>
                  <wp:extent cx="5739130" cy="3781425"/>
                  <wp:effectExtent l="0" t="0" r="13970" b="9525"/>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rcRect r="1315"/>
                          <a:stretch>
                            <a:fillRect/>
                          </a:stretch>
                        </pic:blipFill>
                        <pic:spPr>
                          <a:xfrm>
                            <a:off x="0" y="0"/>
                            <a:ext cx="5739130" cy="3781425"/>
                          </a:xfrm>
                          <a:prstGeom prst="rect">
                            <a:avLst/>
                          </a:prstGeom>
                          <a:noFill/>
                          <a:ln>
                            <a:noFill/>
                          </a:ln>
                        </pic:spPr>
                      </pic:pic>
                    </a:graphicData>
                  </a:graphic>
                </wp:anchor>
              </w:drawing>
            </w:r>
          </w:p>
        </w:tc>
      </w:tr>
    </w:tbl>
    <w:p>
      <w:pPr>
        <w:pStyle w:val="11"/>
        <w:ind w:left="0" w:leftChars="0" w:firstLine="0" w:firstLineChars="0"/>
        <w:rPr>
          <w:rFonts w:hint="eastAsia" w:ascii="仿宋" w:hAnsi="仿宋" w:eastAsia="仿宋" w:cs="仿宋"/>
          <w:b w:val="0"/>
          <w:bCs w:val="0"/>
          <w:sz w:val="32"/>
          <w:szCs w:val="32"/>
          <w:highlight w:val="none"/>
          <w:lang w:val="en-US" w:eastAsia="zh-CN"/>
        </w:rPr>
      </w:pPr>
    </w:p>
    <w:p>
      <w:pPr>
        <w:rPr>
          <w:rFonts w:hint="eastAsia"/>
          <w:highlight w:val="none"/>
          <w:lang w:val="en-US" w:eastAsia="zh-CN"/>
        </w:rPr>
      </w:pPr>
    </w:p>
    <w:p>
      <w:pPr>
        <w:rPr>
          <w:rFonts w:hint="eastAsia"/>
          <w:highlight w:val="none"/>
          <w:lang w:val="en-US" w:eastAsia="zh-CN"/>
        </w:rPr>
      </w:pPr>
    </w:p>
    <w:p>
      <w:pPr>
        <w:numPr>
          <w:ilvl w:val="0"/>
          <w:numId w:val="0"/>
        </w:numPr>
        <w:spacing w:line="600" w:lineRule="exact"/>
        <w:ind w:firstLine="640" w:firstLineChars="200"/>
        <w:jc w:val="both"/>
        <w:rPr>
          <w:rFonts w:hint="default" w:ascii="仿宋" w:hAnsi="仿宋" w:eastAsia="仿宋" w:cs="仿宋"/>
          <w:b w:val="0"/>
          <w:bCs w:val="0"/>
          <w:sz w:val="32"/>
          <w:szCs w:val="32"/>
          <w:highlight w:val="none"/>
          <w:lang w:val="en-US" w:eastAsia="zh-CN"/>
        </w:rPr>
      </w:pPr>
      <w:r>
        <w:rPr>
          <w:rFonts w:hint="eastAsia" w:ascii="黑体" w:hAnsi="黑体" w:eastAsia="黑体" w:cs="黑体"/>
          <w:sz w:val="32"/>
          <w:szCs w:val="32"/>
          <w:highlight w:val="none"/>
          <w:lang w:val="en-US" w:eastAsia="zh-CN"/>
        </w:rPr>
        <w:t>四、布置项目</w:t>
      </w:r>
    </w:p>
    <w:tbl>
      <w:tblPr>
        <w:tblStyle w:val="19"/>
        <w:tblW w:w="857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041"/>
        <w:gridCol w:w="1985"/>
        <w:gridCol w:w="2166"/>
        <w:gridCol w:w="1184"/>
        <w:gridCol w:w="1066"/>
        <w:gridCol w:w="11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序号</w:t>
            </w:r>
          </w:p>
        </w:tc>
        <w:tc>
          <w:tcPr>
            <w:tcW w:w="19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活动内容</w:t>
            </w:r>
          </w:p>
        </w:tc>
        <w:tc>
          <w:tcPr>
            <w:tcW w:w="2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规格</w:t>
            </w: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数量</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单位</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2"/>
                <w:szCs w:val="22"/>
                <w:highlight w:val="none"/>
                <w:u w:val="none"/>
              </w:rPr>
            </w:pPr>
            <w:r>
              <w:rPr>
                <w:rFonts w:hint="eastAsia" w:ascii="宋体" w:hAnsi="宋体" w:eastAsia="宋体" w:cs="宋体"/>
                <w:b/>
                <w:i w:val="0"/>
                <w:color w:val="000000"/>
                <w:kern w:val="0"/>
                <w:sz w:val="22"/>
                <w:szCs w:val="22"/>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2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w:t>
            </w:r>
          </w:p>
        </w:tc>
        <w:tc>
          <w:tcPr>
            <w:tcW w:w="19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舞台背景</w:t>
            </w:r>
          </w:p>
        </w:tc>
        <w:tc>
          <w:tcPr>
            <w:tcW w:w="2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8*4米</w:t>
            </w: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32</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平方</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2</w:t>
            </w:r>
          </w:p>
        </w:tc>
        <w:tc>
          <w:tcPr>
            <w:tcW w:w="19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音响</w:t>
            </w:r>
          </w:p>
        </w:tc>
        <w:tc>
          <w:tcPr>
            <w:tcW w:w="2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适用于1000平场地</w:t>
            </w: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套</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2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3</w:t>
            </w:r>
          </w:p>
        </w:tc>
        <w:tc>
          <w:tcPr>
            <w:tcW w:w="19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地毯</w:t>
            </w:r>
          </w:p>
        </w:tc>
        <w:tc>
          <w:tcPr>
            <w:tcW w:w="2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舞台前区域地毯约</w:t>
            </w: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200</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平方</w:t>
            </w:r>
          </w:p>
        </w:tc>
        <w:tc>
          <w:tcPr>
            <w:tcW w:w="113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6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4</w:t>
            </w:r>
          </w:p>
        </w:tc>
        <w:tc>
          <w:tcPr>
            <w:tcW w:w="19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刀旗</w:t>
            </w:r>
          </w:p>
        </w:tc>
        <w:tc>
          <w:tcPr>
            <w:tcW w:w="2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1.5*0.4米刀气+杆</w:t>
            </w: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40</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面</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6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5</w:t>
            </w:r>
          </w:p>
        </w:tc>
        <w:tc>
          <w:tcPr>
            <w:tcW w:w="19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公司介绍展板</w:t>
            </w:r>
          </w:p>
        </w:tc>
        <w:tc>
          <w:tcPr>
            <w:tcW w:w="2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2.4*2米</w:t>
            </w: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6</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块</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6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6</w:t>
            </w:r>
          </w:p>
        </w:tc>
        <w:tc>
          <w:tcPr>
            <w:tcW w:w="19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贵宾椅</w:t>
            </w:r>
          </w:p>
        </w:tc>
        <w:tc>
          <w:tcPr>
            <w:tcW w:w="2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活动贵宾椅</w:t>
            </w: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50</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张</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2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7</w:t>
            </w:r>
          </w:p>
        </w:tc>
        <w:tc>
          <w:tcPr>
            <w:tcW w:w="19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签到墙</w:t>
            </w:r>
          </w:p>
        </w:tc>
        <w:tc>
          <w:tcPr>
            <w:tcW w:w="2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4*3米</w:t>
            </w: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12</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平方</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0"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8</w:t>
            </w:r>
          </w:p>
        </w:tc>
        <w:tc>
          <w:tcPr>
            <w:tcW w:w="19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启动仪式</w:t>
            </w:r>
          </w:p>
        </w:tc>
        <w:tc>
          <w:tcPr>
            <w:tcW w:w="21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切合加氢业务的简单启动仪式，3-5人</w:t>
            </w:r>
          </w:p>
        </w:tc>
        <w:tc>
          <w:tcPr>
            <w:tcW w:w="11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w:t>
            </w:r>
          </w:p>
        </w:tc>
        <w:tc>
          <w:tcPr>
            <w:tcW w:w="10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w:t>
            </w:r>
          </w:p>
        </w:tc>
        <w:tc>
          <w:tcPr>
            <w:tcW w:w="11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85" w:hRule="atLeast"/>
        </w:trPr>
        <w:tc>
          <w:tcPr>
            <w:tcW w:w="8576"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1.以上报价含设计、制作、安装、运输、设计、税费等全部费用；</w:t>
            </w:r>
          </w:p>
          <w:p>
            <w:pP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2.如因活动需求增加项目，增加部分双方另行协商并签订补充协议。</w:t>
            </w:r>
          </w:p>
        </w:tc>
      </w:tr>
    </w:tbl>
    <w:p>
      <w:pPr>
        <w:ind w:firstLine="640" w:firstLineChars="200"/>
        <w:jc w:val="both"/>
        <w:rPr>
          <w:rFonts w:hint="default" w:ascii="Times New Roman" w:hAnsi="Times New Roman" w:eastAsia="仿宋" w:cs="Times New Roman"/>
          <w:color w:val="auto"/>
          <w:sz w:val="32"/>
          <w:szCs w:val="32"/>
          <w:highlight w:val="none"/>
          <w:lang w:val="en-US" w:eastAsia="zh-CN"/>
        </w:rPr>
      </w:pPr>
    </w:p>
    <w:p>
      <w:pPr>
        <w:pStyle w:val="2"/>
        <w:rPr>
          <w:rFonts w:hint="default" w:ascii="Times New Roman" w:hAnsi="Times New Roman" w:eastAsia="仿宋" w:cs="Times New Roman"/>
          <w:color w:val="auto"/>
          <w:sz w:val="32"/>
          <w:szCs w:val="32"/>
          <w:highlight w:val="none"/>
          <w:lang w:val="en-US" w:eastAsia="zh-CN"/>
        </w:rPr>
      </w:pPr>
    </w:p>
    <w:p>
      <w:pPr>
        <w:rPr>
          <w:rFonts w:hint="default" w:ascii="Times New Roman" w:hAnsi="Times New Roman" w:eastAsia="仿宋" w:cs="Times New Roman"/>
          <w:color w:val="auto"/>
          <w:sz w:val="32"/>
          <w:szCs w:val="32"/>
          <w:highlight w:val="none"/>
          <w:lang w:val="en-US" w:eastAsia="zh-CN"/>
        </w:rPr>
      </w:pPr>
    </w:p>
    <w:p>
      <w:pPr>
        <w:pStyle w:val="2"/>
        <w:rPr>
          <w:rFonts w:hint="default" w:ascii="Times New Roman" w:hAnsi="Times New Roman" w:eastAsia="仿宋" w:cs="Times New Roman"/>
          <w:color w:val="auto"/>
          <w:sz w:val="32"/>
          <w:szCs w:val="32"/>
          <w:highlight w:val="none"/>
          <w:lang w:val="en-US" w:eastAsia="zh-CN"/>
        </w:rPr>
      </w:pPr>
    </w:p>
    <w:p>
      <w:pPr>
        <w:rPr>
          <w:rFonts w:hint="default" w:ascii="Times New Roman" w:hAnsi="Times New Roman" w:eastAsia="仿宋" w:cs="Times New Roman"/>
          <w:color w:val="auto"/>
          <w:sz w:val="32"/>
          <w:szCs w:val="32"/>
          <w:highlight w:val="none"/>
          <w:lang w:val="en-US" w:eastAsia="zh-CN"/>
        </w:rPr>
      </w:pPr>
    </w:p>
    <w:p>
      <w:pPr>
        <w:pStyle w:val="39"/>
        <w:ind w:firstLine="0" w:firstLineChars="0"/>
        <w:jc w:val="both"/>
        <w:outlineLvl w:val="1"/>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附件六</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综合评标评分表</w:t>
      </w: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宋体" w:eastAsia="方正小标宋简体"/>
          <w:b w:val="0"/>
          <w:bCs/>
          <w:sz w:val="44"/>
          <w:szCs w:val="44"/>
          <w:highlight w:val="none"/>
          <w:lang w:val="en-US" w:eastAsia="zh-CN"/>
        </w:rPr>
      </w:pPr>
      <w:r>
        <w:rPr>
          <w:rFonts w:hint="eastAsia" w:ascii="方正小标宋简体" w:hAnsi="宋体" w:eastAsia="方正小标宋简体"/>
          <w:b w:val="0"/>
          <w:bCs/>
          <w:sz w:val="44"/>
          <w:szCs w:val="44"/>
          <w:highlight w:val="none"/>
          <w:lang w:val="en-US" w:eastAsia="zh-CN"/>
        </w:rPr>
        <w:t>沙田加氢站投运仪式活动氛围布置项目</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宋体" w:eastAsia="方正小标宋简体"/>
          <w:b w:val="0"/>
          <w:bCs/>
          <w:sz w:val="44"/>
          <w:szCs w:val="44"/>
          <w:highlight w:val="none"/>
          <w:lang w:val="en-US" w:eastAsia="zh-CN"/>
        </w:rPr>
      </w:pPr>
      <w:r>
        <w:rPr>
          <w:rFonts w:hint="eastAsia" w:ascii="方正小标宋简体" w:hAnsi="宋体" w:eastAsia="方正小标宋简体"/>
          <w:b w:val="0"/>
          <w:bCs/>
          <w:sz w:val="44"/>
          <w:szCs w:val="44"/>
          <w:highlight w:val="none"/>
          <w:lang w:val="en-US" w:eastAsia="zh-CN"/>
        </w:rPr>
        <w:t>综合评标评分表</w:t>
      </w:r>
    </w:p>
    <w:p>
      <w:pPr>
        <w:pStyle w:val="2"/>
        <w:rPr>
          <w:rFonts w:hint="default"/>
          <w:lang w:val="en-US" w:eastAsia="zh-CN"/>
        </w:rPr>
      </w:pPr>
    </w:p>
    <w:tbl>
      <w:tblPr>
        <w:tblStyle w:val="20"/>
        <w:tblW w:w="91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40"/>
        <w:gridCol w:w="4597"/>
        <w:gridCol w:w="1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304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b/>
                <w:bCs w:val="0"/>
                <w:kern w:val="2"/>
                <w:sz w:val="21"/>
                <w:vertAlign w:val="baseline"/>
                <w:lang w:val="en-US" w:eastAsia="zh-CN" w:bidi="ar-SA"/>
              </w:rPr>
            </w:pPr>
            <w:r>
              <w:rPr>
                <w:rFonts w:hint="eastAsia" w:ascii="微软雅黑" w:hAnsi="微软雅黑" w:eastAsia="微软雅黑" w:cs="微软雅黑"/>
                <w:b/>
                <w:bCs w:val="0"/>
                <w:vertAlign w:val="baseline"/>
                <w:lang w:val="en-US" w:eastAsia="zh-CN"/>
              </w:rPr>
              <w:t>项目</w:t>
            </w:r>
          </w:p>
        </w:tc>
        <w:tc>
          <w:tcPr>
            <w:tcW w:w="4597"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b/>
                <w:bCs w:val="0"/>
                <w:kern w:val="2"/>
                <w:sz w:val="21"/>
                <w:vertAlign w:val="baseline"/>
                <w:lang w:val="en-US" w:eastAsia="zh-CN" w:bidi="ar-SA"/>
              </w:rPr>
            </w:pPr>
            <w:r>
              <w:rPr>
                <w:rFonts w:hint="eastAsia" w:ascii="微软雅黑" w:hAnsi="微软雅黑" w:eastAsia="微软雅黑" w:cs="微软雅黑"/>
                <w:b/>
                <w:bCs w:val="0"/>
                <w:vertAlign w:val="baseline"/>
                <w:lang w:val="en-US" w:eastAsia="zh-CN"/>
              </w:rPr>
              <w:t>评分标准</w:t>
            </w:r>
          </w:p>
        </w:tc>
        <w:tc>
          <w:tcPr>
            <w:tcW w:w="1482"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微软雅黑"/>
                <w:b/>
                <w:bCs w:val="0"/>
                <w:kern w:val="2"/>
                <w:sz w:val="21"/>
                <w:vertAlign w:val="baseline"/>
                <w:lang w:val="en-US" w:eastAsia="zh-CN" w:bidi="ar-SA"/>
              </w:rPr>
            </w:pPr>
            <w:r>
              <w:rPr>
                <w:rFonts w:hint="eastAsia" w:ascii="微软雅黑" w:hAnsi="微软雅黑" w:eastAsia="微软雅黑" w:cs="微软雅黑"/>
                <w:b/>
                <w:bCs w:val="0"/>
                <w:vertAlign w:val="baseline"/>
                <w:lang w:val="en-US" w:eastAsia="zh-CN"/>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119"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cs="微软雅黑"/>
                <w:b/>
                <w:bCs w:val="0"/>
                <w:vertAlign w:val="baseline"/>
                <w:lang w:val="en-US" w:eastAsia="zh-CN"/>
              </w:rPr>
            </w:pPr>
            <w:r>
              <w:rPr>
                <w:rStyle w:val="22"/>
                <w:rFonts w:hint="eastAsia" w:ascii="微软雅黑" w:hAnsi="微软雅黑" w:eastAsia="微软雅黑" w:cs="微软雅黑"/>
                <w:bCs w:val="0"/>
                <w:i w:val="0"/>
                <w:caps w:val="0"/>
                <w:color w:val="0F1115"/>
                <w:spacing w:val="0"/>
                <w:kern w:val="2"/>
                <w:sz w:val="24"/>
                <w:szCs w:val="24"/>
                <w:shd w:val="clear" w:fill="FFFFFF"/>
                <w:lang w:val="en-US" w:eastAsia="zh-CN" w:bidi="ar-SA"/>
              </w:rPr>
              <w:t>一、总体方案设计(50分)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304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cs="微软雅黑"/>
                <w:b w:val="0"/>
                <w:bCs/>
                <w:vertAlign w:val="baseline"/>
                <w:lang w:val="en-US" w:eastAsia="zh-CN"/>
              </w:rPr>
            </w:pPr>
            <w:r>
              <w:rPr>
                <w:rFonts w:hint="eastAsia" w:ascii="微软雅黑" w:hAnsi="微软雅黑" w:eastAsia="微软雅黑" w:cs="微软雅黑"/>
                <w:b w:val="0"/>
                <w:bCs/>
                <w:vertAlign w:val="baseline"/>
                <w:lang w:val="en-US" w:eastAsia="zh-CN"/>
              </w:rPr>
              <w:t>主题契合度与创意性（20分）</w:t>
            </w:r>
          </w:p>
        </w:tc>
        <w:tc>
          <w:tcPr>
            <w:tcW w:w="4597"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b w:val="0"/>
                <w:bCs/>
                <w:vertAlign w:val="baseline"/>
                <w:lang w:val="en-US" w:eastAsia="zh-CN"/>
              </w:rPr>
            </w:pPr>
            <w:r>
              <w:rPr>
                <w:rFonts w:hint="eastAsia" w:ascii="微软雅黑" w:hAnsi="微软雅黑" w:eastAsia="微软雅黑" w:cs="微软雅黑"/>
                <w:b w:val="0"/>
                <w:bCs/>
                <w:vertAlign w:val="baseline"/>
                <w:lang w:val="en-US" w:eastAsia="zh-CN"/>
              </w:rPr>
              <w:t>方案是否精准诠释活动主题，设计理念是否新颖、有创意，能体现氢能产业科技感与未来感。</w:t>
            </w:r>
          </w:p>
        </w:tc>
        <w:tc>
          <w:tcPr>
            <w:tcW w:w="1482"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b w:val="0"/>
                <w:bCs/>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304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微软雅黑" w:hAnsi="微软雅黑" w:eastAsia="微软雅黑" w:cs="微软雅黑"/>
                <w:b w:val="0"/>
                <w:bCs/>
                <w:vertAlign w:val="baseline"/>
                <w:lang w:val="en-US" w:eastAsia="zh-CN"/>
              </w:rPr>
            </w:pPr>
            <w:r>
              <w:rPr>
                <w:rFonts w:hint="eastAsia" w:ascii="微软雅黑" w:hAnsi="微软雅黑" w:eastAsia="微软雅黑" w:cs="微软雅黑"/>
                <w:b w:val="0"/>
                <w:bCs/>
                <w:vertAlign w:val="baseline"/>
                <w:lang w:val="en-US" w:eastAsia="zh-CN"/>
              </w:rPr>
              <w:t>视觉系统完整性（10分）</w:t>
            </w:r>
          </w:p>
        </w:tc>
        <w:tc>
          <w:tcPr>
            <w:tcW w:w="4597"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微软雅黑" w:hAnsi="微软雅黑" w:eastAsia="微软雅黑" w:cs="微软雅黑"/>
                <w:b w:val="0"/>
                <w:bCs/>
                <w:vertAlign w:val="baseline"/>
                <w:lang w:val="en-US" w:eastAsia="zh-CN"/>
              </w:rPr>
            </w:pPr>
            <w:r>
              <w:rPr>
                <w:rFonts w:hint="eastAsia" w:ascii="微软雅黑" w:hAnsi="微软雅黑" w:eastAsia="微软雅黑" w:cs="微软雅黑"/>
                <w:b w:val="0"/>
                <w:bCs/>
                <w:vertAlign w:val="baseline"/>
                <w:lang w:val="en-US" w:eastAsia="zh-CN"/>
              </w:rPr>
              <w:t>背景墙、签到墙、展板、导视等各要素设计是否风格统一、协调，形成完整的视觉体系.</w:t>
            </w:r>
          </w:p>
        </w:tc>
        <w:tc>
          <w:tcPr>
            <w:tcW w:w="1482"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b w:val="0"/>
                <w:bCs/>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trPr>
        <w:tc>
          <w:tcPr>
            <w:tcW w:w="304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微软雅黑" w:hAnsi="微软雅黑" w:eastAsia="微软雅黑" w:cs="微软雅黑"/>
                <w:b w:val="0"/>
                <w:bCs/>
                <w:vertAlign w:val="baseline"/>
                <w:lang w:val="en-US" w:eastAsia="zh-CN"/>
              </w:rPr>
            </w:pPr>
            <w:r>
              <w:rPr>
                <w:rFonts w:hint="eastAsia" w:ascii="微软雅黑" w:hAnsi="微软雅黑" w:eastAsia="微软雅黑" w:cs="微软雅黑"/>
                <w:b w:val="0"/>
                <w:bCs/>
                <w:vertAlign w:val="baseline"/>
                <w:lang w:val="en-US" w:eastAsia="zh-CN"/>
              </w:rPr>
              <w:t>布置方案可行性（10分）</w:t>
            </w:r>
          </w:p>
        </w:tc>
        <w:tc>
          <w:tcPr>
            <w:tcW w:w="4597"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b w:val="0"/>
                <w:bCs/>
                <w:vertAlign w:val="baseline"/>
                <w:lang w:val="en-US" w:eastAsia="zh-CN"/>
              </w:rPr>
            </w:pPr>
            <w:r>
              <w:rPr>
                <w:rFonts w:hint="eastAsia" w:ascii="微软雅黑" w:hAnsi="微软雅黑" w:eastAsia="微软雅黑" w:cs="微软雅黑"/>
                <w:b w:val="0"/>
                <w:bCs/>
                <w:vertAlign w:val="baseline"/>
                <w:lang w:val="en-US" w:eastAsia="zh-CN"/>
              </w:rPr>
              <w:t>场地测量是否准确，效果图与施工图是否清晰、详尽，对现场条件（如电源、安全通道）的考虑是否周全。</w:t>
            </w:r>
          </w:p>
        </w:tc>
        <w:tc>
          <w:tcPr>
            <w:tcW w:w="1482"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b w:val="0"/>
                <w:bCs/>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304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cs="微软雅黑"/>
                <w:b w:val="0"/>
                <w:bCs/>
                <w:vertAlign w:val="baseline"/>
                <w:lang w:val="en-US" w:eastAsia="zh-CN"/>
              </w:rPr>
            </w:pPr>
            <w:r>
              <w:rPr>
                <w:rFonts w:hint="eastAsia" w:ascii="微软雅黑" w:hAnsi="微软雅黑" w:eastAsia="微软雅黑" w:cs="微软雅黑"/>
                <w:b w:val="0"/>
                <w:bCs/>
                <w:vertAlign w:val="baseline"/>
                <w:lang w:val="en-US" w:eastAsia="zh-CN"/>
              </w:rPr>
              <w:t>物料选型与品质（10分）</w:t>
            </w:r>
          </w:p>
        </w:tc>
        <w:tc>
          <w:tcPr>
            <w:tcW w:w="4597"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b w:val="0"/>
                <w:bCs/>
                <w:vertAlign w:val="baseline"/>
                <w:lang w:val="en-US" w:eastAsia="zh-CN"/>
              </w:rPr>
            </w:pPr>
            <w:r>
              <w:rPr>
                <w:rFonts w:hint="eastAsia" w:ascii="微软雅黑" w:hAnsi="微软雅黑" w:eastAsia="微软雅黑" w:cs="微软雅黑"/>
                <w:b w:val="0"/>
                <w:bCs/>
                <w:vertAlign w:val="baseline"/>
                <w:lang w:val="en-US" w:eastAsia="zh-CN"/>
              </w:rPr>
              <w:t>所用材质（如背景板板材、喷绘技术、音响型号）是否优质、安全、环保，满足户外外使用要求。</w:t>
            </w:r>
          </w:p>
        </w:tc>
        <w:tc>
          <w:tcPr>
            <w:tcW w:w="1482"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b w:val="0"/>
                <w:bCs/>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9119"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b w:val="0"/>
                <w:bCs/>
                <w:vertAlign w:val="baseline"/>
                <w:lang w:val="en-US" w:eastAsia="zh-CN"/>
              </w:rPr>
            </w:pPr>
            <w:r>
              <w:rPr>
                <w:rStyle w:val="22"/>
                <w:rFonts w:hint="eastAsia" w:ascii="微软雅黑" w:hAnsi="微软雅黑" w:eastAsia="微软雅黑" w:cs="微软雅黑"/>
                <w:bCs w:val="0"/>
                <w:i w:val="0"/>
                <w:caps w:val="0"/>
                <w:color w:val="0F1115"/>
                <w:spacing w:val="0"/>
                <w:kern w:val="2"/>
                <w:sz w:val="24"/>
                <w:szCs w:val="24"/>
                <w:shd w:val="clear" w:fill="FFFFFF"/>
                <w:lang w:val="en-US" w:eastAsia="zh-CN" w:bidi="ar-SA"/>
              </w:rPr>
              <w:t>二、报价与成本（30）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304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cs="微软雅黑"/>
                <w:b w:val="0"/>
                <w:bCs/>
                <w:vertAlign w:val="baseline"/>
                <w:lang w:val="en-US" w:eastAsia="zh-CN"/>
              </w:rPr>
            </w:pPr>
            <w:r>
              <w:rPr>
                <w:rFonts w:hint="eastAsia" w:ascii="微软雅黑" w:hAnsi="微软雅黑" w:eastAsia="微软雅黑" w:cs="微软雅黑"/>
                <w:b w:val="0"/>
                <w:bCs/>
                <w:vertAlign w:val="baseline"/>
                <w:lang w:val="en-US" w:eastAsia="zh-CN"/>
              </w:rPr>
              <w:t>报价合理性（30）</w:t>
            </w:r>
          </w:p>
        </w:tc>
        <w:tc>
          <w:tcPr>
            <w:tcW w:w="4597" w:type="dxa"/>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cs="微软雅黑"/>
                <w:b w:val="0"/>
                <w:bCs/>
                <w:vertAlign w:val="baseline"/>
                <w:lang w:val="en-US" w:eastAsia="zh-CN"/>
              </w:rPr>
            </w:pPr>
            <w:r>
              <w:rPr>
                <w:rFonts w:hint="eastAsia" w:ascii="微软雅黑" w:hAnsi="微软雅黑" w:eastAsia="微软雅黑" w:cs="微软雅黑"/>
                <w:b w:val="0"/>
                <w:bCs/>
                <w:vertAlign w:val="baseline"/>
                <w:lang w:val="en-US" w:eastAsia="zh-CN"/>
              </w:rPr>
              <w:t>按报价由低到高排序，报价最低者得30分</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lang w:val="en-US" w:eastAsia="zh-CN"/>
              </w:rPr>
            </w:pPr>
            <w:r>
              <w:rPr>
                <w:rFonts w:hint="eastAsia" w:ascii="微软雅黑" w:hAnsi="微软雅黑" w:eastAsia="微软雅黑" w:cs="微软雅黑"/>
                <w:b w:val="0"/>
                <w:bCs/>
                <w:vertAlign w:val="baseline"/>
                <w:lang w:val="en-US" w:eastAsia="zh-CN"/>
              </w:rPr>
              <w:t>每下降一位减5分，以此类推。</w:t>
            </w:r>
          </w:p>
        </w:tc>
        <w:tc>
          <w:tcPr>
            <w:tcW w:w="1482"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b w:val="0"/>
                <w:bCs/>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9119"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微软雅黑" w:hAnsi="微软雅黑" w:eastAsia="微软雅黑" w:cs="微软雅黑"/>
                <w:b w:val="0"/>
                <w:bCs/>
                <w:vertAlign w:val="baseline"/>
                <w:lang w:val="en-US" w:eastAsia="zh-CN"/>
              </w:rPr>
            </w:pPr>
            <w:r>
              <w:rPr>
                <w:rStyle w:val="22"/>
                <w:rFonts w:hint="eastAsia" w:ascii="微软雅黑" w:hAnsi="微软雅黑" w:eastAsia="微软雅黑" w:cs="微软雅黑"/>
                <w:bCs w:val="0"/>
                <w:i w:val="0"/>
                <w:caps w:val="0"/>
                <w:color w:val="0F1115"/>
                <w:spacing w:val="0"/>
                <w:kern w:val="2"/>
                <w:sz w:val="24"/>
                <w:szCs w:val="24"/>
                <w:shd w:val="clear" w:fill="FFFFFF"/>
                <w:lang w:val="en-US" w:eastAsia="zh-CN" w:bidi="ar-SA"/>
              </w:rPr>
              <w:t>三、项目经验（10）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304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微软雅黑" w:hAnsi="微软雅黑" w:eastAsia="微软雅黑" w:cs="微软雅黑"/>
                <w:b w:val="0"/>
                <w:bCs/>
                <w:vertAlign w:val="baseline"/>
                <w:lang w:val="en-US" w:eastAsia="zh-CN"/>
              </w:rPr>
            </w:pPr>
            <w:r>
              <w:rPr>
                <w:rFonts w:hint="eastAsia" w:ascii="微软雅黑" w:hAnsi="微软雅黑" w:eastAsia="微软雅黑" w:cs="微软雅黑"/>
                <w:b w:val="0"/>
                <w:bCs/>
                <w:vertAlign w:val="baseline"/>
                <w:lang w:val="en-US" w:eastAsia="zh-CN"/>
              </w:rPr>
              <w:t>项目业绩（10）</w:t>
            </w:r>
          </w:p>
        </w:tc>
        <w:tc>
          <w:tcPr>
            <w:tcW w:w="4597"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b w:val="0"/>
                <w:bCs/>
                <w:vertAlign w:val="baseline"/>
                <w:lang w:val="en-US" w:eastAsia="zh-CN"/>
              </w:rPr>
            </w:pPr>
            <w:r>
              <w:rPr>
                <w:rFonts w:hint="eastAsia" w:ascii="微软雅黑" w:hAnsi="微软雅黑" w:eastAsia="微软雅黑" w:cs="微软雅黑"/>
                <w:b w:val="0"/>
                <w:bCs/>
                <w:vertAlign w:val="baseline"/>
                <w:lang w:val="en-US" w:eastAsia="zh-CN"/>
              </w:rPr>
              <w:t>提供近2年内其他类似规模、规格的活动氛围布置合同案例，每1份5分。</w:t>
            </w:r>
          </w:p>
        </w:tc>
        <w:tc>
          <w:tcPr>
            <w:tcW w:w="1482"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b w:val="0"/>
                <w:bCs/>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9119"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微软雅黑" w:hAnsi="微软雅黑" w:eastAsia="微软雅黑" w:cs="微软雅黑"/>
                <w:b w:val="0"/>
                <w:bCs/>
                <w:vertAlign w:val="baseline"/>
                <w:lang w:val="en-US" w:eastAsia="zh-CN"/>
              </w:rPr>
            </w:pPr>
            <w:r>
              <w:rPr>
                <w:rStyle w:val="22"/>
                <w:rFonts w:hint="eastAsia" w:ascii="微软雅黑" w:hAnsi="微软雅黑" w:eastAsia="微软雅黑" w:cs="微软雅黑"/>
                <w:bCs w:val="0"/>
                <w:i w:val="0"/>
                <w:caps w:val="0"/>
                <w:color w:val="0F1115"/>
                <w:spacing w:val="0"/>
                <w:kern w:val="2"/>
                <w:sz w:val="24"/>
                <w:szCs w:val="24"/>
                <w:shd w:val="clear" w:fill="FFFFFF"/>
                <w:lang w:val="en-US" w:eastAsia="zh-CN" w:bidi="ar-SA"/>
              </w:rPr>
              <w:t>四、服务与承诺（10）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3040" w:type="dxa"/>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微软雅黑" w:hAnsi="微软雅黑" w:eastAsia="微软雅黑" w:cs="微软雅黑"/>
                <w:b w:val="0"/>
                <w:bCs/>
                <w:vertAlign w:val="baseline"/>
                <w:lang w:val="en-US" w:eastAsia="zh-CN"/>
              </w:rPr>
            </w:pPr>
            <w:r>
              <w:rPr>
                <w:rFonts w:hint="eastAsia" w:ascii="微软雅黑" w:hAnsi="微软雅黑" w:eastAsia="微软雅黑" w:cs="微软雅黑"/>
                <w:b w:val="0"/>
                <w:bCs/>
                <w:vertAlign w:val="baseline"/>
                <w:lang w:val="en-US" w:eastAsia="zh-CN"/>
              </w:rPr>
              <w:t>项目周期服务与承诺（10）</w:t>
            </w:r>
          </w:p>
        </w:tc>
        <w:tc>
          <w:tcPr>
            <w:tcW w:w="4597"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微软雅黑" w:hAnsi="微软雅黑" w:eastAsia="微软雅黑" w:cs="微软雅黑"/>
                <w:b w:val="0"/>
                <w:bCs/>
                <w:vertAlign w:val="baseline"/>
                <w:lang w:val="en-US" w:eastAsia="zh-CN"/>
              </w:rPr>
            </w:pPr>
            <w:r>
              <w:rPr>
                <w:rFonts w:hint="eastAsia" w:ascii="微软雅黑" w:hAnsi="微软雅黑" w:eastAsia="微软雅黑" w:cs="微软雅黑"/>
                <w:b w:val="0"/>
                <w:bCs/>
                <w:vertAlign w:val="baseline"/>
                <w:lang w:val="en-US" w:eastAsia="zh-CN"/>
              </w:rPr>
              <w:t>对招标方需求（如方案修改）的响应时效承诺是否明确（5分）；对突发问题的处理流程与时限承诺是否清晰（5分）。</w:t>
            </w:r>
          </w:p>
        </w:tc>
        <w:tc>
          <w:tcPr>
            <w:tcW w:w="1482"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b w:val="0"/>
                <w:bCs/>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637"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微软雅黑" w:hAnsi="微软雅黑" w:eastAsia="微软雅黑" w:cs="微软雅黑"/>
                <w:b w:val="0"/>
                <w:bCs/>
                <w:vertAlign w:val="baseline"/>
                <w:lang w:val="en-US" w:eastAsia="zh-CN"/>
              </w:rPr>
            </w:pPr>
            <w:r>
              <w:rPr>
                <w:rFonts w:hint="eastAsia" w:ascii="微软雅黑" w:hAnsi="微软雅黑" w:eastAsia="微软雅黑" w:cs="微软雅黑"/>
                <w:b w:val="0"/>
                <w:bCs/>
                <w:vertAlign w:val="baseline"/>
                <w:lang w:val="en-US" w:eastAsia="zh-CN"/>
              </w:rPr>
              <w:t>合计</w:t>
            </w:r>
          </w:p>
        </w:tc>
        <w:tc>
          <w:tcPr>
            <w:tcW w:w="1482" w:type="dxa"/>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b w:val="0"/>
                <w:bCs/>
                <w:vertAlign w:val="baseline"/>
                <w:lang w:val="en-US" w:eastAsia="zh-CN"/>
              </w:rPr>
            </w:pPr>
          </w:p>
        </w:tc>
      </w:tr>
    </w:tbl>
    <w:p>
      <w:pPr>
        <w:rPr>
          <w:rFonts w:hint="default"/>
          <w:lang w:val="en-US" w:eastAsia="zh-CN"/>
        </w:rPr>
      </w:pPr>
    </w:p>
    <w:p>
      <w:pPr>
        <w:rPr>
          <w:rFonts w:hint="default"/>
          <w:lang w:val="en-US" w:eastAsia="zh-CN"/>
        </w:rPr>
      </w:pP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935F6DD-DB4B-47D7-BFA5-11B600ED22F2}"/>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55B98788-7548-44B8-8657-4D43BDA5A64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embedRegular r:id="rId3" w:fontKey="{CDF8DF55-4E5D-495B-B87C-CEEFAD2D0ED8}"/>
  </w:font>
  <w:font w:name="仿宋">
    <w:panose1 w:val="02010609060101010101"/>
    <w:charset w:val="86"/>
    <w:family w:val="auto"/>
    <w:pitch w:val="default"/>
    <w:sig w:usb0="800002BF" w:usb1="38CF7CFA" w:usb2="00000016" w:usb3="00000000" w:csb0="00040001" w:csb1="00000000"/>
    <w:embedRegular r:id="rId4" w:fontKey="{A14C4288-A987-4F5A-9103-E1B208CF3E70}"/>
  </w:font>
  <w:font w:name="方正小标宋简体">
    <w:panose1 w:val="03000509000000000000"/>
    <w:charset w:val="86"/>
    <w:family w:val="script"/>
    <w:pitch w:val="default"/>
    <w:sig w:usb0="00000001" w:usb1="080E0000" w:usb2="00000000" w:usb3="00000000" w:csb0="00040000" w:csb1="00000000"/>
    <w:embedRegular r:id="rId5" w:fontKey="{670E165A-A9CB-4D89-A0A0-F9D776A9AAAE}"/>
  </w:font>
  <w:font w:name="微软雅黑">
    <w:panose1 w:val="020B0503020204020204"/>
    <w:charset w:val="86"/>
    <w:family w:val="auto"/>
    <w:pitch w:val="default"/>
    <w:sig w:usb0="80000287" w:usb1="2ACF3C50" w:usb2="00000016" w:usb3="00000000" w:csb0="0004001F" w:csb1="00000000"/>
    <w:embedRegular r:id="rId6" w:fontKey="{87AE4B3E-586E-4A94-B96B-6E285B0B741F}"/>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A4E6F"/>
    <w:multiLevelType w:val="multilevel"/>
    <w:tmpl w:val="02BA4E6F"/>
    <w:lvl w:ilvl="0" w:tentative="0">
      <w:start w:val="1"/>
      <w:numFmt w:val="bullet"/>
      <w:pStyle w:val="56"/>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47"/>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val="1"/>
  <w:embedTrueTypeFonts/>
  <w:saveSubsetFonts/>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M5ZmE1ZTg2YWQyZjkyNDFjNDRlY2FmM2Y3Yzg0ZDMifQ=="/>
  </w:docVars>
  <w:rsids>
    <w:rsidRoot w:val="00172A27"/>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2A27"/>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B9A"/>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64D8"/>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93C12"/>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2CE1"/>
    <w:rsid w:val="009772B9"/>
    <w:rsid w:val="00984E18"/>
    <w:rsid w:val="00985E72"/>
    <w:rsid w:val="0099786D"/>
    <w:rsid w:val="00997FCA"/>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63D32"/>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A7E0F"/>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2FF2"/>
    <w:rsid w:val="00FD50D4"/>
    <w:rsid w:val="00FD6E74"/>
    <w:rsid w:val="00FE0424"/>
    <w:rsid w:val="00FF2CE6"/>
    <w:rsid w:val="00FF40A5"/>
    <w:rsid w:val="00FF64ED"/>
    <w:rsid w:val="01397AC9"/>
    <w:rsid w:val="015679D0"/>
    <w:rsid w:val="01CE2078"/>
    <w:rsid w:val="02125AD2"/>
    <w:rsid w:val="028F0228"/>
    <w:rsid w:val="035D4211"/>
    <w:rsid w:val="037D5EE3"/>
    <w:rsid w:val="03C223B6"/>
    <w:rsid w:val="04CF6E29"/>
    <w:rsid w:val="05111DAD"/>
    <w:rsid w:val="059366CF"/>
    <w:rsid w:val="05D00163"/>
    <w:rsid w:val="06AD01E6"/>
    <w:rsid w:val="06EE7114"/>
    <w:rsid w:val="06F15928"/>
    <w:rsid w:val="07754928"/>
    <w:rsid w:val="077C34B8"/>
    <w:rsid w:val="07A209C4"/>
    <w:rsid w:val="07C130C6"/>
    <w:rsid w:val="080D26DA"/>
    <w:rsid w:val="08284245"/>
    <w:rsid w:val="086F1260"/>
    <w:rsid w:val="0880226D"/>
    <w:rsid w:val="089F2BDE"/>
    <w:rsid w:val="08BB2505"/>
    <w:rsid w:val="090E14F0"/>
    <w:rsid w:val="097649A3"/>
    <w:rsid w:val="09827B67"/>
    <w:rsid w:val="099A07E1"/>
    <w:rsid w:val="0A7C6F72"/>
    <w:rsid w:val="0A9B4FED"/>
    <w:rsid w:val="0AA453BC"/>
    <w:rsid w:val="0B0C0A79"/>
    <w:rsid w:val="0B451F6A"/>
    <w:rsid w:val="0BA14D3A"/>
    <w:rsid w:val="0C0A381E"/>
    <w:rsid w:val="0C6E7226"/>
    <w:rsid w:val="0C6F4C8D"/>
    <w:rsid w:val="0C880262"/>
    <w:rsid w:val="0CA14A0A"/>
    <w:rsid w:val="0D0E0EB6"/>
    <w:rsid w:val="0D10236F"/>
    <w:rsid w:val="0D906017"/>
    <w:rsid w:val="0DE142CB"/>
    <w:rsid w:val="0E63372C"/>
    <w:rsid w:val="0EF73CF1"/>
    <w:rsid w:val="0FDC1CDC"/>
    <w:rsid w:val="10223C48"/>
    <w:rsid w:val="10613C9B"/>
    <w:rsid w:val="111A2EE3"/>
    <w:rsid w:val="11A310A5"/>
    <w:rsid w:val="11EE113E"/>
    <w:rsid w:val="12475EA9"/>
    <w:rsid w:val="12FF65C8"/>
    <w:rsid w:val="133360BD"/>
    <w:rsid w:val="137F7471"/>
    <w:rsid w:val="146E4633"/>
    <w:rsid w:val="14AC3D16"/>
    <w:rsid w:val="14F152B8"/>
    <w:rsid w:val="150412EA"/>
    <w:rsid w:val="16132EE5"/>
    <w:rsid w:val="16704C38"/>
    <w:rsid w:val="16861D3C"/>
    <w:rsid w:val="171438BA"/>
    <w:rsid w:val="17230955"/>
    <w:rsid w:val="180F5427"/>
    <w:rsid w:val="182770BA"/>
    <w:rsid w:val="185C1918"/>
    <w:rsid w:val="18863017"/>
    <w:rsid w:val="189E40C9"/>
    <w:rsid w:val="18AC6D73"/>
    <w:rsid w:val="18EA682E"/>
    <w:rsid w:val="19DD51CB"/>
    <w:rsid w:val="1A8B18F6"/>
    <w:rsid w:val="1ABA0B3B"/>
    <w:rsid w:val="1B4716B4"/>
    <w:rsid w:val="1BEE7E74"/>
    <w:rsid w:val="1C08419D"/>
    <w:rsid w:val="1C297D63"/>
    <w:rsid w:val="1CCB3A6C"/>
    <w:rsid w:val="1D4D5FFD"/>
    <w:rsid w:val="1D642196"/>
    <w:rsid w:val="1E324C07"/>
    <w:rsid w:val="1E5063AC"/>
    <w:rsid w:val="1EB43554"/>
    <w:rsid w:val="1F404F5E"/>
    <w:rsid w:val="1F7A0970"/>
    <w:rsid w:val="1F9D3634"/>
    <w:rsid w:val="209E2C67"/>
    <w:rsid w:val="213B1732"/>
    <w:rsid w:val="21581D11"/>
    <w:rsid w:val="216F32CA"/>
    <w:rsid w:val="21D17B4D"/>
    <w:rsid w:val="21FB5A90"/>
    <w:rsid w:val="22124112"/>
    <w:rsid w:val="225C19C8"/>
    <w:rsid w:val="232272BA"/>
    <w:rsid w:val="23F57352"/>
    <w:rsid w:val="24561911"/>
    <w:rsid w:val="249A7996"/>
    <w:rsid w:val="24A60191"/>
    <w:rsid w:val="255A1523"/>
    <w:rsid w:val="257D1762"/>
    <w:rsid w:val="261C543B"/>
    <w:rsid w:val="263B30EA"/>
    <w:rsid w:val="267E2359"/>
    <w:rsid w:val="267F0FEC"/>
    <w:rsid w:val="26BC7CBC"/>
    <w:rsid w:val="27447ED5"/>
    <w:rsid w:val="275F3A77"/>
    <w:rsid w:val="284F0253"/>
    <w:rsid w:val="28644870"/>
    <w:rsid w:val="28877779"/>
    <w:rsid w:val="28A47985"/>
    <w:rsid w:val="28E55011"/>
    <w:rsid w:val="29791F29"/>
    <w:rsid w:val="2AA86C6A"/>
    <w:rsid w:val="2AC5216B"/>
    <w:rsid w:val="2AE949DF"/>
    <w:rsid w:val="2B2C3F7A"/>
    <w:rsid w:val="2B3B474B"/>
    <w:rsid w:val="2B8D044E"/>
    <w:rsid w:val="2B8E43CA"/>
    <w:rsid w:val="2C016BB8"/>
    <w:rsid w:val="2C9A3413"/>
    <w:rsid w:val="2CDF26EB"/>
    <w:rsid w:val="2CEF456B"/>
    <w:rsid w:val="2D77461B"/>
    <w:rsid w:val="2DDC30FB"/>
    <w:rsid w:val="2DFA24A7"/>
    <w:rsid w:val="2E015014"/>
    <w:rsid w:val="2E161914"/>
    <w:rsid w:val="2E400C5F"/>
    <w:rsid w:val="2E5209E3"/>
    <w:rsid w:val="2EB001D1"/>
    <w:rsid w:val="2EB01AFE"/>
    <w:rsid w:val="2F02606D"/>
    <w:rsid w:val="2FAD6A86"/>
    <w:rsid w:val="30525512"/>
    <w:rsid w:val="30592C7B"/>
    <w:rsid w:val="307471B8"/>
    <w:rsid w:val="30A57333"/>
    <w:rsid w:val="30D1119A"/>
    <w:rsid w:val="30F12F4C"/>
    <w:rsid w:val="3112402E"/>
    <w:rsid w:val="313D3E38"/>
    <w:rsid w:val="31540F86"/>
    <w:rsid w:val="31820833"/>
    <w:rsid w:val="31B41A25"/>
    <w:rsid w:val="31B9703B"/>
    <w:rsid w:val="32327379"/>
    <w:rsid w:val="32611BF0"/>
    <w:rsid w:val="326D219B"/>
    <w:rsid w:val="32A56807"/>
    <w:rsid w:val="338D4C23"/>
    <w:rsid w:val="33A83294"/>
    <w:rsid w:val="33DB0FA3"/>
    <w:rsid w:val="34011E26"/>
    <w:rsid w:val="341B4D23"/>
    <w:rsid w:val="345C5D91"/>
    <w:rsid w:val="34F32276"/>
    <w:rsid w:val="3550415A"/>
    <w:rsid w:val="35553109"/>
    <w:rsid w:val="35613714"/>
    <w:rsid w:val="358C4411"/>
    <w:rsid w:val="360457A6"/>
    <w:rsid w:val="365018BD"/>
    <w:rsid w:val="36A81FB2"/>
    <w:rsid w:val="3722158D"/>
    <w:rsid w:val="375E09FC"/>
    <w:rsid w:val="376B2687"/>
    <w:rsid w:val="38525FA9"/>
    <w:rsid w:val="38767C3D"/>
    <w:rsid w:val="388C64A2"/>
    <w:rsid w:val="38CC2FD5"/>
    <w:rsid w:val="39003F1D"/>
    <w:rsid w:val="39276876"/>
    <w:rsid w:val="392B2930"/>
    <w:rsid w:val="39690C43"/>
    <w:rsid w:val="3A544054"/>
    <w:rsid w:val="3AB56764"/>
    <w:rsid w:val="3AC853CC"/>
    <w:rsid w:val="3AD7462E"/>
    <w:rsid w:val="3B0E6FDF"/>
    <w:rsid w:val="3B1874C8"/>
    <w:rsid w:val="3B66136D"/>
    <w:rsid w:val="3BE37862"/>
    <w:rsid w:val="3BF70E8C"/>
    <w:rsid w:val="3C582CD8"/>
    <w:rsid w:val="3C5F4A28"/>
    <w:rsid w:val="3D5D5860"/>
    <w:rsid w:val="3E094E14"/>
    <w:rsid w:val="3E1D536D"/>
    <w:rsid w:val="3E2546CD"/>
    <w:rsid w:val="3E5874B7"/>
    <w:rsid w:val="3EA43251"/>
    <w:rsid w:val="3F2D1069"/>
    <w:rsid w:val="3FB84DD6"/>
    <w:rsid w:val="40531C58"/>
    <w:rsid w:val="40D20119"/>
    <w:rsid w:val="40E760BE"/>
    <w:rsid w:val="41192D98"/>
    <w:rsid w:val="413E5CD9"/>
    <w:rsid w:val="41DA235A"/>
    <w:rsid w:val="431F5DA5"/>
    <w:rsid w:val="43425F9D"/>
    <w:rsid w:val="43575F8E"/>
    <w:rsid w:val="438860D5"/>
    <w:rsid w:val="43F465D0"/>
    <w:rsid w:val="441F3676"/>
    <w:rsid w:val="442A053D"/>
    <w:rsid w:val="44440739"/>
    <w:rsid w:val="444F3BA0"/>
    <w:rsid w:val="446F65B8"/>
    <w:rsid w:val="44F057A6"/>
    <w:rsid w:val="45A95346"/>
    <w:rsid w:val="46416F41"/>
    <w:rsid w:val="466535B6"/>
    <w:rsid w:val="467D6748"/>
    <w:rsid w:val="46C4203A"/>
    <w:rsid w:val="470E29AE"/>
    <w:rsid w:val="475F1FDB"/>
    <w:rsid w:val="47E250E6"/>
    <w:rsid w:val="49986F22"/>
    <w:rsid w:val="49BA6F48"/>
    <w:rsid w:val="49CB0CCD"/>
    <w:rsid w:val="4A233794"/>
    <w:rsid w:val="4A8A55C1"/>
    <w:rsid w:val="4AA610D6"/>
    <w:rsid w:val="4AC371AF"/>
    <w:rsid w:val="4AD618B2"/>
    <w:rsid w:val="4B0C055A"/>
    <w:rsid w:val="4C1B7A56"/>
    <w:rsid w:val="4C2C2BA6"/>
    <w:rsid w:val="4C373484"/>
    <w:rsid w:val="4C610D2E"/>
    <w:rsid w:val="4C8B4A7C"/>
    <w:rsid w:val="4CFC368B"/>
    <w:rsid w:val="4E1459FA"/>
    <w:rsid w:val="4E7D412D"/>
    <w:rsid w:val="4E9A7C88"/>
    <w:rsid w:val="4EBE4481"/>
    <w:rsid w:val="4F086AAF"/>
    <w:rsid w:val="503D4E47"/>
    <w:rsid w:val="5069668A"/>
    <w:rsid w:val="50A83CB2"/>
    <w:rsid w:val="512B42F2"/>
    <w:rsid w:val="51BB2E0D"/>
    <w:rsid w:val="521213C7"/>
    <w:rsid w:val="5247520B"/>
    <w:rsid w:val="538E5DEC"/>
    <w:rsid w:val="53946D03"/>
    <w:rsid w:val="54882B71"/>
    <w:rsid w:val="54A026FE"/>
    <w:rsid w:val="54A74335"/>
    <w:rsid w:val="55946018"/>
    <w:rsid w:val="55D42CE3"/>
    <w:rsid w:val="561F10CF"/>
    <w:rsid w:val="56273F50"/>
    <w:rsid w:val="565E67ED"/>
    <w:rsid w:val="56D076DF"/>
    <w:rsid w:val="56E34736"/>
    <w:rsid w:val="56FB15A3"/>
    <w:rsid w:val="572C3C94"/>
    <w:rsid w:val="57806BBC"/>
    <w:rsid w:val="582564AF"/>
    <w:rsid w:val="587C0D9C"/>
    <w:rsid w:val="58963DA7"/>
    <w:rsid w:val="592C3305"/>
    <w:rsid w:val="59FC3DD0"/>
    <w:rsid w:val="5A2C7551"/>
    <w:rsid w:val="5A400720"/>
    <w:rsid w:val="5A8C0EE1"/>
    <w:rsid w:val="5AC04DB2"/>
    <w:rsid w:val="5ADD0E38"/>
    <w:rsid w:val="5B33669F"/>
    <w:rsid w:val="5B391BB9"/>
    <w:rsid w:val="5C072B21"/>
    <w:rsid w:val="5CC04E72"/>
    <w:rsid w:val="5CD660A7"/>
    <w:rsid w:val="5CDF32CC"/>
    <w:rsid w:val="5CF4139A"/>
    <w:rsid w:val="5D693C9C"/>
    <w:rsid w:val="5D9D7735"/>
    <w:rsid w:val="5DDD7B12"/>
    <w:rsid w:val="5DE973D6"/>
    <w:rsid w:val="5DF756B3"/>
    <w:rsid w:val="5E0E058B"/>
    <w:rsid w:val="5E8D2D21"/>
    <w:rsid w:val="5E9F014A"/>
    <w:rsid w:val="5EB9488E"/>
    <w:rsid w:val="5EBD1212"/>
    <w:rsid w:val="5EFE101F"/>
    <w:rsid w:val="5F1D6CF6"/>
    <w:rsid w:val="5F214C95"/>
    <w:rsid w:val="5FAD0DCB"/>
    <w:rsid w:val="600201B4"/>
    <w:rsid w:val="60645C41"/>
    <w:rsid w:val="60996303"/>
    <w:rsid w:val="60AA23D3"/>
    <w:rsid w:val="60C82A21"/>
    <w:rsid w:val="60FE7D72"/>
    <w:rsid w:val="61D03714"/>
    <w:rsid w:val="623F329A"/>
    <w:rsid w:val="62695E27"/>
    <w:rsid w:val="628242DE"/>
    <w:rsid w:val="62BE7007"/>
    <w:rsid w:val="62E96ED1"/>
    <w:rsid w:val="636127C3"/>
    <w:rsid w:val="637A5D8B"/>
    <w:rsid w:val="6381342F"/>
    <w:rsid w:val="64414AEB"/>
    <w:rsid w:val="6465336A"/>
    <w:rsid w:val="650B601A"/>
    <w:rsid w:val="653A74A3"/>
    <w:rsid w:val="6541100E"/>
    <w:rsid w:val="65486D49"/>
    <w:rsid w:val="654C0BA8"/>
    <w:rsid w:val="66273EB1"/>
    <w:rsid w:val="664352EB"/>
    <w:rsid w:val="66DA33C9"/>
    <w:rsid w:val="672079BD"/>
    <w:rsid w:val="674208AA"/>
    <w:rsid w:val="67B15A62"/>
    <w:rsid w:val="67E01FF3"/>
    <w:rsid w:val="683E7EE4"/>
    <w:rsid w:val="69270753"/>
    <w:rsid w:val="692A2039"/>
    <w:rsid w:val="69561038"/>
    <w:rsid w:val="696610E4"/>
    <w:rsid w:val="6A1F72D5"/>
    <w:rsid w:val="6A4315BC"/>
    <w:rsid w:val="6A83721D"/>
    <w:rsid w:val="6A970318"/>
    <w:rsid w:val="6ADF1264"/>
    <w:rsid w:val="6AE21101"/>
    <w:rsid w:val="6B4D1FC7"/>
    <w:rsid w:val="6B4F3B9E"/>
    <w:rsid w:val="6B59484F"/>
    <w:rsid w:val="6B8E38CC"/>
    <w:rsid w:val="6BD63153"/>
    <w:rsid w:val="6BFE0B4D"/>
    <w:rsid w:val="6C447854"/>
    <w:rsid w:val="6C5B55DC"/>
    <w:rsid w:val="6C8D4D71"/>
    <w:rsid w:val="6CAE03DD"/>
    <w:rsid w:val="6CE56E6B"/>
    <w:rsid w:val="6D032DAA"/>
    <w:rsid w:val="6D716441"/>
    <w:rsid w:val="6D7D4A31"/>
    <w:rsid w:val="6DC9432A"/>
    <w:rsid w:val="6E005A26"/>
    <w:rsid w:val="6E033689"/>
    <w:rsid w:val="6E6329C5"/>
    <w:rsid w:val="6E6357AE"/>
    <w:rsid w:val="6EE64C0C"/>
    <w:rsid w:val="6EFF345A"/>
    <w:rsid w:val="6F0E41D6"/>
    <w:rsid w:val="6F1D23FA"/>
    <w:rsid w:val="6F4F7C8F"/>
    <w:rsid w:val="6FB4540B"/>
    <w:rsid w:val="7011772F"/>
    <w:rsid w:val="70C73255"/>
    <w:rsid w:val="71126C39"/>
    <w:rsid w:val="711E4BE0"/>
    <w:rsid w:val="71396914"/>
    <w:rsid w:val="715F328E"/>
    <w:rsid w:val="71610FBE"/>
    <w:rsid w:val="725008FF"/>
    <w:rsid w:val="72760778"/>
    <w:rsid w:val="731955B0"/>
    <w:rsid w:val="73AD121B"/>
    <w:rsid w:val="741378B2"/>
    <w:rsid w:val="742E5039"/>
    <w:rsid w:val="743104E3"/>
    <w:rsid w:val="7431632B"/>
    <w:rsid w:val="74320C3C"/>
    <w:rsid w:val="74513162"/>
    <w:rsid w:val="75431AF8"/>
    <w:rsid w:val="757B75BC"/>
    <w:rsid w:val="75D02688"/>
    <w:rsid w:val="7614612C"/>
    <w:rsid w:val="76A665D3"/>
    <w:rsid w:val="76D4078F"/>
    <w:rsid w:val="7723691F"/>
    <w:rsid w:val="77F2017E"/>
    <w:rsid w:val="786F66FF"/>
    <w:rsid w:val="78BD1F9D"/>
    <w:rsid w:val="78BF13EF"/>
    <w:rsid w:val="79201CE1"/>
    <w:rsid w:val="79346F3D"/>
    <w:rsid w:val="79B14724"/>
    <w:rsid w:val="7B0514C6"/>
    <w:rsid w:val="7B3E0A41"/>
    <w:rsid w:val="7C23124E"/>
    <w:rsid w:val="7C323980"/>
    <w:rsid w:val="7C490589"/>
    <w:rsid w:val="7CBD5222"/>
    <w:rsid w:val="7D6346EC"/>
    <w:rsid w:val="7DAD2101"/>
    <w:rsid w:val="7E247543"/>
    <w:rsid w:val="7E3C58DB"/>
    <w:rsid w:val="7EB53F62"/>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qFormat="1" w:unhideWhenUsed="0" w:uiPriority="99" w:semiHidden="0"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6"/>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27"/>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28"/>
    <w:qFormat/>
    <w:uiPriority w:val="99"/>
    <w:pPr>
      <w:keepNext/>
      <w:keepLines/>
      <w:widowControl/>
      <w:spacing w:before="260" w:after="260" w:line="413" w:lineRule="auto"/>
      <w:outlineLvl w:val="2"/>
    </w:pPr>
    <w:rPr>
      <w:rFonts w:ascii="Calibri" w:hAnsi="Calibri" w:cs="宋体"/>
      <w:b/>
      <w:sz w:val="32"/>
      <w:szCs w:val="22"/>
    </w:rPr>
  </w:style>
  <w:style w:type="paragraph" w:styleId="6">
    <w:name w:val="heading 4"/>
    <w:basedOn w:val="1"/>
    <w:next w:val="1"/>
    <w:link w:val="29"/>
    <w:qFormat/>
    <w:uiPriority w:val="99"/>
    <w:pPr>
      <w:keepNext/>
      <w:keepLines/>
      <w:spacing w:before="280" w:after="290" w:line="376" w:lineRule="auto"/>
      <w:outlineLvl w:val="3"/>
    </w:pPr>
    <w:rPr>
      <w:rFonts w:ascii="Arial" w:hAnsi="Arial" w:eastAsia="黑体"/>
      <w:b/>
      <w:bCs/>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32"/>
    <w:qFormat/>
    <w:uiPriority w:val="99"/>
    <w:pPr>
      <w:spacing w:after="120"/>
    </w:pPr>
  </w:style>
  <w:style w:type="paragraph" w:styleId="7">
    <w:name w:val="Normal Indent"/>
    <w:basedOn w:val="1"/>
    <w:link w:val="46"/>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8">
    <w:name w:val="Document Map"/>
    <w:basedOn w:val="1"/>
    <w:link w:val="30"/>
    <w:qFormat/>
    <w:uiPriority w:val="99"/>
    <w:rPr>
      <w:rFonts w:ascii="宋体"/>
      <w:sz w:val="18"/>
      <w:szCs w:val="18"/>
    </w:rPr>
  </w:style>
  <w:style w:type="paragraph" w:styleId="9">
    <w:name w:val="annotation text"/>
    <w:basedOn w:val="1"/>
    <w:link w:val="31"/>
    <w:qFormat/>
    <w:uiPriority w:val="99"/>
    <w:pPr>
      <w:jc w:val="left"/>
    </w:pPr>
  </w:style>
  <w:style w:type="paragraph" w:styleId="10">
    <w:name w:val="Plain Text"/>
    <w:basedOn w:val="1"/>
    <w:next w:val="11"/>
    <w:link w:val="48"/>
    <w:qFormat/>
    <w:uiPriority w:val="99"/>
    <w:pPr>
      <w:tabs>
        <w:tab w:val="left" w:pos="-105"/>
      </w:tabs>
      <w:spacing w:line="440" w:lineRule="exact"/>
      <w:ind w:right="-147" w:rightChars="-70"/>
      <w:outlineLvl w:val="2"/>
    </w:pPr>
    <w:rPr>
      <w:rFonts w:ascii="宋体" w:hAnsi="Courier New"/>
      <w:sz w:val="24"/>
      <w:szCs w:val="21"/>
    </w:rPr>
  </w:style>
  <w:style w:type="paragraph" w:styleId="11">
    <w:name w:val="index 9"/>
    <w:basedOn w:val="1"/>
    <w:next w:val="1"/>
    <w:qFormat/>
    <w:uiPriority w:val="99"/>
    <w:pPr>
      <w:ind w:left="3360"/>
    </w:pPr>
    <w:rPr>
      <w:rFonts w:cs="等线"/>
      <w:szCs w:val="21"/>
    </w:rPr>
  </w:style>
  <w:style w:type="paragraph" w:styleId="12">
    <w:name w:val="Balloon Text"/>
    <w:basedOn w:val="1"/>
    <w:link w:val="33"/>
    <w:qFormat/>
    <w:uiPriority w:val="99"/>
    <w:rPr>
      <w:sz w:val="18"/>
      <w:szCs w:val="18"/>
    </w:rPr>
  </w:style>
  <w:style w:type="paragraph" w:styleId="13">
    <w:name w:val="footer"/>
    <w:basedOn w:val="1"/>
    <w:link w:val="34"/>
    <w:qFormat/>
    <w:uiPriority w:val="99"/>
    <w:pPr>
      <w:tabs>
        <w:tab w:val="center" w:pos="4153"/>
        <w:tab w:val="right" w:pos="8306"/>
      </w:tabs>
      <w:snapToGrid w:val="0"/>
      <w:jc w:val="left"/>
    </w:pPr>
    <w:rPr>
      <w:sz w:val="18"/>
      <w:szCs w:val="18"/>
    </w:rPr>
  </w:style>
  <w:style w:type="paragraph" w:styleId="14">
    <w:name w:val="header"/>
    <w:basedOn w:val="1"/>
    <w:link w:val="35"/>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7">
    <w:name w:val="annotation subject"/>
    <w:basedOn w:val="9"/>
    <w:next w:val="9"/>
    <w:link w:val="53"/>
    <w:semiHidden/>
    <w:qFormat/>
    <w:uiPriority w:val="99"/>
    <w:rPr>
      <w:b/>
      <w:bCs/>
    </w:rPr>
  </w:style>
  <w:style w:type="paragraph" w:styleId="18">
    <w:name w:val="Body Text First Indent"/>
    <w:basedOn w:val="2"/>
    <w:link w:val="36"/>
    <w:qFormat/>
    <w:uiPriority w:val="99"/>
    <w:pPr>
      <w:widowControl/>
      <w:ind w:firstLine="420" w:firstLineChars="100"/>
    </w:pPr>
    <w:rPr>
      <w:rFonts w:ascii="Calibri" w:hAnsi="Calibri" w:cs="宋体"/>
      <w:szCs w:val="22"/>
    </w:rPr>
  </w:style>
  <w:style w:type="table" w:styleId="20">
    <w:name w:val="Table Grid"/>
    <w:basedOn w:val="1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locked/>
    <w:uiPriority w:val="0"/>
    <w:rPr>
      <w:b/>
    </w:rPr>
  </w:style>
  <w:style w:type="character" w:styleId="23">
    <w:name w:val="Hyperlink"/>
    <w:basedOn w:val="21"/>
    <w:qFormat/>
    <w:uiPriority w:val="99"/>
    <w:rPr>
      <w:rFonts w:cs="Times New Roman"/>
      <w:color w:val="0000FF"/>
      <w:u w:val="single"/>
    </w:rPr>
  </w:style>
  <w:style w:type="character" w:styleId="24">
    <w:name w:val="annotation reference"/>
    <w:basedOn w:val="21"/>
    <w:qFormat/>
    <w:uiPriority w:val="99"/>
    <w:rPr>
      <w:rFonts w:cs="Times New Roman"/>
      <w:sz w:val="21"/>
      <w:szCs w:val="21"/>
    </w:rPr>
  </w:style>
  <w:style w:type="paragraph" w:customStyle="1" w:styleId="25">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6">
    <w:name w:val="标题 1 字符"/>
    <w:basedOn w:val="21"/>
    <w:link w:val="3"/>
    <w:qFormat/>
    <w:locked/>
    <w:uiPriority w:val="99"/>
    <w:rPr>
      <w:rFonts w:ascii="Times New Roman" w:hAnsi="Times New Roman" w:eastAsia="宋体" w:cs="Times New Roman"/>
      <w:b/>
      <w:bCs/>
      <w:kern w:val="44"/>
      <w:sz w:val="44"/>
      <w:szCs w:val="44"/>
    </w:rPr>
  </w:style>
  <w:style w:type="character" w:customStyle="1" w:styleId="27">
    <w:name w:val="标题 2 字符"/>
    <w:basedOn w:val="21"/>
    <w:link w:val="4"/>
    <w:qFormat/>
    <w:locked/>
    <w:uiPriority w:val="99"/>
    <w:rPr>
      <w:rFonts w:ascii="Cambria" w:hAnsi="Cambria" w:eastAsia="宋体" w:cs="Times New Roman"/>
      <w:b/>
      <w:bCs/>
      <w:kern w:val="2"/>
      <w:sz w:val="32"/>
      <w:szCs w:val="32"/>
    </w:rPr>
  </w:style>
  <w:style w:type="character" w:customStyle="1" w:styleId="28">
    <w:name w:val="标题 3 字符"/>
    <w:basedOn w:val="21"/>
    <w:link w:val="5"/>
    <w:qFormat/>
    <w:locked/>
    <w:uiPriority w:val="99"/>
    <w:rPr>
      <w:rFonts w:eastAsia="宋体" w:cs="Times New Roman"/>
      <w:b/>
      <w:sz w:val="32"/>
    </w:rPr>
  </w:style>
  <w:style w:type="character" w:customStyle="1" w:styleId="29">
    <w:name w:val="标题 4 字符1"/>
    <w:basedOn w:val="21"/>
    <w:link w:val="6"/>
    <w:qFormat/>
    <w:locked/>
    <w:uiPriority w:val="99"/>
    <w:rPr>
      <w:rFonts w:ascii="Arial" w:hAnsi="Arial" w:eastAsia="黑体" w:cs="Times New Roman"/>
      <w:b/>
      <w:bCs/>
      <w:kern w:val="2"/>
      <w:sz w:val="28"/>
      <w:szCs w:val="28"/>
    </w:rPr>
  </w:style>
  <w:style w:type="character" w:customStyle="1" w:styleId="30">
    <w:name w:val="文档结构图 字符"/>
    <w:basedOn w:val="21"/>
    <w:link w:val="8"/>
    <w:qFormat/>
    <w:locked/>
    <w:uiPriority w:val="99"/>
    <w:rPr>
      <w:rFonts w:ascii="宋体" w:hAnsi="Times New Roman" w:eastAsia="宋体" w:cs="Times New Roman"/>
      <w:kern w:val="2"/>
      <w:sz w:val="18"/>
      <w:szCs w:val="18"/>
    </w:rPr>
  </w:style>
  <w:style w:type="character" w:customStyle="1" w:styleId="31">
    <w:name w:val="批注文字 字符"/>
    <w:basedOn w:val="21"/>
    <w:link w:val="9"/>
    <w:qFormat/>
    <w:locked/>
    <w:uiPriority w:val="99"/>
    <w:rPr>
      <w:rFonts w:ascii="Times New Roman" w:hAnsi="Times New Roman" w:cs="Times New Roman"/>
      <w:kern w:val="2"/>
      <w:sz w:val="21"/>
    </w:rPr>
  </w:style>
  <w:style w:type="character" w:customStyle="1" w:styleId="32">
    <w:name w:val="正文文本 字符"/>
    <w:basedOn w:val="21"/>
    <w:link w:val="2"/>
    <w:qFormat/>
    <w:locked/>
    <w:uiPriority w:val="99"/>
    <w:rPr>
      <w:rFonts w:ascii="Times New Roman" w:hAnsi="Times New Roman" w:eastAsia="宋体" w:cs="Times New Roman"/>
      <w:sz w:val="20"/>
      <w:szCs w:val="20"/>
    </w:rPr>
  </w:style>
  <w:style w:type="character" w:customStyle="1" w:styleId="33">
    <w:name w:val="批注框文本 字符"/>
    <w:basedOn w:val="21"/>
    <w:link w:val="12"/>
    <w:qFormat/>
    <w:locked/>
    <w:uiPriority w:val="99"/>
    <w:rPr>
      <w:rFonts w:ascii="Times New Roman" w:hAnsi="Times New Roman" w:eastAsia="宋体" w:cs="Times New Roman"/>
      <w:kern w:val="2"/>
      <w:sz w:val="18"/>
      <w:szCs w:val="18"/>
    </w:rPr>
  </w:style>
  <w:style w:type="character" w:customStyle="1" w:styleId="34">
    <w:name w:val="页脚 字符"/>
    <w:basedOn w:val="21"/>
    <w:link w:val="13"/>
    <w:qFormat/>
    <w:locked/>
    <w:uiPriority w:val="99"/>
    <w:rPr>
      <w:rFonts w:ascii="Times New Roman" w:hAnsi="Times New Roman" w:eastAsia="宋体" w:cs="Times New Roman"/>
      <w:sz w:val="18"/>
      <w:szCs w:val="18"/>
    </w:rPr>
  </w:style>
  <w:style w:type="character" w:customStyle="1" w:styleId="35">
    <w:name w:val="页眉 字符"/>
    <w:basedOn w:val="21"/>
    <w:link w:val="14"/>
    <w:qFormat/>
    <w:locked/>
    <w:uiPriority w:val="99"/>
    <w:rPr>
      <w:rFonts w:ascii="Times New Roman" w:hAnsi="Times New Roman" w:eastAsia="宋体" w:cs="Times New Roman"/>
      <w:sz w:val="18"/>
      <w:szCs w:val="18"/>
    </w:rPr>
  </w:style>
  <w:style w:type="character" w:customStyle="1" w:styleId="36">
    <w:name w:val="正文首行缩进 字符"/>
    <w:basedOn w:val="32"/>
    <w:link w:val="18"/>
    <w:qFormat/>
    <w:locked/>
    <w:uiPriority w:val="99"/>
    <w:rPr>
      <w:rFonts w:ascii="Times New Roman" w:hAnsi="Times New Roman" w:eastAsia="宋体" w:cs="Times New Roman"/>
      <w:sz w:val="20"/>
      <w:szCs w:val="20"/>
    </w:rPr>
  </w:style>
  <w:style w:type="character" w:customStyle="1" w:styleId="37">
    <w:name w:val="正文缩进2格 Char"/>
    <w:link w:val="38"/>
    <w:qFormat/>
    <w:locked/>
    <w:uiPriority w:val="99"/>
    <w:rPr>
      <w:rFonts w:ascii="仿宋_GB2312" w:hAnsi="宋体" w:eastAsia="仿宋_GB2312"/>
      <w:sz w:val="31"/>
    </w:rPr>
  </w:style>
  <w:style w:type="paragraph" w:customStyle="1" w:styleId="38">
    <w:name w:val="正文缩进2格"/>
    <w:basedOn w:val="1"/>
    <w:link w:val="37"/>
    <w:qFormat/>
    <w:uiPriority w:val="99"/>
    <w:pPr>
      <w:spacing w:line="600" w:lineRule="exact"/>
      <w:ind w:firstLine="639" w:firstLineChars="206"/>
    </w:pPr>
    <w:rPr>
      <w:rFonts w:ascii="仿宋_GB2312" w:hAnsi="宋体" w:eastAsia="仿宋_GB2312"/>
      <w:kern w:val="0"/>
      <w:sz w:val="31"/>
      <w:szCs w:val="31"/>
    </w:rPr>
  </w:style>
  <w:style w:type="paragraph" w:customStyle="1" w:styleId="39">
    <w:name w:val="列出段落1"/>
    <w:basedOn w:val="1"/>
    <w:qFormat/>
    <w:uiPriority w:val="99"/>
    <w:pPr>
      <w:ind w:firstLine="420" w:firstLineChars="200"/>
    </w:pPr>
  </w:style>
  <w:style w:type="paragraph" w:customStyle="1" w:styleId="40">
    <w:name w:val="列出段落2"/>
    <w:basedOn w:val="1"/>
    <w:qFormat/>
    <w:uiPriority w:val="99"/>
    <w:pPr>
      <w:ind w:firstLine="420" w:firstLineChars="200"/>
    </w:pPr>
  </w:style>
  <w:style w:type="paragraph" w:styleId="41">
    <w:name w:val="List Paragraph"/>
    <w:basedOn w:val="1"/>
    <w:qFormat/>
    <w:uiPriority w:val="99"/>
    <w:pPr>
      <w:ind w:firstLine="420" w:firstLineChars="200"/>
    </w:pPr>
  </w:style>
  <w:style w:type="character" w:customStyle="1" w:styleId="42">
    <w:name w:val="fontstyle01"/>
    <w:basedOn w:val="21"/>
    <w:qFormat/>
    <w:uiPriority w:val="99"/>
    <w:rPr>
      <w:rFonts w:ascii="仿宋" w:hAnsi="仿宋" w:eastAsia="仿宋" w:cs="Times New Roman"/>
      <w:color w:val="000000"/>
      <w:sz w:val="28"/>
      <w:szCs w:val="28"/>
    </w:rPr>
  </w:style>
  <w:style w:type="character" w:customStyle="1" w:styleId="43">
    <w:name w:val="！正文 Char"/>
    <w:link w:val="44"/>
    <w:qFormat/>
    <w:locked/>
    <w:uiPriority w:val="99"/>
    <w:rPr>
      <w:rFonts w:ascii="Arial" w:hAnsi="Arial"/>
      <w:sz w:val="24"/>
    </w:rPr>
  </w:style>
  <w:style w:type="paragraph" w:customStyle="1" w:styleId="44">
    <w:name w:val="！正文"/>
    <w:basedOn w:val="1"/>
    <w:link w:val="43"/>
    <w:qFormat/>
    <w:uiPriority w:val="99"/>
    <w:pPr>
      <w:spacing w:line="360" w:lineRule="auto"/>
      <w:ind w:firstLine="200" w:firstLineChars="200"/>
    </w:pPr>
    <w:rPr>
      <w:rFonts w:ascii="Arial" w:hAnsi="Arial" w:eastAsia="等线"/>
      <w:kern w:val="0"/>
      <w:sz w:val="24"/>
      <w:szCs w:val="24"/>
    </w:rPr>
  </w:style>
  <w:style w:type="paragraph" w:customStyle="1" w:styleId="45">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6">
    <w:name w:val="正文缩进 字符"/>
    <w:link w:val="7"/>
    <w:qFormat/>
    <w:locked/>
    <w:uiPriority w:val="99"/>
    <w:rPr>
      <w:sz w:val="24"/>
    </w:rPr>
  </w:style>
  <w:style w:type="paragraph" w:customStyle="1" w:styleId="47">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48">
    <w:name w:val="纯文本 字符"/>
    <w:basedOn w:val="21"/>
    <w:link w:val="10"/>
    <w:qFormat/>
    <w:locked/>
    <w:uiPriority w:val="99"/>
    <w:rPr>
      <w:rFonts w:ascii="宋体" w:hAnsi="Courier New" w:eastAsia="宋体" w:cs="Times New Roman"/>
      <w:kern w:val="2"/>
      <w:sz w:val="21"/>
      <w:szCs w:val="21"/>
    </w:rPr>
  </w:style>
  <w:style w:type="character" w:customStyle="1" w:styleId="49">
    <w:name w:val="未处理的提及1"/>
    <w:basedOn w:val="21"/>
    <w:semiHidden/>
    <w:qFormat/>
    <w:uiPriority w:val="99"/>
    <w:rPr>
      <w:rFonts w:cs="Times New Roman"/>
      <w:color w:val="605E5C"/>
      <w:shd w:val="clear" w:color="auto" w:fill="E1DFDD"/>
    </w:rPr>
  </w:style>
  <w:style w:type="paragraph" w:customStyle="1" w:styleId="50">
    <w:name w:val="样式"/>
    <w:basedOn w:val="1"/>
    <w:next w:val="41"/>
    <w:qFormat/>
    <w:uiPriority w:val="99"/>
    <w:pPr>
      <w:ind w:firstLine="420" w:firstLineChars="200"/>
    </w:pPr>
    <w:rPr>
      <w:rFonts w:ascii="Calibri" w:hAnsi="Calibri"/>
      <w:szCs w:val="22"/>
    </w:rPr>
  </w:style>
  <w:style w:type="character" w:customStyle="1" w:styleId="51">
    <w:name w:val="Body Text Indent 2 Char Char"/>
    <w:link w:val="52"/>
    <w:qFormat/>
    <w:locked/>
    <w:uiPriority w:val="99"/>
  </w:style>
  <w:style w:type="paragraph" w:customStyle="1" w:styleId="52">
    <w:name w:val="正文文本缩进 21"/>
    <w:basedOn w:val="1"/>
    <w:link w:val="51"/>
    <w:qFormat/>
    <w:uiPriority w:val="99"/>
    <w:pPr>
      <w:adjustRightInd w:val="0"/>
      <w:spacing w:line="480" w:lineRule="auto"/>
      <w:ind w:firstLine="540"/>
    </w:pPr>
    <w:rPr>
      <w:rFonts w:ascii="Calibri" w:hAnsi="Calibri" w:eastAsia="等线"/>
      <w:kern w:val="0"/>
      <w:sz w:val="20"/>
    </w:rPr>
  </w:style>
  <w:style w:type="character" w:customStyle="1" w:styleId="53">
    <w:name w:val="批注主题 字符"/>
    <w:basedOn w:val="31"/>
    <w:link w:val="17"/>
    <w:semiHidden/>
    <w:qFormat/>
    <w:locked/>
    <w:uiPriority w:val="99"/>
    <w:rPr>
      <w:rFonts w:ascii="Times New Roman" w:hAnsi="Times New Roman" w:eastAsia="宋体" w:cs="Times New Roman"/>
      <w:b/>
      <w:bCs/>
      <w:kern w:val="2"/>
      <w:sz w:val="21"/>
    </w:rPr>
  </w:style>
  <w:style w:type="character" w:customStyle="1" w:styleId="54">
    <w:name w:val="标题 4 字符"/>
    <w:basedOn w:val="21"/>
    <w:semiHidden/>
    <w:qFormat/>
    <w:uiPriority w:val="99"/>
    <w:rPr>
      <w:rFonts w:ascii="Cambria" w:hAnsi="Cambria" w:eastAsia="宋体" w:cs="Times New Roman"/>
      <w:b/>
      <w:bCs/>
      <w:kern w:val="2"/>
      <w:sz w:val="28"/>
      <w:szCs w:val="28"/>
    </w:rPr>
  </w:style>
  <w:style w:type="paragraph" w:customStyle="1" w:styleId="55">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6">
    <w:name w:val="致远要点"/>
    <w:basedOn w:val="41"/>
    <w:link w:val="57"/>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7">
    <w:name w:val="致远要点 字符"/>
    <w:basedOn w:val="21"/>
    <w:link w:val="56"/>
    <w:qFormat/>
    <w:locked/>
    <w:uiPriority w:val="99"/>
    <w:rPr>
      <w:rFonts w:ascii="黑体" w:hAnsi="黑体" w:eastAsia="黑体" w:cs="宋体"/>
      <w:kern w:val="2"/>
      <w:sz w:val="22"/>
      <w:szCs w:val="22"/>
    </w:rPr>
  </w:style>
  <w:style w:type="paragraph" w:customStyle="1" w:styleId="58">
    <w:name w:val="SANGFOR_6_正文"/>
    <w:basedOn w:val="1"/>
    <w:qFormat/>
    <w:uiPriority w:val="99"/>
    <w:pPr>
      <w:spacing w:line="360" w:lineRule="auto"/>
    </w:pPr>
    <w:rPr>
      <w:szCs w:val="24"/>
    </w:rPr>
  </w:style>
  <w:style w:type="character" w:customStyle="1" w:styleId="59">
    <w:name w:val="font11"/>
    <w:basedOn w:val="21"/>
    <w:qFormat/>
    <w:uiPriority w:val="0"/>
    <w:rPr>
      <w:rFonts w:hint="eastAsia" w:ascii="宋体" w:hAnsi="宋体" w:eastAsia="宋体" w:cs="宋体"/>
      <w:color w:val="000000"/>
      <w:sz w:val="22"/>
      <w:szCs w:val="22"/>
      <w:u w:val="none"/>
      <w:vertAlign w:val="superscript"/>
    </w:rPr>
  </w:style>
  <w:style w:type="character" w:customStyle="1" w:styleId="60">
    <w:name w:val="font01"/>
    <w:basedOn w:val="21"/>
    <w:qFormat/>
    <w:uiPriority w:val="0"/>
    <w:rPr>
      <w:rFonts w:hint="eastAsia" w:ascii="宋体" w:hAnsi="宋体" w:eastAsia="宋体" w:cs="宋体"/>
      <w:color w:val="000000"/>
      <w:sz w:val="22"/>
      <w:szCs w:val="22"/>
      <w:u w:val="none"/>
    </w:rPr>
  </w:style>
  <w:style w:type="paragraph" w:customStyle="1" w:styleId="61">
    <w:name w:val="_Style 13"/>
    <w:qFormat/>
    <w:uiPriority w:val="0"/>
    <w:pPr>
      <w:spacing w:before="120" w:after="120" w:line="288" w:lineRule="auto"/>
      <w:ind w:left="0"/>
      <w:jc w:val="left"/>
    </w:pPr>
    <w:rPr>
      <w:rFonts w:ascii="Arial" w:hAnsi="Arial" w:eastAsia="等线" w:cs="Arial"/>
      <w:sz w:val="22"/>
      <w:szCs w:val="22"/>
    </w:rPr>
  </w:style>
  <w:style w:type="character" w:customStyle="1" w:styleId="62">
    <w:name w:val="font21"/>
    <w:basedOn w:val="21"/>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15</Pages>
  <Words>4574</Words>
  <Characters>4773</Characters>
  <Lines>35</Lines>
  <Paragraphs>9</Paragraphs>
  <TotalTime>1</TotalTime>
  <ScaleCrop>false</ScaleCrop>
  <LinksUpToDate>false</LinksUpToDate>
  <CharactersWithSpaces>4855</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2025-06-11T08:39:00Z</dcterms:created>
  <dc:creator>DGxfjt</dc:creator>
  <cp:lastModifiedBy>彭上华</cp:lastModifiedBy>
  <cp:lastPrinted>2025-11-03T09:54:00Z</cp:lastPrinted>
  <dcterms:modified xsi:type="dcterms:W3CDTF">2025-12-15T07:09:05Z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86BE940C4F77450E91ECCEDCED601C4C_13</vt:lpwstr>
  </property>
  <property fmtid="{D5CDD505-2E9C-101B-9397-08002B2CF9AE}" pid="4" name="KSOTemplateDocerSaveRecord">
    <vt:lpwstr>eyJoZGlkIjoiNWVkZGYxZDllYWVjZGYzNDNhNmY4NWUwNDU0NmMyNDUiLCJ1c2VySWQiOiIzMDY3MTQ3MjUifQ==</vt:lpwstr>
  </property>
</Properties>
</file>