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DFC7AD">
      <w:pPr>
        <w:jc w:val="right"/>
        <w:rPr>
          <w:rFonts w:ascii="黑体" w:eastAsia="黑体"/>
          <w:color w:val="auto"/>
          <w:sz w:val="21"/>
          <w:szCs w:val="21"/>
          <w:highlight w:val="none"/>
        </w:rPr>
      </w:pPr>
      <w:bookmarkStart w:id="236" w:name="_GoBack"/>
      <w:bookmarkEnd w:id="236"/>
    </w:p>
    <w:p w14:paraId="2ABBF3DC">
      <w:pPr>
        <w:pStyle w:val="44"/>
        <w:ind w:firstLine="400"/>
        <w:rPr>
          <w:color w:val="auto"/>
          <w:highlight w:val="none"/>
        </w:rPr>
      </w:pPr>
    </w:p>
    <w:p w14:paraId="3F47290F">
      <w:pPr>
        <w:rPr>
          <w:color w:val="auto"/>
          <w:highlight w:val="none"/>
        </w:rPr>
      </w:pPr>
    </w:p>
    <w:p w14:paraId="4B90FB90">
      <w:pPr>
        <w:rPr>
          <w:color w:val="auto"/>
          <w:highlight w:val="none"/>
        </w:rPr>
      </w:pPr>
    </w:p>
    <w:p w14:paraId="5A326C2E">
      <w:pPr>
        <w:rPr>
          <w:color w:val="auto"/>
          <w:highlight w:val="none"/>
        </w:rPr>
      </w:pPr>
    </w:p>
    <w:p w14:paraId="1F825733">
      <w:pPr>
        <w:ind w:right="-28"/>
        <w:jc w:val="center"/>
        <w:textAlignment w:val="bottom"/>
        <w:rPr>
          <w:rFonts w:ascii="黑体" w:hAnsi="黑体" w:eastAsia="黑体" w:cs="黑体"/>
          <w:bCs/>
          <w:color w:val="auto"/>
          <w:spacing w:val="57"/>
          <w:sz w:val="96"/>
          <w:szCs w:val="96"/>
          <w:highlight w:val="none"/>
        </w:rPr>
      </w:pPr>
      <w:r>
        <w:rPr>
          <w:rFonts w:hint="eastAsia" w:ascii="黑体" w:hAnsi="黑体" w:eastAsia="黑体" w:cs="黑体"/>
          <w:bCs/>
          <w:color w:val="auto"/>
          <w:spacing w:val="57"/>
          <w:sz w:val="96"/>
          <w:szCs w:val="96"/>
          <w:highlight w:val="none"/>
        </w:rPr>
        <w:t>公开采购文件</w:t>
      </w:r>
    </w:p>
    <w:p w14:paraId="6185E33F">
      <w:pPr>
        <w:rPr>
          <w:color w:val="auto"/>
          <w:highlight w:val="none"/>
        </w:rPr>
      </w:pPr>
    </w:p>
    <w:p w14:paraId="60908766">
      <w:pPr>
        <w:pStyle w:val="12"/>
        <w:rPr>
          <w:color w:val="auto"/>
          <w:highlight w:val="none"/>
        </w:rPr>
      </w:pPr>
    </w:p>
    <w:tbl>
      <w:tblPr>
        <w:tblStyle w:val="33"/>
        <w:tblpPr w:leftFromText="180" w:rightFromText="180" w:vertAnchor="text" w:horzAnchor="page" w:tblpX="1728" w:tblpY="981"/>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547"/>
        <w:gridCol w:w="6269"/>
      </w:tblGrid>
      <w:tr w14:paraId="7FA53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2547" w:type="dxa"/>
            <w:noWrap/>
            <w:vAlign w:val="center"/>
          </w:tcPr>
          <w:p w14:paraId="21D8637E">
            <w:pPr>
              <w:spacing w:before="200"/>
              <w:jc w:val="both"/>
              <w:rPr>
                <w:rFonts w:ascii="黑体" w:hAnsi="黑体" w:eastAsia="黑体" w:cs="黑体"/>
                <w:bCs/>
                <w:color w:val="auto"/>
                <w:sz w:val="32"/>
                <w:szCs w:val="24"/>
                <w:highlight w:val="none"/>
              </w:rPr>
            </w:pPr>
            <w:bookmarkStart w:id="0" w:name="OLE_LINK1" w:colFirst="1" w:colLast="1"/>
            <w:r>
              <w:rPr>
                <w:rFonts w:hint="eastAsia" w:ascii="黑体" w:hAnsi="黑体" w:eastAsia="黑体" w:cs="黑体"/>
                <w:bCs/>
                <w:color w:val="auto"/>
                <w:sz w:val="32"/>
                <w:szCs w:val="24"/>
                <w:highlight w:val="none"/>
              </w:rPr>
              <w:t>项目名称：</w:t>
            </w:r>
          </w:p>
        </w:tc>
        <w:tc>
          <w:tcPr>
            <w:tcW w:w="6269" w:type="dxa"/>
            <w:noWrap/>
            <w:vAlign w:val="center"/>
          </w:tcPr>
          <w:p w14:paraId="2790782F">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东莞市旗领产业投资有限公司1525kW/6100kWh用户侧储能项目</w:t>
            </w:r>
          </w:p>
        </w:tc>
      </w:tr>
      <w:bookmarkEnd w:id="0"/>
      <w:tr w14:paraId="2F133E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2547" w:type="dxa"/>
            <w:noWrap/>
            <w:vAlign w:val="center"/>
          </w:tcPr>
          <w:p w14:paraId="56D5B984">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项目采购编号：</w:t>
            </w:r>
          </w:p>
        </w:tc>
        <w:tc>
          <w:tcPr>
            <w:tcW w:w="6269" w:type="dxa"/>
            <w:noWrap/>
            <w:vAlign w:val="center"/>
          </w:tcPr>
          <w:p w14:paraId="5805C0D7">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WTZB2025DG0056</w:t>
            </w:r>
          </w:p>
        </w:tc>
      </w:tr>
      <w:tr w14:paraId="124CC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547" w:type="dxa"/>
            <w:noWrap/>
            <w:vAlign w:val="center"/>
          </w:tcPr>
          <w:p w14:paraId="5A946D9D">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采购人：</w:t>
            </w:r>
          </w:p>
        </w:tc>
        <w:tc>
          <w:tcPr>
            <w:tcW w:w="6269" w:type="dxa"/>
            <w:noWrap/>
            <w:vAlign w:val="center"/>
          </w:tcPr>
          <w:p w14:paraId="1AE2240E">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东莞市新有能源投资有限公司</w:t>
            </w:r>
          </w:p>
        </w:tc>
      </w:tr>
      <w:tr w14:paraId="30045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547" w:type="dxa"/>
            <w:noWrap/>
            <w:vAlign w:val="center"/>
          </w:tcPr>
          <w:p w14:paraId="041541B2">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采购代理：</w:t>
            </w:r>
          </w:p>
        </w:tc>
        <w:tc>
          <w:tcPr>
            <w:tcW w:w="6269" w:type="dxa"/>
            <w:noWrap/>
            <w:vAlign w:val="center"/>
          </w:tcPr>
          <w:p w14:paraId="7498763C">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广州宏达工程顾问集团有限公司</w:t>
            </w:r>
          </w:p>
        </w:tc>
      </w:tr>
    </w:tbl>
    <w:p w14:paraId="1AAF21D9">
      <w:pPr>
        <w:jc w:val="center"/>
        <w:rPr>
          <w:rFonts w:ascii="黑体" w:eastAsia="黑体"/>
          <w:color w:val="auto"/>
          <w:szCs w:val="21"/>
          <w:highlight w:val="none"/>
        </w:rPr>
      </w:pPr>
    </w:p>
    <w:p w14:paraId="0D941D29">
      <w:pPr>
        <w:jc w:val="center"/>
        <w:rPr>
          <w:rFonts w:ascii="黑体" w:eastAsia="黑体"/>
          <w:color w:val="auto"/>
          <w:szCs w:val="21"/>
          <w:highlight w:val="none"/>
        </w:rPr>
      </w:pPr>
    </w:p>
    <w:p w14:paraId="00852152">
      <w:pPr>
        <w:jc w:val="center"/>
        <w:rPr>
          <w:rFonts w:ascii="黑体" w:eastAsia="黑体"/>
          <w:color w:val="auto"/>
          <w:szCs w:val="21"/>
          <w:highlight w:val="none"/>
        </w:rPr>
      </w:pPr>
    </w:p>
    <w:p w14:paraId="6E90B275">
      <w:pPr>
        <w:pStyle w:val="44"/>
        <w:ind w:firstLine="400"/>
        <w:rPr>
          <w:color w:val="auto"/>
          <w:highlight w:val="none"/>
        </w:rPr>
      </w:pPr>
    </w:p>
    <w:p w14:paraId="0AF329D8">
      <w:pPr>
        <w:jc w:val="center"/>
        <w:rPr>
          <w:rFonts w:ascii="黑体" w:eastAsia="黑体"/>
          <w:color w:val="auto"/>
          <w:szCs w:val="21"/>
          <w:highlight w:val="none"/>
        </w:rPr>
      </w:pPr>
    </w:p>
    <w:p w14:paraId="2044FAE3">
      <w:pPr>
        <w:jc w:val="center"/>
        <w:rPr>
          <w:rFonts w:ascii="黑体" w:eastAsia="黑体"/>
          <w:color w:val="auto"/>
          <w:szCs w:val="21"/>
          <w:highlight w:val="none"/>
        </w:rPr>
      </w:pPr>
    </w:p>
    <w:p w14:paraId="594DC9FD">
      <w:pPr>
        <w:spacing w:before="200"/>
        <w:jc w:val="center"/>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lang w:eastAsia="zh-CN"/>
        </w:rPr>
        <w:t>2025</w:t>
      </w:r>
      <w:r>
        <w:rPr>
          <w:rFonts w:hint="eastAsia" w:ascii="黑体" w:hAnsi="黑体" w:eastAsia="黑体" w:cs="黑体"/>
          <w:bCs/>
          <w:color w:val="auto"/>
          <w:sz w:val="32"/>
          <w:szCs w:val="24"/>
          <w:highlight w:val="none"/>
        </w:rPr>
        <w:t>年</w:t>
      </w:r>
      <w:r>
        <w:rPr>
          <w:rFonts w:hint="eastAsia" w:ascii="黑体" w:hAnsi="黑体" w:eastAsia="黑体" w:cs="黑体"/>
          <w:bCs/>
          <w:color w:val="auto"/>
          <w:sz w:val="32"/>
          <w:szCs w:val="24"/>
          <w:highlight w:val="none"/>
          <w:lang w:val="en-US" w:eastAsia="zh-CN"/>
        </w:rPr>
        <w:t>12</w:t>
      </w:r>
      <w:r>
        <w:rPr>
          <w:rFonts w:hint="eastAsia" w:ascii="黑体" w:hAnsi="黑体" w:eastAsia="黑体" w:cs="黑体"/>
          <w:bCs/>
          <w:color w:val="auto"/>
          <w:sz w:val="32"/>
          <w:szCs w:val="24"/>
          <w:highlight w:val="none"/>
        </w:rPr>
        <w:t>月</w:t>
      </w:r>
    </w:p>
    <w:p w14:paraId="0F314697">
      <w:pPr>
        <w:rPr>
          <w:color w:val="auto"/>
          <w:highlight w:val="none"/>
        </w:rPr>
        <w:sectPr>
          <w:headerReference r:id="rId5" w:type="first"/>
          <w:footerReference r:id="rId6" w:type="first"/>
          <w:pgSz w:w="11906" w:h="16838"/>
          <w:pgMar w:top="1440" w:right="1080" w:bottom="1440" w:left="1080" w:header="708" w:footer="708" w:gutter="0"/>
          <w:pgNumType w:fmt="decimal" w:start="1"/>
          <w:cols w:space="708" w:num="1"/>
          <w:titlePg/>
          <w:docGrid w:type="lines" w:linePitch="360" w:charSpace="0"/>
        </w:sectPr>
      </w:pPr>
    </w:p>
    <w:p w14:paraId="00B9EDD3">
      <w:pPr>
        <w:pStyle w:val="27"/>
        <w:ind w:left="0" w:leftChars="0"/>
        <w:rPr>
          <w:color w:val="auto"/>
          <w:sz w:val="40"/>
          <w:szCs w:val="40"/>
          <w:highlight w:val="none"/>
        </w:rPr>
      </w:pPr>
      <w:r>
        <w:rPr>
          <w:rFonts w:hint="eastAsia"/>
          <w:color w:val="auto"/>
          <w:sz w:val="40"/>
          <w:szCs w:val="40"/>
          <w:highlight w:val="none"/>
        </w:rPr>
        <w:t>目录</w:t>
      </w:r>
    </w:p>
    <w:p w14:paraId="23731C23">
      <w:pPr>
        <w:pStyle w:val="27"/>
        <w:keepNext w:val="0"/>
        <w:keepLines w:val="0"/>
        <w:pageBreakBefore w:val="0"/>
        <w:widowControl/>
        <w:tabs>
          <w:tab w:val="right" w:leader="dot" w:pos="9463"/>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TOC \o "1-4" \h \z \u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_Toc3802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第一部分投标邀请</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_Toc3802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71CCB66">
      <w:pPr>
        <w:pStyle w:val="27"/>
        <w:keepNext w:val="0"/>
        <w:keepLines w:val="0"/>
        <w:pageBreakBefore w:val="0"/>
        <w:widowControl/>
        <w:tabs>
          <w:tab w:val="right" w:leader="dot" w:pos="9463"/>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_Toc11284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第二部分相关资料表格</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_Toc11284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246BDD3">
      <w:pPr>
        <w:pStyle w:val="27"/>
        <w:keepNext w:val="0"/>
        <w:keepLines w:val="0"/>
        <w:pageBreakBefore w:val="0"/>
        <w:widowControl/>
        <w:tabs>
          <w:tab w:val="right" w:leader="dot" w:pos="9463"/>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_Toc27910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第三部分用户需求书</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_Toc27910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D76FC04">
      <w:pPr>
        <w:pStyle w:val="27"/>
        <w:keepNext w:val="0"/>
        <w:keepLines w:val="0"/>
        <w:pageBreakBefore w:val="0"/>
        <w:widowControl/>
        <w:tabs>
          <w:tab w:val="right" w:leader="dot" w:pos="9463"/>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_Toc27038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第四部分投标人须知</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_Toc27038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C5CAFE8">
      <w:pPr>
        <w:pStyle w:val="16"/>
        <w:keepNext w:val="0"/>
        <w:keepLines w:val="0"/>
        <w:pageBreakBefore w:val="0"/>
        <w:widowControl/>
        <w:tabs>
          <w:tab w:val="right" w:leader="dot" w:pos="9463"/>
          <w:tab w:val="clear" w:pos="8296"/>
        </w:tabs>
        <w:kinsoku/>
        <w:wordWrap/>
        <w:overflowPunct/>
        <w:topLinePunct w:val="0"/>
        <w:autoSpaceDE/>
        <w:autoSpaceDN/>
        <w:bidi w:val="0"/>
        <w:adjustRightInd w:val="0"/>
        <w:snapToGrid w:val="0"/>
        <w:ind w:left="0" w:leftChars="0"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_Toc29170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一、说明</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_Toc29170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0252D90A">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_Toc16383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1.适用范围</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_Toc16383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216016CF">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_Toc15916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2.定义</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_Toc15916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6B2A9AB">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_Toc29268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3.货物和服务</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_Toc29268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0ACC46EC">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_Toc21187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4.投标费用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_Toc21187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7BAD15A">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_Toc24559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5.知识产权</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_Toc24559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0862F464">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_Toc32112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6.关于联合体投标</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_Toc32112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A0D47F1">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_Toc9362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7.关于分支机构投标</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_Toc9362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43A2C18">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_Toc1071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8.踏勘现场</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_Toc1071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231F0132">
      <w:pPr>
        <w:pStyle w:val="16"/>
        <w:keepNext w:val="0"/>
        <w:keepLines w:val="0"/>
        <w:pageBreakBefore w:val="0"/>
        <w:widowControl/>
        <w:tabs>
          <w:tab w:val="right" w:leader="dot" w:pos="9463"/>
          <w:tab w:val="clear" w:pos="8296"/>
        </w:tabs>
        <w:kinsoku/>
        <w:wordWrap/>
        <w:overflowPunct/>
        <w:topLinePunct w:val="0"/>
        <w:autoSpaceDE/>
        <w:autoSpaceDN/>
        <w:bidi w:val="0"/>
        <w:adjustRightInd w:val="0"/>
        <w:snapToGrid w:val="0"/>
        <w:ind w:left="0" w:leftChars="0"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_Toc10877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二、采购文件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_Toc10877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20639B1D">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_Toc23442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9.采购文件的组成</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_Toc23442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897DEEC">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_Toc16907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10.采购文件的澄清或修改</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_Toc16907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21BBD88F">
      <w:pPr>
        <w:pStyle w:val="16"/>
        <w:keepNext w:val="0"/>
        <w:keepLines w:val="0"/>
        <w:pageBreakBefore w:val="0"/>
        <w:widowControl/>
        <w:tabs>
          <w:tab w:val="right" w:leader="dot" w:pos="9463"/>
          <w:tab w:val="clear" w:pos="8296"/>
        </w:tabs>
        <w:kinsoku/>
        <w:wordWrap/>
        <w:overflowPunct/>
        <w:topLinePunct w:val="0"/>
        <w:autoSpaceDE/>
        <w:autoSpaceDN/>
        <w:bidi w:val="0"/>
        <w:adjustRightInd w:val="0"/>
        <w:snapToGrid w:val="0"/>
        <w:ind w:left="0" w:leftChars="0"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_Toc12395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三、投标文件的编制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_Toc12395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DF580D8">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_Toc4889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11.投标文件的语言及度量衡单位</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_Toc4889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6D003E96">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_Toc26641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12.投标文件的组成</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_Toc26641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D1E6DD3">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_Toc7888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13.投标文件编制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_Toc7888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6312614C">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_Toc5008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14.投标报价说明</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_Toc5008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187C7B1">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_Toc31877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15.投标人所提供的服务或货物的证明文件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_Toc31877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1660D70">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_Toc30076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16.投标有效期</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_Toc30076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1000B21">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_Toc4807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17.投标保证金</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_Toc4807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755B5E1">
      <w:pPr>
        <w:pStyle w:val="16"/>
        <w:keepNext w:val="0"/>
        <w:keepLines w:val="0"/>
        <w:pageBreakBefore w:val="0"/>
        <w:widowControl/>
        <w:tabs>
          <w:tab w:val="right" w:leader="dot" w:pos="9463"/>
          <w:tab w:val="clear" w:pos="8296"/>
        </w:tabs>
        <w:kinsoku/>
        <w:wordWrap/>
        <w:overflowPunct/>
        <w:topLinePunct w:val="0"/>
        <w:autoSpaceDE/>
        <w:autoSpaceDN/>
        <w:bidi w:val="0"/>
        <w:adjustRightInd w:val="0"/>
        <w:snapToGrid w:val="0"/>
        <w:ind w:left="0" w:leftChars="0"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_Toc30531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四、投标文件的递交</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_Toc30531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242D8BE7">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_Toc21988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18.投标文件的装订，签署，密封和标记</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_Toc21988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34</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C20EB1F">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_Toc4661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19.迟交的投标文件</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_Toc4661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A7BA42D">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_Toc8026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20.投标样品（如需提交）</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_Toc8026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35</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2E6A558">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_Toc4501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21.投标截止期</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_Toc4501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1A736C5">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_Toc3604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22.投标文件的补充、修改与撤回</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_Toc3604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52E840A">
      <w:pPr>
        <w:pStyle w:val="16"/>
        <w:keepNext w:val="0"/>
        <w:keepLines w:val="0"/>
        <w:pageBreakBefore w:val="0"/>
        <w:widowControl/>
        <w:tabs>
          <w:tab w:val="right" w:leader="dot" w:pos="9463"/>
          <w:tab w:val="clear" w:pos="8296"/>
        </w:tabs>
        <w:kinsoku/>
        <w:wordWrap/>
        <w:overflowPunct/>
        <w:topLinePunct w:val="0"/>
        <w:autoSpaceDE/>
        <w:autoSpaceDN/>
        <w:bidi w:val="0"/>
        <w:adjustRightInd w:val="0"/>
        <w:snapToGrid w:val="0"/>
        <w:ind w:left="0" w:leftChars="0"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_Toc32373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五、开标与评标</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_Toc32373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608EFAB1">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_Toc7532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23.开标</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_Toc7532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36</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44E5CA7">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_Toc19240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24.评标委员会及评标方法</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_Toc19240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37</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7274D392">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_Toc20797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25.评审原则及评标过程的保密</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_Toc20797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37</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640017ED">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_Toc17296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26.评标程序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_Toc17296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37</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2136891A">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_Toc1937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27.商务、技术、价格评审（具体评审项目详见投标资料表）</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_Toc1937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2615D47">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_Toc12436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28.纪律和保密事项</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_Toc12436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723958F">
      <w:pPr>
        <w:pStyle w:val="16"/>
        <w:keepNext w:val="0"/>
        <w:keepLines w:val="0"/>
        <w:pageBreakBefore w:val="0"/>
        <w:widowControl/>
        <w:tabs>
          <w:tab w:val="right" w:leader="dot" w:pos="9463"/>
          <w:tab w:val="clear" w:pos="8296"/>
        </w:tabs>
        <w:kinsoku/>
        <w:wordWrap/>
        <w:overflowPunct/>
        <w:topLinePunct w:val="0"/>
        <w:autoSpaceDE/>
        <w:autoSpaceDN/>
        <w:bidi w:val="0"/>
        <w:adjustRightInd w:val="0"/>
        <w:snapToGrid w:val="0"/>
        <w:ind w:left="0" w:leftChars="0"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_Toc17578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六、授予合同</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_Toc17578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0333CEA8">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_Toc20602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29.合同授予标准</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_Toc20602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39</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6D60E0CF">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_Toc13438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30.发布中标结果</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_Toc13438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3C5ED564">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_Toc4872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31.资格后审</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_Toc4872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27B3833E">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_Toc13528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32.合同的签订与履行</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_Toc13528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40</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01369991">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_Toc16266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33.履约担保</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_Toc16266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41</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0B73214C">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_Toc5566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34.预付款保函（适用于预付款支付）</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_Toc5566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6BCF33D8">
      <w:pPr>
        <w:pStyle w:val="16"/>
        <w:keepNext w:val="0"/>
        <w:keepLines w:val="0"/>
        <w:pageBreakBefore w:val="0"/>
        <w:widowControl/>
        <w:tabs>
          <w:tab w:val="right" w:leader="dot" w:pos="9463"/>
          <w:tab w:val="clear" w:pos="8296"/>
        </w:tabs>
        <w:kinsoku/>
        <w:wordWrap/>
        <w:overflowPunct/>
        <w:topLinePunct w:val="0"/>
        <w:autoSpaceDE/>
        <w:autoSpaceDN/>
        <w:bidi w:val="0"/>
        <w:adjustRightInd w:val="0"/>
        <w:snapToGrid w:val="0"/>
        <w:ind w:left="0" w:leftChars="0"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_Toc7221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七、异议</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_Toc7221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23F34A2C">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_Toc27085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35.异议</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_Toc27085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05D0E541">
      <w:pPr>
        <w:pStyle w:val="16"/>
        <w:keepNext w:val="0"/>
        <w:keepLines w:val="0"/>
        <w:pageBreakBefore w:val="0"/>
        <w:widowControl/>
        <w:tabs>
          <w:tab w:val="right" w:leader="dot" w:pos="9463"/>
          <w:tab w:val="clear" w:pos="8296"/>
        </w:tabs>
        <w:kinsoku/>
        <w:wordWrap/>
        <w:overflowPunct/>
        <w:topLinePunct w:val="0"/>
        <w:autoSpaceDE/>
        <w:autoSpaceDN/>
        <w:bidi w:val="0"/>
        <w:adjustRightInd w:val="0"/>
        <w:snapToGrid w:val="0"/>
        <w:ind w:left="0" w:leftChars="0" w:firstLine="210" w:firstLineChars="1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_Toc10623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八、其他</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_Toc10623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4ED905D8">
      <w:pPr>
        <w:pStyle w:val="24"/>
        <w:keepNext w:val="0"/>
        <w:keepLines w:val="0"/>
        <w:pageBreakBefore w:val="0"/>
        <w:widowControl/>
        <w:tabs>
          <w:tab w:val="right" w:leader="dot" w:pos="9463"/>
          <w:tab w:val="clear" w:pos="8296"/>
        </w:tabs>
        <w:kinsoku/>
        <w:wordWrap/>
        <w:overflowPunct/>
        <w:topLinePunct w:val="0"/>
        <w:autoSpaceDE/>
        <w:autoSpaceDN/>
        <w:bidi w:val="0"/>
        <w:adjustRightInd w:val="0"/>
        <w:snapToGrid w:val="0"/>
        <w:spacing w:after="0"/>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_Toc20135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36.采购文件的解释权</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_Toc20135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17FF38AB">
      <w:pPr>
        <w:pStyle w:val="27"/>
        <w:keepNext w:val="0"/>
        <w:keepLines w:val="0"/>
        <w:pageBreakBefore w:val="0"/>
        <w:widowControl/>
        <w:tabs>
          <w:tab w:val="right" w:leader="dot" w:pos="9463"/>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_Toc22887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第五部分合同条款格式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_Toc22887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43</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5B34AF4E">
      <w:pPr>
        <w:pStyle w:val="27"/>
        <w:keepNext w:val="0"/>
        <w:keepLines w:val="0"/>
        <w:pageBreakBefore w:val="0"/>
        <w:widowControl/>
        <w:tabs>
          <w:tab w:val="right" w:leader="dot" w:pos="9463"/>
          <w:tab w:val="clear" w:pos="8296"/>
        </w:tabs>
        <w:kinsoku/>
        <w:wordWrap/>
        <w:overflowPunct/>
        <w:topLinePunct w:val="0"/>
        <w:autoSpaceDE/>
        <w:autoSpaceDN/>
        <w:bidi w:val="0"/>
        <w:adjustRightInd w:val="0"/>
        <w:snapToGrid w:val="0"/>
        <w:ind w:left="0"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\l _Toc7112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第六部分附件－投标文件格式</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PAGEREF _Toc7112 \h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62</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fldChar w:fldCharType="end"/>
      </w:r>
    </w:p>
    <w:p w14:paraId="0B881A0E">
      <w:pPr>
        <w:pStyle w:val="27"/>
        <w:keepNext w:val="0"/>
        <w:keepLines w:val="0"/>
        <w:pageBreakBefore w:val="0"/>
        <w:widowControl/>
        <w:tabs>
          <w:tab w:val="right" w:leader="dot" w:pos="8306"/>
          <w:tab w:val="clear" w:pos="8296"/>
        </w:tabs>
        <w:kinsoku/>
        <w:wordWrap/>
        <w:overflowPunct/>
        <w:topLinePunct w:val="0"/>
        <w:autoSpaceDE/>
        <w:autoSpaceDN/>
        <w:bidi w:val="0"/>
        <w:adjustRightInd w:val="0"/>
        <w:snapToGrid w:val="0"/>
        <w:ind w:left="0" w:leftChars="0"/>
        <w:textAlignment w:val="auto"/>
        <w:rPr>
          <w:rFonts w:cs="宋体"/>
          <w:color w:val="auto"/>
          <w:sz w:val="21"/>
          <w:szCs w:val="21"/>
          <w:highlight w:val="none"/>
        </w:rPr>
      </w:pPr>
      <w:r>
        <w:rPr>
          <w:rFonts w:hint="eastAsia" w:ascii="宋体" w:hAnsi="宋体" w:eastAsia="宋体" w:cs="宋体"/>
          <w:color w:val="auto"/>
          <w:sz w:val="21"/>
          <w:szCs w:val="21"/>
          <w:highlight w:val="none"/>
        </w:rPr>
        <w:fldChar w:fldCharType="end"/>
      </w:r>
    </w:p>
    <w:p w14:paraId="2E3BA599">
      <w:pPr>
        <w:rPr>
          <w:rFonts w:ascii="宋体" w:hAnsi="宋体" w:cs="宋体"/>
          <w:color w:val="auto"/>
          <w:szCs w:val="21"/>
          <w:highlight w:val="none"/>
        </w:rPr>
      </w:pPr>
      <w:r>
        <w:rPr>
          <w:rFonts w:hint="eastAsia" w:ascii="宋体" w:hAnsi="宋体" w:cs="宋体"/>
          <w:color w:val="auto"/>
          <w:szCs w:val="21"/>
          <w:highlight w:val="none"/>
        </w:rPr>
        <w:br w:type="page"/>
      </w:r>
    </w:p>
    <w:p w14:paraId="6EA08400">
      <w:pPr>
        <w:pStyle w:val="3"/>
        <w:spacing w:before="0" w:after="0" w:line="240" w:lineRule="auto"/>
        <w:rPr>
          <w:color w:val="auto"/>
          <w:sz w:val="28"/>
          <w:szCs w:val="28"/>
          <w:highlight w:val="none"/>
        </w:rPr>
      </w:pPr>
      <w:bookmarkStart w:id="1" w:name="_Toc3802"/>
      <w:r>
        <w:rPr>
          <w:rFonts w:hint="eastAsia"/>
          <w:color w:val="auto"/>
          <w:sz w:val="28"/>
          <w:szCs w:val="28"/>
          <w:highlight w:val="none"/>
        </w:rPr>
        <w:t>第一部分投标邀请</w:t>
      </w:r>
      <w:bookmarkEnd w:id="1"/>
    </w:p>
    <w:p w14:paraId="4B878E22">
      <w:pPr>
        <w:pStyle w:val="4"/>
        <w:spacing w:before="0" w:after="0" w:line="360" w:lineRule="auto"/>
        <w:jc w:val="center"/>
        <w:rPr>
          <w:rFonts w:ascii="宋体" w:hAnsi="宋体" w:cs="宋体"/>
          <w:color w:val="auto"/>
          <w:highlight w:val="none"/>
        </w:rPr>
      </w:pPr>
      <w:bookmarkStart w:id="2" w:name="_Toc17322"/>
      <w:r>
        <w:rPr>
          <w:rFonts w:hint="eastAsia" w:ascii="宋体" w:hAnsi="宋体" w:cs="宋体"/>
          <w:color w:val="auto"/>
          <w:highlight w:val="none"/>
        </w:rPr>
        <w:t>投标邀请书</w:t>
      </w:r>
      <w:bookmarkEnd w:id="2"/>
    </w:p>
    <w:p w14:paraId="35FABE95">
      <w:pPr>
        <w:keepNext w:val="0"/>
        <w:keepLines w:val="0"/>
        <w:pageBreakBefore w:val="0"/>
        <w:widowControl/>
        <w:kinsoku/>
        <w:wordWrap w:val="0"/>
        <w:overflowPunct/>
        <w:topLinePunct w:val="0"/>
        <w:autoSpaceDE/>
        <w:autoSpaceDN/>
        <w:bidi w:val="0"/>
        <w:adjustRightInd w:val="0"/>
        <w:snapToGrid w:val="0"/>
        <w:ind w:firstLine="422" w:firstLineChars="200"/>
        <w:textAlignment w:val="auto"/>
        <w:rPr>
          <w:rFonts w:ascii="宋体" w:hAnsi="宋体"/>
          <w:color w:val="auto"/>
          <w:szCs w:val="21"/>
          <w:highlight w:val="none"/>
        </w:rPr>
      </w:pPr>
      <w:r>
        <w:rPr>
          <w:rFonts w:hint="eastAsia" w:ascii="宋体" w:hAnsi="宋体"/>
          <w:b/>
          <w:bCs/>
          <w:color w:val="auto"/>
          <w:szCs w:val="21"/>
          <w:highlight w:val="none"/>
          <w:u w:val="single"/>
          <w:lang w:eastAsia="zh-CN"/>
        </w:rPr>
        <w:t>广州宏达工程顾问集团有限公司</w:t>
      </w:r>
      <w:r>
        <w:rPr>
          <w:rFonts w:ascii="宋体" w:hAnsi="宋体"/>
          <w:color w:val="auto"/>
          <w:szCs w:val="21"/>
          <w:highlight w:val="none"/>
        </w:rPr>
        <w:t>（以下简称</w:t>
      </w:r>
      <w:r>
        <w:rPr>
          <w:rFonts w:hint="eastAsia" w:ascii="宋体" w:hAnsi="宋体"/>
          <w:color w:val="auto"/>
          <w:szCs w:val="21"/>
          <w:highlight w:val="none"/>
        </w:rPr>
        <w:t>“采购代理机构”</w:t>
      </w:r>
      <w:r>
        <w:rPr>
          <w:rFonts w:ascii="宋体" w:hAnsi="宋体"/>
          <w:color w:val="auto"/>
          <w:szCs w:val="21"/>
          <w:highlight w:val="none"/>
        </w:rPr>
        <w:t>）受</w:t>
      </w:r>
      <w:r>
        <w:rPr>
          <w:rFonts w:hint="eastAsia" w:ascii="宋体" w:hAnsi="宋体"/>
          <w:b/>
          <w:bCs/>
          <w:color w:val="auto"/>
          <w:szCs w:val="21"/>
          <w:highlight w:val="none"/>
          <w:u w:val="single"/>
          <w:lang w:eastAsia="zh-CN"/>
        </w:rPr>
        <w:t>东莞市新有能源投资有限公司</w:t>
      </w:r>
      <w:r>
        <w:rPr>
          <w:rFonts w:ascii="宋体" w:hAnsi="宋体"/>
          <w:color w:val="auto"/>
          <w:szCs w:val="21"/>
          <w:highlight w:val="none"/>
        </w:rPr>
        <w:t>（以下简称</w:t>
      </w:r>
      <w:r>
        <w:rPr>
          <w:rFonts w:hint="eastAsia" w:ascii="宋体" w:hAnsi="宋体"/>
          <w:color w:val="auto"/>
          <w:szCs w:val="21"/>
          <w:highlight w:val="none"/>
        </w:rPr>
        <w:t>“采购人”</w:t>
      </w:r>
      <w:r>
        <w:rPr>
          <w:rFonts w:ascii="宋体" w:hAnsi="宋体"/>
          <w:color w:val="auto"/>
          <w:szCs w:val="21"/>
          <w:highlight w:val="none"/>
        </w:rPr>
        <w:t>）委托，</w:t>
      </w:r>
      <w:r>
        <w:rPr>
          <w:rFonts w:hint="eastAsia" w:ascii="宋体" w:hAnsi="宋体"/>
          <w:color w:val="auto"/>
          <w:szCs w:val="21"/>
          <w:highlight w:val="none"/>
        </w:rPr>
        <w:t>现</w:t>
      </w:r>
      <w:r>
        <w:rPr>
          <w:rFonts w:ascii="宋体" w:hAnsi="宋体"/>
          <w:color w:val="auto"/>
          <w:szCs w:val="21"/>
          <w:highlight w:val="none"/>
        </w:rPr>
        <w:t>就</w:t>
      </w:r>
      <w:r>
        <w:rPr>
          <w:rFonts w:hint="eastAsia" w:ascii="宋体" w:hAnsi="宋体"/>
          <w:b/>
          <w:bCs/>
          <w:color w:val="auto"/>
          <w:szCs w:val="21"/>
          <w:highlight w:val="none"/>
          <w:u w:val="single"/>
          <w:lang w:eastAsia="zh-CN"/>
        </w:rPr>
        <w:t>东莞市旗领产业投资有限公司1525kW/6100kWh用户侧储能项目</w:t>
      </w:r>
      <w:r>
        <w:rPr>
          <w:rFonts w:hint="eastAsia" w:ascii="宋体" w:hAnsi="宋体"/>
          <w:b/>
          <w:bCs/>
          <w:color w:val="auto"/>
          <w:szCs w:val="21"/>
          <w:highlight w:val="none"/>
        </w:rPr>
        <w:t>（项目编号：</w:t>
      </w:r>
      <w:r>
        <w:rPr>
          <w:rFonts w:hint="eastAsia" w:ascii="宋体" w:hAnsi="宋体"/>
          <w:b/>
          <w:bCs/>
          <w:color w:val="auto"/>
          <w:szCs w:val="21"/>
          <w:highlight w:val="none"/>
          <w:u w:val="single"/>
          <w:lang w:eastAsia="zh-CN"/>
        </w:rPr>
        <w:t>WTZB2025DG0056</w:t>
      </w:r>
      <w:r>
        <w:rPr>
          <w:rFonts w:hint="eastAsia" w:ascii="宋体" w:hAnsi="宋体"/>
          <w:b/>
          <w:bCs/>
          <w:color w:val="auto"/>
          <w:szCs w:val="21"/>
          <w:highlight w:val="none"/>
        </w:rPr>
        <w:t>）</w:t>
      </w:r>
      <w:r>
        <w:rPr>
          <w:rFonts w:hint="eastAsia" w:ascii="宋体" w:hAnsi="宋体" w:cs="Times New Roman"/>
          <w:color w:val="auto"/>
          <w:szCs w:val="21"/>
          <w:highlight w:val="none"/>
        </w:rPr>
        <w:t>进行国内公开采购</w:t>
      </w:r>
      <w:r>
        <w:rPr>
          <w:rFonts w:hint="eastAsia" w:ascii="宋体" w:hAnsi="宋体"/>
          <w:color w:val="auto"/>
          <w:szCs w:val="21"/>
          <w:highlight w:val="none"/>
        </w:rPr>
        <w:t>，欢迎符合采购文件要求的国内投标人参加投标</w:t>
      </w:r>
      <w:r>
        <w:rPr>
          <w:rFonts w:ascii="宋体" w:hAnsi="宋体"/>
          <w:color w:val="auto"/>
          <w:szCs w:val="21"/>
          <w:highlight w:val="none"/>
        </w:rPr>
        <w:t>。有关事项如下：</w:t>
      </w:r>
    </w:p>
    <w:p w14:paraId="1077A683">
      <w:pPr>
        <w:ind w:firstLine="413" w:firstLineChars="196"/>
        <w:rPr>
          <w:rFonts w:ascii="宋体" w:hAnsi="宋体"/>
          <w:b/>
          <w:color w:val="auto"/>
          <w:szCs w:val="21"/>
          <w:highlight w:val="none"/>
        </w:rPr>
      </w:pPr>
    </w:p>
    <w:p w14:paraId="604CAB72">
      <w:pPr>
        <w:rPr>
          <w:rFonts w:ascii="宋体" w:hAnsi="宋体"/>
          <w:b/>
          <w:color w:val="auto"/>
          <w:szCs w:val="21"/>
          <w:highlight w:val="none"/>
        </w:rPr>
      </w:pPr>
      <w:r>
        <w:rPr>
          <w:rFonts w:hint="eastAsia" w:ascii="宋体" w:hAnsi="宋体"/>
          <w:b/>
          <w:color w:val="auto"/>
          <w:szCs w:val="21"/>
          <w:highlight w:val="none"/>
        </w:rPr>
        <w:t>一、采购项目概况</w:t>
      </w:r>
    </w:p>
    <w:p w14:paraId="099A08F4">
      <w:pPr>
        <w:ind w:firstLine="420" w:firstLineChars="200"/>
        <w:rPr>
          <w:rFonts w:hint="eastAsia" w:ascii="宋体" w:hAnsi="宋体" w:eastAsia="宋体"/>
          <w:b w:val="0"/>
          <w:bCs w:val="0"/>
          <w:color w:val="auto"/>
          <w:szCs w:val="21"/>
          <w:highlight w:val="none"/>
          <w:u w:val="none"/>
          <w:lang w:eastAsia="zh-CN"/>
        </w:rPr>
      </w:pPr>
      <w:r>
        <w:rPr>
          <w:rFonts w:ascii="宋体" w:hAnsi="宋体"/>
          <w:color w:val="auto"/>
          <w:szCs w:val="21"/>
          <w:highlight w:val="none"/>
        </w:rPr>
        <w:t>1</w:t>
      </w:r>
      <w:r>
        <w:rPr>
          <w:rFonts w:hint="eastAsia" w:ascii="宋体" w:hAnsi="宋体"/>
          <w:color w:val="auto"/>
          <w:szCs w:val="21"/>
          <w:highlight w:val="none"/>
        </w:rPr>
        <w:t>、采购</w:t>
      </w:r>
      <w:r>
        <w:rPr>
          <w:rFonts w:ascii="宋体" w:hAnsi="宋体"/>
          <w:color w:val="auto"/>
          <w:szCs w:val="21"/>
          <w:highlight w:val="none"/>
        </w:rPr>
        <w:t>项目名称</w:t>
      </w:r>
      <w:r>
        <w:rPr>
          <w:rFonts w:hint="eastAsia" w:ascii="宋体" w:hAnsi="宋体"/>
          <w:color w:val="auto"/>
          <w:szCs w:val="21"/>
          <w:highlight w:val="none"/>
        </w:rPr>
        <w:t>：</w:t>
      </w:r>
      <w:r>
        <w:rPr>
          <w:rFonts w:hint="eastAsia" w:ascii="宋体" w:hAnsi="宋体"/>
          <w:b w:val="0"/>
          <w:bCs w:val="0"/>
          <w:color w:val="auto"/>
          <w:szCs w:val="21"/>
          <w:highlight w:val="none"/>
          <w:u w:val="none"/>
          <w:lang w:eastAsia="zh-CN"/>
        </w:rPr>
        <w:t>东莞市旗领产业投资有限公司1525kW/6100kWh用户侧储能项目</w:t>
      </w:r>
    </w:p>
    <w:p w14:paraId="3605AFD4">
      <w:pPr>
        <w:ind w:firstLine="420" w:firstLineChars="200"/>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预算金额（</w:t>
      </w:r>
      <w:r>
        <w:rPr>
          <w:rFonts w:hint="eastAsia" w:ascii="宋体" w:hAnsi="宋体"/>
          <w:color w:val="auto"/>
          <w:szCs w:val="21"/>
          <w:highlight w:val="none"/>
        </w:rPr>
        <w:t>元</w:t>
      </w:r>
      <w:r>
        <w:rPr>
          <w:rFonts w:ascii="宋体" w:hAnsi="宋体"/>
          <w:color w:val="auto"/>
          <w:szCs w:val="21"/>
          <w:highlight w:val="none"/>
        </w:rPr>
        <w:t>）</w:t>
      </w:r>
      <w:r>
        <w:rPr>
          <w:rFonts w:hint="eastAsia" w:ascii="宋体" w:hAnsi="宋体"/>
          <w:color w:val="auto"/>
          <w:szCs w:val="21"/>
          <w:highlight w:val="none"/>
        </w:rPr>
        <w:t>：</w:t>
      </w:r>
      <w:r>
        <w:rPr>
          <w:rFonts w:hint="eastAsia" w:ascii="宋体" w:hAnsi="宋体"/>
          <w:color w:val="auto"/>
          <w:szCs w:val="21"/>
          <w:highlight w:val="none"/>
          <w:u w:val="none"/>
        </w:rPr>
        <w:t>¥</w:t>
      </w:r>
      <w:r>
        <w:rPr>
          <w:rFonts w:hint="eastAsia" w:ascii="宋体" w:hAnsi="宋体"/>
          <w:color w:val="auto"/>
          <w:szCs w:val="21"/>
          <w:highlight w:val="none"/>
          <w:u w:val="none"/>
          <w:lang w:val="en-US" w:eastAsia="zh-CN"/>
        </w:rPr>
        <w:t>6,405,000.00</w:t>
      </w:r>
      <w:r>
        <w:rPr>
          <w:rFonts w:hint="eastAsia" w:ascii="宋体" w:hAnsi="宋体"/>
          <w:color w:val="auto"/>
          <w:szCs w:val="21"/>
          <w:highlight w:val="none"/>
          <w:u w:val="none"/>
        </w:rPr>
        <w:t>元</w:t>
      </w:r>
    </w:p>
    <w:p w14:paraId="20E53589">
      <w:pPr>
        <w:ind w:firstLine="420" w:firstLineChars="200"/>
        <w:rPr>
          <w:rFonts w:ascii="宋体" w:hAnsi="宋体"/>
          <w:color w:val="auto"/>
          <w:szCs w:val="21"/>
          <w:highlight w:val="none"/>
          <w:u w:val="single"/>
        </w:rPr>
      </w:pPr>
      <w:r>
        <w:rPr>
          <w:rFonts w:hint="eastAsia" w:ascii="宋体" w:hAnsi="宋体"/>
          <w:color w:val="auto"/>
          <w:szCs w:val="21"/>
          <w:highlight w:val="none"/>
        </w:rPr>
        <w:t>3、最高</w:t>
      </w:r>
      <w:r>
        <w:rPr>
          <w:rFonts w:ascii="宋体" w:hAnsi="宋体"/>
          <w:color w:val="auto"/>
          <w:szCs w:val="21"/>
          <w:highlight w:val="none"/>
        </w:rPr>
        <w:t>限价</w:t>
      </w:r>
      <w:r>
        <w:rPr>
          <w:rFonts w:hint="eastAsia" w:ascii="宋体" w:hAnsi="宋体"/>
          <w:color w:val="auto"/>
          <w:szCs w:val="21"/>
          <w:highlight w:val="none"/>
        </w:rPr>
        <w:t>（元）</w:t>
      </w:r>
      <w:r>
        <w:rPr>
          <w:rFonts w:ascii="宋体" w:hAnsi="宋体"/>
          <w:color w:val="auto"/>
          <w:szCs w:val="21"/>
          <w:highlight w:val="none"/>
        </w:rPr>
        <w:t>：</w:t>
      </w:r>
      <w:r>
        <w:rPr>
          <w:rFonts w:hint="eastAsia" w:ascii="宋体" w:hAnsi="宋体"/>
          <w:color w:val="auto"/>
          <w:szCs w:val="21"/>
          <w:highlight w:val="none"/>
          <w:u w:val="none"/>
        </w:rPr>
        <w:t>¥</w:t>
      </w:r>
      <w:r>
        <w:rPr>
          <w:rFonts w:hint="eastAsia" w:ascii="宋体" w:hAnsi="宋体"/>
          <w:color w:val="auto"/>
          <w:szCs w:val="21"/>
          <w:highlight w:val="none"/>
          <w:u w:val="none"/>
          <w:lang w:val="en-US" w:eastAsia="zh-CN"/>
        </w:rPr>
        <w:t>6,405,000.00</w:t>
      </w:r>
      <w:r>
        <w:rPr>
          <w:rFonts w:hint="eastAsia" w:ascii="宋体" w:hAnsi="宋体"/>
          <w:color w:val="auto"/>
          <w:szCs w:val="21"/>
          <w:highlight w:val="none"/>
          <w:u w:val="none"/>
        </w:rPr>
        <w:t>元</w:t>
      </w:r>
    </w:p>
    <w:p w14:paraId="476CB721">
      <w:pPr>
        <w:ind w:firstLine="420" w:firstLineChars="200"/>
        <w:rPr>
          <w:rFonts w:hint="eastAsia" w:ascii="宋体" w:hAnsi="宋体" w:eastAsia="宋体"/>
          <w:color w:val="auto"/>
          <w:szCs w:val="21"/>
          <w:highlight w:val="yellow"/>
          <w:lang w:val="en-US" w:eastAsia="zh-CN"/>
        </w:rPr>
      </w:pPr>
      <w:r>
        <w:rPr>
          <w:rFonts w:hint="eastAsia" w:ascii="宋体" w:hAnsi="宋体"/>
          <w:color w:val="auto"/>
          <w:szCs w:val="21"/>
          <w:highlight w:val="none"/>
          <w:lang w:val="en-US" w:eastAsia="zh-CN"/>
        </w:rPr>
        <w:t>4、项目规模：本次采购总容量为</w:t>
      </w:r>
      <w:r>
        <w:rPr>
          <w:rFonts w:hint="eastAsia" w:ascii="宋体" w:hAnsi="宋体"/>
          <w:b w:val="0"/>
          <w:bCs w:val="0"/>
          <w:color w:val="auto"/>
          <w:szCs w:val="21"/>
          <w:highlight w:val="none"/>
          <w:u w:val="none"/>
          <w:lang w:eastAsia="zh-CN"/>
        </w:rPr>
        <w:t>1525kW/6100kWh</w:t>
      </w:r>
      <w:r>
        <w:rPr>
          <w:rFonts w:hint="eastAsia" w:ascii="宋体" w:hAnsi="宋体"/>
          <w:color w:val="auto"/>
          <w:szCs w:val="21"/>
          <w:highlight w:val="none"/>
          <w:lang w:val="en-US" w:eastAsia="zh-CN"/>
        </w:rPr>
        <w:t>；最终设计的容量偏差≤预算容量的10%（如遇现场位置不能满足设计要求，容量缩减不受降低容量偏差限制），超出部分不做结算。</w:t>
      </w:r>
    </w:p>
    <w:p w14:paraId="4E783314">
      <w:pPr>
        <w:ind w:firstLine="420" w:firstLineChars="200"/>
        <w:rPr>
          <w:rFonts w:ascii="宋体" w:hAnsi="宋体"/>
          <w:color w:val="auto"/>
          <w:szCs w:val="21"/>
          <w:highlight w:val="none"/>
        </w:rPr>
      </w:pPr>
      <w:r>
        <w:rPr>
          <w:rFonts w:hint="eastAsia" w:ascii="宋体" w:hAnsi="宋体"/>
          <w:color w:val="auto"/>
          <w:szCs w:val="21"/>
          <w:highlight w:val="none"/>
        </w:rPr>
        <w:t>5、项目内容</w:t>
      </w:r>
    </w:p>
    <w:tbl>
      <w:tblPr>
        <w:tblStyle w:val="32"/>
        <w:tblW w:w="92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autofit"/>
        <w:tblCellMar>
          <w:top w:w="0" w:type="dxa"/>
          <w:left w:w="0" w:type="dxa"/>
          <w:bottom w:w="0" w:type="dxa"/>
          <w:right w:w="0" w:type="dxa"/>
        </w:tblCellMar>
      </w:tblPr>
      <w:tblGrid>
        <w:gridCol w:w="3294"/>
        <w:gridCol w:w="1600"/>
        <w:gridCol w:w="2387"/>
        <w:gridCol w:w="1959"/>
      </w:tblGrid>
      <w:tr w14:paraId="6F98AE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0" w:type="dxa"/>
            <w:left w:w="0" w:type="dxa"/>
            <w:bottom w:w="0" w:type="dxa"/>
            <w:right w:w="0" w:type="dxa"/>
          </w:tblCellMar>
        </w:tblPrEx>
        <w:trPr>
          <w:trHeight w:val="670" w:hRule="atLeast"/>
          <w:jc w:val="center"/>
        </w:trPr>
        <w:tc>
          <w:tcPr>
            <w:tcW w:w="3294" w:type="dxa"/>
            <w:shd w:val="clear" w:color="auto" w:fill="FFFFFF"/>
            <w:tcMar>
              <w:top w:w="0" w:type="dxa"/>
              <w:left w:w="108" w:type="dxa"/>
              <w:bottom w:w="0" w:type="dxa"/>
              <w:right w:w="108" w:type="dxa"/>
            </w:tcMar>
            <w:vAlign w:val="center"/>
          </w:tcPr>
          <w:p w14:paraId="34E04411">
            <w:pPr>
              <w:adjustRightInd/>
              <w:snapToGrid/>
              <w:spacing w:before="0" w:beforeAutospacing="0" w:after="0" w:afterAutospacing="0"/>
              <w:jc w:val="center"/>
              <w:textAlignment w:val="baseline"/>
              <w:rPr>
                <w:rFonts w:hint="eastAsia" w:ascii="宋体" w:hAnsi="宋体" w:eastAsia="宋体" w:cs="宋体"/>
                <w:color w:val="auto"/>
                <w:sz w:val="21"/>
                <w:szCs w:val="21"/>
                <w:highlight w:val="none"/>
                <w:lang w:val="en-US" w:eastAsia="zh-CN" w:bidi="ar-SA"/>
              </w:rPr>
            </w:pPr>
            <w:r>
              <w:rPr>
                <w:rStyle w:val="35"/>
                <w:rFonts w:hint="eastAsia" w:ascii="宋体" w:hAnsi="宋体" w:eastAsia="宋体" w:cs="宋体"/>
                <w:color w:val="auto"/>
                <w:sz w:val="21"/>
                <w:szCs w:val="21"/>
                <w:highlight w:val="none"/>
                <w:lang w:val="en-US" w:eastAsia="zh-CN" w:bidi="ar-SA"/>
              </w:rPr>
              <w:t>采购标的</w:t>
            </w:r>
          </w:p>
        </w:tc>
        <w:tc>
          <w:tcPr>
            <w:tcW w:w="1600" w:type="dxa"/>
            <w:shd w:val="clear" w:color="auto" w:fill="FFFFFF"/>
            <w:tcMar>
              <w:top w:w="0" w:type="dxa"/>
              <w:left w:w="108" w:type="dxa"/>
              <w:bottom w:w="0" w:type="dxa"/>
              <w:right w:w="108" w:type="dxa"/>
            </w:tcMar>
            <w:vAlign w:val="center"/>
          </w:tcPr>
          <w:p w14:paraId="1CD4260A">
            <w:pPr>
              <w:adjustRightInd/>
              <w:snapToGrid/>
              <w:spacing w:before="0" w:beforeAutospacing="0" w:after="0" w:afterAutospacing="0"/>
              <w:jc w:val="center"/>
              <w:textAlignment w:val="baseline"/>
              <w:rPr>
                <w:rFonts w:hint="eastAsia" w:ascii="宋体" w:hAnsi="宋体" w:eastAsia="宋体" w:cs="宋体"/>
                <w:color w:val="auto"/>
                <w:sz w:val="21"/>
                <w:szCs w:val="21"/>
                <w:highlight w:val="none"/>
                <w:lang w:val="en-US" w:eastAsia="zh-CN" w:bidi="ar-SA"/>
              </w:rPr>
            </w:pPr>
            <w:r>
              <w:rPr>
                <w:rStyle w:val="35"/>
                <w:rFonts w:hint="eastAsia" w:ascii="宋体" w:hAnsi="宋体" w:eastAsia="宋体" w:cs="宋体"/>
                <w:color w:val="auto"/>
                <w:sz w:val="21"/>
                <w:szCs w:val="21"/>
                <w:highlight w:val="none"/>
                <w:lang w:val="en-US" w:eastAsia="zh-CN" w:bidi="ar-SA"/>
              </w:rPr>
              <w:t>数量（单位）</w:t>
            </w:r>
          </w:p>
        </w:tc>
        <w:tc>
          <w:tcPr>
            <w:tcW w:w="2387" w:type="dxa"/>
            <w:shd w:val="clear" w:color="auto" w:fill="FFFFFF"/>
            <w:tcMar>
              <w:top w:w="0" w:type="dxa"/>
              <w:left w:w="108" w:type="dxa"/>
              <w:bottom w:w="0" w:type="dxa"/>
              <w:right w:w="108" w:type="dxa"/>
            </w:tcMar>
            <w:vAlign w:val="center"/>
          </w:tcPr>
          <w:p w14:paraId="527B6A37">
            <w:pPr>
              <w:adjustRightInd/>
              <w:snapToGrid/>
              <w:spacing w:before="0" w:beforeAutospacing="0" w:after="0" w:afterAutospacing="0"/>
              <w:jc w:val="center"/>
              <w:textAlignment w:val="baseline"/>
              <w:rPr>
                <w:rFonts w:hint="eastAsia" w:ascii="宋体" w:hAnsi="宋体" w:eastAsia="宋体" w:cs="宋体"/>
                <w:color w:val="auto"/>
                <w:sz w:val="21"/>
                <w:szCs w:val="21"/>
                <w:highlight w:val="none"/>
                <w:lang w:val="en-US" w:eastAsia="zh-CN" w:bidi="ar-SA"/>
              </w:rPr>
            </w:pPr>
            <w:r>
              <w:rPr>
                <w:rStyle w:val="35"/>
                <w:rFonts w:hint="eastAsia" w:ascii="宋体" w:hAnsi="宋体" w:eastAsia="宋体" w:cs="宋体"/>
                <w:color w:val="auto"/>
                <w:sz w:val="21"/>
                <w:szCs w:val="21"/>
                <w:highlight w:val="none"/>
                <w:lang w:val="en-US" w:eastAsia="zh-CN" w:bidi="ar-SA"/>
              </w:rPr>
              <w:t>技术规格、参数及要求</w:t>
            </w:r>
          </w:p>
        </w:tc>
        <w:tc>
          <w:tcPr>
            <w:tcW w:w="1959" w:type="dxa"/>
            <w:shd w:val="clear" w:color="auto" w:fill="FFFFFF"/>
            <w:tcMar>
              <w:top w:w="0" w:type="dxa"/>
              <w:left w:w="108" w:type="dxa"/>
              <w:bottom w:w="0" w:type="dxa"/>
              <w:right w:w="108" w:type="dxa"/>
            </w:tcMar>
            <w:vAlign w:val="center"/>
          </w:tcPr>
          <w:p w14:paraId="1B0321DD">
            <w:pPr>
              <w:widowControl w:val="0"/>
              <w:adjustRightInd/>
              <w:snapToGrid/>
              <w:spacing w:after="0"/>
              <w:jc w:val="center"/>
              <w:rPr>
                <w:rStyle w:val="35"/>
                <w:rFonts w:hint="eastAsia" w:ascii="宋体" w:hAnsi="宋体" w:eastAsia="宋体" w:cs="宋体"/>
                <w:color w:val="auto"/>
                <w:sz w:val="21"/>
                <w:szCs w:val="21"/>
                <w:highlight w:val="none"/>
                <w:lang w:val="en-US" w:eastAsia="zh-CN" w:bidi="ar-SA"/>
              </w:rPr>
            </w:pPr>
            <w:r>
              <w:rPr>
                <w:rStyle w:val="35"/>
                <w:rFonts w:hint="eastAsia" w:ascii="宋体" w:hAnsi="宋体" w:eastAsia="宋体" w:cs="宋体"/>
                <w:color w:val="auto"/>
                <w:sz w:val="21"/>
                <w:szCs w:val="21"/>
                <w:highlight w:val="none"/>
                <w:lang w:val="en-US" w:eastAsia="zh-CN" w:bidi="ar-SA"/>
              </w:rPr>
              <w:t>单价最高限价</w:t>
            </w:r>
          </w:p>
        </w:tc>
      </w:tr>
      <w:tr w14:paraId="640F866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0" w:type="dxa"/>
            <w:left w:w="0" w:type="dxa"/>
            <w:bottom w:w="0" w:type="dxa"/>
            <w:right w:w="0" w:type="dxa"/>
          </w:tblCellMar>
        </w:tblPrEx>
        <w:trPr>
          <w:trHeight w:val="600" w:hRule="atLeast"/>
          <w:jc w:val="center"/>
        </w:trPr>
        <w:tc>
          <w:tcPr>
            <w:tcW w:w="3294" w:type="dxa"/>
            <w:shd w:val="clear" w:color="auto" w:fill="FFFFFF"/>
            <w:tcMar>
              <w:top w:w="0" w:type="dxa"/>
              <w:left w:w="108" w:type="dxa"/>
              <w:bottom w:w="0" w:type="dxa"/>
              <w:right w:w="108" w:type="dxa"/>
            </w:tcMar>
            <w:vAlign w:val="center"/>
          </w:tcPr>
          <w:p w14:paraId="114E0E09">
            <w:pPr>
              <w:adjustRightInd/>
              <w:snapToGrid/>
              <w:spacing w:before="0" w:beforeAutospacing="0" w:after="0" w:afterAutospacing="0"/>
              <w:jc w:val="center"/>
              <w:textAlignment w:val="baseline"/>
              <w:rPr>
                <w:rFonts w:hint="eastAsia" w:ascii="宋体" w:hAnsi="宋体" w:eastAsia="宋体" w:cs="宋体"/>
                <w:color w:val="auto"/>
                <w:sz w:val="21"/>
                <w:szCs w:val="21"/>
                <w:highlight w:val="none"/>
                <w:lang w:val="en-US" w:eastAsia="zh-CN" w:bidi="ar-SA"/>
              </w:rPr>
            </w:pPr>
            <w:r>
              <w:rPr>
                <w:rFonts w:hint="eastAsia" w:ascii="宋体" w:hAnsi="宋体" w:cs="宋体"/>
                <w:color w:val="auto"/>
                <w:sz w:val="21"/>
                <w:szCs w:val="21"/>
                <w:highlight w:val="none"/>
                <w:lang w:val="en-US" w:eastAsia="zh-CN" w:bidi="ar-SA"/>
              </w:rPr>
              <w:t>东莞市旗领产业投资有限公司1525kW/6100kWh用户侧储能项目</w:t>
            </w:r>
          </w:p>
        </w:tc>
        <w:tc>
          <w:tcPr>
            <w:tcW w:w="1600" w:type="dxa"/>
            <w:shd w:val="clear" w:color="auto" w:fill="FFFFFF"/>
            <w:tcMar>
              <w:top w:w="0" w:type="dxa"/>
              <w:left w:w="108" w:type="dxa"/>
              <w:bottom w:w="0" w:type="dxa"/>
              <w:right w:w="108" w:type="dxa"/>
            </w:tcMar>
            <w:vAlign w:val="center"/>
          </w:tcPr>
          <w:p w14:paraId="141D9F8B">
            <w:pPr>
              <w:adjustRightInd/>
              <w:snapToGrid/>
              <w:spacing w:before="0" w:beforeAutospacing="0" w:after="0" w:afterAutospacing="0"/>
              <w:jc w:val="center"/>
              <w:textAlignment w:val="baseline"/>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1（项）</w:t>
            </w:r>
          </w:p>
        </w:tc>
        <w:tc>
          <w:tcPr>
            <w:tcW w:w="2387" w:type="dxa"/>
            <w:shd w:val="clear" w:color="auto" w:fill="FFFFFF"/>
            <w:tcMar>
              <w:top w:w="0" w:type="dxa"/>
              <w:left w:w="108" w:type="dxa"/>
              <w:bottom w:w="0" w:type="dxa"/>
              <w:right w:w="108" w:type="dxa"/>
            </w:tcMar>
            <w:vAlign w:val="center"/>
          </w:tcPr>
          <w:p w14:paraId="22727503">
            <w:pPr>
              <w:adjustRightInd/>
              <w:snapToGrid/>
              <w:spacing w:before="0" w:beforeAutospacing="0" w:after="0" w:afterAutospacing="0"/>
              <w:jc w:val="center"/>
              <w:textAlignment w:val="baseline"/>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shd w:val="clear" w:color="auto" w:fill="FFFFFF"/>
                <w:lang w:val="en-US" w:eastAsia="zh-CN" w:bidi="ar-SA"/>
              </w:rPr>
              <w:t>详见采购文件</w:t>
            </w:r>
          </w:p>
        </w:tc>
        <w:tc>
          <w:tcPr>
            <w:tcW w:w="1959" w:type="dxa"/>
            <w:shd w:val="clear" w:color="auto" w:fill="FFFFFF"/>
            <w:tcMar>
              <w:top w:w="0" w:type="dxa"/>
              <w:left w:w="108" w:type="dxa"/>
              <w:bottom w:w="0" w:type="dxa"/>
              <w:right w:w="108" w:type="dxa"/>
            </w:tcMar>
            <w:vAlign w:val="center"/>
          </w:tcPr>
          <w:p w14:paraId="69F346AD">
            <w:pPr>
              <w:adjustRightInd/>
              <w:snapToGrid/>
              <w:spacing w:before="0" w:beforeAutospacing="0" w:after="0" w:afterAutospacing="0"/>
              <w:jc w:val="center"/>
              <w:textAlignment w:val="baseline"/>
              <w:rPr>
                <w:rFonts w:hint="eastAsia" w:ascii="宋体" w:hAnsi="宋体" w:eastAsia="宋体" w:cs="宋体"/>
                <w:color w:val="auto"/>
                <w:sz w:val="21"/>
                <w:szCs w:val="21"/>
                <w:highlight w:val="none"/>
                <w:shd w:val="clear" w:color="auto" w:fill="FFFFFF"/>
                <w:lang w:val="en-US" w:eastAsia="zh-CN" w:bidi="ar-SA"/>
              </w:rPr>
            </w:pPr>
            <w:r>
              <w:rPr>
                <w:rFonts w:hint="eastAsia" w:ascii="宋体" w:hAnsi="宋体" w:cs="宋体"/>
                <w:color w:val="auto"/>
                <w:sz w:val="21"/>
                <w:szCs w:val="21"/>
                <w:highlight w:val="none"/>
                <w:u w:val="single"/>
                <w:shd w:val="clear" w:color="auto" w:fill="FFFFFF"/>
                <w:lang w:val="en-US" w:eastAsia="zh-CN" w:bidi="ar-SA"/>
              </w:rPr>
              <w:t>1050</w:t>
            </w:r>
            <w:r>
              <w:rPr>
                <w:rFonts w:hint="eastAsia" w:ascii="宋体" w:hAnsi="宋体" w:eastAsia="宋体" w:cs="宋体"/>
                <w:color w:val="auto"/>
                <w:sz w:val="21"/>
                <w:szCs w:val="21"/>
                <w:highlight w:val="none"/>
                <w:u w:val="single"/>
                <w:shd w:val="clear" w:color="auto" w:fill="FFFFFF"/>
                <w:lang w:val="en-US" w:eastAsia="zh-CN" w:bidi="ar-SA"/>
              </w:rPr>
              <w:t>元/kWh</w:t>
            </w:r>
          </w:p>
        </w:tc>
      </w:tr>
    </w:tbl>
    <w:p w14:paraId="7A25D2A5">
      <w:pPr>
        <w:ind w:firstLine="420" w:firstLineChars="200"/>
        <w:rPr>
          <w:rFonts w:ascii="宋体" w:hAnsi="宋体"/>
          <w:color w:val="auto"/>
          <w:szCs w:val="21"/>
          <w:highlight w:val="none"/>
        </w:rPr>
      </w:pPr>
      <w:r>
        <w:rPr>
          <w:rFonts w:hint="eastAsia" w:ascii="宋体" w:hAnsi="宋体"/>
          <w:color w:val="auto"/>
          <w:szCs w:val="21"/>
          <w:highlight w:val="none"/>
          <w:lang w:val="en-US" w:eastAsia="zh-CN"/>
        </w:rPr>
        <w:t>6</w:t>
      </w:r>
      <w:r>
        <w:rPr>
          <w:rFonts w:hint="eastAsia" w:ascii="宋体" w:hAnsi="宋体"/>
          <w:color w:val="auto"/>
          <w:szCs w:val="21"/>
          <w:highlight w:val="none"/>
        </w:rPr>
        <w:t>、本项目</w:t>
      </w:r>
      <w:r>
        <w:rPr>
          <w:rFonts w:hint="eastAsia" w:ascii="宋体" w:hAnsi="宋体"/>
          <w:b/>
          <w:bCs/>
          <w:color w:val="auto"/>
          <w:szCs w:val="21"/>
          <w:highlight w:val="none"/>
        </w:rPr>
        <w:t>不接受</w:t>
      </w:r>
      <w:r>
        <w:rPr>
          <w:rFonts w:hint="eastAsia" w:ascii="宋体" w:hAnsi="宋体"/>
          <w:color w:val="auto"/>
          <w:szCs w:val="21"/>
          <w:highlight w:val="none"/>
        </w:rPr>
        <w:t>联合体投标。</w:t>
      </w:r>
    </w:p>
    <w:p w14:paraId="5828A9B3">
      <w:pPr>
        <w:ind w:firstLine="420" w:firstLineChars="200"/>
        <w:rPr>
          <w:rFonts w:ascii="宋体" w:hAnsi="宋体"/>
          <w:color w:val="auto"/>
          <w:szCs w:val="21"/>
          <w:highlight w:val="none"/>
        </w:rPr>
      </w:pPr>
      <w:r>
        <w:rPr>
          <w:rFonts w:hint="eastAsia" w:ascii="宋体" w:hAnsi="宋体"/>
          <w:color w:val="auto"/>
          <w:szCs w:val="21"/>
          <w:highlight w:val="none"/>
          <w:lang w:val="en-US" w:eastAsia="zh-CN"/>
        </w:rPr>
        <w:t>7</w:t>
      </w:r>
      <w:r>
        <w:rPr>
          <w:rFonts w:hint="eastAsia" w:ascii="宋体" w:hAnsi="宋体"/>
          <w:color w:val="auto"/>
          <w:szCs w:val="21"/>
          <w:highlight w:val="none"/>
        </w:rPr>
        <w:t>、项目需求</w:t>
      </w:r>
    </w:p>
    <w:p w14:paraId="0B4DF8FF">
      <w:pPr>
        <w:ind w:firstLine="420" w:firstLineChars="200"/>
        <w:rPr>
          <w:rFonts w:ascii="宋体" w:hAnsi="宋体"/>
          <w:color w:val="auto"/>
          <w:szCs w:val="21"/>
          <w:highlight w:val="none"/>
        </w:rPr>
      </w:pPr>
      <w:r>
        <w:rPr>
          <w:rFonts w:hint="eastAsia" w:ascii="宋体" w:hAnsi="宋体"/>
          <w:color w:val="auto"/>
          <w:szCs w:val="21"/>
          <w:highlight w:val="none"/>
        </w:rPr>
        <w:t>详细内容请参阅采购文件第三部分《用户需求书》。</w:t>
      </w:r>
    </w:p>
    <w:p w14:paraId="7B1AE3F5">
      <w:pPr>
        <w:ind w:firstLine="413" w:firstLineChars="196"/>
        <w:rPr>
          <w:rFonts w:ascii="宋体" w:hAnsi="宋体"/>
          <w:b/>
          <w:color w:val="auto"/>
          <w:szCs w:val="21"/>
          <w:highlight w:val="none"/>
        </w:rPr>
      </w:pPr>
    </w:p>
    <w:p w14:paraId="0F9F00D1">
      <w:pPr>
        <w:rPr>
          <w:rFonts w:ascii="宋体" w:hAnsi="宋体"/>
          <w:b/>
          <w:color w:val="auto"/>
          <w:szCs w:val="21"/>
          <w:highlight w:val="none"/>
        </w:rPr>
      </w:pPr>
      <w:r>
        <w:rPr>
          <w:rFonts w:hint="eastAsia" w:ascii="宋体" w:hAnsi="宋体"/>
          <w:b/>
          <w:color w:val="auto"/>
          <w:szCs w:val="21"/>
          <w:highlight w:val="none"/>
        </w:rPr>
        <w:t>二、投标人资格要求</w:t>
      </w:r>
    </w:p>
    <w:p w14:paraId="3F007E5C">
      <w:pPr>
        <w:spacing w:line="360" w:lineRule="auto"/>
        <w:ind w:firstLine="420" w:firstLineChars="200"/>
        <w:rPr>
          <w:rFonts w:hint="eastAsia" w:ascii="宋体" w:hAnsi="宋体"/>
          <w:b w:val="0"/>
          <w:bCs/>
          <w:color w:val="auto"/>
          <w:szCs w:val="21"/>
          <w:highlight w:val="none"/>
        </w:rPr>
      </w:pPr>
      <w:r>
        <w:rPr>
          <w:rFonts w:hint="eastAsia" w:ascii="宋体" w:hAnsi="宋体"/>
          <w:b w:val="0"/>
          <w:bCs/>
          <w:color w:val="auto"/>
          <w:szCs w:val="21"/>
          <w:highlight w:val="none"/>
        </w:rPr>
        <w:t>1、一般要求：</w:t>
      </w:r>
    </w:p>
    <w:p w14:paraId="305F8439">
      <w:pPr>
        <w:spacing w:line="360" w:lineRule="auto"/>
        <w:ind w:firstLine="420" w:firstLineChars="200"/>
        <w:rPr>
          <w:rFonts w:hint="eastAsia" w:ascii="宋体" w:hAnsi="宋体"/>
          <w:b w:val="0"/>
          <w:bCs/>
          <w:color w:val="auto"/>
          <w:szCs w:val="21"/>
          <w:highlight w:val="none"/>
        </w:rPr>
      </w:pPr>
      <w:r>
        <w:rPr>
          <w:rFonts w:hint="eastAsia" w:ascii="宋体" w:hAnsi="宋体"/>
          <w:b w:val="0"/>
          <w:bCs/>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p w14:paraId="624D7635">
      <w:pPr>
        <w:spacing w:line="360" w:lineRule="auto"/>
        <w:ind w:firstLine="420" w:firstLineChars="200"/>
        <w:rPr>
          <w:rFonts w:hint="eastAsia" w:ascii="宋体" w:hAnsi="宋体"/>
          <w:b w:val="0"/>
          <w:bCs/>
          <w:color w:val="auto"/>
          <w:szCs w:val="21"/>
          <w:highlight w:val="none"/>
        </w:rPr>
      </w:pPr>
      <w:r>
        <w:rPr>
          <w:rFonts w:hint="eastAsia" w:ascii="宋体" w:hAnsi="宋体"/>
          <w:b w:val="0"/>
          <w:bCs/>
          <w:color w:val="auto"/>
          <w:szCs w:val="21"/>
          <w:highlight w:val="none"/>
        </w:rPr>
        <w:t>（2）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2B0CB0C9">
      <w:pPr>
        <w:spacing w:line="360" w:lineRule="auto"/>
        <w:ind w:firstLine="420" w:firstLineChars="200"/>
        <w:rPr>
          <w:rFonts w:hint="eastAsia" w:ascii="宋体" w:hAnsi="宋体"/>
          <w:b w:val="0"/>
          <w:bCs/>
          <w:color w:val="auto"/>
          <w:szCs w:val="21"/>
          <w:highlight w:val="none"/>
        </w:rPr>
      </w:pPr>
      <w:r>
        <w:rPr>
          <w:rFonts w:hint="eastAsia" w:ascii="宋体" w:hAnsi="宋体"/>
          <w:b w:val="0"/>
          <w:bCs/>
          <w:color w:val="auto"/>
          <w:szCs w:val="21"/>
          <w:highlight w:val="none"/>
        </w:rPr>
        <w:t>（3）投标人的单位负责人为同一人或者存在直接控股、管理关系的不同投标人，不得参加同一合同项下的采购活动。</w:t>
      </w:r>
    </w:p>
    <w:p w14:paraId="7FE150A9">
      <w:pPr>
        <w:spacing w:line="360" w:lineRule="auto"/>
        <w:ind w:firstLine="420" w:firstLineChars="200"/>
        <w:rPr>
          <w:rFonts w:hint="eastAsia" w:ascii="宋体" w:hAnsi="宋体"/>
          <w:b w:val="0"/>
          <w:bCs/>
          <w:color w:val="auto"/>
          <w:szCs w:val="21"/>
          <w:highlight w:val="none"/>
        </w:rPr>
      </w:pPr>
      <w:r>
        <w:rPr>
          <w:rFonts w:hint="eastAsia" w:ascii="宋体" w:hAnsi="宋体"/>
          <w:b w:val="0"/>
          <w:bCs/>
          <w:color w:val="auto"/>
          <w:szCs w:val="21"/>
          <w:highlight w:val="none"/>
        </w:rPr>
        <w:t>（4）未被列入“信用中国”网站(www.creditchina.gov.cn)“记录失信被执行人或重大税收违法失信主体或政府采购严重违法失信行为”记录名单。以代理机构于投标截止日当天在“信用中国”网站查询结果为准，如相关失信记录已失效，投标人需提供相关证明资料。</w:t>
      </w:r>
    </w:p>
    <w:p w14:paraId="0142EFF4">
      <w:pPr>
        <w:spacing w:line="360" w:lineRule="auto"/>
        <w:ind w:firstLine="420" w:firstLineChars="200"/>
        <w:rPr>
          <w:rFonts w:hint="eastAsia" w:ascii="宋体" w:hAnsi="宋体"/>
          <w:b w:val="0"/>
          <w:bCs/>
          <w:color w:val="auto"/>
          <w:szCs w:val="21"/>
          <w:highlight w:val="none"/>
          <w:lang w:eastAsia="zh-CN"/>
        </w:rPr>
      </w:pPr>
      <w:r>
        <w:rPr>
          <w:rFonts w:hint="eastAsia" w:ascii="宋体" w:hAnsi="宋体"/>
          <w:b w:val="0"/>
          <w:bCs/>
          <w:color w:val="auto"/>
          <w:szCs w:val="21"/>
          <w:highlight w:val="none"/>
        </w:rPr>
        <w:t>（5）投标人自招标公告发布之日起前两年内，在经营活动中没有因串通投标、弄虚作假、行贿、转包、违法分包、挂靠、死亡事故违法违规行为受到行政、刑事处罚的。以代理机构于投标截止日当天在“信用中国”网站查询结果为准。</w:t>
      </w:r>
    </w:p>
    <w:p w14:paraId="0B7CC39C">
      <w:pPr>
        <w:spacing w:line="360" w:lineRule="auto"/>
        <w:ind w:firstLine="420" w:firstLineChars="200"/>
        <w:rPr>
          <w:rFonts w:hint="eastAsia" w:ascii="宋体" w:hAnsi="宋体"/>
          <w:b w:val="0"/>
          <w:bCs/>
          <w:color w:val="auto"/>
          <w:szCs w:val="21"/>
          <w:highlight w:val="none"/>
        </w:rPr>
      </w:pPr>
      <w:r>
        <w:rPr>
          <w:rFonts w:hint="eastAsia" w:ascii="宋体" w:hAnsi="宋体"/>
          <w:b w:val="0"/>
          <w:bCs/>
          <w:color w:val="auto"/>
          <w:szCs w:val="21"/>
          <w:highlight w:val="none"/>
        </w:rPr>
        <w:t>2、其他要求</w:t>
      </w:r>
    </w:p>
    <w:p w14:paraId="03F92F8B">
      <w:pPr>
        <w:spacing w:line="360" w:lineRule="auto"/>
        <w:ind w:firstLine="420" w:firstLineChars="200"/>
        <w:rPr>
          <w:rFonts w:hint="eastAsia" w:ascii="宋体" w:hAnsi="宋体"/>
          <w:b w:val="0"/>
          <w:bCs/>
          <w:color w:val="auto"/>
          <w:szCs w:val="21"/>
          <w:highlight w:val="none"/>
        </w:rPr>
      </w:pPr>
      <w:r>
        <w:rPr>
          <w:rFonts w:hint="eastAsia" w:ascii="宋体" w:hAnsi="宋体"/>
          <w:b w:val="0"/>
          <w:bCs/>
          <w:color w:val="auto"/>
          <w:szCs w:val="21"/>
          <w:highlight w:val="none"/>
        </w:rPr>
        <w:t>①机电工程施工总承包乙级（含）以上资质或电力工程施工总承包乙级（含）以上资质</w:t>
      </w:r>
    </w:p>
    <w:p w14:paraId="60373E22">
      <w:pPr>
        <w:spacing w:line="360" w:lineRule="auto"/>
        <w:ind w:firstLine="420" w:firstLineChars="200"/>
        <w:rPr>
          <w:rFonts w:hint="eastAsia" w:ascii="宋体" w:hAnsi="宋体"/>
          <w:b w:val="0"/>
          <w:bCs/>
          <w:color w:val="auto"/>
          <w:szCs w:val="21"/>
          <w:highlight w:val="none"/>
        </w:rPr>
      </w:pPr>
      <w:r>
        <w:rPr>
          <w:rFonts w:hint="eastAsia" w:ascii="宋体" w:hAnsi="宋体"/>
          <w:b w:val="0"/>
          <w:bCs/>
          <w:color w:val="auto"/>
          <w:szCs w:val="21"/>
          <w:highlight w:val="none"/>
        </w:rPr>
        <w:t>【或更换资质证书前有效期内的机电工程总承包二级（含）以上资质或电力工程施工总承包二级（含）以上资质】</w:t>
      </w:r>
    </w:p>
    <w:p w14:paraId="6C48F298">
      <w:pPr>
        <w:spacing w:line="360" w:lineRule="auto"/>
        <w:ind w:firstLine="420" w:firstLineChars="200"/>
        <w:rPr>
          <w:rFonts w:hint="eastAsia" w:ascii="宋体" w:hAnsi="宋体"/>
          <w:b w:val="0"/>
          <w:bCs/>
          <w:color w:val="auto"/>
          <w:szCs w:val="21"/>
          <w:highlight w:val="none"/>
        </w:rPr>
      </w:pPr>
      <w:r>
        <w:rPr>
          <w:rFonts w:hint="eastAsia" w:ascii="宋体" w:hAnsi="宋体"/>
          <w:b w:val="0"/>
          <w:bCs/>
          <w:color w:val="auto"/>
          <w:szCs w:val="21"/>
          <w:highlight w:val="none"/>
        </w:rPr>
        <w:t>②具有《承装（修、试）电力设施许可证》承装类、承修类及承试类三级（10千伏以下）或以上资质。</w:t>
      </w:r>
    </w:p>
    <w:p w14:paraId="1D6C438D">
      <w:pPr>
        <w:spacing w:line="360" w:lineRule="auto"/>
        <w:ind w:firstLine="420" w:firstLineChars="200"/>
        <w:rPr>
          <w:rFonts w:hint="eastAsia" w:ascii="宋体" w:hAnsi="宋体"/>
          <w:b w:val="0"/>
          <w:bCs/>
          <w:color w:val="auto"/>
          <w:szCs w:val="21"/>
          <w:highlight w:val="none"/>
        </w:rPr>
      </w:pPr>
      <w:r>
        <w:rPr>
          <w:rFonts w:hint="eastAsia" w:ascii="宋体" w:hAnsi="宋体"/>
          <w:b w:val="0"/>
          <w:bCs/>
          <w:color w:val="auto"/>
          <w:szCs w:val="21"/>
          <w:highlight w:val="none"/>
        </w:rPr>
        <w:t>【或更换资质证书前有效期内：《承装（修、试）电力设施许可证》承装类、承修类及承试类五级或以上资质】</w:t>
      </w:r>
    </w:p>
    <w:p w14:paraId="6E3D39EF">
      <w:pPr>
        <w:spacing w:line="360" w:lineRule="auto"/>
        <w:ind w:firstLine="420" w:firstLineChars="200"/>
        <w:rPr>
          <w:rFonts w:hint="eastAsia" w:ascii="宋体" w:hAnsi="宋体"/>
          <w:b w:val="0"/>
          <w:bCs/>
          <w:color w:val="auto"/>
          <w:szCs w:val="21"/>
          <w:highlight w:val="none"/>
        </w:rPr>
      </w:pPr>
      <w:r>
        <w:rPr>
          <w:rFonts w:hint="eastAsia" w:ascii="宋体" w:hAnsi="宋体"/>
          <w:b w:val="0"/>
          <w:bCs/>
          <w:color w:val="auto"/>
          <w:szCs w:val="21"/>
          <w:highlight w:val="none"/>
        </w:rPr>
        <w:t>③投标人须具有由建设行政主管部门颁发且在有效期内的《安全生产许可证》证书。</w:t>
      </w:r>
    </w:p>
    <w:p w14:paraId="3A19CDF6">
      <w:pPr>
        <w:spacing w:line="360" w:lineRule="auto"/>
        <w:ind w:firstLine="420" w:firstLineChars="200"/>
        <w:rPr>
          <w:rFonts w:hint="eastAsia" w:ascii="宋体" w:hAnsi="宋体"/>
          <w:b w:val="0"/>
          <w:bCs/>
          <w:color w:val="auto"/>
          <w:szCs w:val="21"/>
          <w:highlight w:val="none"/>
        </w:rPr>
      </w:pPr>
      <w:r>
        <w:rPr>
          <w:rFonts w:hint="eastAsia" w:ascii="宋体" w:hAnsi="宋体"/>
          <w:b w:val="0"/>
          <w:bCs/>
          <w:color w:val="auto"/>
          <w:szCs w:val="21"/>
          <w:highlight w:val="none"/>
        </w:rPr>
        <w:t>注：①、②其中有一项即可。提供相关证书复印件。资质证书过期的，如有相关顺延资质有效期文件且符合文件规定的，则视为仍然有效。</w:t>
      </w:r>
    </w:p>
    <w:p w14:paraId="600D073B">
      <w:pPr>
        <w:rPr>
          <w:rFonts w:ascii="宋体" w:hAnsi="宋体"/>
          <w:b/>
          <w:color w:val="auto"/>
          <w:szCs w:val="21"/>
          <w:highlight w:val="none"/>
        </w:rPr>
      </w:pPr>
      <w:r>
        <w:rPr>
          <w:rFonts w:hint="eastAsia" w:ascii="宋体" w:hAnsi="宋体"/>
          <w:b/>
          <w:color w:val="auto"/>
          <w:szCs w:val="21"/>
          <w:highlight w:val="none"/>
        </w:rPr>
        <w:t>三、获取采购文件方式及要求：</w:t>
      </w:r>
    </w:p>
    <w:p w14:paraId="4C2920FD">
      <w:pPr>
        <w:wordWrap w:val="0"/>
        <w:ind w:firstLine="420" w:firstLineChars="200"/>
        <w:rPr>
          <w:rFonts w:ascii="宋体" w:hAnsi="宋体" w:cs="宋体"/>
          <w:color w:val="auto"/>
          <w:szCs w:val="21"/>
          <w:highlight w:val="none"/>
        </w:rPr>
      </w:pPr>
      <w:r>
        <w:rPr>
          <w:rFonts w:hint="eastAsia" w:ascii="宋体" w:hAnsi="宋体" w:cs="宋体"/>
          <w:color w:val="auto"/>
          <w:szCs w:val="21"/>
          <w:highlight w:val="none"/>
        </w:rPr>
        <w:t>1、采购文件领购时间：</w:t>
      </w:r>
      <w:r>
        <w:rPr>
          <w:rFonts w:hint="eastAsia" w:ascii="宋体" w:hAnsi="宋体" w:eastAsia="宋体" w:cs="宋体"/>
          <w:color w:val="auto"/>
          <w:szCs w:val="21"/>
          <w:highlight w:val="none"/>
          <w:lang w:val="en-US" w:eastAsia="zh-CN"/>
        </w:rPr>
        <w:t>2025年</w:t>
      </w:r>
      <w:r>
        <w:rPr>
          <w:rFonts w:hint="eastAsia" w:ascii="宋体" w:hAnsi="宋体" w:cs="宋体"/>
          <w:color w:val="auto"/>
          <w:szCs w:val="21"/>
          <w:highlight w:val="none"/>
          <w:lang w:val="en-US" w:eastAsia="zh-CN"/>
        </w:rPr>
        <w:t xml:space="preserve"> 12 </w:t>
      </w:r>
      <w:r>
        <w:rPr>
          <w:rFonts w:hint="eastAsia" w:ascii="宋体" w:hAnsi="宋体" w:eastAsia="宋体" w:cs="宋体"/>
          <w:color w:val="auto"/>
          <w:szCs w:val="21"/>
          <w:highlight w:val="none"/>
          <w:lang w:val="en-US" w:eastAsia="zh-CN"/>
        </w:rPr>
        <w:t>月</w:t>
      </w:r>
      <w:r>
        <w:rPr>
          <w:rFonts w:hint="eastAsia" w:ascii="宋体" w:hAnsi="宋体" w:cs="宋体"/>
          <w:color w:val="auto"/>
          <w:szCs w:val="21"/>
          <w:highlight w:val="none"/>
          <w:lang w:val="en-US" w:eastAsia="zh-CN"/>
        </w:rPr>
        <w:t xml:space="preserve"> 10 </w:t>
      </w:r>
      <w:r>
        <w:rPr>
          <w:rFonts w:hint="eastAsia" w:ascii="宋体" w:hAnsi="宋体" w:eastAsia="宋体" w:cs="宋体"/>
          <w:color w:val="auto"/>
          <w:szCs w:val="21"/>
          <w:highlight w:val="none"/>
          <w:lang w:val="en-US" w:eastAsia="zh-CN"/>
        </w:rPr>
        <w:t>日至2025年</w:t>
      </w:r>
      <w:r>
        <w:rPr>
          <w:rFonts w:hint="eastAsia" w:ascii="宋体" w:hAnsi="宋体" w:cs="宋体"/>
          <w:color w:val="auto"/>
          <w:szCs w:val="21"/>
          <w:highlight w:val="none"/>
          <w:lang w:val="en-US" w:eastAsia="zh-CN"/>
        </w:rPr>
        <w:t xml:space="preserve"> 12 </w:t>
      </w:r>
      <w:r>
        <w:rPr>
          <w:rFonts w:hint="eastAsia" w:ascii="宋体" w:hAnsi="宋体" w:eastAsia="宋体" w:cs="宋体"/>
          <w:color w:val="auto"/>
          <w:szCs w:val="21"/>
          <w:highlight w:val="none"/>
          <w:lang w:val="en-US" w:eastAsia="zh-CN"/>
        </w:rPr>
        <w:t>月</w:t>
      </w:r>
      <w:r>
        <w:rPr>
          <w:rFonts w:hint="eastAsia" w:ascii="宋体" w:hAnsi="宋体" w:cs="宋体"/>
          <w:color w:val="auto"/>
          <w:szCs w:val="21"/>
          <w:highlight w:val="none"/>
          <w:lang w:val="en-US" w:eastAsia="zh-CN"/>
        </w:rPr>
        <w:t xml:space="preserve"> 24 </w:t>
      </w:r>
      <w:r>
        <w:rPr>
          <w:rFonts w:hint="eastAsia" w:ascii="宋体" w:hAnsi="宋体" w:eastAsia="宋体" w:cs="宋体"/>
          <w:color w:val="auto"/>
          <w:szCs w:val="21"/>
          <w:highlight w:val="none"/>
          <w:lang w:val="en-US" w:eastAsia="zh-CN"/>
        </w:rPr>
        <w:t>日，上午09:00至12:00，下午14:30至17:30（北京时间，法定节假日除外）。</w:t>
      </w:r>
    </w:p>
    <w:p w14:paraId="676E5B6F">
      <w:pPr>
        <w:keepNext w:val="0"/>
        <w:keepLines w:val="0"/>
        <w:pageBreakBefore w:val="0"/>
        <w:widowControl/>
        <w:kinsoku/>
        <w:wordWrap/>
        <w:overflowPunct/>
        <w:topLinePunct w:val="0"/>
        <w:autoSpaceDE/>
        <w:autoSpaceDN/>
        <w:bidi w:val="0"/>
        <w:spacing w:line="360" w:lineRule="auto"/>
        <w:ind w:left="0" w:leftChars="0" w:right="-21" w:rightChars="-10" w:firstLine="426" w:firstLineChars="203"/>
        <w:textAlignment w:val="auto"/>
        <w:rPr>
          <w:rFonts w:hint="eastAsia" w:ascii="宋体" w:hAnsi="宋体" w:cstheme="minorBidi"/>
          <w:color w:val="auto"/>
          <w:szCs w:val="21"/>
          <w:highlight w:val="none"/>
        </w:rPr>
      </w:pPr>
      <w:r>
        <w:rPr>
          <w:rFonts w:hint="eastAsia" w:ascii="宋体" w:hAnsi="宋体" w:cstheme="minorBidi"/>
          <w:color w:val="auto"/>
          <w:szCs w:val="21"/>
          <w:highlight w:val="none"/>
        </w:rPr>
        <w:t>2、获取方式：网上获取</w:t>
      </w:r>
    </w:p>
    <w:p w14:paraId="4D9D3330">
      <w:pPr>
        <w:pageBreakBefore w:val="0"/>
        <w:widowControl/>
        <w:kinsoku/>
        <w:wordWrap w:val="0"/>
        <w:overflowPunct/>
        <w:topLinePunct w:val="0"/>
        <w:autoSpaceDE/>
        <w:autoSpaceDN/>
        <w:bidi w:val="0"/>
        <w:spacing w:line="360" w:lineRule="auto"/>
        <w:ind w:firstLine="420" w:firstLineChars="200"/>
        <w:textAlignment w:val="auto"/>
        <w:rPr>
          <w:rFonts w:hint="eastAsia" w:ascii="宋体" w:hAnsi="宋体" w:eastAsia="宋体" w:cs="宋体"/>
          <w:color w:val="auto"/>
          <w:szCs w:val="21"/>
          <w:highlight w:val="none"/>
          <w:lang w:val="en-US" w:eastAsia="zh-CN"/>
        </w:rPr>
      </w:pPr>
      <w:r>
        <w:rPr>
          <w:rFonts w:hint="eastAsia" w:ascii="宋体" w:hAnsi="宋体" w:cstheme="minorBidi"/>
          <w:color w:val="auto"/>
          <w:szCs w:val="21"/>
          <w:highlight w:val="none"/>
        </w:rPr>
        <w:t>注：报名方式为网上下载</w:t>
      </w:r>
      <w:r>
        <w:rPr>
          <w:rFonts w:hint="eastAsia" w:ascii="宋体" w:hAnsi="宋体" w:cstheme="minorBidi"/>
          <w:color w:val="auto"/>
          <w:szCs w:val="21"/>
          <w:highlight w:val="none"/>
          <w:lang w:val="en-US" w:eastAsia="zh-CN"/>
        </w:rPr>
        <w:t>附件《</w:t>
      </w:r>
      <w:r>
        <w:rPr>
          <w:rFonts w:hint="eastAsia" w:ascii="宋体" w:hAnsi="宋体" w:cstheme="minorBidi"/>
          <w:color w:val="auto"/>
          <w:szCs w:val="21"/>
          <w:highlight w:val="none"/>
        </w:rPr>
        <w:t>报名登记表</w:t>
      </w:r>
      <w:r>
        <w:rPr>
          <w:rFonts w:hint="eastAsia" w:ascii="宋体" w:hAnsi="宋体" w:cstheme="minorBidi"/>
          <w:color w:val="auto"/>
          <w:szCs w:val="21"/>
          <w:highlight w:val="none"/>
          <w:lang w:eastAsia="zh-CN"/>
        </w:rPr>
        <w:t>》</w:t>
      </w:r>
      <w:r>
        <w:rPr>
          <w:rFonts w:hint="eastAsia" w:ascii="宋体" w:hAnsi="宋体" w:cstheme="minorBidi"/>
          <w:color w:val="auto"/>
          <w:szCs w:val="21"/>
          <w:highlight w:val="none"/>
        </w:rPr>
        <w:t>，填写完毕后发送到邮箱（</w:t>
      </w:r>
      <w:r>
        <w:rPr>
          <w:rFonts w:hint="eastAsia" w:ascii="宋体" w:hAnsi="宋体"/>
          <w:color w:val="auto"/>
          <w:szCs w:val="21"/>
          <w:highlight w:val="none"/>
          <w:lang w:eastAsia="zh-CN"/>
        </w:rPr>
        <w:t>dgwangtat@163.com</w:t>
      </w:r>
      <w:r>
        <w:rPr>
          <w:rFonts w:hint="eastAsia" w:ascii="宋体" w:hAnsi="宋体" w:cstheme="minorBidi"/>
          <w:color w:val="auto"/>
          <w:szCs w:val="21"/>
          <w:highlight w:val="none"/>
        </w:rPr>
        <w:t>），未按上述方式获取招标文件的供应商，其投标资格将被视为无效。</w:t>
      </w:r>
    </w:p>
    <w:p w14:paraId="582EDC9F">
      <w:pPr>
        <w:pageBreakBefore w:val="0"/>
        <w:widowControl/>
        <w:kinsoku/>
        <w:wordWrap w:val="0"/>
        <w:overflowPunct/>
        <w:topLinePunct w:val="0"/>
        <w:autoSpaceDE/>
        <w:autoSpaceDN/>
        <w:bidi w:val="0"/>
        <w:spacing w:line="360" w:lineRule="auto"/>
        <w:ind w:firstLine="420" w:firstLineChars="20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3、须提前准备如下材料：《营业执照》复印件（加盖公章）或《事业单位法人证书》复印件（加盖公章）或其他主体证明复印件（加盖公章），自然人参加投标须提供自然人的身份证明材料</w:t>
      </w: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lang w:val="en-US" w:eastAsia="zh-CN"/>
        </w:rPr>
        <w:t>分支机构投标的，须提供总公司和分公司营业执照副本复印件，以及总公司出具给分支机构的授权书</w:t>
      </w:r>
      <w:r>
        <w:rPr>
          <w:rFonts w:hint="eastAsia" w:ascii="宋体" w:hAnsi="宋体" w:cs="宋体"/>
          <w:color w:val="auto"/>
          <w:szCs w:val="21"/>
          <w:highlight w:val="none"/>
          <w:lang w:val="en-US" w:eastAsia="zh-CN"/>
        </w:rPr>
        <w:t>；</w:t>
      </w:r>
    </w:p>
    <w:p w14:paraId="3F6B6097">
      <w:pPr>
        <w:pageBreakBefore w:val="0"/>
        <w:widowControl/>
        <w:kinsoku/>
        <w:wordWrap w:val="0"/>
        <w:overflowPunct/>
        <w:topLinePunct w:val="0"/>
        <w:autoSpaceDE/>
        <w:autoSpaceDN/>
        <w:bidi w:val="0"/>
        <w:spacing w:line="360" w:lineRule="auto"/>
        <w:ind w:firstLine="420" w:firstLineChars="20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4、须在领购时间内进行报名，逾期报名无效，任何投标人因逾期报名或误缴费用而导致报名无效的，自行承担相应责任</w:t>
      </w:r>
      <w:r>
        <w:rPr>
          <w:rFonts w:hint="eastAsia" w:ascii="宋体" w:hAnsi="宋体" w:cs="宋体"/>
          <w:color w:val="auto"/>
          <w:szCs w:val="21"/>
          <w:highlight w:val="none"/>
          <w:lang w:val="en-US" w:eastAsia="zh-CN"/>
        </w:rPr>
        <w:t>；</w:t>
      </w:r>
    </w:p>
    <w:p w14:paraId="14EB5F20">
      <w:pPr>
        <w:wordWrap w:val="0"/>
        <w:ind w:firstLine="420" w:firstLineChars="200"/>
        <w:rPr>
          <w:rFonts w:hint="eastAsia" w:ascii="宋体" w:hAnsi="宋体" w:cs="宋体"/>
          <w:color w:val="auto"/>
          <w:szCs w:val="21"/>
          <w:highlight w:val="none"/>
          <w:lang w:eastAsia="zh-CN"/>
        </w:rPr>
      </w:pPr>
      <w:r>
        <w:rPr>
          <w:rFonts w:hint="eastAsia" w:ascii="宋体" w:hAnsi="宋体" w:cs="宋体"/>
          <w:color w:val="auto"/>
          <w:szCs w:val="21"/>
          <w:highlight w:val="none"/>
        </w:rPr>
        <w:t>5、领购价格：每套售价</w:t>
      </w:r>
      <w:r>
        <w:rPr>
          <w:rFonts w:hint="eastAsia" w:ascii="宋体" w:hAnsi="宋体" w:cs="宋体"/>
          <w:color w:val="auto"/>
          <w:szCs w:val="21"/>
          <w:highlight w:val="none"/>
          <w:lang w:val="en-US" w:eastAsia="zh-CN"/>
        </w:rPr>
        <w:t>300</w:t>
      </w:r>
      <w:r>
        <w:rPr>
          <w:rFonts w:hint="eastAsia" w:ascii="宋体" w:hAnsi="宋体" w:cs="宋体"/>
          <w:color w:val="auto"/>
          <w:szCs w:val="21"/>
          <w:highlight w:val="none"/>
        </w:rPr>
        <w:t>元（人民币），售后不退</w:t>
      </w:r>
      <w:r>
        <w:rPr>
          <w:rFonts w:hint="eastAsia" w:ascii="宋体" w:hAnsi="宋体" w:cs="宋体"/>
          <w:color w:val="auto"/>
          <w:szCs w:val="21"/>
          <w:highlight w:val="none"/>
          <w:lang w:eastAsia="zh-CN"/>
        </w:rPr>
        <w:t>；</w:t>
      </w:r>
      <w:r>
        <w:rPr>
          <w:rFonts w:hint="eastAsia" w:ascii="宋体" w:hAnsi="宋体" w:cs="宋体"/>
          <w:color w:val="auto"/>
          <w:szCs w:val="21"/>
          <w:highlight w:val="none"/>
        </w:rPr>
        <w:t>领购咨询人：</w:t>
      </w:r>
      <w:r>
        <w:rPr>
          <w:rFonts w:hint="eastAsia" w:ascii="宋体" w:hAnsi="宋体" w:cs="宋体"/>
          <w:color w:val="auto"/>
          <w:szCs w:val="21"/>
          <w:highlight w:val="none"/>
          <w:lang w:val="en-US" w:eastAsia="zh-CN"/>
        </w:rPr>
        <w:t>杨小姐</w:t>
      </w:r>
      <w:r>
        <w:rPr>
          <w:rFonts w:hint="eastAsia" w:ascii="宋体" w:hAnsi="宋体" w:cs="宋体"/>
          <w:color w:val="auto"/>
          <w:szCs w:val="21"/>
          <w:highlight w:val="none"/>
          <w:lang w:eastAsia="zh-CN"/>
        </w:rPr>
        <w:t>；</w:t>
      </w:r>
      <w:r>
        <w:rPr>
          <w:rFonts w:hint="eastAsia" w:ascii="宋体" w:hAnsi="宋体" w:cs="宋体"/>
          <w:color w:val="auto"/>
          <w:szCs w:val="21"/>
          <w:highlight w:val="none"/>
        </w:rPr>
        <w:t>领购咨询电话：</w:t>
      </w:r>
      <w:r>
        <w:rPr>
          <w:rFonts w:hint="eastAsia" w:ascii="宋体" w:hAnsi="宋体" w:cs="宋体"/>
          <w:color w:val="auto"/>
          <w:szCs w:val="21"/>
          <w:highlight w:val="none"/>
          <w:lang w:eastAsia="zh-CN"/>
        </w:rPr>
        <w:t>0769-28056866</w:t>
      </w:r>
      <w:r>
        <w:rPr>
          <w:rFonts w:hint="eastAsia" w:ascii="宋体" w:hAnsi="宋体" w:cs="宋体"/>
          <w:color w:val="auto"/>
          <w:szCs w:val="21"/>
          <w:highlight w:val="none"/>
          <w:lang w:val="en-US" w:eastAsia="zh-CN"/>
        </w:rPr>
        <w:t>-807</w:t>
      </w:r>
      <w:r>
        <w:rPr>
          <w:rFonts w:hint="eastAsia" w:ascii="宋体" w:hAnsi="宋体" w:cs="宋体"/>
          <w:color w:val="auto"/>
          <w:szCs w:val="21"/>
          <w:highlight w:val="none"/>
          <w:lang w:eastAsia="zh-CN"/>
        </w:rPr>
        <w:t>。</w:t>
      </w:r>
    </w:p>
    <w:p w14:paraId="51839D60">
      <w:pPr>
        <w:rPr>
          <w:rFonts w:ascii="宋体" w:hAnsi="宋体"/>
          <w:b/>
          <w:color w:val="auto"/>
          <w:szCs w:val="21"/>
          <w:highlight w:val="none"/>
        </w:rPr>
      </w:pPr>
      <w:r>
        <w:rPr>
          <w:rFonts w:hint="eastAsia" w:ascii="宋体" w:hAnsi="宋体"/>
          <w:b/>
          <w:color w:val="auto"/>
          <w:szCs w:val="21"/>
          <w:highlight w:val="none"/>
        </w:rPr>
        <w:t>四、投标文件的递交</w:t>
      </w:r>
    </w:p>
    <w:p w14:paraId="3142EF32">
      <w:pPr>
        <w:ind w:firstLine="420" w:firstLineChars="200"/>
        <w:rPr>
          <w:rFonts w:ascii="宋体" w:hAnsi="宋体"/>
          <w:color w:val="auto"/>
          <w:szCs w:val="21"/>
          <w:highlight w:val="none"/>
        </w:rPr>
      </w:pPr>
      <w:r>
        <w:rPr>
          <w:rFonts w:hint="eastAsia" w:ascii="宋体" w:hAnsi="宋体"/>
          <w:color w:val="auto"/>
          <w:szCs w:val="21"/>
          <w:highlight w:val="none"/>
        </w:rPr>
        <w:t>1、递交投标文件时间：</w:t>
      </w:r>
      <w:r>
        <w:rPr>
          <w:rFonts w:hint="eastAsia" w:ascii="宋体" w:hAnsi="宋体" w:cs="宋体"/>
          <w:color w:val="auto"/>
          <w:szCs w:val="21"/>
          <w:highlight w:val="none"/>
          <w:lang w:eastAsia="zh-CN"/>
        </w:rPr>
        <w:t>2025</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12</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31</w:t>
      </w:r>
      <w:r>
        <w:rPr>
          <w:rFonts w:hint="eastAsia" w:ascii="宋体" w:hAnsi="宋体" w:cs="宋体"/>
          <w:color w:val="auto"/>
          <w:szCs w:val="21"/>
          <w:highlight w:val="none"/>
        </w:rPr>
        <w:t>日（</w:t>
      </w:r>
      <w:r>
        <w:rPr>
          <w:rFonts w:hint="eastAsia" w:ascii="宋体" w:hAnsi="宋体"/>
          <w:color w:val="auto"/>
          <w:szCs w:val="21"/>
          <w:highlight w:val="none"/>
        </w:rPr>
        <w:t>北京时间）</w:t>
      </w:r>
      <w:r>
        <w:rPr>
          <w:rFonts w:hint="eastAsia" w:ascii="宋体" w:hAnsi="宋体"/>
          <w:color w:val="auto"/>
          <w:szCs w:val="21"/>
          <w:highlight w:val="none"/>
          <w:lang w:val="en-US" w:eastAsia="zh-CN"/>
        </w:rPr>
        <w:t>09</w:t>
      </w:r>
      <w:r>
        <w:rPr>
          <w:rFonts w:hint="eastAsia" w:ascii="宋体" w:hAnsi="宋体"/>
          <w:color w:val="auto"/>
          <w:szCs w:val="21"/>
          <w:highlight w:val="none"/>
        </w:rPr>
        <w:t>:00</w:t>
      </w:r>
      <w:r>
        <w:rPr>
          <w:rFonts w:ascii="宋体" w:hAnsi="宋体"/>
          <w:color w:val="auto"/>
          <w:szCs w:val="21"/>
          <w:highlight w:val="none"/>
        </w:rPr>
        <w:t>-</w:t>
      </w:r>
      <w:r>
        <w:rPr>
          <w:rFonts w:hint="eastAsia" w:ascii="宋体" w:hAnsi="宋体"/>
          <w:color w:val="auto"/>
          <w:szCs w:val="21"/>
          <w:highlight w:val="none"/>
          <w:lang w:val="en-US" w:eastAsia="zh-CN"/>
        </w:rPr>
        <w:t>09</w:t>
      </w:r>
      <w:r>
        <w:rPr>
          <w:rFonts w:hint="eastAsia" w:ascii="宋体" w:hAnsi="宋体"/>
          <w:color w:val="auto"/>
          <w:szCs w:val="21"/>
          <w:highlight w:val="none"/>
        </w:rPr>
        <w:t>:30。</w:t>
      </w:r>
    </w:p>
    <w:p w14:paraId="270A565C">
      <w:pPr>
        <w:ind w:firstLine="420" w:firstLineChars="200"/>
        <w:rPr>
          <w:rFonts w:ascii="宋体" w:hAnsi="宋体"/>
          <w:b/>
          <w:color w:val="auto"/>
          <w:szCs w:val="21"/>
          <w:highlight w:val="none"/>
        </w:rPr>
      </w:pPr>
      <w:r>
        <w:rPr>
          <w:rFonts w:hint="eastAsia" w:ascii="宋体" w:hAnsi="宋体"/>
          <w:color w:val="auto"/>
          <w:szCs w:val="21"/>
          <w:highlight w:val="none"/>
        </w:rPr>
        <w:t>2、递交投标文件</w:t>
      </w:r>
      <w:r>
        <w:rPr>
          <w:rFonts w:ascii="宋体" w:hAnsi="宋体"/>
          <w:color w:val="auto"/>
          <w:szCs w:val="21"/>
          <w:highlight w:val="none"/>
        </w:rPr>
        <w:t>截止</w:t>
      </w:r>
      <w:r>
        <w:rPr>
          <w:rFonts w:hint="eastAsia" w:ascii="宋体" w:hAnsi="宋体"/>
          <w:color w:val="auto"/>
          <w:szCs w:val="21"/>
          <w:highlight w:val="none"/>
        </w:rPr>
        <w:t>及开标时间：</w:t>
      </w:r>
      <w:r>
        <w:rPr>
          <w:rFonts w:hint="eastAsia" w:ascii="宋体" w:hAnsi="宋体" w:cs="宋体"/>
          <w:color w:val="auto"/>
          <w:szCs w:val="21"/>
          <w:highlight w:val="none"/>
          <w:lang w:eastAsia="zh-CN"/>
        </w:rPr>
        <w:t>2025</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12</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31</w:t>
      </w:r>
      <w:r>
        <w:rPr>
          <w:rFonts w:hint="eastAsia" w:ascii="宋体" w:hAnsi="宋体" w:cs="宋体"/>
          <w:color w:val="auto"/>
          <w:szCs w:val="21"/>
          <w:highlight w:val="none"/>
        </w:rPr>
        <w:t>日（</w:t>
      </w:r>
      <w:r>
        <w:rPr>
          <w:rFonts w:hint="eastAsia" w:ascii="宋体" w:hAnsi="宋体" w:cs="宋体"/>
          <w:color w:val="auto"/>
          <w:szCs w:val="21"/>
          <w:highlight w:val="none"/>
          <w:lang w:val="en-US" w:eastAsia="zh-CN"/>
        </w:rPr>
        <w:t>09</w:t>
      </w:r>
      <w:r>
        <w:rPr>
          <w:rFonts w:hint="eastAsia" w:ascii="宋体" w:hAnsi="宋体"/>
          <w:color w:val="auto"/>
          <w:szCs w:val="21"/>
          <w:highlight w:val="none"/>
        </w:rPr>
        <w:t>:30（北京时间），所有投标文件应于截止时间之前递交，迟交或以电报、传真形式的投标文件将拒绝接收。</w:t>
      </w:r>
    </w:p>
    <w:p w14:paraId="2CD425EB">
      <w:pP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3、</w:t>
      </w:r>
      <w:r>
        <w:rPr>
          <w:rFonts w:ascii="宋体" w:hAnsi="宋体"/>
          <w:color w:val="auto"/>
          <w:szCs w:val="21"/>
          <w:highlight w:val="none"/>
        </w:rPr>
        <w:t>开标地点</w:t>
      </w:r>
      <w:r>
        <w:rPr>
          <w:rFonts w:hint="eastAsia" w:ascii="宋体" w:hAnsi="宋体"/>
          <w:color w:val="auto"/>
          <w:szCs w:val="21"/>
          <w:highlight w:val="none"/>
        </w:rPr>
        <w:t>：广东省东莞市南城街道宏图路105号1栋313室。</w:t>
      </w:r>
    </w:p>
    <w:p w14:paraId="6645428E">
      <w:pPr>
        <w:ind w:firstLine="411" w:firstLineChars="196"/>
        <w:rPr>
          <w:rFonts w:ascii="宋体" w:hAnsi="宋体"/>
          <w:bCs/>
          <w:color w:val="0000FF"/>
          <w:szCs w:val="21"/>
          <w:highlight w:val="none"/>
        </w:rPr>
      </w:pPr>
      <w:r>
        <w:rPr>
          <w:rFonts w:hint="eastAsia" w:ascii="宋体" w:hAnsi="宋体"/>
          <w:bCs/>
          <w:color w:val="auto"/>
          <w:szCs w:val="21"/>
          <w:highlight w:val="none"/>
        </w:rPr>
        <w:t>4、开标事宜：</w:t>
      </w:r>
      <w:r>
        <w:rPr>
          <w:rFonts w:hint="eastAsia" w:ascii="宋体" w:hAnsi="宋体"/>
          <w:b/>
          <w:bCs/>
          <w:color w:val="auto"/>
          <w:szCs w:val="21"/>
          <w:highlight w:val="none"/>
        </w:rPr>
        <w:t>届时请投标人的法定代表人或其授权代表务必携带有效身份证明出席开标会</w:t>
      </w:r>
      <w:r>
        <w:rPr>
          <w:rFonts w:hint="eastAsia" w:ascii="宋体" w:hAnsi="宋体"/>
          <w:bCs/>
          <w:color w:val="auto"/>
          <w:szCs w:val="21"/>
          <w:highlight w:val="none"/>
        </w:rPr>
        <w:t>。</w:t>
      </w:r>
    </w:p>
    <w:p w14:paraId="7F49980E">
      <w:pPr>
        <w:pStyle w:val="44"/>
        <w:spacing w:line="360" w:lineRule="auto"/>
        <w:rPr>
          <w:color w:val="auto"/>
          <w:sz w:val="21"/>
          <w:szCs w:val="21"/>
          <w:highlight w:val="none"/>
        </w:rPr>
      </w:pPr>
      <w:r>
        <w:rPr>
          <w:rFonts w:hint="eastAsia"/>
          <w:color w:val="auto"/>
          <w:sz w:val="21"/>
          <w:szCs w:val="21"/>
          <w:highlight w:val="none"/>
        </w:rPr>
        <w:t>5、出现以下情形时，采购代理机构不予接收投标（响应）文件：</w:t>
      </w:r>
    </w:p>
    <w:p w14:paraId="2A26B64E">
      <w:pPr>
        <w:pStyle w:val="44"/>
        <w:spacing w:line="360" w:lineRule="auto"/>
        <w:rPr>
          <w:rFonts w:hint="eastAsia" w:eastAsia="方正书宋简体"/>
          <w:color w:val="auto"/>
          <w:sz w:val="21"/>
          <w:szCs w:val="21"/>
          <w:highlight w:val="none"/>
          <w:lang w:eastAsia="zh-CN"/>
        </w:rPr>
      </w:pPr>
      <w:r>
        <w:rPr>
          <w:color w:val="auto"/>
          <w:sz w:val="21"/>
          <w:szCs w:val="21"/>
          <w:highlight w:val="none"/>
        </w:rPr>
        <w:tab/>
      </w:r>
      <w:r>
        <w:rPr>
          <w:rFonts w:hint="eastAsia"/>
          <w:color w:val="auto"/>
          <w:sz w:val="21"/>
          <w:szCs w:val="21"/>
          <w:highlight w:val="none"/>
        </w:rPr>
        <w:t>（1）逾期送达或者未送达指定地点的</w:t>
      </w:r>
      <w:r>
        <w:rPr>
          <w:rFonts w:hint="eastAsia"/>
          <w:color w:val="auto"/>
          <w:sz w:val="21"/>
          <w:szCs w:val="21"/>
          <w:highlight w:val="none"/>
          <w:lang w:eastAsia="zh-CN"/>
        </w:rPr>
        <w:t>；</w:t>
      </w:r>
    </w:p>
    <w:p w14:paraId="14617265">
      <w:pPr>
        <w:pStyle w:val="44"/>
        <w:rPr>
          <w:color w:val="auto"/>
          <w:highlight w:val="none"/>
        </w:rPr>
      </w:pPr>
      <w:r>
        <w:rPr>
          <w:color w:val="auto"/>
          <w:sz w:val="21"/>
          <w:szCs w:val="21"/>
          <w:highlight w:val="none"/>
        </w:rPr>
        <w:tab/>
      </w:r>
      <w:r>
        <w:rPr>
          <w:rFonts w:hint="eastAsia"/>
          <w:color w:val="auto"/>
          <w:sz w:val="21"/>
          <w:szCs w:val="21"/>
          <w:highlight w:val="none"/>
        </w:rPr>
        <w:t>（2）未按采购文件要求密封的。</w:t>
      </w:r>
    </w:p>
    <w:p w14:paraId="05A1CAFC">
      <w:pPr>
        <w:pStyle w:val="44"/>
        <w:ind w:firstLine="422"/>
        <w:rPr>
          <w:rFonts w:ascii="宋体" w:hAnsi="宋体" w:eastAsia="宋体" w:cstheme="minorBidi"/>
          <w:b/>
          <w:color w:val="auto"/>
          <w:sz w:val="21"/>
          <w:szCs w:val="21"/>
          <w:highlight w:val="none"/>
        </w:rPr>
      </w:pPr>
    </w:p>
    <w:p w14:paraId="07150C5A">
      <w:pPr>
        <w:pStyle w:val="44"/>
        <w:ind w:firstLine="0" w:firstLineChars="0"/>
        <w:rPr>
          <w:rFonts w:ascii="宋体" w:hAnsi="宋体" w:eastAsia="宋体" w:cstheme="minorBidi"/>
          <w:b/>
          <w:color w:val="auto"/>
          <w:sz w:val="21"/>
          <w:szCs w:val="21"/>
          <w:highlight w:val="none"/>
        </w:rPr>
      </w:pPr>
      <w:r>
        <w:rPr>
          <w:rFonts w:hint="eastAsia" w:ascii="宋体" w:hAnsi="宋体" w:eastAsia="宋体" w:cstheme="minorBidi"/>
          <w:b/>
          <w:color w:val="auto"/>
          <w:sz w:val="21"/>
          <w:szCs w:val="21"/>
          <w:highlight w:val="none"/>
        </w:rPr>
        <w:t>五</w:t>
      </w:r>
      <w:r>
        <w:rPr>
          <w:rFonts w:ascii="宋体" w:hAnsi="宋体" w:eastAsia="宋体" w:cstheme="minorBidi"/>
          <w:b/>
          <w:color w:val="auto"/>
          <w:sz w:val="21"/>
          <w:szCs w:val="21"/>
          <w:highlight w:val="none"/>
        </w:rPr>
        <w:t>、发布公告的媒介</w:t>
      </w:r>
    </w:p>
    <w:p w14:paraId="1672A1EA">
      <w:pPr>
        <w:pStyle w:val="44"/>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采购公告</w:t>
      </w:r>
      <w:r>
        <w:rPr>
          <w:rFonts w:hint="eastAsia" w:ascii="宋体" w:hAnsi="宋体" w:eastAsia="宋体" w:cs="宋体"/>
          <w:color w:val="auto"/>
          <w:sz w:val="21"/>
          <w:szCs w:val="21"/>
          <w:highlight w:val="none"/>
          <w:lang w:val="en-US" w:eastAsia="zh-CN"/>
        </w:rPr>
        <w:t>和结果</w:t>
      </w:r>
      <w:r>
        <w:rPr>
          <w:rFonts w:hint="eastAsia" w:ascii="宋体" w:hAnsi="宋体" w:eastAsia="宋体" w:cs="宋体"/>
          <w:color w:val="auto"/>
          <w:sz w:val="21"/>
          <w:szCs w:val="21"/>
          <w:highlight w:val="none"/>
        </w:rPr>
        <w:t>公告发布媒介：</w:t>
      </w:r>
    </w:p>
    <w:p w14:paraId="29B03879">
      <w:pPr>
        <w:ind w:firstLine="411" w:firstLineChars="196"/>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val="en-US" w:eastAsia="zh-CN"/>
        </w:rPr>
        <w:t>东莞实业投资控股集团官网（http://www.dgsy.com.cn/）</w:t>
      </w:r>
    </w:p>
    <w:p w14:paraId="3A43BEE5">
      <w:pPr>
        <w:ind w:firstLine="411" w:firstLineChars="196"/>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2、广州</w:t>
      </w:r>
      <w:r>
        <w:rPr>
          <w:rFonts w:hint="eastAsia" w:ascii="宋体" w:hAnsi="宋体" w:cs="宋体"/>
          <w:color w:val="auto"/>
          <w:sz w:val="21"/>
          <w:szCs w:val="21"/>
          <w:highlight w:val="none"/>
          <w:lang w:eastAsia="zh-CN"/>
        </w:rPr>
        <w:t>宏达工程顾问集团有限公司</w:t>
      </w:r>
      <w:r>
        <w:rPr>
          <w:rFonts w:hint="eastAsia" w:ascii="宋体" w:hAnsi="宋体" w:eastAsia="宋体" w:cs="宋体"/>
          <w:color w:val="auto"/>
          <w:sz w:val="21"/>
          <w:szCs w:val="21"/>
          <w:highlight w:val="none"/>
        </w:rPr>
        <w:t>（</w:t>
      </w:r>
      <w:r>
        <w:rPr>
          <w:rFonts w:ascii="宋体" w:hAnsi="宋体" w:eastAsia="宋体" w:cs="宋体"/>
          <w:color w:val="auto"/>
          <w:sz w:val="21"/>
          <w:szCs w:val="21"/>
          <w:highlight w:val="none"/>
        </w:rPr>
        <w:t>http://www.gdrxzx.com</w:t>
      </w:r>
      <w:r>
        <w:rPr>
          <w:rFonts w:hint="eastAsia" w:ascii="宋体" w:hAnsi="宋体" w:eastAsia="宋体" w:cs="宋体"/>
          <w:color w:val="auto"/>
          <w:sz w:val="21"/>
          <w:szCs w:val="21"/>
          <w:highlight w:val="none"/>
        </w:rPr>
        <w:t>）</w:t>
      </w:r>
    </w:p>
    <w:p w14:paraId="5857B4CB">
      <w:pPr>
        <w:pStyle w:val="44"/>
        <w:shd w:val="clear"/>
        <w:spacing w:line="360" w:lineRule="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val="en-US" w:eastAsia="zh-CN"/>
        </w:rPr>
        <w:t>3、</w:t>
      </w:r>
      <w:r>
        <w:rPr>
          <w:rFonts w:hint="eastAsia" w:ascii="宋体" w:hAnsi="宋体" w:eastAsia="宋体" w:cs="宋体"/>
          <w:bCs/>
          <w:color w:val="auto"/>
          <w:sz w:val="21"/>
          <w:szCs w:val="21"/>
          <w:highlight w:val="none"/>
          <w:lang w:eastAsia="zh-CN"/>
        </w:rPr>
        <w:t>广东省公共资源交易平台（https://ygp.gdzwfw.gov.cn/）</w:t>
      </w:r>
    </w:p>
    <w:p w14:paraId="0BEE18E5">
      <w:pPr>
        <w:pStyle w:val="31"/>
        <w:rPr>
          <w:highlight w:val="none"/>
        </w:rPr>
      </w:pPr>
    </w:p>
    <w:p w14:paraId="70E30BBD">
      <w:pPr>
        <w:rPr>
          <w:rFonts w:ascii="宋体" w:hAnsi="宋体"/>
          <w:bCs/>
          <w:color w:val="auto"/>
          <w:szCs w:val="21"/>
          <w:highlight w:val="none"/>
        </w:rPr>
      </w:pPr>
      <w:r>
        <w:rPr>
          <w:rFonts w:hint="eastAsia" w:ascii="宋体" w:hAnsi="宋体"/>
          <w:b/>
          <w:color w:val="auto"/>
          <w:szCs w:val="21"/>
          <w:highlight w:val="none"/>
        </w:rPr>
        <w:t>六、采购人及采购代理机构的名称、地址和联系方法：</w:t>
      </w:r>
    </w:p>
    <w:p w14:paraId="50A9C522">
      <w:pPr>
        <w:ind w:firstLine="420" w:firstLineChars="200"/>
        <w:rPr>
          <w:rFonts w:hint="eastAsia" w:ascii="宋体" w:hAnsi="宋体" w:eastAsia="宋体"/>
          <w:bCs/>
          <w:color w:val="auto"/>
          <w:szCs w:val="21"/>
          <w:highlight w:val="none"/>
          <w:lang w:eastAsia="zh-CN"/>
        </w:rPr>
      </w:pPr>
      <w:r>
        <w:rPr>
          <w:rFonts w:hint="eastAsia" w:ascii="宋体" w:hAnsi="宋体"/>
          <w:bCs/>
          <w:color w:val="auto"/>
          <w:szCs w:val="21"/>
          <w:highlight w:val="none"/>
        </w:rPr>
        <w:t>采购人</w:t>
      </w:r>
      <w:r>
        <w:rPr>
          <w:rFonts w:ascii="宋体" w:hAnsi="宋体"/>
          <w:bCs/>
          <w:color w:val="auto"/>
          <w:szCs w:val="21"/>
          <w:highlight w:val="none"/>
        </w:rPr>
        <w:t>名称</w:t>
      </w:r>
      <w:r>
        <w:rPr>
          <w:rFonts w:hint="eastAsia" w:ascii="宋体" w:hAnsi="宋体"/>
          <w:bCs/>
          <w:color w:val="auto"/>
          <w:szCs w:val="21"/>
          <w:highlight w:val="none"/>
        </w:rPr>
        <w:t>：</w:t>
      </w:r>
      <w:r>
        <w:rPr>
          <w:rFonts w:hint="eastAsia"/>
          <w:color w:val="auto"/>
          <w:sz w:val="21"/>
          <w:szCs w:val="21"/>
          <w:highlight w:val="none"/>
          <w:lang w:eastAsia="zh-CN"/>
        </w:rPr>
        <w:t>东莞市新有能源投资有限公司</w:t>
      </w:r>
    </w:p>
    <w:p w14:paraId="6CAB2B23">
      <w:pPr>
        <w:ind w:firstLine="420" w:firstLineChars="200"/>
        <w:rPr>
          <w:rFonts w:hint="eastAsia" w:ascii="宋体" w:hAnsi="宋体" w:eastAsia="宋体"/>
          <w:bCs/>
          <w:color w:val="auto"/>
          <w:szCs w:val="21"/>
          <w:highlight w:val="none"/>
          <w:lang w:eastAsia="zh-CN"/>
        </w:rPr>
      </w:pPr>
      <w:r>
        <w:rPr>
          <w:rFonts w:hint="eastAsia" w:ascii="宋体" w:hAnsi="宋体"/>
          <w:bCs/>
          <w:color w:val="auto"/>
          <w:szCs w:val="21"/>
          <w:highlight w:val="none"/>
        </w:rPr>
        <w:t>采购人联系人：</w:t>
      </w:r>
      <w:r>
        <w:rPr>
          <w:rFonts w:hint="eastAsia" w:ascii="宋体" w:hAnsi="宋体"/>
          <w:bCs/>
          <w:color w:val="auto"/>
          <w:szCs w:val="21"/>
          <w:highlight w:val="none"/>
          <w:lang w:eastAsia="zh-CN"/>
        </w:rPr>
        <w:t>孟先生</w:t>
      </w:r>
    </w:p>
    <w:p w14:paraId="03AD1A2C">
      <w:pPr>
        <w:ind w:firstLine="420" w:firstLineChars="200"/>
        <w:rPr>
          <w:rFonts w:ascii="宋体" w:hAnsi="宋体"/>
          <w:bCs/>
          <w:color w:val="auto"/>
          <w:szCs w:val="21"/>
          <w:highlight w:val="none"/>
        </w:rPr>
      </w:pPr>
      <w:r>
        <w:rPr>
          <w:rFonts w:hint="eastAsia" w:ascii="宋体" w:hAnsi="宋体"/>
          <w:bCs/>
          <w:color w:val="auto"/>
          <w:szCs w:val="21"/>
          <w:highlight w:val="none"/>
        </w:rPr>
        <w:t>采购人地址：东莞市松山湖园区新城路5号1栋505室</w:t>
      </w:r>
    </w:p>
    <w:p w14:paraId="7BD5EC77">
      <w:pPr>
        <w:ind w:firstLine="420" w:firstLineChars="200"/>
        <w:rPr>
          <w:rFonts w:hint="eastAsia" w:ascii="宋体" w:hAnsi="宋体" w:eastAsia="宋体"/>
          <w:bCs/>
          <w:color w:val="auto"/>
          <w:szCs w:val="21"/>
          <w:highlight w:val="none"/>
          <w:lang w:eastAsia="zh-CN"/>
        </w:rPr>
      </w:pPr>
      <w:r>
        <w:rPr>
          <w:rFonts w:hint="eastAsia" w:ascii="宋体" w:hAnsi="宋体"/>
          <w:bCs/>
          <w:color w:val="auto"/>
          <w:szCs w:val="21"/>
          <w:highlight w:val="none"/>
        </w:rPr>
        <w:t>采购人联系电话：0769-26626338</w:t>
      </w:r>
      <w:r>
        <w:rPr>
          <w:rFonts w:hint="eastAsia" w:ascii="宋体" w:hAnsi="宋体"/>
          <w:bCs/>
          <w:color w:val="auto"/>
          <w:szCs w:val="21"/>
          <w:highlight w:val="none"/>
          <w:lang w:val="en-US" w:eastAsia="zh-CN"/>
        </w:rPr>
        <w:t>-866</w:t>
      </w:r>
    </w:p>
    <w:p w14:paraId="6597F16B">
      <w:pPr>
        <w:ind w:firstLine="420" w:firstLineChars="200"/>
        <w:rPr>
          <w:rFonts w:ascii="宋体" w:hAnsi="宋体"/>
          <w:color w:val="auto"/>
          <w:szCs w:val="21"/>
          <w:highlight w:val="none"/>
        </w:rPr>
      </w:pPr>
    </w:p>
    <w:p w14:paraId="5C1E81B9">
      <w:pPr>
        <w:keepNext w:val="0"/>
        <w:keepLines w:val="0"/>
        <w:pageBreakBefore w:val="0"/>
        <w:widowControl/>
        <w:kinsoku/>
        <w:overflowPunct/>
        <w:topLinePunct w:val="0"/>
        <w:autoSpaceDE/>
        <w:autoSpaceDN/>
        <w:bidi w:val="0"/>
        <w:spacing w:line="384" w:lineRule="exact"/>
        <w:ind w:firstLine="420" w:firstLineChars="200"/>
        <w:textAlignment w:val="auto"/>
        <w:rPr>
          <w:rFonts w:hint="eastAsia" w:ascii="宋体" w:hAnsi="宋体" w:eastAsia="宋体"/>
          <w:color w:val="auto"/>
          <w:szCs w:val="21"/>
          <w:lang w:eastAsia="zh-CN"/>
        </w:rPr>
      </w:pPr>
      <w:r>
        <w:rPr>
          <w:rFonts w:hint="eastAsia" w:ascii="宋体" w:hAnsi="宋体"/>
          <w:color w:val="auto"/>
          <w:szCs w:val="21"/>
        </w:rPr>
        <w:t>采购代理机构名称：</w:t>
      </w:r>
      <w:r>
        <w:rPr>
          <w:rFonts w:hint="eastAsia" w:ascii="宋体" w:hAnsi="宋体"/>
          <w:color w:val="auto"/>
          <w:szCs w:val="21"/>
          <w:lang w:eastAsia="zh-CN"/>
        </w:rPr>
        <w:t>广州宏达工程顾问集团有限公司</w:t>
      </w:r>
    </w:p>
    <w:p w14:paraId="0F182D15">
      <w:pPr>
        <w:keepNext w:val="0"/>
        <w:keepLines w:val="0"/>
        <w:pageBreakBefore w:val="0"/>
        <w:widowControl/>
        <w:kinsoku/>
        <w:overflowPunct/>
        <w:topLinePunct w:val="0"/>
        <w:autoSpaceDE/>
        <w:autoSpaceDN/>
        <w:bidi w:val="0"/>
        <w:spacing w:line="384" w:lineRule="exact"/>
        <w:ind w:firstLine="420" w:firstLineChars="200"/>
        <w:textAlignment w:val="auto"/>
        <w:rPr>
          <w:rFonts w:hint="eastAsia" w:ascii="宋体" w:hAnsi="宋体" w:eastAsia="宋体"/>
          <w:color w:val="auto"/>
          <w:szCs w:val="21"/>
          <w:lang w:eastAsia="zh-CN"/>
        </w:rPr>
      </w:pPr>
      <w:r>
        <w:rPr>
          <w:rFonts w:hint="eastAsia" w:ascii="宋体" w:hAnsi="宋体"/>
          <w:color w:val="auto"/>
          <w:szCs w:val="21"/>
        </w:rPr>
        <w:t>采购代理机构地址：</w:t>
      </w:r>
      <w:r>
        <w:rPr>
          <w:rFonts w:hint="eastAsia" w:ascii="宋体" w:hAnsi="宋体"/>
          <w:color w:val="auto"/>
          <w:szCs w:val="21"/>
          <w:lang w:eastAsia="zh-CN"/>
        </w:rPr>
        <w:t>广东省东莞市南城街道宏图路105号1栋313室</w:t>
      </w:r>
    </w:p>
    <w:p w14:paraId="4F27000F">
      <w:pPr>
        <w:keepNext w:val="0"/>
        <w:keepLines w:val="0"/>
        <w:pageBreakBefore w:val="0"/>
        <w:widowControl/>
        <w:kinsoku/>
        <w:overflowPunct/>
        <w:topLinePunct w:val="0"/>
        <w:autoSpaceDE/>
        <w:autoSpaceDN/>
        <w:bidi w:val="0"/>
        <w:spacing w:line="384" w:lineRule="exact"/>
        <w:ind w:firstLine="420" w:firstLineChars="200"/>
        <w:textAlignment w:val="auto"/>
        <w:rPr>
          <w:rFonts w:hint="eastAsia" w:ascii="宋体" w:hAnsi="宋体" w:eastAsia="宋体"/>
          <w:color w:val="auto"/>
          <w:szCs w:val="21"/>
          <w:lang w:eastAsia="zh-CN"/>
        </w:rPr>
      </w:pPr>
      <w:r>
        <w:rPr>
          <w:rFonts w:hint="eastAsia" w:ascii="宋体" w:hAnsi="宋体"/>
          <w:color w:val="auto"/>
          <w:szCs w:val="21"/>
        </w:rPr>
        <w:t>采购代理机构联系人：</w:t>
      </w:r>
      <w:r>
        <w:rPr>
          <w:rFonts w:hint="eastAsia" w:ascii="宋体" w:hAnsi="宋体"/>
          <w:color w:val="auto"/>
          <w:szCs w:val="21"/>
          <w:lang w:val="en-US" w:eastAsia="zh-CN"/>
        </w:rPr>
        <w:t>杨</w:t>
      </w:r>
      <w:r>
        <w:rPr>
          <w:rFonts w:hint="eastAsia" w:ascii="宋体" w:hAnsi="宋体"/>
          <w:color w:val="auto"/>
          <w:szCs w:val="21"/>
          <w:lang w:eastAsia="zh-CN"/>
        </w:rPr>
        <w:t>小姐</w:t>
      </w:r>
    </w:p>
    <w:p w14:paraId="05C1021E">
      <w:pPr>
        <w:keepNext w:val="0"/>
        <w:keepLines w:val="0"/>
        <w:pageBreakBefore w:val="0"/>
        <w:widowControl/>
        <w:kinsoku/>
        <w:overflowPunct/>
        <w:topLinePunct w:val="0"/>
        <w:autoSpaceDE/>
        <w:autoSpaceDN/>
        <w:bidi w:val="0"/>
        <w:spacing w:line="384" w:lineRule="exact"/>
        <w:ind w:firstLine="420" w:firstLineChars="200"/>
        <w:textAlignment w:val="auto"/>
        <w:rPr>
          <w:rFonts w:hint="default" w:ascii="宋体" w:hAnsi="宋体" w:eastAsia="宋体"/>
          <w:color w:val="auto"/>
          <w:szCs w:val="21"/>
          <w:lang w:val="en-US" w:eastAsia="zh-CN"/>
        </w:rPr>
      </w:pPr>
      <w:r>
        <w:rPr>
          <w:rFonts w:hint="eastAsia" w:ascii="宋体" w:hAnsi="宋体"/>
          <w:color w:val="auto"/>
          <w:szCs w:val="21"/>
        </w:rPr>
        <w:t>采购代理机构联系电话：</w:t>
      </w:r>
      <w:r>
        <w:rPr>
          <w:rFonts w:hint="eastAsia" w:ascii="宋体" w:hAnsi="宋体"/>
          <w:color w:val="auto"/>
          <w:szCs w:val="21"/>
          <w:lang w:eastAsia="zh-CN"/>
        </w:rPr>
        <w:t>0769-28056866</w:t>
      </w:r>
      <w:r>
        <w:rPr>
          <w:rFonts w:hint="eastAsia" w:ascii="宋体" w:hAnsi="宋体"/>
          <w:color w:val="auto"/>
          <w:szCs w:val="21"/>
          <w:lang w:val="en-US" w:eastAsia="zh-CN"/>
        </w:rPr>
        <w:t>-807</w:t>
      </w:r>
    </w:p>
    <w:p w14:paraId="3D41E3D3">
      <w:pPr>
        <w:keepNext w:val="0"/>
        <w:keepLines w:val="0"/>
        <w:pageBreakBefore w:val="0"/>
        <w:widowControl/>
        <w:kinsoku/>
        <w:overflowPunct/>
        <w:topLinePunct w:val="0"/>
        <w:autoSpaceDE/>
        <w:autoSpaceDN/>
        <w:bidi w:val="0"/>
        <w:spacing w:line="384" w:lineRule="exact"/>
        <w:ind w:firstLine="420" w:firstLineChars="200"/>
        <w:textAlignment w:val="auto"/>
        <w:rPr>
          <w:rFonts w:hint="eastAsia" w:ascii="宋体" w:hAnsi="宋体"/>
          <w:color w:val="auto"/>
          <w:szCs w:val="21"/>
          <w:u w:val="none"/>
          <w:lang w:eastAsia="zh-CN"/>
        </w:rPr>
      </w:pPr>
      <w:r>
        <w:rPr>
          <w:rFonts w:hint="eastAsia" w:ascii="宋体" w:hAnsi="宋体"/>
          <w:color w:val="auto"/>
          <w:szCs w:val="21"/>
        </w:rPr>
        <w:t>采购代理机构邮箱：</w:t>
      </w:r>
      <w:r>
        <w:rPr>
          <w:rFonts w:hint="eastAsia" w:ascii="宋体" w:hAnsi="宋体"/>
          <w:color w:val="auto"/>
          <w:szCs w:val="21"/>
          <w:u w:val="none"/>
          <w:lang w:eastAsia="zh-CN"/>
        </w:rPr>
        <w:t>dgwangtat@163.com</w:t>
      </w:r>
    </w:p>
    <w:p w14:paraId="32CA2F14">
      <w:pPr>
        <w:keepNext w:val="0"/>
        <w:keepLines w:val="0"/>
        <w:pageBreakBefore w:val="0"/>
        <w:widowControl/>
        <w:kinsoku/>
        <w:overflowPunct/>
        <w:topLinePunct w:val="0"/>
        <w:autoSpaceDE/>
        <w:autoSpaceDN/>
        <w:bidi w:val="0"/>
        <w:spacing w:line="384" w:lineRule="exact"/>
        <w:ind w:firstLine="420" w:firstLineChars="200"/>
        <w:textAlignment w:val="auto"/>
        <w:rPr>
          <w:rFonts w:hint="default" w:ascii="宋体" w:hAnsi="宋体" w:eastAsia="宋体"/>
          <w:color w:val="auto"/>
          <w:szCs w:val="21"/>
          <w:highlight w:val="none"/>
          <w:u w:val="none"/>
          <w:lang w:val="en-US" w:eastAsia="zh-CN"/>
        </w:rPr>
      </w:pPr>
    </w:p>
    <w:p w14:paraId="1133F539">
      <w:pPr>
        <w:keepNext w:val="0"/>
        <w:keepLines w:val="0"/>
        <w:pageBreakBefore w:val="0"/>
        <w:widowControl/>
        <w:kinsoku/>
        <w:overflowPunct/>
        <w:topLinePunct w:val="0"/>
        <w:autoSpaceDE/>
        <w:autoSpaceDN/>
        <w:bidi w:val="0"/>
        <w:adjustRightInd/>
        <w:snapToGrid/>
        <w:spacing w:line="384" w:lineRule="exact"/>
        <w:ind w:right="544" w:rightChars="259"/>
        <w:jc w:val="right"/>
        <w:textAlignment w:val="auto"/>
        <w:rPr>
          <w:rFonts w:hint="eastAsia" w:ascii="宋体" w:hAnsi="宋体" w:eastAsia="宋体" w:cs="宋体"/>
          <w:bCs/>
          <w:color w:val="auto"/>
          <w:sz w:val="21"/>
          <w:szCs w:val="21"/>
          <w:lang w:val="en-US" w:eastAsia="zh-CN"/>
        </w:rPr>
      </w:pPr>
    </w:p>
    <w:p w14:paraId="01859063">
      <w:pPr>
        <w:keepNext w:val="0"/>
        <w:keepLines w:val="0"/>
        <w:pageBreakBefore w:val="0"/>
        <w:widowControl/>
        <w:kinsoku/>
        <w:overflowPunct/>
        <w:topLinePunct w:val="0"/>
        <w:autoSpaceDE/>
        <w:autoSpaceDN/>
        <w:bidi w:val="0"/>
        <w:adjustRightInd/>
        <w:snapToGrid/>
        <w:spacing w:line="384" w:lineRule="exact"/>
        <w:ind w:right="544" w:rightChars="259"/>
        <w:jc w:val="right"/>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rPr>
        <w:t>采购代理机构：</w:t>
      </w:r>
      <w:r>
        <w:rPr>
          <w:rFonts w:hint="eastAsia" w:ascii="宋体" w:hAnsi="宋体" w:cs="宋体"/>
          <w:bCs/>
          <w:color w:val="auto"/>
          <w:sz w:val="21"/>
          <w:szCs w:val="21"/>
          <w:highlight w:val="none"/>
          <w:lang w:eastAsia="zh-CN"/>
        </w:rPr>
        <w:t>广州宏达工程顾问集团有限公司</w:t>
      </w:r>
    </w:p>
    <w:p w14:paraId="7ADC45FE">
      <w:pPr>
        <w:keepNext w:val="0"/>
        <w:keepLines w:val="0"/>
        <w:pageBreakBefore w:val="0"/>
        <w:widowControl/>
        <w:kinsoku/>
        <w:overflowPunct/>
        <w:topLinePunct w:val="0"/>
        <w:autoSpaceDE/>
        <w:autoSpaceDN/>
        <w:bidi w:val="0"/>
        <w:adjustRightInd/>
        <w:snapToGrid/>
        <w:spacing w:line="384" w:lineRule="exact"/>
        <w:ind w:right="544" w:rightChars="259"/>
        <w:jc w:val="right"/>
        <w:textAlignment w:val="auto"/>
        <w:rPr>
          <w:rFonts w:ascii="宋体" w:hAnsi="宋体" w:cs="宋体"/>
          <w:color w:val="auto"/>
          <w:szCs w:val="21"/>
          <w:highlight w:val="none"/>
        </w:rPr>
      </w:pPr>
      <w:r>
        <w:rPr>
          <w:rFonts w:hint="eastAsia" w:ascii="宋体" w:hAnsi="宋体" w:eastAsia="宋体" w:cs="宋体"/>
          <w:bCs/>
          <w:color w:val="auto"/>
          <w:sz w:val="21"/>
          <w:szCs w:val="21"/>
          <w:highlight w:val="none"/>
          <w:lang w:val="en-US" w:eastAsia="zh-CN"/>
        </w:rPr>
        <w:t>2025年</w:t>
      </w:r>
      <w:r>
        <w:rPr>
          <w:rFonts w:hint="eastAsia" w:ascii="宋体" w:hAnsi="宋体" w:cs="宋体"/>
          <w:bCs/>
          <w:color w:val="auto"/>
          <w:sz w:val="21"/>
          <w:szCs w:val="21"/>
          <w:highlight w:val="none"/>
          <w:lang w:val="en-US" w:eastAsia="zh-CN"/>
        </w:rPr>
        <w:t>12</w:t>
      </w:r>
      <w:r>
        <w:rPr>
          <w:rFonts w:hint="eastAsia" w:ascii="宋体" w:hAnsi="宋体" w:eastAsia="宋体" w:cs="宋体"/>
          <w:bCs/>
          <w:color w:val="auto"/>
          <w:sz w:val="21"/>
          <w:szCs w:val="21"/>
          <w:highlight w:val="none"/>
        </w:rPr>
        <w:t>月</w:t>
      </w:r>
      <w:r>
        <w:rPr>
          <w:rFonts w:hint="eastAsia" w:ascii="宋体" w:hAnsi="宋体" w:cs="宋体"/>
          <w:bCs/>
          <w:color w:val="auto"/>
          <w:sz w:val="21"/>
          <w:szCs w:val="21"/>
          <w:highlight w:val="none"/>
          <w:lang w:val="en-US" w:eastAsia="zh-CN"/>
        </w:rPr>
        <w:t>10</w:t>
      </w:r>
      <w:r>
        <w:rPr>
          <w:rFonts w:hint="eastAsia" w:ascii="宋体" w:hAnsi="宋体" w:eastAsia="宋体" w:cs="宋体"/>
          <w:bCs/>
          <w:color w:val="auto"/>
          <w:sz w:val="21"/>
          <w:szCs w:val="21"/>
          <w:highlight w:val="none"/>
          <w:lang w:val="en-US" w:eastAsia="zh-CN"/>
        </w:rPr>
        <w:t>日</w:t>
      </w:r>
    </w:p>
    <w:p w14:paraId="4DCE4469">
      <w:pPr>
        <w:ind w:left="6205" w:leftChars="2755" w:hanging="420" w:hangingChars="200"/>
        <w:rPr>
          <w:rFonts w:ascii="黑体" w:hAnsi="宋体" w:eastAsia="黑体"/>
          <w:color w:val="auto"/>
          <w:highlight w:val="none"/>
        </w:rPr>
      </w:pPr>
      <w:r>
        <w:rPr>
          <w:rFonts w:hint="eastAsia" w:ascii="宋体" w:hAnsi="宋体" w:cs="宋体"/>
          <w:color w:val="auto"/>
          <w:szCs w:val="21"/>
          <w:highlight w:val="none"/>
        </w:rPr>
        <w:br w:type="page"/>
      </w:r>
    </w:p>
    <w:p w14:paraId="1B2FE383">
      <w:pPr>
        <w:pStyle w:val="3"/>
        <w:spacing w:before="0" w:after="0" w:line="240" w:lineRule="auto"/>
        <w:rPr>
          <w:color w:val="auto"/>
          <w:sz w:val="28"/>
          <w:szCs w:val="28"/>
          <w:highlight w:val="none"/>
        </w:rPr>
      </w:pPr>
      <w:bookmarkStart w:id="3" w:name="_Toc11284"/>
      <w:r>
        <w:rPr>
          <w:rFonts w:hint="eastAsia"/>
          <w:color w:val="auto"/>
          <w:sz w:val="28"/>
          <w:szCs w:val="28"/>
          <w:highlight w:val="none"/>
        </w:rPr>
        <w:t>第二部分相关资料表格</w:t>
      </w:r>
      <w:bookmarkEnd w:id="3"/>
    </w:p>
    <w:p w14:paraId="681600A1">
      <w:pPr>
        <w:pStyle w:val="4"/>
        <w:spacing w:before="0" w:after="0" w:line="240" w:lineRule="auto"/>
        <w:jc w:val="center"/>
        <w:rPr>
          <w:rFonts w:ascii="宋体" w:hAnsi="宋体" w:cs="宋体"/>
          <w:color w:val="auto"/>
          <w:sz w:val="24"/>
          <w:szCs w:val="24"/>
          <w:highlight w:val="none"/>
        </w:rPr>
      </w:pPr>
      <w:bookmarkStart w:id="4" w:name="_Toc26037"/>
      <w:r>
        <w:rPr>
          <w:rFonts w:hint="eastAsia" w:ascii="宋体" w:hAnsi="宋体" w:cs="宋体"/>
          <w:color w:val="auto"/>
          <w:sz w:val="24"/>
          <w:szCs w:val="24"/>
          <w:highlight w:val="none"/>
        </w:rPr>
        <w:t>附表一：投标资料表</w:t>
      </w:r>
      <w:bookmarkEnd w:id="4"/>
    </w:p>
    <w:tbl>
      <w:tblPr>
        <w:tblStyle w:val="32"/>
        <w:tblW w:w="4998" w:type="pct"/>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900"/>
        <w:gridCol w:w="2542"/>
        <w:gridCol w:w="6073"/>
      </w:tblGrid>
      <w:tr w14:paraId="0D2BDDE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600" w:hRule="atLeast"/>
        </w:trPr>
        <w:tc>
          <w:tcPr>
            <w:tcW w:w="473" w:type="pct"/>
            <w:tcBorders>
              <w:tl2br w:val="nil"/>
              <w:tr2bl w:val="nil"/>
            </w:tcBorders>
            <w:vAlign w:val="center"/>
          </w:tcPr>
          <w:p w14:paraId="5F24B97F">
            <w:pPr>
              <w:jc w:val="center"/>
              <w:rPr>
                <w:rFonts w:ascii="宋体" w:hAnsi="宋体"/>
                <w:color w:val="auto"/>
                <w:szCs w:val="21"/>
                <w:highlight w:val="none"/>
              </w:rPr>
            </w:pPr>
            <w:r>
              <w:rPr>
                <w:rFonts w:hint="eastAsia" w:ascii="宋体" w:hAnsi="宋体"/>
                <w:color w:val="auto"/>
                <w:szCs w:val="21"/>
                <w:highlight w:val="none"/>
              </w:rPr>
              <w:t>序号</w:t>
            </w:r>
          </w:p>
        </w:tc>
        <w:tc>
          <w:tcPr>
            <w:tcW w:w="4526" w:type="pct"/>
            <w:gridSpan w:val="2"/>
            <w:tcBorders>
              <w:tl2br w:val="nil"/>
              <w:tr2bl w:val="nil"/>
            </w:tcBorders>
            <w:vAlign w:val="center"/>
          </w:tcPr>
          <w:p w14:paraId="7C9FC33C">
            <w:pPr>
              <w:jc w:val="center"/>
              <w:rPr>
                <w:rFonts w:ascii="宋体" w:hAnsi="宋体"/>
                <w:b/>
                <w:color w:val="auto"/>
                <w:szCs w:val="21"/>
                <w:highlight w:val="none"/>
              </w:rPr>
            </w:pPr>
            <w:r>
              <w:rPr>
                <w:rFonts w:hint="eastAsia" w:ascii="宋体" w:hAnsi="宋体"/>
                <w:b/>
                <w:color w:val="auto"/>
                <w:szCs w:val="21"/>
                <w:highlight w:val="none"/>
              </w:rPr>
              <w:t>内容</w:t>
            </w:r>
          </w:p>
        </w:tc>
      </w:tr>
      <w:tr w14:paraId="6FD5ECC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trPr>
        <w:tc>
          <w:tcPr>
            <w:tcW w:w="5000" w:type="pct"/>
            <w:gridSpan w:val="3"/>
            <w:tcBorders>
              <w:tl2br w:val="nil"/>
              <w:tr2bl w:val="nil"/>
            </w:tcBorders>
            <w:vAlign w:val="center"/>
          </w:tcPr>
          <w:p w14:paraId="7DFDBD51">
            <w:pPr>
              <w:jc w:val="center"/>
              <w:rPr>
                <w:rFonts w:ascii="宋体" w:hAnsi="宋体"/>
                <w:b/>
                <w:color w:val="auto"/>
                <w:szCs w:val="21"/>
                <w:highlight w:val="none"/>
              </w:rPr>
            </w:pPr>
            <w:r>
              <w:rPr>
                <w:rFonts w:hint="eastAsia" w:ascii="宋体" w:hAnsi="宋体"/>
                <w:b/>
                <w:color w:val="auto"/>
                <w:szCs w:val="21"/>
                <w:highlight w:val="none"/>
              </w:rPr>
              <w:t>一、说明</w:t>
            </w:r>
          </w:p>
        </w:tc>
      </w:tr>
      <w:tr w14:paraId="5B5360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473" w:type="pct"/>
            <w:vMerge w:val="restart"/>
            <w:tcBorders>
              <w:tl2br w:val="nil"/>
              <w:tr2bl w:val="nil"/>
            </w:tcBorders>
            <w:vAlign w:val="center"/>
          </w:tcPr>
          <w:p w14:paraId="1D986570">
            <w:pPr>
              <w:jc w:val="center"/>
              <w:rPr>
                <w:rFonts w:ascii="宋体" w:hAnsi="宋体"/>
                <w:color w:val="auto"/>
                <w:szCs w:val="21"/>
                <w:highlight w:val="none"/>
              </w:rPr>
            </w:pPr>
            <w:r>
              <w:rPr>
                <w:rFonts w:hint="eastAsia" w:ascii="宋体" w:hAnsi="宋体"/>
                <w:color w:val="auto"/>
                <w:szCs w:val="21"/>
                <w:highlight w:val="none"/>
              </w:rPr>
              <w:t>1</w:t>
            </w:r>
          </w:p>
        </w:tc>
        <w:tc>
          <w:tcPr>
            <w:tcW w:w="4526" w:type="pct"/>
            <w:gridSpan w:val="2"/>
            <w:tcBorders>
              <w:tl2br w:val="nil"/>
              <w:tr2bl w:val="nil"/>
            </w:tcBorders>
            <w:vAlign w:val="center"/>
          </w:tcPr>
          <w:p w14:paraId="134BBC11">
            <w:pPr>
              <w:rPr>
                <w:rFonts w:ascii="宋体" w:hAnsi="宋体"/>
                <w:b/>
                <w:bCs/>
                <w:color w:val="auto"/>
                <w:szCs w:val="21"/>
                <w:highlight w:val="none"/>
              </w:rPr>
            </w:pPr>
            <w:r>
              <w:rPr>
                <w:rFonts w:hint="eastAsia" w:ascii="宋体" w:hAnsi="宋体"/>
                <w:b/>
                <w:bCs/>
                <w:color w:val="auto"/>
                <w:szCs w:val="21"/>
                <w:highlight w:val="none"/>
              </w:rPr>
              <w:t>项目最高限价（</w:t>
            </w:r>
            <w:r>
              <w:rPr>
                <w:rFonts w:hint="eastAsia" w:ascii="宋体" w:hAnsi="宋体"/>
                <w:b/>
                <w:bCs/>
                <w:color w:val="auto"/>
                <w:szCs w:val="21"/>
                <w:highlight w:val="none"/>
                <w:u w:val="single"/>
              </w:rPr>
              <w:t>单位：元</w:t>
            </w:r>
            <w:r>
              <w:rPr>
                <w:rFonts w:hint="eastAsia" w:ascii="宋体" w:hAnsi="宋体"/>
                <w:b/>
                <w:bCs/>
                <w:color w:val="auto"/>
                <w:szCs w:val="21"/>
                <w:highlight w:val="none"/>
              </w:rPr>
              <w:t>）</w:t>
            </w:r>
          </w:p>
        </w:tc>
      </w:tr>
      <w:tr w14:paraId="225E45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473" w:type="pct"/>
            <w:vMerge w:val="continue"/>
            <w:tcBorders>
              <w:tl2br w:val="nil"/>
              <w:tr2bl w:val="nil"/>
            </w:tcBorders>
            <w:vAlign w:val="center"/>
          </w:tcPr>
          <w:p w14:paraId="28F6F12F">
            <w:pPr>
              <w:jc w:val="center"/>
              <w:rPr>
                <w:rFonts w:ascii="宋体" w:hAnsi="宋体"/>
                <w:color w:val="auto"/>
                <w:szCs w:val="21"/>
                <w:highlight w:val="none"/>
              </w:rPr>
            </w:pPr>
          </w:p>
        </w:tc>
        <w:tc>
          <w:tcPr>
            <w:tcW w:w="4526" w:type="pct"/>
            <w:gridSpan w:val="2"/>
            <w:tcBorders>
              <w:tl2br w:val="nil"/>
              <w:tr2bl w:val="nil"/>
            </w:tcBorders>
            <w:vAlign w:val="center"/>
          </w:tcPr>
          <w:p w14:paraId="0B82CD6C">
            <w:pPr>
              <w:rPr>
                <w:rFonts w:ascii="宋体" w:hAnsi="宋体"/>
                <w:b/>
                <w:bCs/>
                <w:color w:val="auto"/>
                <w:szCs w:val="21"/>
                <w:highlight w:val="none"/>
              </w:rPr>
            </w:pPr>
            <w:r>
              <w:rPr>
                <w:rFonts w:hint="eastAsia" w:ascii="宋体" w:hAnsi="宋体"/>
                <w:color w:val="auto"/>
                <w:szCs w:val="21"/>
                <w:highlight w:val="none"/>
              </w:rPr>
              <w:t>与项目预算一致。</w:t>
            </w:r>
          </w:p>
        </w:tc>
      </w:tr>
      <w:tr w14:paraId="657A82C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473" w:type="pct"/>
            <w:vMerge w:val="restart"/>
            <w:tcBorders>
              <w:tl2br w:val="nil"/>
              <w:tr2bl w:val="nil"/>
            </w:tcBorders>
            <w:vAlign w:val="center"/>
          </w:tcPr>
          <w:p w14:paraId="58A9763A">
            <w:pPr>
              <w:jc w:val="center"/>
              <w:rPr>
                <w:rFonts w:ascii="宋体" w:hAnsi="宋体"/>
                <w:color w:val="auto"/>
                <w:szCs w:val="21"/>
                <w:highlight w:val="none"/>
              </w:rPr>
            </w:pPr>
            <w:r>
              <w:rPr>
                <w:rFonts w:hint="eastAsia" w:ascii="宋体" w:hAnsi="宋体"/>
                <w:color w:val="auto"/>
                <w:szCs w:val="21"/>
                <w:highlight w:val="none"/>
              </w:rPr>
              <w:t>2</w:t>
            </w:r>
          </w:p>
        </w:tc>
        <w:tc>
          <w:tcPr>
            <w:tcW w:w="4526" w:type="pct"/>
            <w:gridSpan w:val="2"/>
            <w:tcBorders>
              <w:tl2br w:val="nil"/>
              <w:tr2bl w:val="nil"/>
            </w:tcBorders>
            <w:vAlign w:val="center"/>
          </w:tcPr>
          <w:p w14:paraId="435119C5">
            <w:pPr>
              <w:rPr>
                <w:rFonts w:ascii="宋体" w:hAnsi="宋体"/>
                <w:b/>
                <w:bCs/>
                <w:color w:val="auto"/>
                <w:szCs w:val="21"/>
                <w:highlight w:val="none"/>
              </w:rPr>
            </w:pPr>
            <w:r>
              <w:rPr>
                <w:rFonts w:hint="eastAsia" w:ascii="宋体" w:hAnsi="宋体"/>
                <w:b/>
                <w:bCs/>
                <w:color w:val="auto"/>
                <w:szCs w:val="21"/>
                <w:highlight w:val="none"/>
              </w:rPr>
              <w:t>发包方式</w:t>
            </w:r>
          </w:p>
        </w:tc>
      </w:tr>
      <w:tr w14:paraId="3B64D8C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473" w:type="pct"/>
            <w:vMerge w:val="continue"/>
            <w:tcBorders>
              <w:tl2br w:val="nil"/>
              <w:tr2bl w:val="nil"/>
            </w:tcBorders>
            <w:vAlign w:val="center"/>
          </w:tcPr>
          <w:p w14:paraId="7981C8F5">
            <w:pPr>
              <w:jc w:val="center"/>
              <w:rPr>
                <w:rFonts w:ascii="宋体" w:hAnsi="宋体"/>
                <w:color w:val="auto"/>
                <w:szCs w:val="21"/>
                <w:highlight w:val="none"/>
              </w:rPr>
            </w:pPr>
          </w:p>
        </w:tc>
        <w:tc>
          <w:tcPr>
            <w:tcW w:w="4526" w:type="pct"/>
            <w:gridSpan w:val="2"/>
            <w:tcBorders>
              <w:tl2br w:val="nil"/>
              <w:tr2bl w:val="nil"/>
            </w:tcBorders>
            <w:vAlign w:val="center"/>
          </w:tcPr>
          <w:p w14:paraId="5B80F823">
            <w:pPr>
              <w:rPr>
                <w:rFonts w:hint="eastAsia" w:ascii="宋体" w:hAnsi="宋体" w:eastAsia="宋体"/>
                <w:b/>
                <w:bCs/>
                <w:color w:val="auto"/>
                <w:szCs w:val="21"/>
                <w:highlight w:val="none"/>
                <w:lang w:eastAsia="zh-CN"/>
              </w:rPr>
            </w:pPr>
            <w:r>
              <w:rPr>
                <w:rFonts w:hint="eastAsia" w:ascii="宋体" w:hAnsi="宋体"/>
                <w:bCs/>
                <w:color w:val="auto"/>
                <w:szCs w:val="21"/>
                <w:highlight w:val="none"/>
                <w:lang w:eastAsia="zh-CN"/>
              </w:rPr>
              <w:t>□</w:t>
            </w:r>
            <w:r>
              <w:rPr>
                <w:rFonts w:hint="eastAsia" w:ascii="宋体" w:hAnsi="宋体"/>
                <w:b/>
                <w:bCs/>
                <w:color w:val="auto"/>
                <w:szCs w:val="21"/>
                <w:highlight w:val="none"/>
              </w:rPr>
              <w:t>固定总价包干</w:t>
            </w:r>
            <w:r>
              <w:rPr>
                <w:rFonts w:hint="eastAsia" w:ascii="宋体" w:hAnsi="宋体"/>
                <w:b/>
                <w:bCs/>
                <w:color w:val="auto"/>
                <w:szCs w:val="21"/>
                <w:highlight w:val="none"/>
                <w:lang w:eastAsia="zh-CN"/>
              </w:rPr>
              <w:t>；</w:t>
            </w:r>
          </w:p>
          <w:p w14:paraId="5CA0E959">
            <w:pPr>
              <w:rPr>
                <w:rFonts w:hint="eastAsia" w:ascii="宋体" w:hAnsi="宋体" w:eastAsia="宋体"/>
                <w:b/>
                <w:bCs/>
                <w:color w:val="auto"/>
                <w:szCs w:val="21"/>
                <w:highlight w:val="none"/>
                <w:lang w:eastAsia="zh-CN"/>
              </w:rPr>
            </w:pPr>
            <w:r>
              <w:rPr>
                <w:rFonts w:hint="eastAsia" w:ascii="宋体" w:hAnsi="宋体"/>
                <w:bCs/>
                <w:color w:val="auto"/>
                <w:szCs w:val="21"/>
                <w:highlight w:val="none"/>
                <w:lang w:eastAsia="zh-CN"/>
              </w:rPr>
              <w:t>☑</w:t>
            </w:r>
            <w:r>
              <w:rPr>
                <w:rFonts w:hint="eastAsia" w:ascii="宋体" w:hAnsi="宋体"/>
                <w:b/>
                <w:bCs/>
                <w:color w:val="auto"/>
                <w:szCs w:val="21"/>
                <w:highlight w:val="none"/>
              </w:rPr>
              <w:t>固定单价暂定总价包干</w:t>
            </w:r>
            <w:r>
              <w:rPr>
                <w:rFonts w:hint="eastAsia" w:ascii="宋体" w:hAnsi="宋体"/>
                <w:b/>
                <w:bCs/>
                <w:color w:val="auto"/>
                <w:szCs w:val="21"/>
                <w:highlight w:val="none"/>
                <w:lang w:eastAsia="zh-CN"/>
              </w:rPr>
              <w:t>；</w:t>
            </w:r>
          </w:p>
          <w:p w14:paraId="43697A97">
            <w:pPr>
              <w:rPr>
                <w:rFonts w:hint="eastAsia" w:ascii="宋体" w:hAnsi="宋体" w:eastAsia="宋体"/>
                <w:b/>
                <w:bCs/>
                <w:color w:val="auto"/>
                <w:szCs w:val="21"/>
                <w:highlight w:val="none"/>
                <w:u w:val="single"/>
                <w:lang w:eastAsia="zh-CN"/>
              </w:rPr>
            </w:pPr>
            <w:r>
              <w:rPr>
                <w:rFonts w:hint="eastAsia" w:ascii="宋体" w:hAnsi="宋体"/>
                <w:bCs/>
                <w:color w:val="auto"/>
                <w:szCs w:val="21"/>
                <w:highlight w:val="none"/>
              </w:rPr>
              <w:t>□</w:t>
            </w:r>
            <w:r>
              <w:rPr>
                <w:rFonts w:hint="eastAsia" w:ascii="宋体" w:hAnsi="宋体"/>
                <w:b/>
                <w:bCs/>
                <w:color w:val="auto"/>
                <w:szCs w:val="21"/>
                <w:highlight w:val="none"/>
              </w:rPr>
              <w:t>费率</w:t>
            </w:r>
            <w:r>
              <w:rPr>
                <w:rFonts w:hint="eastAsia" w:ascii="宋体" w:hAnsi="宋体"/>
                <w:b/>
                <w:bCs/>
                <w:color w:val="auto"/>
                <w:szCs w:val="21"/>
                <w:highlight w:val="none"/>
                <w:u w:val="none"/>
                <w:lang w:eastAsia="zh-CN"/>
              </w:rPr>
              <w:t>；</w:t>
            </w:r>
          </w:p>
          <w:p w14:paraId="4499F4DC">
            <w:pPr>
              <w:rPr>
                <w:rFonts w:hint="eastAsia" w:ascii="宋体" w:hAnsi="宋体" w:eastAsia="宋体"/>
                <w:b/>
                <w:bCs/>
                <w:color w:val="auto"/>
                <w:szCs w:val="21"/>
                <w:highlight w:val="none"/>
                <w:lang w:eastAsia="zh-CN"/>
              </w:rPr>
            </w:pPr>
            <w:r>
              <w:rPr>
                <w:rFonts w:hint="eastAsia" w:ascii="宋体" w:hAnsi="宋体"/>
                <w:bCs/>
                <w:color w:val="auto"/>
                <w:szCs w:val="21"/>
                <w:highlight w:val="none"/>
              </w:rPr>
              <w:t>□</w:t>
            </w:r>
            <w:r>
              <w:rPr>
                <w:rFonts w:hint="eastAsia" w:ascii="宋体" w:hAnsi="宋体"/>
                <w:b/>
                <w:bCs/>
                <w:color w:val="auto"/>
                <w:szCs w:val="21"/>
                <w:highlight w:val="none"/>
              </w:rPr>
              <w:t>其他</w:t>
            </w:r>
            <w:r>
              <w:rPr>
                <w:rFonts w:hint="eastAsia" w:ascii="宋体" w:hAnsi="宋体"/>
                <w:b/>
                <w:bCs/>
                <w:color w:val="auto"/>
                <w:szCs w:val="21"/>
                <w:highlight w:val="none"/>
                <w:lang w:eastAsia="zh-CN"/>
              </w:rPr>
              <w:t>；</w:t>
            </w:r>
          </w:p>
        </w:tc>
      </w:tr>
      <w:tr w14:paraId="1195D4C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473" w:type="pct"/>
            <w:vMerge w:val="restart"/>
            <w:tcBorders>
              <w:tl2br w:val="nil"/>
              <w:tr2bl w:val="nil"/>
            </w:tcBorders>
            <w:vAlign w:val="center"/>
          </w:tcPr>
          <w:p w14:paraId="61A57CD2">
            <w:pPr>
              <w:jc w:val="center"/>
              <w:rPr>
                <w:rFonts w:ascii="宋体" w:hAnsi="宋体"/>
                <w:color w:val="auto"/>
                <w:szCs w:val="21"/>
                <w:highlight w:val="none"/>
              </w:rPr>
            </w:pPr>
            <w:r>
              <w:rPr>
                <w:rFonts w:hint="eastAsia" w:ascii="宋体" w:hAnsi="宋体"/>
                <w:color w:val="auto"/>
                <w:szCs w:val="21"/>
                <w:highlight w:val="none"/>
              </w:rPr>
              <w:t>3</w:t>
            </w:r>
          </w:p>
        </w:tc>
        <w:tc>
          <w:tcPr>
            <w:tcW w:w="4526" w:type="pct"/>
            <w:gridSpan w:val="2"/>
            <w:tcBorders>
              <w:tl2br w:val="nil"/>
              <w:tr2bl w:val="nil"/>
            </w:tcBorders>
            <w:vAlign w:val="center"/>
          </w:tcPr>
          <w:p w14:paraId="5B6A1505">
            <w:pPr>
              <w:rPr>
                <w:rFonts w:ascii="宋体" w:hAnsi="宋体"/>
                <w:b/>
                <w:bCs/>
                <w:color w:val="auto"/>
                <w:szCs w:val="21"/>
                <w:highlight w:val="none"/>
              </w:rPr>
            </w:pPr>
            <w:r>
              <w:rPr>
                <w:rFonts w:hint="eastAsia" w:ascii="宋体" w:hAnsi="宋体"/>
                <w:b/>
                <w:bCs/>
                <w:color w:val="auto"/>
                <w:szCs w:val="21"/>
                <w:highlight w:val="none"/>
              </w:rPr>
              <w:t>资金来源</w:t>
            </w:r>
          </w:p>
        </w:tc>
      </w:tr>
      <w:tr w14:paraId="7C0AF5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473" w:type="pct"/>
            <w:vMerge w:val="continue"/>
            <w:tcBorders>
              <w:tl2br w:val="nil"/>
              <w:tr2bl w:val="nil"/>
            </w:tcBorders>
            <w:vAlign w:val="center"/>
          </w:tcPr>
          <w:p w14:paraId="2D85DFDE">
            <w:pPr>
              <w:jc w:val="center"/>
              <w:rPr>
                <w:rFonts w:ascii="宋体" w:hAnsi="宋体"/>
                <w:color w:val="auto"/>
                <w:szCs w:val="21"/>
                <w:highlight w:val="none"/>
              </w:rPr>
            </w:pPr>
          </w:p>
        </w:tc>
        <w:tc>
          <w:tcPr>
            <w:tcW w:w="4526" w:type="pct"/>
            <w:gridSpan w:val="2"/>
            <w:tcBorders>
              <w:tl2br w:val="nil"/>
              <w:tr2bl w:val="nil"/>
            </w:tcBorders>
            <w:vAlign w:val="center"/>
          </w:tcPr>
          <w:p w14:paraId="238D3F2A">
            <w:pPr>
              <w:rPr>
                <w:rFonts w:ascii="宋体" w:hAnsi="宋体"/>
                <w:b/>
                <w:bCs/>
                <w:color w:val="auto"/>
                <w:szCs w:val="21"/>
                <w:highlight w:val="none"/>
              </w:rPr>
            </w:pPr>
            <w:r>
              <w:rPr>
                <w:rFonts w:hint="eastAsia" w:ascii="宋体" w:hAnsi="宋体"/>
                <w:color w:val="auto"/>
                <w:szCs w:val="21"/>
                <w:highlight w:val="none"/>
                <w:u w:val="single"/>
              </w:rPr>
              <w:t>自筹资金。</w:t>
            </w:r>
          </w:p>
        </w:tc>
      </w:tr>
      <w:tr w14:paraId="42D5F98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473" w:type="pct"/>
            <w:vMerge w:val="restart"/>
            <w:tcBorders>
              <w:tl2br w:val="nil"/>
              <w:tr2bl w:val="nil"/>
            </w:tcBorders>
            <w:vAlign w:val="center"/>
          </w:tcPr>
          <w:p w14:paraId="15FCB503">
            <w:pPr>
              <w:jc w:val="center"/>
              <w:rPr>
                <w:rFonts w:ascii="宋体" w:hAnsi="宋体"/>
                <w:color w:val="auto"/>
                <w:szCs w:val="21"/>
                <w:highlight w:val="none"/>
              </w:rPr>
            </w:pPr>
            <w:r>
              <w:rPr>
                <w:rFonts w:hint="eastAsia" w:ascii="宋体" w:hAnsi="宋体"/>
                <w:color w:val="auto"/>
                <w:szCs w:val="21"/>
                <w:highlight w:val="none"/>
              </w:rPr>
              <w:t>4</w:t>
            </w:r>
          </w:p>
        </w:tc>
        <w:tc>
          <w:tcPr>
            <w:tcW w:w="4526" w:type="pct"/>
            <w:gridSpan w:val="2"/>
            <w:tcBorders>
              <w:tl2br w:val="nil"/>
              <w:tr2bl w:val="nil"/>
            </w:tcBorders>
            <w:vAlign w:val="center"/>
          </w:tcPr>
          <w:p w14:paraId="042403DF">
            <w:pPr>
              <w:rPr>
                <w:rFonts w:ascii="宋体" w:hAnsi="宋体"/>
                <w:b/>
                <w:color w:val="auto"/>
                <w:szCs w:val="21"/>
                <w:highlight w:val="none"/>
              </w:rPr>
            </w:pPr>
            <w:r>
              <w:rPr>
                <w:rFonts w:hint="eastAsia" w:ascii="宋体" w:hAnsi="宋体"/>
                <w:b/>
                <w:color w:val="auto"/>
                <w:szCs w:val="21"/>
                <w:highlight w:val="none"/>
              </w:rPr>
              <w:t>踏勘现场</w:t>
            </w:r>
          </w:p>
        </w:tc>
      </w:tr>
      <w:tr w14:paraId="63057BF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473" w:type="pct"/>
            <w:vMerge w:val="continue"/>
            <w:tcBorders>
              <w:tl2br w:val="nil"/>
              <w:tr2bl w:val="nil"/>
            </w:tcBorders>
            <w:vAlign w:val="center"/>
          </w:tcPr>
          <w:p w14:paraId="44718952">
            <w:pPr>
              <w:jc w:val="center"/>
              <w:rPr>
                <w:rFonts w:ascii="宋体" w:hAnsi="宋体"/>
                <w:color w:val="auto"/>
                <w:szCs w:val="21"/>
                <w:highlight w:val="none"/>
              </w:rPr>
            </w:pPr>
          </w:p>
        </w:tc>
        <w:tc>
          <w:tcPr>
            <w:tcW w:w="4526" w:type="pct"/>
            <w:gridSpan w:val="2"/>
            <w:tcBorders>
              <w:tl2br w:val="nil"/>
              <w:tr2bl w:val="nil"/>
            </w:tcBorders>
            <w:vAlign w:val="center"/>
          </w:tcPr>
          <w:p w14:paraId="13C52754">
            <w:pPr>
              <w:rPr>
                <w:rFonts w:ascii="宋体" w:hAnsi="宋体"/>
                <w:bCs/>
                <w:color w:val="auto"/>
                <w:szCs w:val="21"/>
                <w:highlight w:val="none"/>
              </w:rPr>
            </w:pPr>
            <w:r>
              <w:rPr>
                <w:rFonts w:hint="eastAsia" w:ascii="宋体" w:hAnsi="宋体"/>
                <w:bCs/>
                <w:color w:val="auto"/>
                <w:szCs w:val="21"/>
                <w:highlight w:val="none"/>
              </w:rPr>
              <w:t>☑不组织。</w:t>
            </w:r>
          </w:p>
          <w:p w14:paraId="0F001E6E">
            <w:pPr>
              <w:rPr>
                <w:rFonts w:ascii="宋体" w:hAnsi="宋体"/>
                <w:bCs/>
                <w:color w:val="auto"/>
                <w:szCs w:val="21"/>
                <w:highlight w:val="none"/>
              </w:rPr>
            </w:pPr>
            <w:r>
              <w:rPr>
                <w:rFonts w:hint="eastAsia" w:ascii="宋体" w:hAnsi="宋体"/>
                <w:bCs/>
                <w:color w:val="auto"/>
                <w:szCs w:val="21"/>
                <w:highlight w:val="none"/>
              </w:rPr>
              <w:t>□组织，踏勘现场时间、地点：。</w:t>
            </w:r>
          </w:p>
        </w:tc>
      </w:tr>
      <w:tr w14:paraId="2BBCB1A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trPr>
        <w:tc>
          <w:tcPr>
            <w:tcW w:w="5000" w:type="pct"/>
            <w:gridSpan w:val="3"/>
            <w:tcBorders>
              <w:tl2br w:val="nil"/>
              <w:tr2bl w:val="nil"/>
            </w:tcBorders>
            <w:vAlign w:val="center"/>
          </w:tcPr>
          <w:p w14:paraId="26511ADD">
            <w:pPr>
              <w:jc w:val="center"/>
              <w:rPr>
                <w:rFonts w:ascii="宋体" w:hAnsi="宋体"/>
                <w:b/>
                <w:color w:val="auto"/>
                <w:szCs w:val="21"/>
                <w:highlight w:val="none"/>
              </w:rPr>
            </w:pPr>
            <w:r>
              <w:rPr>
                <w:rFonts w:hint="eastAsia" w:ascii="宋体" w:hAnsi="宋体"/>
                <w:b/>
                <w:color w:val="auto"/>
                <w:szCs w:val="21"/>
                <w:highlight w:val="none"/>
              </w:rPr>
              <w:t>二、投标文件的编制</w:t>
            </w:r>
          </w:p>
        </w:tc>
      </w:tr>
      <w:tr w14:paraId="494500F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473" w:type="pct"/>
            <w:vMerge w:val="restart"/>
            <w:tcBorders>
              <w:tl2br w:val="nil"/>
              <w:tr2bl w:val="nil"/>
            </w:tcBorders>
            <w:vAlign w:val="center"/>
          </w:tcPr>
          <w:p w14:paraId="49B8AA7C">
            <w:pPr>
              <w:jc w:val="center"/>
              <w:rPr>
                <w:rFonts w:ascii="宋体" w:hAnsi="宋体"/>
                <w:color w:val="auto"/>
                <w:szCs w:val="21"/>
                <w:highlight w:val="none"/>
              </w:rPr>
            </w:pPr>
            <w:r>
              <w:rPr>
                <w:rFonts w:hint="eastAsia" w:ascii="宋体" w:hAnsi="宋体"/>
                <w:color w:val="auto"/>
                <w:szCs w:val="21"/>
                <w:highlight w:val="none"/>
              </w:rPr>
              <w:t>5</w:t>
            </w:r>
          </w:p>
        </w:tc>
        <w:tc>
          <w:tcPr>
            <w:tcW w:w="4526" w:type="pct"/>
            <w:gridSpan w:val="2"/>
            <w:tcBorders>
              <w:tl2br w:val="nil"/>
              <w:tr2bl w:val="nil"/>
            </w:tcBorders>
            <w:vAlign w:val="center"/>
          </w:tcPr>
          <w:p w14:paraId="3D4766BD">
            <w:pPr>
              <w:rPr>
                <w:rFonts w:ascii="宋体" w:hAnsi="宋体"/>
                <w:b/>
                <w:color w:val="auto"/>
                <w:szCs w:val="21"/>
                <w:highlight w:val="none"/>
              </w:rPr>
            </w:pPr>
            <w:r>
              <w:rPr>
                <w:rFonts w:hint="eastAsia" w:ascii="宋体" w:hAnsi="宋体"/>
                <w:b/>
                <w:color w:val="auto"/>
                <w:szCs w:val="21"/>
                <w:highlight w:val="none"/>
              </w:rPr>
              <w:t>投标语言</w:t>
            </w:r>
          </w:p>
        </w:tc>
      </w:tr>
      <w:tr w14:paraId="69C4E58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473" w:type="pct"/>
            <w:vMerge w:val="continue"/>
            <w:tcBorders>
              <w:tl2br w:val="nil"/>
              <w:tr2bl w:val="nil"/>
            </w:tcBorders>
            <w:vAlign w:val="center"/>
          </w:tcPr>
          <w:p w14:paraId="31D340E6">
            <w:pPr>
              <w:jc w:val="center"/>
              <w:rPr>
                <w:rFonts w:ascii="宋体" w:hAnsi="宋体"/>
                <w:color w:val="auto"/>
                <w:szCs w:val="21"/>
                <w:highlight w:val="none"/>
              </w:rPr>
            </w:pPr>
          </w:p>
        </w:tc>
        <w:tc>
          <w:tcPr>
            <w:tcW w:w="4526" w:type="pct"/>
            <w:gridSpan w:val="2"/>
            <w:tcBorders>
              <w:tl2br w:val="nil"/>
              <w:tr2bl w:val="nil"/>
            </w:tcBorders>
            <w:vAlign w:val="center"/>
          </w:tcPr>
          <w:p w14:paraId="12E34A74">
            <w:pPr>
              <w:rPr>
                <w:rFonts w:ascii="宋体" w:hAnsi="宋体"/>
                <w:b/>
                <w:color w:val="auto"/>
                <w:szCs w:val="21"/>
                <w:highlight w:val="none"/>
              </w:rPr>
            </w:pPr>
            <w:r>
              <w:rPr>
                <w:rFonts w:hint="eastAsia" w:ascii="宋体" w:hAnsi="宋体"/>
                <w:color w:val="auto"/>
                <w:szCs w:val="21"/>
                <w:highlight w:val="none"/>
              </w:rPr>
              <w:t>中文。</w:t>
            </w:r>
          </w:p>
        </w:tc>
      </w:tr>
      <w:tr w14:paraId="180A70C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473" w:type="pct"/>
            <w:vMerge w:val="restart"/>
            <w:tcBorders>
              <w:tl2br w:val="nil"/>
              <w:tr2bl w:val="nil"/>
            </w:tcBorders>
            <w:vAlign w:val="center"/>
          </w:tcPr>
          <w:p w14:paraId="073788A6">
            <w:pPr>
              <w:jc w:val="center"/>
              <w:rPr>
                <w:rFonts w:ascii="宋体" w:hAnsi="宋体"/>
                <w:color w:val="auto"/>
                <w:szCs w:val="21"/>
                <w:highlight w:val="none"/>
              </w:rPr>
            </w:pPr>
            <w:r>
              <w:rPr>
                <w:rFonts w:hint="eastAsia" w:ascii="宋体" w:hAnsi="宋体"/>
                <w:color w:val="auto"/>
                <w:szCs w:val="21"/>
                <w:highlight w:val="none"/>
              </w:rPr>
              <w:t>6</w:t>
            </w:r>
          </w:p>
        </w:tc>
        <w:tc>
          <w:tcPr>
            <w:tcW w:w="4526" w:type="pct"/>
            <w:gridSpan w:val="2"/>
            <w:tcBorders>
              <w:tl2br w:val="nil"/>
              <w:tr2bl w:val="nil"/>
            </w:tcBorders>
            <w:vAlign w:val="center"/>
          </w:tcPr>
          <w:p w14:paraId="39BD88E0">
            <w:pPr>
              <w:jc w:val="both"/>
              <w:rPr>
                <w:rFonts w:ascii="宋体" w:hAnsi="宋体"/>
                <w:b/>
                <w:color w:val="auto"/>
                <w:szCs w:val="21"/>
                <w:highlight w:val="none"/>
              </w:rPr>
            </w:pPr>
            <w:r>
              <w:rPr>
                <w:rFonts w:hint="eastAsia" w:ascii="宋体" w:hAnsi="宋体"/>
                <w:b/>
                <w:color w:val="auto"/>
                <w:szCs w:val="21"/>
                <w:highlight w:val="none"/>
              </w:rPr>
              <w:t>投标报价</w:t>
            </w:r>
          </w:p>
        </w:tc>
      </w:tr>
      <w:tr w14:paraId="7E49E5D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473" w:type="pct"/>
            <w:vMerge w:val="continue"/>
            <w:tcBorders>
              <w:tl2br w:val="nil"/>
              <w:tr2bl w:val="nil"/>
            </w:tcBorders>
            <w:vAlign w:val="center"/>
          </w:tcPr>
          <w:p w14:paraId="589AEE00">
            <w:pPr>
              <w:jc w:val="center"/>
              <w:rPr>
                <w:rFonts w:ascii="宋体" w:hAnsi="宋体"/>
                <w:color w:val="auto"/>
                <w:szCs w:val="21"/>
                <w:highlight w:val="none"/>
              </w:rPr>
            </w:pPr>
          </w:p>
        </w:tc>
        <w:tc>
          <w:tcPr>
            <w:tcW w:w="4526" w:type="pct"/>
            <w:gridSpan w:val="2"/>
            <w:tcBorders>
              <w:tl2br w:val="nil"/>
              <w:tr2bl w:val="nil"/>
            </w:tcBorders>
            <w:vAlign w:val="center"/>
          </w:tcPr>
          <w:p w14:paraId="30B25F96">
            <w:pPr>
              <w:jc w:val="both"/>
              <w:rPr>
                <w:rFonts w:ascii="宋体" w:hAnsi="宋体"/>
                <w:color w:val="auto"/>
                <w:szCs w:val="21"/>
                <w:highlight w:val="none"/>
              </w:rPr>
            </w:pPr>
            <w:r>
              <w:rPr>
                <w:rFonts w:hint="eastAsia" w:ascii="宋体" w:hAnsi="宋体"/>
                <w:color w:val="auto"/>
                <w:szCs w:val="21"/>
                <w:highlight w:val="none"/>
              </w:rPr>
              <w:t>详见投标人须知。</w:t>
            </w:r>
          </w:p>
        </w:tc>
      </w:tr>
      <w:tr w14:paraId="0608C96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473" w:type="pct"/>
            <w:vMerge w:val="restart"/>
            <w:tcBorders>
              <w:tl2br w:val="nil"/>
              <w:tr2bl w:val="nil"/>
            </w:tcBorders>
            <w:vAlign w:val="center"/>
          </w:tcPr>
          <w:p w14:paraId="77CF2425">
            <w:pPr>
              <w:jc w:val="center"/>
              <w:rPr>
                <w:rFonts w:ascii="宋体" w:hAnsi="宋体"/>
                <w:color w:val="auto"/>
                <w:szCs w:val="21"/>
                <w:highlight w:val="none"/>
              </w:rPr>
            </w:pPr>
            <w:r>
              <w:rPr>
                <w:rFonts w:hint="eastAsia" w:ascii="宋体" w:hAnsi="宋体"/>
                <w:color w:val="auto"/>
                <w:szCs w:val="21"/>
                <w:highlight w:val="none"/>
              </w:rPr>
              <w:t>7</w:t>
            </w:r>
          </w:p>
        </w:tc>
        <w:tc>
          <w:tcPr>
            <w:tcW w:w="4526" w:type="pct"/>
            <w:gridSpan w:val="2"/>
            <w:tcBorders>
              <w:tl2br w:val="nil"/>
              <w:tr2bl w:val="nil"/>
            </w:tcBorders>
            <w:vAlign w:val="center"/>
          </w:tcPr>
          <w:p w14:paraId="7CFFB76F">
            <w:pPr>
              <w:jc w:val="both"/>
              <w:rPr>
                <w:rFonts w:ascii="宋体" w:hAnsi="宋体"/>
                <w:b/>
                <w:color w:val="auto"/>
                <w:szCs w:val="21"/>
                <w:highlight w:val="none"/>
              </w:rPr>
            </w:pPr>
            <w:r>
              <w:rPr>
                <w:rFonts w:hint="eastAsia" w:ascii="宋体" w:hAnsi="宋体"/>
                <w:b/>
                <w:color w:val="auto"/>
                <w:szCs w:val="21"/>
                <w:highlight w:val="none"/>
              </w:rPr>
              <w:t>投标保证金</w:t>
            </w:r>
          </w:p>
        </w:tc>
      </w:tr>
      <w:tr w14:paraId="344365F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473" w:type="pct"/>
            <w:vMerge w:val="continue"/>
            <w:tcBorders>
              <w:tl2br w:val="nil"/>
              <w:tr2bl w:val="nil"/>
            </w:tcBorders>
            <w:vAlign w:val="center"/>
          </w:tcPr>
          <w:p w14:paraId="01E48BBD">
            <w:pPr>
              <w:jc w:val="center"/>
              <w:rPr>
                <w:rFonts w:ascii="宋体" w:hAnsi="宋体"/>
                <w:color w:val="auto"/>
                <w:szCs w:val="21"/>
                <w:highlight w:val="none"/>
              </w:rPr>
            </w:pPr>
          </w:p>
        </w:tc>
        <w:tc>
          <w:tcPr>
            <w:tcW w:w="4526" w:type="pct"/>
            <w:gridSpan w:val="2"/>
            <w:tcBorders>
              <w:tl2br w:val="nil"/>
              <w:tr2bl w:val="nil"/>
            </w:tcBorders>
            <w:vAlign w:val="center"/>
          </w:tcPr>
          <w:p w14:paraId="7031AECE">
            <w:pPr>
              <w:jc w:val="both"/>
              <w:rPr>
                <w:rFonts w:ascii="宋体" w:hAnsi="宋体"/>
                <w:color w:val="auto"/>
                <w:szCs w:val="21"/>
                <w:highlight w:val="none"/>
              </w:rPr>
            </w:pPr>
            <w:r>
              <w:rPr>
                <w:rFonts w:hint="eastAsia" w:ascii="宋体" w:hAnsi="宋体"/>
                <w:color w:val="auto"/>
                <w:szCs w:val="21"/>
                <w:highlight w:val="none"/>
              </w:rPr>
              <w:t>（1）投标保证金金额：</w:t>
            </w:r>
            <w:r>
              <w:rPr>
                <w:rFonts w:hint="eastAsia" w:ascii="宋体" w:hAnsi="宋体"/>
                <w:b/>
                <w:bCs/>
                <w:color w:val="auto"/>
                <w:szCs w:val="21"/>
                <w:highlight w:val="none"/>
              </w:rPr>
              <w:t>人民币</w:t>
            </w:r>
            <w:r>
              <w:rPr>
                <w:rFonts w:hint="eastAsia" w:ascii="宋体" w:hAnsi="宋体"/>
                <w:b/>
                <w:bCs/>
                <w:color w:val="auto"/>
                <w:szCs w:val="21"/>
                <w:highlight w:val="none"/>
                <w:lang w:val="en-US" w:eastAsia="zh-CN"/>
              </w:rPr>
              <w:t>壹拾贰万元整</w:t>
            </w:r>
            <w:r>
              <w:rPr>
                <w:rFonts w:hint="eastAsia" w:ascii="宋体" w:hAnsi="宋体"/>
                <w:b/>
                <w:bCs/>
                <w:color w:val="auto"/>
                <w:szCs w:val="21"/>
                <w:highlight w:val="none"/>
              </w:rPr>
              <w:t>（¥</w:t>
            </w:r>
            <w:r>
              <w:rPr>
                <w:rFonts w:hint="eastAsia" w:ascii="宋体" w:hAnsi="宋体"/>
                <w:b/>
                <w:bCs/>
                <w:color w:val="auto"/>
                <w:szCs w:val="21"/>
                <w:highlight w:val="none"/>
                <w:lang w:val="en-US" w:eastAsia="zh-CN"/>
              </w:rPr>
              <w:t>120,000.00元</w:t>
            </w:r>
            <w:r>
              <w:rPr>
                <w:rFonts w:hint="eastAsia" w:ascii="宋体" w:hAnsi="宋体"/>
                <w:color w:val="auto"/>
                <w:szCs w:val="21"/>
                <w:highlight w:val="none"/>
              </w:rPr>
              <w:t>）。</w:t>
            </w:r>
          </w:p>
        </w:tc>
      </w:tr>
      <w:tr w14:paraId="69DF5C0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73" w:hRule="atLeast"/>
        </w:trPr>
        <w:tc>
          <w:tcPr>
            <w:tcW w:w="473" w:type="pct"/>
            <w:vMerge w:val="continue"/>
            <w:tcBorders>
              <w:tl2br w:val="nil"/>
              <w:tr2bl w:val="nil"/>
            </w:tcBorders>
            <w:vAlign w:val="center"/>
          </w:tcPr>
          <w:p w14:paraId="79ADB1FD">
            <w:pPr>
              <w:jc w:val="center"/>
              <w:rPr>
                <w:rFonts w:ascii="宋体" w:hAnsi="宋体"/>
                <w:color w:val="auto"/>
                <w:szCs w:val="21"/>
                <w:highlight w:val="none"/>
              </w:rPr>
            </w:pPr>
          </w:p>
        </w:tc>
        <w:tc>
          <w:tcPr>
            <w:tcW w:w="4526" w:type="pct"/>
            <w:gridSpan w:val="2"/>
            <w:tcBorders>
              <w:tl2br w:val="nil"/>
              <w:tr2bl w:val="nil"/>
            </w:tcBorders>
            <w:vAlign w:val="center"/>
          </w:tcPr>
          <w:p w14:paraId="5010AAC6">
            <w:pPr>
              <w:tabs>
                <w:tab w:val="left" w:pos="567"/>
              </w:tabs>
              <w:jc w:val="both"/>
              <w:rPr>
                <w:rFonts w:hAnsi="宋体"/>
                <w:color w:val="auto"/>
                <w:kern w:val="2"/>
                <w:szCs w:val="21"/>
                <w:highlight w:val="none"/>
                <w:lang w:val="zh-CN"/>
              </w:rPr>
            </w:pPr>
            <w:r>
              <w:rPr>
                <w:rFonts w:hint="eastAsia" w:ascii="宋体" w:hAnsi="宋体"/>
                <w:color w:val="auto"/>
                <w:szCs w:val="21"/>
                <w:highlight w:val="none"/>
              </w:rPr>
              <w:t>（2）</w:t>
            </w:r>
            <w:r>
              <w:rPr>
                <w:rFonts w:hint="eastAsia" w:hAnsi="宋体"/>
                <w:color w:val="auto"/>
                <w:kern w:val="2"/>
                <w:szCs w:val="21"/>
                <w:highlight w:val="none"/>
                <w:lang w:val="zh-CN"/>
              </w:rPr>
              <w:t>投标保证金采用转帐、电汇方式提交，应符合以下要求：采用银行转账、电汇方式提交的，保证金汇入以下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3DE57C9E">
            <w:pPr>
              <w:tabs>
                <w:tab w:val="left" w:pos="567"/>
              </w:tabs>
              <w:ind w:left="567" w:hanging="567"/>
              <w:jc w:val="both"/>
              <w:rPr>
                <w:rFonts w:hAnsi="宋体"/>
                <w:color w:val="auto"/>
                <w:kern w:val="2"/>
                <w:szCs w:val="21"/>
                <w:highlight w:val="none"/>
                <w:lang w:val="zh-CN"/>
              </w:rPr>
            </w:pPr>
            <w:r>
              <w:rPr>
                <w:rFonts w:hint="eastAsia" w:hAnsi="宋体"/>
                <w:color w:val="auto"/>
                <w:kern w:val="2"/>
                <w:szCs w:val="21"/>
                <w:highlight w:val="none"/>
                <w:lang w:val="zh-CN"/>
              </w:rPr>
              <w:t>投标保证金专用账户如下：</w:t>
            </w:r>
          </w:p>
          <w:p w14:paraId="2797D938">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帐户名称：</w:t>
            </w:r>
            <w:r>
              <w:rPr>
                <w:rFonts w:hint="eastAsia" w:hAnsi="宋体" w:cs="宋体"/>
                <w:color w:val="auto"/>
                <w:kern w:val="2"/>
                <w:szCs w:val="21"/>
                <w:highlight w:val="none"/>
                <w:u w:val="single"/>
                <w:lang w:val="zh-CN"/>
              </w:rPr>
              <w:t>广州宏达工程顾问集团有限公司东莞分公司</w:t>
            </w:r>
            <w:r>
              <w:rPr>
                <w:rFonts w:hint="eastAsia" w:hAnsi="宋体" w:cs="宋体"/>
                <w:color w:val="auto"/>
                <w:kern w:val="2"/>
                <w:szCs w:val="21"/>
                <w:highlight w:val="none"/>
                <w:lang w:val="zh-CN"/>
              </w:rPr>
              <w:t>；</w:t>
            </w:r>
          </w:p>
          <w:p w14:paraId="55FDE209">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开户银行：</w:t>
            </w:r>
            <w:r>
              <w:rPr>
                <w:rFonts w:hint="eastAsia" w:hAnsi="宋体" w:cs="宋体"/>
                <w:color w:val="auto"/>
                <w:kern w:val="2"/>
                <w:sz w:val="21"/>
                <w:szCs w:val="21"/>
                <w:highlight w:val="none"/>
                <w:u w:val="single"/>
              </w:rPr>
              <w:t>广发银行股份有限公司东莞城区支行</w:t>
            </w:r>
            <w:r>
              <w:rPr>
                <w:rFonts w:hint="eastAsia" w:hAnsi="宋体" w:cs="宋体"/>
                <w:color w:val="auto"/>
                <w:kern w:val="2"/>
                <w:szCs w:val="21"/>
                <w:highlight w:val="none"/>
                <w:lang w:val="zh-CN"/>
              </w:rPr>
              <w:t>；</w:t>
            </w:r>
          </w:p>
          <w:p w14:paraId="5A319574">
            <w:pPr>
              <w:tabs>
                <w:tab w:val="left" w:pos="567"/>
              </w:tabs>
              <w:ind w:firstLine="420" w:firstLineChars="200"/>
              <w:jc w:val="both"/>
              <w:rPr>
                <w:rFonts w:hint="eastAsia" w:ascii="宋体" w:hAnsi="宋体" w:eastAsia="宋体" w:cs="宋体"/>
                <w:color w:val="auto"/>
                <w:kern w:val="2"/>
                <w:szCs w:val="21"/>
                <w:highlight w:val="none"/>
                <w:lang w:val="zh-CN"/>
              </w:rPr>
            </w:pPr>
            <w:r>
              <w:rPr>
                <w:rFonts w:hint="eastAsia" w:hAnsi="宋体" w:cs="宋体"/>
                <w:color w:val="auto"/>
                <w:kern w:val="2"/>
                <w:szCs w:val="21"/>
                <w:highlight w:val="none"/>
                <w:lang w:val="zh-CN"/>
              </w:rPr>
              <w:t>银行帐</w:t>
            </w:r>
            <w:r>
              <w:rPr>
                <w:rFonts w:hint="eastAsia" w:ascii="宋体" w:hAnsi="宋体" w:eastAsia="宋体" w:cs="宋体"/>
                <w:color w:val="auto"/>
                <w:kern w:val="2"/>
                <w:szCs w:val="21"/>
                <w:highlight w:val="none"/>
                <w:lang w:val="zh-CN"/>
              </w:rPr>
              <w:t>号：</w:t>
            </w:r>
            <w:r>
              <w:rPr>
                <w:rFonts w:hint="eastAsia" w:ascii="宋体" w:hAnsi="宋体" w:eastAsia="宋体" w:cs="宋体"/>
                <w:color w:val="auto"/>
                <w:kern w:val="2"/>
                <w:szCs w:val="21"/>
                <w:highlight w:val="none"/>
                <w:u w:val="single"/>
                <w:lang w:val="zh-CN"/>
              </w:rPr>
              <w:t>6232590699051018594</w:t>
            </w:r>
            <w:r>
              <w:rPr>
                <w:rFonts w:hint="eastAsia" w:ascii="宋体" w:hAnsi="宋体" w:cs="宋体"/>
                <w:color w:val="auto"/>
                <w:kern w:val="2"/>
                <w:szCs w:val="21"/>
                <w:highlight w:val="none"/>
                <w:lang w:val="zh-CN"/>
              </w:rPr>
              <w:t>；</w:t>
            </w:r>
          </w:p>
          <w:p w14:paraId="574FC728">
            <w:pPr>
              <w:tabs>
                <w:tab w:val="left" w:pos="567"/>
              </w:tabs>
              <w:ind w:firstLine="420" w:firstLineChars="200"/>
              <w:jc w:val="both"/>
              <w:rPr>
                <w:rFonts w:hint="eastAsia" w:ascii="宋体" w:hAnsi="宋体" w:eastAsia="宋体" w:cs="宋体"/>
                <w:color w:val="auto"/>
                <w:kern w:val="2"/>
                <w:szCs w:val="21"/>
                <w:highlight w:val="none"/>
                <w:lang w:val="zh-CN"/>
              </w:rPr>
            </w:pPr>
            <w:r>
              <w:rPr>
                <w:rFonts w:hint="eastAsia" w:ascii="宋体" w:hAnsi="宋体" w:eastAsia="宋体" w:cs="宋体"/>
                <w:color w:val="auto"/>
                <w:kern w:val="2"/>
                <w:szCs w:val="21"/>
                <w:highlight w:val="none"/>
                <w:u w:val="single"/>
              </w:rPr>
              <w:t>保证金相关事宜联系人：</w:t>
            </w:r>
            <w:r>
              <w:rPr>
                <w:rFonts w:hint="eastAsia" w:ascii="宋体" w:hAnsi="宋体" w:cs="宋体"/>
                <w:color w:val="auto"/>
                <w:kern w:val="2"/>
                <w:szCs w:val="21"/>
                <w:highlight w:val="none"/>
                <w:u w:val="single"/>
                <w:lang w:val="en-US" w:eastAsia="zh-CN"/>
              </w:rPr>
              <w:t>杨小姐</w:t>
            </w:r>
            <w:r>
              <w:rPr>
                <w:rFonts w:hint="eastAsia" w:ascii="宋体" w:hAnsi="宋体" w:eastAsia="宋体" w:cs="宋体"/>
                <w:color w:val="auto"/>
                <w:kern w:val="2"/>
                <w:szCs w:val="21"/>
                <w:highlight w:val="none"/>
                <w:u w:val="single"/>
              </w:rPr>
              <w:t>联系电话：</w:t>
            </w:r>
            <w:r>
              <w:rPr>
                <w:rFonts w:hint="eastAsia" w:ascii="宋体" w:hAnsi="宋体" w:cs="宋体"/>
                <w:color w:val="auto"/>
                <w:kern w:val="2"/>
                <w:szCs w:val="21"/>
                <w:highlight w:val="none"/>
                <w:u w:val="single"/>
                <w:lang w:eastAsia="zh-CN"/>
              </w:rPr>
              <w:t>0769-28056866-807</w:t>
            </w:r>
          </w:p>
          <w:p w14:paraId="3D49A81A">
            <w:pPr>
              <w:tabs>
                <w:tab w:val="left" w:pos="567"/>
              </w:tabs>
              <w:ind w:firstLine="422" w:firstLineChars="200"/>
              <w:jc w:val="both"/>
              <w:rPr>
                <w:rFonts w:ascii="宋体" w:hAnsi="宋体"/>
                <w:b/>
                <w:color w:val="auto"/>
                <w:szCs w:val="21"/>
                <w:highlight w:val="none"/>
              </w:rPr>
            </w:pPr>
            <w:r>
              <w:rPr>
                <w:rFonts w:hint="eastAsia" w:hAnsi="宋体" w:cs="宋体"/>
                <w:b/>
                <w:color w:val="auto"/>
                <w:szCs w:val="21"/>
                <w:highlight w:val="none"/>
              </w:rPr>
              <w:t>（注：各投标人在转帐或电汇时须在用途栏上备注项目编号，及项目名称，如有字数限制项目名称可简写。）</w:t>
            </w:r>
          </w:p>
        </w:tc>
      </w:tr>
      <w:tr w14:paraId="2F15984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20" w:hRule="atLeast"/>
        </w:trPr>
        <w:tc>
          <w:tcPr>
            <w:tcW w:w="473" w:type="pct"/>
            <w:vMerge w:val="restart"/>
            <w:tcBorders>
              <w:tl2br w:val="nil"/>
              <w:tr2bl w:val="nil"/>
            </w:tcBorders>
            <w:vAlign w:val="center"/>
          </w:tcPr>
          <w:p w14:paraId="57E932E6">
            <w:pPr>
              <w:jc w:val="center"/>
              <w:rPr>
                <w:rFonts w:ascii="宋体" w:hAnsi="宋体"/>
                <w:color w:val="auto"/>
                <w:szCs w:val="21"/>
                <w:highlight w:val="none"/>
              </w:rPr>
            </w:pPr>
            <w:r>
              <w:rPr>
                <w:rFonts w:hint="eastAsia" w:ascii="宋体" w:hAnsi="宋体"/>
                <w:color w:val="auto"/>
                <w:szCs w:val="21"/>
                <w:highlight w:val="none"/>
              </w:rPr>
              <w:t>8</w:t>
            </w:r>
          </w:p>
        </w:tc>
        <w:tc>
          <w:tcPr>
            <w:tcW w:w="4526" w:type="pct"/>
            <w:gridSpan w:val="2"/>
            <w:tcBorders>
              <w:tl2br w:val="nil"/>
              <w:tr2bl w:val="nil"/>
            </w:tcBorders>
            <w:vAlign w:val="center"/>
          </w:tcPr>
          <w:p w14:paraId="3A2F823A">
            <w:pPr>
              <w:jc w:val="both"/>
              <w:rPr>
                <w:rFonts w:ascii="宋体" w:hAnsi="宋体"/>
                <w:b/>
                <w:bCs/>
                <w:color w:val="auto"/>
                <w:szCs w:val="21"/>
                <w:highlight w:val="none"/>
                <w:lang w:val="zh-CN"/>
              </w:rPr>
            </w:pPr>
            <w:r>
              <w:rPr>
                <w:rFonts w:hint="eastAsia" w:ascii="宋体" w:hAnsi="宋体"/>
                <w:b/>
                <w:bCs/>
                <w:color w:val="auto"/>
                <w:szCs w:val="21"/>
                <w:highlight w:val="none"/>
                <w:lang w:val="zh-CN"/>
              </w:rPr>
              <w:t>投标保证金退还</w:t>
            </w:r>
          </w:p>
        </w:tc>
      </w:tr>
      <w:tr w14:paraId="1A2B9CC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703" w:hRule="atLeast"/>
        </w:trPr>
        <w:tc>
          <w:tcPr>
            <w:tcW w:w="473" w:type="pct"/>
            <w:vMerge w:val="continue"/>
            <w:tcBorders>
              <w:tl2br w:val="nil"/>
              <w:tr2bl w:val="nil"/>
            </w:tcBorders>
            <w:vAlign w:val="center"/>
          </w:tcPr>
          <w:p w14:paraId="56F4D865">
            <w:pPr>
              <w:jc w:val="center"/>
              <w:rPr>
                <w:rFonts w:ascii="宋体" w:hAnsi="宋体"/>
                <w:color w:val="auto"/>
                <w:szCs w:val="21"/>
                <w:highlight w:val="none"/>
              </w:rPr>
            </w:pPr>
          </w:p>
        </w:tc>
        <w:tc>
          <w:tcPr>
            <w:tcW w:w="4526" w:type="pct"/>
            <w:gridSpan w:val="2"/>
            <w:tcBorders>
              <w:tl2br w:val="nil"/>
              <w:tr2bl w:val="nil"/>
            </w:tcBorders>
            <w:vAlign w:val="center"/>
          </w:tcPr>
          <w:p w14:paraId="22B3C0B2">
            <w:pPr>
              <w:jc w:val="both"/>
              <w:rPr>
                <w:rFonts w:ascii="宋体" w:hAnsi="宋体"/>
                <w:color w:val="auto"/>
                <w:szCs w:val="21"/>
                <w:highlight w:val="none"/>
                <w:lang w:val="zh-CN"/>
              </w:rPr>
            </w:pPr>
            <w:r>
              <w:rPr>
                <w:rFonts w:hint="eastAsia" w:ascii="宋体" w:hAnsi="宋体"/>
                <w:color w:val="auto"/>
                <w:szCs w:val="21"/>
                <w:highlight w:val="none"/>
                <w:lang w:val="zh-CN"/>
              </w:rPr>
              <w:t>（</w:t>
            </w:r>
            <w:r>
              <w:rPr>
                <w:rFonts w:hint="eastAsia" w:ascii="宋体" w:hAnsi="宋体"/>
                <w:color w:val="auto"/>
                <w:szCs w:val="21"/>
                <w:highlight w:val="none"/>
              </w:rPr>
              <w:t>1</w:t>
            </w:r>
            <w:r>
              <w:rPr>
                <w:rFonts w:hint="eastAsia" w:ascii="宋体" w:hAnsi="宋体"/>
                <w:color w:val="auto"/>
                <w:szCs w:val="21"/>
                <w:highlight w:val="none"/>
                <w:lang w:val="zh-CN"/>
              </w:rPr>
              <w:t>）未中标的投标人的保证金应当在中标通知书发出后退还，中标</w:t>
            </w:r>
            <w:r>
              <w:rPr>
                <w:rFonts w:hint="eastAsia" w:ascii="宋体" w:hAnsi="宋体"/>
                <w:color w:val="auto"/>
                <w:szCs w:val="21"/>
                <w:highlight w:val="none"/>
              </w:rPr>
              <w:t>的</w:t>
            </w:r>
            <w:r>
              <w:rPr>
                <w:rFonts w:hint="eastAsia" w:ascii="宋体" w:hAnsi="宋体"/>
                <w:color w:val="auto"/>
                <w:szCs w:val="21"/>
                <w:highlight w:val="none"/>
                <w:lang w:val="zh-CN"/>
              </w:rPr>
              <w:t>投标人的保证金应当在采购合同签订</w:t>
            </w:r>
            <w:r>
              <w:rPr>
                <w:rFonts w:hint="eastAsia" w:ascii="宋体" w:hAnsi="宋体"/>
                <w:color w:val="auto"/>
                <w:szCs w:val="21"/>
                <w:highlight w:val="none"/>
              </w:rPr>
              <w:t>并缴纳履约保证金</w:t>
            </w:r>
            <w:r>
              <w:rPr>
                <w:rFonts w:hint="eastAsia" w:ascii="宋体" w:hAnsi="宋体"/>
                <w:color w:val="auto"/>
                <w:szCs w:val="21"/>
                <w:highlight w:val="none"/>
                <w:lang w:val="zh-CN"/>
              </w:rPr>
              <w:t>后退还。</w:t>
            </w:r>
          </w:p>
          <w:p w14:paraId="1625348A">
            <w:pPr>
              <w:jc w:val="both"/>
              <w:rPr>
                <w:color w:val="auto"/>
                <w:highlight w:val="none"/>
              </w:rPr>
            </w:pPr>
            <w:r>
              <w:rPr>
                <w:rFonts w:hint="eastAsia" w:ascii="宋体" w:hAnsi="宋体"/>
                <w:color w:val="auto"/>
                <w:szCs w:val="21"/>
                <w:highlight w:val="none"/>
                <w:lang w:val="zh-CN"/>
              </w:rPr>
              <w:t>（</w:t>
            </w:r>
            <w:r>
              <w:rPr>
                <w:rFonts w:hint="eastAsia" w:ascii="宋体" w:hAnsi="宋体"/>
                <w:color w:val="auto"/>
                <w:szCs w:val="21"/>
                <w:highlight w:val="none"/>
              </w:rPr>
              <w:t>2</w:t>
            </w:r>
            <w:r>
              <w:rPr>
                <w:rFonts w:hint="eastAsia" w:ascii="宋体" w:hAnsi="宋体"/>
                <w:color w:val="auto"/>
                <w:szCs w:val="21"/>
                <w:highlight w:val="none"/>
                <w:lang w:val="zh-CN"/>
              </w:rPr>
              <w:t>）为方便退还未中标的投标人的保证金，投标人应制作《投标保证金汇入情况说明》随唱标信封一并递交。</w:t>
            </w:r>
          </w:p>
        </w:tc>
      </w:tr>
      <w:tr w14:paraId="185797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473" w:type="pct"/>
            <w:vMerge w:val="restart"/>
            <w:tcBorders>
              <w:tl2br w:val="nil"/>
              <w:tr2bl w:val="nil"/>
            </w:tcBorders>
            <w:vAlign w:val="center"/>
          </w:tcPr>
          <w:p w14:paraId="08EA50A1">
            <w:pPr>
              <w:jc w:val="center"/>
              <w:rPr>
                <w:rFonts w:ascii="宋体" w:hAnsi="宋体"/>
                <w:color w:val="auto"/>
                <w:szCs w:val="21"/>
                <w:highlight w:val="none"/>
              </w:rPr>
            </w:pPr>
            <w:r>
              <w:rPr>
                <w:rFonts w:hint="eastAsia" w:ascii="宋体" w:hAnsi="宋体"/>
                <w:color w:val="auto"/>
                <w:szCs w:val="21"/>
                <w:highlight w:val="none"/>
              </w:rPr>
              <w:t>9</w:t>
            </w:r>
          </w:p>
        </w:tc>
        <w:tc>
          <w:tcPr>
            <w:tcW w:w="4526" w:type="pct"/>
            <w:gridSpan w:val="2"/>
            <w:tcBorders>
              <w:tl2br w:val="nil"/>
              <w:tr2bl w:val="nil"/>
            </w:tcBorders>
            <w:vAlign w:val="center"/>
          </w:tcPr>
          <w:p w14:paraId="7CD58630">
            <w:pPr>
              <w:jc w:val="both"/>
              <w:rPr>
                <w:rFonts w:ascii="宋体" w:hAnsi="宋体"/>
                <w:b/>
                <w:color w:val="auto"/>
                <w:szCs w:val="21"/>
                <w:highlight w:val="none"/>
              </w:rPr>
            </w:pPr>
            <w:r>
              <w:rPr>
                <w:rFonts w:hint="eastAsia" w:ascii="宋体" w:hAnsi="宋体"/>
                <w:b/>
                <w:color w:val="auto"/>
                <w:szCs w:val="21"/>
                <w:highlight w:val="none"/>
              </w:rPr>
              <w:t>投标有效期</w:t>
            </w:r>
          </w:p>
        </w:tc>
      </w:tr>
      <w:tr w14:paraId="6DF8E72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473" w:type="pct"/>
            <w:vMerge w:val="continue"/>
            <w:tcBorders>
              <w:tl2br w:val="nil"/>
              <w:tr2bl w:val="nil"/>
            </w:tcBorders>
            <w:vAlign w:val="center"/>
          </w:tcPr>
          <w:p w14:paraId="373EE054">
            <w:pPr>
              <w:jc w:val="center"/>
              <w:rPr>
                <w:rFonts w:ascii="宋体" w:hAnsi="宋体"/>
                <w:color w:val="auto"/>
                <w:szCs w:val="21"/>
                <w:highlight w:val="none"/>
              </w:rPr>
            </w:pPr>
          </w:p>
        </w:tc>
        <w:tc>
          <w:tcPr>
            <w:tcW w:w="4526" w:type="pct"/>
            <w:gridSpan w:val="2"/>
            <w:tcBorders>
              <w:tl2br w:val="nil"/>
              <w:tr2bl w:val="nil"/>
            </w:tcBorders>
            <w:vAlign w:val="center"/>
          </w:tcPr>
          <w:p w14:paraId="567EC1C9">
            <w:pPr>
              <w:jc w:val="both"/>
              <w:rPr>
                <w:rFonts w:ascii="宋体" w:hAnsi="宋体"/>
                <w:b/>
                <w:color w:val="auto"/>
                <w:szCs w:val="21"/>
                <w:highlight w:val="none"/>
              </w:rPr>
            </w:pPr>
            <w:r>
              <w:rPr>
                <w:rFonts w:hint="eastAsia" w:ascii="宋体" w:hAnsi="宋体"/>
                <w:color w:val="auto"/>
                <w:szCs w:val="21"/>
                <w:highlight w:val="none"/>
              </w:rPr>
              <w:t>九十天。</w:t>
            </w:r>
          </w:p>
        </w:tc>
      </w:tr>
      <w:tr w14:paraId="7AFD376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473" w:type="pct"/>
            <w:vMerge w:val="restart"/>
            <w:tcBorders>
              <w:tl2br w:val="nil"/>
              <w:tr2bl w:val="nil"/>
            </w:tcBorders>
            <w:vAlign w:val="center"/>
          </w:tcPr>
          <w:p w14:paraId="11DF2A25">
            <w:pPr>
              <w:jc w:val="center"/>
              <w:rPr>
                <w:rFonts w:ascii="宋体" w:hAnsi="宋体"/>
                <w:color w:val="auto"/>
                <w:szCs w:val="21"/>
                <w:highlight w:val="none"/>
              </w:rPr>
            </w:pPr>
            <w:r>
              <w:rPr>
                <w:rFonts w:hint="eastAsia" w:ascii="宋体" w:hAnsi="宋体"/>
                <w:color w:val="auto"/>
                <w:szCs w:val="21"/>
                <w:highlight w:val="none"/>
              </w:rPr>
              <w:t>10</w:t>
            </w:r>
          </w:p>
        </w:tc>
        <w:tc>
          <w:tcPr>
            <w:tcW w:w="4526" w:type="pct"/>
            <w:gridSpan w:val="2"/>
            <w:tcBorders>
              <w:tl2br w:val="nil"/>
              <w:tr2bl w:val="nil"/>
            </w:tcBorders>
            <w:vAlign w:val="center"/>
          </w:tcPr>
          <w:p w14:paraId="136A1A67">
            <w:pPr>
              <w:jc w:val="center"/>
              <w:rPr>
                <w:rFonts w:ascii="宋体" w:hAnsi="宋体"/>
                <w:b/>
                <w:color w:val="auto"/>
                <w:szCs w:val="21"/>
                <w:highlight w:val="none"/>
              </w:rPr>
            </w:pPr>
            <w:r>
              <w:rPr>
                <w:rFonts w:hint="eastAsia" w:ascii="宋体" w:hAnsi="宋体"/>
                <w:b/>
                <w:color w:val="auto"/>
                <w:szCs w:val="21"/>
                <w:highlight w:val="none"/>
              </w:rPr>
              <w:t>投标人应提交以下投标文件（投标文件由唱标信封、价格文件、商务文件、技术文件、电子文档五部分组成</w:t>
            </w:r>
            <w:r>
              <w:rPr>
                <w:rFonts w:hint="eastAsia" w:ascii="宋体" w:hAnsi="宋体"/>
                <w:b/>
                <w:color w:val="auto"/>
                <w:szCs w:val="21"/>
                <w:highlight w:val="none"/>
                <w:lang w:eastAsia="zh-CN"/>
              </w:rPr>
              <w:t>；</w:t>
            </w:r>
            <w:r>
              <w:rPr>
                <w:rFonts w:hint="eastAsia" w:ascii="宋体" w:hAnsi="宋体"/>
                <w:b/>
                <w:color w:val="auto"/>
                <w:szCs w:val="21"/>
                <w:highlight w:val="none"/>
              </w:rPr>
              <w:t>价格文件、商务文件、技术文件分别单独装订成册，电子文档装入唱标信封一同封装</w:t>
            </w:r>
            <w:r>
              <w:rPr>
                <w:rFonts w:hint="eastAsia" w:ascii="宋体" w:hAnsi="宋体"/>
                <w:b/>
                <w:color w:val="auto"/>
                <w:szCs w:val="21"/>
                <w:highlight w:val="none"/>
                <w:lang w:eastAsia="zh-CN"/>
              </w:rPr>
              <w:t>；</w:t>
            </w:r>
            <w:r>
              <w:rPr>
                <w:rFonts w:hint="eastAsia" w:ascii="宋体" w:hAnsi="宋体"/>
                <w:b/>
                <w:color w:val="auto"/>
                <w:szCs w:val="21"/>
                <w:highlight w:val="none"/>
              </w:rPr>
              <w:t>具体编制和封装要求详见第四部分投标人须知）</w:t>
            </w:r>
          </w:p>
        </w:tc>
      </w:tr>
      <w:tr w14:paraId="53CA6F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473" w:type="pct"/>
            <w:vMerge w:val="continue"/>
            <w:tcBorders>
              <w:tl2br w:val="nil"/>
              <w:tr2bl w:val="nil"/>
            </w:tcBorders>
            <w:vAlign w:val="center"/>
          </w:tcPr>
          <w:p w14:paraId="206C8712">
            <w:pPr>
              <w:jc w:val="center"/>
              <w:rPr>
                <w:rFonts w:ascii="宋体" w:hAnsi="宋体"/>
                <w:color w:val="auto"/>
                <w:szCs w:val="21"/>
                <w:highlight w:val="none"/>
              </w:rPr>
            </w:pPr>
          </w:p>
        </w:tc>
        <w:tc>
          <w:tcPr>
            <w:tcW w:w="1336" w:type="pct"/>
            <w:tcBorders>
              <w:tl2br w:val="nil"/>
              <w:tr2bl w:val="nil"/>
            </w:tcBorders>
            <w:vAlign w:val="center"/>
          </w:tcPr>
          <w:p w14:paraId="1EAA2CA8">
            <w:pPr>
              <w:jc w:val="center"/>
              <w:rPr>
                <w:rFonts w:ascii="宋体" w:hAnsi="宋体"/>
                <w:b/>
                <w:color w:val="auto"/>
                <w:szCs w:val="21"/>
                <w:highlight w:val="none"/>
              </w:rPr>
            </w:pPr>
            <w:r>
              <w:rPr>
                <w:rFonts w:hint="eastAsia" w:ascii="宋体" w:hAnsi="宋体"/>
                <w:b/>
                <w:color w:val="auto"/>
                <w:szCs w:val="21"/>
                <w:highlight w:val="none"/>
              </w:rPr>
              <w:t>投标文件类型</w:t>
            </w:r>
          </w:p>
        </w:tc>
        <w:tc>
          <w:tcPr>
            <w:tcW w:w="3190" w:type="pct"/>
            <w:tcBorders>
              <w:tl2br w:val="nil"/>
              <w:tr2bl w:val="nil"/>
            </w:tcBorders>
            <w:vAlign w:val="center"/>
          </w:tcPr>
          <w:p w14:paraId="196375D6">
            <w:pPr>
              <w:jc w:val="center"/>
              <w:rPr>
                <w:rFonts w:ascii="宋体" w:hAnsi="宋体"/>
                <w:b/>
                <w:color w:val="auto"/>
                <w:szCs w:val="21"/>
                <w:highlight w:val="none"/>
              </w:rPr>
            </w:pPr>
            <w:r>
              <w:rPr>
                <w:rFonts w:hint="eastAsia" w:ascii="宋体" w:hAnsi="宋体"/>
                <w:b/>
                <w:color w:val="auto"/>
                <w:szCs w:val="21"/>
                <w:highlight w:val="none"/>
              </w:rPr>
              <w:t>份数</w:t>
            </w:r>
          </w:p>
        </w:tc>
      </w:tr>
      <w:tr w14:paraId="03DFE96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473" w:type="pct"/>
            <w:vMerge w:val="continue"/>
            <w:tcBorders>
              <w:tl2br w:val="nil"/>
              <w:tr2bl w:val="nil"/>
            </w:tcBorders>
            <w:vAlign w:val="center"/>
          </w:tcPr>
          <w:p w14:paraId="5757A488">
            <w:pPr>
              <w:jc w:val="center"/>
              <w:rPr>
                <w:rFonts w:ascii="宋体" w:hAnsi="宋体"/>
                <w:color w:val="auto"/>
                <w:szCs w:val="21"/>
                <w:highlight w:val="none"/>
              </w:rPr>
            </w:pPr>
          </w:p>
        </w:tc>
        <w:tc>
          <w:tcPr>
            <w:tcW w:w="1336" w:type="pct"/>
            <w:tcBorders>
              <w:tl2br w:val="nil"/>
              <w:tr2bl w:val="nil"/>
            </w:tcBorders>
            <w:vAlign w:val="center"/>
          </w:tcPr>
          <w:p w14:paraId="52181E0D">
            <w:pPr>
              <w:jc w:val="center"/>
              <w:rPr>
                <w:rFonts w:ascii="宋体" w:hAnsi="宋体"/>
                <w:b/>
                <w:color w:val="auto"/>
                <w:szCs w:val="21"/>
                <w:highlight w:val="none"/>
              </w:rPr>
            </w:pPr>
            <w:r>
              <w:rPr>
                <w:rFonts w:hint="eastAsia" w:ascii="宋体" w:hAnsi="宋体"/>
                <w:b/>
                <w:color w:val="auto"/>
                <w:szCs w:val="21"/>
                <w:highlight w:val="none"/>
              </w:rPr>
              <w:t>唱标信封</w:t>
            </w:r>
          </w:p>
        </w:tc>
        <w:tc>
          <w:tcPr>
            <w:tcW w:w="3190" w:type="pct"/>
            <w:tcBorders>
              <w:tl2br w:val="nil"/>
              <w:tr2bl w:val="nil"/>
            </w:tcBorders>
            <w:vAlign w:val="center"/>
          </w:tcPr>
          <w:p w14:paraId="1C0F9883">
            <w:pPr>
              <w:jc w:val="center"/>
              <w:rPr>
                <w:rFonts w:ascii="宋体" w:hAnsi="宋体"/>
                <w:b/>
                <w:color w:val="auto"/>
                <w:szCs w:val="21"/>
                <w:highlight w:val="none"/>
              </w:rPr>
            </w:pPr>
            <w:r>
              <w:rPr>
                <w:rFonts w:hint="eastAsia" w:ascii="宋体" w:hAnsi="宋体"/>
                <w:b/>
                <w:color w:val="auto"/>
                <w:szCs w:val="21"/>
                <w:highlight w:val="none"/>
              </w:rPr>
              <w:t>1</w:t>
            </w:r>
          </w:p>
        </w:tc>
      </w:tr>
      <w:tr w14:paraId="72BE9AD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473" w:type="pct"/>
            <w:vMerge w:val="continue"/>
            <w:tcBorders>
              <w:tl2br w:val="nil"/>
              <w:tr2bl w:val="nil"/>
            </w:tcBorders>
            <w:vAlign w:val="center"/>
          </w:tcPr>
          <w:p w14:paraId="430E5F8B">
            <w:pPr>
              <w:jc w:val="center"/>
              <w:rPr>
                <w:rFonts w:ascii="宋体" w:hAnsi="宋体"/>
                <w:color w:val="auto"/>
                <w:szCs w:val="21"/>
                <w:highlight w:val="none"/>
              </w:rPr>
            </w:pPr>
          </w:p>
        </w:tc>
        <w:tc>
          <w:tcPr>
            <w:tcW w:w="1336" w:type="pct"/>
            <w:tcBorders>
              <w:tl2br w:val="nil"/>
              <w:tr2bl w:val="nil"/>
            </w:tcBorders>
            <w:vAlign w:val="center"/>
          </w:tcPr>
          <w:p w14:paraId="7C243DBD">
            <w:pPr>
              <w:jc w:val="center"/>
              <w:rPr>
                <w:rFonts w:ascii="宋体" w:hAnsi="宋体"/>
                <w:b/>
                <w:color w:val="auto"/>
                <w:szCs w:val="21"/>
                <w:highlight w:val="none"/>
              </w:rPr>
            </w:pPr>
            <w:r>
              <w:rPr>
                <w:rFonts w:hint="eastAsia" w:ascii="宋体" w:hAnsi="宋体"/>
                <w:b/>
                <w:color w:val="auto"/>
                <w:szCs w:val="21"/>
                <w:highlight w:val="none"/>
              </w:rPr>
              <w:t>投标文件正本</w:t>
            </w:r>
          </w:p>
        </w:tc>
        <w:tc>
          <w:tcPr>
            <w:tcW w:w="3190" w:type="pct"/>
            <w:tcBorders>
              <w:tl2br w:val="nil"/>
              <w:tr2bl w:val="nil"/>
            </w:tcBorders>
            <w:vAlign w:val="center"/>
          </w:tcPr>
          <w:p w14:paraId="1CEC133F">
            <w:pPr>
              <w:jc w:val="center"/>
              <w:rPr>
                <w:rFonts w:ascii="宋体" w:hAnsi="宋体"/>
                <w:b/>
                <w:color w:val="auto"/>
                <w:szCs w:val="21"/>
                <w:highlight w:val="none"/>
              </w:rPr>
            </w:pPr>
            <w:r>
              <w:rPr>
                <w:rFonts w:hint="eastAsia" w:ascii="宋体" w:hAnsi="宋体"/>
                <w:b/>
                <w:color w:val="auto"/>
                <w:szCs w:val="21"/>
                <w:highlight w:val="none"/>
              </w:rPr>
              <w:t>1</w:t>
            </w:r>
          </w:p>
        </w:tc>
      </w:tr>
      <w:tr w14:paraId="11856D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trPr>
        <w:tc>
          <w:tcPr>
            <w:tcW w:w="473" w:type="pct"/>
            <w:vMerge w:val="continue"/>
            <w:tcBorders>
              <w:tl2br w:val="nil"/>
              <w:tr2bl w:val="nil"/>
            </w:tcBorders>
            <w:vAlign w:val="center"/>
          </w:tcPr>
          <w:p w14:paraId="35213A6D">
            <w:pPr>
              <w:jc w:val="center"/>
              <w:rPr>
                <w:rFonts w:ascii="宋体" w:hAnsi="宋体"/>
                <w:color w:val="auto"/>
                <w:szCs w:val="21"/>
                <w:highlight w:val="none"/>
              </w:rPr>
            </w:pPr>
          </w:p>
        </w:tc>
        <w:tc>
          <w:tcPr>
            <w:tcW w:w="1336" w:type="pct"/>
            <w:tcBorders>
              <w:tl2br w:val="nil"/>
              <w:tr2bl w:val="nil"/>
            </w:tcBorders>
            <w:vAlign w:val="center"/>
          </w:tcPr>
          <w:p w14:paraId="0994B4E7">
            <w:pPr>
              <w:jc w:val="center"/>
              <w:rPr>
                <w:rFonts w:ascii="宋体" w:hAnsi="宋体"/>
                <w:b/>
                <w:color w:val="auto"/>
                <w:szCs w:val="21"/>
                <w:highlight w:val="none"/>
              </w:rPr>
            </w:pPr>
            <w:r>
              <w:rPr>
                <w:rFonts w:hint="eastAsia" w:ascii="宋体" w:hAnsi="宋体"/>
                <w:b/>
                <w:color w:val="auto"/>
                <w:szCs w:val="21"/>
                <w:highlight w:val="none"/>
              </w:rPr>
              <w:t>投标文件副本</w:t>
            </w:r>
          </w:p>
        </w:tc>
        <w:tc>
          <w:tcPr>
            <w:tcW w:w="3190" w:type="pct"/>
            <w:tcBorders>
              <w:tl2br w:val="nil"/>
              <w:tr2bl w:val="nil"/>
            </w:tcBorders>
            <w:vAlign w:val="center"/>
          </w:tcPr>
          <w:p w14:paraId="45DF101C">
            <w:pPr>
              <w:jc w:val="center"/>
              <w:rPr>
                <w:rFonts w:ascii="宋体" w:hAnsi="宋体"/>
                <w:b/>
                <w:color w:val="auto"/>
                <w:szCs w:val="21"/>
                <w:highlight w:val="none"/>
              </w:rPr>
            </w:pPr>
            <w:r>
              <w:rPr>
                <w:rFonts w:hint="eastAsia" w:ascii="宋体" w:hAnsi="宋体"/>
                <w:bCs/>
                <w:color w:val="auto"/>
                <w:szCs w:val="21"/>
                <w:highlight w:val="none"/>
              </w:rPr>
              <w:t>☑</w:t>
            </w:r>
            <w:r>
              <w:rPr>
                <w:rFonts w:hint="eastAsia" w:ascii="宋体" w:hAnsi="宋体"/>
                <w:b/>
                <w:color w:val="auto"/>
                <w:szCs w:val="21"/>
                <w:highlight w:val="none"/>
              </w:rPr>
              <w:t>5</w:t>
            </w:r>
            <w:r>
              <w:rPr>
                <w:rFonts w:hint="eastAsia" w:ascii="宋体" w:hAnsi="宋体"/>
                <w:bCs/>
                <w:color w:val="auto"/>
                <w:szCs w:val="21"/>
                <w:highlight w:val="none"/>
              </w:rPr>
              <w:t>□</w:t>
            </w:r>
            <w:r>
              <w:rPr>
                <w:rFonts w:hint="eastAsia" w:ascii="宋体" w:hAnsi="宋体"/>
                <w:b/>
                <w:color w:val="auto"/>
                <w:szCs w:val="21"/>
                <w:highlight w:val="none"/>
              </w:rPr>
              <w:t>7</w:t>
            </w:r>
          </w:p>
        </w:tc>
      </w:tr>
      <w:tr w14:paraId="4793B2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43" w:hRule="atLeast"/>
        </w:trPr>
        <w:tc>
          <w:tcPr>
            <w:tcW w:w="473" w:type="pct"/>
            <w:vMerge w:val="continue"/>
            <w:tcBorders>
              <w:tl2br w:val="nil"/>
              <w:tr2bl w:val="nil"/>
            </w:tcBorders>
            <w:vAlign w:val="center"/>
          </w:tcPr>
          <w:p w14:paraId="6F0B1B6D">
            <w:pPr>
              <w:jc w:val="center"/>
              <w:rPr>
                <w:rFonts w:ascii="宋体" w:hAnsi="宋体"/>
                <w:color w:val="auto"/>
                <w:szCs w:val="21"/>
                <w:highlight w:val="none"/>
              </w:rPr>
            </w:pPr>
          </w:p>
        </w:tc>
        <w:tc>
          <w:tcPr>
            <w:tcW w:w="1336" w:type="pct"/>
            <w:vMerge w:val="restart"/>
            <w:tcBorders>
              <w:tl2br w:val="nil"/>
              <w:tr2bl w:val="nil"/>
            </w:tcBorders>
            <w:vAlign w:val="center"/>
          </w:tcPr>
          <w:p w14:paraId="6126F04E">
            <w:pPr>
              <w:jc w:val="center"/>
              <w:rPr>
                <w:rFonts w:ascii="宋体" w:hAnsi="宋体"/>
                <w:b/>
                <w:color w:val="auto"/>
                <w:szCs w:val="21"/>
                <w:highlight w:val="none"/>
              </w:rPr>
            </w:pPr>
            <w:r>
              <w:rPr>
                <w:rFonts w:hint="eastAsia" w:ascii="宋体" w:hAnsi="宋体"/>
                <w:b/>
                <w:color w:val="auto"/>
                <w:szCs w:val="21"/>
                <w:highlight w:val="none"/>
              </w:rPr>
              <w:t>电子文档</w:t>
            </w:r>
          </w:p>
        </w:tc>
        <w:tc>
          <w:tcPr>
            <w:tcW w:w="3190" w:type="pct"/>
            <w:tcBorders>
              <w:tl2br w:val="nil"/>
              <w:tr2bl w:val="nil"/>
            </w:tcBorders>
            <w:vAlign w:val="center"/>
          </w:tcPr>
          <w:p w14:paraId="0C5E8BD6">
            <w:pPr>
              <w:jc w:val="center"/>
              <w:rPr>
                <w:rFonts w:ascii="宋体" w:hAnsi="宋体"/>
                <w:b/>
                <w:color w:val="auto"/>
                <w:szCs w:val="21"/>
                <w:highlight w:val="none"/>
              </w:rPr>
            </w:pPr>
            <w:r>
              <w:rPr>
                <w:rFonts w:hint="eastAsia" w:ascii="宋体" w:hAnsi="宋体"/>
                <w:b/>
                <w:color w:val="auto"/>
                <w:szCs w:val="21"/>
                <w:highlight w:val="none"/>
              </w:rPr>
              <w:t>1</w:t>
            </w:r>
          </w:p>
        </w:tc>
      </w:tr>
      <w:tr w14:paraId="66BC65D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473" w:type="pct"/>
            <w:vMerge w:val="continue"/>
            <w:tcBorders>
              <w:tl2br w:val="nil"/>
              <w:tr2bl w:val="nil"/>
            </w:tcBorders>
            <w:vAlign w:val="center"/>
          </w:tcPr>
          <w:p w14:paraId="60761DF8">
            <w:pPr>
              <w:jc w:val="center"/>
              <w:rPr>
                <w:rFonts w:ascii="宋体" w:hAnsi="宋体"/>
                <w:color w:val="auto"/>
                <w:szCs w:val="21"/>
                <w:highlight w:val="none"/>
              </w:rPr>
            </w:pPr>
          </w:p>
        </w:tc>
        <w:tc>
          <w:tcPr>
            <w:tcW w:w="1336" w:type="pct"/>
            <w:vMerge w:val="continue"/>
            <w:tcBorders>
              <w:tl2br w:val="nil"/>
              <w:tr2bl w:val="nil"/>
            </w:tcBorders>
            <w:vAlign w:val="center"/>
          </w:tcPr>
          <w:p w14:paraId="459A79EC">
            <w:pPr>
              <w:jc w:val="center"/>
              <w:rPr>
                <w:rFonts w:ascii="宋体" w:hAnsi="宋体"/>
                <w:b/>
                <w:color w:val="auto"/>
                <w:szCs w:val="21"/>
                <w:highlight w:val="none"/>
              </w:rPr>
            </w:pPr>
          </w:p>
        </w:tc>
        <w:tc>
          <w:tcPr>
            <w:tcW w:w="3190" w:type="pct"/>
            <w:tcBorders>
              <w:tl2br w:val="nil"/>
              <w:tr2bl w:val="nil"/>
            </w:tcBorders>
            <w:vAlign w:val="center"/>
          </w:tcPr>
          <w:p w14:paraId="3FA9E0BA">
            <w:pPr>
              <w:jc w:val="center"/>
              <w:rPr>
                <w:rFonts w:ascii="宋体" w:hAnsi="宋体"/>
                <w:b/>
                <w:color w:val="auto"/>
                <w:szCs w:val="21"/>
                <w:highlight w:val="none"/>
              </w:rPr>
            </w:pPr>
            <w:r>
              <w:rPr>
                <w:rFonts w:hint="eastAsia" w:ascii="宋体" w:hAnsi="宋体" w:cs="Times New Roman"/>
                <w:b/>
                <w:color w:val="auto"/>
                <w:szCs w:val="21"/>
                <w:highlight w:val="none"/>
              </w:rPr>
              <w:t>U盘，须含盖章版PDF投标文件和WORD版投标文件各一版，文字采用WORD文档，计算表格采用EXCEL文档。</w:t>
            </w:r>
          </w:p>
        </w:tc>
      </w:tr>
      <w:tr w14:paraId="59B6ED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42" w:hRule="atLeast"/>
        </w:trPr>
        <w:tc>
          <w:tcPr>
            <w:tcW w:w="5000" w:type="pct"/>
            <w:gridSpan w:val="3"/>
            <w:tcBorders>
              <w:tl2br w:val="nil"/>
              <w:tr2bl w:val="nil"/>
            </w:tcBorders>
            <w:vAlign w:val="center"/>
          </w:tcPr>
          <w:p w14:paraId="01BBC29B">
            <w:pPr>
              <w:jc w:val="center"/>
              <w:rPr>
                <w:rFonts w:ascii="宋体" w:hAnsi="宋体"/>
                <w:b/>
                <w:color w:val="auto"/>
                <w:szCs w:val="21"/>
                <w:highlight w:val="none"/>
              </w:rPr>
            </w:pPr>
            <w:r>
              <w:rPr>
                <w:rFonts w:hint="eastAsia" w:ascii="宋体" w:hAnsi="宋体"/>
                <w:b/>
                <w:color w:val="auto"/>
                <w:szCs w:val="21"/>
                <w:highlight w:val="none"/>
              </w:rPr>
              <w:t>三、开标与评标</w:t>
            </w:r>
          </w:p>
        </w:tc>
      </w:tr>
      <w:tr w14:paraId="2DCDC4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473" w:type="pct"/>
            <w:vMerge w:val="restart"/>
            <w:tcBorders>
              <w:tl2br w:val="nil"/>
              <w:tr2bl w:val="nil"/>
            </w:tcBorders>
            <w:vAlign w:val="center"/>
          </w:tcPr>
          <w:p w14:paraId="6960328E">
            <w:pPr>
              <w:jc w:val="center"/>
              <w:rPr>
                <w:rFonts w:ascii="宋体" w:hAnsi="宋体"/>
                <w:color w:val="auto"/>
                <w:szCs w:val="21"/>
                <w:highlight w:val="none"/>
              </w:rPr>
            </w:pPr>
            <w:r>
              <w:rPr>
                <w:rFonts w:hint="eastAsia" w:ascii="宋体" w:hAnsi="宋体"/>
                <w:color w:val="auto"/>
                <w:szCs w:val="21"/>
                <w:highlight w:val="none"/>
              </w:rPr>
              <w:t>11</w:t>
            </w:r>
          </w:p>
        </w:tc>
        <w:tc>
          <w:tcPr>
            <w:tcW w:w="4526" w:type="pct"/>
            <w:gridSpan w:val="2"/>
            <w:tcBorders>
              <w:tl2br w:val="nil"/>
              <w:tr2bl w:val="nil"/>
            </w:tcBorders>
            <w:vAlign w:val="center"/>
          </w:tcPr>
          <w:p w14:paraId="02842160">
            <w:pPr>
              <w:jc w:val="both"/>
              <w:rPr>
                <w:rFonts w:ascii="宋体" w:hAnsi="宋体"/>
                <w:color w:val="auto"/>
                <w:szCs w:val="21"/>
                <w:highlight w:val="none"/>
              </w:rPr>
            </w:pPr>
            <w:r>
              <w:rPr>
                <w:rFonts w:hint="eastAsia" w:ascii="宋体" w:hAnsi="宋体"/>
                <w:b/>
                <w:color w:val="auto"/>
                <w:szCs w:val="21"/>
                <w:highlight w:val="none"/>
              </w:rPr>
              <w:t>本项目评标方法</w:t>
            </w:r>
          </w:p>
        </w:tc>
      </w:tr>
      <w:tr w14:paraId="7AEF794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472" w:hRule="atLeast"/>
        </w:trPr>
        <w:tc>
          <w:tcPr>
            <w:tcW w:w="473" w:type="pct"/>
            <w:vMerge w:val="continue"/>
            <w:tcBorders>
              <w:tl2br w:val="nil"/>
              <w:tr2bl w:val="nil"/>
            </w:tcBorders>
            <w:vAlign w:val="center"/>
          </w:tcPr>
          <w:p w14:paraId="7FBCE14B">
            <w:pPr>
              <w:jc w:val="center"/>
              <w:rPr>
                <w:rFonts w:ascii="宋体" w:hAnsi="宋体"/>
                <w:color w:val="auto"/>
                <w:szCs w:val="21"/>
                <w:highlight w:val="none"/>
              </w:rPr>
            </w:pPr>
          </w:p>
        </w:tc>
        <w:tc>
          <w:tcPr>
            <w:tcW w:w="4526" w:type="pct"/>
            <w:gridSpan w:val="2"/>
            <w:tcBorders>
              <w:tl2br w:val="nil"/>
              <w:tr2bl w:val="nil"/>
            </w:tcBorders>
            <w:vAlign w:val="center"/>
          </w:tcPr>
          <w:p w14:paraId="3EE9D8E4">
            <w:pPr>
              <w:jc w:val="both"/>
              <w:rPr>
                <w:rFonts w:ascii="宋体" w:hAnsi="宋体"/>
                <w:b/>
                <w:color w:val="auto"/>
                <w:szCs w:val="21"/>
                <w:highlight w:val="none"/>
              </w:rPr>
            </w:pPr>
            <w:r>
              <w:rPr>
                <w:rFonts w:hint="eastAsia" w:ascii="宋体" w:hAnsi="宋体"/>
                <w:color w:val="auto"/>
                <w:szCs w:val="21"/>
                <w:highlight w:val="none"/>
              </w:rPr>
              <w:t>综合评分法。</w:t>
            </w:r>
          </w:p>
        </w:tc>
      </w:tr>
      <w:tr w14:paraId="4859203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473" w:type="pct"/>
            <w:vMerge w:val="restart"/>
            <w:tcBorders>
              <w:tl2br w:val="nil"/>
              <w:tr2bl w:val="nil"/>
            </w:tcBorders>
            <w:vAlign w:val="center"/>
          </w:tcPr>
          <w:p w14:paraId="32E0CB1B">
            <w:pPr>
              <w:jc w:val="center"/>
              <w:rPr>
                <w:rFonts w:ascii="宋体" w:hAnsi="宋体"/>
                <w:color w:val="auto"/>
                <w:szCs w:val="21"/>
                <w:highlight w:val="none"/>
              </w:rPr>
            </w:pPr>
            <w:r>
              <w:rPr>
                <w:rFonts w:hint="eastAsia" w:ascii="宋体" w:hAnsi="宋体"/>
                <w:color w:val="auto"/>
                <w:szCs w:val="21"/>
                <w:highlight w:val="none"/>
              </w:rPr>
              <w:t>12</w:t>
            </w:r>
          </w:p>
        </w:tc>
        <w:tc>
          <w:tcPr>
            <w:tcW w:w="4526" w:type="pct"/>
            <w:gridSpan w:val="2"/>
            <w:tcBorders>
              <w:tl2br w:val="nil"/>
              <w:tr2bl w:val="nil"/>
            </w:tcBorders>
            <w:vAlign w:val="center"/>
          </w:tcPr>
          <w:p w14:paraId="43C7C8B6">
            <w:pPr>
              <w:jc w:val="both"/>
              <w:rPr>
                <w:rFonts w:ascii="宋体" w:hAnsi="宋体"/>
                <w:b/>
                <w:color w:val="auto"/>
                <w:szCs w:val="21"/>
                <w:highlight w:val="none"/>
              </w:rPr>
            </w:pPr>
            <w:r>
              <w:rPr>
                <w:rFonts w:hint="eastAsia" w:ascii="宋体" w:hAnsi="宋体"/>
                <w:b/>
                <w:color w:val="auto"/>
                <w:szCs w:val="21"/>
                <w:highlight w:val="none"/>
              </w:rPr>
              <w:t>综合评分法评分因素和权重分值</w:t>
            </w:r>
          </w:p>
        </w:tc>
      </w:tr>
      <w:tr w14:paraId="37E9452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473" w:type="pct"/>
            <w:vMerge w:val="continue"/>
            <w:tcBorders>
              <w:tl2br w:val="nil"/>
              <w:tr2bl w:val="nil"/>
            </w:tcBorders>
            <w:vAlign w:val="center"/>
          </w:tcPr>
          <w:p w14:paraId="6098D113">
            <w:pPr>
              <w:jc w:val="center"/>
              <w:rPr>
                <w:rFonts w:ascii="宋体" w:hAnsi="宋体"/>
                <w:color w:val="auto"/>
                <w:szCs w:val="21"/>
                <w:highlight w:val="none"/>
              </w:rPr>
            </w:pPr>
          </w:p>
        </w:tc>
        <w:tc>
          <w:tcPr>
            <w:tcW w:w="4526" w:type="pct"/>
            <w:gridSpan w:val="2"/>
            <w:tcBorders>
              <w:tl2br w:val="nil"/>
              <w:tr2bl w:val="nil"/>
            </w:tcBorders>
            <w:vAlign w:val="center"/>
          </w:tcPr>
          <w:p w14:paraId="35CF100E">
            <w:pPr>
              <w:jc w:val="both"/>
              <w:rPr>
                <w:rFonts w:ascii="宋体" w:hAnsi="宋体"/>
                <w:b/>
                <w:color w:val="auto"/>
                <w:szCs w:val="21"/>
                <w:highlight w:val="none"/>
              </w:rPr>
            </w:pPr>
            <w:r>
              <w:rPr>
                <w:rFonts w:hint="eastAsia" w:ascii="宋体" w:hAnsi="宋体"/>
                <w:color w:val="auto"/>
                <w:szCs w:val="21"/>
                <w:highlight w:val="none"/>
              </w:rPr>
              <w:t>见附表二。</w:t>
            </w:r>
          </w:p>
        </w:tc>
      </w:tr>
      <w:tr w14:paraId="1C72C94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473" w:type="pct"/>
            <w:vMerge w:val="restart"/>
            <w:tcBorders>
              <w:tl2br w:val="nil"/>
              <w:tr2bl w:val="nil"/>
            </w:tcBorders>
            <w:vAlign w:val="center"/>
          </w:tcPr>
          <w:p w14:paraId="4BFEF97F">
            <w:pPr>
              <w:jc w:val="center"/>
              <w:rPr>
                <w:rFonts w:ascii="宋体" w:hAnsi="宋体"/>
                <w:color w:val="auto"/>
                <w:szCs w:val="21"/>
                <w:highlight w:val="none"/>
              </w:rPr>
            </w:pPr>
            <w:r>
              <w:rPr>
                <w:rFonts w:hint="eastAsia" w:ascii="宋体" w:hAnsi="宋体"/>
                <w:color w:val="auto"/>
                <w:szCs w:val="21"/>
                <w:highlight w:val="none"/>
              </w:rPr>
              <w:t>13</w:t>
            </w:r>
          </w:p>
        </w:tc>
        <w:tc>
          <w:tcPr>
            <w:tcW w:w="4526" w:type="pct"/>
            <w:gridSpan w:val="2"/>
            <w:tcBorders>
              <w:tl2br w:val="nil"/>
              <w:tr2bl w:val="nil"/>
            </w:tcBorders>
            <w:vAlign w:val="center"/>
          </w:tcPr>
          <w:p w14:paraId="3E2D9BC9">
            <w:pPr>
              <w:jc w:val="both"/>
              <w:rPr>
                <w:rFonts w:ascii="宋体" w:hAnsi="宋体"/>
                <w:color w:val="auto"/>
                <w:szCs w:val="21"/>
                <w:highlight w:val="none"/>
              </w:rPr>
            </w:pPr>
            <w:r>
              <w:rPr>
                <w:rFonts w:hint="eastAsia" w:ascii="宋体" w:hAnsi="宋体"/>
                <w:b/>
                <w:color w:val="auto"/>
                <w:szCs w:val="21"/>
                <w:highlight w:val="none"/>
              </w:rPr>
              <w:t>评标委员会</w:t>
            </w:r>
          </w:p>
        </w:tc>
      </w:tr>
      <w:tr w14:paraId="038D609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473" w:type="pct"/>
            <w:vMerge w:val="continue"/>
            <w:tcBorders>
              <w:tl2br w:val="nil"/>
              <w:tr2bl w:val="nil"/>
            </w:tcBorders>
            <w:vAlign w:val="center"/>
          </w:tcPr>
          <w:p w14:paraId="3531009D">
            <w:pPr>
              <w:jc w:val="center"/>
              <w:rPr>
                <w:rFonts w:ascii="宋体" w:hAnsi="宋体"/>
                <w:color w:val="auto"/>
                <w:szCs w:val="21"/>
                <w:highlight w:val="none"/>
              </w:rPr>
            </w:pPr>
          </w:p>
        </w:tc>
        <w:tc>
          <w:tcPr>
            <w:tcW w:w="4526" w:type="pct"/>
            <w:gridSpan w:val="2"/>
            <w:tcBorders>
              <w:tl2br w:val="nil"/>
              <w:tr2bl w:val="nil"/>
            </w:tcBorders>
            <w:vAlign w:val="center"/>
          </w:tcPr>
          <w:p w14:paraId="7EC15A91">
            <w:pPr>
              <w:jc w:val="both"/>
              <w:rPr>
                <w:rFonts w:ascii="宋体" w:hAnsi="宋体"/>
                <w:color w:val="auto"/>
                <w:szCs w:val="21"/>
                <w:highlight w:val="none"/>
              </w:rPr>
            </w:pPr>
            <w:r>
              <w:rPr>
                <w:rFonts w:hint="eastAsia" w:ascii="宋体" w:hAnsi="宋体"/>
                <w:color w:val="auto"/>
                <w:szCs w:val="21"/>
                <w:highlight w:val="none"/>
              </w:rPr>
              <w:t>评标委员会成员共</w:t>
            </w:r>
            <w:r>
              <w:rPr>
                <w:rFonts w:hint="eastAsia" w:ascii="宋体" w:hAnsi="宋体"/>
                <w:color w:val="auto"/>
                <w:szCs w:val="21"/>
                <w:highlight w:val="none"/>
                <w:u w:val="single"/>
              </w:rPr>
              <w:t>五</w:t>
            </w:r>
            <w:r>
              <w:rPr>
                <w:rFonts w:hint="eastAsia" w:ascii="宋体" w:hAnsi="宋体"/>
                <w:color w:val="auto"/>
                <w:szCs w:val="21"/>
                <w:highlight w:val="none"/>
              </w:rPr>
              <w:t>人：</w:t>
            </w:r>
            <w:r>
              <w:rPr>
                <w:rFonts w:hint="eastAsia" w:ascii="宋体" w:hAnsi="宋体"/>
                <w:color w:val="auto"/>
                <w:szCs w:val="21"/>
                <w:highlight w:val="none"/>
                <w:lang w:val="zh-CN"/>
              </w:rPr>
              <w:t>评标委员会由采购人</w:t>
            </w:r>
            <w:r>
              <w:rPr>
                <w:rFonts w:hint="eastAsia" w:ascii="宋体" w:hAnsi="宋体"/>
                <w:color w:val="auto"/>
                <w:szCs w:val="21"/>
                <w:highlight w:val="none"/>
              </w:rPr>
              <w:t>的</w:t>
            </w:r>
            <w:r>
              <w:rPr>
                <w:rFonts w:hint="eastAsia" w:ascii="宋体" w:hAnsi="宋体"/>
                <w:color w:val="auto"/>
                <w:szCs w:val="21"/>
                <w:highlight w:val="none"/>
                <w:lang w:val="zh-CN"/>
              </w:rPr>
              <w:t>代表和</w:t>
            </w:r>
            <w:r>
              <w:rPr>
                <w:rFonts w:hint="eastAsia" w:ascii="宋体" w:hAnsi="宋体"/>
                <w:color w:val="auto"/>
                <w:szCs w:val="21"/>
                <w:highlight w:val="none"/>
              </w:rPr>
              <w:t>有关方面的</w:t>
            </w:r>
            <w:r>
              <w:rPr>
                <w:rFonts w:hint="eastAsia" w:ascii="宋体" w:hAnsi="宋体"/>
                <w:color w:val="auto"/>
                <w:szCs w:val="21"/>
                <w:highlight w:val="none"/>
                <w:lang w:val="zh-CN"/>
              </w:rPr>
              <w:t>专家组成，</w:t>
            </w:r>
            <w:r>
              <w:rPr>
                <w:rFonts w:hint="eastAsia" w:ascii="宋体" w:hAnsi="宋体"/>
                <w:color w:val="auto"/>
                <w:szCs w:val="21"/>
                <w:highlight w:val="none"/>
              </w:rPr>
              <w:t>成员人数为五人或五人以上单数</w:t>
            </w:r>
            <w:r>
              <w:rPr>
                <w:rFonts w:hint="eastAsia" w:ascii="宋体" w:hAnsi="宋体"/>
                <w:color w:val="auto"/>
                <w:szCs w:val="21"/>
                <w:highlight w:val="none"/>
                <w:lang w:val="zh-CN"/>
              </w:rPr>
              <w:t>，其中专家不得少于成员总数的三分之二。</w:t>
            </w:r>
          </w:p>
        </w:tc>
      </w:tr>
      <w:tr w14:paraId="1B335E8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748" w:hRule="atLeast"/>
        </w:trPr>
        <w:tc>
          <w:tcPr>
            <w:tcW w:w="5000" w:type="pct"/>
            <w:gridSpan w:val="3"/>
            <w:tcBorders>
              <w:tl2br w:val="nil"/>
              <w:tr2bl w:val="nil"/>
            </w:tcBorders>
            <w:vAlign w:val="center"/>
          </w:tcPr>
          <w:p w14:paraId="32FEC6D4">
            <w:pPr>
              <w:jc w:val="center"/>
              <w:rPr>
                <w:rFonts w:ascii="宋体" w:hAnsi="宋体"/>
                <w:b/>
                <w:color w:val="auto"/>
                <w:szCs w:val="21"/>
                <w:highlight w:val="none"/>
              </w:rPr>
            </w:pPr>
            <w:r>
              <w:rPr>
                <w:rFonts w:hint="eastAsia" w:ascii="宋体" w:hAnsi="宋体"/>
                <w:b/>
                <w:color w:val="auto"/>
                <w:szCs w:val="21"/>
                <w:highlight w:val="none"/>
              </w:rPr>
              <w:t>四、授予合同</w:t>
            </w:r>
          </w:p>
        </w:tc>
      </w:tr>
      <w:tr w14:paraId="61B5375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9" w:hRule="atLeast"/>
        </w:trPr>
        <w:tc>
          <w:tcPr>
            <w:tcW w:w="473" w:type="pct"/>
            <w:vMerge w:val="restart"/>
            <w:tcBorders>
              <w:tl2br w:val="nil"/>
              <w:tr2bl w:val="nil"/>
            </w:tcBorders>
            <w:vAlign w:val="center"/>
          </w:tcPr>
          <w:p w14:paraId="7656D800">
            <w:pPr>
              <w:jc w:val="center"/>
              <w:rPr>
                <w:rFonts w:ascii="宋体" w:hAnsi="宋体"/>
                <w:color w:val="auto"/>
                <w:szCs w:val="21"/>
                <w:highlight w:val="none"/>
              </w:rPr>
            </w:pPr>
            <w:r>
              <w:rPr>
                <w:rFonts w:hint="eastAsia" w:ascii="宋体" w:hAnsi="宋体"/>
                <w:color w:val="auto"/>
                <w:szCs w:val="21"/>
                <w:highlight w:val="none"/>
              </w:rPr>
              <w:t>14</w:t>
            </w:r>
          </w:p>
        </w:tc>
        <w:tc>
          <w:tcPr>
            <w:tcW w:w="4526" w:type="pct"/>
            <w:gridSpan w:val="2"/>
            <w:tcBorders>
              <w:tl2br w:val="nil"/>
              <w:tr2bl w:val="nil"/>
            </w:tcBorders>
            <w:shd w:val="clear" w:color="auto" w:fill="auto"/>
            <w:vAlign w:val="center"/>
          </w:tcPr>
          <w:p w14:paraId="333288AF">
            <w:pPr>
              <w:jc w:val="both"/>
              <w:rPr>
                <w:rFonts w:ascii="宋体" w:hAnsi="宋体"/>
                <w:b/>
                <w:color w:val="auto"/>
                <w:szCs w:val="21"/>
                <w:highlight w:val="none"/>
              </w:rPr>
            </w:pPr>
            <w:r>
              <w:rPr>
                <w:rFonts w:hint="eastAsia" w:ascii="宋体" w:hAnsi="宋体"/>
                <w:b/>
                <w:color w:val="auto"/>
                <w:szCs w:val="21"/>
                <w:highlight w:val="none"/>
              </w:rPr>
              <w:t>履约担保</w:t>
            </w:r>
          </w:p>
        </w:tc>
      </w:tr>
      <w:tr w14:paraId="13C021E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40" w:hRule="atLeast"/>
        </w:trPr>
        <w:tc>
          <w:tcPr>
            <w:tcW w:w="473" w:type="pct"/>
            <w:vMerge w:val="continue"/>
            <w:tcBorders>
              <w:tl2br w:val="nil"/>
              <w:tr2bl w:val="nil"/>
            </w:tcBorders>
            <w:vAlign w:val="center"/>
          </w:tcPr>
          <w:p w14:paraId="49AD51A7">
            <w:pPr>
              <w:jc w:val="center"/>
              <w:rPr>
                <w:rFonts w:ascii="宋体" w:hAnsi="宋体"/>
                <w:color w:val="auto"/>
                <w:szCs w:val="21"/>
                <w:highlight w:val="none"/>
              </w:rPr>
            </w:pPr>
          </w:p>
        </w:tc>
        <w:tc>
          <w:tcPr>
            <w:tcW w:w="4526" w:type="pct"/>
            <w:gridSpan w:val="2"/>
            <w:tcBorders>
              <w:tl2br w:val="nil"/>
              <w:tr2bl w:val="nil"/>
            </w:tcBorders>
            <w:shd w:val="clear" w:color="auto" w:fill="auto"/>
            <w:vAlign w:val="center"/>
          </w:tcPr>
          <w:p w14:paraId="34203BBF">
            <w:pPr>
              <w:keepNext w:val="0"/>
              <w:keepLines w:val="0"/>
              <w:pageBreakBefore w:val="0"/>
              <w:widowControl/>
              <w:tabs>
                <w:tab w:val="left" w:pos="567"/>
              </w:tabs>
              <w:kinsoku/>
              <w:wordWrap/>
              <w:overflowPunct/>
              <w:topLinePunct w:val="0"/>
              <w:autoSpaceDE/>
              <w:autoSpaceDN/>
              <w:bidi w:val="0"/>
              <w:adjustRightInd w:val="0"/>
              <w:snapToGrid w:val="0"/>
              <w:ind w:firstLine="420" w:firstLineChars="200"/>
              <w:jc w:val="left"/>
              <w:textAlignment w:val="auto"/>
              <w:rPr>
                <w:rFonts w:hint="eastAsia" w:ascii="宋体" w:hAnsi="宋体" w:eastAsia="宋体" w:cs="宋体"/>
                <w:color w:val="auto"/>
                <w:kern w:val="2"/>
                <w:szCs w:val="21"/>
                <w:highlight w:val="none"/>
                <w:lang w:val="zh-CN"/>
              </w:rPr>
            </w:pPr>
            <w:r>
              <w:rPr>
                <w:rFonts w:hint="eastAsia" w:ascii="宋体" w:hAnsi="宋体" w:eastAsia="宋体" w:cs="宋体"/>
                <w:color w:val="auto"/>
                <w:kern w:val="2"/>
                <w:szCs w:val="21"/>
                <w:highlight w:val="none"/>
                <w:lang w:val="en-US" w:eastAsia="zh-CN"/>
              </w:rPr>
              <w:t>1.</w:t>
            </w:r>
            <w:r>
              <w:rPr>
                <w:rFonts w:hint="eastAsia" w:ascii="宋体" w:hAnsi="宋体" w:eastAsia="宋体" w:cs="宋体"/>
                <w:color w:val="auto"/>
                <w:kern w:val="2"/>
                <w:szCs w:val="21"/>
                <w:highlight w:val="none"/>
                <w:lang w:val="zh-CN"/>
              </w:rPr>
              <w:t>提交时间：合同签订之日起</w:t>
            </w:r>
            <w:r>
              <w:rPr>
                <w:rFonts w:hint="eastAsia" w:ascii="宋体" w:hAnsi="宋体" w:eastAsia="宋体" w:cs="宋体"/>
                <w:color w:val="auto"/>
                <w:kern w:val="2"/>
                <w:szCs w:val="21"/>
                <w:highlight w:val="none"/>
                <w:lang w:val="en-US" w:eastAsia="zh-CN"/>
              </w:rPr>
              <w:t>5</w:t>
            </w:r>
            <w:r>
              <w:rPr>
                <w:rFonts w:hint="eastAsia" w:ascii="宋体" w:hAnsi="宋体" w:eastAsia="宋体" w:cs="宋体"/>
                <w:color w:val="auto"/>
                <w:kern w:val="2"/>
                <w:szCs w:val="21"/>
                <w:highlight w:val="none"/>
                <w:lang w:val="zh-CN"/>
              </w:rPr>
              <w:t>日内</w:t>
            </w:r>
            <w:r>
              <w:rPr>
                <w:rFonts w:hint="eastAsia" w:ascii="宋体" w:hAnsi="宋体" w:cs="宋体"/>
                <w:color w:val="auto"/>
                <w:kern w:val="2"/>
                <w:szCs w:val="21"/>
                <w:highlight w:val="none"/>
                <w:lang w:val="zh-CN"/>
              </w:rPr>
              <w:t>；</w:t>
            </w:r>
          </w:p>
          <w:p w14:paraId="4A9F433E">
            <w:pPr>
              <w:keepNext w:val="0"/>
              <w:keepLines w:val="0"/>
              <w:pageBreakBefore w:val="0"/>
              <w:widowControl/>
              <w:tabs>
                <w:tab w:val="left" w:pos="567"/>
              </w:tabs>
              <w:kinsoku/>
              <w:wordWrap/>
              <w:overflowPunct/>
              <w:topLinePunct w:val="0"/>
              <w:autoSpaceDE/>
              <w:autoSpaceDN/>
              <w:bidi w:val="0"/>
              <w:adjustRightInd w:val="0"/>
              <w:snapToGrid w:val="0"/>
              <w:ind w:firstLine="420" w:firstLineChars="200"/>
              <w:jc w:val="left"/>
              <w:textAlignment w:val="auto"/>
              <w:rPr>
                <w:rFonts w:hint="eastAsia" w:ascii="宋体" w:hAnsi="宋体" w:eastAsia="宋体" w:cs="宋体"/>
                <w:color w:val="auto"/>
                <w:kern w:val="2"/>
                <w:szCs w:val="21"/>
                <w:highlight w:val="none"/>
                <w:lang w:val="zh-CN"/>
              </w:rPr>
            </w:pPr>
            <w:r>
              <w:rPr>
                <w:rFonts w:hint="eastAsia" w:ascii="宋体" w:hAnsi="宋体" w:eastAsia="宋体" w:cs="宋体"/>
                <w:color w:val="auto"/>
                <w:kern w:val="2"/>
                <w:szCs w:val="21"/>
                <w:highlight w:val="none"/>
                <w:lang w:val="en-US" w:eastAsia="zh-CN"/>
              </w:rPr>
              <w:t>2.</w:t>
            </w:r>
            <w:r>
              <w:rPr>
                <w:rFonts w:hint="eastAsia" w:ascii="宋体" w:hAnsi="宋体" w:eastAsia="宋体" w:cs="宋体"/>
                <w:color w:val="auto"/>
                <w:kern w:val="2"/>
                <w:szCs w:val="21"/>
                <w:highlight w:val="none"/>
                <w:lang w:val="zh-CN"/>
              </w:rPr>
              <w:t>金额：合同（成交）金额的10%</w:t>
            </w:r>
            <w:r>
              <w:rPr>
                <w:rFonts w:hint="eastAsia" w:ascii="宋体" w:hAnsi="宋体" w:cs="宋体"/>
                <w:color w:val="auto"/>
                <w:kern w:val="2"/>
                <w:szCs w:val="21"/>
                <w:highlight w:val="none"/>
                <w:lang w:val="zh-CN"/>
              </w:rPr>
              <w:t>；</w:t>
            </w:r>
          </w:p>
          <w:p w14:paraId="0B78F310">
            <w:pPr>
              <w:keepNext w:val="0"/>
              <w:keepLines w:val="0"/>
              <w:pageBreakBefore w:val="0"/>
              <w:widowControl/>
              <w:tabs>
                <w:tab w:val="left" w:pos="567"/>
              </w:tabs>
              <w:kinsoku/>
              <w:wordWrap/>
              <w:overflowPunct/>
              <w:topLinePunct w:val="0"/>
              <w:autoSpaceDE/>
              <w:autoSpaceDN/>
              <w:bidi w:val="0"/>
              <w:adjustRightInd w:val="0"/>
              <w:snapToGrid w:val="0"/>
              <w:ind w:firstLine="420" w:firstLineChars="200"/>
              <w:jc w:val="left"/>
              <w:textAlignment w:val="auto"/>
              <w:rPr>
                <w:rFonts w:hint="eastAsia" w:ascii="宋体" w:hAnsi="宋体" w:eastAsia="宋体" w:cs="宋体"/>
                <w:color w:val="auto"/>
                <w:kern w:val="2"/>
                <w:szCs w:val="21"/>
                <w:highlight w:val="none"/>
                <w:lang w:val="en-US" w:eastAsia="zh-CN"/>
              </w:rPr>
            </w:pPr>
            <w:r>
              <w:rPr>
                <w:rFonts w:hint="eastAsia" w:ascii="宋体" w:hAnsi="宋体" w:eastAsia="宋体" w:cs="宋体"/>
                <w:color w:val="auto"/>
                <w:kern w:val="2"/>
                <w:szCs w:val="21"/>
                <w:highlight w:val="none"/>
                <w:lang w:val="en-US" w:eastAsia="zh-CN"/>
              </w:rPr>
              <w:t>3.</w:t>
            </w:r>
            <w:r>
              <w:rPr>
                <w:rFonts w:hint="eastAsia" w:ascii="宋体" w:hAnsi="宋体" w:eastAsia="宋体" w:cs="宋体"/>
                <w:color w:val="auto"/>
                <w:kern w:val="2"/>
                <w:szCs w:val="21"/>
                <w:highlight w:val="none"/>
                <w:lang w:val="zh-CN"/>
              </w:rPr>
              <w:t>方式：</w:t>
            </w:r>
            <w:r>
              <w:rPr>
                <w:rFonts w:hint="eastAsia" w:ascii="宋体" w:hAnsi="宋体" w:eastAsia="宋体" w:cs="宋体"/>
                <w:color w:val="auto"/>
                <w:kern w:val="2"/>
                <w:szCs w:val="21"/>
                <w:highlight w:val="none"/>
                <w:lang w:val="en-US" w:eastAsia="zh-CN"/>
              </w:rPr>
              <w:t>包括于</w:t>
            </w:r>
            <w:r>
              <w:rPr>
                <w:rFonts w:hint="eastAsia" w:ascii="宋体" w:hAnsi="宋体" w:eastAsia="宋体" w:cs="宋体"/>
                <w:color w:val="auto"/>
                <w:kern w:val="2"/>
                <w:szCs w:val="21"/>
                <w:highlight w:val="none"/>
                <w:lang w:val="zh-CN"/>
              </w:rPr>
              <w:t>现金</w:t>
            </w:r>
            <w:r>
              <w:rPr>
                <w:rFonts w:hint="eastAsia" w:ascii="宋体" w:hAnsi="宋体" w:eastAsia="宋体" w:cs="宋体"/>
                <w:color w:val="auto"/>
                <w:kern w:val="2"/>
                <w:szCs w:val="21"/>
                <w:highlight w:val="none"/>
                <w:lang w:val="zh-CN" w:eastAsia="zh-CN"/>
              </w:rPr>
              <w:t>、</w:t>
            </w:r>
            <w:r>
              <w:rPr>
                <w:rFonts w:hint="eastAsia" w:ascii="宋体" w:hAnsi="宋体" w:eastAsia="宋体" w:cs="宋体"/>
                <w:color w:val="auto"/>
                <w:kern w:val="2"/>
                <w:szCs w:val="21"/>
                <w:highlight w:val="none"/>
                <w:lang w:val="en-US" w:eastAsia="zh-CN"/>
              </w:rPr>
              <w:t>银行转账</w:t>
            </w:r>
            <w:r>
              <w:rPr>
                <w:rFonts w:hint="eastAsia" w:ascii="宋体" w:hAnsi="宋体" w:eastAsia="宋体" w:cs="宋体"/>
                <w:color w:val="auto"/>
                <w:kern w:val="2"/>
                <w:szCs w:val="21"/>
                <w:highlight w:val="none"/>
                <w:lang w:val="zh-CN" w:eastAsia="zh-CN"/>
              </w:rPr>
              <w:t>、</w:t>
            </w:r>
            <w:r>
              <w:rPr>
                <w:rFonts w:hint="eastAsia" w:ascii="宋体" w:hAnsi="宋体" w:eastAsia="宋体" w:cs="宋体"/>
                <w:color w:val="auto"/>
                <w:kern w:val="2"/>
                <w:szCs w:val="21"/>
                <w:highlight w:val="none"/>
                <w:lang w:val="zh-CN"/>
              </w:rPr>
              <w:t>银行保函</w:t>
            </w:r>
            <w:r>
              <w:rPr>
                <w:rFonts w:hint="eastAsia" w:ascii="宋体" w:hAnsi="宋体" w:eastAsia="宋体" w:cs="宋体"/>
                <w:color w:val="auto"/>
                <w:kern w:val="2"/>
                <w:szCs w:val="21"/>
                <w:highlight w:val="none"/>
                <w:lang w:val="zh-CN" w:eastAsia="zh-CN"/>
              </w:rPr>
              <w:t>、</w:t>
            </w:r>
            <w:r>
              <w:rPr>
                <w:rFonts w:hint="eastAsia" w:ascii="宋体" w:hAnsi="宋体" w:eastAsia="宋体" w:cs="宋体"/>
                <w:color w:val="auto"/>
                <w:kern w:val="2"/>
                <w:szCs w:val="21"/>
                <w:highlight w:val="none"/>
                <w:lang w:val="zh-CN"/>
              </w:rPr>
              <w:t>担保公司证明等缴纳或提交</w:t>
            </w:r>
            <w:r>
              <w:rPr>
                <w:rFonts w:hint="eastAsia" w:ascii="宋体" w:hAnsi="宋体" w:cs="宋体"/>
                <w:color w:val="auto"/>
                <w:kern w:val="2"/>
                <w:szCs w:val="21"/>
                <w:highlight w:val="none"/>
                <w:lang w:val="zh-CN"/>
              </w:rPr>
              <w:t>；</w:t>
            </w:r>
            <w:r>
              <w:rPr>
                <w:rFonts w:hint="eastAsia" w:ascii="宋体" w:hAnsi="宋体" w:eastAsia="宋体" w:cs="宋体"/>
                <w:color w:val="auto"/>
                <w:kern w:val="2"/>
                <w:szCs w:val="21"/>
                <w:highlight w:val="none"/>
                <w:lang w:val="zh-CN"/>
              </w:rPr>
              <w:t>提交履约保证金形式须提前与采购人确认</w:t>
            </w:r>
            <w:r>
              <w:rPr>
                <w:rFonts w:hint="eastAsia" w:ascii="宋体" w:hAnsi="宋体" w:eastAsia="宋体" w:cs="宋体"/>
                <w:color w:val="auto"/>
                <w:kern w:val="2"/>
                <w:szCs w:val="21"/>
                <w:highlight w:val="none"/>
                <w:lang w:val="zh-CN" w:eastAsia="zh-CN"/>
              </w:rPr>
              <w:t>，</w:t>
            </w:r>
            <w:r>
              <w:rPr>
                <w:rFonts w:hint="eastAsia" w:ascii="宋体" w:hAnsi="宋体" w:eastAsia="宋体" w:cs="宋体"/>
                <w:color w:val="auto"/>
                <w:kern w:val="2"/>
                <w:szCs w:val="21"/>
                <w:highlight w:val="none"/>
                <w:lang w:val="en-US" w:eastAsia="zh-CN"/>
              </w:rPr>
              <w:t>（保函起保时间不低于</w:t>
            </w:r>
            <w:r>
              <w:rPr>
                <w:rFonts w:hint="eastAsia" w:ascii="宋体" w:hAnsi="宋体" w:cs="宋体"/>
                <w:color w:val="auto"/>
                <w:kern w:val="2"/>
                <w:szCs w:val="21"/>
                <w:highlight w:val="none"/>
                <w:lang w:val="en-US" w:eastAsia="zh-CN"/>
              </w:rPr>
              <w:t>180</w:t>
            </w:r>
            <w:r>
              <w:rPr>
                <w:rFonts w:hint="eastAsia" w:ascii="宋体" w:hAnsi="宋体" w:eastAsia="宋体" w:cs="宋体"/>
                <w:color w:val="auto"/>
                <w:kern w:val="2"/>
                <w:szCs w:val="21"/>
                <w:highlight w:val="none"/>
                <w:lang w:val="en-US" w:eastAsia="zh-CN"/>
              </w:rPr>
              <w:t>天）。</w:t>
            </w:r>
          </w:p>
          <w:p w14:paraId="541DA606">
            <w:pPr>
              <w:keepNext w:val="0"/>
              <w:keepLines w:val="0"/>
              <w:pageBreakBefore w:val="0"/>
              <w:widowControl/>
              <w:tabs>
                <w:tab w:val="left" w:pos="567"/>
              </w:tabs>
              <w:kinsoku/>
              <w:wordWrap/>
              <w:overflowPunct/>
              <w:topLinePunct w:val="0"/>
              <w:autoSpaceDE/>
              <w:autoSpaceDN/>
              <w:bidi w:val="0"/>
              <w:adjustRightInd w:val="0"/>
              <w:snapToGrid w:val="0"/>
              <w:ind w:firstLine="420" w:firstLineChars="200"/>
              <w:jc w:val="left"/>
              <w:textAlignment w:val="auto"/>
              <w:rPr>
                <w:rFonts w:hint="eastAsia" w:ascii="宋体" w:hAnsi="宋体" w:eastAsia="宋体" w:cs="宋体"/>
                <w:color w:val="auto"/>
                <w:kern w:val="2"/>
                <w:szCs w:val="21"/>
                <w:highlight w:val="none"/>
                <w:lang w:val="en-US" w:eastAsia="zh-CN"/>
              </w:rPr>
            </w:pPr>
            <w:r>
              <w:rPr>
                <w:rFonts w:hint="eastAsia" w:ascii="宋体" w:hAnsi="宋体" w:eastAsia="宋体" w:cs="宋体"/>
                <w:color w:val="auto"/>
                <w:kern w:val="2"/>
                <w:szCs w:val="21"/>
                <w:highlight w:val="none"/>
                <w:lang w:val="en-US" w:eastAsia="zh-CN"/>
              </w:rPr>
              <w:t>4.保证范围：为中标人未按建设工程施工合同约定履行义务，包括但不限于因中标人原因不能按约定竣工日期竣工、安全生产、工程质量达不到标准时以及因违反《民法典》的相关约定应向采购人支付的违约金或赔偿的损失。</w:t>
            </w:r>
          </w:p>
          <w:p w14:paraId="2195BD5B">
            <w:pPr>
              <w:keepNext w:val="0"/>
              <w:keepLines w:val="0"/>
              <w:pageBreakBefore w:val="0"/>
              <w:widowControl/>
              <w:tabs>
                <w:tab w:val="left" w:pos="567"/>
              </w:tabs>
              <w:kinsoku/>
              <w:wordWrap/>
              <w:overflowPunct/>
              <w:topLinePunct w:val="0"/>
              <w:autoSpaceDE/>
              <w:autoSpaceDN/>
              <w:bidi w:val="0"/>
              <w:adjustRightInd w:val="0"/>
              <w:snapToGrid w:val="0"/>
              <w:ind w:firstLine="420" w:firstLineChars="200"/>
              <w:jc w:val="left"/>
              <w:textAlignment w:val="auto"/>
              <w:rPr>
                <w:rFonts w:hint="eastAsia" w:ascii="宋体" w:hAnsi="宋体" w:eastAsia="宋体" w:cs="宋体"/>
                <w:color w:val="auto"/>
                <w:kern w:val="2"/>
                <w:szCs w:val="21"/>
                <w:highlight w:val="none"/>
                <w:lang w:val="en-US" w:eastAsia="zh-CN"/>
              </w:rPr>
            </w:pPr>
            <w:r>
              <w:rPr>
                <w:rFonts w:hint="eastAsia" w:ascii="宋体" w:hAnsi="宋体" w:eastAsia="宋体" w:cs="宋体"/>
                <w:color w:val="auto"/>
                <w:kern w:val="2"/>
                <w:szCs w:val="21"/>
                <w:highlight w:val="none"/>
                <w:lang w:val="en-US" w:eastAsia="zh-CN"/>
              </w:rPr>
              <w:t>5.保证期间自双方签订合同生效之日起至建设工程竣工验收合格后，项目完成通电调试未出现影响采购人收益的故障，中标人可申请采购人退回中标人履约保证金。</w:t>
            </w:r>
          </w:p>
          <w:p w14:paraId="33D931A4">
            <w:pPr>
              <w:keepNext w:val="0"/>
              <w:keepLines w:val="0"/>
              <w:pageBreakBefore w:val="0"/>
              <w:widowControl/>
              <w:tabs>
                <w:tab w:val="left" w:pos="567"/>
              </w:tabs>
              <w:kinsoku/>
              <w:wordWrap/>
              <w:overflowPunct/>
              <w:topLinePunct w:val="0"/>
              <w:autoSpaceDE/>
              <w:autoSpaceDN/>
              <w:bidi w:val="0"/>
              <w:adjustRightInd w:val="0"/>
              <w:snapToGrid w:val="0"/>
              <w:ind w:firstLine="420" w:firstLineChars="200"/>
              <w:jc w:val="left"/>
              <w:textAlignment w:val="auto"/>
              <w:rPr>
                <w:rFonts w:ascii="宋体" w:hAnsi="宋体"/>
                <w:b/>
                <w:color w:val="auto"/>
                <w:szCs w:val="21"/>
                <w:highlight w:val="none"/>
              </w:rPr>
            </w:pPr>
            <w:r>
              <w:rPr>
                <w:rFonts w:hint="eastAsia" w:ascii="宋体" w:hAnsi="宋体" w:eastAsia="宋体" w:cs="宋体"/>
                <w:color w:val="auto"/>
                <w:kern w:val="2"/>
                <w:szCs w:val="21"/>
                <w:highlight w:val="none"/>
                <w:lang w:val="en-US" w:eastAsia="zh-CN"/>
              </w:rPr>
              <w:t>6.中标人</w:t>
            </w:r>
            <w:r>
              <w:rPr>
                <w:rFonts w:hint="eastAsia" w:ascii="宋体" w:hAnsi="宋体" w:eastAsia="宋体" w:cs="宋体"/>
                <w:color w:val="auto"/>
                <w:kern w:val="2"/>
                <w:szCs w:val="21"/>
                <w:highlight w:val="none"/>
                <w:lang w:val="zh-CN"/>
              </w:rPr>
              <w:t>也可以自行选择是否采取履约担保函的形式缴纳履约保证金。响应供应商以履约担保函形式缴纳履约保证金的，必须选定专业担保机构并出具《履约担保函》。《履约担保函》在项目竣工验收期之日起30天后，自动失效。</w:t>
            </w:r>
          </w:p>
        </w:tc>
      </w:tr>
      <w:tr w14:paraId="58A1733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42" w:hRule="atLeast"/>
        </w:trPr>
        <w:tc>
          <w:tcPr>
            <w:tcW w:w="473" w:type="pct"/>
            <w:vMerge w:val="restart"/>
            <w:tcBorders>
              <w:tl2br w:val="nil"/>
              <w:tr2bl w:val="nil"/>
            </w:tcBorders>
            <w:vAlign w:val="center"/>
          </w:tcPr>
          <w:p w14:paraId="26BD8C70">
            <w:pPr>
              <w:jc w:val="center"/>
              <w:rPr>
                <w:rFonts w:ascii="宋体" w:hAnsi="宋体"/>
                <w:color w:val="auto"/>
                <w:szCs w:val="21"/>
                <w:highlight w:val="none"/>
              </w:rPr>
            </w:pPr>
            <w:r>
              <w:rPr>
                <w:rFonts w:hint="eastAsia" w:ascii="宋体" w:hAnsi="宋体"/>
                <w:color w:val="auto"/>
                <w:szCs w:val="21"/>
                <w:highlight w:val="none"/>
              </w:rPr>
              <w:t>15</w:t>
            </w:r>
          </w:p>
        </w:tc>
        <w:tc>
          <w:tcPr>
            <w:tcW w:w="4526" w:type="pct"/>
            <w:gridSpan w:val="2"/>
            <w:tcBorders>
              <w:tl2br w:val="nil"/>
              <w:tr2bl w:val="nil"/>
            </w:tcBorders>
            <w:vAlign w:val="center"/>
          </w:tcPr>
          <w:p w14:paraId="14EC241B">
            <w:pPr>
              <w:jc w:val="both"/>
              <w:rPr>
                <w:rFonts w:ascii="宋体" w:hAnsi="宋体"/>
                <w:b/>
                <w:color w:val="auto"/>
                <w:szCs w:val="21"/>
                <w:highlight w:val="none"/>
              </w:rPr>
            </w:pPr>
            <w:r>
              <w:rPr>
                <w:rFonts w:hint="eastAsia" w:ascii="宋体" w:hAnsi="宋体"/>
                <w:b/>
                <w:color w:val="auto"/>
                <w:szCs w:val="21"/>
                <w:highlight w:val="none"/>
              </w:rPr>
              <w:t>中标服务费</w:t>
            </w:r>
          </w:p>
        </w:tc>
      </w:tr>
      <w:tr w14:paraId="46B29E9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536" w:hRule="atLeast"/>
        </w:trPr>
        <w:tc>
          <w:tcPr>
            <w:tcW w:w="473" w:type="pct"/>
            <w:vMerge w:val="continue"/>
            <w:tcBorders>
              <w:tl2br w:val="nil"/>
              <w:tr2bl w:val="nil"/>
            </w:tcBorders>
            <w:vAlign w:val="center"/>
          </w:tcPr>
          <w:p w14:paraId="01939E7C">
            <w:pPr>
              <w:jc w:val="center"/>
              <w:rPr>
                <w:rFonts w:ascii="宋体" w:hAnsi="宋体"/>
                <w:color w:val="auto"/>
                <w:szCs w:val="21"/>
                <w:highlight w:val="none"/>
              </w:rPr>
            </w:pPr>
          </w:p>
        </w:tc>
        <w:tc>
          <w:tcPr>
            <w:tcW w:w="4526" w:type="pct"/>
            <w:gridSpan w:val="2"/>
            <w:tcBorders>
              <w:tl2br w:val="nil"/>
              <w:tr2bl w:val="nil"/>
            </w:tcBorders>
            <w:vAlign w:val="center"/>
          </w:tcPr>
          <w:p w14:paraId="6CAFA58C">
            <w:pPr>
              <w:keepNext w:val="0"/>
              <w:keepLines w:val="0"/>
              <w:pageBreakBefore w:val="0"/>
              <w:widowControl w:val="0"/>
              <w:tabs>
                <w:tab w:val="left" w:pos="907"/>
              </w:tabs>
              <w:kinsoku/>
              <w:wordWrap/>
              <w:overflowPunct/>
              <w:topLinePunct w:val="0"/>
              <w:autoSpaceDE/>
              <w:autoSpaceDN/>
              <w:bidi w:val="0"/>
              <w:adjustRightInd/>
              <w:snapToGrid/>
              <w:spacing w:after="0" w:line="360" w:lineRule="auto"/>
              <w:jc w:val="both"/>
              <w:textAlignment w:val="auto"/>
              <w:rPr>
                <w:rFonts w:hint="eastAsia" w:ascii="宋体" w:hAnsi="宋体" w:eastAsia="宋体"/>
                <w:color w:val="auto"/>
                <w:szCs w:val="21"/>
                <w:highlight w:val="none"/>
                <w:lang w:eastAsia="zh-CN"/>
              </w:rPr>
            </w:pPr>
            <w:r>
              <w:rPr>
                <w:rFonts w:hint="eastAsia" w:ascii="宋体" w:hAnsi="宋体" w:eastAsia="宋体" w:cs="宋体"/>
                <w:color w:val="auto"/>
                <w:szCs w:val="21"/>
                <w:highlight w:val="none"/>
              </w:rPr>
              <w:t>（1）中标服务费</w:t>
            </w:r>
            <w:r>
              <w:rPr>
                <w:rFonts w:hint="eastAsia" w:ascii="宋体" w:hAnsi="宋体" w:eastAsia="宋体" w:cs="宋体"/>
                <w:color w:val="auto"/>
                <w:szCs w:val="21"/>
                <w:highlight w:val="none"/>
                <w:lang w:eastAsia="zh-CN"/>
              </w:rPr>
              <w:t>参照</w:t>
            </w:r>
            <w:r>
              <w:rPr>
                <w:rFonts w:hint="eastAsia" w:ascii="宋体" w:hAnsi="宋体" w:eastAsia="宋体" w:cs="宋体"/>
                <w:color w:val="auto"/>
                <w:szCs w:val="21"/>
                <w:highlight w:val="none"/>
              </w:rPr>
              <w:t>国家计委[计价格[2002]1980号]文和国家发改委[发改价格[2011]534号]文及相关规定</w:t>
            </w:r>
            <w:r>
              <w:rPr>
                <w:rFonts w:hint="eastAsia" w:ascii="宋体" w:hAnsi="宋体" w:eastAsia="宋体" w:cs="宋体"/>
                <w:color w:val="auto"/>
                <w:szCs w:val="21"/>
                <w:highlight w:val="none"/>
                <w:lang w:eastAsia="zh-CN"/>
              </w:rPr>
              <w:t>并下浮</w:t>
            </w:r>
            <w:r>
              <w:rPr>
                <w:rFonts w:hint="eastAsia" w:ascii="宋体" w:hAnsi="宋体" w:eastAsia="宋体" w:cs="宋体"/>
                <w:color w:val="auto"/>
                <w:szCs w:val="21"/>
                <w:highlight w:val="none"/>
                <w:lang w:val="en-US" w:eastAsia="zh-CN"/>
              </w:rPr>
              <w:t>30%</w:t>
            </w:r>
            <w:r>
              <w:rPr>
                <w:rFonts w:hint="eastAsia" w:ascii="宋体" w:hAnsi="宋体" w:eastAsia="宋体" w:cs="宋体"/>
                <w:color w:val="auto"/>
                <w:szCs w:val="21"/>
                <w:highlight w:val="none"/>
              </w:rPr>
              <w:t>向中标单位收取，按差额定率累进法计算，以中标通知书中确定的中标总金额作为收费的计算</w:t>
            </w:r>
            <w:r>
              <w:rPr>
                <w:rFonts w:hint="eastAsia" w:ascii="宋体" w:hAnsi="宋体" w:eastAsia="宋体" w:cs="宋体"/>
                <w:color w:val="auto"/>
                <w:szCs w:val="21"/>
                <w:highlight w:val="none"/>
                <w:lang w:eastAsia="zh-CN"/>
              </w:rPr>
              <w:t>参照</w:t>
            </w:r>
            <w:r>
              <w:rPr>
                <w:rFonts w:hint="eastAsia" w:ascii="宋体" w:hAnsi="宋体" w:cs="宋体"/>
                <w:color w:val="auto"/>
                <w:szCs w:val="21"/>
                <w:highlight w:val="none"/>
                <w:lang w:eastAsia="zh-CN"/>
              </w:rPr>
              <w:t>；</w:t>
            </w:r>
          </w:p>
        </w:tc>
      </w:tr>
      <w:tr w14:paraId="41F825C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77" w:hRule="atLeast"/>
        </w:trPr>
        <w:tc>
          <w:tcPr>
            <w:tcW w:w="473" w:type="pct"/>
            <w:vMerge w:val="continue"/>
            <w:tcBorders>
              <w:tl2br w:val="nil"/>
              <w:tr2bl w:val="nil"/>
            </w:tcBorders>
            <w:vAlign w:val="center"/>
          </w:tcPr>
          <w:p w14:paraId="73D61DDC">
            <w:pPr>
              <w:jc w:val="center"/>
              <w:rPr>
                <w:rFonts w:ascii="宋体" w:hAnsi="宋体"/>
                <w:color w:val="auto"/>
                <w:szCs w:val="21"/>
                <w:highlight w:val="none"/>
              </w:rPr>
            </w:pPr>
          </w:p>
        </w:tc>
        <w:tc>
          <w:tcPr>
            <w:tcW w:w="4526" w:type="pct"/>
            <w:gridSpan w:val="2"/>
            <w:tcBorders>
              <w:tl2br w:val="nil"/>
              <w:tr2bl w:val="nil"/>
            </w:tcBorders>
            <w:vAlign w:val="center"/>
          </w:tcPr>
          <w:p w14:paraId="6E14675D">
            <w:pPr>
              <w:jc w:val="both"/>
              <w:rPr>
                <w:rFonts w:ascii="宋体" w:hAnsi="宋体"/>
                <w:color w:val="auto"/>
                <w:szCs w:val="21"/>
                <w:highlight w:val="none"/>
              </w:rPr>
            </w:pPr>
            <w:r>
              <w:rPr>
                <w:rFonts w:hint="eastAsia" w:ascii="宋体" w:hAnsi="宋体" w:eastAsia="宋体" w:cs="宋体"/>
                <w:color w:val="auto"/>
                <w:szCs w:val="21"/>
                <w:highlight w:val="none"/>
              </w:rPr>
              <w:t>（2）本项目</w:t>
            </w:r>
            <w:r>
              <w:rPr>
                <w:rFonts w:hint="eastAsia" w:ascii="宋体" w:hAnsi="宋体" w:eastAsia="宋体" w:cs="宋体"/>
                <w:color w:val="auto"/>
                <w:szCs w:val="21"/>
                <w:highlight w:val="none"/>
                <w:lang w:val="en-US" w:eastAsia="zh-CN"/>
              </w:rPr>
              <w:t>中标</w:t>
            </w:r>
            <w:r>
              <w:rPr>
                <w:rFonts w:hint="eastAsia" w:ascii="宋体" w:hAnsi="宋体" w:eastAsia="宋体" w:cs="宋体"/>
                <w:color w:val="auto"/>
                <w:szCs w:val="21"/>
                <w:highlight w:val="none"/>
              </w:rPr>
              <w:t>服务费由</w:t>
            </w:r>
            <w:r>
              <w:rPr>
                <w:rFonts w:hint="eastAsia" w:ascii="宋体" w:hAnsi="宋体" w:eastAsia="宋体" w:cs="宋体"/>
                <w:color w:val="auto"/>
                <w:szCs w:val="21"/>
                <w:highlight w:val="none"/>
                <w:lang w:val="en-US" w:eastAsia="zh-CN"/>
              </w:rPr>
              <w:t>中标单位</w:t>
            </w:r>
            <w:r>
              <w:rPr>
                <w:rFonts w:hint="eastAsia" w:ascii="宋体" w:hAnsi="宋体" w:eastAsia="宋体" w:cs="宋体"/>
                <w:color w:val="auto"/>
                <w:szCs w:val="21"/>
                <w:highlight w:val="none"/>
              </w:rPr>
              <w:t>支付。</w:t>
            </w:r>
          </w:p>
        </w:tc>
      </w:tr>
      <w:tr w14:paraId="7683698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77" w:hRule="atLeast"/>
        </w:trPr>
        <w:tc>
          <w:tcPr>
            <w:tcW w:w="473" w:type="pct"/>
            <w:vMerge w:val="continue"/>
            <w:tcBorders>
              <w:tl2br w:val="nil"/>
              <w:tr2bl w:val="nil"/>
            </w:tcBorders>
            <w:vAlign w:val="center"/>
          </w:tcPr>
          <w:p w14:paraId="666CEC4C">
            <w:pPr>
              <w:jc w:val="center"/>
              <w:rPr>
                <w:rFonts w:ascii="宋体" w:hAnsi="宋体"/>
                <w:color w:val="auto"/>
                <w:szCs w:val="21"/>
                <w:highlight w:val="none"/>
              </w:rPr>
            </w:pPr>
          </w:p>
        </w:tc>
        <w:tc>
          <w:tcPr>
            <w:tcW w:w="4526" w:type="pct"/>
            <w:gridSpan w:val="2"/>
            <w:tcBorders>
              <w:tl2br w:val="nil"/>
              <w:tr2bl w:val="nil"/>
            </w:tcBorders>
            <w:vAlign w:val="center"/>
          </w:tcPr>
          <w:p w14:paraId="3AA1C837">
            <w:pPr>
              <w:jc w:val="both"/>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）中标服务费以转账或现金的形式支付。招标代理机构服务费汇入账号：</w:t>
            </w:r>
          </w:p>
          <w:p w14:paraId="6B3691A4">
            <w:pPr>
              <w:jc w:val="both"/>
              <w:rPr>
                <w:rFonts w:hint="eastAsia" w:ascii="宋体" w:hAnsi="宋体"/>
                <w:color w:val="auto"/>
                <w:szCs w:val="21"/>
              </w:rPr>
            </w:pPr>
            <w:r>
              <w:rPr>
                <w:rFonts w:hint="eastAsia" w:ascii="宋体" w:hAnsi="宋体"/>
                <w:color w:val="auto"/>
                <w:szCs w:val="21"/>
              </w:rPr>
              <w:t>收款人：</w:t>
            </w:r>
            <w:r>
              <w:rPr>
                <w:rFonts w:hint="eastAsia" w:ascii="宋体" w:hAnsi="宋体"/>
                <w:color w:val="auto"/>
                <w:szCs w:val="21"/>
                <w:lang w:eastAsia="zh-CN"/>
              </w:rPr>
              <w:t>广州宏达工程顾问集团有限公司</w:t>
            </w:r>
            <w:r>
              <w:rPr>
                <w:rFonts w:hint="eastAsia" w:ascii="宋体" w:hAnsi="宋体"/>
                <w:color w:val="auto"/>
                <w:szCs w:val="21"/>
              </w:rPr>
              <w:t>东莞分公司</w:t>
            </w:r>
          </w:p>
          <w:p w14:paraId="43BADE49">
            <w:pPr>
              <w:jc w:val="both"/>
              <w:rPr>
                <w:rFonts w:hint="eastAsia" w:ascii="宋体" w:hAnsi="宋体" w:eastAsia="宋体"/>
                <w:color w:val="auto"/>
                <w:szCs w:val="21"/>
                <w:lang w:eastAsia="zh-CN"/>
              </w:rPr>
            </w:pPr>
            <w:r>
              <w:rPr>
                <w:rFonts w:hint="eastAsia" w:ascii="宋体" w:hAnsi="宋体"/>
                <w:color w:val="auto"/>
                <w:szCs w:val="21"/>
              </w:rPr>
              <w:t>开户银行：</w:t>
            </w:r>
            <w:r>
              <w:rPr>
                <w:rFonts w:hint="eastAsia" w:ascii="宋体" w:hAnsi="宋体"/>
                <w:color w:val="auto"/>
                <w:szCs w:val="21"/>
                <w:lang w:eastAsia="zh-CN"/>
              </w:rPr>
              <w:t>招商银行东莞分行营业部</w:t>
            </w:r>
          </w:p>
          <w:p w14:paraId="3E1A840A">
            <w:pPr>
              <w:jc w:val="both"/>
              <w:rPr>
                <w:rFonts w:hint="eastAsia" w:ascii="宋体" w:hAnsi="宋体" w:eastAsia="宋体" w:cs="宋体"/>
                <w:color w:val="auto"/>
                <w:szCs w:val="21"/>
                <w:highlight w:val="none"/>
              </w:rPr>
            </w:pPr>
            <w:r>
              <w:rPr>
                <w:rFonts w:hint="eastAsia" w:ascii="宋体" w:hAnsi="宋体"/>
                <w:color w:val="auto"/>
                <w:szCs w:val="21"/>
              </w:rPr>
              <w:t>账　　号：</w:t>
            </w:r>
            <w:r>
              <w:rPr>
                <w:rFonts w:hint="eastAsia" w:ascii="宋体" w:hAnsi="宋体"/>
                <w:color w:val="auto"/>
                <w:szCs w:val="21"/>
                <w:lang w:eastAsia="zh-CN"/>
              </w:rPr>
              <w:t>769911939210000</w:t>
            </w:r>
          </w:p>
        </w:tc>
      </w:tr>
      <w:tr w14:paraId="5B11072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087" w:hRule="atLeast"/>
        </w:trPr>
        <w:tc>
          <w:tcPr>
            <w:tcW w:w="5000" w:type="pct"/>
            <w:gridSpan w:val="3"/>
            <w:tcBorders>
              <w:tl2br w:val="nil"/>
              <w:tr2bl w:val="nil"/>
            </w:tcBorders>
            <w:vAlign w:val="center"/>
          </w:tcPr>
          <w:p w14:paraId="03E7A1B4">
            <w:pPr>
              <w:widowControl w:val="0"/>
              <w:tabs>
                <w:tab w:val="left" w:pos="907"/>
              </w:tabs>
              <w:adjustRightInd/>
              <w:snapToGrid/>
              <w:ind w:firstLine="420" w:firstLineChars="200"/>
              <w:jc w:val="both"/>
              <w:rPr>
                <w:rFonts w:ascii="宋体" w:hAnsi="宋体"/>
                <w:color w:val="auto"/>
                <w:szCs w:val="21"/>
                <w:highlight w:val="none"/>
              </w:rPr>
            </w:pPr>
            <w:r>
              <w:rPr>
                <w:rFonts w:hint="eastAsia" w:ascii="宋体" w:hAnsi="宋体"/>
                <w:color w:val="auto"/>
                <w:szCs w:val="21"/>
                <w:highlight w:val="none"/>
              </w:rPr>
              <w:t>注：本表关于要采购项目的具体资料，是对投标人须知的具体补充和修改，如有矛盾，应以本资料表为准。不满足采购文件中“★”条款的投标文件将作无效投标处理。</w:t>
            </w:r>
          </w:p>
        </w:tc>
      </w:tr>
    </w:tbl>
    <w:p w14:paraId="3944F945">
      <w:pPr>
        <w:jc w:val="center"/>
        <w:rPr>
          <w:color w:val="auto"/>
          <w:highlight w:val="none"/>
        </w:rPr>
      </w:pPr>
      <w:r>
        <w:rPr>
          <w:rFonts w:hint="eastAsia"/>
          <w:color w:val="auto"/>
          <w:highlight w:val="none"/>
        </w:rPr>
        <w:br w:type="page"/>
      </w:r>
    </w:p>
    <w:p w14:paraId="377F0CDE">
      <w:pPr>
        <w:pStyle w:val="4"/>
        <w:spacing w:before="0" w:after="0" w:line="240" w:lineRule="auto"/>
        <w:jc w:val="center"/>
        <w:rPr>
          <w:rFonts w:hAnsi="宋体" w:cs="宋体"/>
          <w:color w:val="auto"/>
          <w:sz w:val="21"/>
          <w:szCs w:val="21"/>
          <w:highlight w:val="none"/>
        </w:rPr>
      </w:pPr>
      <w:bookmarkStart w:id="5" w:name="_Toc2534"/>
      <w:r>
        <w:rPr>
          <w:rFonts w:hint="eastAsia" w:ascii="宋体" w:hAnsi="宋体" w:cs="宋体"/>
          <w:color w:val="auto"/>
          <w:sz w:val="24"/>
          <w:szCs w:val="24"/>
          <w:highlight w:val="none"/>
        </w:rPr>
        <w:t>附表二：商务技术评分及价格权重表（满分100分）</w:t>
      </w:r>
      <w:bookmarkEnd w:id="5"/>
    </w:p>
    <w:tbl>
      <w:tblPr>
        <w:tblStyle w:val="32"/>
        <w:tblW w:w="9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1326"/>
        <w:gridCol w:w="907"/>
        <w:gridCol w:w="6289"/>
      </w:tblGrid>
      <w:tr w14:paraId="3F4B2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1C0CA7D3">
            <w:pPr>
              <w:pStyle w:val="49"/>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序号</w:t>
            </w:r>
          </w:p>
        </w:tc>
        <w:tc>
          <w:tcPr>
            <w:tcW w:w="1326" w:type="dxa"/>
            <w:tcBorders>
              <w:top w:val="single" w:color="auto" w:sz="4" w:space="0"/>
              <w:left w:val="single" w:color="auto" w:sz="4" w:space="0"/>
              <w:bottom w:val="single" w:color="auto" w:sz="4" w:space="0"/>
              <w:right w:val="single" w:color="auto" w:sz="4" w:space="0"/>
            </w:tcBorders>
            <w:vAlign w:val="center"/>
          </w:tcPr>
          <w:p w14:paraId="7959619F">
            <w:pPr>
              <w:pStyle w:val="49"/>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评审项目</w:t>
            </w:r>
          </w:p>
        </w:tc>
        <w:tc>
          <w:tcPr>
            <w:tcW w:w="907" w:type="dxa"/>
            <w:tcBorders>
              <w:top w:val="single" w:color="auto" w:sz="4" w:space="0"/>
              <w:left w:val="single" w:color="auto" w:sz="4" w:space="0"/>
              <w:bottom w:val="single" w:color="auto" w:sz="4" w:space="0"/>
              <w:right w:val="single" w:color="auto" w:sz="4" w:space="0"/>
            </w:tcBorders>
            <w:vAlign w:val="center"/>
          </w:tcPr>
          <w:p w14:paraId="67835F04">
            <w:pPr>
              <w:pStyle w:val="49"/>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分值</w:t>
            </w:r>
          </w:p>
        </w:tc>
        <w:tc>
          <w:tcPr>
            <w:tcW w:w="6289" w:type="dxa"/>
            <w:tcBorders>
              <w:top w:val="single" w:color="auto" w:sz="4" w:space="0"/>
              <w:left w:val="single" w:color="auto" w:sz="4" w:space="0"/>
              <w:bottom w:val="single" w:color="auto" w:sz="4" w:space="0"/>
              <w:right w:val="single" w:color="auto" w:sz="4" w:space="0"/>
            </w:tcBorders>
            <w:vAlign w:val="center"/>
          </w:tcPr>
          <w:p w14:paraId="078B8DF4">
            <w:pPr>
              <w:pStyle w:val="49"/>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评审细则</w:t>
            </w:r>
          </w:p>
        </w:tc>
      </w:tr>
      <w:tr w14:paraId="674AE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9358" w:type="dxa"/>
            <w:gridSpan w:val="4"/>
            <w:tcBorders>
              <w:top w:val="single" w:color="auto" w:sz="4" w:space="0"/>
              <w:left w:val="single" w:color="auto" w:sz="4" w:space="0"/>
              <w:bottom w:val="single" w:color="auto" w:sz="4" w:space="0"/>
              <w:right w:val="single" w:color="auto" w:sz="4" w:space="0"/>
            </w:tcBorders>
            <w:vAlign w:val="center"/>
          </w:tcPr>
          <w:p w14:paraId="73B9D9D4">
            <w:pPr>
              <w:pStyle w:val="49"/>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商务评审（</w:t>
            </w:r>
            <w:r>
              <w:rPr>
                <w:rFonts w:hint="eastAsia" w:ascii="宋体" w:eastAsia="宋体" w:cs="宋体"/>
                <w:b w:val="0"/>
                <w:bCs w:val="0"/>
                <w:color w:val="auto"/>
                <w:sz w:val="21"/>
                <w:szCs w:val="21"/>
                <w:highlight w:val="none"/>
                <w:lang w:val="en-US" w:eastAsia="zh-CN"/>
              </w:rPr>
              <w:t>30</w:t>
            </w:r>
            <w:r>
              <w:rPr>
                <w:rFonts w:hint="eastAsia" w:ascii="宋体" w:eastAsia="宋体" w:cs="宋体"/>
                <w:b w:val="0"/>
                <w:bCs w:val="0"/>
                <w:color w:val="auto"/>
                <w:sz w:val="21"/>
                <w:szCs w:val="21"/>
                <w:highlight w:val="none"/>
              </w:rPr>
              <w:t>分）</w:t>
            </w:r>
          </w:p>
        </w:tc>
      </w:tr>
      <w:tr w14:paraId="172BD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836" w:type="dxa"/>
            <w:tcBorders>
              <w:top w:val="single" w:color="auto" w:sz="4" w:space="0"/>
              <w:left w:val="single" w:color="auto" w:sz="4" w:space="0"/>
              <w:right w:val="single" w:color="auto" w:sz="4" w:space="0"/>
            </w:tcBorders>
            <w:vAlign w:val="center"/>
          </w:tcPr>
          <w:p w14:paraId="22406310">
            <w:pPr>
              <w:pStyle w:val="49"/>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1</w:t>
            </w:r>
          </w:p>
        </w:tc>
        <w:tc>
          <w:tcPr>
            <w:tcW w:w="1326" w:type="dxa"/>
            <w:tcBorders>
              <w:top w:val="single" w:color="auto" w:sz="4" w:space="0"/>
              <w:left w:val="single" w:color="auto" w:sz="4" w:space="0"/>
              <w:right w:val="single" w:color="auto" w:sz="4" w:space="0"/>
            </w:tcBorders>
            <w:vAlign w:val="center"/>
          </w:tcPr>
          <w:p w14:paraId="61242005">
            <w:pPr>
              <w:pStyle w:val="49"/>
              <w:spacing w:line="360" w:lineRule="auto"/>
              <w:ind w:firstLine="0" w:firstLineChars="0"/>
              <w:jc w:val="center"/>
              <w:rPr>
                <w:rFonts w:hint="eastAsia" w:ascii="宋体" w:eastAsia="宋体" w:cs="宋体"/>
                <w:b w:val="0"/>
                <w:bCs w:val="0"/>
                <w:color w:val="auto"/>
                <w:sz w:val="21"/>
                <w:szCs w:val="21"/>
                <w:highlight w:val="none"/>
                <w:u w:val="none"/>
                <w:lang w:eastAsia="zh-CN"/>
              </w:rPr>
            </w:pPr>
            <w:r>
              <w:rPr>
                <w:rFonts w:hint="eastAsia" w:ascii="宋体" w:eastAsia="宋体" w:cs="宋体"/>
                <w:b w:val="0"/>
                <w:bCs w:val="0"/>
                <w:color w:val="auto"/>
                <w:sz w:val="21"/>
                <w:szCs w:val="21"/>
                <w:highlight w:val="none"/>
                <w:u w:val="none"/>
              </w:rPr>
              <w:t>体系</w:t>
            </w:r>
            <w:r>
              <w:rPr>
                <w:rFonts w:hint="eastAsia" w:ascii="宋体" w:eastAsia="宋体" w:cs="宋体"/>
                <w:b w:val="0"/>
                <w:bCs w:val="0"/>
                <w:color w:val="auto"/>
                <w:sz w:val="21"/>
                <w:szCs w:val="21"/>
                <w:highlight w:val="none"/>
                <w:u w:val="none"/>
                <w:lang w:eastAsia="zh-CN"/>
              </w:rPr>
              <w:t>认证</w:t>
            </w:r>
          </w:p>
        </w:tc>
        <w:tc>
          <w:tcPr>
            <w:tcW w:w="907" w:type="dxa"/>
            <w:tcBorders>
              <w:top w:val="single" w:color="auto" w:sz="4" w:space="0"/>
              <w:left w:val="single" w:color="auto" w:sz="4" w:space="0"/>
              <w:bottom w:val="single" w:color="auto" w:sz="4" w:space="0"/>
              <w:right w:val="single" w:color="auto" w:sz="4" w:space="0"/>
            </w:tcBorders>
            <w:vAlign w:val="center"/>
          </w:tcPr>
          <w:p w14:paraId="63C07FBC">
            <w:pPr>
              <w:pStyle w:val="49"/>
              <w:spacing w:line="360" w:lineRule="auto"/>
              <w:ind w:firstLine="0" w:firstLineChars="0"/>
              <w:jc w:val="center"/>
              <w:rPr>
                <w:rFonts w:hint="default" w:ascii="宋体" w:eastAsia="宋体" w:cs="宋体"/>
                <w:b w:val="0"/>
                <w:bCs w:val="0"/>
                <w:color w:val="auto"/>
                <w:sz w:val="21"/>
                <w:szCs w:val="21"/>
                <w:highlight w:val="none"/>
                <w:u w:val="none"/>
                <w:lang w:val="en-US" w:eastAsia="zh-CN"/>
              </w:rPr>
            </w:pPr>
            <w:r>
              <w:rPr>
                <w:rFonts w:hint="eastAsia" w:ascii="宋体" w:eastAsia="宋体" w:cs="宋体"/>
                <w:b w:val="0"/>
                <w:bCs w:val="0"/>
                <w:color w:val="auto"/>
                <w:sz w:val="21"/>
                <w:szCs w:val="21"/>
                <w:highlight w:val="none"/>
                <w:u w:val="none"/>
                <w:lang w:val="en-US" w:eastAsia="zh-CN"/>
              </w:rPr>
              <w:t>3</w:t>
            </w:r>
          </w:p>
        </w:tc>
        <w:tc>
          <w:tcPr>
            <w:tcW w:w="6289" w:type="dxa"/>
            <w:tcBorders>
              <w:top w:val="single" w:color="auto" w:sz="4" w:space="0"/>
              <w:left w:val="single" w:color="auto" w:sz="4" w:space="0"/>
              <w:bottom w:val="single" w:color="auto" w:sz="4" w:space="0"/>
              <w:right w:val="single" w:color="auto" w:sz="4" w:space="0"/>
            </w:tcBorders>
            <w:vAlign w:val="center"/>
          </w:tcPr>
          <w:p w14:paraId="670B0308">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投标人具有由国家认证认可监督管理部门批准设立的认证机构颁发的有效期内认证证书：</w:t>
            </w:r>
          </w:p>
          <w:p w14:paraId="7C1AF609">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lang w:eastAsia="zh-CN"/>
              </w:rPr>
            </w:pPr>
            <w:r>
              <w:rPr>
                <w:rFonts w:hint="eastAsia" w:ascii="宋体" w:eastAsia="宋体" w:cs="宋体"/>
                <w:b w:val="0"/>
                <w:bCs w:val="0"/>
                <w:color w:val="auto"/>
                <w:sz w:val="21"/>
                <w:szCs w:val="21"/>
                <w:highlight w:val="none"/>
                <w:u w:val="none"/>
              </w:rPr>
              <w:t>①质量管理体系认证</w:t>
            </w:r>
            <w:r>
              <w:rPr>
                <w:rFonts w:hint="eastAsia" w:ascii="宋体" w:eastAsia="宋体" w:cs="宋体"/>
                <w:b w:val="0"/>
                <w:bCs w:val="0"/>
                <w:color w:val="auto"/>
                <w:sz w:val="21"/>
                <w:szCs w:val="21"/>
                <w:highlight w:val="none"/>
                <w:u w:val="none"/>
                <w:lang w:eastAsia="zh-CN"/>
              </w:rPr>
              <w:t>；</w:t>
            </w:r>
          </w:p>
          <w:p w14:paraId="18C1E951">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lang w:eastAsia="zh-CN"/>
              </w:rPr>
            </w:pPr>
            <w:r>
              <w:rPr>
                <w:rFonts w:hint="eastAsia" w:ascii="宋体" w:eastAsia="宋体" w:cs="宋体"/>
                <w:b w:val="0"/>
                <w:bCs w:val="0"/>
                <w:color w:val="auto"/>
                <w:sz w:val="21"/>
                <w:szCs w:val="21"/>
                <w:highlight w:val="none"/>
                <w:u w:val="none"/>
              </w:rPr>
              <w:t>②环境管理体系认证</w:t>
            </w:r>
            <w:r>
              <w:rPr>
                <w:rFonts w:hint="eastAsia" w:ascii="宋体" w:eastAsia="宋体" w:cs="宋体"/>
                <w:b w:val="0"/>
                <w:bCs w:val="0"/>
                <w:color w:val="auto"/>
                <w:sz w:val="21"/>
                <w:szCs w:val="21"/>
                <w:highlight w:val="none"/>
                <w:u w:val="none"/>
                <w:lang w:eastAsia="zh-CN"/>
              </w:rPr>
              <w:t>；</w:t>
            </w:r>
          </w:p>
          <w:p w14:paraId="45A62F97">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lang w:eastAsia="zh-CN"/>
              </w:rPr>
            </w:pPr>
            <w:r>
              <w:rPr>
                <w:rFonts w:hint="eastAsia" w:ascii="宋体" w:eastAsia="宋体" w:cs="宋体"/>
                <w:b w:val="0"/>
                <w:bCs w:val="0"/>
                <w:color w:val="auto"/>
                <w:sz w:val="21"/>
                <w:szCs w:val="21"/>
                <w:highlight w:val="none"/>
                <w:u w:val="none"/>
              </w:rPr>
              <w:t>③职业健康安全管理体系认证</w:t>
            </w:r>
            <w:r>
              <w:rPr>
                <w:rFonts w:hint="eastAsia" w:ascii="宋体" w:eastAsia="宋体" w:cs="宋体"/>
                <w:b w:val="0"/>
                <w:bCs w:val="0"/>
                <w:color w:val="auto"/>
                <w:sz w:val="21"/>
                <w:szCs w:val="21"/>
                <w:highlight w:val="none"/>
                <w:u w:val="none"/>
                <w:lang w:eastAsia="zh-CN"/>
              </w:rPr>
              <w:t>；</w:t>
            </w:r>
          </w:p>
          <w:p w14:paraId="3D1D4E16">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 w:val="0"/>
                <w:bCs w:val="0"/>
                <w:color w:val="auto"/>
                <w:sz w:val="21"/>
                <w:szCs w:val="21"/>
                <w:highlight w:val="none"/>
                <w:u w:val="none"/>
                <w:lang w:val="zh-CN"/>
              </w:rPr>
            </w:pPr>
            <w:r>
              <w:rPr>
                <w:rFonts w:hint="eastAsia" w:ascii="宋体" w:eastAsia="宋体" w:cs="宋体"/>
                <w:b w:val="0"/>
                <w:bCs w:val="0"/>
                <w:color w:val="auto"/>
                <w:sz w:val="21"/>
                <w:szCs w:val="21"/>
                <w:highlight w:val="none"/>
                <w:u w:val="none"/>
                <w:lang w:val="zh-CN"/>
              </w:rPr>
              <w:t>注：投标人</w:t>
            </w:r>
            <w:r>
              <w:rPr>
                <w:rFonts w:hint="eastAsia" w:ascii="宋体" w:eastAsia="宋体" w:cs="宋体"/>
                <w:b w:val="0"/>
                <w:bCs w:val="0"/>
                <w:color w:val="auto"/>
                <w:sz w:val="21"/>
                <w:szCs w:val="21"/>
                <w:highlight w:val="none"/>
                <w:u w:val="none"/>
              </w:rPr>
              <w:t>每提供一项得</w:t>
            </w:r>
            <w:r>
              <w:rPr>
                <w:rFonts w:hint="eastAsia" w:ascii="宋体" w:eastAsia="宋体" w:cs="宋体"/>
                <w:b w:val="0"/>
                <w:bCs w:val="0"/>
                <w:color w:val="auto"/>
                <w:sz w:val="21"/>
                <w:szCs w:val="21"/>
                <w:highlight w:val="none"/>
                <w:u w:val="none"/>
                <w:lang w:val="en-US" w:eastAsia="zh-CN"/>
              </w:rPr>
              <w:t>1</w:t>
            </w:r>
            <w:r>
              <w:rPr>
                <w:rFonts w:hint="eastAsia" w:ascii="宋体" w:eastAsia="宋体" w:cs="宋体"/>
                <w:b w:val="0"/>
                <w:bCs w:val="0"/>
                <w:color w:val="auto"/>
                <w:sz w:val="21"/>
                <w:szCs w:val="21"/>
                <w:highlight w:val="none"/>
                <w:u w:val="none"/>
              </w:rPr>
              <w:t>分，本项最高得</w:t>
            </w:r>
            <w:r>
              <w:rPr>
                <w:rFonts w:hint="eastAsia" w:ascii="宋体" w:eastAsia="宋体" w:cs="宋体"/>
                <w:b w:val="0"/>
                <w:bCs w:val="0"/>
                <w:color w:val="auto"/>
                <w:sz w:val="21"/>
                <w:szCs w:val="21"/>
                <w:highlight w:val="none"/>
                <w:u w:val="none"/>
                <w:lang w:val="en-US" w:eastAsia="zh-CN"/>
              </w:rPr>
              <w:t>3</w:t>
            </w:r>
            <w:r>
              <w:rPr>
                <w:rFonts w:hint="eastAsia" w:ascii="宋体" w:eastAsia="宋体" w:cs="宋体"/>
                <w:b w:val="0"/>
                <w:bCs w:val="0"/>
                <w:color w:val="auto"/>
                <w:sz w:val="21"/>
                <w:szCs w:val="21"/>
                <w:highlight w:val="none"/>
                <w:u w:val="none"/>
              </w:rPr>
              <w:t>分</w:t>
            </w:r>
            <w:r>
              <w:rPr>
                <w:rFonts w:hint="eastAsia" w:ascii="宋体" w:eastAsia="宋体" w:cs="宋体"/>
                <w:b w:val="0"/>
                <w:bCs w:val="0"/>
                <w:color w:val="auto"/>
                <w:sz w:val="21"/>
                <w:szCs w:val="21"/>
                <w:highlight w:val="none"/>
                <w:u w:val="none"/>
                <w:lang w:val="en-US" w:eastAsia="zh-CN"/>
              </w:rPr>
              <w:t>,</w:t>
            </w:r>
            <w:r>
              <w:rPr>
                <w:rFonts w:hint="eastAsia" w:ascii="宋体" w:eastAsia="宋体" w:cs="宋体"/>
                <w:b w:val="0"/>
                <w:bCs w:val="0"/>
                <w:color w:val="auto"/>
                <w:sz w:val="21"/>
                <w:szCs w:val="21"/>
                <w:highlight w:val="none"/>
                <w:u w:val="none"/>
                <w:lang w:val="zh-CN"/>
              </w:rPr>
              <w:t>应提供上述有效证书复印件及能显示证书有效状态的全国认证认可信息公共服务平台（http://cx.cnca.cn/）查询结果凭证[凭证界面需显示有“全国认证认可信息公共服务平台”或“认证证书（需显示网址cx.cnca.cn）”]，否则不得分。</w:t>
            </w:r>
          </w:p>
        </w:tc>
      </w:tr>
      <w:tr w14:paraId="15D31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55A4FE6E">
            <w:pPr>
              <w:pStyle w:val="49"/>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2</w:t>
            </w:r>
          </w:p>
        </w:tc>
        <w:tc>
          <w:tcPr>
            <w:tcW w:w="1326" w:type="dxa"/>
            <w:tcBorders>
              <w:top w:val="single" w:color="auto" w:sz="4" w:space="0"/>
              <w:left w:val="single" w:color="auto" w:sz="4" w:space="0"/>
              <w:bottom w:val="single" w:color="auto" w:sz="4" w:space="0"/>
              <w:right w:val="single" w:color="auto" w:sz="4" w:space="0"/>
            </w:tcBorders>
            <w:vAlign w:val="center"/>
          </w:tcPr>
          <w:p w14:paraId="01D72CD3">
            <w:pPr>
              <w:pStyle w:val="49"/>
              <w:spacing w:line="360" w:lineRule="auto"/>
              <w:ind w:firstLine="0" w:firstLineChars="0"/>
              <w:jc w:val="center"/>
              <w:rPr>
                <w:rFonts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财务状况</w:t>
            </w:r>
          </w:p>
        </w:tc>
        <w:tc>
          <w:tcPr>
            <w:tcW w:w="907" w:type="dxa"/>
            <w:tcBorders>
              <w:top w:val="single" w:color="auto" w:sz="4" w:space="0"/>
              <w:left w:val="single" w:color="auto" w:sz="4" w:space="0"/>
              <w:bottom w:val="single" w:color="auto" w:sz="4" w:space="0"/>
              <w:right w:val="single" w:color="auto" w:sz="4" w:space="0"/>
            </w:tcBorders>
            <w:vAlign w:val="center"/>
          </w:tcPr>
          <w:p w14:paraId="6A84AE40">
            <w:pPr>
              <w:pStyle w:val="49"/>
              <w:spacing w:line="360" w:lineRule="auto"/>
              <w:ind w:firstLine="0" w:firstLineChars="0"/>
              <w:jc w:val="center"/>
              <w:rPr>
                <w:rFonts w:hint="eastAsia" w:ascii="宋体" w:eastAsia="宋体" w:cs="宋体"/>
                <w:b w:val="0"/>
                <w:bCs w:val="0"/>
                <w:color w:val="auto"/>
                <w:sz w:val="21"/>
                <w:szCs w:val="21"/>
                <w:highlight w:val="none"/>
                <w:u w:val="none"/>
                <w:lang w:val="en-US" w:eastAsia="zh-CN"/>
              </w:rPr>
            </w:pPr>
            <w:r>
              <w:rPr>
                <w:rFonts w:hint="eastAsia" w:ascii="宋体" w:eastAsia="宋体" w:cs="宋体"/>
                <w:b w:val="0"/>
                <w:bCs w:val="0"/>
                <w:color w:val="auto"/>
                <w:sz w:val="21"/>
                <w:szCs w:val="21"/>
                <w:highlight w:val="none"/>
                <w:u w:val="none"/>
                <w:lang w:val="en-US" w:eastAsia="zh-CN"/>
              </w:rPr>
              <w:t>2</w:t>
            </w:r>
          </w:p>
        </w:tc>
        <w:tc>
          <w:tcPr>
            <w:tcW w:w="6289" w:type="dxa"/>
            <w:tcBorders>
              <w:top w:val="single" w:color="auto" w:sz="4" w:space="0"/>
              <w:left w:val="single" w:color="auto" w:sz="4" w:space="0"/>
              <w:bottom w:val="single" w:color="auto" w:sz="4" w:space="0"/>
              <w:right w:val="single" w:color="auto" w:sz="4" w:space="0"/>
            </w:tcBorders>
            <w:vAlign w:val="center"/>
          </w:tcPr>
          <w:p w14:paraId="6C55D707">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 w:val="0"/>
                <w:bCs w:val="0"/>
                <w:color w:val="auto"/>
                <w:sz w:val="21"/>
                <w:szCs w:val="21"/>
                <w:highlight w:val="none"/>
                <w:u w:val="none"/>
                <w:lang w:val="zh-CN"/>
              </w:rPr>
            </w:pPr>
            <w:r>
              <w:rPr>
                <w:rFonts w:hint="eastAsia" w:ascii="宋体" w:eastAsia="宋体" w:cs="宋体"/>
                <w:b w:val="0"/>
                <w:bCs w:val="0"/>
                <w:color w:val="auto"/>
                <w:sz w:val="21"/>
                <w:szCs w:val="21"/>
                <w:highlight w:val="none"/>
                <w:u w:val="none"/>
                <w:lang w:val="zh-CN"/>
              </w:rPr>
              <w:t>根据各投标人</w:t>
            </w:r>
            <w:r>
              <w:rPr>
                <w:rFonts w:hint="eastAsia" w:ascii="宋体" w:eastAsia="宋体" w:cs="宋体"/>
                <w:b w:val="0"/>
                <w:bCs w:val="0"/>
                <w:color w:val="auto"/>
                <w:sz w:val="21"/>
                <w:szCs w:val="21"/>
                <w:highlight w:val="none"/>
                <w:u w:val="none"/>
                <w:lang w:val="en-US" w:eastAsia="zh-CN"/>
              </w:rPr>
              <w:t>2022</w:t>
            </w:r>
            <w:r>
              <w:rPr>
                <w:rFonts w:hint="eastAsia" w:ascii="宋体" w:eastAsia="宋体" w:cs="宋体"/>
                <w:b w:val="0"/>
                <w:bCs w:val="0"/>
                <w:color w:val="auto"/>
                <w:sz w:val="21"/>
                <w:szCs w:val="21"/>
                <w:highlight w:val="none"/>
                <w:u w:val="none"/>
                <w:lang w:val="zh-CN"/>
              </w:rPr>
              <w:t>年</w:t>
            </w:r>
            <w:r>
              <w:rPr>
                <w:rFonts w:hint="eastAsia" w:ascii="宋体" w:eastAsia="宋体" w:cs="宋体"/>
                <w:b w:val="0"/>
                <w:bCs w:val="0"/>
                <w:color w:val="auto"/>
                <w:sz w:val="21"/>
                <w:szCs w:val="21"/>
                <w:highlight w:val="none"/>
                <w:u w:val="none"/>
                <w:lang w:val="en-US" w:eastAsia="zh-CN"/>
              </w:rPr>
              <w:t>1月1日</w:t>
            </w:r>
            <w:r>
              <w:rPr>
                <w:rFonts w:hint="eastAsia" w:ascii="宋体" w:eastAsia="宋体" w:cs="宋体"/>
                <w:b w:val="0"/>
                <w:bCs w:val="0"/>
                <w:color w:val="auto"/>
                <w:sz w:val="21"/>
                <w:szCs w:val="21"/>
                <w:highlight w:val="none"/>
                <w:u w:val="none"/>
                <w:lang w:val="zh-CN"/>
              </w:rPr>
              <w:t>至今的财务状况进行评价，三年盈利得</w:t>
            </w:r>
            <w:r>
              <w:rPr>
                <w:rFonts w:hint="eastAsia" w:ascii="宋体" w:eastAsia="宋体" w:cs="宋体"/>
                <w:b w:val="0"/>
                <w:bCs w:val="0"/>
                <w:color w:val="auto"/>
                <w:sz w:val="21"/>
                <w:szCs w:val="21"/>
                <w:highlight w:val="none"/>
                <w:u w:val="none"/>
                <w:lang w:val="en-US" w:eastAsia="zh-CN"/>
              </w:rPr>
              <w:t>2</w:t>
            </w:r>
            <w:r>
              <w:rPr>
                <w:rFonts w:hint="eastAsia" w:ascii="宋体" w:eastAsia="宋体" w:cs="宋体"/>
                <w:b w:val="0"/>
                <w:bCs w:val="0"/>
                <w:color w:val="auto"/>
                <w:sz w:val="21"/>
                <w:szCs w:val="21"/>
                <w:highlight w:val="none"/>
                <w:u w:val="none"/>
                <w:lang w:val="zh-CN"/>
              </w:rPr>
              <w:t>分，两年盈利得</w:t>
            </w:r>
            <w:r>
              <w:rPr>
                <w:rFonts w:hint="eastAsia" w:ascii="宋体" w:eastAsia="宋体" w:cs="宋体"/>
                <w:b w:val="0"/>
                <w:bCs w:val="0"/>
                <w:color w:val="auto"/>
                <w:sz w:val="21"/>
                <w:szCs w:val="21"/>
                <w:highlight w:val="none"/>
                <w:u w:val="none"/>
                <w:lang w:val="en-US" w:eastAsia="zh-CN"/>
              </w:rPr>
              <w:t>1</w:t>
            </w:r>
            <w:r>
              <w:rPr>
                <w:rFonts w:hint="eastAsia" w:ascii="宋体" w:eastAsia="宋体" w:cs="宋体"/>
                <w:b w:val="0"/>
                <w:bCs w:val="0"/>
                <w:color w:val="auto"/>
                <w:sz w:val="21"/>
                <w:szCs w:val="21"/>
                <w:highlight w:val="none"/>
                <w:u w:val="none"/>
                <w:lang w:val="zh-CN"/>
              </w:rPr>
              <w:t>分，一年盈利得</w:t>
            </w:r>
            <w:r>
              <w:rPr>
                <w:rFonts w:hint="eastAsia" w:ascii="宋体" w:eastAsia="宋体" w:cs="宋体"/>
                <w:b w:val="0"/>
                <w:bCs w:val="0"/>
                <w:color w:val="auto"/>
                <w:sz w:val="21"/>
                <w:szCs w:val="21"/>
                <w:highlight w:val="none"/>
                <w:u w:val="none"/>
                <w:lang w:val="en-US" w:eastAsia="zh-CN"/>
              </w:rPr>
              <w:t>0.5</w:t>
            </w:r>
            <w:r>
              <w:rPr>
                <w:rFonts w:hint="eastAsia" w:ascii="宋体" w:eastAsia="宋体" w:cs="宋体"/>
                <w:b w:val="0"/>
                <w:bCs w:val="0"/>
                <w:color w:val="auto"/>
                <w:sz w:val="21"/>
                <w:szCs w:val="21"/>
                <w:highlight w:val="none"/>
                <w:u w:val="none"/>
                <w:lang w:val="zh-CN"/>
              </w:rPr>
              <w:t>分，无盈利不得分。</w:t>
            </w:r>
          </w:p>
          <w:p w14:paraId="4DB4498D">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eastAsia="宋体"/>
                <w:b w:val="0"/>
                <w:bCs w:val="0"/>
                <w:color w:val="auto"/>
                <w:highlight w:val="none"/>
                <w:u w:val="none"/>
                <w:lang w:eastAsia="zh-CN"/>
              </w:rPr>
            </w:pPr>
            <w:r>
              <w:rPr>
                <w:rFonts w:hint="eastAsia" w:ascii="宋体" w:eastAsia="宋体" w:cs="宋体"/>
                <w:b w:val="0"/>
                <w:bCs w:val="0"/>
                <w:color w:val="auto"/>
                <w:sz w:val="21"/>
                <w:szCs w:val="21"/>
                <w:highlight w:val="none"/>
                <w:u w:val="none"/>
                <w:lang w:val="zh-CN"/>
              </w:rPr>
              <w:t>注：须提供</w:t>
            </w:r>
            <w:r>
              <w:rPr>
                <w:rFonts w:hint="eastAsia" w:ascii="宋体" w:eastAsia="宋体" w:cs="宋体"/>
                <w:b w:val="0"/>
                <w:bCs w:val="0"/>
                <w:color w:val="auto"/>
                <w:sz w:val="21"/>
                <w:szCs w:val="21"/>
                <w:highlight w:val="none"/>
                <w:u w:val="none"/>
              </w:rPr>
              <w:t>会计师事务所审计的</w:t>
            </w:r>
            <w:r>
              <w:rPr>
                <w:rFonts w:hint="eastAsia" w:ascii="宋体" w:eastAsia="宋体" w:cs="宋体"/>
                <w:b w:val="0"/>
                <w:bCs w:val="0"/>
                <w:color w:val="auto"/>
                <w:sz w:val="21"/>
                <w:szCs w:val="21"/>
                <w:highlight w:val="none"/>
                <w:u w:val="none"/>
                <w:lang w:eastAsia="zh-CN"/>
              </w:rPr>
              <w:t>完整的</w:t>
            </w:r>
            <w:r>
              <w:rPr>
                <w:rFonts w:hint="eastAsia" w:ascii="宋体" w:eastAsia="宋体" w:cs="宋体"/>
                <w:b w:val="0"/>
                <w:bCs w:val="0"/>
                <w:color w:val="auto"/>
                <w:sz w:val="21"/>
                <w:szCs w:val="21"/>
                <w:highlight w:val="none"/>
                <w:u w:val="none"/>
              </w:rPr>
              <w:t>财务报表复印件加盖投标人公章</w:t>
            </w:r>
            <w:r>
              <w:rPr>
                <w:rFonts w:hint="eastAsia" w:ascii="宋体" w:eastAsia="宋体" w:cs="宋体"/>
                <w:b w:val="0"/>
                <w:bCs w:val="0"/>
                <w:color w:val="auto"/>
                <w:sz w:val="21"/>
                <w:szCs w:val="21"/>
                <w:highlight w:val="none"/>
                <w:u w:val="none"/>
                <w:lang w:eastAsia="zh-CN"/>
              </w:rPr>
              <w:t>。</w:t>
            </w:r>
          </w:p>
        </w:tc>
      </w:tr>
      <w:tr w14:paraId="3D72C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836" w:type="dxa"/>
            <w:tcBorders>
              <w:top w:val="single" w:color="auto" w:sz="4" w:space="0"/>
              <w:left w:val="single" w:color="auto" w:sz="4" w:space="0"/>
              <w:right w:val="single" w:color="auto" w:sz="4" w:space="0"/>
            </w:tcBorders>
            <w:vAlign w:val="center"/>
          </w:tcPr>
          <w:p w14:paraId="3F378569">
            <w:pPr>
              <w:pStyle w:val="49"/>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3</w:t>
            </w:r>
          </w:p>
        </w:tc>
        <w:tc>
          <w:tcPr>
            <w:tcW w:w="1326" w:type="dxa"/>
            <w:tcBorders>
              <w:top w:val="single" w:color="auto" w:sz="4" w:space="0"/>
              <w:left w:val="single" w:color="auto" w:sz="4" w:space="0"/>
              <w:right w:val="single" w:color="auto" w:sz="4" w:space="0"/>
            </w:tcBorders>
            <w:vAlign w:val="center"/>
          </w:tcPr>
          <w:p w14:paraId="07700E82">
            <w:pPr>
              <w:pStyle w:val="49"/>
              <w:spacing w:line="360" w:lineRule="auto"/>
              <w:ind w:firstLine="0" w:firstLineChars="0"/>
              <w:jc w:val="center"/>
              <w:rPr>
                <w:rFonts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lang w:eastAsia="zh-CN"/>
              </w:rPr>
              <w:t>同类</w:t>
            </w:r>
            <w:r>
              <w:rPr>
                <w:rFonts w:hint="eastAsia" w:ascii="宋体" w:eastAsia="宋体" w:cs="宋体"/>
                <w:b w:val="0"/>
                <w:bCs w:val="0"/>
                <w:color w:val="auto"/>
                <w:sz w:val="21"/>
                <w:szCs w:val="21"/>
                <w:highlight w:val="none"/>
                <w:u w:val="none"/>
              </w:rPr>
              <w:t>业绩</w:t>
            </w:r>
          </w:p>
        </w:tc>
        <w:tc>
          <w:tcPr>
            <w:tcW w:w="907" w:type="dxa"/>
            <w:tcBorders>
              <w:top w:val="single" w:color="auto" w:sz="4" w:space="0"/>
              <w:left w:val="single" w:color="auto" w:sz="4" w:space="0"/>
              <w:bottom w:val="single" w:color="auto" w:sz="4" w:space="0"/>
              <w:right w:val="single" w:color="auto" w:sz="4" w:space="0"/>
            </w:tcBorders>
            <w:vAlign w:val="center"/>
          </w:tcPr>
          <w:p w14:paraId="0DA7962F">
            <w:pPr>
              <w:pStyle w:val="49"/>
              <w:spacing w:line="360" w:lineRule="auto"/>
              <w:ind w:firstLine="0" w:firstLineChars="0"/>
              <w:jc w:val="center"/>
              <w:rPr>
                <w:rFonts w:hint="default"/>
                <w:b w:val="0"/>
                <w:bCs w:val="0"/>
                <w:color w:val="auto"/>
                <w:highlight w:val="none"/>
                <w:u w:val="none"/>
                <w:lang w:val="en-US"/>
              </w:rPr>
            </w:pPr>
            <w:r>
              <w:rPr>
                <w:rFonts w:hint="eastAsia" w:ascii="宋体" w:eastAsia="宋体" w:cs="宋体"/>
                <w:b w:val="0"/>
                <w:bCs w:val="0"/>
                <w:color w:val="auto"/>
                <w:sz w:val="21"/>
                <w:szCs w:val="21"/>
                <w:highlight w:val="none"/>
                <w:u w:val="none"/>
                <w:lang w:val="en-US" w:eastAsia="zh-CN"/>
              </w:rPr>
              <w:t>10</w:t>
            </w:r>
          </w:p>
        </w:tc>
        <w:tc>
          <w:tcPr>
            <w:tcW w:w="6289" w:type="dxa"/>
            <w:tcBorders>
              <w:top w:val="single" w:color="auto" w:sz="4" w:space="0"/>
              <w:left w:val="single" w:color="auto" w:sz="4" w:space="0"/>
              <w:bottom w:val="single" w:color="auto" w:sz="4" w:space="0"/>
              <w:right w:val="single" w:color="auto" w:sz="4" w:space="0"/>
            </w:tcBorders>
            <w:vAlign w:val="center"/>
          </w:tcPr>
          <w:p w14:paraId="50381510">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lang w:val="en-US" w:eastAsia="zh-CN"/>
              </w:rPr>
            </w:pPr>
            <w:r>
              <w:rPr>
                <w:rFonts w:hint="eastAsia" w:ascii="宋体" w:eastAsia="宋体" w:cs="宋体"/>
                <w:b w:val="0"/>
                <w:bCs w:val="0"/>
                <w:color w:val="auto"/>
                <w:sz w:val="21"/>
                <w:szCs w:val="21"/>
                <w:highlight w:val="none"/>
                <w:u w:val="none"/>
                <w:lang w:val="en-US" w:eastAsia="zh-CN"/>
              </w:rPr>
              <w:t>投标人自2022年至今承接过储能项目，每具有一个项目业绩，得2分，最高得10分。</w:t>
            </w:r>
          </w:p>
          <w:p w14:paraId="30365C2E">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 w:val="0"/>
                <w:bCs w:val="0"/>
                <w:color w:val="auto"/>
                <w:sz w:val="21"/>
                <w:szCs w:val="21"/>
                <w:highlight w:val="none"/>
                <w:u w:val="none"/>
                <w:lang w:val="zh-CN"/>
              </w:rPr>
            </w:pPr>
            <w:r>
              <w:rPr>
                <w:rFonts w:hint="eastAsia" w:ascii="宋体" w:eastAsia="宋体" w:cs="宋体"/>
                <w:b w:val="0"/>
                <w:bCs w:val="0"/>
                <w:color w:val="auto"/>
                <w:sz w:val="21"/>
                <w:szCs w:val="21"/>
                <w:highlight w:val="none"/>
                <w:u w:val="none"/>
                <w:lang w:val="en-US" w:eastAsia="zh-CN"/>
              </w:rPr>
              <w:t>注：须提供合同复印件并同时加盖投标人公章，不符合以上要求得不得分。</w:t>
            </w:r>
          </w:p>
        </w:tc>
      </w:tr>
      <w:tr w14:paraId="0E9C6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70F81E67">
            <w:pPr>
              <w:pStyle w:val="49"/>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4</w:t>
            </w:r>
          </w:p>
        </w:tc>
        <w:tc>
          <w:tcPr>
            <w:tcW w:w="1326" w:type="dxa"/>
            <w:tcBorders>
              <w:top w:val="single" w:color="auto" w:sz="4" w:space="0"/>
              <w:left w:val="single" w:color="auto" w:sz="4" w:space="0"/>
              <w:bottom w:val="single" w:color="auto" w:sz="4" w:space="0"/>
              <w:right w:val="single" w:color="auto" w:sz="4" w:space="0"/>
            </w:tcBorders>
            <w:vAlign w:val="center"/>
          </w:tcPr>
          <w:p w14:paraId="61381343">
            <w:pPr>
              <w:pStyle w:val="49"/>
              <w:spacing w:line="360" w:lineRule="auto"/>
              <w:ind w:firstLine="0" w:firstLineChars="0"/>
              <w:jc w:val="center"/>
              <w:rPr>
                <w:rFonts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人员要求</w:t>
            </w:r>
          </w:p>
        </w:tc>
        <w:tc>
          <w:tcPr>
            <w:tcW w:w="907" w:type="dxa"/>
            <w:tcBorders>
              <w:top w:val="single" w:color="auto" w:sz="4" w:space="0"/>
              <w:left w:val="single" w:color="auto" w:sz="4" w:space="0"/>
              <w:bottom w:val="single" w:color="auto" w:sz="4" w:space="0"/>
              <w:right w:val="single" w:color="auto" w:sz="4" w:space="0"/>
            </w:tcBorders>
            <w:vAlign w:val="center"/>
          </w:tcPr>
          <w:p w14:paraId="30E7436D">
            <w:pPr>
              <w:pStyle w:val="49"/>
              <w:spacing w:line="360" w:lineRule="auto"/>
              <w:ind w:firstLine="0" w:firstLineChars="0"/>
              <w:jc w:val="center"/>
              <w:rPr>
                <w:rFonts w:hint="default" w:ascii="宋体" w:eastAsia="宋体" w:cs="宋体"/>
                <w:b w:val="0"/>
                <w:bCs w:val="0"/>
                <w:color w:val="auto"/>
                <w:sz w:val="21"/>
                <w:szCs w:val="21"/>
                <w:highlight w:val="none"/>
                <w:u w:val="none"/>
                <w:lang w:val="en-US" w:eastAsia="zh-CN"/>
              </w:rPr>
            </w:pPr>
            <w:r>
              <w:rPr>
                <w:rFonts w:hint="eastAsia" w:ascii="宋体" w:eastAsia="宋体" w:cs="宋体"/>
                <w:b w:val="0"/>
                <w:bCs w:val="0"/>
                <w:color w:val="auto"/>
                <w:sz w:val="21"/>
                <w:szCs w:val="21"/>
                <w:highlight w:val="none"/>
                <w:u w:val="none"/>
                <w:lang w:val="en-US" w:eastAsia="zh-CN"/>
              </w:rPr>
              <w:t>5</w:t>
            </w:r>
          </w:p>
        </w:tc>
        <w:tc>
          <w:tcPr>
            <w:tcW w:w="6289" w:type="dxa"/>
            <w:tcBorders>
              <w:top w:val="single" w:color="auto" w:sz="4" w:space="0"/>
              <w:left w:val="single" w:color="auto" w:sz="4" w:space="0"/>
              <w:bottom w:val="single" w:color="auto" w:sz="4" w:space="0"/>
              <w:right w:val="single" w:color="auto" w:sz="4" w:space="0"/>
            </w:tcBorders>
            <w:vAlign w:val="center"/>
          </w:tcPr>
          <w:p w14:paraId="7E5B68BC">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根据投标人拟投入的团队人员进行综合评审：</w:t>
            </w:r>
          </w:p>
          <w:p w14:paraId="16D34B1F">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lang w:eastAsia="zh-CN"/>
              </w:rPr>
            </w:pPr>
            <w:r>
              <w:rPr>
                <w:rFonts w:hint="eastAsia" w:ascii="宋体" w:eastAsia="宋体" w:cs="宋体"/>
                <w:b w:val="0"/>
                <w:bCs w:val="0"/>
                <w:color w:val="auto"/>
                <w:sz w:val="21"/>
                <w:szCs w:val="21"/>
                <w:highlight w:val="none"/>
                <w:u w:val="none"/>
              </w:rPr>
              <w:t>1、团队人员中具有注册于投标人本单位的机电工程专业二级建造师注册证书和有效的安全生产考核合格证（B证）的，得2分</w:t>
            </w:r>
            <w:r>
              <w:rPr>
                <w:rFonts w:hint="eastAsia" w:ascii="宋体" w:eastAsia="宋体" w:cs="宋体"/>
                <w:b w:val="0"/>
                <w:bCs w:val="0"/>
                <w:color w:val="auto"/>
                <w:sz w:val="21"/>
                <w:szCs w:val="21"/>
                <w:highlight w:val="none"/>
                <w:u w:val="none"/>
                <w:lang w:eastAsia="zh-CN"/>
              </w:rPr>
              <w:t>；</w:t>
            </w:r>
            <w:r>
              <w:rPr>
                <w:rFonts w:hint="eastAsia" w:ascii="宋体" w:eastAsia="宋体" w:cs="宋体"/>
                <w:b w:val="0"/>
                <w:bCs w:val="0"/>
                <w:color w:val="auto"/>
                <w:sz w:val="21"/>
                <w:szCs w:val="21"/>
                <w:highlight w:val="none"/>
                <w:u w:val="none"/>
              </w:rPr>
              <w:t>机电工程专业一级建造师注册证书和有效的安全生产考核合格证（B证），得</w:t>
            </w:r>
            <w:r>
              <w:rPr>
                <w:rFonts w:hint="eastAsia" w:ascii="宋体" w:eastAsia="宋体" w:cs="宋体"/>
                <w:b w:val="0"/>
                <w:bCs w:val="0"/>
                <w:color w:val="auto"/>
                <w:sz w:val="21"/>
                <w:szCs w:val="21"/>
                <w:highlight w:val="none"/>
                <w:u w:val="none"/>
                <w:lang w:val="en-US" w:eastAsia="zh-CN"/>
              </w:rPr>
              <w:t>3</w:t>
            </w:r>
            <w:r>
              <w:rPr>
                <w:rFonts w:hint="eastAsia" w:ascii="宋体" w:eastAsia="宋体" w:cs="宋体"/>
                <w:b w:val="0"/>
                <w:bCs w:val="0"/>
                <w:color w:val="auto"/>
                <w:sz w:val="21"/>
                <w:szCs w:val="21"/>
                <w:highlight w:val="none"/>
                <w:u w:val="none"/>
              </w:rPr>
              <w:t>分，最高得</w:t>
            </w:r>
            <w:r>
              <w:rPr>
                <w:rFonts w:hint="eastAsia" w:ascii="宋体" w:eastAsia="宋体" w:cs="宋体"/>
                <w:b w:val="0"/>
                <w:bCs w:val="0"/>
                <w:color w:val="auto"/>
                <w:sz w:val="21"/>
                <w:szCs w:val="21"/>
                <w:highlight w:val="none"/>
                <w:u w:val="none"/>
                <w:lang w:val="en-US" w:eastAsia="zh-CN"/>
              </w:rPr>
              <w:t>3</w:t>
            </w:r>
            <w:r>
              <w:rPr>
                <w:rFonts w:hint="eastAsia" w:ascii="宋体" w:eastAsia="宋体" w:cs="宋体"/>
                <w:b w:val="0"/>
                <w:bCs w:val="0"/>
                <w:color w:val="auto"/>
                <w:sz w:val="21"/>
                <w:szCs w:val="21"/>
                <w:highlight w:val="none"/>
                <w:u w:val="none"/>
              </w:rPr>
              <w:t>分</w:t>
            </w:r>
            <w:r>
              <w:rPr>
                <w:rFonts w:hint="eastAsia" w:ascii="宋体" w:eastAsia="宋体" w:cs="宋体"/>
                <w:b w:val="0"/>
                <w:bCs w:val="0"/>
                <w:color w:val="auto"/>
                <w:sz w:val="21"/>
                <w:szCs w:val="21"/>
                <w:highlight w:val="none"/>
                <w:u w:val="none"/>
                <w:lang w:eastAsia="zh-CN"/>
              </w:rPr>
              <w:t>；</w:t>
            </w:r>
          </w:p>
          <w:p w14:paraId="20EF3F9B">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lang w:eastAsia="zh-CN"/>
              </w:rPr>
            </w:pPr>
            <w:r>
              <w:rPr>
                <w:rFonts w:hint="eastAsia" w:ascii="宋体" w:eastAsia="宋体" w:cs="宋体"/>
                <w:b w:val="0"/>
                <w:bCs w:val="0"/>
                <w:color w:val="auto"/>
                <w:sz w:val="21"/>
                <w:szCs w:val="21"/>
                <w:highlight w:val="none"/>
                <w:u w:val="none"/>
              </w:rPr>
              <w:t>2、团队人员中具有电工作业证（特种作业操作证），每提供一人得1分，最高得2分</w:t>
            </w:r>
            <w:r>
              <w:rPr>
                <w:rFonts w:hint="eastAsia" w:ascii="宋体" w:eastAsia="宋体" w:cs="宋体"/>
                <w:b w:val="0"/>
                <w:bCs w:val="0"/>
                <w:color w:val="auto"/>
                <w:sz w:val="21"/>
                <w:szCs w:val="21"/>
                <w:highlight w:val="none"/>
                <w:u w:val="none"/>
                <w:lang w:eastAsia="zh-CN"/>
              </w:rPr>
              <w:t>；</w:t>
            </w:r>
          </w:p>
          <w:p w14:paraId="2A0C8BA1">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lang w:eastAsia="zh-CN"/>
              </w:rPr>
            </w:pPr>
            <w:r>
              <w:rPr>
                <w:rFonts w:hint="eastAsia" w:ascii="宋体" w:eastAsia="宋体" w:cs="宋体"/>
                <w:b w:val="0"/>
                <w:bCs w:val="0"/>
                <w:color w:val="auto"/>
                <w:sz w:val="21"/>
                <w:szCs w:val="21"/>
                <w:highlight w:val="none"/>
                <w:u w:val="none"/>
              </w:rPr>
              <w:t>注：以上人员在履行期间，拟投入本项目的所有人员须专职服务本项目，如相关人员有变更应及时向采购人办理变更备案手续</w:t>
            </w:r>
            <w:r>
              <w:rPr>
                <w:rFonts w:hint="eastAsia" w:ascii="宋体" w:eastAsia="宋体" w:cs="宋体"/>
                <w:b w:val="0"/>
                <w:bCs w:val="0"/>
                <w:color w:val="auto"/>
                <w:sz w:val="21"/>
                <w:szCs w:val="21"/>
                <w:highlight w:val="none"/>
                <w:u w:val="none"/>
                <w:lang w:eastAsia="zh-CN"/>
              </w:rPr>
              <w:t>；</w:t>
            </w:r>
            <w:r>
              <w:rPr>
                <w:rFonts w:hint="eastAsia" w:ascii="宋体" w:eastAsia="宋体" w:cs="宋体"/>
                <w:b w:val="0"/>
                <w:bCs w:val="0"/>
                <w:color w:val="auto"/>
                <w:sz w:val="21"/>
                <w:szCs w:val="21"/>
                <w:highlight w:val="none"/>
                <w:u w:val="none"/>
              </w:rPr>
              <w:t>提供的人员不得重复得分</w:t>
            </w:r>
            <w:r>
              <w:rPr>
                <w:rFonts w:hint="eastAsia" w:ascii="宋体" w:eastAsia="宋体" w:cs="宋体"/>
                <w:b w:val="0"/>
                <w:bCs w:val="0"/>
                <w:color w:val="auto"/>
                <w:sz w:val="21"/>
                <w:szCs w:val="21"/>
                <w:highlight w:val="none"/>
                <w:u w:val="none"/>
                <w:lang w:eastAsia="zh-CN"/>
              </w:rPr>
              <w:t>；</w:t>
            </w:r>
            <w:r>
              <w:rPr>
                <w:rFonts w:hint="eastAsia" w:ascii="宋体" w:eastAsia="宋体" w:cs="宋体"/>
                <w:b w:val="0"/>
                <w:bCs w:val="0"/>
                <w:color w:val="auto"/>
                <w:sz w:val="21"/>
                <w:szCs w:val="21"/>
                <w:highlight w:val="none"/>
                <w:u w:val="none"/>
              </w:rPr>
              <w:t>须提供有效的相关证书复印件加盖投标人公章,并提供社保部门出具的投标人为其购买的近六个月年内任意一个月的社会保险证明材料加盖投标人公章，否则不得分，联合体任意一方提供即可得分。</w:t>
            </w:r>
          </w:p>
        </w:tc>
      </w:tr>
      <w:tr w14:paraId="5388F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14F334AC">
            <w:pPr>
              <w:pStyle w:val="49"/>
              <w:spacing w:line="360" w:lineRule="auto"/>
              <w:ind w:firstLine="0" w:firstLineChars="0"/>
              <w:jc w:val="center"/>
              <w:rPr>
                <w:rFonts w:hint="eastAsia" w:asci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5</w:t>
            </w:r>
          </w:p>
        </w:tc>
        <w:tc>
          <w:tcPr>
            <w:tcW w:w="1326" w:type="dxa"/>
            <w:tcBorders>
              <w:top w:val="single" w:color="auto" w:sz="4" w:space="0"/>
              <w:left w:val="single" w:color="auto" w:sz="4" w:space="0"/>
              <w:bottom w:val="single" w:color="auto" w:sz="4" w:space="0"/>
              <w:right w:val="single" w:color="auto" w:sz="4" w:space="0"/>
            </w:tcBorders>
            <w:vAlign w:val="center"/>
          </w:tcPr>
          <w:p w14:paraId="65C9E5BC">
            <w:pPr>
              <w:pStyle w:val="49"/>
              <w:spacing w:line="360" w:lineRule="auto"/>
              <w:ind w:firstLine="0" w:firstLineChars="0"/>
              <w:jc w:val="center"/>
              <w:rPr>
                <w:rFonts w:hint="default" w:ascii="宋体" w:eastAsia="宋体" w:cs="宋体"/>
                <w:b w:val="0"/>
                <w:bCs w:val="0"/>
                <w:color w:val="auto"/>
                <w:sz w:val="21"/>
                <w:szCs w:val="21"/>
                <w:highlight w:val="none"/>
                <w:u w:val="none"/>
                <w:lang w:val="en-US" w:eastAsia="zh-CN"/>
              </w:rPr>
            </w:pPr>
            <w:r>
              <w:rPr>
                <w:rFonts w:hint="eastAsia" w:ascii="宋体" w:eastAsia="宋体" w:cs="宋体"/>
                <w:b w:val="0"/>
                <w:bCs w:val="0"/>
                <w:color w:val="auto"/>
                <w:sz w:val="21"/>
                <w:szCs w:val="21"/>
                <w:highlight w:val="none"/>
                <w:u w:val="none"/>
                <w:lang w:val="en-US" w:eastAsia="zh-CN"/>
              </w:rPr>
              <w:t>企业信誉</w:t>
            </w:r>
          </w:p>
        </w:tc>
        <w:tc>
          <w:tcPr>
            <w:tcW w:w="907" w:type="dxa"/>
            <w:tcBorders>
              <w:top w:val="single" w:color="auto" w:sz="4" w:space="0"/>
              <w:left w:val="single" w:color="auto" w:sz="4" w:space="0"/>
              <w:bottom w:val="single" w:color="auto" w:sz="4" w:space="0"/>
              <w:right w:val="single" w:color="auto" w:sz="4" w:space="0"/>
            </w:tcBorders>
            <w:vAlign w:val="center"/>
          </w:tcPr>
          <w:p w14:paraId="7F1C2EC9">
            <w:pPr>
              <w:pStyle w:val="49"/>
              <w:spacing w:line="360" w:lineRule="auto"/>
              <w:ind w:firstLine="0" w:firstLineChars="0"/>
              <w:jc w:val="center"/>
              <w:rPr>
                <w:rFonts w:hint="default" w:ascii="宋体" w:eastAsia="宋体" w:cs="宋体"/>
                <w:b w:val="0"/>
                <w:bCs w:val="0"/>
                <w:color w:val="auto"/>
                <w:sz w:val="21"/>
                <w:szCs w:val="21"/>
                <w:highlight w:val="none"/>
                <w:u w:val="none"/>
                <w:lang w:val="en-US" w:eastAsia="zh-CN"/>
              </w:rPr>
            </w:pPr>
            <w:r>
              <w:rPr>
                <w:rFonts w:hint="eastAsia" w:ascii="宋体" w:eastAsia="宋体" w:cs="宋体"/>
                <w:b w:val="0"/>
                <w:bCs w:val="0"/>
                <w:color w:val="auto"/>
                <w:sz w:val="21"/>
                <w:szCs w:val="21"/>
                <w:highlight w:val="none"/>
                <w:u w:val="none"/>
                <w:lang w:val="en-US" w:eastAsia="zh-CN"/>
              </w:rPr>
              <w:t>2</w:t>
            </w:r>
          </w:p>
        </w:tc>
        <w:tc>
          <w:tcPr>
            <w:tcW w:w="6289" w:type="dxa"/>
            <w:tcBorders>
              <w:top w:val="single" w:color="auto" w:sz="4" w:space="0"/>
              <w:left w:val="single" w:color="auto" w:sz="4" w:space="0"/>
              <w:bottom w:val="single" w:color="auto" w:sz="4" w:space="0"/>
              <w:right w:val="single" w:color="auto" w:sz="4" w:space="0"/>
            </w:tcBorders>
            <w:vAlign w:val="center"/>
          </w:tcPr>
          <w:p w14:paraId="63ABE6EB">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投标人提供2022年1月1日至今未受到</w:t>
            </w:r>
            <w:r>
              <w:rPr>
                <w:rFonts w:hint="eastAsia" w:ascii="宋体" w:eastAsia="宋体" w:cs="宋体"/>
                <w:b w:val="0"/>
                <w:bCs w:val="0"/>
                <w:color w:val="auto"/>
                <w:sz w:val="21"/>
                <w:szCs w:val="21"/>
                <w:highlight w:val="none"/>
                <w:u w:val="none"/>
                <w:lang w:val="en-US" w:eastAsia="zh-CN"/>
              </w:rPr>
              <w:t>相关</w:t>
            </w:r>
            <w:r>
              <w:rPr>
                <w:rFonts w:hint="eastAsia" w:ascii="宋体" w:eastAsia="宋体" w:cs="宋体"/>
                <w:b w:val="0"/>
                <w:bCs w:val="0"/>
                <w:color w:val="auto"/>
                <w:sz w:val="21"/>
                <w:szCs w:val="21"/>
                <w:highlight w:val="none"/>
                <w:u w:val="none"/>
              </w:rPr>
              <w:t>主管部门的行政处罚或开标前未处在行政处罚内的得</w:t>
            </w:r>
            <w:r>
              <w:rPr>
                <w:rFonts w:hint="eastAsia" w:ascii="宋体" w:eastAsia="宋体" w:cs="宋体"/>
                <w:b w:val="0"/>
                <w:bCs w:val="0"/>
                <w:color w:val="auto"/>
                <w:sz w:val="21"/>
                <w:szCs w:val="21"/>
                <w:highlight w:val="none"/>
                <w:u w:val="none"/>
                <w:lang w:val="en-US" w:eastAsia="zh-CN"/>
              </w:rPr>
              <w:t>2</w:t>
            </w:r>
            <w:r>
              <w:rPr>
                <w:rFonts w:hint="eastAsia" w:ascii="宋体" w:eastAsia="宋体" w:cs="宋体"/>
                <w:b w:val="0"/>
                <w:bCs w:val="0"/>
                <w:color w:val="auto"/>
                <w:sz w:val="21"/>
                <w:szCs w:val="21"/>
                <w:highlight w:val="none"/>
                <w:u w:val="none"/>
              </w:rPr>
              <w:t>分</w:t>
            </w:r>
            <w:r>
              <w:rPr>
                <w:rFonts w:hint="eastAsia" w:ascii="宋体" w:eastAsia="宋体" w:cs="宋体"/>
                <w:b w:val="0"/>
                <w:bCs w:val="0"/>
                <w:color w:val="auto"/>
                <w:sz w:val="21"/>
                <w:szCs w:val="21"/>
                <w:highlight w:val="none"/>
                <w:u w:val="none"/>
                <w:lang w:eastAsia="zh-CN"/>
              </w:rPr>
              <w:t>；</w:t>
            </w:r>
            <w:r>
              <w:rPr>
                <w:rFonts w:hint="eastAsia" w:ascii="宋体" w:eastAsia="宋体" w:cs="宋体"/>
                <w:b w:val="0"/>
                <w:bCs w:val="0"/>
                <w:color w:val="auto"/>
                <w:sz w:val="21"/>
                <w:szCs w:val="21"/>
                <w:highlight w:val="none"/>
                <w:u w:val="none"/>
              </w:rPr>
              <w:t>未提供证明材料或受到1次以上行政处罚并在开标前处于行政处罚内的不得分。(以信用中国查询截图为准)注:此处行政处罚指供应商因违法经营受到的警告、通报批评、200万元以下罚款、限制开展生产经营活动、限制从业的行政处罚。</w:t>
            </w:r>
          </w:p>
        </w:tc>
      </w:tr>
      <w:tr w14:paraId="5DBE0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690F9C4A">
            <w:pPr>
              <w:pStyle w:val="49"/>
              <w:spacing w:line="360" w:lineRule="auto"/>
              <w:ind w:firstLine="0" w:firstLineChars="0"/>
              <w:jc w:val="center"/>
              <w:rPr>
                <w:rFonts w:hint="default" w:asci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6</w:t>
            </w:r>
          </w:p>
        </w:tc>
        <w:tc>
          <w:tcPr>
            <w:tcW w:w="1326" w:type="dxa"/>
            <w:tcBorders>
              <w:top w:val="single" w:color="auto" w:sz="4" w:space="0"/>
              <w:left w:val="single" w:color="auto" w:sz="4" w:space="0"/>
              <w:bottom w:val="single" w:color="auto" w:sz="4" w:space="0"/>
              <w:right w:val="single" w:color="auto" w:sz="4" w:space="0"/>
            </w:tcBorders>
            <w:vAlign w:val="center"/>
          </w:tcPr>
          <w:p w14:paraId="10477116">
            <w:pPr>
              <w:pStyle w:val="49"/>
              <w:spacing w:line="360" w:lineRule="auto"/>
              <w:ind w:firstLine="0" w:firstLineChars="0"/>
              <w:jc w:val="center"/>
              <w:rPr>
                <w:rFonts w:hint="eastAsia" w:ascii="宋体" w:eastAsia="宋体" w:cs="宋体"/>
                <w:b w:val="0"/>
                <w:bCs w:val="0"/>
                <w:color w:val="auto"/>
                <w:sz w:val="21"/>
                <w:szCs w:val="21"/>
                <w:highlight w:val="none"/>
                <w:u w:val="none"/>
                <w:lang w:val="en-US" w:eastAsia="zh-CN"/>
              </w:rPr>
            </w:pPr>
            <w:r>
              <w:rPr>
                <w:rFonts w:hint="eastAsia" w:ascii="宋体" w:eastAsia="宋体" w:cs="宋体"/>
                <w:b w:val="0"/>
                <w:bCs w:val="0"/>
                <w:color w:val="auto"/>
                <w:sz w:val="21"/>
                <w:szCs w:val="21"/>
                <w:highlight w:val="none"/>
                <w:u w:val="none"/>
                <w:lang w:val="en-US" w:eastAsia="zh-CN"/>
              </w:rPr>
              <w:t>服务便利性</w:t>
            </w:r>
          </w:p>
        </w:tc>
        <w:tc>
          <w:tcPr>
            <w:tcW w:w="907" w:type="dxa"/>
            <w:tcBorders>
              <w:top w:val="single" w:color="auto" w:sz="4" w:space="0"/>
              <w:left w:val="single" w:color="auto" w:sz="4" w:space="0"/>
              <w:bottom w:val="single" w:color="auto" w:sz="4" w:space="0"/>
              <w:right w:val="single" w:color="auto" w:sz="4" w:space="0"/>
            </w:tcBorders>
            <w:vAlign w:val="center"/>
          </w:tcPr>
          <w:p w14:paraId="06369168">
            <w:pPr>
              <w:pStyle w:val="49"/>
              <w:spacing w:line="360" w:lineRule="auto"/>
              <w:ind w:firstLine="0" w:firstLineChars="0"/>
              <w:jc w:val="center"/>
              <w:rPr>
                <w:rFonts w:hint="default" w:ascii="宋体" w:eastAsia="宋体" w:cs="宋体"/>
                <w:b w:val="0"/>
                <w:bCs w:val="0"/>
                <w:color w:val="auto"/>
                <w:sz w:val="21"/>
                <w:szCs w:val="21"/>
                <w:highlight w:val="none"/>
                <w:u w:val="none"/>
                <w:lang w:val="en-US" w:eastAsia="zh-CN"/>
              </w:rPr>
            </w:pPr>
            <w:r>
              <w:rPr>
                <w:rFonts w:hint="eastAsia" w:ascii="宋体" w:eastAsia="宋体" w:cs="宋体"/>
                <w:b w:val="0"/>
                <w:bCs w:val="0"/>
                <w:color w:val="auto"/>
                <w:sz w:val="21"/>
                <w:szCs w:val="21"/>
                <w:highlight w:val="none"/>
                <w:u w:val="none"/>
                <w:lang w:val="en-US" w:eastAsia="zh-CN"/>
              </w:rPr>
              <w:t>8</w:t>
            </w:r>
          </w:p>
        </w:tc>
        <w:tc>
          <w:tcPr>
            <w:tcW w:w="6289" w:type="dxa"/>
            <w:tcBorders>
              <w:top w:val="single" w:color="auto" w:sz="4" w:space="0"/>
              <w:left w:val="single" w:color="auto" w:sz="4" w:space="0"/>
              <w:bottom w:val="single" w:color="auto" w:sz="4" w:space="0"/>
              <w:right w:val="single" w:color="auto" w:sz="4" w:space="0"/>
            </w:tcBorders>
            <w:vAlign w:val="center"/>
          </w:tcPr>
          <w:p w14:paraId="595D7F43">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lang w:eastAsia="zh-CN"/>
              </w:rPr>
            </w:pPr>
            <w:r>
              <w:rPr>
                <w:rFonts w:hint="eastAsia" w:ascii="宋体" w:eastAsia="宋体" w:cs="宋体"/>
                <w:b w:val="0"/>
                <w:bCs w:val="0"/>
                <w:color w:val="auto"/>
                <w:sz w:val="21"/>
                <w:szCs w:val="21"/>
                <w:highlight w:val="none"/>
                <w:u w:val="none"/>
              </w:rPr>
              <w:t>根据</w:t>
            </w:r>
            <w:r>
              <w:rPr>
                <w:rFonts w:hint="eastAsia" w:ascii="宋体" w:eastAsia="宋体" w:cs="宋体"/>
                <w:b w:val="0"/>
                <w:bCs w:val="0"/>
                <w:color w:val="auto"/>
                <w:sz w:val="21"/>
                <w:szCs w:val="21"/>
                <w:highlight w:val="none"/>
                <w:u w:val="none"/>
                <w:lang w:val="en-US" w:eastAsia="zh-CN"/>
              </w:rPr>
              <w:t>投标人</w:t>
            </w:r>
            <w:r>
              <w:rPr>
                <w:rFonts w:hint="eastAsia" w:ascii="宋体" w:eastAsia="宋体" w:cs="宋体"/>
                <w:b w:val="0"/>
                <w:bCs w:val="0"/>
                <w:color w:val="auto"/>
                <w:sz w:val="21"/>
                <w:szCs w:val="21"/>
                <w:highlight w:val="none"/>
                <w:u w:val="none"/>
              </w:rPr>
              <w:t>提供的服务响应时间承诺进行评分</w:t>
            </w:r>
            <w:r>
              <w:rPr>
                <w:rFonts w:hint="eastAsia" w:ascii="宋体" w:eastAsia="宋体" w:cs="宋体"/>
                <w:b w:val="0"/>
                <w:bCs w:val="0"/>
                <w:color w:val="auto"/>
                <w:sz w:val="21"/>
                <w:szCs w:val="21"/>
                <w:highlight w:val="none"/>
                <w:u w:val="none"/>
                <w:lang w:eastAsia="zh-CN"/>
              </w:rPr>
              <w:t>：</w:t>
            </w:r>
          </w:p>
          <w:p w14:paraId="566F365A">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lang w:eastAsia="zh-CN"/>
              </w:rPr>
            </w:pPr>
            <w:r>
              <w:rPr>
                <w:rFonts w:hint="eastAsia" w:ascii="宋体" w:eastAsia="宋体" w:cs="宋体"/>
                <w:b w:val="0"/>
                <w:bCs w:val="0"/>
                <w:color w:val="auto"/>
                <w:sz w:val="21"/>
                <w:szCs w:val="21"/>
                <w:highlight w:val="none"/>
                <w:u w:val="none"/>
                <w:lang w:val="en-US" w:eastAsia="zh-CN"/>
              </w:rPr>
              <w:t>投标人</w:t>
            </w:r>
            <w:r>
              <w:rPr>
                <w:rFonts w:hint="eastAsia" w:ascii="宋体" w:eastAsia="宋体" w:cs="宋体"/>
                <w:b w:val="0"/>
                <w:bCs w:val="0"/>
                <w:color w:val="auto"/>
                <w:sz w:val="21"/>
                <w:szCs w:val="21"/>
                <w:highlight w:val="none"/>
                <w:u w:val="none"/>
              </w:rPr>
              <w:t>承诺在接到招标人通知后1小时内到现场，得</w:t>
            </w:r>
            <w:r>
              <w:rPr>
                <w:rFonts w:hint="eastAsia" w:ascii="宋体" w:eastAsia="宋体" w:cs="宋体"/>
                <w:b w:val="0"/>
                <w:bCs w:val="0"/>
                <w:color w:val="auto"/>
                <w:sz w:val="21"/>
                <w:szCs w:val="21"/>
                <w:highlight w:val="none"/>
                <w:u w:val="none"/>
                <w:lang w:val="en-US" w:eastAsia="zh-CN"/>
              </w:rPr>
              <w:t>8</w:t>
            </w:r>
            <w:r>
              <w:rPr>
                <w:rFonts w:hint="eastAsia" w:ascii="宋体" w:eastAsia="宋体" w:cs="宋体"/>
                <w:b w:val="0"/>
                <w:bCs w:val="0"/>
                <w:color w:val="auto"/>
                <w:sz w:val="21"/>
                <w:szCs w:val="21"/>
                <w:highlight w:val="none"/>
                <w:u w:val="none"/>
              </w:rPr>
              <w:t>分</w:t>
            </w:r>
            <w:r>
              <w:rPr>
                <w:rFonts w:hint="eastAsia" w:ascii="宋体" w:eastAsia="宋体" w:cs="宋体"/>
                <w:b w:val="0"/>
                <w:bCs w:val="0"/>
                <w:color w:val="auto"/>
                <w:sz w:val="21"/>
                <w:szCs w:val="21"/>
                <w:highlight w:val="none"/>
                <w:u w:val="none"/>
                <w:lang w:eastAsia="zh-CN"/>
              </w:rPr>
              <w:t>；</w:t>
            </w:r>
          </w:p>
          <w:p w14:paraId="57C0BA71">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lang w:eastAsia="zh-CN"/>
              </w:rPr>
            </w:pPr>
            <w:r>
              <w:rPr>
                <w:rFonts w:hint="eastAsia" w:ascii="宋体" w:eastAsia="宋体" w:cs="宋体"/>
                <w:b w:val="0"/>
                <w:bCs w:val="0"/>
                <w:color w:val="auto"/>
                <w:sz w:val="21"/>
                <w:szCs w:val="21"/>
                <w:highlight w:val="none"/>
                <w:u w:val="none"/>
                <w:lang w:val="en-US" w:eastAsia="zh-CN"/>
              </w:rPr>
              <w:t>投标人</w:t>
            </w:r>
            <w:r>
              <w:rPr>
                <w:rFonts w:hint="eastAsia" w:ascii="宋体" w:eastAsia="宋体" w:cs="宋体"/>
                <w:b w:val="0"/>
                <w:bCs w:val="0"/>
                <w:color w:val="auto"/>
                <w:sz w:val="21"/>
                <w:szCs w:val="21"/>
                <w:highlight w:val="none"/>
                <w:u w:val="none"/>
              </w:rPr>
              <w:t>承诺在接到招标人通知后2小时内到现场，得</w:t>
            </w:r>
            <w:r>
              <w:rPr>
                <w:rFonts w:hint="eastAsia" w:ascii="宋体" w:eastAsia="宋体" w:cs="宋体"/>
                <w:b w:val="0"/>
                <w:bCs w:val="0"/>
                <w:color w:val="auto"/>
                <w:sz w:val="21"/>
                <w:szCs w:val="21"/>
                <w:highlight w:val="none"/>
                <w:u w:val="none"/>
                <w:lang w:val="en-US" w:eastAsia="zh-CN"/>
              </w:rPr>
              <w:t>5</w:t>
            </w:r>
            <w:r>
              <w:rPr>
                <w:rFonts w:hint="eastAsia" w:ascii="宋体" w:eastAsia="宋体" w:cs="宋体"/>
                <w:b w:val="0"/>
                <w:bCs w:val="0"/>
                <w:color w:val="auto"/>
                <w:sz w:val="21"/>
                <w:szCs w:val="21"/>
                <w:highlight w:val="none"/>
                <w:u w:val="none"/>
              </w:rPr>
              <w:t>分</w:t>
            </w:r>
            <w:r>
              <w:rPr>
                <w:rFonts w:hint="eastAsia" w:ascii="宋体" w:eastAsia="宋体" w:cs="宋体"/>
                <w:b w:val="0"/>
                <w:bCs w:val="0"/>
                <w:color w:val="auto"/>
                <w:sz w:val="21"/>
                <w:szCs w:val="21"/>
                <w:highlight w:val="none"/>
                <w:u w:val="none"/>
                <w:lang w:eastAsia="zh-CN"/>
              </w:rPr>
              <w:t>；</w:t>
            </w:r>
          </w:p>
          <w:p w14:paraId="3EBE3AC1">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lang w:eastAsia="zh-CN"/>
              </w:rPr>
            </w:pPr>
            <w:r>
              <w:rPr>
                <w:rFonts w:hint="eastAsia" w:ascii="宋体" w:eastAsia="宋体" w:cs="宋体"/>
                <w:b w:val="0"/>
                <w:bCs w:val="0"/>
                <w:color w:val="auto"/>
                <w:sz w:val="21"/>
                <w:szCs w:val="21"/>
                <w:highlight w:val="none"/>
                <w:u w:val="none"/>
                <w:lang w:val="en-US" w:eastAsia="zh-CN"/>
              </w:rPr>
              <w:t>投标人</w:t>
            </w:r>
            <w:r>
              <w:rPr>
                <w:rFonts w:hint="eastAsia" w:ascii="宋体" w:eastAsia="宋体" w:cs="宋体"/>
                <w:b w:val="0"/>
                <w:bCs w:val="0"/>
                <w:color w:val="auto"/>
                <w:sz w:val="21"/>
                <w:szCs w:val="21"/>
                <w:highlight w:val="none"/>
                <w:u w:val="none"/>
              </w:rPr>
              <w:t>承诺在接到招标人通知后4小时内到现场，得</w:t>
            </w:r>
            <w:r>
              <w:rPr>
                <w:rFonts w:hint="eastAsia" w:ascii="宋体" w:eastAsia="宋体" w:cs="宋体"/>
                <w:b w:val="0"/>
                <w:bCs w:val="0"/>
                <w:color w:val="auto"/>
                <w:sz w:val="21"/>
                <w:szCs w:val="21"/>
                <w:highlight w:val="none"/>
                <w:u w:val="none"/>
                <w:lang w:val="en-US" w:eastAsia="zh-CN"/>
              </w:rPr>
              <w:t>2</w:t>
            </w:r>
            <w:r>
              <w:rPr>
                <w:rFonts w:hint="eastAsia" w:ascii="宋体" w:eastAsia="宋体" w:cs="宋体"/>
                <w:b w:val="0"/>
                <w:bCs w:val="0"/>
                <w:color w:val="auto"/>
                <w:sz w:val="21"/>
                <w:szCs w:val="21"/>
                <w:highlight w:val="none"/>
                <w:u w:val="none"/>
              </w:rPr>
              <w:t>分</w:t>
            </w:r>
            <w:r>
              <w:rPr>
                <w:rFonts w:hint="eastAsia" w:ascii="宋体" w:eastAsia="宋体" w:cs="宋体"/>
                <w:b w:val="0"/>
                <w:bCs w:val="0"/>
                <w:color w:val="auto"/>
                <w:sz w:val="21"/>
                <w:szCs w:val="21"/>
                <w:highlight w:val="none"/>
                <w:u w:val="none"/>
                <w:lang w:eastAsia="zh-CN"/>
              </w:rPr>
              <w:t>；</w:t>
            </w:r>
          </w:p>
          <w:p w14:paraId="71426B9D">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lang w:val="en-US" w:eastAsia="zh-CN"/>
              </w:rPr>
              <w:t>投标人</w:t>
            </w:r>
            <w:r>
              <w:rPr>
                <w:rFonts w:hint="eastAsia" w:ascii="宋体" w:eastAsia="宋体" w:cs="宋体"/>
                <w:b w:val="0"/>
                <w:bCs w:val="0"/>
                <w:color w:val="auto"/>
                <w:sz w:val="21"/>
                <w:szCs w:val="21"/>
                <w:highlight w:val="none"/>
                <w:u w:val="none"/>
              </w:rPr>
              <w:t>承诺在接到招标人通知后超过4小时到现场，不得分。</w:t>
            </w:r>
          </w:p>
          <w:p w14:paraId="6C142E74">
            <w:pPr>
              <w:pStyle w:val="49"/>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提供服务承诺书并加盖</w:t>
            </w:r>
            <w:r>
              <w:rPr>
                <w:rFonts w:hint="eastAsia" w:ascii="宋体" w:eastAsia="宋体" w:cs="宋体"/>
                <w:b w:val="0"/>
                <w:bCs w:val="0"/>
                <w:color w:val="auto"/>
                <w:sz w:val="21"/>
                <w:szCs w:val="21"/>
                <w:highlight w:val="none"/>
                <w:u w:val="none"/>
                <w:lang w:val="en-US" w:eastAsia="zh-CN"/>
              </w:rPr>
              <w:t>投标人</w:t>
            </w:r>
            <w:r>
              <w:rPr>
                <w:rFonts w:hint="eastAsia" w:ascii="宋体" w:eastAsia="宋体" w:cs="宋体"/>
                <w:b w:val="0"/>
                <w:bCs w:val="0"/>
                <w:color w:val="auto"/>
                <w:sz w:val="21"/>
                <w:szCs w:val="21"/>
                <w:highlight w:val="none"/>
                <w:u w:val="none"/>
              </w:rPr>
              <w:t>公章，不符合以上要求得不得分。</w:t>
            </w:r>
          </w:p>
        </w:tc>
      </w:tr>
      <w:tr w14:paraId="5C9EF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9358" w:type="dxa"/>
            <w:gridSpan w:val="4"/>
            <w:tcBorders>
              <w:top w:val="single" w:color="auto" w:sz="4" w:space="0"/>
              <w:left w:val="single" w:color="auto" w:sz="4" w:space="0"/>
              <w:bottom w:val="single" w:color="auto" w:sz="4" w:space="0"/>
              <w:right w:val="single" w:color="auto" w:sz="4" w:space="0"/>
            </w:tcBorders>
            <w:vAlign w:val="center"/>
          </w:tcPr>
          <w:p w14:paraId="044C99B6">
            <w:pPr>
              <w:pStyle w:val="49"/>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技术评审（</w:t>
            </w:r>
            <w:r>
              <w:rPr>
                <w:rFonts w:hint="eastAsia" w:ascii="宋体" w:eastAsia="宋体" w:cs="宋体"/>
                <w:b w:val="0"/>
                <w:bCs w:val="0"/>
                <w:color w:val="auto"/>
                <w:sz w:val="21"/>
                <w:szCs w:val="21"/>
                <w:highlight w:val="none"/>
                <w:lang w:val="en-US" w:eastAsia="zh-CN"/>
              </w:rPr>
              <w:t>20</w:t>
            </w:r>
            <w:r>
              <w:rPr>
                <w:rFonts w:hint="eastAsia" w:ascii="宋体" w:eastAsia="宋体" w:cs="宋体"/>
                <w:b w:val="0"/>
                <w:bCs w:val="0"/>
                <w:color w:val="auto"/>
                <w:sz w:val="21"/>
                <w:szCs w:val="21"/>
                <w:highlight w:val="none"/>
              </w:rPr>
              <w:t>分）</w:t>
            </w:r>
          </w:p>
        </w:tc>
      </w:tr>
      <w:tr w14:paraId="7D96C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7"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10C81C9E">
            <w:pPr>
              <w:pStyle w:val="49"/>
              <w:spacing w:line="360" w:lineRule="auto"/>
              <w:ind w:firstLine="0" w:firstLineChars="0"/>
              <w:jc w:val="center"/>
              <w:rPr>
                <w:rFonts w:hint="eastAsia" w:ascii="宋体" w:eastAsia="宋体" w:cs="宋体"/>
                <w:b w:val="0"/>
                <w:bCs w:val="0"/>
                <w:color w:val="auto"/>
                <w:sz w:val="21"/>
                <w:szCs w:val="21"/>
                <w:highlight w:val="none"/>
                <w:lang w:eastAsia="zh-CN"/>
              </w:rPr>
            </w:pPr>
            <w:r>
              <w:rPr>
                <w:rFonts w:hint="eastAsia" w:ascii="宋体" w:eastAsia="宋体" w:cs="宋体"/>
                <w:b w:val="0"/>
                <w:bCs w:val="0"/>
                <w:color w:val="auto"/>
                <w:sz w:val="21"/>
                <w:szCs w:val="21"/>
                <w:highlight w:val="none"/>
                <w:lang w:val="en-US" w:eastAsia="zh-CN"/>
              </w:rPr>
              <w:t>1</w:t>
            </w:r>
          </w:p>
        </w:tc>
        <w:tc>
          <w:tcPr>
            <w:tcW w:w="1326" w:type="dxa"/>
            <w:tcBorders>
              <w:top w:val="single" w:color="auto" w:sz="4" w:space="0"/>
              <w:left w:val="single" w:color="auto" w:sz="4" w:space="0"/>
              <w:bottom w:val="single" w:color="auto" w:sz="4" w:space="0"/>
              <w:right w:val="single" w:color="auto" w:sz="4" w:space="0"/>
            </w:tcBorders>
            <w:vAlign w:val="center"/>
          </w:tcPr>
          <w:p w14:paraId="50E0060B">
            <w:pPr>
              <w:keepNext w:val="0"/>
              <w:keepLines w:val="0"/>
              <w:widowControl w:val="0"/>
              <w:suppressLineNumbers w:val="0"/>
              <w:adjustRightInd/>
              <w:snapToGrid/>
              <w:spacing w:before="0" w:beforeAutospacing="0" w:after="0" w:afterAutospacing="0"/>
              <w:ind w:left="0" w:right="0"/>
              <w:jc w:val="center"/>
              <w:rPr>
                <w:rFonts w:hint="default" w:ascii="宋体" w:hAnsi="宋体" w:cs="宋体"/>
                <w:b w:val="0"/>
                <w:bCs w:val="0"/>
                <w:color w:val="auto"/>
                <w:szCs w:val="21"/>
                <w:highlight w:val="none"/>
                <w:u w:val="none"/>
              </w:rPr>
            </w:pPr>
            <w:r>
              <w:rPr>
                <w:rFonts w:hint="eastAsia" w:hAnsi="宋体" w:cs="宋体"/>
                <w:b w:val="0"/>
                <w:bCs w:val="0"/>
                <w:color w:val="auto"/>
                <w:spacing w:val="2"/>
                <w:szCs w:val="21"/>
                <w:highlight w:val="none"/>
                <w:u w:val="none"/>
              </w:rPr>
              <w:t>项目实施（</w:t>
            </w:r>
            <w:r>
              <w:rPr>
                <w:rFonts w:hint="eastAsia" w:hAnsi="宋体" w:cs="宋体"/>
                <w:b w:val="0"/>
                <w:bCs w:val="0"/>
                <w:color w:val="auto"/>
                <w:spacing w:val="2"/>
                <w:szCs w:val="21"/>
                <w:highlight w:val="none"/>
                <w:u w:val="none"/>
                <w:lang w:eastAsia="zh-CN"/>
              </w:rPr>
              <w:t>设计、</w:t>
            </w:r>
            <w:r>
              <w:rPr>
                <w:rFonts w:hint="eastAsia" w:hAnsi="宋体" w:cs="宋体"/>
                <w:b w:val="0"/>
                <w:bCs w:val="0"/>
                <w:color w:val="auto"/>
                <w:spacing w:val="2"/>
                <w:szCs w:val="21"/>
                <w:highlight w:val="none"/>
                <w:u w:val="none"/>
              </w:rPr>
              <w:t>供货、安装）方案及进度计划</w:t>
            </w:r>
          </w:p>
        </w:tc>
        <w:tc>
          <w:tcPr>
            <w:tcW w:w="907" w:type="dxa"/>
            <w:tcBorders>
              <w:top w:val="single" w:color="auto" w:sz="4" w:space="0"/>
              <w:left w:val="single" w:color="auto" w:sz="4" w:space="0"/>
              <w:bottom w:val="single" w:color="auto" w:sz="4" w:space="0"/>
              <w:right w:val="single" w:color="auto" w:sz="4" w:space="0"/>
            </w:tcBorders>
            <w:vAlign w:val="center"/>
          </w:tcPr>
          <w:p w14:paraId="742FD528">
            <w:pPr>
              <w:keepNext w:val="0"/>
              <w:keepLines w:val="0"/>
              <w:widowControl w:val="0"/>
              <w:suppressLineNumbers w:val="0"/>
              <w:adjustRightInd/>
              <w:snapToGrid/>
              <w:spacing w:before="0" w:beforeAutospacing="0" w:after="0" w:afterAutospacing="0"/>
              <w:ind w:left="0" w:right="0"/>
              <w:jc w:val="center"/>
              <w:rPr>
                <w:rFonts w:hint="default" w:ascii="宋体" w:hAnsi="宋体" w:eastAsia="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5</w:t>
            </w:r>
          </w:p>
        </w:tc>
        <w:tc>
          <w:tcPr>
            <w:tcW w:w="6289" w:type="dxa"/>
            <w:tcBorders>
              <w:top w:val="single" w:color="auto" w:sz="4" w:space="0"/>
              <w:left w:val="single" w:color="auto" w:sz="4" w:space="0"/>
              <w:bottom w:val="single" w:color="auto" w:sz="4" w:space="0"/>
              <w:right w:val="single" w:color="auto" w:sz="4" w:space="0"/>
            </w:tcBorders>
            <w:vAlign w:val="center"/>
          </w:tcPr>
          <w:p w14:paraId="01F3C4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cs="宋体"/>
                <w:b w:val="0"/>
                <w:bCs w:val="0"/>
                <w:color w:val="auto"/>
                <w:szCs w:val="21"/>
                <w:highlight w:val="none"/>
                <w:u w:val="none"/>
              </w:rPr>
            </w:pPr>
            <w:r>
              <w:rPr>
                <w:rFonts w:hint="eastAsia" w:ascii="宋体" w:hAnsi="宋体" w:cs="宋体"/>
                <w:b w:val="0"/>
                <w:bCs w:val="0"/>
                <w:color w:val="auto"/>
                <w:szCs w:val="21"/>
                <w:highlight w:val="none"/>
                <w:u w:val="none"/>
              </w:rPr>
              <w:t>根据</w:t>
            </w:r>
            <w:r>
              <w:rPr>
                <w:rFonts w:hint="eastAsia" w:ascii="宋体" w:hAnsi="宋体" w:cs="宋体"/>
                <w:b w:val="0"/>
                <w:bCs w:val="0"/>
                <w:color w:val="auto"/>
                <w:szCs w:val="21"/>
                <w:highlight w:val="none"/>
                <w:u w:val="none"/>
                <w:lang w:val="en-US" w:eastAsia="zh-CN"/>
              </w:rPr>
              <w:t>投标人</w:t>
            </w:r>
            <w:r>
              <w:rPr>
                <w:rFonts w:hint="eastAsia" w:ascii="宋体" w:hAnsi="宋体" w:cs="宋体"/>
                <w:b w:val="0"/>
                <w:bCs w:val="0"/>
                <w:color w:val="auto"/>
                <w:szCs w:val="21"/>
                <w:highlight w:val="none"/>
                <w:u w:val="none"/>
              </w:rPr>
              <w:t>提供的项目实施方案（包括不限于</w:t>
            </w:r>
            <w:r>
              <w:rPr>
                <w:rFonts w:hint="eastAsia" w:ascii="宋体" w:hAnsi="宋体" w:cs="宋体"/>
                <w:b w:val="0"/>
                <w:bCs w:val="0"/>
                <w:color w:val="auto"/>
                <w:szCs w:val="21"/>
                <w:highlight w:val="none"/>
                <w:u w:val="none"/>
                <w:lang w:eastAsia="zh-CN"/>
              </w:rPr>
              <w:t>初步设计方案、</w:t>
            </w:r>
            <w:r>
              <w:rPr>
                <w:rFonts w:hint="eastAsia" w:ascii="宋体" w:hAnsi="宋体" w:cs="宋体"/>
                <w:b w:val="0"/>
                <w:bCs w:val="0"/>
                <w:color w:val="auto"/>
                <w:szCs w:val="21"/>
                <w:highlight w:val="none"/>
                <w:u w:val="none"/>
              </w:rPr>
              <w:t>项目进度安排、项目验收方案、货物运输及保护措施、安装调试方案）进行评审：</w:t>
            </w:r>
          </w:p>
          <w:p w14:paraId="4362D7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eastAsia" w:ascii="宋体" w:hAnsi="宋体" w:eastAsia="宋体" w:cs="宋体"/>
                <w:b w:val="0"/>
                <w:bCs w:val="0"/>
                <w:color w:val="auto"/>
                <w:szCs w:val="21"/>
                <w:highlight w:val="none"/>
                <w:u w:val="none"/>
                <w:lang w:eastAsia="zh-CN"/>
              </w:rPr>
            </w:pPr>
            <w:r>
              <w:rPr>
                <w:rFonts w:hint="eastAsia" w:ascii="宋体" w:hAnsi="宋体" w:cs="宋体"/>
                <w:b w:val="0"/>
                <w:bCs w:val="0"/>
                <w:color w:val="auto"/>
                <w:szCs w:val="21"/>
                <w:highlight w:val="none"/>
                <w:u w:val="none"/>
              </w:rPr>
              <w:t>①针对本项目特征制定的实施方案的可靠性、可行性、安全性非常高的，进度计划安排非常科学合理，可行性强的，得</w:t>
            </w:r>
            <w:r>
              <w:rPr>
                <w:rFonts w:hint="eastAsia" w:ascii="宋体" w:hAnsi="宋体" w:cs="宋体"/>
                <w:b w:val="0"/>
                <w:bCs w:val="0"/>
                <w:color w:val="auto"/>
                <w:szCs w:val="21"/>
                <w:highlight w:val="none"/>
                <w:u w:val="none"/>
                <w:lang w:val="en-US" w:eastAsia="zh-CN"/>
              </w:rPr>
              <w:t>5</w:t>
            </w:r>
            <w:r>
              <w:rPr>
                <w:rFonts w:hint="eastAsia" w:ascii="宋体" w:hAnsi="宋体" w:cs="宋体"/>
                <w:b w:val="0"/>
                <w:bCs w:val="0"/>
                <w:color w:val="auto"/>
                <w:szCs w:val="21"/>
                <w:highlight w:val="none"/>
                <w:u w:val="none"/>
              </w:rPr>
              <w:t>分</w:t>
            </w:r>
            <w:r>
              <w:rPr>
                <w:rFonts w:hint="eastAsia" w:ascii="宋体" w:hAnsi="宋体" w:cs="宋体"/>
                <w:b w:val="0"/>
                <w:bCs w:val="0"/>
                <w:color w:val="auto"/>
                <w:szCs w:val="21"/>
                <w:highlight w:val="none"/>
                <w:u w:val="none"/>
                <w:lang w:eastAsia="zh-CN"/>
              </w:rPr>
              <w:t>；</w:t>
            </w:r>
          </w:p>
          <w:p w14:paraId="3C26D6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eastAsia" w:ascii="宋体" w:hAnsi="宋体" w:eastAsia="宋体" w:cs="宋体"/>
                <w:b w:val="0"/>
                <w:bCs w:val="0"/>
                <w:color w:val="auto"/>
                <w:szCs w:val="21"/>
                <w:highlight w:val="none"/>
                <w:u w:val="none"/>
                <w:lang w:eastAsia="zh-CN"/>
              </w:rPr>
            </w:pPr>
            <w:r>
              <w:rPr>
                <w:rFonts w:hint="eastAsia" w:ascii="宋体" w:hAnsi="宋体" w:cs="宋体"/>
                <w:b w:val="0"/>
                <w:bCs w:val="0"/>
                <w:color w:val="auto"/>
                <w:szCs w:val="21"/>
                <w:highlight w:val="none"/>
                <w:u w:val="none"/>
              </w:rPr>
              <w:t>②针对本项目特征制定的实施方案的可靠性、可行性、安全性比较高的，进度计划安排比较科学合理，可行性较强的，得</w:t>
            </w:r>
            <w:r>
              <w:rPr>
                <w:rFonts w:hint="eastAsia" w:ascii="宋体" w:hAnsi="宋体" w:cs="宋体"/>
                <w:b w:val="0"/>
                <w:bCs w:val="0"/>
                <w:color w:val="auto"/>
                <w:szCs w:val="21"/>
                <w:highlight w:val="none"/>
                <w:u w:val="none"/>
                <w:lang w:val="en-US" w:eastAsia="zh-CN"/>
              </w:rPr>
              <w:t>4</w:t>
            </w:r>
            <w:r>
              <w:rPr>
                <w:rFonts w:hint="eastAsia" w:ascii="宋体" w:hAnsi="宋体" w:cs="宋体"/>
                <w:b w:val="0"/>
                <w:bCs w:val="0"/>
                <w:color w:val="auto"/>
                <w:szCs w:val="21"/>
                <w:highlight w:val="none"/>
                <w:u w:val="none"/>
              </w:rPr>
              <w:t>分</w:t>
            </w:r>
            <w:r>
              <w:rPr>
                <w:rFonts w:hint="eastAsia" w:ascii="宋体" w:hAnsi="宋体" w:cs="宋体"/>
                <w:b w:val="0"/>
                <w:bCs w:val="0"/>
                <w:color w:val="auto"/>
                <w:szCs w:val="21"/>
                <w:highlight w:val="none"/>
                <w:u w:val="none"/>
                <w:lang w:eastAsia="zh-CN"/>
              </w:rPr>
              <w:t>；</w:t>
            </w:r>
          </w:p>
          <w:p w14:paraId="00D8B7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eastAsia" w:ascii="宋体" w:hAnsi="宋体" w:eastAsia="宋体" w:cs="宋体"/>
                <w:b w:val="0"/>
                <w:bCs w:val="0"/>
                <w:color w:val="auto"/>
                <w:szCs w:val="21"/>
                <w:highlight w:val="none"/>
                <w:u w:val="none"/>
                <w:lang w:eastAsia="zh-CN"/>
              </w:rPr>
            </w:pPr>
            <w:r>
              <w:rPr>
                <w:rFonts w:hint="eastAsia" w:ascii="宋体" w:hAnsi="宋体" w:cs="宋体"/>
                <w:b w:val="0"/>
                <w:bCs w:val="0"/>
                <w:color w:val="auto"/>
                <w:szCs w:val="21"/>
                <w:highlight w:val="none"/>
                <w:u w:val="none"/>
              </w:rPr>
              <w:t>③针对本项目特征制定的实施方案的可靠性、可行性、安全性一般的，进度计划安排基本科学合理，可行性一般的，得</w:t>
            </w:r>
            <w:r>
              <w:rPr>
                <w:rFonts w:hint="eastAsia" w:ascii="宋体" w:hAnsi="宋体" w:cs="宋体"/>
                <w:b w:val="0"/>
                <w:bCs w:val="0"/>
                <w:color w:val="auto"/>
                <w:szCs w:val="21"/>
                <w:highlight w:val="none"/>
                <w:u w:val="none"/>
                <w:lang w:val="en-US" w:eastAsia="zh-CN"/>
              </w:rPr>
              <w:t>3</w:t>
            </w:r>
            <w:r>
              <w:rPr>
                <w:rFonts w:hint="eastAsia" w:ascii="宋体" w:hAnsi="宋体" w:cs="宋体"/>
                <w:b w:val="0"/>
                <w:bCs w:val="0"/>
                <w:color w:val="auto"/>
                <w:szCs w:val="21"/>
                <w:highlight w:val="none"/>
                <w:u w:val="none"/>
              </w:rPr>
              <w:t>分</w:t>
            </w:r>
            <w:r>
              <w:rPr>
                <w:rFonts w:hint="eastAsia" w:ascii="宋体" w:hAnsi="宋体" w:cs="宋体"/>
                <w:b w:val="0"/>
                <w:bCs w:val="0"/>
                <w:color w:val="auto"/>
                <w:szCs w:val="21"/>
                <w:highlight w:val="none"/>
                <w:u w:val="none"/>
                <w:lang w:eastAsia="zh-CN"/>
              </w:rPr>
              <w:t>；</w:t>
            </w:r>
          </w:p>
          <w:p w14:paraId="0F21D75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eastAsia="宋体" w:cs="宋体"/>
                <w:b w:val="0"/>
                <w:bCs w:val="0"/>
                <w:color w:val="auto"/>
                <w:szCs w:val="21"/>
                <w:highlight w:val="none"/>
                <w:u w:val="none"/>
                <w:lang w:val="en-US" w:eastAsia="zh-CN"/>
              </w:rPr>
            </w:pPr>
            <w:r>
              <w:rPr>
                <w:rFonts w:hint="eastAsia" w:ascii="宋体" w:hAnsi="宋体" w:cs="宋体"/>
                <w:b w:val="0"/>
                <w:bCs w:val="0"/>
                <w:color w:val="auto"/>
                <w:szCs w:val="21"/>
                <w:highlight w:val="none"/>
                <w:u w:val="none"/>
              </w:rPr>
              <w:t>④针对本项目特征制定的实施方案的可靠性、可行性、安全性差的，进度计划安排比较简单，可行性差</w:t>
            </w:r>
            <w:r>
              <w:rPr>
                <w:rFonts w:hint="eastAsia" w:ascii="宋体" w:hAnsi="宋体" w:cs="宋体"/>
                <w:b w:val="0"/>
                <w:bCs w:val="0"/>
                <w:color w:val="auto"/>
                <w:szCs w:val="21"/>
                <w:highlight w:val="none"/>
                <w:u w:val="none"/>
                <w:lang w:eastAsia="zh-CN"/>
              </w:rPr>
              <w:t>的，得</w:t>
            </w:r>
            <w:r>
              <w:rPr>
                <w:rFonts w:hint="eastAsia" w:ascii="宋体" w:hAnsi="宋体" w:cs="宋体"/>
                <w:b w:val="0"/>
                <w:bCs w:val="0"/>
                <w:color w:val="auto"/>
                <w:szCs w:val="21"/>
                <w:highlight w:val="none"/>
                <w:u w:val="none"/>
                <w:lang w:val="en-US" w:eastAsia="zh-CN"/>
              </w:rPr>
              <w:t>1分；</w:t>
            </w:r>
          </w:p>
          <w:p w14:paraId="46B17C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eastAsia" w:ascii="宋体" w:hAnsi="宋体" w:eastAsia="宋体" w:cs="宋体"/>
                <w:b w:val="0"/>
                <w:bCs w:val="0"/>
                <w:color w:val="auto"/>
                <w:szCs w:val="21"/>
                <w:highlight w:val="none"/>
                <w:u w:val="none"/>
                <w:lang w:eastAsia="zh-CN"/>
              </w:rPr>
            </w:pPr>
            <w:r>
              <w:rPr>
                <w:rFonts w:hint="eastAsia" w:ascii="宋体" w:hAnsi="宋体" w:cs="宋体"/>
                <w:b w:val="0"/>
                <w:bCs w:val="0"/>
                <w:color w:val="auto"/>
                <w:szCs w:val="21"/>
                <w:highlight w:val="none"/>
                <w:u w:val="none"/>
                <w:lang w:eastAsia="zh-CN"/>
              </w:rPr>
              <w:t>⑤</w:t>
            </w:r>
            <w:r>
              <w:rPr>
                <w:rFonts w:hint="eastAsia" w:ascii="宋体" w:hAnsi="宋体" w:cs="宋体"/>
                <w:b w:val="0"/>
                <w:bCs w:val="0"/>
                <w:color w:val="auto"/>
                <w:szCs w:val="21"/>
                <w:highlight w:val="none"/>
                <w:u w:val="none"/>
              </w:rPr>
              <w:t>未提供</w:t>
            </w:r>
            <w:r>
              <w:rPr>
                <w:rFonts w:hint="eastAsia" w:ascii="宋体" w:hAnsi="宋体" w:cs="宋体"/>
                <w:b w:val="0"/>
                <w:bCs w:val="0"/>
                <w:color w:val="auto"/>
                <w:szCs w:val="21"/>
                <w:highlight w:val="none"/>
                <w:u w:val="none"/>
                <w:lang w:eastAsia="zh-CN"/>
              </w:rPr>
              <w:t>相关方案的</w:t>
            </w:r>
            <w:r>
              <w:rPr>
                <w:rFonts w:hint="eastAsia" w:ascii="宋体" w:hAnsi="宋体" w:cs="宋体"/>
                <w:b w:val="0"/>
                <w:bCs w:val="0"/>
                <w:color w:val="auto"/>
                <w:szCs w:val="21"/>
                <w:highlight w:val="none"/>
                <w:u w:val="none"/>
              </w:rPr>
              <w:t>，不得分</w:t>
            </w:r>
            <w:r>
              <w:rPr>
                <w:rFonts w:hint="eastAsia" w:ascii="宋体" w:hAnsi="宋体" w:cs="宋体"/>
                <w:b w:val="0"/>
                <w:bCs w:val="0"/>
                <w:color w:val="auto"/>
                <w:szCs w:val="21"/>
                <w:highlight w:val="none"/>
                <w:u w:val="none"/>
                <w:lang w:eastAsia="zh-CN"/>
              </w:rPr>
              <w:t>。</w:t>
            </w:r>
          </w:p>
        </w:tc>
      </w:tr>
      <w:tr w14:paraId="6CBC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266C6BA0">
            <w:pPr>
              <w:pStyle w:val="49"/>
              <w:spacing w:line="360" w:lineRule="auto"/>
              <w:ind w:firstLine="0" w:firstLineChars="0"/>
              <w:jc w:val="center"/>
              <w:rPr>
                <w:rFonts w:hint="eastAsia" w:asci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2</w:t>
            </w:r>
          </w:p>
        </w:tc>
        <w:tc>
          <w:tcPr>
            <w:tcW w:w="1326" w:type="dxa"/>
            <w:tcBorders>
              <w:top w:val="single" w:color="auto" w:sz="4" w:space="0"/>
              <w:left w:val="single" w:color="auto" w:sz="4" w:space="0"/>
              <w:bottom w:val="single" w:color="auto" w:sz="4" w:space="0"/>
              <w:right w:val="single" w:color="auto" w:sz="4" w:space="0"/>
            </w:tcBorders>
            <w:vAlign w:val="center"/>
          </w:tcPr>
          <w:p w14:paraId="259FBA25">
            <w:pPr>
              <w:keepNext w:val="0"/>
              <w:keepLines w:val="0"/>
              <w:widowControl w:val="0"/>
              <w:suppressLineNumbers w:val="0"/>
              <w:adjustRightInd/>
              <w:snapToGrid/>
              <w:spacing w:before="0" w:beforeAutospacing="0" w:after="0" w:afterAutospacing="0"/>
              <w:ind w:left="0" w:right="0"/>
              <w:jc w:val="center"/>
              <w:rPr>
                <w:rFonts w:hint="eastAsia" w:ascii="Tahoma" w:hAnsi="宋体" w:eastAsia="宋体" w:cs="宋体"/>
                <w:b w:val="0"/>
                <w:bCs w:val="0"/>
                <w:color w:val="auto"/>
                <w:spacing w:val="2"/>
                <w:sz w:val="21"/>
                <w:szCs w:val="21"/>
                <w:highlight w:val="none"/>
                <w:u w:val="none"/>
                <w:lang w:val="en-US" w:eastAsia="zh-CN" w:bidi="ar-SA"/>
              </w:rPr>
            </w:pPr>
            <w:r>
              <w:rPr>
                <w:rFonts w:hint="eastAsia" w:hAnsi="宋体" w:cs="宋体"/>
                <w:b w:val="0"/>
                <w:bCs w:val="0"/>
                <w:color w:val="auto"/>
                <w:spacing w:val="2"/>
                <w:szCs w:val="21"/>
                <w:highlight w:val="none"/>
                <w:u w:val="none"/>
                <w:lang w:eastAsia="zh-CN"/>
              </w:rPr>
              <w:t>产品性能</w:t>
            </w:r>
          </w:p>
        </w:tc>
        <w:tc>
          <w:tcPr>
            <w:tcW w:w="907" w:type="dxa"/>
            <w:tcBorders>
              <w:top w:val="single" w:color="auto" w:sz="4" w:space="0"/>
              <w:left w:val="single" w:color="auto" w:sz="4" w:space="0"/>
              <w:bottom w:val="single" w:color="auto" w:sz="4" w:space="0"/>
              <w:right w:val="single" w:color="auto" w:sz="4" w:space="0"/>
            </w:tcBorders>
            <w:vAlign w:val="center"/>
          </w:tcPr>
          <w:p w14:paraId="574013FB">
            <w:pPr>
              <w:keepNext w:val="0"/>
              <w:keepLines w:val="0"/>
              <w:widowControl w:val="0"/>
              <w:suppressLineNumbers w:val="0"/>
              <w:adjustRightInd/>
              <w:snapToGrid/>
              <w:spacing w:before="0" w:beforeAutospacing="0" w:after="0" w:afterAutospacing="0"/>
              <w:ind w:left="0" w:right="0"/>
              <w:jc w:val="center"/>
              <w:rPr>
                <w:rFonts w:hint="eastAsia" w:ascii="宋体" w:hAnsi="宋体" w:eastAsia="宋体" w:cs="宋体"/>
                <w:b w:val="0"/>
                <w:bCs w:val="0"/>
                <w:color w:val="auto"/>
                <w:sz w:val="21"/>
                <w:szCs w:val="21"/>
                <w:highlight w:val="none"/>
                <w:lang w:val="en-US" w:eastAsia="zh-CN" w:bidi="ar-SA"/>
              </w:rPr>
            </w:pPr>
            <w:r>
              <w:rPr>
                <w:rFonts w:hint="eastAsia" w:ascii="宋体" w:hAnsi="宋体" w:cs="宋体"/>
                <w:b w:val="0"/>
                <w:bCs w:val="0"/>
                <w:color w:val="auto"/>
                <w:szCs w:val="21"/>
                <w:highlight w:val="none"/>
                <w:lang w:val="en-US" w:eastAsia="zh-CN"/>
              </w:rPr>
              <w:t>5</w:t>
            </w:r>
          </w:p>
        </w:tc>
        <w:tc>
          <w:tcPr>
            <w:tcW w:w="6289" w:type="dxa"/>
            <w:tcBorders>
              <w:top w:val="single" w:color="auto" w:sz="4" w:space="0"/>
              <w:left w:val="single" w:color="auto" w:sz="4" w:space="0"/>
              <w:bottom w:val="single" w:color="auto" w:sz="4" w:space="0"/>
              <w:right w:val="single" w:color="auto" w:sz="4" w:space="0"/>
            </w:tcBorders>
            <w:vAlign w:val="center"/>
          </w:tcPr>
          <w:p w14:paraId="09D0576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rPr>
            </w:pPr>
            <w:r>
              <w:rPr>
                <w:rFonts w:hint="eastAsia" w:ascii="宋体" w:hAnsi="宋体" w:eastAsia="宋体" w:cs="宋体"/>
                <w:b w:val="0"/>
                <w:bCs w:val="0"/>
                <w:color w:val="auto"/>
                <w:szCs w:val="21"/>
                <w:highlight w:val="none"/>
                <w:u w:val="none"/>
              </w:rPr>
              <w:t>根据投标人所投设备的综合性能</w:t>
            </w:r>
            <w:r>
              <w:rPr>
                <w:rFonts w:hint="eastAsia" w:ascii="宋体" w:hAnsi="宋体" w:eastAsia="宋体" w:cs="宋体"/>
                <w:b w:val="0"/>
                <w:bCs w:val="0"/>
                <w:color w:val="auto"/>
                <w:szCs w:val="21"/>
                <w:highlight w:val="none"/>
                <w:u w:val="none"/>
                <w:lang w:eastAsia="zh-CN"/>
              </w:rPr>
              <w:t>（包括设计与配置、材质、实用性、耐用性等）</w:t>
            </w:r>
            <w:r>
              <w:rPr>
                <w:rFonts w:hint="eastAsia" w:ascii="宋体" w:hAnsi="宋体" w:eastAsia="宋体" w:cs="宋体"/>
                <w:b w:val="0"/>
                <w:bCs w:val="0"/>
                <w:color w:val="auto"/>
                <w:szCs w:val="21"/>
                <w:highlight w:val="none"/>
                <w:u w:val="none"/>
              </w:rPr>
              <w:t>进行综合评分。</w:t>
            </w:r>
          </w:p>
          <w:p w14:paraId="429E770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lang w:eastAsia="zh-CN"/>
              </w:rPr>
            </w:pPr>
            <w:r>
              <w:rPr>
                <w:rFonts w:hint="eastAsia" w:ascii="宋体" w:hAnsi="宋体" w:eastAsia="宋体" w:cs="宋体"/>
                <w:b w:val="0"/>
                <w:bCs w:val="0"/>
                <w:color w:val="auto"/>
                <w:szCs w:val="21"/>
                <w:highlight w:val="none"/>
                <w:u w:val="none"/>
                <w:lang w:eastAsia="zh-CN"/>
              </w:rPr>
              <w:t>①</w:t>
            </w:r>
            <w:r>
              <w:rPr>
                <w:rFonts w:hint="eastAsia" w:ascii="宋体" w:hAnsi="宋体" w:eastAsia="宋体" w:cs="宋体"/>
                <w:b w:val="0"/>
                <w:bCs w:val="0"/>
                <w:color w:val="auto"/>
                <w:szCs w:val="21"/>
                <w:highlight w:val="none"/>
                <w:u w:val="none"/>
              </w:rPr>
              <w:t>设备设计及配置先进，材质可靠，实用性、耐用性好，得</w:t>
            </w:r>
            <w:r>
              <w:rPr>
                <w:rFonts w:hint="eastAsia" w:ascii="宋体" w:hAnsi="宋体" w:eastAsia="宋体" w:cs="宋体"/>
                <w:b w:val="0"/>
                <w:bCs w:val="0"/>
                <w:color w:val="auto"/>
                <w:szCs w:val="21"/>
                <w:highlight w:val="none"/>
                <w:u w:val="none"/>
                <w:lang w:val="en-US" w:eastAsia="zh-CN"/>
              </w:rPr>
              <w:t>5</w:t>
            </w:r>
            <w:r>
              <w:rPr>
                <w:rFonts w:hint="eastAsia" w:ascii="宋体" w:hAnsi="宋体" w:eastAsia="宋体" w:cs="宋体"/>
                <w:b w:val="0"/>
                <w:bCs w:val="0"/>
                <w:color w:val="auto"/>
                <w:szCs w:val="21"/>
                <w:highlight w:val="none"/>
                <w:u w:val="none"/>
              </w:rPr>
              <w:t>分</w:t>
            </w:r>
            <w:r>
              <w:rPr>
                <w:rFonts w:hint="eastAsia" w:ascii="宋体" w:hAnsi="宋体" w:cs="宋体"/>
                <w:b w:val="0"/>
                <w:bCs w:val="0"/>
                <w:color w:val="auto"/>
                <w:szCs w:val="21"/>
                <w:highlight w:val="none"/>
                <w:u w:val="none"/>
                <w:lang w:eastAsia="zh-CN"/>
              </w:rPr>
              <w:t>；</w:t>
            </w:r>
          </w:p>
          <w:p w14:paraId="49AA1E3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lang w:eastAsia="zh-CN"/>
              </w:rPr>
            </w:pPr>
            <w:r>
              <w:rPr>
                <w:rFonts w:hint="eastAsia" w:ascii="宋体" w:hAnsi="宋体" w:eastAsia="宋体" w:cs="宋体"/>
                <w:b w:val="0"/>
                <w:bCs w:val="0"/>
                <w:color w:val="auto"/>
                <w:szCs w:val="21"/>
                <w:highlight w:val="none"/>
                <w:u w:val="none"/>
                <w:lang w:eastAsia="zh-CN"/>
              </w:rPr>
              <w:t>②</w:t>
            </w:r>
            <w:r>
              <w:rPr>
                <w:rFonts w:hint="eastAsia" w:ascii="宋体" w:hAnsi="宋体" w:eastAsia="宋体" w:cs="宋体"/>
                <w:b w:val="0"/>
                <w:bCs w:val="0"/>
                <w:color w:val="auto"/>
                <w:szCs w:val="21"/>
                <w:highlight w:val="none"/>
                <w:u w:val="none"/>
              </w:rPr>
              <w:t>设备设计及配置较为先进，材质可靠，实用性、耐用性一般，得</w:t>
            </w:r>
            <w:r>
              <w:rPr>
                <w:rFonts w:hint="eastAsia" w:ascii="宋体" w:hAnsi="宋体" w:eastAsia="宋体" w:cs="宋体"/>
                <w:b w:val="0"/>
                <w:bCs w:val="0"/>
                <w:color w:val="auto"/>
                <w:szCs w:val="21"/>
                <w:highlight w:val="none"/>
                <w:u w:val="none"/>
                <w:lang w:val="en-US" w:eastAsia="zh-CN"/>
              </w:rPr>
              <w:t>4</w:t>
            </w:r>
            <w:r>
              <w:rPr>
                <w:rFonts w:hint="eastAsia" w:ascii="宋体" w:hAnsi="宋体" w:eastAsia="宋体" w:cs="宋体"/>
                <w:b w:val="0"/>
                <w:bCs w:val="0"/>
                <w:color w:val="auto"/>
                <w:szCs w:val="21"/>
                <w:highlight w:val="none"/>
                <w:u w:val="none"/>
              </w:rPr>
              <w:t>分</w:t>
            </w:r>
            <w:r>
              <w:rPr>
                <w:rFonts w:hint="eastAsia" w:ascii="宋体" w:hAnsi="宋体" w:cs="宋体"/>
                <w:b w:val="0"/>
                <w:bCs w:val="0"/>
                <w:color w:val="auto"/>
                <w:szCs w:val="21"/>
                <w:highlight w:val="none"/>
                <w:u w:val="none"/>
                <w:lang w:eastAsia="zh-CN"/>
              </w:rPr>
              <w:t>；</w:t>
            </w:r>
          </w:p>
          <w:p w14:paraId="0AD17B1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lang w:eastAsia="zh-CN"/>
              </w:rPr>
            </w:pPr>
            <w:r>
              <w:rPr>
                <w:rFonts w:hint="eastAsia" w:ascii="宋体" w:hAnsi="宋体" w:eastAsia="宋体" w:cs="宋体"/>
                <w:b w:val="0"/>
                <w:bCs w:val="0"/>
                <w:color w:val="auto"/>
                <w:szCs w:val="21"/>
                <w:highlight w:val="none"/>
                <w:u w:val="none"/>
                <w:lang w:eastAsia="zh-CN"/>
              </w:rPr>
              <w:t>③</w:t>
            </w:r>
            <w:r>
              <w:rPr>
                <w:rFonts w:hint="eastAsia" w:ascii="宋体" w:hAnsi="宋体" w:eastAsia="宋体" w:cs="宋体"/>
                <w:b w:val="0"/>
                <w:bCs w:val="0"/>
                <w:color w:val="auto"/>
                <w:szCs w:val="21"/>
                <w:highlight w:val="none"/>
                <w:u w:val="none"/>
              </w:rPr>
              <w:t>设备设计及配置一般，材质一般，实用性、耐用性一般，得</w:t>
            </w:r>
            <w:r>
              <w:rPr>
                <w:rFonts w:hint="eastAsia" w:ascii="宋体" w:hAnsi="宋体" w:eastAsia="宋体" w:cs="宋体"/>
                <w:b w:val="0"/>
                <w:bCs w:val="0"/>
                <w:color w:val="auto"/>
                <w:szCs w:val="21"/>
                <w:highlight w:val="none"/>
                <w:u w:val="none"/>
                <w:lang w:val="en-US" w:eastAsia="zh-CN"/>
              </w:rPr>
              <w:t>3</w:t>
            </w:r>
            <w:r>
              <w:rPr>
                <w:rFonts w:hint="eastAsia" w:ascii="宋体" w:hAnsi="宋体" w:eastAsia="宋体" w:cs="宋体"/>
                <w:b w:val="0"/>
                <w:bCs w:val="0"/>
                <w:color w:val="auto"/>
                <w:szCs w:val="21"/>
                <w:highlight w:val="none"/>
                <w:u w:val="none"/>
              </w:rPr>
              <w:t>分</w:t>
            </w:r>
            <w:r>
              <w:rPr>
                <w:rFonts w:hint="eastAsia" w:ascii="宋体" w:hAnsi="宋体" w:cs="宋体"/>
                <w:b w:val="0"/>
                <w:bCs w:val="0"/>
                <w:color w:val="auto"/>
                <w:szCs w:val="21"/>
                <w:highlight w:val="none"/>
                <w:u w:val="none"/>
                <w:lang w:eastAsia="zh-CN"/>
              </w:rPr>
              <w:t>；</w:t>
            </w:r>
          </w:p>
          <w:p w14:paraId="0777DB5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lang w:val="zh-CN"/>
              </w:rPr>
            </w:pPr>
            <w:r>
              <w:rPr>
                <w:rFonts w:hint="eastAsia" w:ascii="宋体" w:hAnsi="宋体" w:eastAsia="宋体" w:cs="宋体"/>
                <w:b w:val="0"/>
                <w:bCs w:val="0"/>
                <w:color w:val="auto"/>
                <w:szCs w:val="21"/>
                <w:highlight w:val="none"/>
                <w:u w:val="none"/>
                <w:lang w:val="zh-CN"/>
              </w:rPr>
              <w:t>④设备设计及配置差，材质差，实用性、耐用性差，得</w:t>
            </w:r>
            <w:r>
              <w:rPr>
                <w:rFonts w:hint="eastAsia" w:ascii="宋体" w:hAnsi="宋体" w:eastAsia="宋体" w:cs="宋体"/>
                <w:b w:val="0"/>
                <w:bCs w:val="0"/>
                <w:color w:val="auto"/>
                <w:szCs w:val="21"/>
                <w:highlight w:val="none"/>
                <w:u w:val="none"/>
              </w:rPr>
              <w:t>1</w:t>
            </w:r>
            <w:r>
              <w:rPr>
                <w:rFonts w:hint="eastAsia" w:ascii="宋体" w:hAnsi="宋体" w:eastAsia="宋体" w:cs="宋体"/>
                <w:b w:val="0"/>
                <w:bCs w:val="0"/>
                <w:color w:val="auto"/>
                <w:szCs w:val="21"/>
                <w:highlight w:val="none"/>
                <w:u w:val="none"/>
                <w:lang w:val="zh-CN"/>
              </w:rPr>
              <w:t>分</w:t>
            </w:r>
            <w:r>
              <w:rPr>
                <w:rFonts w:hint="eastAsia" w:ascii="宋体" w:hAnsi="宋体" w:cs="宋体"/>
                <w:b w:val="0"/>
                <w:bCs w:val="0"/>
                <w:color w:val="auto"/>
                <w:szCs w:val="21"/>
                <w:highlight w:val="none"/>
                <w:u w:val="none"/>
                <w:lang w:val="zh-CN"/>
              </w:rPr>
              <w:t>；</w:t>
            </w:r>
          </w:p>
          <w:p w14:paraId="255B8CE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 w:val="21"/>
                <w:szCs w:val="21"/>
                <w:highlight w:val="none"/>
                <w:u w:val="none"/>
                <w:lang w:val="zh-CN" w:eastAsia="zh-CN" w:bidi="ar-SA"/>
              </w:rPr>
            </w:pPr>
            <w:r>
              <w:rPr>
                <w:rFonts w:hint="eastAsia" w:ascii="宋体" w:hAnsi="宋体" w:eastAsia="宋体" w:cs="宋体"/>
                <w:b w:val="0"/>
                <w:bCs w:val="0"/>
                <w:color w:val="auto"/>
                <w:szCs w:val="21"/>
                <w:highlight w:val="none"/>
                <w:u w:val="none"/>
                <w:lang w:eastAsia="zh-CN"/>
              </w:rPr>
              <w:t>⑤</w:t>
            </w:r>
            <w:r>
              <w:rPr>
                <w:rFonts w:hint="eastAsia" w:ascii="宋体" w:hAnsi="宋体" w:eastAsia="宋体" w:cs="宋体"/>
                <w:b w:val="0"/>
                <w:bCs w:val="0"/>
                <w:color w:val="auto"/>
                <w:szCs w:val="21"/>
                <w:highlight w:val="none"/>
                <w:u w:val="none"/>
              </w:rPr>
              <w:t>未提供对应方案不得分。</w:t>
            </w:r>
          </w:p>
        </w:tc>
      </w:tr>
      <w:tr w14:paraId="74F9F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6A1B0B03">
            <w:pPr>
              <w:pStyle w:val="49"/>
              <w:spacing w:line="360" w:lineRule="auto"/>
              <w:ind w:firstLine="0" w:firstLineChars="0"/>
              <w:jc w:val="center"/>
              <w:rPr>
                <w:rFonts w:ascii="宋体" w:eastAsia="宋体" w:cs="宋体"/>
                <w:b w:val="0"/>
                <w:bCs w:val="0"/>
                <w:color w:val="auto"/>
                <w:sz w:val="21"/>
                <w:szCs w:val="21"/>
                <w:highlight w:val="none"/>
              </w:rPr>
            </w:pPr>
            <w:r>
              <w:rPr>
                <w:rFonts w:ascii="宋体" w:eastAsia="宋体" w:cs="宋体"/>
                <w:b w:val="0"/>
                <w:bCs w:val="0"/>
                <w:color w:val="auto"/>
                <w:sz w:val="21"/>
                <w:szCs w:val="21"/>
                <w:highlight w:val="none"/>
              </w:rPr>
              <w:t>3</w:t>
            </w:r>
          </w:p>
        </w:tc>
        <w:tc>
          <w:tcPr>
            <w:tcW w:w="1326" w:type="dxa"/>
            <w:tcBorders>
              <w:top w:val="single" w:color="auto" w:sz="4" w:space="0"/>
              <w:left w:val="single" w:color="auto" w:sz="4" w:space="0"/>
              <w:bottom w:val="single" w:color="auto" w:sz="4" w:space="0"/>
              <w:right w:val="single" w:color="auto" w:sz="4" w:space="0"/>
            </w:tcBorders>
            <w:vAlign w:val="center"/>
          </w:tcPr>
          <w:p w14:paraId="2697FBC4">
            <w:pPr>
              <w:keepNext w:val="0"/>
              <w:keepLines w:val="0"/>
              <w:widowControl w:val="0"/>
              <w:suppressLineNumbers w:val="0"/>
              <w:adjustRightInd/>
              <w:snapToGrid/>
              <w:spacing w:before="0" w:beforeAutospacing="0" w:after="0" w:afterAutospacing="0"/>
              <w:ind w:left="0" w:right="0"/>
              <w:jc w:val="center"/>
              <w:rPr>
                <w:rFonts w:hint="default" w:ascii="宋体" w:hAnsi="宋体" w:cs="宋体"/>
                <w:b w:val="0"/>
                <w:bCs w:val="0"/>
                <w:color w:val="auto"/>
                <w:szCs w:val="21"/>
                <w:highlight w:val="none"/>
                <w:u w:val="none"/>
              </w:rPr>
            </w:pPr>
            <w:r>
              <w:rPr>
                <w:rFonts w:hint="eastAsia" w:hAnsi="宋体" w:cs="宋体"/>
                <w:b w:val="0"/>
                <w:bCs w:val="0"/>
                <w:color w:val="auto"/>
                <w:szCs w:val="21"/>
                <w:highlight w:val="none"/>
                <w:u w:val="none"/>
                <w:lang w:bidi="ar"/>
              </w:rPr>
              <w:t>质量保证措施</w:t>
            </w:r>
          </w:p>
        </w:tc>
        <w:tc>
          <w:tcPr>
            <w:tcW w:w="907" w:type="dxa"/>
            <w:tcBorders>
              <w:top w:val="single" w:color="auto" w:sz="4" w:space="0"/>
              <w:left w:val="single" w:color="auto" w:sz="4" w:space="0"/>
              <w:bottom w:val="single" w:color="auto" w:sz="4" w:space="0"/>
              <w:right w:val="single" w:color="auto" w:sz="4" w:space="0"/>
            </w:tcBorders>
            <w:vAlign w:val="center"/>
          </w:tcPr>
          <w:p w14:paraId="4ECCA7C4">
            <w:pPr>
              <w:keepNext w:val="0"/>
              <w:keepLines w:val="0"/>
              <w:widowControl w:val="0"/>
              <w:suppressLineNumbers w:val="0"/>
              <w:adjustRightInd/>
              <w:snapToGrid/>
              <w:spacing w:before="0" w:beforeAutospacing="0" w:after="0" w:afterAutospacing="0"/>
              <w:ind w:left="0" w:right="0"/>
              <w:jc w:val="center"/>
              <w:rPr>
                <w:rFonts w:hint="default" w:ascii="宋体" w:hAnsi="宋体" w:eastAsia="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5</w:t>
            </w:r>
          </w:p>
        </w:tc>
        <w:tc>
          <w:tcPr>
            <w:tcW w:w="6289" w:type="dxa"/>
            <w:tcBorders>
              <w:top w:val="single" w:color="auto" w:sz="4" w:space="0"/>
              <w:left w:val="single" w:color="auto" w:sz="4" w:space="0"/>
              <w:bottom w:val="single" w:color="auto" w:sz="4" w:space="0"/>
              <w:right w:val="single" w:color="auto" w:sz="4" w:space="0"/>
            </w:tcBorders>
            <w:vAlign w:val="center"/>
          </w:tcPr>
          <w:p w14:paraId="0CE40D72">
            <w:pPr>
              <w:keepNext w:val="0"/>
              <w:keepLines w:val="0"/>
              <w:pageBreakBefore w:val="0"/>
              <w:suppressLineNumbers w:val="0"/>
              <w:kinsoku/>
              <w:wordWrap/>
              <w:overflowPunct/>
              <w:topLinePunct w:val="0"/>
              <w:autoSpaceDE/>
              <w:autoSpaceDN/>
              <w:bidi w:val="0"/>
              <w:spacing w:before="0" w:beforeAutospacing="0" w:after="0" w:afterAutospacing="0" w:line="312" w:lineRule="auto"/>
              <w:ind w:left="0" w:right="0"/>
              <w:textAlignment w:val="auto"/>
              <w:rPr>
                <w:rFonts w:hint="eastAsia" w:ascii="宋体" w:hAnsi="宋体" w:eastAsia="宋体" w:cs="宋体"/>
                <w:b w:val="0"/>
                <w:bCs w:val="0"/>
                <w:color w:val="auto"/>
                <w:szCs w:val="21"/>
                <w:highlight w:val="none"/>
                <w:u w:val="none"/>
                <w:lang w:eastAsia="zh-CN"/>
              </w:rPr>
            </w:pPr>
            <w:r>
              <w:rPr>
                <w:rFonts w:hint="eastAsia" w:ascii="宋体" w:hAnsi="宋体" w:cs="宋体"/>
                <w:b w:val="0"/>
                <w:bCs w:val="0"/>
                <w:color w:val="auto"/>
                <w:szCs w:val="21"/>
                <w:highlight w:val="none"/>
                <w:u w:val="none"/>
              </w:rPr>
              <w:t>根据供应商提供质量保证措施方案（包括但不限于质量目标、项目质量的控制、质量保证措施等）进行评审</w:t>
            </w:r>
            <w:r>
              <w:rPr>
                <w:rFonts w:hint="eastAsia" w:ascii="宋体" w:hAnsi="宋体" w:cs="宋体"/>
                <w:b w:val="0"/>
                <w:bCs w:val="0"/>
                <w:color w:val="auto"/>
                <w:szCs w:val="21"/>
                <w:highlight w:val="none"/>
                <w:u w:val="none"/>
                <w:lang w:eastAsia="zh-CN"/>
              </w:rPr>
              <w:t>；</w:t>
            </w:r>
          </w:p>
          <w:p w14:paraId="06650F20">
            <w:pPr>
              <w:keepNext w:val="0"/>
              <w:keepLines w:val="0"/>
              <w:pageBreakBefore w:val="0"/>
              <w:suppressLineNumbers w:val="0"/>
              <w:kinsoku/>
              <w:wordWrap/>
              <w:overflowPunct/>
              <w:topLinePunct w:val="0"/>
              <w:autoSpaceDE/>
              <w:autoSpaceDN/>
              <w:bidi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lang w:eastAsia="zh-CN"/>
              </w:rPr>
            </w:pPr>
            <w:r>
              <w:rPr>
                <w:rFonts w:hint="eastAsia" w:ascii="宋体" w:hAnsi="宋体" w:cs="宋体"/>
                <w:b w:val="0"/>
                <w:bCs w:val="0"/>
                <w:color w:val="auto"/>
                <w:szCs w:val="21"/>
                <w:highlight w:val="none"/>
                <w:u w:val="none"/>
              </w:rPr>
              <w:t>①质量目标非常明确、对项目质量的控制非常详细、检验手段非常科学，质量保证措施非常具体，可行</w:t>
            </w:r>
            <w:r>
              <w:rPr>
                <w:rFonts w:hint="eastAsia" w:ascii="宋体" w:hAnsi="宋体" w:cs="宋体"/>
                <w:b w:val="0"/>
                <w:bCs w:val="0"/>
                <w:color w:val="auto"/>
                <w:szCs w:val="21"/>
                <w:highlight w:val="none"/>
                <w:u w:val="none"/>
                <w:lang w:val="en-US" w:eastAsia="zh-CN"/>
              </w:rPr>
              <w:t>性强</w:t>
            </w:r>
            <w:r>
              <w:rPr>
                <w:rFonts w:hint="eastAsia" w:ascii="宋体" w:hAnsi="宋体" w:cs="宋体"/>
                <w:b w:val="0"/>
                <w:bCs w:val="0"/>
                <w:color w:val="auto"/>
                <w:szCs w:val="21"/>
                <w:highlight w:val="none"/>
                <w:u w:val="none"/>
              </w:rPr>
              <w:t>的，得</w:t>
            </w:r>
            <w:r>
              <w:rPr>
                <w:rFonts w:hint="eastAsia" w:ascii="宋体" w:hAnsi="宋体" w:cs="宋体"/>
                <w:b w:val="0"/>
                <w:bCs w:val="0"/>
                <w:color w:val="auto"/>
                <w:szCs w:val="21"/>
                <w:highlight w:val="none"/>
                <w:u w:val="none"/>
                <w:lang w:val="en-US" w:eastAsia="zh-CN"/>
              </w:rPr>
              <w:t>5</w:t>
            </w:r>
            <w:r>
              <w:rPr>
                <w:rFonts w:hint="eastAsia" w:ascii="宋体" w:hAnsi="宋体" w:cs="宋体"/>
                <w:b w:val="0"/>
                <w:bCs w:val="0"/>
                <w:color w:val="auto"/>
                <w:szCs w:val="21"/>
                <w:highlight w:val="none"/>
                <w:u w:val="none"/>
              </w:rPr>
              <w:t>分</w:t>
            </w:r>
            <w:r>
              <w:rPr>
                <w:rFonts w:hint="eastAsia" w:ascii="宋体" w:hAnsi="宋体" w:cs="宋体"/>
                <w:b w:val="0"/>
                <w:bCs w:val="0"/>
                <w:color w:val="auto"/>
                <w:szCs w:val="21"/>
                <w:highlight w:val="none"/>
                <w:u w:val="none"/>
                <w:lang w:eastAsia="zh-CN"/>
              </w:rPr>
              <w:t>；</w:t>
            </w:r>
          </w:p>
          <w:p w14:paraId="145B82E0">
            <w:pPr>
              <w:keepNext w:val="0"/>
              <w:keepLines w:val="0"/>
              <w:pageBreakBefore w:val="0"/>
              <w:suppressLineNumbers w:val="0"/>
              <w:kinsoku/>
              <w:wordWrap/>
              <w:overflowPunct/>
              <w:topLinePunct w:val="0"/>
              <w:autoSpaceDE/>
              <w:autoSpaceDN/>
              <w:bidi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lang w:eastAsia="zh-CN"/>
              </w:rPr>
            </w:pPr>
            <w:r>
              <w:rPr>
                <w:rFonts w:hint="eastAsia" w:ascii="宋体" w:hAnsi="宋体" w:cs="宋体"/>
                <w:b w:val="0"/>
                <w:bCs w:val="0"/>
                <w:color w:val="auto"/>
                <w:szCs w:val="21"/>
                <w:highlight w:val="none"/>
                <w:u w:val="none"/>
              </w:rPr>
              <w:t>②质量目标比较明确、对项目质量的控制较为详细、检验手段比较科学，质量保证措施比较具体，可行</w:t>
            </w:r>
            <w:r>
              <w:rPr>
                <w:rFonts w:hint="eastAsia" w:ascii="宋体" w:hAnsi="宋体" w:cs="宋体"/>
                <w:b w:val="0"/>
                <w:bCs w:val="0"/>
                <w:color w:val="auto"/>
                <w:szCs w:val="21"/>
                <w:highlight w:val="none"/>
                <w:u w:val="none"/>
                <w:lang w:val="en-US" w:eastAsia="zh-CN"/>
              </w:rPr>
              <w:t>性较强</w:t>
            </w:r>
            <w:r>
              <w:rPr>
                <w:rFonts w:hint="eastAsia" w:ascii="宋体" w:hAnsi="宋体" w:cs="宋体"/>
                <w:b w:val="0"/>
                <w:bCs w:val="0"/>
                <w:color w:val="auto"/>
                <w:szCs w:val="21"/>
                <w:highlight w:val="none"/>
                <w:u w:val="none"/>
              </w:rPr>
              <w:t>的，得</w:t>
            </w:r>
            <w:r>
              <w:rPr>
                <w:rFonts w:hint="eastAsia" w:ascii="宋体" w:hAnsi="宋体" w:cs="宋体"/>
                <w:b w:val="0"/>
                <w:bCs w:val="0"/>
                <w:color w:val="auto"/>
                <w:szCs w:val="21"/>
                <w:highlight w:val="none"/>
                <w:u w:val="none"/>
                <w:lang w:val="en-US" w:eastAsia="zh-CN"/>
              </w:rPr>
              <w:t>4</w:t>
            </w:r>
            <w:r>
              <w:rPr>
                <w:rFonts w:hint="eastAsia" w:ascii="宋体" w:hAnsi="宋体" w:cs="宋体"/>
                <w:b w:val="0"/>
                <w:bCs w:val="0"/>
                <w:color w:val="auto"/>
                <w:szCs w:val="21"/>
                <w:highlight w:val="none"/>
                <w:u w:val="none"/>
              </w:rPr>
              <w:t>分</w:t>
            </w:r>
            <w:r>
              <w:rPr>
                <w:rFonts w:hint="eastAsia" w:ascii="宋体" w:hAnsi="宋体" w:cs="宋体"/>
                <w:b w:val="0"/>
                <w:bCs w:val="0"/>
                <w:color w:val="auto"/>
                <w:szCs w:val="21"/>
                <w:highlight w:val="none"/>
                <w:u w:val="none"/>
                <w:lang w:eastAsia="zh-CN"/>
              </w:rPr>
              <w:t>；</w:t>
            </w:r>
          </w:p>
          <w:p w14:paraId="5B1DBF02">
            <w:pPr>
              <w:keepNext w:val="0"/>
              <w:keepLines w:val="0"/>
              <w:pageBreakBefore w:val="0"/>
              <w:suppressLineNumbers w:val="0"/>
              <w:kinsoku/>
              <w:wordWrap/>
              <w:overflowPunct/>
              <w:topLinePunct w:val="0"/>
              <w:autoSpaceDE/>
              <w:autoSpaceDN/>
              <w:bidi w:val="0"/>
              <w:spacing w:before="0" w:beforeAutospacing="0" w:after="0" w:afterAutospacing="0" w:line="312" w:lineRule="auto"/>
              <w:ind w:left="0" w:right="0" w:firstLine="420" w:firstLineChars="200"/>
              <w:textAlignment w:val="auto"/>
              <w:rPr>
                <w:rFonts w:hint="default" w:ascii="宋体" w:hAnsi="宋体" w:eastAsia="宋体" w:cs="宋体"/>
                <w:b w:val="0"/>
                <w:bCs w:val="0"/>
                <w:color w:val="auto"/>
                <w:szCs w:val="21"/>
                <w:highlight w:val="none"/>
                <w:u w:val="none"/>
                <w:lang w:val="en-US" w:eastAsia="zh-CN"/>
              </w:rPr>
            </w:pPr>
            <w:r>
              <w:rPr>
                <w:rFonts w:hint="eastAsia" w:ascii="宋体" w:hAnsi="宋体" w:cs="宋体"/>
                <w:b w:val="0"/>
                <w:bCs w:val="0"/>
                <w:color w:val="auto"/>
                <w:szCs w:val="21"/>
                <w:highlight w:val="none"/>
                <w:u w:val="none"/>
              </w:rPr>
              <w:t>③质量目标基本明确、对项目质量的控制详细程度</w:t>
            </w:r>
            <w:r>
              <w:rPr>
                <w:rFonts w:hint="eastAsia" w:ascii="宋体" w:hAnsi="宋体" w:cs="宋体"/>
                <w:b w:val="0"/>
                <w:bCs w:val="0"/>
                <w:color w:val="auto"/>
                <w:szCs w:val="21"/>
                <w:highlight w:val="none"/>
                <w:u w:val="none"/>
                <w:lang w:val="en-US" w:eastAsia="zh-CN"/>
              </w:rPr>
              <w:t>一般</w:t>
            </w:r>
            <w:r>
              <w:rPr>
                <w:rFonts w:hint="eastAsia" w:ascii="宋体" w:hAnsi="宋体" w:cs="宋体"/>
                <w:b w:val="0"/>
                <w:bCs w:val="0"/>
                <w:color w:val="auto"/>
                <w:szCs w:val="21"/>
                <w:highlight w:val="none"/>
                <w:u w:val="none"/>
              </w:rPr>
              <w:t>、检验手段科学性</w:t>
            </w:r>
            <w:r>
              <w:rPr>
                <w:rFonts w:hint="eastAsia" w:ascii="宋体" w:hAnsi="宋体" w:cs="宋体"/>
                <w:b w:val="0"/>
                <w:bCs w:val="0"/>
                <w:color w:val="auto"/>
                <w:szCs w:val="21"/>
                <w:highlight w:val="none"/>
                <w:u w:val="none"/>
                <w:lang w:eastAsia="zh-CN"/>
              </w:rPr>
              <w:t>一般</w:t>
            </w:r>
            <w:r>
              <w:rPr>
                <w:rFonts w:hint="eastAsia" w:ascii="宋体" w:hAnsi="宋体" w:cs="宋体"/>
                <w:b w:val="0"/>
                <w:bCs w:val="0"/>
                <w:color w:val="auto"/>
                <w:szCs w:val="21"/>
                <w:highlight w:val="none"/>
                <w:u w:val="none"/>
              </w:rPr>
              <w:t>，质量保证措施不够具体，可行性</w:t>
            </w:r>
            <w:r>
              <w:rPr>
                <w:rFonts w:hint="eastAsia" w:ascii="宋体" w:hAnsi="宋体" w:cs="宋体"/>
                <w:b w:val="0"/>
                <w:bCs w:val="0"/>
                <w:color w:val="auto"/>
                <w:szCs w:val="21"/>
                <w:highlight w:val="none"/>
                <w:u w:val="none"/>
                <w:lang w:eastAsia="zh-CN"/>
              </w:rPr>
              <w:t>一般的，得</w:t>
            </w:r>
            <w:r>
              <w:rPr>
                <w:rFonts w:hint="eastAsia" w:ascii="宋体" w:hAnsi="宋体" w:cs="宋体"/>
                <w:b w:val="0"/>
                <w:bCs w:val="0"/>
                <w:color w:val="auto"/>
                <w:szCs w:val="21"/>
                <w:highlight w:val="none"/>
                <w:u w:val="none"/>
                <w:lang w:val="en-US" w:eastAsia="zh-CN"/>
              </w:rPr>
              <w:t>3分；</w:t>
            </w:r>
          </w:p>
          <w:p w14:paraId="387CA55D">
            <w:pPr>
              <w:keepNext w:val="0"/>
              <w:keepLines w:val="0"/>
              <w:pageBreakBefore w:val="0"/>
              <w:suppressLineNumbers w:val="0"/>
              <w:kinsoku/>
              <w:wordWrap/>
              <w:overflowPunct/>
              <w:topLinePunct w:val="0"/>
              <w:autoSpaceDE/>
              <w:autoSpaceDN/>
              <w:bidi w:val="0"/>
              <w:spacing w:before="0" w:beforeAutospacing="0" w:after="0" w:afterAutospacing="0" w:line="312" w:lineRule="auto"/>
              <w:ind w:left="0" w:right="0" w:firstLine="420" w:firstLineChars="200"/>
              <w:textAlignment w:val="auto"/>
              <w:rPr>
                <w:rFonts w:hint="default" w:ascii="宋体" w:hAnsi="宋体" w:eastAsia="宋体" w:cs="宋体"/>
                <w:b w:val="0"/>
                <w:bCs w:val="0"/>
                <w:color w:val="auto"/>
                <w:szCs w:val="21"/>
                <w:highlight w:val="none"/>
                <w:u w:val="none"/>
                <w:lang w:val="en-US" w:eastAsia="zh-CN"/>
              </w:rPr>
            </w:pPr>
            <w:r>
              <w:rPr>
                <w:rFonts w:hint="eastAsia" w:ascii="宋体" w:hAnsi="宋体" w:cs="宋体"/>
                <w:b w:val="0"/>
                <w:bCs w:val="0"/>
                <w:color w:val="auto"/>
                <w:szCs w:val="21"/>
                <w:highlight w:val="none"/>
                <w:u w:val="none"/>
                <w:lang w:eastAsia="zh-CN"/>
              </w:rPr>
              <w:t>④</w:t>
            </w:r>
            <w:r>
              <w:rPr>
                <w:rFonts w:hint="eastAsia" w:ascii="宋体" w:hAnsi="宋体" w:cs="宋体"/>
                <w:b w:val="0"/>
                <w:bCs w:val="0"/>
                <w:color w:val="auto"/>
                <w:szCs w:val="21"/>
                <w:highlight w:val="none"/>
                <w:u w:val="none"/>
              </w:rPr>
              <w:t>质量目标</w:t>
            </w:r>
            <w:r>
              <w:rPr>
                <w:rFonts w:hint="eastAsia" w:ascii="宋体" w:hAnsi="宋体" w:cs="宋体"/>
                <w:b w:val="0"/>
                <w:bCs w:val="0"/>
                <w:color w:val="auto"/>
                <w:szCs w:val="21"/>
                <w:highlight w:val="none"/>
                <w:u w:val="none"/>
                <w:lang w:eastAsia="zh-CN"/>
              </w:rPr>
              <w:t>不</w:t>
            </w:r>
            <w:r>
              <w:rPr>
                <w:rFonts w:hint="eastAsia" w:ascii="宋体" w:hAnsi="宋体" w:cs="宋体"/>
                <w:b w:val="0"/>
                <w:bCs w:val="0"/>
                <w:color w:val="auto"/>
                <w:szCs w:val="21"/>
                <w:highlight w:val="none"/>
                <w:u w:val="none"/>
              </w:rPr>
              <w:t>明确、对项目质量的控制</w:t>
            </w:r>
            <w:r>
              <w:rPr>
                <w:rFonts w:hint="eastAsia" w:ascii="宋体" w:hAnsi="宋体" w:cs="宋体"/>
                <w:b w:val="0"/>
                <w:bCs w:val="0"/>
                <w:color w:val="auto"/>
                <w:szCs w:val="21"/>
                <w:highlight w:val="none"/>
                <w:u w:val="none"/>
                <w:lang w:eastAsia="zh-CN"/>
              </w:rPr>
              <w:t>方案</w:t>
            </w:r>
            <w:r>
              <w:rPr>
                <w:rFonts w:hint="eastAsia" w:ascii="宋体" w:hAnsi="宋体" w:cs="宋体"/>
                <w:b w:val="0"/>
                <w:bCs w:val="0"/>
                <w:color w:val="auto"/>
                <w:szCs w:val="21"/>
                <w:highlight w:val="none"/>
                <w:u w:val="none"/>
              </w:rPr>
              <w:t>、检验手段科学性</w:t>
            </w:r>
            <w:r>
              <w:rPr>
                <w:rFonts w:hint="eastAsia" w:ascii="宋体" w:hAnsi="宋体" w:cs="宋体"/>
                <w:b w:val="0"/>
                <w:bCs w:val="0"/>
                <w:color w:val="auto"/>
                <w:szCs w:val="21"/>
                <w:highlight w:val="none"/>
                <w:u w:val="none"/>
                <w:lang w:eastAsia="zh-CN"/>
              </w:rPr>
              <w:t>差</w:t>
            </w:r>
            <w:r>
              <w:rPr>
                <w:rFonts w:hint="eastAsia" w:ascii="宋体" w:hAnsi="宋体" w:cs="宋体"/>
                <w:b w:val="0"/>
                <w:bCs w:val="0"/>
                <w:color w:val="auto"/>
                <w:szCs w:val="21"/>
                <w:highlight w:val="none"/>
                <w:u w:val="none"/>
              </w:rPr>
              <w:t>，质量保证措施不具体，</w:t>
            </w:r>
            <w:r>
              <w:rPr>
                <w:rFonts w:hint="eastAsia" w:ascii="宋体" w:hAnsi="宋体" w:cs="宋体"/>
                <w:b w:val="0"/>
                <w:bCs w:val="0"/>
                <w:color w:val="auto"/>
                <w:szCs w:val="21"/>
                <w:highlight w:val="none"/>
                <w:u w:val="none"/>
                <w:lang w:eastAsia="zh-CN"/>
              </w:rPr>
              <w:t>不</w:t>
            </w:r>
            <w:r>
              <w:rPr>
                <w:rFonts w:hint="eastAsia" w:ascii="宋体" w:hAnsi="宋体" w:cs="宋体"/>
                <w:b w:val="0"/>
                <w:bCs w:val="0"/>
                <w:color w:val="auto"/>
                <w:szCs w:val="21"/>
                <w:highlight w:val="none"/>
                <w:u w:val="none"/>
              </w:rPr>
              <w:t>可行</w:t>
            </w:r>
            <w:r>
              <w:rPr>
                <w:rFonts w:hint="eastAsia" w:ascii="宋体" w:hAnsi="宋体" w:cs="宋体"/>
                <w:b w:val="0"/>
                <w:bCs w:val="0"/>
                <w:color w:val="auto"/>
                <w:szCs w:val="21"/>
                <w:highlight w:val="none"/>
                <w:u w:val="none"/>
                <w:lang w:eastAsia="zh-CN"/>
              </w:rPr>
              <w:t>的，得</w:t>
            </w:r>
            <w:r>
              <w:rPr>
                <w:rFonts w:hint="eastAsia" w:ascii="宋体" w:hAnsi="宋体" w:cs="宋体"/>
                <w:b w:val="0"/>
                <w:bCs w:val="0"/>
                <w:color w:val="auto"/>
                <w:szCs w:val="21"/>
                <w:highlight w:val="none"/>
                <w:u w:val="none"/>
                <w:lang w:val="en-US" w:eastAsia="zh-CN"/>
              </w:rPr>
              <w:t>1分；</w:t>
            </w:r>
          </w:p>
          <w:p w14:paraId="55ED36BE">
            <w:pPr>
              <w:keepNext w:val="0"/>
              <w:keepLines w:val="0"/>
              <w:pageBreakBefore w:val="0"/>
              <w:suppressLineNumbers w:val="0"/>
              <w:kinsoku/>
              <w:wordWrap/>
              <w:overflowPunct/>
              <w:topLinePunct w:val="0"/>
              <w:autoSpaceDE/>
              <w:autoSpaceDN/>
              <w:bidi w:val="0"/>
              <w:spacing w:before="0" w:beforeAutospacing="0" w:after="0" w:afterAutospacing="0" w:line="312" w:lineRule="auto"/>
              <w:ind w:left="0" w:right="0" w:firstLine="420" w:firstLineChars="200"/>
              <w:textAlignment w:val="auto"/>
              <w:rPr>
                <w:rFonts w:hint="default" w:hAnsi="宋体" w:cs="宋体"/>
                <w:b w:val="0"/>
                <w:bCs w:val="0"/>
                <w:color w:val="auto"/>
                <w:szCs w:val="21"/>
                <w:highlight w:val="none"/>
                <w:u w:val="none"/>
              </w:rPr>
            </w:pPr>
            <w:r>
              <w:rPr>
                <w:rFonts w:hint="eastAsia" w:ascii="宋体" w:hAnsi="宋体" w:cs="宋体"/>
                <w:b w:val="0"/>
                <w:bCs w:val="0"/>
                <w:color w:val="auto"/>
                <w:szCs w:val="21"/>
                <w:highlight w:val="none"/>
                <w:u w:val="none"/>
                <w:lang w:eastAsia="zh-CN"/>
              </w:rPr>
              <w:t>⑤</w:t>
            </w:r>
            <w:r>
              <w:rPr>
                <w:rFonts w:hint="eastAsia" w:ascii="宋体" w:hAnsi="宋体" w:cs="宋体"/>
                <w:b w:val="0"/>
                <w:bCs w:val="0"/>
                <w:color w:val="auto"/>
                <w:szCs w:val="21"/>
                <w:highlight w:val="none"/>
                <w:u w:val="none"/>
              </w:rPr>
              <w:t>未提供</w:t>
            </w:r>
            <w:r>
              <w:rPr>
                <w:rFonts w:hint="eastAsia" w:ascii="宋体" w:hAnsi="宋体" w:cs="宋体"/>
                <w:b w:val="0"/>
                <w:bCs w:val="0"/>
                <w:color w:val="auto"/>
                <w:szCs w:val="21"/>
                <w:highlight w:val="none"/>
                <w:u w:val="none"/>
                <w:lang w:eastAsia="zh-CN"/>
              </w:rPr>
              <w:t>相关方案的</w:t>
            </w:r>
            <w:r>
              <w:rPr>
                <w:rFonts w:hint="eastAsia" w:ascii="宋体" w:hAnsi="宋体" w:cs="宋体"/>
                <w:b w:val="0"/>
                <w:bCs w:val="0"/>
                <w:color w:val="auto"/>
                <w:szCs w:val="21"/>
                <w:highlight w:val="none"/>
                <w:u w:val="none"/>
              </w:rPr>
              <w:t>，不得分</w:t>
            </w:r>
            <w:r>
              <w:rPr>
                <w:rFonts w:hint="eastAsia" w:ascii="宋体" w:hAnsi="宋体" w:cs="宋体"/>
                <w:b w:val="0"/>
                <w:bCs w:val="0"/>
                <w:color w:val="auto"/>
                <w:szCs w:val="21"/>
                <w:highlight w:val="none"/>
                <w:u w:val="none"/>
                <w:lang w:eastAsia="zh-CN"/>
              </w:rPr>
              <w:t>。</w:t>
            </w:r>
          </w:p>
        </w:tc>
      </w:tr>
      <w:tr w14:paraId="24119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3D539D3C">
            <w:pPr>
              <w:pStyle w:val="49"/>
              <w:spacing w:line="360" w:lineRule="auto"/>
              <w:ind w:firstLine="0" w:firstLineChars="0"/>
              <w:jc w:val="center"/>
              <w:rPr>
                <w:rFonts w:ascii="宋体" w:eastAsia="宋体" w:cs="宋体"/>
                <w:b w:val="0"/>
                <w:bCs w:val="0"/>
                <w:color w:val="auto"/>
                <w:sz w:val="21"/>
                <w:szCs w:val="21"/>
                <w:highlight w:val="none"/>
              </w:rPr>
            </w:pPr>
            <w:r>
              <w:rPr>
                <w:rFonts w:ascii="宋体" w:eastAsia="宋体" w:cs="宋体"/>
                <w:b w:val="0"/>
                <w:bCs w:val="0"/>
                <w:color w:val="auto"/>
                <w:sz w:val="21"/>
                <w:szCs w:val="21"/>
                <w:highlight w:val="none"/>
              </w:rPr>
              <w:t>4</w:t>
            </w:r>
          </w:p>
        </w:tc>
        <w:tc>
          <w:tcPr>
            <w:tcW w:w="1326" w:type="dxa"/>
            <w:tcBorders>
              <w:top w:val="single" w:color="auto" w:sz="4" w:space="0"/>
              <w:left w:val="single" w:color="auto" w:sz="4" w:space="0"/>
              <w:bottom w:val="single" w:color="auto" w:sz="4" w:space="0"/>
              <w:right w:val="single" w:color="auto" w:sz="4" w:space="0"/>
            </w:tcBorders>
            <w:vAlign w:val="center"/>
          </w:tcPr>
          <w:p w14:paraId="5AF70876">
            <w:pPr>
              <w:keepNext w:val="0"/>
              <w:keepLines w:val="0"/>
              <w:widowControl w:val="0"/>
              <w:suppressLineNumbers w:val="0"/>
              <w:adjustRightInd/>
              <w:snapToGrid/>
              <w:spacing w:before="0" w:beforeAutospacing="0" w:after="0" w:afterAutospacing="0"/>
              <w:ind w:left="0" w:right="0"/>
              <w:jc w:val="center"/>
              <w:rPr>
                <w:rFonts w:hint="default" w:ascii="宋体" w:hAnsi="宋体" w:cs="宋体"/>
                <w:b w:val="0"/>
                <w:bCs w:val="0"/>
                <w:color w:val="auto"/>
                <w:szCs w:val="21"/>
                <w:highlight w:val="none"/>
                <w:u w:val="none"/>
              </w:rPr>
            </w:pPr>
            <w:r>
              <w:rPr>
                <w:rFonts w:hint="eastAsia" w:hAnsi="宋体" w:cs="宋体"/>
                <w:b w:val="0"/>
                <w:bCs w:val="0"/>
                <w:color w:val="auto"/>
                <w:spacing w:val="2"/>
                <w:szCs w:val="21"/>
                <w:highlight w:val="none"/>
                <w:u w:val="none"/>
              </w:rPr>
              <w:t>售后服务</w:t>
            </w:r>
          </w:p>
        </w:tc>
        <w:tc>
          <w:tcPr>
            <w:tcW w:w="907" w:type="dxa"/>
            <w:tcBorders>
              <w:top w:val="single" w:color="auto" w:sz="4" w:space="0"/>
              <w:left w:val="single" w:color="auto" w:sz="4" w:space="0"/>
              <w:bottom w:val="single" w:color="auto" w:sz="4" w:space="0"/>
              <w:right w:val="single" w:color="auto" w:sz="4" w:space="0"/>
            </w:tcBorders>
            <w:vAlign w:val="center"/>
          </w:tcPr>
          <w:p w14:paraId="45A20814">
            <w:pPr>
              <w:keepNext w:val="0"/>
              <w:keepLines w:val="0"/>
              <w:widowControl w:val="0"/>
              <w:suppressLineNumbers w:val="0"/>
              <w:adjustRightInd/>
              <w:snapToGrid/>
              <w:spacing w:before="0" w:beforeAutospacing="0" w:after="0" w:afterAutospacing="0"/>
              <w:ind w:left="0" w:right="0"/>
              <w:jc w:val="center"/>
              <w:rPr>
                <w:rFonts w:hint="default" w:ascii="宋体" w:hAnsi="宋体" w:eastAsia="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5</w:t>
            </w:r>
          </w:p>
        </w:tc>
        <w:tc>
          <w:tcPr>
            <w:tcW w:w="6289" w:type="dxa"/>
            <w:tcBorders>
              <w:top w:val="single" w:color="auto" w:sz="4" w:space="0"/>
              <w:left w:val="single" w:color="auto" w:sz="4" w:space="0"/>
              <w:bottom w:val="single" w:color="auto" w:sz="4" w:space="0"/>
              <w:right w:val="single" w:color="auto" w:sz="4" w:space="0"/>
            </w:tcBorders>
            <w:vAlign w:val="center"/>
          </w:tcPr>
          <w:p w14:paraId="6E46750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rPr>
            </w:pPr>
            <w:r>
              <w:rPr>
                <w:rFonts w:hint="eastAsia" w:ascii="宋体" w:hAnsi="宋体" w:eastAsia="宋体" w:cs="宋体"/>
                <w:b w:val="0"/>
                <w:bCs w:val="0"/>
                <w:color w:val="auto"/>
                <w:szCs w:val="21"/>
                <w:highlight w:val="none"/>
                <w:u w:val="none"/>
              </w:rPr>
              <w:t>根据各投标人提供的售后服务方案（包括售后响应时间、技术支持和售后服务计划、质保期外的维修服务收费标准、服务质量保证、应急方案）进行</w:t>
            </w:r>
            <w:r>
              <w:rPr>
                <w:rFonts w:hint="eastAsia" w:ascii="宋体" w:hAnsi="宋体" w:eastAsia="宋体" w:cs="宋体"/>
                <w:b w:val="0"/>
                <w:bCs w:val="0"/>
                <w:color w:val="auto"/>
                <w:szCs w:val="21"/>
                <w:highlight w:val="none"/>
                <w:u w:val="none"/>
                <w:lang w:eastAsia="zh-CN"/>
              </w:rPr>
              <w:t>评审</w:t>
            </w:r>
            <w:r>
              <w:rPr>
                <w:rFonts w:hint="eastAsia" w:ascii="宋体" w:hAnsi="宋体" w:eastAsia="宋体" w:cs="宋体"/>
                <w:b w:val="0"/>
                <w:bCs w:val="0"/>
                <w:color w:val="auto"/>
                <w:szCs w:val="21"/>
                <w:highlight w:val="none"/>
                <w:u w:val="none"/>
              </w:rPr>
              <w:t>：</w:t>
            </w:r>
          </w:p>
          <w:p w14:paraId="3062357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lang w:eastAsia="zh-CN"/>
              </w:rPr>
            </w:pPr>
            <w:r>
              <w:rPr>
                <w:rFonts w:hint="eastAsia" w:ascii="宋体" w:hAnsi="宋体" w:eastAsia="宋体" w:cs="宋体"/>
                <w:b w:val="0"/>
                <w:bCs w:val="0"/>
                <w:color w:val="auto"/>
                <w:szCs w:val="21"/>
                <w:highlight w:val="none"/>
                <w:u w:val="none"/>
              </w:rPr>
              <w:t>①售后服务方案保障措施详细完整，</w:t>
            </w:r>
            <w:r>
              <w:rPr>
                <w:rFonts w:hint="eastAsia" w:ascii="宋体" w:hAnsi="宋体" w:eastAsia="宋体" w:cs="宋体"/>
                <w:b w:val="0"/>
                <w:bCs w:val="0"/>
                <w:color w:val="auto"/>
                <w:szCs w:val="21"/>
                <w:highlight w:val="none"/>
                <w:u w:val="none"/>
                <w:lang w:eastAsia="zh-CN"/>
              </w:rPr>
              <w:t>科学合理，</w:t>
            </w:r>
            <w:r>
              <w:rPr>
                <w:rFonts w:hint="eastAsia" w:ascii="宋体" w:hAnsi="宋体" w:eastAsia="宋体" w:cs="宋体"/>
                <w:b w:val="0"/>
                <w:bCs w:val="0"/>
                <w:color w:val="auto"/>
                <w:szCs w:val="21"/>
                <w:highlight w:val="none"/>
                <w:u w:val="none"/>
              </w:rPr>
              <w:t>切实可行的</w:t>
            </w:r>
            <w:r>
              <w:rPr>
                <w:rFonts w:hint="eastAsia" w:ascii="宋体" w:hAnsi="宋体" w:eastAsia="宋体" w:cs="宋体"/>
                <w:b w:val="0"/>
                <w:bCs w:val="0"/>
                <w:color w:val="auto"/>
                <w:szCs w:val="21"/>
                <w:highlight w:val="none"/>
                <w:u w:val="none"/>
                <w:lang w:eastAsia="zh-CN"/>
              </w:rPr>
              <w:t>，</w:t>
            </w:r>
            <w:r>
              <w:rPr>
                <w:rFonts w:hint="eastAsia" w:ascii="宋体" w:hAnsi="宋体" w:eastAsia="宋体" w:cs="宋体"/>
                <w:b w:val="0"/>
                <w:bCs w:val="0"/>
                <w:color w:val="auto"/>
                <w:szCs w:val="21"/>
                <w:highlight w:val="none"/>
                <w:u w:val="none"/>
              </w:rPr>
              <w:t>得</w:t>
            </w:r>
            <w:r>
              <w:rPr>
                <w:rFonts w:hint="eastAsia" w:ascii="宋体" w:hAnsi="宋体" w:cs="宋体"/>
                <w:b w:val="0"/>
                <w:bCs w:val="0"/>
                <w:color w:val="auto"/>
                <w:szCs w:val="21"/>
                <w:highlight w:val="none"/>
                <w:u w:val="none"/>
                <w:lang w:val="en-US" w:eastAsia="zh-CN"/>
              </w:rPr>
              <w:t>5</w:t>
            </w:r>
            <w:r>
              <w:rPr>
                <w:rFonts w:hint="eastAsia" w:ascii="宋体" w:hAnsi="宋体" w:eastAsia="宋体" w:cs="宋体"/>
                <w:b w:val="0"/>
                <w:bCs w:val="0"/>
                <w:color w:val="auto"/>
                <w:szCs w:val="21"/>
                <w:highlight w:val="none"/>
                <w:u w:val="none"/>
              </w:rPr>
              <w:t>分</w:t>
            </w:r>
            <w:r>
              <w:rPr>
                <w:rFonts w:hint="eastAsia" w:ascii="宋体" w:hAnsi="宋体" w:cs="宋体"/>
                <w:b w:val="0"/>
                <w:bCs w:val="0"/>
                <w:color w:val="auto"/>
                <w:szCs w:val="21"/>
                <w:highlight w:val="none"/>
                <w:u w:val="none"/>
                <w:lang w:eastAsia="zh-CN"/>
              </w:rPr>
              <w:t>；</w:t>
            </w:r>
          </w:p>
          <w:p w14:paraId="203B863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lang w:eastAsia="zh-CN"/>
              </w:rPr>
            </w:pPr>
            <w:r>
              <w:rPr>
                <w:rFonts w:hint="eastAsia" w:ascii="宋体" w:hAnsi="宋体" w:eastAsia="宋体" w:cs="宋体"/>
                <w:b w:val="0"/>
                <w:bCs w:val="0"/>
                <w:color w:val="auto"/>
                <w:szCs w:val="21"/>
                <w:highlight w:val="none"/>
                <w:u w:val="none"/>
              </w:rPr>
              <w:t>②售后服务方案保障措施基本完整，</w:t>
            </w:r>
            <w:r>
              <w:rPr>
                <w:rFonts w:hint="eastAsia" w:ascii="宋体" w:hAnsi="宋体" w:eastAsia="宋体" w:cs="宋体"/>
                <w:b w:val="0"/>
                <w:bCs w:val="0"/>
                <w:color w:val="auto"/>
                <w:szCs w:val="21"/>
                <w:highlight w:val="none"/>
                <w:u w:val="none"/>
                <w:lang w:eastAsia="zh-CN"/>
              </w:rPr>
              <w:t>较科学合理，</w:t>
            </w:r>
            <w:r>
              <w:rPr>
                <w:rFonts w:hint="eastAsia" w:ascii="宋体" w:hAnsi="宋体" w:eastAsia="宋体" w:cs="宋体"/>
                <w:b w:val="0"/>
                <w:bCs w:val="0"/>
                <w:color w:val="auto"/>
                <w:szCs w:val="21"/>
                <w:highlight w:val="none"/>
                <w:u w:val="none"/>
              </w:rPr>
              <w:t>可行性</w:t>
            </w:r>
            <w:r>
              <w:rPr>
                <w:rFonts w:hint="eastAsia" w:ascii="宋体" w:hAnsi="宋体" w:eastAsia="宋体" w:cs="宋体"/>
                <w:b w:val="0"/>
                <w:bCs w:val="0"/>
                <w:color w:val="auto"/>
                <w:szCs w:val="21"/>
                <w:highlight w:val="none"/>
                <w:u w:val="none"/>
                <w:lang w:val="en-US" w:eastAsia="zh-CN"/>
              </w:rPr>
              <w:t>较强</w:t>
            </w:r>
            <w:r>
              <w:rPr>
                <w:rFonts w:hint="eastAsia" w:ascii="宋体" w:hAnsi="宋体" w:eastAsia="宋体" w:cs="宋体"/>
                <w:b w:val="0"/>
                <w:bCs w:val="0"/>
                <w:color w:val="auto"/>
                <w:szCs w:val="21"/>
                <w:highlight w:val="none"/>
                <w:u w:val="none"/>
              </w:rPr>
              <w:t>的</w:t>
            </w:r>
            <w:r>
              <w:rPr>
                <w:rFonts w:hint="eastAsia" w:ascii="宋体" w:hAnsi="宋体" w:eastAsia="宋体" w:cs="宋体"/>
                <w:b w:val="0"/>
                <w:bCs w:val="0"/>
                <w:color w:val="auto"/>
                <w:szCs w:val="21"/>
                <w:highlight w:val="none"/>
                <w:u w:val="none"/>
                <w:lang w:eastAsia="zh-CN"/>
              </w:rPr>
              <w:t>，</w:t>
            </w:r>
            <w:r>
              <w:rPr>
                <w:rFonts w:hint="eastAsia" w:ascii="宋体" w:hAnsi="宋体" w:eastAsia="宋体" w:cs="宋体"/>
                <w:b w:val="0"/>
                <w:bCs w:val="0"/>
                <w:color w:val="auto"/>
                <w:szCs w:val="21"/>
                <w:highlight w:val="none"/>
                <w:u w:val="none"/>
              </w:rPr>
              <w:t>得</w:t>
            </w:r>
            <w:r>
              <w:rPr>
                <w:rFonts w:hint="eastAsia" w:ascii="宋体" w:hAnsi="宋体" w:cs="宋体"/>
                <w:b w:val="0"/>
                <w:bCs w:val="0"/>
                <w:color w:val="auto"/>
                <w:szCs w:val="21"/>
                <w:highlight w:val="none"/>
                <w:u w:val="none"/>
                <w:lang w:val="en-US" w:eastAsia="zh-CN"/>
              </w:rPr>
              <w:t>4</w:t>
            </w:r>
            <w:r>
              <w:rPr>
                <w:rFonts w:hint="eastAsia" w:ascii="宋体" w:hAnsi="宋体" w:eastAsia="宋体" w:cs="宋体"/>
                <w:b w:val="0"/>
                <w:bCs w:val="0"/>
                <w:color w:val="auto"/>
                <w:szCs w:val="21"/>
                <w:highlight w:val="none"/>
                <w:u w:val="none"/>
              </w:rPr>
              <w:t>分</w:t>
            </w:r>
            <w:r>
              <w:rPr>
                <w:rFonts w:hint="eastAsia" w:ascii="宋体" w:hAnsi="宋体" w:cs="宋体"/>
                <w:b w:val="0"/>
                <w:bCs w:val="0"/>
                <w:color w:val="auto"/>
                <w:szCs w:val="21"/>
                <w:highlight w:val="none"/>
                <w:u w:val="none"/>
                <w:lang w:eastAsia="zh-CN"/>
              </w:rPr>
              <w:t>；</w:t>
            </w:r>
          </w:p>
          <w:p w14:paraId="2DDCDA2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lang w:eastAsia="zh-CN"/>
              </w:rPr>
            </w:pPr>
            <w:r>
              <w:rPr>
                <w:rFonts w:hint="eastAsia" w:ascii="宋体" w:hAnsi="宋体" w:eastAsia="宋体" w:cs="宋体"/>
                <w:b w:val="0"/>
                <w:bCs w:val="0"/>
                <w:color w:val="auto"/>
                <w:szCs w:val="21"/>
                <w:highlight w:val="none"/>
                <w:u w:val="none"/>
              </w:rPr>
              <w:t>③售后服务方案保障措施可行性</w:t>
            </w:r>
            <w:r>
              <w:rPr>
                <w:rFonts w:hint="eastAsia" w:ascii="宋体" w:hAnsi="宋体" w:eastAsia="宋体" w:cs="宋体"/>
                <w:b w:val="0"/>
                <w:bCs w:val="0"/>
                <w:color w:val="auto"/>
                <w:szCs w:val="21"/>
                <w:highlight w:val="none"/>
                <w:u w:val="none"/>
                <w:lang w:eastAsia="zh-CN"/>
              </w:rPr>
              <w:t>一般，合理性一般，不太可行的，得</w:t>
            </w:r>
            <w:r>
              <w:rPr>
                <w:rFonts w:hint="eastAsia" w:ascii="宋体" w:hAnsi="宋体" w:eastAsia="宋体" w:cs="宋体"/>
                <w:b w:val="0"/>
                <w:bCs w:val="0"/>
                <w:color w:val="auto"/>
                <w:szCs w:val="21"/>
                <w:highlight w:val="none"/>
                <w:u w:val="none"/>
                <w:lang w:val="en-US" w:eastAsia="zh-CN"/>
              </w:rPr>
              <w:t>3分</w:t>
            </w:r>
            <w:r>
              <w:rPr>
                <w:rFonts w:hint="eastAsia" w:ascii="宋体" w:hAnsi="宋体" w:cs="宋体"/>
                <w:b w:val="0"/>
                <w:bCs w:val="0"/>
                <w:color w:val="auto"/>
                <w:szCs w:val="21"/>
                <w:highlight w:val="none"/>
                <w:u w:val="none"/>
                <w:lang w:eastAsia="zh-CN"/>
              </w:rPr>
              <w:t>；</w:t>
            </w:r>
          </w:p>
          <w:p w14:paraId="1DBAE34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rPr>
            </w:pPr>
            <w:r>
              <w:rPr>
                <w:rFonts w:hint="eastAsia" w:ascii="宋体" w:hAnsi="宋体" w:eastAsia="宋体" w:cs="宋体"/>
                <w:b w:val="0"/>
                <w:bCs w:val="0"/>
                <w:color w:val="auto"/>
                <w:szCs w:val="21"/>
                <w:highlight w:val="none"/>
                <w:u w:val="none"/>
                <w:lang w:eastAsia="zh-CN"/>
              </w:rPr>
              <w:t>④</w:t>
            </w:r>
            <w:r>
              <w:rPr>
                <w:rFonts w:hint="eastAsia" w:ascii="宋体" w:hAnsi="宋体" w:eastAsia="宋体" w:cs="宋体"/>
                <w:b w:val="0"/>
                <w:bCs w:val="0"/>
                <w:color w:val="auto"/>
                <w:szCs w:val="21"/>
                <w:highlight w:val="none"/>
                <w:u w:val="none"/>
              </w:rPr>
              <w:t>售后服务方案保障措施可行性</w:t>
            </w:r>
            <w:r>
              <w:rPr>
                <w:rFonts w:hint="eastAsia" w:ascii="宋体" w:hAnsi="宋体" w:eastAsia="宋体" w:cs="宋体"/>
                <w:b w:val="0"/>
                <w:bCs w:val="0"/>
                <w:color w:val="auto"/>
                <w:szCs w:val="21"/>
                <w:highlight w:val="none"/>
                <w:u w:val="none"/>
                <w:lang w:eastAsia="zh-CN"/>
              </w:rPr>
              <w:t>差，不合理的，不可行的，得</w:t>
            </w:r>
            <w:r>
              <w:rPr>
                <w:rFonts w:hint="eastAsia" w:ascii="宋体" w:hAnsi="宋体" w:eastAsia="宋体" w:cs="宋体"/>
                <w:b w:val="0"/>
                <w:bCs w:val="0"/>
                <w:color w:val="auto"/>
                <w:szCs w:val="21"/>
                <w:highlight w:val="none"/>
                <w:u w:val="none"/>
                <w:lang w:val="en-US" w:eastAsia="zh-CN"/>
              </w:rPr>
              <w:t>1分</w:t>
            </w:r>
            <w:r>
              <w:rPr>
                <w:rFonts w:hint="eastAsia" w:ascii="宋体" w:hAnsi="宋体" w:cs="宋体"/>
                <w:b w:val="0"/>
                <w:bCs w:val="0"/>
                <w:color w:val="auto"/>
                <w:szCs w:val="21"/>
                <w:highlight w:val="none"/>
                <w:u w:val="none"/>
                <w:lang w:eastAsia="zh-CN"/>
              </w:rPr>
              <w:t>；</w:t>
            </w:r>
          </w:p>
          <w:p w14:paraId="4BDE644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lang w:val="zh-CN"/>
              </w:rPr>
            </w:pPr>
            <w:r>
              <w:rPr>
                <w:rFonts w:hint="eastAsia" w:ascii="宋体" w:hAnsi="宋体" w:eastAsia="宋体" w:cs="宋体"/>
                <w:b w:val="0"/>
                <w:bCs w:val="0"/>
                <w:color w:val="auto"/>
                <w:szCs w:val="21"/>
                <w:highlight w:val="none"/>
                <w:u w:val="none"/>
                <w:lang w:eastAsia="zh-CN"/>
              </w:rPr>
              <w:t>⑤</w:t>
            </w:r>
            <w:r>
              <w:rPr>
                <w:rFonts w:hint="eastAsia" w:ascii="宋体" w:hAnsi="宋体" w:eastAsia="宋体" w:cs="宋体"/>
                <w:b w:val="0"/>
                <w:bCs w:val="0"/>
                <w:color w:val="auto"/>
                <w:szCs w:val="21"/>
                <w:highlight w:val="none"/>
                <w:u w:val="none"/>
              </w:rPr>
              <w:t>未提供</w:t>
            </w:r>
            <w:r>
              <w:rPr>
                <w:rFonts w:hint="eastAsia" w:ascii="宋体" w:hAnsi="宋体" w:eastAsia="宋体" w:cs="宋体"/>
                <w:b w:val="0"/>
                <w:bCs w:val="0"/>
                <w:color w:val="auto"/>
                <w:szCs w:val="21"/>
                <w:highlight w:val="none"/>
                <w:u w:val="none"/>
                <w:lang w:eastAsia="zh-CN"/>
              </w:rPr>
              <w:t>相关方案的</w:t>
            </w:r>
            <w:r>
              <w:rPr>
                <w:rFonts w:hint="eastAsia" w:ascii="宋体" w:hAnsi="宋体" w:eastAsia="宋体" w:cs="宋体"/>
                <w:b w:val="0"/>
                <w:bCs w:val="0"/>
                <w:color w:val="auto"/>
                <w:szCs w:val="21"/>
                <w:highlight w:val="none"/>
                <w:u w:val="none"/>
              </w:rPr>
              <w:t>，不得分</w:t>
            </w:r>
            <w:r>
              <w:rPr>
                <w:rFonts w:hint="eastAsia" w:ascii="宋体" w:hAnsi="宋体" w:eastAsia="宋体" w:cs="宋体"/>
                <w:b w:val="0"/>
                <w:bCs w:val="0"/>
                <w:color w:val="auto"/>
                <w:szCs w:val="21"/>
                <w:highlight w:val="none"/>
                <w:u w:val="none"/>
                <w:lang w:eastAsia="zh-CN"/>
              </w:rPr>
              <w:t>。</w:t>
            </w:r>
          </w:p>
        </w:tc>
      </w:tr>
      <w:tr w14:paraId="588A5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9358" w:type="dxa"/>
            <w:gridSpan w:val="4"/>
            <w:tcBorders>
              <w:top w:val="single" w:color="auto" w:sz="4" w:space="0"/>
              <w:left w:val="single" w:color="auto" w:sz="4" w:space="0"/>
              <w:bottom w:val="single" w:color="auto" w:sz="4" w:space="0"/>
              <w:right w:val="single" w:color="auto" w:sz="4" w:space="0"/>
            </w:tcBorders>
            <w:vAlign w:val="center"/>
          </w:tcPr>
          <w:p w14:paraId="575E54A9">
            <w:pPr>
              <w:keepNext w:val="0"/>
              <w:keepLines w:val="0"/>
              <w:widowControl w:val="0"/>
              <w:suppressLineNumbers w:val="0"/>
              <w:tabs>
                <w:tab w:val="left" w:pos="907"/>
              </w:tabs>
              <w:adjustRightInd/>
              <w:snapToGrid/>
              <w:spacing w:before="0" w:beforeAutospacing="0" w:after="0" w:afterAutospacing="0"/>
              <w:ind w:left="0" w:right="0" w:firstLine="420" w:firstLineChars="200"/>
              <w:jc w:val="both"/>
              <w:rPr>
                <w:rFonts w:hint="default" w:ascii="宋体" w:hAnsi="宋体" w:cs="宋体"/>
                <w:b w:val="0"/>
                <w:bCs w:val="0"/>
                <w:color w:val="auto"/>
                <w:szCs w:val="21"/>
                <w:highlight w:val="none"/>
              </w:rPr>
            </w:pPr>
            <w:r>
              <w:rPr>
                <w:rFonts w:hint="eastAsia" w:ascii="宋体" w:hAnsi="宋体" w:cs="宋体"/>
                <w:b w:val="0"/>
                <w:bCs w:val="0"/>
                <w:color w:val="auto"/>
                <w:szCs w:val="21"/>
                <w:highlight w:val="none"/>
              </w:rPr>
              <w:t>注：</w:t>
            </w:r>
          </w:p>
          <w:p w14:paraId="679CE9CF">
            <w:pPr>
              <w:keepNext w:val="0"/>
              <w:keepLines w:val="0"/>
              <w:widowControl w:val="0"/>
              <w:suppressLineNumbers w:val="0"/>
              <w:tabs>
                <w:tab w:val="left" w:pos="907"/>
              </w:tabs>
              <w:adjustRightInd/>
              <w:snapToGrid/>
              <w:spacing w:before="0" w:beforeAutospacing="0" w:after="0" w:afterAutospacing="0"/>
              <w:ind w:left="0" w:right="0" w:firstLine="420" w:firstLineChars="200"/>
              <w:jc w:val="both"/>
              <w:rPr>
                <w:rFonts w:hint="default" w:ascii="宋体" w:hAnsi="宋体" w:cs="宋体"/>
                <w:b w:val="0"/>
                <w:bCs w:val="0"/>
                <w:color w:val="auto"/>
                <w:szCs w:val="21"/>
                <w:highlight w:val="none"/>
              </w:rPr>
            </w:pPr>
            <w:r>
              <w:rPr>
                <w:rFonts w:hint="eastAsia" w:ascii="宋体" w:hAnsi="宋体" w:cs="宋体"/>
                <w:b w:val="0"/>
                <w:bCs w:val="0"/>
                <w:color w:val="auto"/>
                <w:szCs w:val="21"/>
                <w:highlight w:val="none"/>
              </w:rPr>
              <w:t>（1）无特殊说明外，以上评审项，同一证明文件不重复计分。</w:t>
            </w:r>
          </w:p>
          <w:p w14:paraId="1466E3B9">
            <w:pPr>
              <w:keepNext w:val="0"/>
              <w:keepLines w:val="0"/>
              <w:widowControl w:val="0"/>
              <w:suppressLineNumbers w:val="0"/>
              <w:tabs>
                <w:tab w:val="left" w:pos="907"/>
              </w:tabs>
              <w:adjustRightInd/>
              <w:snapToGrid/>
              <w:spacing w:before="0" w:beforeAutospacing="0" w:after="0" w:afterAutospacing="0"/>
              <w:ind w:left="0" w:right="0" w:firstLine="420" w:firstLineChars="200"/>
              <w:jc w:val="both"/>
              <w:rPr>
                <w:rFonts w:hint="default" w:ascii="宋体" w:hAnsi="宋体" w:cs="宋体"/>
                <w:b w:val="0"/>
                <w:bCs w:val="0"/>
                <w:color w:val="auto"/>
                <w:szCs w:val="21"/>
                <w:highlight w:val="none"/>
              </w:rPr>
            </w:pPr>
            <w:r>
              <w:rPr>
                <w:rFonts w:hint="eastAsia" w:ascii="宋体" w:hAnsi="宋体" w:cs="宋体"/>
                <w:b w:val="0"/>
                <w:bCs w:val="0"/>
                <w:color w:val="auto"/>
                <w:szCs w:val="21"/>
                <w:highlight w:val="none"/>
              </w:rPr>
              <w:t>（2）投标人根据以上评分要求提供的投标材料因模糊不清导致评标委员会无法清晰辨认进行评审的，视为无效材料。</w:t>
            </w:r>
          </w:p>
        </w:tc>
      </w:tr>
      <w:tr w14:paraId="1C871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9358" w:type="dxa"/>
            <w:gridSpan w:val="4"/>
            <w:tcBorders>
              <w:top w:val="single" w:color="auto" w:sz="4" w:space="0"/>
              <w:left w:val="single" w:color="auto" w:sz="4" w:space="0"/>
              <w:bottom w:val="single" w:color="auto" w:sz="4" w:space="0"/>
              <w:right w:val="single" w:color="auto" w:sz="4" w:space="0"/>
            </w:tcBorders>
            <w:vAlign w:val="center"/>
          </w:tcPr>
          <w:p w14:paraId="40835E9D">
            <w:pPr>
              <w:pStyle w:val="49"/>
              <w:spacing w:line="360" w:lineRule="auto"/>
              <w:ind w:firstLine="0" w:firstLineChars="0"/>
              <w:jc w:val="center"/>
              <w:rPr>
                <w:rFonts w:ascii="宋体" w:eastAsia="宋体" w:cs="宋体"/>
                <w:b w:val="0"/>
                <w:bCs w:val="0"/>
                <w:color w:val="auto"/>
                <w:sz w:val="21"/>
                <w:szCs w:val="21"/>
                <w:highlight w:val="none"/>
                <w:lang w:val="zh-CN"/>
              </w:rPr>
            </w:pPr>
            <w:r>
              <w:rPr>
                <w:rFonts w:hint="eastAsia" w:ascii="宋体" w:eastAsia="宋体" w:cs="宋体"/>
                <w:b w:val="0"/>
                <w:bCs w:val="0"/>
                <w:color w:val="auto"/>
                <w:sz w:val="21"/>
                <w:szCs w:val="21"/>
                <w:highlight w:val="none"/>
              </w:rPr>
              <w:t>价格评审（</w:t>
            </w:r>
            <w:r>
              <w:rPr>
                <w:rFonts w:hint="eastAsia" w:ascii="宋体" w:eastAsia="宋体" w:cs="宋体"/>
                <w:b w:val="0"/>
                <w:bCs w:val="0"/>
                <w:color w:val="auto"/>
                <w:sz w:val="21"/>
                <w:szCs w:val="21"/>
                <w:highlight w:val="none"/>
                <w:lang w:val="en-US" w:eastAsia="zh-CN"/>
              </w:rPr>
              <w:t>50</w:t>
            </w:r>
            <w:r>
              <w:rPr>
                <w:rFonts w:hint="eastAsia" w:ascii="宋体" w:eastAsia="宋体" w:cs="宋体"/>
                <w:b w:val="0"/>
                <w:bCs w:val="0"/>
                <w:color w:val="auto"/>
                <w:sz w:val="21"/>
                <w:szCs w:val="21"/>
                <w:highlight w:val="none"/>
              </w:rPr>
              <w:t>分）</w:t>
            </w:r>
          </w:p>
        </w:tc>
      </w:tr>
      <w:tr w14:paraId="3CB92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7CC968B8">
            <w:pPr>
              <w:pStyle w:val="49"/>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1</w:t>
            </w:r>
          </w:p>
        </w:tc>
        <w:tc>
          <w:tcPr>
            <w:tcW w:w="1326" w:type="dxa"/>
            <w:tcBorders>
              <w:top w:val="single" w:color="auto" w:sz="4" w:space="0"/>
              <w:left w:val="single" w:color="auto" w:sz="4" w:space="0"/>
              <w:bottom w:val="single" w:color="auto" w:sz="4" w:space="0"/>
              <w:right w:val="single" w:color="auto" w:sz="4" w:space="0"/>
            </w:tcBorders>
            <w:vAlign w:val="center"/>
          </w:tcPr>
          <w:p w14:paraId="3A35D2BD">
            <w:pPr>
              <w:keepNext w:val="0"/>
              <w:keepLines w:val="0"/>
              <w:widowControl w:val="0"/>
              <w:suppressLineNumbers w:val="0"/>
              <w:adjustRightInd/>
              <w:snapToGrid/>
              <w:spacing w:before="0" w:beforeAutospacing="0" w:after="0" w:afterAutospacing="0"/>
              <w:ind w:left="0" w:right="0"/>
              <w:jc w:val="center"/>
              <w:rPr>
                <w:rFonts w:hint="default" w:ascii="宋体" w:hAnsi="宋体" w:cs="宋体"/>
                <w:b w:val="0"/>
                <w:bCs w:val="0"/>
                <w:color w:val="auto"/>
                <w:kern w:val="2"/>
                <w:szCs w:val="21"/>
                <w:highlight w:val="none"/>
              </w:rPr>
            </w:pPr>
            <w:r>
              <w:rPr>
                <w:rFonts w:hint="eastAsia" w:ascii="宋体" w:hAnsi="宋体" w:cs="宋体"/>
                <w:b w:val="0"/>
                <w:bCs w:val="0"/>
                <w:color w:val="auto"/>
                <w:kern w:val="2"/>
                <w:szCs w:val="21"/>
                <w:highlight w:val="none"/>
              </w:rPr>
              <w:t>投标</w:t>
            </w:r>
            <w:r>
              <w:rPr>
                <w:rFonts w:hint="eastAsia" w:ascii="宋体" w:hAnsi="宋体" w:cs="宋体"/>
                <w:b w:val="0"/>
                <w:bCs w:val="0"/>
                <w:color w:val="auto"/>
                <w:kern w:val="2"/>
                <w:szCs w:val="21"/>
                <w:highlight w:val="none"/>
                <w:lang w:val="en-US" w:eastAsia="zh-CN"/>
              </w:rPr>
              <w:t>单</w:t>
            </w:r>
            <w:r>
              <w:rPr>
                <w:rFonts w:hint="eastAsia" w:ascii="宋体" w:hAnsi="宋体" w:cs="宋体"/>
                <w:b w:val="0"/>
                <w:bCs w:val="0"/>
                <w:color w:val="auto"/>
                <w:kern w:val="2"/>
                <w:szCs w:val="21"/>
                <w:highlight w:val="none"/>
              </w:rPr>
              <w:t>价</w:t>
            </w:r>
          </w:p>
        </w:tc>
        <w:tc>
          <w:tcPr>
            <w:tcW w:w="907" w:type="dxa"/>
            <w:tcBorders>
              <w:top w:val="single" w:color="auto" w:sz="4" w:space="0"/>
              <w:left w:val="single" w:color="auto" w:sz="4" w:space="0"/>
              <w:bottom w:val="single" w:color="auto" w:sz="4" w:space="0"/>
              <w:right w:val="single" w:color="auto" w:sz="4" w:space="0"/>
            </w:tcBorders>
            <w:vAlign w:val="center"/>
          </w:tcPr>
          <w:p w14:paraId="297C557E">
            <w:pPr>
              <w:keepNext w:val="0"/>
              <w:keepLines w:val="0"/>
              <w:widowControl w:val="0"/>
              <w:suppressLineNumbers w:val="0"/>
              <w:adjustRightInd/>
              <w:snapToGrid/>
              <w:spacing w:before="0" w:beforeAutospacing="0" w:after="0" w:afterAutospacing="0"/>
              <w:ind w:left="0" w:right="0"/>
              <w:jc w:val="center"/>
              <w:rPr>
                <w:rFonts w:hint="default" w:ascii="宋体" w:hAnsi="宋体" w:cs="宋体"/>
                <w:b w:val="0"/>
                <w:bCs w:val="0"/>
                <w:color w:val="auto"/>
                <w:kern w:val="2"/>
                <w:szCs w:val="21"/>
                <w:highlight w:val="none"/>
              </w:rPr>
            </w:pPr>
            <w:r>
              <w:rPr>
                <w:rFonts w:hint="eastAsia" w:ascii="宋体" w:hAnsi="宋体" w:cs="宋体"/>
                <w:b w:val="0"/>
                <w:bCs w:val="0"/>
                <w:color w:val="auto"/>
                <w:kern w:val="2"/>
                <w:szCs w:val="21"/>
                <w:highlight w:val="none"/>
                <w:lang w:val="en-US" w:eastAsia="zh-CN"/>
              </w:rPr>
              <w:t>50</w:t>
            </w:r>
          </w:p>
        </w:tc>
        <w:tc>
          <w:tcPr>
            <w:tcW w:w="6289" w:type="dxa"/>
            <w:tcBorders>
              <w:top w:val="single" w:color="auto" w:sz="4" w:space="0"/>
              <w:left w:val="single" w:color="auto" w:sz="4" w:space="0"/>
              <w:bottom w:val="single" w:color="auto" w:sz="4" w:space="0"/>
              <w:right w:val="single" w:color="auto" w:sz="4" w:space="0"/>
            </w:tcBorders>
            <w:vAlign w:val="center"/>
          </w:tcPr>
          <w:p w14:paraId="391C876A">
            <w:pPr>
              <w:keepNext w:val="0"/>
              <w:keepLines w:val="0"/>
              <w:widowControl w:val="0"/>
              <w:suppressLineNumbers w:val="0"/>
              <w:adjustRightInd/>
              <w:snapToGrid/>
              <w:spacing w:before="0" w:beforeAutospacing="0" w:after="0" w:afterAutospacing="0"/>
              <w:ind w:left="0" w:right="0" w:firstLine="420" w:firstLineChars="200"/>
              <w:rPr>
                <w:rFonts w:hint="eastAsia" w:ascii="宋体" w:hAnsi="宋体" w:cs="宋体"/>
                <w:b w:val="0"/>
                <w:bCs w:val="0"/>
                <w:color w:val="auto"/>
                <w:kern w:val="2"/>
                <w:szCs w:val="21"/>
                <w:highlight w:val="none"/>
                <w:lang w:val="zh-CN"/>
              </w:rPr>
            </w:pPr>
            <w:r>
              <w:rPr>
                <w:rFonts w:hint="eastAsia" w:ascii="宋体" w:hAnsi="宋体" w:cs="宋体"/>
                <w:b w:val="0"/>
                <w:bCs w:val="0"/>
                <w:color w:val="auto"/>
                <w:kern w:val="2"/>
                <w:szCs w:val="21"/>
                <w:highlight w:val="none"/>
                <w:lang w:val="zh-CN"/>
              </w:rPr>
              <w:t>满足采购文件要求，排除最高和最低的投标报价，剩余的投标人投标报价最低的为评标基准价，评标基准价与投标报价最低的投标人价格分均为满分。其余投标人的价格分（结果四舍五入后保留两位小数）统一按照下列公式计算：</w:t>
            </w:r>
          </w:p>
          <w:p w14:paraId="455232B1">
            <w:pPr>
              <w:keepNext w:val="0"/>
              <w:keepLines w:val="0"/>
              <w:widowControl w:val="0"/>
              <w:suppressLineNumbers w:val="0"/>
              <w:adjustRightInd/>
              <w:snapToGrid/>
              <w:spacing w:before="0" w:beforeAutospacing="0" w:after="0" w:afterAutospacing="0"/>
              <w:ind w:left="0" w:right="0" w:firstLine="420" w:firstLineChars="200"/>
              <w:rPr>
                <w:rFonts w:hint="default" w:ascii="宋体" w:hAnsi="宋体" w:cs="宋体"/>
                <w:b w:val="0"/>
                <w:bCs w:val="0"/>
                <w:color w:val="auto"/>
                <w:kern w:val="2"/>
                <w:szCs w:val="21"/>
                <w:highlight w:val="none"/>
              </w:rPr>
            </w:pPr>
            <w:r>
              <w:rPr>
                <w:rFonts w:hint="eastAsia" w:ascii="宋体" w:hAnsi="宋体" w:cs="宋体"/>
                <w:b w:val="0"/>
                <w:bCs w:val="0"/>
                <w:color w:val="auto"/>
                <w:kern w:val="2"/>
                <w:szCs w:val="21"/>
                <w:highlight w:val="none"/>
                <w:lang w:val="zh-CN"/>
              </w:rPr>
              <w:t>计算公式为：价格得分=50-（投标人投标报价-评标基准价）÷10×2</w:t>
            </w:r>
            <w:r>
              <w:rPr>
                <w:rFonts w:hint="eastAsia" w:ascii="宋体" w:hAnsi="宋体" w:cs="宋体"/>
                <w:color w:val="auto"/>
                <w:kern w:val="2"/>
                <w:szCs w:val="21"/>
                <w:highlight w:val="none"/>
                <w:lang w:val="zh-CN"/>
              </w:rPr>
              <w:t>，价格得分最低为0分</w:t>
            </w:r>
            <w:r>
              <w:rPr>
                <w:rFonts w:hint="eastAsia" w:ascii="宋体" w:hAnsi="宋体" w:cs="宋体"/>
                <w:color w:val="auto"/>
                <w:kern w:val="2"/>
                <w:szCs w:val="21"/>
                <w:highlight w:val="none"/>
                <w:lang w:val="en-US" w:eastAsia="zh-CN"/>
              </w:rPr>
              <w:t>。</w:t>
            </w:r>
          </w:p>
        </w:tc>
      </w:tr>
    </w:tbl>
    <w:p w14:paraId="69E3B1DB">
      <w:pPr>
        <w:ind w:firstLine="420" w:firstLineChars="200"/>
        <w:rPr>
          <w:color w:val="auto"/>
          <w:highlight w:val="none"/>
        </w:rPr>
      </w:pPr>
      <w:r>
        <w:rPr>
          <w:rFonts w:hint="eastAsia"/>
          <w:color w:val="auto"/>
          <w:highlight w:val="none"/>
        </w:rPr>
        <w:br w:type="page"/>
      </w:r>
    </w:p>
    <w:p w14:paraId="711A1B86">
      <w:pPr>
        <w:pStyle w:val="3"/>
        <w:spacing w:before="0" w:after="0" w:line="240" w:lineRule="auto"/>
        <w:rPr>
          <w:color w:val="auto"/>
          <w:sz w:val="36"/>
          <w:szCs w:val="36"/>
          <w:highlight w:val="none"/>
        </w:rPr>
      </w:pPr>
      <w:bookmarkStart w:id="6" w:name="_Toc27910"/>
      <w:r>
        <w:rPr>
          <w:rFonts w:hint="eastAsia"/>
          <w:color w:val="auto"/>
          <w:sz w:val="28"/>
          <w:szCs w:val="28"/>
          <w:highlight w:val="none"/>
        </w:rPr>
        <w:t>第三部分用户需求书</w:t>
      </w:r>
      <w:bookmarkEnd w:id="6"/>
    </w:p>
    <w:p w14:paraId="38BD0EDB">
      <w:pPr>
        <w:pStyle w:val="4"/>
        <w:numPr>
          <w:ilvl w:val="0"/>
          <w:numId w:val="1"/>
        </w:numPr>
        <w:spacing w:before="0" w:after="0" w:line="360" w:lineRule="auto"/>
        <w:jc w:val="center"/>
        <w:rPr>
          <w:color w:val="auto"/>
          <w:highlight w:val="none"/>
        </w:rPr>
      </w:pPr>
      <w:bookmarkStart w:id="7" w:name="_Toc1593"/>
      <w:bookmarkStart w:id="8" w:name="_Toc19386"/>
      <w:bookmarkStart w:id="9" w:name="_Toc308786492"/>
      <w:bookmarkStart w:id="10" w:name="_Toc13112"/>
      <w:bookmarkStart w:id="11" w:name="_Toc14462"/>
      <w:bookmarkStart w:id="12" w:name="_Toc31278"/>
      <w:bookmarkStart w:id="13" w:name="_Toc24679"/>
      <w:r>
        <w:rPr>
          <w:rFonts w:hint="eastAsia" w:ascii="宋体" w:hAnsi="宋体"/>
          <w:color w:val="auto"/>
          <w:highlight w:val="none"/>
        </w:rPr>
        <w:t>商务需求书</w:t>
      </w:r>
      <w:bookmarkEnd w:id="7"/>
      <w:bookmarkEnd w:id="8"/>
    </w:p>
    <w:p w14:paraId="59FA408E">
      <w:pPr>
        <w:numPr>
          <w:ilvl w:val="0"/>
          <w:numId w:val="0"/>
        </w:numPr>
        <w:rPr>
          <w:rFonts w:hint="default" w:eastAsia="宋体"/>
          <w:b w:val="0"/>
          <w:bCs w:val="0"/>
          <w:color w:val="auto"/>
          <w:highlight w:val="none"/>
          <w:u w:val="none"/>
          <w:lang w:val="en-US" w:eastAsia="zh-CN"/>
        </w:rPr>
      </w:pPr>
      <w:r>
        <w:rPr>
          <w:rFonts w:hint="eastAsia"/>
          <w:color w:val="auto"/>
          <w:highlight w:val="none"/>
          <w:lang w:val="en-US" w:eastAsia="zh-CN"/>
        </w:rPr>
        <w:t>项目名称：</w:t>
      </w:r>
      <w:r>
        <w:rPr>
          <w:rFonts w:hint="eastAsia" w:ascii="宋体" w:hAnsi="宋体"/>
          <w:b w:val="0"/>
          <w:bCs w:val="0"/>
          <w:color w:val="auto"/>
          <w:szCs w:val="21"/>
          <w:highlight w:val="none"/>
          <w:u w:val="none"/>
          <w:lang w:eastAsia="zh-CN"/>
        </w:rPr>
        <w:t>东莞市旗领产业投资有限公司1525kW/6100kWh用户侧储能项目</w:t>
      </w:r>
    </w:p>
    <w:tbl>
      <w:tblPr>
        <w:tblStyle w:val="32"/>
        <w:tblW w:w="4998" w:type="pct"/>
        <w:jc w:val="center"/>
        <w:tblCellSpacing w:w="0" w:type="dxa"/>
        <w:tblBorders>
          <w:top w:val="outset" w:color="DDDDDD" w:sz="6" w:space="0"/>
          <w:left w:val="outset" w:color="DDDDDD" w:sz="6" w:space="0"/>
          <w:bottom w:val="outset" w:color="DDDDDD" w:sz="6" w:space="0"/>
          <w:right w:val="outset" w:color="DDDDDD" w:sz="6" w:space="0"/>
          <w:insideH w:val="outset" w:color="DDDDDD" w:sz="6" w:space="0"/>
          <w:insideV w:val="outset" w:color="DDDDDD" w:sz="6" w:space="0"/>
        </w:tblBorders>
        <w:shd w:val="clear" w:color="auto" w:fill="FFFFFF" w:themeFill="background1"/>
        <w:tblLayout w:type="autofit"/>
        <w:tblCellMar>
          <w:top w:w="15" w:type="dxa"/>
          <w:left w:w="15" w:type="dxa"/>
          <w:bottom w:w="15" w:type="dxa"/>
          <w:right w:w="15" w:type="dxa"/>
        </w:tblCellMar>
      </w:tblPr>
      <w:tblGrid>
        <w:gridCol w:w="1346"/>
        <w:gridCol w:w="8173"/>
      </w:tblGrid>
      <w:tr w14:paraId="47D4891A">
        <w:tblPrEx>
          <w:tblBorders>
            <w:top w:val="outset" w:color="DDDDDD" w:sz="6" w:space="0"/>
            <w:left w:val="outset" w:color="DDDDDD" w:sz="6" w:space="0"/>
            <w:bottom w:val="outset" w:color="DDDDDD" w:sz="6" w:space="0"/>
            <w:right w:val="outset" w:color="DDDDDD" w:sz="6" w:space="0"/>
            <w:insideH w:val="outset" w:color="DDDDDD" w:sz="6" w:space="0"/>
            <w:insideV w:val="outset" w:color="DDDDDD" w:sz="6" w:space="0"/>
          </w:tblBorders>
          <w:tblCellMar>
            <w:top w:w="15" w:type="dxa"/>
            <w:left w:w="15" w:type="dxa"/>
            <w:bottom w:w="15" w:type="dxa"/>
            <w:right w:w="15" w:type="dxa"/>
          </w:tblCellMar>
        </w:tblPrEx>
        <w:trPr>
          <w:trHeight w:val="518" w:hRule="atLeast"/>
          <w:tblCellSpacing w:w="0" w:type="dxa"/>
          <w:jc w:val="center"/>
        </w:trPr>
        <w:tc>
          <w:tcPr>
            <w:tcW w:w="707" w:type="pct"/>
            <w:shd w:val="clear" w:color="auto" w:fill="FFFFFF" w:themeFill="background1"/>
            <w:vAlign w:val="center"/>
          </w:tcPr>
          <w:p w14:paraId="64F2C02E">
            <w:pPr>
              <w:spacing w:after="0" w:line="240" w:lineRule="auto"/>
              <w:jc w:val="center"/>
              <w:rPr>
                <w:rFonts w:hint="eastAsia" w:ascii="宋体" w:hAnsi="宋体" w:eastAsia="宋体" w:cs="宋体"/>
                <w:b/>
                <w:bCs/>
                <w:color w:val="auto"/>
                <w:sz w:val="21"/>
                <w:szCs w:val="21"/>
                <w:highlight w:val="none"/>
              </w:rPr>
            </w:pPr>
            <w:bookmarkStart w:id="14" w:name="_Toc19316"/>
            <w:r>
              <w:rPr>
                <w:rFonts w:hint="eastAsia" w:ascii="宋体" w:hAnsi="宋体" w:eastAsia="宋体" w:cs="宋体"/>
                <w:b/>
                <w:bCs/>
                <w:color w:val="auto"/>
                <w:sz w:val="21"/>
                <w:szCs w:val="21"/>
                <w:highlight w:val="none"/>
              </w:rPr>
              <w:t>需求名称</w:t>
            </w:r>
          </w:p>
        </w:tc>
        <w:tc>
          <w:tcPr>
            <w:tcW w:w="4292" w:type="pct"/>
            <w:shd w:val="clear" w:color="auto" w:fill="FFFFFF" w:themeFill="background1"/>
            <w:vAlign w:val="center"/>
          </w:tcPr>
          <w:p w14:paraId="73D72EB9">
            <w:pPr>
              <w:spacing w:after="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需求说明</w:t>
            </w:r>
          </w:p>
        </w:tc>
      </w:tr>
      <w:tr w14:paraId="536B5C2A">
        <w:tblPrEx>
          <w:tblBorders>
            <w:top w:val="outset" w:color="DDDDDD" w:sz="6" w:space="0"/>
            <w:left w:val="outset" w:color="DDDDDD" w:sz="6" w:space="0"/>
            <w:bottom w:val="outset" w:color="DDDDDD" w:sz="6" w:space="0"/>
            <w:right w:val="outset" w:color="DDDDDD" w:sz="6" w:space="0"/>
            <w:insideH w:val="outset" w:color="DDDDDD" w:sz="6" w:space="0"/>
            <w:insideV w:val="outset" w:color="DDDDDD" w:sz="6" w:space="0"/>
          </w:tblBorders>
          <w:shd w:val="clear" w:color="auto" w:fill="FFFFFF" w:themeFill="background1"/>
          <w:tblCellMar>
            <w:top w:w="15" w:type="dxa"/>
            <w:left w:w="15" w:type="dxa"/>
            <w:bottom w:w="15" w:type="dxa"/>
            <w:right w:w="15" w:type="dxa"/>
          </w:tblCellMar>
        </w:tblPrEx>
        <w:trPr>
          <w:trHeight w:val="90" w:hRule="atLeast"/>
          <w:tblCellSpacing w:w="0" w:type="dxa"/>
          <w:jc w:val="center"/>
        </w:trPr>
        <w:tc>
          <w:tcPr>
            <w:tcW w:w="707" w:type="pct"/>
            <w:shd w:val="clear" w:color="auto" w:fill="FFFFFF" w:themeFill="background1"/>
            <w:vAlign w:val="center"/>
          </w:tcPr>
          <w:p w14:paraId="0DB80296">
            <w:pPr>
              <w:spacing w:after="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工期</w:t>
            </w:r>
          </w:p>
        </w:tc>
        <w:tc>
          <w:tcPr>
            <w:tcW w:w="4292" w:type="pct"/>
            <w:shd w:val="clear" w:color="auto" w:fill="FFFFFF" w:themeFill="background1"/>
            <w:vAlign w:val="center"/>
          </w:tcPr>
          <w:p w14:paraId="03466723">
            <w:pPr>
              <w:keepNext w:val="0"/>
              <w:keepLines w:val="0"/>
              <w:pageBreakBefore w:val="0"/>
              <w:tabs>
                <w:tab w:val="left" w:pos="709"/>
              </w:tabs>
              <w:kinsoku/>
              <w:wordWrap/>
              <w:overflowPunct/>
              <w:topLinePunct w:val="0"/>
              <w:bidi w:val="0"/>
              <w:spacing w:after="0" w:line="360" w:lineRule="auto"/>
              <w:ind w:left="0"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合同总工期数为</w:t>
            </w:r>
            <w:r>
              <w:rPr>
                <w:rFonts w:hint="eastAsia" w:ascii="宋体" w:hAnsi="宋体" w:cs="宋体"/>
                <w:color w:val="auto"/>
                <w:sz w:val="21"/>
                <w:szCs w:val="21"/>
                <w:highlight w:val="none"/>
                <w:u w:val="single"/>
                <w:lang w:val="en-US" w:eastAsia="zh-CN"/>
              </w:rPr>
              <w:t>80</w:t>
            </w:r>
            <w:r>
              <w:rPr>
                <w:rFonts w:hint="eastAsia" w:ascii="宋体" w:hAnsi="宋体" w:eastAsia="宋体" w:cs="宋体"/>
                <w:color w:val="auto"/>
                <w:sz w:val="21"/>
                <w:szCs w:val="21"/>
                <w:highlight w:val="none"/>
              </w:rPr>
              <w:t>个日历天（</w:t>
            </w:r>
            <w:bookmarkStart w:id="15" w:name="OLE_LINK2"/>
            <w:r>
              <w:rPr>
                <w:rFonts w:hint="eastAsia" w:ascii="宋体" w:hAnsi="宋体" w:eastAsia="宋体" w:cs="宋体"/>
                <w:color w:val="auto"/>
                <w:sz w:val="21"/>
                <w:szCs w:val="21"/>
                <w:highlight w:val="none"/>
              </w:rPr>
              <w:t>自</w:t>
            </w:r>
            <w:r>
              <w:rPr>
                <w:rFonts w:hint="eastAsia" w:ascii="宋体" w:hAnsi="宋体" w:eastAsia="宋体" w:cs="宋体"/>
                <w:color w:val="auto"/>
                <w:sz w:val="21"/>
                <w:szCs w:val="21"/>
                <w:highlight w:val="none"/>
                <w:lang w:val="en-US" w:eastAsia="zh-CN"/>
              </w:rPr>
              <w:t>采购人工程技术部</w:t>
            </w:r>
            <w:r>
              <w:rPr>
                <w:rFonts w:hint="eastAsia" w:ascii="宋体" w:hAnsi="宋体" w:eastAsia="宋体" w:cs="宋体"/>
                <w:color w:val="auto"/>
                <w:sz w:val="21"/>
                <w:szCs w:val="21"/>
                <w:highlight w:val="none"/>
              </w:rPr>
              <w:t>开</w:t>
            </w:r>
            <w:r>
              <w:rPr>
                <w:rFonts w:hint="eastAsia" w:ascii="宋体" w:hAnsi="宋体" w:eastAsia="宋体" w:cs="宋体"/>
                <w:color w:val="auto"/>
                <w:sz w:val="21"/>
                <w:szCs w:val="21"/>
                <w:highlight w:val="none"/>
                <w:lang w:val="en-US" w:eastAsia="zh-CN"/>
              </w:rPr>
              <w:t>工令</w:t>
            </w:r>
            <w:r>
              <w:rPr>
                <w:rFonts w:hint="eastAsia" w:ascii="宋体" w:hAnsi="宋体" w:eastAsia="宋体" w:cs="宋体"/>
                <w:color w:val="auto"/>
                <w:sz w:val="21"/>
                <w:szCs w:val="21"/>
                <w:highlight w:val="none"/>
              </w:rPr>
              <w:t>确定的日期起）</w:t>
            </w:r>
            <w:bookmarkEnd w:id="15"/>
            <w:r>
              <w:rPr>
                <w:rFonts w:hint="eastAsia" w:ascii="宋体" w:hAnsi="宋体" w:eastAsia="宋体" w:cs="宋体"/>
                <w:color w:val="auto"/>
                <w:sz w:val="21"/>
                <w:szCs w:val="21"/>
                <w:highlight w:val="none"/>
              </w:rPr>
              <w:t>。</w:t>
            </w:r>
          </w:p>
        </w:tc>
      </w:tr>
      <w:tr w14:paraId="60CF87A9">
        <w:tblPrEx>
          <w:tblBorders>
            <w:top w:val="outset" w:color="DDDDDD" w:sz="6" w:space="0"/>
            <w:left w:val="outset" w:color="DDDDDD" w:sz="6" w:space="0"/>
            <w:bottom w:val="outset" w:color="DDDDDD" w:sz="6" w:space="0"/>
            <w:right w:val="outset" w:color="DDDDDD" w:sz="6" w:space="0"/>
            <w:insideH w:val="outset" w:color="DDDDDD" w:sz="6" w:space="0"/>
            <w:insideV w:val="outset" w:color="DDDDDD" w:sz="6" w:space="0"/>
          </w:tblBorders>
          <w:shd w:val="clear" w:color="auto" w:fill="FFFFFF" w:themeFill="background1"/>
          <w:tblCellMar>
            <w:top w:w="15" w:type="dxa"/>
            <w:left w:w="15" w:type="dxa"/>
            <w:bottom w:w="15" w:type="dxa"/>
            <w:right w:w="15" w:type="dxa"/>
          </w:tblCellMar>
        </w:tblPrEx>
        <w:trPr>
          <w:trHeight w:val="454" w:hRule="atLeast"/>
          <w:tblCellSpacing w:w="0" w:type="dxa"/>
          <w:jc w:val="center"/>
        </w:trPr>
        <w:tc>
          <w:tcPr>
            <w:tcW w:w="707" w:type="pct"/>
            <w:shd w:val="clear" w:color="auto" w:fill="FFFFFF" w:themeFill="background1"/>
            <w:vAlign w:val="center"/>
          </w:tcPr>
          <w:p w14:paraId="433686BD">
            <w:pPr>
              <w:spacing w:after="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项目地点</w:t>
            </w:r>
          </w:p>
        </w:tc>
        <w:tc>
          <w:tcPr>
            <w:tcW w:w="4292" w:type="pct"/>
            <w:shd w:val="clear" w:color="auto" w:fill="FFFFFF" w:themeFill="background1"/>
            <w:vAlign w:val="center"/>
          </w:tcPr>
          <w:p w14:paraId="230FEF33">
            <w:pPr>
              <w:keepNext w:val="0"/>
              <w:keepLines w:val="0"/>
              <w:pageBreakBefore w:val="0"/>
              <w:kinsoku/>
              <w:wordWrap/>
              <w:overflowPunct/>
              <w:topLinePunct w:val="0"/>
              <w:bidi w:val="0"/>
              <w:spacing w:after="0" w:line="360" w:lineRule="auto"/>
              <w:ind w:left="0"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采购人指定地点（如有变化另行确定）。</w:t>
            </w:r>
          </w:p>
        </w:tc>
      </w:tr>
      <w:tr w14:paraId="0C23EBE0">
        <w:tblPrEx>
          <w:tblBorders>
            <w:top w:val="outset" w:color="DDDDDD" w:sz="6" w:space="0"/>
            <w:left w:val="outset" w:color="DDDDDD" w:sz="6" w:space="0"/>
            <w:bottom w:val="outset" w:color="DDDDDD" w:sz="6" w:space="0"/>
            <w:right w:val="outset" w:color="DDDDDD" w:sz="6" w:space="0"/>
            <w:insideH w:val="outset" w:color="DDDDDD" w:sz="6" w:space="0"/>
            <w:insideV w:val="outset" w:color="DDDDDD" w:sz="6" w:space="0"/>
          </w:tblBorders>
          <w:shd w:val="clear" w:color="auto" w:fill="FFFFFF" w:themeFill="background1"/>
          <w:tblCellMar>
            <w:top w:w="15" w:type="dxa"/>
            <w:left w:w="15" w:type="dxa"/>
            <w:bottom w:w="15" w:type="dxa"/>
            <w:right w:w="15" w:type="dxa"/>
          </w:tblCellMar>
        </w:tblPrEx>
        <w:trPr>
          <w:trHeight w:val="454" w:hRule="atLeast"/>
          <w:tblCellSpacing w:w="0" w:type="dxa"/>
          <w:jc w:val="center"/>
        </w:trPr>
        <w:tc>
          <w:tcPr>
            <w:tcW w:w="707" w:type="pct"/>
            <w:shd w:val="clear" w:color="auto" w:fill="FFFFFF" w:themeFill="background1"/>
            <w:vAlign w:val="center"/>
          </w:tcPr>
          <w:p w14:paraId="1FD3D49D">
            <w:pPr>
              <w:spacing w:after="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付款方式</w:t>
            </w:r>
          </w:p>
        </w:tc>
        <w:tc>
          <w:tcPr>
            <w:tcW w:w="4292" w:type="pct"/>
            <w:shd w:val="clear" w:color="auto" w:fill="FFFFFF" w:themeFill="background1"/>
            <w:vAlign w:val="center"/>
          </w:tcPr>
          <w:p w14:paraId="388E703D">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1.</w:t>
            </w:r>
            <w:r>
              <w:rPr>
                <w:rFonts w:hint="eastAsia" w:ascii="宋体" w:hAnsi="宋体" w:eastAsia="宋体" w:cs="宋体"/>
                <w:color w:val="auto"/>
                <w:sz w:val="21"/>
                <w:szCs w:val="21"/>
                <w:highlight w:val="none"/>
                <w:lang w:val="en-US" w:eastAsia="zh-CN"/>
              </w:rPr>
              <w:t>预付款：</w:t>
            </w:r>
            <w:r>
              <w:rPr>
                <w:rFonts w:hint="eastAsia" w:ascii="宋体" w:hAnsi="宋体" w:eastAsia="宋体" w:cs="宋体"/>
                <w:color w:val="auto"/>
                <w:sz w:val="21"/>
                <w:szCs w:val="21"/>
                <w:highlight w:val="none"/>
                <w:lang w:eastAsia="zh-CN"/>
              </w:rPr>
              <w:t>自施工图纸经采购人审查确认且中标人获采购人</w:t>
            </w:r>
            <w:r>
              <w:rPr>
                <w:rFonts w:hint="eastAsia" w:ascii="宋体" w:hAnsi="宋体" w:eastAsia="宋体" w:cs="宋体"/>
                <w:color w:val="auto"/>
                <w:sz w:val="21"/>
                <w:szCs w:val="21"/>
                <w:highlight w:val="none"/>
                <w:lang w:val="en-US" w:eastAsia="zh-CN"/>
              </w:rPr>
              <w:t>工程技术部</w:t>
            </w:r>
            <w:r>
              <w:rPr>
                <w:rFonts w:hint="eastAsia" w:ascii="宋体" w:hAnsi="宋体" w:eastAsia="宋体" w:cs="宋体"/>
                <w:color w:val="auto"/>
                <w:sz w:val="21"/>
                <w:szCs w:val="21"/>
                <w:highlight w:val="none"/>
                <w:lang w:eastAsia="zh-CN"/>
              </w:rPr>
              <w:t>开工令之后,中标人可向采购人申请支付合同总金额的30%</w:t>
            </w:r>
            <w:r>
              <w:rPr>
                <w:rFonts w:hint="eastAsia" w:ascii="宋体" w:hAnsi="宋体" w:eastAsia="宋体" w:cs="宋体"/>
                <w:color w:val="auto"/>
                <w:sz w:val="21"/>
                <w:szCs w:val="21"/>
                <w:highlight w:val="none"/>
                <w:lang w:val="en-US" w:eastAsia="zh-CN"/>
              </w:rPr>
              <w:t>预付款</w:t>
            </w:r>
            <w:r>
              <w:rPr>
                <w:rFonts w:hint="eastAsia" w:ascii="宋体" w:hAnsi="宋体" w:eastAsia="宋体" w:cs="宋体"/>
                <w:color w:val="auto"/>
                <w:sz w:val="21"/>
                <w:szCs w:val="21"/>
                <w:highlight w:val="none"/>
              </w:rPr>
              <w:t>。</w:t>
            </w:r>
          </w:p>
          <w:p w14:paraId="29BBCF15">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2.</w:t>
            </w:r>
            <w:r>
              <w:rPr>
                <w:rFonts w:hint="eastAsia" w:ascii="宋体" w:hAnsi="宋体" w:eastAsia="宋体" w:cs="宋体"/>
                <w:color w:val="auto"/>
                <w:sz w:val="21"/>
                <w:szCs w:val="21"/>
                <w:highlight w:val="none"/>
              </w:rPr>
              <w:t>进度款</w:t>
            </w:r>
            <w:r>
              <w:rPr>
                <w:rFonts w:hint="eastAsia" w:ascii="宋体" w:hAnsi="宋体" w:eastAsia="宋体" w:cs="宋体"/>
                <w:color w:val="auto"/>
                <w:sz w:val="21"/>
                <w:szCs w:val="21"/>
                <w:highlight w:val="none"/>
                <w:lang w:eastAsia="zh-CN"/>
              </w:rPr>
              <w:t>：中标人完成设备承台、电缆铺设施工、设备安装完毕后经双方书面确认完成该施工进度后，中标人可向采购人申请支付合同总金额的40%</w:t>
            </w:r>
            <w:r>
              <w:rPr>
                <w:rFonts w:hint="eastAsia" w:ascii="宋体" w:hAnsi="宋体" w:eastAsia="宋体" w:cs="宋体"/>
                <w:color w:val="auto"/>
                <w:sz w:val="21"/>
                <w:szCs w:val="21"/>
                <w:highlight w:val="none"/>
              </w:rPr>
              <w:t>进度款。</w:t>
            </w:r>
          </w:p>
          <w:p w14:paraId="7A89C0D8">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bidi="ar-SA"/>
              </w:rPr>
              <w:t>3.</w:t>
            </w:r>
            <w:r>
              <w:rPr>
                <w:rFonts w:hint="eastAsia" w:ascii="宋体" w:hAnsi="宋体" w:eastAsia="宋体" w:cs="宋体"/>
                <w:color w:val="auto"/>
                <w:sz w:val="21"/>
                <w:szCs w:val="21"/>
                <w:highlight w:val="none"/>
              </w:rPr>
              <w:t>竣工</w:t>
            </w:r>
            <w:r>
              <w:rPr>
                <w:rFonts w:hint="eastAsia" w:ascii="宋体" w:hAnsi="宋体" w:eastAsia="宋体" w:cs="宋体"/>
                <w:color w:val="auto"/>
                <w:sz w:val="21"/>
                <w:szCs w:val="21"/>
                <w:highlight w:val="none"/>
                <w:lang w:eastAsia="zh-CN"/>
              </w:rPr>
              <w:t>验收款：中标人</w:t>
            </w:r>
            <w:r>
              <w:rPr>
                <w:rFonts w:hint="eastAsia" w:ascii="宋体" w:hAnsi="宋体" w:eastAsia="宋体" w:cs="宋体"/>
                <w:color w:val="auto"/>
                <w:sz w:val="21"/>
                <w:szCs w:val="21"/>
                <w:highlight w:val="none"/>
                <w:lang w:val="en-US" w:eastAsia="zh-CN"/>
              </w:rPr>
              <w:t>完成并满足</w:t>
            </w:r>
            <w:r>
              <w:rPr>
                <w:rFonts w:hint="eastAsia" w:ascii="宋体" w:hAnsi="宋体" w:eastAsia="宋体" w:cs="宋体"/>
                <w:color w:val="auto"/>
                <w:sz w:val="21"/>
                <w:szCs w:val="21"/>
                <w:highlight w:val="none"/>
                <w:lang w:eastAsia="zh-CN"/>
              </w:rPr>
              <w:t>以下</w:t>
            </w:r>
            <w:r>
              <w:rPr>
                <w:rFonts w:hint="eastAsia" w:ascii="宋体" w:hAnsi="宋体" w:eastAsia="宋体" w:cs="宋体"/>
                <w:color w:val="auto"/>
                <w:sz w:val="21"/>
                <w:szCs w:val="21"/>
                <w:highlight w:val="none"/>
                <w:lang w:val="en-US" w:eastAsia="zh-CN"/>
              </w:rPr>
              <w:t>要求后</w:t>
            </w:r>
            <w:r>
              <w:rPr>
                <w:rFonts w:hint="eastAsia" w:ascii="宋体" w:hAnsi="宋体" w:eastAsia="宋体" w:cs="宋体"/>
                <w:color w:val="auto"/>
                <w:sz w:val="21"/>
                <w:szCs w:val="21"/>
                <w:highlight w:val="none"/>
                <w:lang w:eastAsia="zh-CN"/>
              </w:rPr>
              <w:t>可向采购人申请竣工验收款：</w:t>
            </w:r>
          </w:p>
          <w:p w14:paraId="106156F4">
            <w:pPr>
              <w:keepNext w:val="0"/>
              <w:keepLines w:val="0"/>
              <w:pageBreakBefore w:val="0"/>
              <w:widowControl w:val="0"/>
              <w:numPr>
                <w:ilvl w:val="0"/>
                <w:numId w:val="0"/>
              </w:numPr>
              <w:kinsoku/>
              <w:wordWrap w:val="0"/>
              <w:overflowPunct/>
              <w:topLinePunct/>
              <w:autoSpaceDE/>
              <w:autoSpaceDN/>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本项目需完成通电调试且系统试运行正常；</w:t>
            </w:r>
          </w:p>
          <w:p w14:paraId="2174F7E9">
            <w:pPr>
              <w:keepNext w:val="0"/>
              <w:keepLines w:val="0"/>
              <w:pageBreakBefore w:val="0"/>
              <w:widowControl w:val="0"/>
              <w:numPr>
                <w:ilvl w:val="0"/>
                <w:numId w:val="0"/>
              </w:numPr>
              <w:kinsoku/>
              <w:wordWrap w:val="0"/>
              <w:overflowPunct/>
              <w:topLinePunct/>
              <w:autoSpaceDE/>
              <w:autoSpaceDN/>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（2）ModbusTCP协议及云平台对接要求：</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lang w:val="en-US" w:eastAsia="zh-CN"/>
              </w:rPr>
              <w:t>的设备厂家需严格按照采购人提供的附件5</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M</w:t>
            </w:r>
            <w:bookmarkStart w:id="16" w:name="OLE_LINK5"/>
            <w:r>
              <w:rPr>
                <w:rFonts w:hint="eastAsia" w:ascii="宋体" w:hAnsi="宋体" w:eastAsia="宋体" w:cs="宋体"/>
                <w:color w:val="auto"/>
                <w:sz w:val="21"/>
                <w:szCs w:val="21"/>
                <w:highlight w:val="none"/>
                <w:lang w:val="en-US" w:eastAsia="zh-CN"/>
              </w:rPr>
              <w:t>odbusTCP规约点表</w:t>
            </w:r>
            <w:bookmarkEnd w:id="16"/>
            <w:r>
              <w:rPr>
                <w:rFonts w:hint="eastAsia" w:ascii="宋体" w:hAnsi="宋体" w:eastAsia="宋体" w:cs="宋体"/>
                <w:color w:val="auto"/>
                <w:sz w:val="21"/>
                <w:szCs w:val="21"/>
                <w:highlight w:val="none"/>
                <w:lang w:val="en-US" w:eastAsia="zh-CN"/>
              </w:rPr>
              <w:t>》完成本地数据释放，并配合采购人完成本地硬件安装，本项目在采购人自有云平台上线运行，需实现全部数据正确展示、各类控制功能正常执行；</w:t>
            </w:r>
          </w:p>
          <w:p w14:paraId="26169CE9">
            <w:pPr>
              <w:keepNext w:val="0"/>
              <w:keepLines w:val="0"/>
              <w:pageBreakBefore w:val="0"/>
              <w:widowControl w:val="0"/>
              <w:numPr>
                <w:ilvl w:val="0"/>
                <w:numId w:val="0"/>
              </w:numPr>
              <w:kinsoku/>
              <w:wordWrap w:val="0"/>
              <w:overflowPunct/>
              <w:topLinePunct/>
              <w:autoSpaceDE/>
              <w:autoSpaceDN/>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lang w:eastAsia="zh-CN"/>
              </w:rPr>
              <w:t>采购人收到业主方第一个月的储能节能款；</w:t>
            </w:r>
          </w:p>
          <w:p w14:paraId="0686E00C">
            <w:pPr>
              <w:keepNext w:val="0"/>
              <w:keepLines w:val="0"/>
              <w:pageBreakBefore w:val="0"/>
              <w:widowControl w:val="0"/>
              <w:numPr>
                <w:ilvl w:val="0"/>
                <w:numId w:val="0"/>
              </w:numPr>
              <w:kinsoku/>
              <w:wordWrap w:val="0"/>
              <w:overflowPunct/>
              <w:topLinePunct/>
              <w:autoSpaceDE/>
              <w:autoSpaceDN/>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bidi="ar-SA"/>
              </w:rPr>
              <w:t>（4）</w:t>
            </w:r>
            <w:r>
              <w:rPr>
                <w:rFonts w:hint="eastAsia" w:ascii="宋体" w:hAnsi="宋体" w:eastAsia="宋体" w:cs="宋体"/>
                <w:color w:val="auto"/>
                <w:sz w:val="21"/>
                <w:szCs w:val="21"/>
                <w:highlight w:val="none"/>
                <w:lang w:eastAsia="zh-CN"/>
              </w:rPr>
              <w:t>中标人按采购人要求完成项目竣工资料并出具双方加盖公章的竣工验收合格报告。竣工款支付至总合同结算金额的97%。</w:t>
            </w:r>
          </w:p>
          <w:p w14:paraId="67DF5753">
            <w:pPr>
              <w:keepNext w:val="0"/>
              <w:keepLines w:val="0"/>
              <w:pageBreakBefore w:val="0"/>
              <w:widowControl w:val="0"/>
              <w:numPr>
                <w:ilvl w:val="0"/>
                <w:numId w:val="0"/>
              </w:numPr>
              <w:kinsoku/>
              <w:wordWrap w:val="0"/>
              <w:overflowPunct/>
              <w:topLinePunct/>
              <w:autoSpaceDE/>
              <w:autoSpaceDN/>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4.</w:t>
            </w:r>
            <w:r>
              <w:rPr>
                <w:rFonts w:hint="eastAsia" w:ascii="宋体" w:hAnsi="宋体" w:eastAsia="宋体" w:cs="宋体"/>
                <w:color w:val="auto"/>
                <w:sz w:val="21"/>
                <w:szCs w:val="21"/>
                <w:highlight w:val="none"/>
              </w:rPr>
              <w:t>质保款</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剩余3%作为质保款，自</w:t>
            </w:r>
            <w:r>
              <w:rPr>
                <w:rFonts w:hint="eastAsia" w:ascii="宋体" w:hAnsi="宋体" w:eastAsia="宋体" w:cs="宋体"/>
                <w:color w:val="auto"/>
                <w:sz w:val="21"/>
                <w:szCs w:val="21"/>
                <w:highlight w:val="none"/>
                <w:lang w:val="en-US" w:eastAsia="zh-CN"/>
              </w:rPr>
              <w:t>验收通过</w:t>
            </w:r>
            <w:r>
              <w:rPr>
                <w:rFonts w:hint="eastAsia" w:ascii="宋体" w:hAnsi="宋体" w:eastAsia="宋体" w:cs="宋体"/>
                <w:color w:val="auto"/>
                <w:sz w:val="21"/>
                <w:szCs w:val="21"/>
                <w:highlight w:val="none"/>
              </w:rPr>
              <w:t>起</w:t>
            </w:r>
            <w:r>
              <w:rPr>
                <w:rFonts w:hint="eastAsia" w:ascii="宋体" w:hAnsi="宋体" w:eastAsia="宋体" w:cs="宋体"/>
                <w:color w:val="auto"/>
                <w:sz w:val="21"/>
                <w:szCs w:val="21"/>
                <w:highlight w:val="none"/>
                <w:u w:val="single"/>
              </w:rPr>
              <w:t>壹</w:t>
            </w:r>
            <w:r>
              <w:rPr>
                <w:rFonts w:hint="eastAsia" w:ascii="宋体" w:hAnsi="宋体" w:eastAsia="宋体" w:cs="宋体"/>
                <w:color w:val="auto"/>
                <w:sz w:val="21"/>
                <w:szCs w:val="21"/>
                <w:highlight w:val="none"/>
              </w:rPr>
              <w:t>年质保期满后且</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不存在违约行为的前提下，由</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无息支付给</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w:t>
            </w:r>
          </w:p>
          <w:p w14:paraId="0692D700">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5.</w:t>
            </w:r>
            <w:r>
              <w:rPr>
                <w:rFonts w:hint="eastAsia" w:ascii="宋体" w:hAnsi="宋体" w:eastAsia="宋体" w:cs="宋体"/>
                <w:color w:val="auto"/>
                <w:sz w:val="21"/>
                <w:szCs w:val="21"/>
                <w:highlight w:val="none"/>
              </w:rPr>
              <w:t>结算总价不得超过中标价。</w:t>
            </w:r>
          </w:p>
        </w:tc>
      </w:tr>
      <w:tr w14:paraId="22B28517">
        <w:tblPrEx>
          <w:tblBorders>
            <w:top w:val="outset" w:color="DDDDDD" w:sz="6" w:space="0"/>
            <w:left w:val="outset" w:color="DDDDDD" w:sz="6" w:space="0"/>
            <w:bottom w:val="outset" w:color="DDDDDD" w:sz="6" w:space="0"/>
            <w:right w:val="outset" w:color="DDDDDD" w:sz="6" w:space="0"/>
            <w:insideH w:val="outset" w:color="DDDDDD" w:sz="6" w:space="0"/>
            <w:insideV w:val="outset" w:color="DDDDDD" w:sz="6" w:space="0"/>
          </w:tblBorders>
          <w:shd w:val="clear" w:color="auto" w:fill="FFFFFF" w:themeFill="background1"/>
          <w:tblCellMar>
            <w:top w:w="15" w:type="dxa"/>
            <w:left w:w="15" w:type="dxa"/>
            <w:bottom w:w="15" w:type="dxa"/>
            <w:right w:w="15" w:type="dxa"/>
          </w:tblCellMar>
        </w:tblPrEx>
        <w:trPr>
          <w:trHeight w:val="90" w:hRule="atLeast"/>
          <w:tblCellSpacing w:w="0" w:type="dxa"/>
          <w:jc w:val="center"/>
        </w:trPr>
        <w:tc>
          <w:tcPr>
            <w:tcW w:w="707" w:type="pct"/>
            <w:shd w:val="clear" w:color="auto" w:fill="FFFFFF" w:themeFill="background1"/>
            <w:vAlign w:val="center"/>
          </w:tcPr>
          <w:p w14:paraId="2FD428AD">
            <w:pPr>
              <w:spacing w:after="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质保期及售后服务</w:t>
            </w:r>
          </w:p>
        </w:tc>
        <w:tc>
          <w:tcPr>
            <w:tcW w:w="4292" w:type="pct"/>
            <w:shd w:val="clear" w:color="auto" w:fill="FFFFFF" w:themeFill="background1"/>
            <w:vAlign w:val="center"/>
          </w:tcPr>
          <w:p w14:paraId="05B99421">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1.</w:t>
            </w:r>
            <w:r>
              <w:rPr>
                <w:rFonts w:hint="eastAsia" w:ascii="宋体" w:hAnsi="宋体" w:eastAsia="宋体" w:cs="宋体"/>
                <w:color w:val="auto"/>
                <w:sz w:val="21"/>
                <w:szCs w:val="21"/>
                <w:highlight w:val="none"/>
              </w:rPr>
              <w:t>质量缺陷责任期：本工程施工保修期限为</w:t>
            </w:r>
            <w:r>
              <w:rPr>
                <w:rFonts w:hint="eastAsia" w:ascii="宋体" w:hAnsi="宋体" w:eastAsia="宋体" w:cs="宋体"/>
                <w:color w:val="auto"/>
                <w:sz w:val="21"/>
                <w:szCs w:val="21"/>
                <w:highlight w:val="none"/>
                <w:u w:val="single"/>
              </w:rPr>
              <w:t>壹</w:t>
            </w:r>
            <w:r>
              <w:rPr>
                <w:rFonts w:hint="eastAsia" w:ascii="宋体" w:hAnsi="宋体" w:eastAsia="宋体" w:cs="宋体"/>
                <w:color w:val="auto"/>
                <w:sz w:val="21"/>
                <w:szCs w:val="21"/>
                <w:highlight w:val="none"/>
              </w:rPr>
              <w:t>年，电化学储能设备整体保修期限为5年，电池系统寿命不少于10年或电池循环次数6500次，6500次循环剩余容量≧原始容量的70%且放电倍率0.5C，EOL≧70%（以先到为准），储能设备电芯参考品牌为宁德时代、比亚迪、亿纬锂能等</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自工程竣工并经</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书面验收合格起算。保修期内，如出现相关质量异常或使用问题，</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应无偿进行维修处理。</w:t>
            </w:r>
          </w:p>
          <w:p w14:paraId="475EC0F5">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2.</w:t>
            </w:r>
            <w:r>
              <w:rPr>
                <w:rFonts w:hint="eastAsia" w:ascii="宋体" w:hAnsi="宋体" w:eastAsia="宋体" w:cs="宋体"/>
                <w:color w:val="auto"/>
                <w:sz w:val="21"/>
                <w:szCs w:val="21"/>
                <w:highlight w:val="none"/>
              </w:rPr>
              <w:t>在免费保修期内，</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应保证通讯畅通，令</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能够随时同</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取得联系。</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在接到</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维修通知后24小时内到达现场并及时处理。如</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更换保修人员或联系电话，应及时通知</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。若因</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通讯不畅或故意不接，拖延推诿，</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将视为</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放弃保修责任，有权自行解决（包括聘请第三方维修等），由</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承担所有费用。</w:t>
            </w:r>
          </w:p>
          <w:p w14:paraId="31D90CA8">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3.</w:t>
            </w:r>
            <w:r>
              <w:rPr>
                <w:rFonts w:hint="eastAsia" w:ascii="宋体" w:hAnsi="宋体" w:eastAsia="宋体" w:cs="宋体"/>
                <w:color w:val="auto"/>
                <w:sz w:val="21"/>
                <w:szCs w:val="21"/>
                <w:highlight w:val="none"/>
              </w:rPr>
              <w:t>质保期内，如设备或零部件因非人为因素出现故障而造成短期停用时，则质保期和免费维修期相应顺延。如停用时间累计超过60天则质保期重新计算。</w:t>
            </w:r>
          </w:p>
          <w:p w14:paraId="4A2FF89F">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bidi="ar-SA"/>
              </w:rPr>
              <w:t>4.</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应建立并实施符合工程各项要求的质量管理体系，如因</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原因，使得项目工作受到影响，相应责任由</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承担</w:t>
            </w:r>
            <w:r>
              <w:rPr>
                <w:rFonts w:hint="eastAsia" w:ascii="宋体" w:hAnsi="宋体" w:cs="宋体"/>
                <w:color w:val="auto"/>
                <w:sz w:val="21"/>
                <w:szCs w:val="21"/>
                <w:highlight w:val="none"/>
                <w:lang w:eastAsia="zh-CN"/>
              </w:rPr>
              <w:t>；</w:t>
            </w:r>
          </w:p>
          <w:p w14:paraId="3E51F91B">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5.</w:t>
            </w:r>
            <w:r>
              <w:rPr>
                <w:rFonts w:hint="eastAsia" w:ascii="宋体" w:hAnsi="宋体" w:eastAsia="宋体" w:cs="宋体"/>
                <w:color w:val="auto"/>
                <w:sz w:val="21"/>
                <w:szCs w:val="21"/>
                <w:highlight w:val="none"/>
              </w:rPr>
              <w:t>采购人有权在工作时间内进入</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的工作地点对其文件和设施实行与合同有关的质保监查，以便监查其质保手册，质量计划及其它与质量相关的文件的实施情况。</w:t>
            </w:r>
          </w:p>
          <w:p w14:paraId="32C89E4B">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6.</w:t>
            </w:r>
            <w:r>
              <w:rPr>
                <w:rFonts w:hint="eastAsia" w:ascii="宋体" w:hAnsi="宋体" w:eastAsia="宋体" w:cs="宋体"/>
                <w:color w:val="auto"/>
                <w:sz w:val="21"/>
                <w:szCs w:val="21"/>
                <w:highlight w:val="none"/>
              </w:rPr>
              <w:t>对采购人的服务通知，</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在接报后1小时内响应，4小时内到达现场，48小时内处理完毕。若在48小时内仍未能有效解决，</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须免费提供同档次的设备予采购人临时使用。</w:t>
            </w:r>
          </w:p>
        </w:tc>
      </w:tr>
      <w:tr w14:paraId="571795A5">
        <w:tblPrEx>
          <w:tblBorders>
            <w:top w:val="outset" w:color="DDDDDD" w:sz="6" w:space="0"/>
            <w:left w:val="outset" w:color="DDDDDD" w:sz="6" w:space="0"/>
            <w:bottom w:val="outset" w:color="DDDDDD" w:sz="6" w:space="0"/>
            <w:right w:val="outset" w:color="DDDDDD" w:sz="6" w:space="0"/>
            <w:insideH w:val="outset" w:color="DDDDDD" w:sz="6" w:space="0"/>
            <w:insideV w:val="outset" w:color="DDDDDD" w:sz="6" w:space="0"/>
          </w:tblBorders>
          <w:shd w:val="clear" w:color="auto" w:fill="FFFFFF" w:themeFill="background1"/>
          <w:tblCellMar>
            <w:top w:w="15" w:type="dxa"/>
            <w:left w:w="15" w:type="dxa"/>
            <w:bottom w:w="15" w:type="dxa"/>
            <w:right w:w="15" w:type="dxa"/>
          </w:tblCellMar>
        </w:tblPrEx>
        <w:trPr>
          <w:trHeight w:val="400" w:hRule="atLeast"/>
          <w:tblCellSpacing w:w="0" w:type="dxa"/>
          <w:jc w:val="center"/>
        </w:trPr>
        <w:tc>
          <w:tcPr>
            <w:tcW w:w="707" w:type="pct"/>
            <w:shd w:val="clear" w:color="auto" w:fill="FFFFFF" w:themeFill="background1"/>
            <w:vAlign w:val="center"/>
          </w:tcPr>
          <w:p w14:paraId="7DAF38EE">
            <w:pPr>
              <w:spacing w:after="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验收要求</w:t>
            </w:r>
          </w:p>
        </w:tc>
        <w:tc>
          <w:tcPr>
            <w:tcW w:w="4292" w:type="pct"/>
            <w:shd w:val="clear" w:color="auto" w:fill="FFFFFF" w:themeFill="background1"/>
            <w:vAlign w:val="center"/>
          </w:tcPr>
          <w:p w14:paraId="69334E04">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00" w:firstLineChars="200"/>
              <w:jc w:val="both"/>
              <w:textAlignment w:val="auto"/>
              <w:rPr>
                <w:rFonts w:hint="eastAsia" w:ascii="宋体" w:hAnsi="宋体" w:eastAsia="宋体" w:cs="宋体"/>
                <w:color w:val="auto"/>
                <w:sz w:val="21"/>
                <w:szCs w:val="21"/>
                <w:highlight w:val="none"/>
              </w:rPr>
            </w:pPr>
            <w:r>
              <w:rPr>
                <w:rFonts w:hint="default" w:ascii="宋体" w:hAnsi="宋体" w:eastAsia="宋体" w:cs="宋体"/>
                <w:color w:val="auto"/>
                <w:sz w:val="20"/>
                <w:szCs w:val="20"/>
                <w:highlight w:val="none"/>
                <w:lang w:val="en-US" w:eastAsia="zh-CN" w:bidi="ar-SA"/>
              </w:rPr>
              <w:t>1.</w:t>
            </w:r>
            <w:r>
              <w:rPr>
                <w:rFonts w:hint="eastAsia" w:ascii="宋体" w:hAnsi="宋体" w:eastAsia="宋体" w:cs="宋体"/>
                <w:color w:val="auto"/>
                <w:sz w:val="21"/>
                <w:szCs w:val="21"/>
                <w:highlight w:val="none"/>
              </w:rPr>
              <w:t>工程具备隐蔽条件，</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先进行自检，并在隐蔽工程验收前24小时通知</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验收。验收合格，</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现场代表在验收记录上签字后，承包人可进行隐蔽工程继续施工。验收不合格，</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予以整改后再交由</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重新验收。</w:t>
            </w:r>
          </w:p>
          <w:p w14:paraId="44E3FEE7">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00" w:firstLineChars="200"/>
              <w:jc w:val="both"/>
              <w:textAlignment w:val="auto"/>
              <w:rPr>
                <w:rFonts w:hint="eastAsia" w:ascii="宋体" w:hAnsi="宋体" w:eastAsia="宋体" w:cs="宋体"/>
                <w:color w:val="auto"/>
                <w:sz w:val="21"/>
                <w:szCs w:val="21"/>
                <w:highlight w:val="none"/>
              </w:rPr>
            </w:pPr>
            <w:r>
              <w:rPr>
                <w:rFonts w:hint="default" w:ascii="宋体" w:hAnsi="宋体" w:eastAsia="宋体" w:cs="宋体"/>
                <w:color w:val="auto"/>
                <w:sz w:val="20"/>
                <w:szCs w:val="20"/>
                <w:highlight w:val="none"/>
                <w:lang w:val="en-US" w:eastAsia="zh-CN" w:bidi="ar-SA"/>
              </w:rPr>
              <w:t>2.</w:t>
            </w:r>
            <w:r>
              <w:rPr>
                <w:rFonts w:hint="eastAsia" w:ascii="宋体" w:hAnsi="宋体" w:eastAsia="宋体" w:cs="宋体"/>
                <w:color w:val="auto"/>
                <w:sz w:val="21"/>
                <w:szCs w:val="21"/>
                <w:highlight w:val="none"/>
              </w:rPr>
              <w:t>工程具备竣工验收条件，</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向</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提供完整竣工资料及竣工验收报告，包含：竣工图、有资质公司设计盖章图和现场签证单（如有）等。验收合格的，双方进行交接，验收不合格的，</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应及时返工，费用由</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自行承担，返工导致工期延误的，</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应承担相应的违约责任。由于</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原因造成质量事故，其返工费用由</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承担，工期不变。</w:t>
            </w:r>
          </w:p>
          <w:p w14:paraId="620B456B">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00" w:firstLineChars="200"/>
              <w:jc w:val="both"/>
              <w:textAlignment w:val="auto"/>
              <w:rPr>
                <w:rFonts w:hint="eastAsia" w:ascii="宋体" w:hAnsi="宋体" w:eastAsia="宋体" w:cs="宋体"/>
                <w:color w:val="auto"/>
                <w:sz w:val="21"/>
                <w:szCs w:val="21"/>
                <w:highlight w:val="none"/>
              </w:rPr>
            </w:pPr>
            <w:r>
              <w:rPr>
                <w:rFonts w:hint="default" w:ascii="宋体" w:hAnsi="宋体" w:eastAsia="宋体" w:cs="宋体"/>
                <w:color w:val="auto"/>
                <w:sz w:val="20"/>
                <w:szCs w:val="20"/>
                <w:highlight w:val="none"/>
                <w:lang w:val="en-US" w:eastAsia="zh-CN" w:bidi="ar-SA"/>
              </w:rPr>
              <w:t>3.</w:t>
            </w:r>
            <w:r>
              <w:rPr>
                <w:rFonts w:hint="eastAsia" w:ascii="宋体" w:hAnsi="宋体" w:eastAsia="宋体" w:cs="宋体"/>
                <w:color w:val="auto"/>
                <w:sz w:val="21"/>
                <w:szCs w:val="21"/>
                <w:highlight w:val="none"/>
              </w:rPr>
              <w:t>经双方特别提出并约定，</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应当在合同工程通过竣工验收后90日内为</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完成合同工程中低压工程部分的并网申请工作直至最终完成低压并网，否则</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有权不支付验收款及其他任何款项。同时，需要特别明确的是，因工程发包的不可分割性（低压并网和低压接入并存的接入方式）及基于支付风险的商业考量和违约责任分配，</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清晰知晓并承诺：在合同所涉低压工程成功并网前，即使</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已对合同工程完成竣工验收或已实际使用工程中的非低压工程部分，</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仍无权要求</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就合同工程的整体或单独部分（无论该单独部分是否可独立核算）支付验收款及其他任何款项。除此之外，</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清晰知晓因低压工程并网所产生的一切费用（包括但不限于设备整改费用、检验报告出具费用、因并网所产生的各单位协调费用等各费用）均由其自行承担。</w:t>
            </w:r>
          </w:p>
          <w:p w14:paraId="6656DC45">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00" w:firstLineChars="200"/>
              <w:jc w:val="both"/>
              <w:textAlignment w:val="auto"/>
              <w:rPr>
                <w:rFonts w:hint="eastAsia" w:ascii="宋体" w:hAnsi="宋体" w:eastAsia="宋体" w:cs="宋体"/>
                <w:color w:val="auto"/>
                <w:sz w:val="21"/>
                <w:szCs w:val="21"/>
                <w:highlight w:val="yellow"/>
              </w:rPr>
            </w:pPr>
            <w:r>
              <w:rPr>
                <w:rFonts w:hint="default" w:ascii="宋体" w:hAnsi="宋体" w:eastAsia="宋体" w:cs="宋体"/>
                <w:color w:val="auto"/>
                <w:sz w:val="20"/>
                <w:szCs w:val="20"/>
                <w:highlight w:val="none"/>
                <w:lang w:val="en-US" w:eastAsia="zh-CN" w:bidi="ar-SA"/>
              </w:rPr>
              <w:t>4.</w:t>
            </w:r>
            <w:r>
              <w:rPr>
                <w:rFonts w:hint="eastAsia" w:ascii="宋体" w:hAnsi="宋体" w:eastAsia="宋体" w:cs="宋体"/>
                <w:color w:val="auto"/>
                <w:sz w:val="21"/>
                <w:szCs w:val="21"/>
                <w:highlight w:val="none"/>
              </w:rPr>
              <w:t>工程质量满足：电力行业相关制度标准、国标以及该项目签署的《技术协议》要求见附件：技术协议。</w:t>
            </w:r>
          </w:p>
        </w:tc>
      </w:tr>
      <w:tr w14:paraId="6717495F">
        <w:tblPrEx>
          <w:tblBorders>
            <w:top w:val="outset" w:color="DDDDDD" w:sz="6" w:space="0"/>
            <w:left w:val="outset" w:color="DDDDDD" w:sz="6" w:space="0"/>
            <w:bottom w:val="outset" w:color="DDDDDD" w:sz="6" w:space="0"/>
            <w:right w:val="outset" w:color="DDDDDD" w:sz="6" w:space="0"/>
            <w:insideH w:val="outset" w:color="DDDDDD" w:sz="6" w:space="0"/>
            <w:insideV w:val="outset" w:color="DDDDDD" w:sz="6" w:space="0"/>
          </w:tblBorders>
          <w:shd w:val="clear" w:color="auto" w:fill="FFFFFF" w:themeFill="background1"/>
          <w:tblCellMar>
            <w:top w:w="15" w:type="dxa"/>
            <w:left w:w="15" w:type="dxa"/>
            <w:bottom w:w="15" w:type="dxa"/>
            <w:right w:w="15" w:type="dxa"/>
          </w:tblCellMar>
        </w:tblPrEx>
        <w:trPr>
          <w:trHeight w:val="145" w:hRule="atLeast"/>
          <w:tblCellSpacing w:w="0" w:type="dxa"/>
          <w:jc w:val="center"/>
        </w:trPr>
        <w:tc>
          <w:tcPr>
            <w:tcW w:w="707" w:type="pct"/>
            <w:shd w:val="clear" w:color="auto" w:fill="FFFFFF" w:themeFill="background1"/>
            <w:vAlign w:val="center"/>
          </w:tcPr>
          <w:p w14:paraId="68FDCD15">
            <w:pPr>
              <w:spacing w:after="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报价方式及要求</w:t>
            </w:r>
          </w:p>
        </w:tc>
        <w:tc>
          <w:tcPr>
            <w:tcW w:w="4292" w:type="pct"/>
            <w:shd w:val="clear" w:color="auto" w:fill="FFFFFF" w:themeFill="background1"/>
            <w:vAlign w:val="center"/>
          </w:tcPr>
          <w:p w14:paraId="38A3AAE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2" w:firstLineChars="200"/>
              <w:jc w:val="both"/>
              <w:textAlignment w:val="auto"/>
              <w:rPr>
                <w:rFonts w:hint="default"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1.本次采购总容量为1525kW/6100kWh</w:t>
            </w:r>
            <w:r>
              <w:rPr>
                <w:rFonts w:hint="eastAsia" w:ascii="宋体" w:hAnsi="宋体" w:cs="宋体"/>
                <w:b/>
                <w:bCs/>
                <w:color w:val="auto"/>
                <w:kern w:val="2"/>
                <w:sz w:val="21"/>
                <w:szCs w:val="21"/>
                <w:highlight w:val="none"/>
                <w:lang w:val="en-US" w:eastAsia="zh-CN" w:bidi="ar-SA"/>
              </w:rPr>
              <w:t>，</w:t>
            </w:r>
            <w:r>
              <w:rPr>
                <w:rFonts w:hint="eastAsia" w:ascii="宋体" w:hAnsi="宋体" w:eastAsia="宋体" w:cs="宋体"/>
                <w:b/>
                <w:bCs/>
                <w:color w:val="auto"/>
                <w:kern w:val="2"/>
                <w:sz w:val="21"/>
                <w:szCs w:val="21"/>
                <w:highlight w:val="none"/>
                <w:lang w:val="en-US" w:eastAsia="zh-CN" w:bidi="ar-SA"/>
              </w:rPr>
              <w:t>本项目报价采用单价报价，最高限价为</w:t>
            </w:r>
            <w:r>
              <w:rPr>
                <w:rFonts w:hint="eastAsia" w:ascii="宋体" w:hAnsi="宋体" w:cs="宋体"/>
                <w:b/>
                <w:bCs/>
                <w:color w:val="auto"/>
                <w:kern w:val="2"/>
                <w:sz w:val="21"/>
                <w:szCs w:val="21"/>
                <w:highlight w:val="none"/>
                <w:u w:val="single"/>
                <w:lang w:val="en-US" w:eastAsia="zh-CN" w:bidi="ar-SA"/>
              </w:rPr>
              <w:t>1050</w:t>
            </w:r>
            <w:r>
              <w:rPr>
                <w:rFonts w:hint="eastAsia" w:ascii="宋体" w:hAnsi="宋体" w:eastAsia="宋体" w:cs="宋体"/>
                <w:b/>
                <w:bCs/>
                <w:color w:val="auto"/>
                <w:kern w:val="2"/>
                <w:sz w:val="21"/>
                <w:szCs w:val="21"/>
                <w:highlight w:val="none"/>
                <w:lang w:val="en-US" w:eastAsia="zh-CN" w:bidi="ar-SA"/>
              </w:rPr>
              <w:t>元/kWh</w:t>
            </w:r>
            <w:r>
              <w:rPr>
                <w:rFonts w:hint="eastAsia" w:ascii="宋体" w:hAnsi="宋体" w:cs="宋体"/>
                <w:b/>
                <w:bCs/>
                <w:color w:val="auto"/>
                <w:kern w:val="2"/>
                <w:sz w:val="21"/>
                <w:szCs w:val="21"/>
                <w:highlight w:val="none"/>
                <w:lang w:val="en-US" w:eastAsia="zh-CN" w:bidi="ar-SA"/>
              </w:rPr>
              <w:t>，</w:t>
            </w:r>
            <w:r>
              <w:rPr>
                <w:rFonts w:hint="eastAsia" w:ascii="宋体" w:hAnsi="宋体" w:eastAsia="宋体" w:cs="宋体"/>
                <w:b/>
                <w:bCs/>
                <w:color w:val="auto"/>
                <w:kern w:val="2"/>
                <w:sz w:val="21"/>
                <w:szCs w:val="21"/>
                <w:highlight w:val="none"/>
                <w:lang w:val="en-US" w:eastAsia="zh-CN" w:bidi="ar-SA"/>
              </w:rPr>
              <w:t>最终结算以第三方设计单位所设计的容量为准</w:t>
            </w:r>
            <w:r>
              <w:rPr>
                <w:rFonts w:hint="eastAsia" w:ascii="宋体" w:hAnsi="宋体" w:cs="宋体"/>
                <w:b/>
                <w:bCs/>
                <w:color w:val="auto"/>
                <w:kern w:val="2"/>
                <w:sz w:val="21"/>
                <w:szCs w:val="21"/>
                <w:highlight w:val="none"/>
                <w:lang w:val="en-US" w:eastAsia="zh-CN" w:bidi="ar-SA"/>
              </w:rPr>
              <w:t>；</w:t>
            </w:r>
            <w:r>
              <w:rPr>
                <w:rFonts w:hint="eastAsia" w:ascii="宋体" w:hAnsi="宋体" w:eastAsia="宋体" w:cs="宋体"/>
                <w:b/>
                <w:bCs/>
                <w:color w:val="auto"/>
                <w:kern w:val="2"/>
                <w:sz w:val="21"/>
                <w:szCs w:val="21"/>
                <w:highlight w:val="none"/>
                <w:lang w:val="en-US" w:eastAsia="zh-CN" w:bidi="ar-SA"/>
              </w:rPr>
              <w:t>最终设计的容量偏差≤预算容量的10%（如遇现场位置不能满足设计要求，容量缩减不受降低容量偏差限制），超出部分不做结算。</w:t>
            </w:r>
            <w:r>
              <w:rPr>
                <w:rFonts w:hint="eastAsia" w:ascii="宋体" w:hAnsi="宋体" w:cs="宋体"/>
                <w:b/>
                <w:bCs/>
                <w:color w:val="auto"/>
                <w:kern w:val="2"/>
                <w:sz w:val="21"/>
                <w:szCs w:val="21"/>
                <w:highlight w:val="none"/>
                <w:lang w:val="en-US" w:eastAsia="zh-CN" w:bidi="ar-SA"/>
              </w:rPr>
              <w:t>本项目为高压接入方案，详见：《东莞市旗领产业投资有限公司储能项目实施方案》</w:t>
            </w:r>
            <w:r>
              <w:rPr>
                <w:rFonts w:hint="eastAsia" w:ascii="宋体" w:hAnsi="宋体" w:cs="宋体"/>
                <w:b w:val="0"/>
                <w:bCs w:val="0"/>
                <w:color w:val="auto"/>
                <w:kern w:val="2"/>
                <w:sz w:val="21"/>
                <w:szCs w:val="21"/>
                <w:highlight w:val="none"/>
                <w:lang w:val="en-US" w:eastAsia="zh-CN" w:bidi="ar-SA"/>
              </w:rPr>
              <w:t>（方案仅供参考，实施方案以最终建设为准）。</w:t>
            </w:r>
          </w:p>
          <w:p w14:paraId="604B268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yellow"/>
                <w:lang w:val="en-US" w:eastAsia="zh-CN" w:bidi="ar-SA"/>
              </w:rPr>
            </w:pPr>
            <w:r>
              <w:rPr>
                <w:rFonts w:hint="eastAsia" w:ascii="宋体" w:hAnsi="宋体" w:eastAsia="宋体" w:cs="宋体"/>
                <w:color w:val="auto"/>
                <w:kern w:val="2"/>
                <w:sz w:val="21"/>
                <w:szCs w:val="21"/>
                <w:highlight w:val="none"/>
                <w:lang w:val="en-US" w:eastAsia="zh-CN" w:bidi="ar-SA"/>
              </w:rPr>
              <w:t>2.报价要求：包括但不限于项目的供货、建安费、垃圾清运费、安装、测试、验收直至取得验收合格证明文件及材料价之任何市场差价、管理费、综合费率、保险费、利润和国家规定的应由中标人承担的任何收费、税金、必须的加班费、费率或汇率的变动、专利费、运输、货品迟到工地的窝工费等直至交付采购人正常使用的所有费用</w:t>
            </w:r>
            <w:r>
              <w:rPr>
                <w:rFonts w:hint="eastAsia" w:ascii="宋体" w:hAnsi="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中标人根据项目中标金额及项目需求进行施工，建安费等费用不可超过本项目中标价。中标人施工图预算超出本项目中标价的，中标人须无偿为采购人修改施工图纸，直至采购人审定的施工图预算不超过本项目预算金额。双方约定条件范围内包工包料、包各项税费、材料购置费、安装费、运输费、装卸费、人工费、项目开工前需安装摄像头监控系统，包安全文明施工措施费、相关部门监督验收及合同实施过程中不可预见费用等中标人为履行本合同所发生的一切费用。</w:t>
            </w:r>
          </w:p>
        </w:tc>
      </w:tr>
      <w:tr w14:paraId="612BDE12">
        <w:tblPrEx>
          <w:tblBorders>
            <w:top w:val="outset" w:color="DDDDDD" w:sz="6" w:space="0"/>
            <w:left w:val="outset" w:color="DDDDDD" w:sz="6" w:space="0"/>
            <w:bottom w:val="outset" w:color="DDDDDD" w:sz="6" w:space="0"/>
            <w:right w:val="outset" w:color="DDDDDD" w:sz="6" w:space="0"/>
            <w:insideH w:val="outset" w:color="DDDDDD" w:sz="6" w:space="0"/>
            <w:insideV w:val="outset" w:color="DDDDDD" w:sz="6" w:space="0"/>
          </w:tblBorders>
          <w:tblCellMar>
            <w:top w:w="15" w:type="dxa"/>
            <w:left w:w="15" w:type="dxa"/>
            <w:bottom w:w="15" w:type="dxa"/>
            <w:right w:w="15" w:type="dxa"/>
          </w:tblCellMar>
        </w:tblPrEx>
        <w:trPr>
          <w:trHeight w:val="1827" w:hRule="atLeast"/>
          <w:tblCellSpacing w:w="0" w:type="dxa"/>
          <w:jc w:val="center"/>
        </w:trPr>
        <w:tc>
          <w:tcPr>
            <w:tcW w:w="707" w:type="pct"/>
            <w:shd w:val="clear" w:color="auto" w:fill="FFFFFF" w:themeFill="background1"/>
            <w:vAlign w:val="center"/>
          </w:tcPr>
          <w:p w14:paraId="38146F2E">
            <w:pPr>
              <w:spacing w:after="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合同签订说明</w:t>
            </w:r>
          </w:p>
        </w:tc>
        <w:tc>
          <w:tcPr>
            <w:tcW w:w="4292" w:type="pct"/>
            <w:shd w:val="clear" w:color="auto" w:fill="FFFFFF" w:themeFill="background1"/>
            <w:vAlign w:val="center"/>
          </w:tcPr>
          <w:p w14:paraId="4E759F7B">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default" w:ascii="宋体" w:hAnsi="宋体" w:eastAsia="宋体" w:cs="宋体"/>
                <w:color w:val="auto"/>
                <w:kern w:val="2"/>
                <w:sz w:val="21"/>
                <w:szCs w:val="21"/>
                <w:highlight w:val="yellow"/>
                <w:lang w:val="en-US" w:eastAsia="zh-CN" w:bidi="ar-SA"/>
              </w:rPr>
            </w:pPr>
            <w:r>
              <w:rPr>
                <w:rFonts w:hint="eastAsia" w:ascii="宋体" w:hAnsi="宋体" w:eastAsia="宋体" w:cs="宋体"/>
                <w:color w:val="auto"/>
                <w:kern w:val="2"/>
                <w:sz w:val="21"/>
                <w:szCs w:val="21"/>
                <w:highlight w:val="none"/>
                <w:lang w:val="en-US" w:eastAsia="zh-CN" w:bidi="ar-SA"/>
              </w:rPr>
              <w:t>中标通知书发出之日起30个日历天内，按照招标文件和投标文件的约定，与采购人签订书面合同，所签订的合同不得对招标文件确定的事项和投标文件已承诺的内容作实质性修改，中标人不得向采购人提出任何不合理的要求作为签订合同的条件，中标人无正当理由拒签合同的，</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有权取消其中标资格</w:t>
            </w:r>
            <w:r>
              <w:rPr>
                <w:rFonts w:hint="eastAsia" w:ascii="宋体" w:hAnsi="宋体" w:cs="宋体"/>
                <w:color w:val="auto"/>
                <w:kern w:val="2"/>
                <w:sz w:val="21"/>
                <w:szCs w:val="21"/>
                <w:highlight w:val="none"/>
                <w:lang w:val="en-US" w:eastAsia="zh-CN" w:bidi="ar-SA"/>
              </w:rPr>
              <w:t>，并没收投标保证金。</w:t>
            </w:r>
          </w:p>
        </w:tc>
      </w:tr>
      <w:tr w14:paraId="73B5BF20">
        <w:tblPrEx>
          <w:tblBorders>
            <w:top w:val="outset" w:color="DDDDDD" w:sz="6" w:space="0"/>
            <w:left w:val="outset" w:color="DDDDDD" w:sz="6" w:space="0"/>
            <w:bottom w:val="outset" w:color="DDDDDD" w:sz="6" w:space="0"/>
            <w:right w:val="outset" w:color="DDDDDD" w:sz="6" w:space="0"/>
            <w:insideH w:val="outset" w:color="DDDDDD" w:sz="6" w:space="0"/>
            <w:insideV w:val="outset" w:color="DDDDDD" w:sz="6" w:space="0"/>
          </w:tblBorders>
          <w:shd w:val="clear" w:color="auto" w:fill="FFFFFF" w:themeFill="background1"/>
          <w:tblCellMar>
            <w:top w:w="15" w:type="dxa"/>
            <w:left w:w="15" w:type="dxa"/>
            <w:bottom w:w="15" w:type="dxa"/>
            <w:right w:w="15" w:type="dxa"/>
          </w:tblCellMar>
        </w:tblPrEx>
        <w:trPr>
          <w:trHeight w:val="454" w:hRule="atLeast"/>
          <w:tblCellSpacing w:w="0" w:type="dxa"/>
          <w:jc w:val="center"/>
        </w:trPr>
        <w:tc>
          <w:tcPr>
            <w:tcW w:w="707" w:type="pct"/>
            <w:shd w:val="clear" w:color="auto" w:fill="FFFFFF" w:themeFill="background1"/>
            <w:vAlign w:val="center"/>
          </w:tcPr>
          <w:p w14:paraId="69BD4664">
            <w:pPr>
              <w:spacing w:after="0" w:line="240" w:lineRule="auto"/>
              <w:jc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color w:val="auto"/>
                <w:kern w:val="2"/>
                <w:sz w:val="21"/>
                <w:szCs w:val="21"/>
                <w:highlight w:val="none"/>
                <w:lang w:val="en-US" w:eastAsia="zh-CN" w:bidi="ar-SA"/>
              </w:rPr>
              <w:t>★</w:t>
            </w:r>
            <w:r>
              <w:rPr>
                <w:rFonts w:hint="eastAsia" w:ascii="宋体" w:hAnsi="宋体" w:cs="宋体"/>
                <w:b/>
                <w:bCs/>
                <w:color w:val="auto"/>
                <w:sz w:val="21"/>
                <w:szCs w:val="21"/>
                <w:highlight w:val="none"/>
                <w:lang w:val="en-US" w:eastAsia="zh-CN"/>
              </w:rPr>
              <w:t>其他要求</w:t>
            </w:r>
          </w:p>
        </w:tc>
        <w:tc>
          <w:tcPr>
            <w:tcW w:w="4292" w:type="pct"/>
            <w:shd w:val="clear" w:color="auto" w:fill="FFFFFF" w:themeFill="background1"/>
            <w:vAlign w:val="center"/>
          </w:tcPr>
          <w:p w14:paraId="0AEE962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一、响应要求</w:t>
            </w:r>
          </w:p>
          <w:p w14:paraId="7CA9780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投标人在投标文件必须承诺:为保证产品来源的合法性和可靠性及兼容性,如中标，在采购结果公示后主动向采购人提供所投设备的设备厂家的原厂制造商授权书和售后服务函、原厂技术参数响应表(加盖制造商公章)、提供所投设备(如采购人要求)的相关证书、或检测报告等证明材料原件给予采购人审查，以确保采购人的正常利益。如有虚假应标将上报相关部门处理。</w:t>
            </w:r>
          </w:p>
          <w:p w14:paraId="1BF5336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2、投标人需对提交资料真实性负责，如提交虚假材料谋取中标，一经发现，采购人有权暂停签订合同，并将报市政府采购监管部门进行处理，由此引发的所有损失由中标人负责，并追究其违规责任。</w:t>
            </w:r>
          </w:p>
          <w:p w14:paraId="7924CBE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3、项目采用磷酸铁锂电池(行业主流安全技术)，通过国家权威机构认证(如UL、CE、GB/T等)，具备防过充、过放、短路等多重保护机制，优先选用国优一线品牌。</w:t>
            </w:r>
          </w:p>
          <w:p w14:paraId="372A487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4、储能设备配备稳定可靠的气体自动灭火系统，同时柜体覆盖了一层阻燃保温层，最大程度上减小火灾的扩散。</w:t>
            </w:r>
          </w:p>
          <w:p w14:paraId="51EEAB11">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5、设备布局严格遵循消防规范，配备防火墙、自动灭火装置及独立通风系统</w:t>
            </w:r>
            <w:r>
              <w:rPr>
                <w:rFonts w:hint="eastAsia" w:ascii="宋体" w:hAnsi="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施工过程由专业团队执行，严格按照行业规范及企业安全管理要求</w:t>
            </w:r>
            <w:r>
              <w:rPr>
                <w:rFonts w:hint="eastAsia" w:ascii="宋体" w:hAnsi="宋体" w:cs="宋体"/>
                <w:color w:val="auto"/>
                <w:kern w:val="2"/>
                <w:sz w:val="21"/>
                <w:szCs w:val="21"/>
                <w:highlight w:val="none"/>
                <w:lang w:val="en-US" w:eastAsia="zh-CN" w:bidi="ar-SA"/>
              </w:rPr>
              <w:t>；</w:t>
            </w:r>
          </w:p>
          <w:p w14:paraId="74BD51B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采取线上+线下的安全运营策略，线上管理平台系统24小时实时监控储能系统内部的温度、压力、电流、烟雾浓度等信息，异常情况自动预警并启动消防联动，同时中标供应商需安排安全运维人员到运营项目做定期的维保，确保风险“早发现、早处宜”。</w:t>
            </w:r>
          </w:p>
          <w:p w14:paraId="0E1CCC76">
            <w:pPr>
              <w:pStyle w:val="31"/>
              <w:rPr>
                <w:rFonts w:hint="eastAsia" w:ascii="宋体" w:hAnsi="宋体" w:cs="宋体"/>
                <w:b w:val="0"/>
                <w:bCs w:val="0"/>
                <w:color w:val="auto"/>
                <w:kern w:val="2"/>
                <w:sz w:val="21"/>
                <w:szCs w:val="21"/>
                <w:highlight w:val="none"/>
                <w:lang w:val="en-US" w:eastAsia="zh-CN" w:bidi="ar-SA"/>
              </w:rPr>
            </w:pPr>
            <w:r>
              <w:rPr>
                <w:rFonts w:hint="eastAsia" w:ascii="宋体" w:hAnsi="宋体" w:cs="宋体"/>
                <w:b w:val="0"/>
                <w:bCs w:val="0"/>
                <w:color w:val="auto"/>
                <w:kern w:val="2"/>
                <w:sz w:val="21"/>
                <w:szCs w:val="21"/>
                <w:highlight w:val="none"/>
                <w:lang w:val="en-US" w:eastAsia="zh-CN" w:bidi="ar-SA"/>
              </w:rPr>
              <w:t>二、承诺要求</w:t>
            </w:r>
          </w:p>
          <w:p w14:paraId="05CD98D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yellow"/>
                <w:lang w:val="en-US" w:eastAsia="zh-CN" w:bidi="ar-SA"/>
              </w:rPr>
            </w:pPr>
            <w:r>
              <w:rPr>
                <w:rFonts w:hint="default" w:ascii="宋体" w:hAnsi="宋体" w:eastAsia="宋体" w:cs="宋体"/>
                <w:color w:val="auto"/>
                <w:kern w:val="2"/>
                <w:sz w:val="21"/>
                <w:szCs w:val="21"/>
                <w:highlight w:val="none"/>
                <w:lang w:val="en-US" w:eastAsia="zh-CN" w:bidi="ar-SA"/>
              </w:rPr>
              <w:t>1.★ModbusTCP协议及云平台对接要求：投标人须承诺无偏离响应并执行达到附件5《ModbusTCP规约点表》的要求，包含：地址规划、系统数据、PCS、电堆、电池簇、单体电压、单体温度、电表数据、空调数据、液冷数据、遥控遥调、PCS故障字解析表、BMS报警码解析表、空调故障字解析表、液冷故障字解析表。（须提供承诺函，格式详见“第六部分附件－投标文件格式</w:t>
            </w:r>
            <w:r>
              <w:rPr>
                <w:rFonts w:hint="eastAsia" w:ascii="宋体" w:hAnsi="宋体" w:cs="宋体"/>
                <w:color w:val="auto"/>
                <w:kern w:val="2"/>
                <w:sz w:val="21"/>
                <w:szCs w:val="21"/>
                <w:highlight w:val="none"/>
                <w:lang w:val="en-US" w:eastAsia="zh-CN" w:bidi="ar-SA"/>
              </w:rPr>
              <w:t>-附件11</w:t>
            </w:r>
            <w:r>
              <w:rPr>
                <w:rFonts w:hint="default" w:ascii="宋体" w:hAnsi="宋体" w:eastAsia="宋体" w:cs="宋体"/>
                <w:color w:val="auto"/>
                <w:kern w:val="2"/>
                <w:sz w:val="21"/>
                <w:szCs w:val="21"/>
                <w:highlight w:val="none"/>
                <w:lang w:val="en-US" w:eastAsia="zh-CN" w:bidi="ar-SA"/>
              </w:rPr>
              <w:t>”）</w:t>
            </w:r>
          </w:p>
        </w:tc>
      </w:tr>
    </w:tbl>
    <w:p w14:paraId="1356F5A0">
      <w:pPr>
        <w:rPr>
          <w:rFonts w:ascii="宋体" w:hAnsi="宋体"/>
          <w:color w:val="auto"/>
          <w:highlight w:val="none"/>
        </w:rPr>
      </w:pPr>
      <w:r>
        <w:rPr>
          <w:rFonts w:hint="eastAsia" w:ascii="宋体" w:hAnsi="宋体"/>
          <w:color w:val="auto"/>
          <w:highlight w:val="none"/>
        </w:rPr>
        <w:br w:type="page"/>
      </w:r>
    </w:p>
    <w:p w14:paraId="61C291E6">
      <w:pPr>
        <w:pStyle w:val="4"/>
        <w:spacing w:before="0" w:after="0" w:line="360" w:lineRule="auto"/>
        <w:jc w:val="center"/>
        <w:rPr>
          <w:color w:val="auto"/>
          <w:highlight w:val="none"/>
        </w:rPr>
      </w:pPr>
      <w:bookmarkStart w:id="17" w:name="_Toc29138"/>
      <w:r>
        <w:rPr>
          <w:rFonts w:hint="eastAsia" w:ascii="宋体" w:hAnsi="宋体"/>
          <w:color w:val="auto"/>
          <w:highlight w:val="none"/>
        </w:rPr>
        <w:t>第二章技术需求书</w:t>
      </w:r>
      <w:bookmarkEnd w:id="14"/>
      <w:bookmarkEnd w:id="17"/>
    </w:p>
    <w:bookmarkEnd w:id="9"/>
    <w:p w14:paraId="7D05B881">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bCs/>
          <w:color w:val="auto"/>
          <w:sz w:val="24"/>
          <w:szCs w:val="24"/>
          <w:highlight w:val="none"/>
          <w:lang w:eastAsia="zh-CN"/>
        </w:rPr>
      </w:pPr>
      <w:r>
        <w:rPr>
          <w:rFonts w:hint="eastAsia" w:ascii="宋体" w:hAnsi="宋体" w:eastAsia="宋体" w:cs="宋体"/>
          <w:b/>
          <w:color w:val="auto"/>
          <w:sz w:val="24"/>
          <w:szCs w:val="24"/>
          <w:highlight w:val="none"/>
          <w:lang w:val="en-US" w:eastAsia="zh-CN" w:bidi="ar-SA"/>
        </w:rPr>
        <w:t>一、</w:t>
      </w:r>
      <w:r>
        <w:rPr>
          <w:rFonts w:hint="eastAsia" w:ascii="宋体" w:hAnsi="宋体" w:eastAsia="宋体" w:cs="宋体"/>
          <w:b/>
          <w:bCs/>
          <w:color w:val="auto"/>
          <w:sz w:val="24"/>
          <w:szCs w:val="24"/>
          <w:highlight w:val="none"/>
        </w:rPr>
        <w:t>项目名称</w:t>
      </w:r>
    </w:p>
    <w:p w14:paraId="0982C0C5">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420" w:firstLineChars="200"/>
        <w:jc w:val="both"/>
        <w:textAlignment w:val="auto"/>
        <w:rPr>
          <w:rFonts w:hint="eastAsia" w:ascii="宋体" w:hAnsi="宋体" w:eastAsia="宋体" w:cs="宋体"/>
          <w:b/>
          <w:color w:val="auto"/>
          <w:sz w:val="21"/>
          <w:szCs w:val="21"/>
          <w:highlight w:val="none"/>
        </w:rPr>
      </w:pPr>
      <w:r>
        <w:rPr>
          <w:rFonts w:hint="eastAsia" w:ascii="宋体" w:hAnsi="宋体" w:cs="宋体"/>
          <w:b w:val="0"/>
          <w:bCs w:val="0"/>
          <w:color w:val="auto"/>
          <w:sz w:val="21"/>
          <w:szCs w:val="21"/>
          <w:highlight w:val="none"/>
          <w:lang w:eastAsia="zh-CN"/>
        </w:rPr>
        <w:t>东莞市旗领产业投资有限公司1525kW/6100kWh用户侧储能项目</w:t>
      </w:r>
    </w:p>
    <w:p w14:paraId="2779D17B">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color w:val="auto"/>
          <w:sz w:val="24"/>
          <w:szCs w:val="24"/>
          <w:highlight w:val="none"/>
          <w:lang w:val="en-US" w:eastAsia="zh-CN" w:bidi="ar-SA"/>
        </w:rPr>
      </w:pPr>
      <w:r>
        <w:rPr>
          <w:rFonts w:hint="eastAsia" w:ascii="宋体" w:hAnsi="宋体" w:eastAsia="宋体" w:cs="宋体"/>
          <w:b/>
          <w:color w:val="auto"/>
          <w:sz w:val="24"/>
          <w:szCs w:val="24"/>
          <w:highlight w:val="none"/>
          <w:lang w:val="en-US" w:eastAsia="zh-CN" w:bidi="ar-SA"/>
        </w:rPr>
        <w:t>二、项目概况</w:t>
      </w:r>
    </w:p>
    <w:p w14:paraId="3A83403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bookmarkStart w:id="18" w:name="_Toc7598"/>
      <w:r>
        <w:rPr>
          <w:rFonts w:hint="default" w:ascii="宋体" w:hAnsi="宋体" w:eastAsia="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项目公司：东莞市旗领产业投资有限公司</w:t>
      </w:r>
    </w:p>
    <w:p w14:paraId="4DFD68CB">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项目地址：</w:t>
      </w:r>
      <w:r>
        <w:rPr>
          <w:rFonts w:hint="eastAsia" w:ascii="宋体" w:hAnsi="宋体" w:cs="宋体"/>
          <w:color w:val="auto"/>
          <w:kern w:val="2"/>
          <w:sz w:val="21"/>
          <w:szCs w:val="21"/>
          <w:highlight w:val="none"/>
          <w:lang w:val="en-US" w:eastAsia="zh-CN" w:bidi="ar-SA"/>
        </w:rPr>
        <w:t>东莞市塘厦镇龙背岭社区埔新路西侧。</w:t>
      </w:r>
    </w:p>
    <w:p w14:paraId="0F123C8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建设规模：</w:t>
      </w:r>
      <w:bookmarkEnd w:id="18"/>
      <w:r>
        <w:rPr>
          <w:rFonts w:hint="eastAsia" w:ascii="宋体" w:hAnsi="宋体" w:eastAsia="宋体" w:cs="宋体"/>
          <w:color w:val="auto"/>
          <w:kern w:val="2"/>
          <w:sz w:val="21"/>
          <w:szCs w:val="21"/>
          <w:highlight w:val="none"/>
          <w:lang w:val="en-US" w:eastAsia="zh-CN" w:bidi="ar-SA"/>
        </w:rPr>
        <w:t>储能容量为1.525MW/6.1MWh（1充1放）。</w:t>
      </w:r>
    </w:p>
    <w:p w14:paraId="1102118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4.</w:t>
      </w:r>
      <w:r>
        <w:rPr>
          <w:rFonts w:hint="eastAsia" w:ascii="宋体" w:hAnsi="宋体" w:eastAsia="宋体" w:cs="宋体"/>
          <w:color w:val="auto"/>
          <w:kern w:val="2"/>
          <w:sz w:val="21"/>
          <w:szCs w:val="21"/>
          <w:highlight w:val="none"/>
          <w:lang w:val="en-US" w:eastAsia="zh-CN" w:bidi="ar-SA"/>
        </w:rPr>
        <w:t>储能技术规格：分布式储能柜，国内知名品牌磷酸铁锂电池。</w:t>
      </w:r>
    </w:p>
    <w:p w14:paraId="54206085">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default" w:ascii="宋体" w:hAnsi="宋体" w:eastAsia="宋体" w:cs="宋体"/>
          <w:color w:val="auto"/>
          <w:kern w:val="2"/>
          <w:sz w:val="21"/>
          <w:szCs w:val="21"/>
          <w:highlight w:val="none"/>
          <w:lang w:val="en-US" w:eastAsia="zh-CN" w:bidi="ar-SA"/>
        </w:rPr>
      </w:pPr>
      <w:bookmarkStart w:id="19" w:name="_Toc24599"/>
      <w:r>
        <w:rPr>
          <w:rFonts w:hint="default" w:ascii="宋体" w:hAnsi="宋体" w:eastAsia="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用户侧储能设备运行控制原则：</w:t>
      </w:r>
      <w:bookmarkEnd w:id="19"/>
    </w:p>
    <w:p w14:paraId="258A021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（1）储能充电不超变压器容量。</w:t>
      </w:r>
    </w:p>
    <w:p w14:paraId="281A4851">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（2）储能放电将剩余电量逆变予变压器所接负载供电。</w:t>
      </w:r>
    </w:p>
    <w:p w14:paraId="088C9EC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（3）放电不逆流上至电网系统</w:t>
      </w:r>
    </w:p>
    <w:p w14:paraId="374592AF">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color w:val="auto"/>
          <w:sz w:val="24"/>
          <w:szCs w:val="24"/>
          <w:highlight w:val="none"/>
          <w:lang w:val="en-US" w:eastAsia="zh-CN" w:bidi="ar-SA"/>
        </w:rPr>
      </w:pPr>
      <w:r>
        <w:rPr>
          <w:rFonts w:hint="eastAsia" w:ascii="宋体" w:hAnsi="宋体" w:eastAsia="宋体" w:cs="宋体"/>
          <w:b/>
          <w:color w:val="auto"/>
          <w:sz w:val="24"/>
          <w:szCs w:val="24"/>
          <w:highlight w:val="none"/>
          <w:lang w:val="en-US" w:eastAsia="zh-CN" w:bidi="ar-SA"/>
        </w:rPr>
        <w:t>三、设计依据</w:t>
      </w:r>
    </w:p>
    <w:p w14:paraId="76C5961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1)《电化学储能电站设计规范》GB51048-2014</w:t>
      </w:r>
    </w:p>
    <w:p w14:paraId="5B342AA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2)《电化学储能系统接入电网技术规定》GB/T36547-2018</w:t>
      </w:r>
    </w:p>
    <w:p w14:paraId="0B89C61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3)《电力系统电化学储能系统通用技术条件》GB/T36558-2018</w:t>
      </w:r>
    </w:p>
    <w:p w14:paraId="6993C03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4)《电化学储能系统储能变流器技术规范》GB/T34120-2017</w:t>
      </w:r>
    </w:p>
    <w:p w14:paraId="04D9FAA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5)《电化学储能站用鲤离子电池管理系统技术规范》GB/T34131-2017</w:t>
      </w:r>
    </w:p>
    <w:p w14:paraId="3CA653E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6)《电力储能用理高子电池》GB/T36276-2018</w:t>
      </w:r>
    </w:p>
    <w:p w14:paraId="53F7BDA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7)《电化学储能电站运行指标及评价》GB/T36549-2018</w:t>
      </w:r>
    </w:p>
    <w:p w14:paraId="4ECBBD5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8)《导体和电器选择设计技术规定》DL/T5222-2005</w:t>
      </w:r>
    </w:p>
    <w:p w14:paraId="01F6C1A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9)《高压配电装置设计技术规程》DL/T5352-2018</w:t>
      </w:r>
    </w:p>
    <w:p w14:paraId="79DC662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10)《交流电气装置的过电压保护和绝缘配合》GB/T50064-2014</w:t>
      </w:r>
    </w:p>
    <w:p w14:paraId="15BE26F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11)《交流电气装置的接地设计规范》GB/50065-2011</w:t>
      </w:r>
    </w:p>
    <w:p w14:paraId="05239A6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12)《电力工程电缆设计标准》GB50217-2018</w:t>
      </w:r>
    </w:p>
    <w:p w14:paraId="3E3342F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13)《变电所总布置设计技术规程》DL/5056-2007</w:t>
      </w:r>
    </w:p>
    <w:p w14:paraId="40FDA13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14《电力设备典型消防规程》DL5027-2015</w:t>
      </w:r>
    </w:p>
    <w:p w14:paraId="2F010D1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15)《供配电系统设计规范》(GB50052-2009</w:t>
      </w:r>
    </w:p>
    <w:p w14:paraId="7CF21EA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16)《低压配电设计规范》(GB50054-2011)</w:t>
      </w:r>
    </w:p>
    <w:p w14:paraId="66C5FEF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17其它有关国家及地方的现行规程、规范及现场勘查情况</w:t>
      </w:r>
    </w:p>
    <w:p w14:paraId="004DB14E">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color w:val="auto"/>
          <w:sz w:val="24"/>
          <w:szCs w:val="24"/>
          <w:highlight w:val="none"/>
          <w:lang w:val="en-US" w:eastAsia="zh-CN" w:bidi="ar-SA"/>
        </w:rPr>
      </w:pPr>
      <w:r>
        <w:rPr>
          <w:rFonts w:hint="eastAsia" w:ascii="宋体" w:hAnsi="宋体" w:eastAsia="宋体" w:cs="宋体"/>
          <w:b/>
          <w:color w:val="auto"/>
          <w:sz w:val="24"/>
          <w:szCs w:val="24"/>
          <w:highlight w:val="none"/>
          <w:lang w:val="en-US" w:eastAsia="zh-CN" w:bidi="ar-SA"/>
        </w:rPr>
        <w:t>四、服务内容</w:t>
      </w:r>
    </w:p>
    <w:p w14:paraId="2612B574">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1、中标人需提供针对此储能项目方案的电气、土建及相关配套图纸设计</w:t>
      </w:r>
      <w:r>
        <w:rPr>
          <w:rFonts w:hint="eastAsia" w:ascii="宋体" w:hAnsi="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所有需经</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确认的图纸和说明文件，均应由投标人在技术协议签订后规定的时间内提交给</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及其所指定的单位进行审定认可。</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及其所指定的单位在收到需认可图纸后，将一套经确认的或签有</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校定标记的图纸（</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负责人签字）返还给投标人。</w:t>
      </w:r>
    </w:p>
    <w:p w14:paraId="6D1D9B25">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2、设计需提供的图纸资料</w:t>
      </w:r>
    </w:p>
    <w:p w14:paraId="655847BD">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设备布置图：应包括所有设备排布位置，各设备型尺寸、总重量等。（需在签订合同之日起1周内提供）</w:t>
      </w:r>
    </w:p>
    <w:p w14:paraId="35600779">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基础图：应注明设备和其控制柜的尺寸，基础螺栓的位置和尺寸等。</w:t>
      </w:r>
    </w:p>
    <w:p w14:paraId="4E2A6A9D">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电气原理图：储能系统一次图。</w:t>
      </w:r>
    </w:p>
    <w:p w14:paraId="6E92C4BE">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设备部分：储能系统的设备选型、制造、软件设计开发、验收、提供相关图纸资料、试验（包括工厂试验、出厂试验）、包装、设备运输、现场开箱检查，现场技术服务、安装、调试和试验，参加联调试运行、验收，参加</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组织的其它设备的设计联络会及协调会，投标人应保证设备、文件和技术服务按合同要求的时间及内容进行等。其中储能系统所有的机械、电气、通信、外壳、接地等连接和配合（包括电池舱与PCS的连接电缆、PCS与隔离变压器或升压变压器的连接电缆、储能系统自用动力照明等辅助用电的配电系统及电源、防逆流装置系统）、消防设施以及其他辅助设施。</w:t>
      </w:r>
    </w:p>
    <w:p w14:paraId="2EDFE2B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施工部分：提供储能项目工程建设服务（含施工临时电源、储能系统的土建、电气整体安装、调试达标交付及全套竣工资料）包括储能系统电气、土建基础及配套相关安装工程施工、工程质量及工期控制、调试、报装、并网试运行直至验收交付等全过程的施工承包工作。</w:t>
      </w:r>
    </w:p>
    <w:p w14:paraId="0063B4F7">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color w:val="auto"/>
          <w:sz w:val="24"/>
          <w:szCs w:val="24"/>
          <w:highlight w:val="none"/>
          <w:lang w:val="en-US" w:eastAsia="zh-CN" w:bidi="ar-SA"/>
        </w:rPr>
      </w:pPr>
      <w:r>
        <w:rPr>
          <w:rFonts w:hint="eastAsia" w:ascii="宋体" w:hAnsi="宋体" w:eastAsia="宋体" w:cs="宋体"/>
          <w:b/>
          <w:color w:val="auto"/>
          <w:sz w:val="24"/>
          <w:szCs w:val="24"/>
          <w:highlight w:val="none"/>
          <w:lang w:val="en-US" w:eastAsia="zh-CN" w:bidi="ar-SA"/>
        </w:rPr>
        <w:t>五、建设范围与交接点</w:t>
      </w:r>
    </w:p>
    <w:p w14:paraId="440E38A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本项目对中标方的要求包含但不限于以下范围，交接点遵循以下基本原则：</w:t>
      </w:r>
    </w:p>
    <w:p w14:paraId="6BFDC89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1）对建设地点的可行性现场勘查，包括在采购人不能提供建设地点地质条件情况下的地勘勘察确认，以及周边居民距离情况，以确保土建、噪声、消防和环保符合管理和规范要求。</w:t>
      </w:r>
    </w:p>
    <w:p w14:paraId="363A569F">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2）现场勘查确定能源供应点的距离和通道情况，项目服务地点具体位置如下图所示。</w:t>
      </w:r>
    </w:p>
    <w:p w14:paraId="47CF866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bookmarkStart w:id="20" w:name="_Toc1549"/>
      <w:r>
        <w:rPr>
          <w:rFonts w:hint="eastAsia" w:ascii="宋体" w:hAnsi="宋体" w:eastAsia="宋体" w:cs="宋体"/>
          <w:color w:val="auto"/>
          <w:kern w:val="2"/>
          <w:sz w:val="21"/>
          <w:szCs w:val="21"/>
          <w:highlight w:val="none"/>
          <w:lang w:val="en-US" w:eastAsia="zh-CN" w:bidi="ar-SA"/>
        </w:rPr>
        <w:t>1．本项目1.525MW/6.1MWh接入系统方案：</w:t>
      </w:r>
    </w:p>
    <w:p w14:paraId="52E729D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本项目拟在厂区闲置空地布置1套1.525MW/6.1MWh的分布式储能柜，就近原则通过电缆接入高压配电房10kV母排，实现与原有高压配电系统并网，自动控制充放电。</w:t>
      </w:r>
    </w:p>
    <w:p w14:paraId="68F5FA4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ascii="仿宋_GB2312" w:hAnsi="仿宋_GB2312" w:eastAsia="仿宋_GB2312" w:cs="仿宋_GB2312"/>
          <w:sz w:val="32"/>
          <w:szCs w:val="32"/>
          <w:shd w:val="clear" w:color="auto" w:fill="FFFFFF"/>
        </w:rPr>
      </w:pPr>
      <w:r>
        <w:rPr>
          <w:rFonts w:hint="eastAsia" w:ascii="宋体" w:hAnsi="宋体" w:eastAsia="宋体" w:cs="宋体"/>
          <w:color w:val="auto"/>
          <w:kern w:val="2"/>
          <w:sz w:val="21"/>
          <w:szCs w:val="21"/>
          <w:highlight w:val="none"/>
          <w:lang w:val="en-US" w:eastAsia="zh-CN" w:bidi="ar-SA"/>
        </w:rPr>
        <w:t>2．储能设备布置图：</w:t>
      </w:r>
    </w:p>
    <w:p w14:paraId="5A52AD9B">
      <w:pPr>
        <w:pStyle w:val="31"/>
        <w:spacing w:after="0"/>
        <w:ind w:left="0" w:leftChars="0" w:firstLine="0"/>
        <w:jc w:val="center"/>
      </w:pPr>
      <w:r>
        <w:drawing>
          <wp:inline distT="0" distB="0" distL="114300" distR="114300">
            <wp:extent cx="5614035" cy="4148455"/>
            <wp:effectExtent l="0" t="0" r="5715" b="444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9"/>
                    <a:stretch>
                      <a:fillRect/>
                    </a:stretch>
                  </pic:blipFill>
                  <pic:spPr>
                    <a:xfrm>
                      <a:off x="0" y="0"/>
                      <a:ext cx="5614035" cy="4148455"/>
                    </a:xfrm>
                    <a:prstGeom prst="rect">
                      <a:avLst/>
                    </a:prstGeom>
                    <a:noFill/>
                    <a:ln>
                      <a:noFill/>
                    </a:ln>
                  </pic:spPr>
                </pic:pic>
              </a:graphicData>
            </a:graphic>
          </wp:inline>
        </w:drawing>
      </w:r>
    </w:p>
    <w:p w14:paraId="75F2C773">
      <w:pPr>
        <w:numPr>
          <w:ilvl w:val="1"/>
          <w:numId w:val="0"/>
        </w:numPr>
        <w:tabs>
          <w:tab w:val="left" w:pos="-116"/>
        </w:tabs>
        <w:ind w:left="-116" w:leftChars="0" w:firstLine="420" w:firstLineChars="200"/>
        <w:rPr>
          <w:rFonts w:ascii="仿宋_GB2312" w:hAnsi="仿宋_GB2312" w:eastAsia="仿宋_GB2312" w:cs="仿宋_GB2312"/>
          <w:sz w:val="32"/>
          <w:szCs w:val="32"/>
          <w:shd w:val="clear" w:color="auto" w:fill="FFFFFF"/>
        </w:rPr>
      </w:pPr>
      <w:bookmarkStart w:id="21" w:name="_Toc9839"/>
      <w:r>
        <w:rPr>
          <w:rFonts w:hint="eastAsia" w:ascii="宋体" w:hAnsi="宋体" w:eastAsia="宋体" w:cs="宋体"/>
          <w:color w:val="auto"/>
          <w:kern w:val="2"/>
          <w:sz w:val="21"/>
          <w:szCs w:val="21"/>
          <w:highlight w:val="none"/>
          <w:lang w:val="en-US" w:eastAsia="zh-CN" w:bidi="ar-SA"/>
        </w:rPr>
        <w:t>3．接入一次设计</w:t>
      </w:r>
      <w:bookmarkEnd w:id="21"/>
      <w:r>
        <w:rPr>
          <w:rFonts w:hint="eastAsia" w:ascii="宋体" w:hAnsi="宋体" w:eastAsia="宋体" w:cs="宋体"/>
          <w:color w:val="auto"/>
          <w:kern w:val="2"/>
          <w:sz w:val="21"/>
          <w:szCs w:val="21"/>
          <w:highlight w:val="none"/>
          <w:lang w:val="en-US" w:eastAsia="zh-CN" w:bidi="ar-SA"/>
        </w:rPr>
        <w:t>（示范图例）</w:t>
      </w:r>
    </w:p>
    <w:p w14:paraId="70C82C36">
      <w:pPr>
        <w:jc w:val="center"/>
      </w:pPr>
      <w:r>
        <w:rPr>
          <w:rFonts w:hint="eastAsia" w:ascii="仿宋_GB2312" w:hAnsi="仿宋_GB2312" w:eastAsia="仿宋_GB2312" w:cs="仿宋_GB2312"/>
        </w:rPr>
        <w:object>
          <v:shape id="_x0000_i1025" o:spt="75" type="#_x0000_t75" style="height:246.8pt;width:352.5pt;" o:ole="t" filled="f" o:preferrelative="t" stroked="f" coordsize="21600,21600">
            <v:path/>
            <v:fill on="f" focussize="0,0"/>
            <v:stroke on="f" joinstyle="miter"/>
            <v:imagedata r:id="rId21" o:title=""/>
            <o:lock v:ext="edit" aspectratio="t"/>
            <w10:wrap type="none"/>
            <w10:anchorlock/>
          </v:shape>
          <o:OLEObject Type="Embed" ProgID="Visio.Drawing.11" ShapeID="_x0000_i1025" DrawAspect="Content" ObjectID="_1468075725" r:id="rId20">
            <o:LockedField>false</o:LockedField>
          </o:OLEObject>
        </w:object>
      </w:r>
    </w:p>
    <w:p w14:paraId="17F0547C">
      <w:pPr>
        <w:numPr>
          <w:ilvl w:val="1"/>
          <w:numId w:val="0"/>
        </w:numPr>
        <w:tabs>
          <w:tab w:val="left" w:pos="-116"/>
        </w:tabs>
        <w:ind w:left="-116" w:leftChars="0" w:firstLine="420" w:firstLineChars="200"/>
        <w:rPr>
          <w:rFonts w:ascii="仿宋_GB2312" w:hAnsi="仿宋_GB2312" w:eastAsia="仿宋_GB2312" w:cs="仿宋_GB2312"/>
          <w:sz w:val="32"/>
          <w:szCs w:val="32"/>
          <w:shd w:val="clear" w:color="auto" w:fill="FFFFFF"/>
        </w:rPr>
      </w:pPr>
      <w:r>
        <w:rPr>
          <w:rFonts w:hint="eastAsia" w:ascii="宋体" w:hAnsi="宋体" w:eastAsia="宋体" w:cs="宋体"/>
          <w:color w:val="auto"/>
          <w:kern w:val="2"/>
          <w:sz w:val="21"/>
          <w:szCs w:val="21"/>
          <w:highlight w:val="none"/>
          <w:lang w:val="en-US" w:eastAsia="zh-CN" w:bidi="ar-SA"/>
        </w:rPr>
        <w:t>4．储能接入拓扑图（示范图例）</w:t>
      </w:r>
    </w:p>
    <w:p w14:paraId="192F9C71">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drawing>
          <wp:inline distT="0" distB="0" distL="114300" distR="114300">
            <wp:extent cx="5609590" cy="3395345"/>
            <wp:effectExtent l="0" t="0" r="10160" b="14605"/>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22"/>
                    <a:stretch>
                      <a:fillRect/>
                    </a:stretch>
                  </pic:blipFill>
                  <pic:spPr>
                    <a:xfrm>
                      <a:off x="0" y="0"/>
                      <a:ext cx="5609590" cy="3395345"/>
                    </a:xfrm>
                    <a:prstGeom prst="rect">
                      <a:avLst/>
                    </a:prstGeom>
                    <a:noFill/>
                    <a:ln>
                      <a:noFill/>
                    </a:ln>
                  </pic:spPr>
                </pic:pic>
              </a:graphicData>
            </a:graphic>
          </wp:inline>
        </w:drawing>
      </w:r>
    </w:p>
    <w:p w14:paraId="75B0AD2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3）供应电缆接入采购人电缆桥架的，必须由设计方书面计算确认电缆符合规范，并由采购人管理部门许可方可确定，否则自行设计施工架设。</w:t>
      </w:r>
    </w:p>
    <w:p w14:paraId="162B342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4）所有设计必须符合现行法规和技术规范要求，提供相应规范标准号。所有设备必须保证是符合现行能耗标准的设备，不得使用国家明令淘汰的高耗能设备。</w:t>
      </w:r>
    </w:p>
    <w:p w14:paraId="24F74E64">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5）建设设计内容必须符合国家现行能源、安全、环保、消防和职业健康法律法规要求，并办理所有开工运营合规性手续。运营过程中要严格遵守政府和公司的安全环保管理要求。</w:t>
      </w:r>
    </w:p>
    <w:p w14:paraId="14EED226">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6）电交接点为：中标方按采购人指定的变电站主变低压侧的开关柜母线分支接点之后的所有设计、施工、运维，由中标方负责。接入采购人的开关柜，后期运行、管理责任划归中标方。</w:t>
      </w:r>
    </w:p>
    <w:p w14:paraId="5A644D42">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其他能源介质供应，由采购人指定接入位置，中标方负责接出，交接点为中标方接出的第一个阀门（含）。</w:t>
      </w:r>
    </w:p>
    <w:p w14:paraId="2226EF43">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所有结算计量设备的选用应符合规范，由中标方采购、安装和运营期间，必须满足采购人要求的精度等级和检验要求，计量的安装和参数设置过程要提前告知采购人计量部门现场确认，防止出现信号干扰等异常情况。计量符合国家相关检定周期标准，接入采购人能源计量网络。服从采购人的计量管理制度。</w:t>
      </w:r>
    </w:p>
    <w:bookmarkEnd w:id="20"/>
    <w:p w14:paraId="376DEC12">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color w:val="auto"/>
          <w:sz w:val="24"/>
          <w:szCs w:val="24"/>
          <w:highlight w:val="none"/>
          <w:lang w:val="en-US" w:eastAsia="zh-CN" w:bidi="ar-SA"/>
        </w:rPr>
      </w:pPr>
      <w:r>
        <w:rPr>
          <w:rFonts w:hint="eastAsia" w:ascii="宋体" w:hAnsi="宋体" w:eastAsia="宋体" w:cs="宋体"/>
          <w:b/>
          <w:color w:val="auto"/>
          <w:sz w:val="24"/>
          <w:szCs w:val="24"/>
          <w:highlight w:val="none"/>
          <w:lang w:val="en-US" w:eastAsia="zh-CN" w:bidi="ar-SA"/>
        </w:rPr>
        <w:t>六、项目建设责任内容要求</w:t>
      </w:r>
    </w:p>
    <w:p w14:paraId="0E3AC633">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1）投标单位需明确系统设计符合哪些最新国家技术规范、安全规范、消防、环保规范等各项规范的要求，注明规范的名称、标准号和发布时间。</w:t>
      </w:r>
    </w:p>
    <w:p w14:paraId="33D5105A">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2）项目建设和运营必须遵守采购人的各项管理制度，遵守各项法定安全规范与安全管理制度，确保承担相应安全、环保管理各项责任。</w:t>
      </w:r>
    </w:p>
    <w:p w14:paraId="5ED051D1">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3）该项目噪声、电离辐射以及其他污染物排放必须符合国家及项目所在区域地方环保规范要求，设计建设必须充分考虑。</w:t>
      </w:r>
    </w:p>
    <w:p w14:paraId="74330F5B">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4）采购人不提供建设场地的地勘资料，由中标方负责进行地勘数据的取得。</w:t>
      </w:r>
    </w:p>
    <w:p w14:paraId="09C8E620">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中标人和所成立的项目公司在未经过采购人书面许可情况下，不得将项目用于抵押、质押、融资、转让等行为。合同期结束项目移交时，中标方应确保项目没有抵押、质押、负债等行为，项目所有负债归中标方，采购人正常获得项目所有产权。</w:t>
      </w:r>
    </w:p>
    <w:p w14:paraId="0E0E067F">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6）合同期满移交时，储能系统应正常运行，各类监控、保护、测量、降温、消防等系统应运行状态良好。</w:t>
      </w:r>
    </w:p>
    <w:p w14:paraId="73B4E03B">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7）投标方的工作范围应包括下列内容：</w:t>
      </w:r>
    </w:p>
    <w:p w14:paraId="18AB4853">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a）提供标书内所有设备及设计说明书及制造方面的说明</w:t>
      </w:r>
      <w:r>
        <w:rPr>
          <w:rFonts w:hint="eastAsia" w:ascii="宋体" w:hAnsi="宋体" w:cs="宋体"/>
          <w:color w:val="auto"/>
          <w:kern w:val="2"/>
          <w:sz w:val="21"/>
          <w:szCs w:val="21"/>
          <w:highlight w:val="none"/>
          <w:lang w:val="en-US" w:eastAsia="zh-CN" w:bidi="ar-SA"/>
        </w:rPr>
        <w:t>；</w:t>
      </w:r>
    </w:p>
    <w:p w14:paraId="7A65ADB4">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b）提供设备安装、使用的说明书</w:t>
      </w:r>
      <w:r>
        <w:rPr>
          <w:rFonts w:hint="eastAsia" w:ascii="宋体" w:hAnsi="宋体" w:cs="宋体"/>
          <w:color w:val="auto"/>
          <w:kern w:val="2"/>
          <w:sz w:val="21"/>
          <w:szCs w:val="21"/>
          <w:highlight w:val="none"/>
          <w:lang w:val="en-US" w:eastAsia="zh-CN" w:bidi="ar-SA"/>
        </w:rPr>
        <w:t>；</w:t>
      </w:r>
    </w:p>
    <w:p w14:paraId="06F0CCF3">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c）提供试验和检验的标准，包括试验报告和试验数据</w:t>
      </w:r>
      <w:r>
        <w:rPr>
          <w:rFonts w:hint="eastAsia" w:ascii="宋体" w:hAnsi="宋体" w:cs="宋体"/>
          <w:color w:val="auto"/>
          <w:kern w:val="2"/>
          <w:sz w:val="21"/>
          <w:szCs w:val="21"/>
          <w:highlight w:val="none"/>
          <w:lang w:val="en-US" w:eastAsia="zh-CN" w:bidi="ar-SA"/>
        </w:rPr>
        <w:t>；</w:t>
      </w:r>
    </w:p>
    <w:p w14:paraId="33CA6947">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d）提供图纸、制造和质量保证过程的一览表以及标书规定的其他资料</w:t>
      </w:r>
      <w:r>
        <w:rPr>
          <w:rFonts w:hint="eastAsia" w:ascii="宋体" w:hAnsi="宋体" w:cs="宋体"/>
          <w:color w:val="auto"/>
          <w:kern w:val="2"/>
          <w:sz w:val="21"/>
          <w:szCs w:val="21"/>
          <w:highlight w:val="none"/>
          <w:lang w:val="en-US" w:eastAsia="zh-CN" w:bidi="ar-SA"/>
        </w:rPr>
        <w:t>；</w:t>
      </w:r>
    </w:p>
    <w:p w14:paraId="6F706B72">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e）提供设备管理和运行所需有关资料</w:t>
      </w:r>
      <w:r>
        <w:rPr>
          <w:rFonts w:hint="eastAsia" w:ascii="宋体" w:hAnsi="宋体" w:cs="宋体"/>
          <w:color w:val="auto"/>
          <w:kern w:val="2"/>
          <w:sz w:val="21"/>
          <w:szCs w:val="21"/>
          <w:highlight w:val="none"/>
          <w:lang w:val="en-US" w:eastAsia="zh-CN" w:bidi="ar-SA"/>
        </w:rPr>
        <w:t>；</w:t>
      </w:r>
    </w:p>
    <w:p w14:paraId="61D0D8F5">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f）所提供设备应发运到规定的目的地</w:t>
      </w:r>
      <w:r>
        <w:rPr>
          <w:rFonts w:hint="eastAsia" w:ascii="宋体" w:hAnsi="宋体" w:cs="宋体"/>
          <w:color w:val="auto"/>
          <w:kern w:val="2"/>
          <w:sz w:val="21"/>
          <w:szCs w:val="21"/>
          <w:highlight w:val="none"/>
          <w:lang w:val="en-US" w:eastAsia="zh-CN" w:bidi="ar-SA"/>
        </w:rPr>
        <w:t>；</w:t>
      </w:r>
    </w:p>
    <w:p w14:paraId="331B9CA5">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g）在更换所用的准则、标准、规程或修改设备技术数据时，投标方应接受招标方的选择</w:t>
      </w:r>
      <w:r>
        <w:rPr>
          <w:rFonts w:hint="eastAsia" w:ascii="宋体" w:hAnsi="宋体" w:cs="宋体"/>
          <w:color w:val="auto"/>
          <w:kern w:val="2"/>
          <w:sz w:val="21"/>
          <w:szCs w:val="21"/>
          <w:highlight w:val="none"/>
          <w:lang w:val="en-US" w:eastAsia="zh-CN" w:bidi="ar-SA"/>
        </w:rPr>
        <w:t>；</w:t>
      </w:r>
    </w:p>
    <w:p w14:paraId="7A2E982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h）现场服务。</w:t>
      </w:r>
    </w:p>
    <w:p w14:paraId="2FC523BD">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color w:val="auto"/>
          <w:sz w:val="24"/>
          <w:szCs w:val="24"/>
          <w:highlight w:val="none"/>
          <w:lang w:val="en-US" w:eastAsia="zh-CN" w:bidi="ar-SA"/>
        </w:rPr>
      </w:pPr>
      <w:r>
        <w:rPr>
          <w:rFonts w:hint="eastAsia" w:ascii="宋体" w:hAnsi="宋体" w:eastAsia="宋体" w:cs="宋体"/>
          <w:b/>
          <w:color w:val="auto"/>
          <w:sz w:val="24"/>
          <w:szCs w:val="24"/>
          <w:highlight w:val="none"/>
          <w:lang w:val="en-US" w:eastAsia="zh-CN" w:bidi="ar-SA"/>
        </w:rPr>
        <w:t>七、售后服务</w:t>
      </w:r>
    </w:p>
    <w:p w14:paraId="7A185CD5">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1、免费送货上门、安装、调试。</w:t>
      </w:r>
    </w:p>
    <w:p w14:paraId="22C509A4">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2、质保期：工程施工部分质保期1年，质保期自项目通过验收交付使用日开始计算。（技术需求中有特殊要求的，按技术需求为准）</w:t>
      </w:r>
    </w:p>
    <w:p w14:paraId="7BA28B91">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3、提供针对本项目的售后服务承诺及保证措施，所有货物须按国家“三包”及相关标准。</w:t>
      </w:r>
    </w:p>
    <w:p w14:paraId="68A4C6B8">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4、质量、工期、保修、保养的要求：</w:t>
      </w:r>
    </w:p>
    <w:p w14:paraId="7590B004">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（1）设计和安装和验收要求达到合格以上标准（含合格）</w:t>
      </w:r>
      <w:r>
        <w:rPr>
          <w:rFonts w:hint="eastAsia" w:ascii="宋体" w:hAnsi="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货物的验收及质保期内的运行均要求达到招标要求。</w:t>
      </w:r>
    </w:p>
    <w:p w14:paraId="2B26D9F1">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（2）在质保期内免费维护，并免费提供备品、备件</w:t>
      </w:r>
      <w:r>
        <w:rPr>
          <w:rFonts w:hint="eastAsia" w:ascii="宋体" w:hAnsi="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无论在保修期内或保修期外，投标人需提供上门服务。投标人需提供终身售后服务，保修期内，定期做免费巡检。设备出现异常或故障时，中标人及时到场处理。</w:t>
      </w:r>
    </w:p>
    <w:p w14:paraId="302887CB">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（3）在质保期内，同一配件、同一质量问题连续两次维修仍无法正常使用，中标人必须无条件在采购人规定的期限内免费予以更换同品牌、同型号产品。</w:t>
      </w:r>
    </w:p>
    <w:p w14:paraId="2F3AA6C7">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（4）在质保期内，接到采购人电话通知后，中标人应当在一天内上门服务，如不能及时修复，采购人可委托其它单位维修，其费用由中标人承担。</w:t>
      </w:r>
    </w:p>
    <w:p w14:paraId="26EFC919">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（5）培训：对采购人操作人员提供设备安全操作规程培训，讲解设备的基本结构及工作原理，直至操作人员掌握设备的日常使用、维护保养方法，保证操作人员可正确操作使用，并能排除一般故障。</w:t>
      </w:r>
    </w:p>
    <w:p w14:paraId="2ED14E15">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5、投标人需在投标文件中提供完整的服务体系和相应的具体措施。</w:t>
      </w:r>
    </w:p>
    <w:p w14:paraId="10553D2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6、投标人需在投标文件中提供定期检查制度和保养方案。</w:t>
      </w:r>
    </w:p>
    <w:p w14:paraId="3AE6F73F">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color w:val="auto"/>
          <w:sz w:val="24"/>
          <w:szCs w:val="24"/>
          <w:highlight w:val="none"/>
          <w:lang w:val="en-US" w:eastAsia="zh-CN" w:bidi="ar-SA"/>
        </w:rPr>
      </w:pPr>
      <w:r>
        <w:rPr>
          <w:rFonts w:hint="eastAsia" w:ascii="宋体" w:hAnsi="宋体" w:eastAsia="宋体" w:cs="宋体"/>
          <w:b/>
          <w:color w:val="auto"/>
          <w:sz w:val="24"/>
          <w:szCs w:val="24"/>
          <w:highlight w:val="none"/>
          <w:lang w:val="en-US" w:eastAsia="zh-CN" w:bidi="ar-SA"/>
        </w:rPr>
        <w:t>八、其他</w:t>
      </w:r>
    </w:p>
    <w:p w14:paraId="339F9FF6">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技术要求中产品技术参数为参考值，所投产品对应参数可上下浮动不超过10%。采购文件的技术规格中指出的工艺、材料和设备的标准以及参照的品牌或型号仅起说明作用，并没有任何限制性，仅供参考，投标人在投标中可以选用替代标准、品牌或型号，但这些替代要实质上满足或超过采购文件的要求。项目评审时，由评标委员会负责对投标人提供的替代标准、品牌或型号的响应性进行审查。</w:t>
      </w:r>
    </w:p>
    <w:p w14:paraId="77420A48">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2、投标单位应保证提供的货物在不需要增配未列出配件（特别指出的除外）的前提下货物功能、技术标准能够达到采购文件的要求，而无须再增配未列出的配件</w:t>
      </w:r>
      <w:r>
        <w:rPr>
          <w:rFonts w:hint="eastAsia" w:ascii="宋体" w:hAnsi="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如供应商所提供的产品需要增配配件才能达到要求的，所增配的配件须由供应商免费提供。</w:t>
      </w:r>
    </w:p>
    <w:p w14:paraId="3BFA7E2E">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3、所有产品材料及货物标准必须符合国家标准及相关规定。</w:t>
      </w:r>
    </w:p>
    <w:p w14:paraId="01C0977F">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4、中标人在供货安装过程中必须采取足够的安全措施，确保供货的安全，并自行负责相关安全责任。</w:t>
      </w:r>
    </w:p>
    <w:p w14:paraId="71E8469A">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5、中标人在安装过程中，如需对场地作局部破损，必须在供货安装实施前取得采购人的书面同意，并承诺负责恢复原状，采购人不另行支付任何费用。</w:t>
      </w:r>
    </w:p>
    <w:p w14:paraId="3744B1DB">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6、项目未尽事宜将在采购合同中另行约定，中标人需无条件同意采购人基于为顺利完成本项目所提出的各项合理要求。</w:t>
      </w:r>
    </w:p>
    <w:p w14:paraId="266B87A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7、项目清单为本次采购最低要求，各供应商可以自行优化供货计划，为本项目设计最优投标方案。</w:t>
      </w:r>
    </w:p>
    <w:p w14:paraId="001996EA">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color w:val="auto"/>
          <w:sz w:val="24"/>
          <w:szCs w:val="24"/>
          <w:highlight w:val="none"/>
          <w:lang w:val="en-US" w:eastAsia="zh-CN" w:bidi="ar-SA"/>
        </w:rPr>
      </w:pPr>
      <w:r>
        <w:rPr>
          <w:rFonts w:hint="eastAsia" w:ascii="宋体" w:hAnsi="宋体" w:eastAsia="宋体" w:cs="宋体"/>
          <w:b/>
          <w:color w:val="auto"/>
          <w:sz w:val="24"/>
          <w:szCs w:val="24"/>
          <w:highlight w:val="none"/>
          <w:lang w:val="en-US" w:eastAsia="zh-CN" w:bidi="ar-SA"/>
        </w:rPr>
        <w:t>九、主要技术要求</w:t>
      </w:r>
    </w:p>
    <w:p w14:paraId="39C5374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1、需遵循的标准</w:t>
      </w:r>
    </w:p>
    <w:p w14:paraId="349133C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本项目装置至少应满足所列标准的最新版本要求，但不限于所列标准。下列文件对于本文件的应用是必不可少的。凡是注日期的引用文件，仅注日期的版本适用于本文件。凡是不注日期的引用文件，其最新版本（包括所有的修改单）适用于本文件。</w:t>
      </w:r>
    </w:p>
    <w:p w14:paraId="7264C3CE">
      <w:pPr>
        <w:pStyle w:val="98"/>
        <w:pageBreakBefore w:val="0"/>
        <w:kinsoku/>
        <w:wordWrap/>
        <w:bidi w:val="0"/>
        <w:spacing w:before="0" w:after="0" w:line="360" w:lineRule="auto"/>
        <w:ind w:left="0" w:leftChars="0" w:firstLine="438" w:firstLineChars="20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表1遵循的主要标准</w:t>
      </w:r>
    </w:p>
    <w:tbl>
      <w:tblPr>
        <w:tblStyle w:val="32"/>
        <w:tblW w:w="4999"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2368"/>
        <w:gridCol w:w="7309"/>
      </w:tblGrid>
      <w:tr w14:paraId="3E8AF85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031637D0">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right="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标准号</w:t>
            </w:r>
          </w:p>
        </w:tc>
        <w:tc>
          <w:tcPr>
            <w:tcW w:w="3775" w:type="pct"/>
            <w:noWrap w:val="0"/>
            <w:vAlign w:val="center"/>
          </w:tcPr>
          <w:p w14:paraId="4F1B95C0">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标准名称</w:t>
            </w:r>
          </w:p>
        </w:tc>
      </w:tr>
      <w:tr w14:paraId="7625F8A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7FE29432">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GB/T13384</w:t>
            </w:r>
          </w:p>
        </w:tc>
        <w:tc>
          <w:tcPr>
            <w:tcW w:w="3775" w:type="pct"/>
            <w:noWrap w:val="0"/>
            <w:vAlign w:val="top"/>
          </w:tcPr>
          <w:p w14:paraId="5EF76E48">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机电产品包装通用技术条件</w:t>
            </w:r>
          </w:p>
        </w:tc>
      </w:tr>
      <w:tr w14:paraId="00A58A3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253E6C7A">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GB/T191</w:t>
            </w:r>
          </w:p>
        </w:tc>
        <w:tc>
          <w:tcPr>
            <w:tcW w:w="3775" w:type="pct"/>
            <w:noWrap w:val="0"/>
            <w:vAlign w:val="top"/>
          </w:tcPr>
          <w:p w14:paraId="5BEFA2B4">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包装储运图示标志</w:t>
            </w:r>
          </w:p>
        </w:tc>
      </w:tr>
      <w:tr w14:paraId="7EDC43C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3CE79340">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GB/T14537</w:t>
            </w:r>
          </w:p>
        </w:tc>
        <w:tc>
          <w:tcPr>
            <w:tcW w:w="3775" w:type="pct"/>
            <w:noWrap w:val="0"/>
            <w:vAlign w:val="center"/>
          </w:tcPr>
          <w:p w14:paraId="7C34A5B5">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量度继电器和保护装置的冲击及碰撞试验</w:t>
            </w:r>
          </w:p>
        </w:tc>
      </w:tr>
      <w:tr w14:paraId="1E7421C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08845152">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GB/T14598.27</w:t>
            </w:r>
          </w:p>
        </w:tc>
        <w:tc>
          <w:tcPr>
            <w:tcW w:w="3775" w:type="pct"/>
            <w:noWrap w:val="0"/>
            <w:vAlign w:val="center"/>
          </w:tcPr>
          <w:p w14:paraId="543E90C0">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量度继电器和保护装置第27部分：产品安全要求</w:t>
            </w:r>
          </w:p>
        </w:tc>
      </w:tr>
      <w:tr w14:paraId="30A24B3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3BC8D211">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GB/T478-2010</w:t>
            </w:r>
          </w:p>
        </w:tc>
        <w:tc>
          <w:tcPr>
            <w:tcW w:w="3775" w:type="pct"/>
            <w:noWrap w:val="0"/>
            <w:vAlign w:val="top"/>
          </w:tcPr>
          <w:p w14:paraId="398D6A56">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继电保护及安全自动装置通用技术条件</w:t>
            </w:r>
          </w:p>
        </w:tc>
      </w:tr>
      <w:tr w14:paraId="073545A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46605F19">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GB/T2423.1</w:t>
            </w:r>
          </w:p>
        </w:tc>
        <w:tc>
          <w:tcPr>
            <w:tcW w:w="3775" w:type="pct"/>
            <w:noWrap w:val="0"/>
            <w:vAlign w:val="top"/>
          </w:tcPr>
          <w:p w14:paraId="1ACAD0BB">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电工电子产品环境试验第2部分：试验方法试验A：低温</w:t>
            </w:r>
          </w:p>
        </w:tc>
      </w:tr>
      <w:tr w14:paraId="4E10177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78C2357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GB/T2423.2</w:t>
            </w:r>
          </w:p>
        </w:tc>
        <w:tc>
          <w:tcPr>
            <w:tcW w:w="3775" w:type="pct"/>
            <w:noWrap w:val="0"/>
            <w:vAlign w:val="top"/>
          </w:tcPr>
          <w:p w14:paraId="02765AA9">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电工电子产品环境试验第2部分：试验方法试验B：高温</w:t>
            </w:r>
          </w:p>
        </w:tc>
      </w:tr>
      <w:tr w14:paraId="1D9E84A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100B20C6">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GB/T2423.3</w:t>
            </w:r>
          </w:p>
        </w:tc>
        <w:tc>
          <w:tcPr>
            <w:tcW w:w="3775" w:type="pct"/>
            <w:noWrap w:val="0"/>
            <w:vAlign w:val="top"/>
          </w:tcPr>
          <w:p w14:paraId="7BBB4B60">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电工电子产品环境试验第2部分：试验方法试验Cab：恒定湿热试验</w:t>
            </w:r>
          </w:p>
        </w:tc>
      </w:tr>
      <w:tr w14:paraId="1C1F0DC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5105E3FD">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GB/T2423.8</w:t>
            </w:r>
          </w:p>
        </w:tc>
        <w:tc>
          <w:tcPr>
            <w:tcW w:w="3775" w:type="pct"/>
            <w:noWrap w:val="0"/>
            <w:vAlign w:val="top"/>
          </w:tcPr>
          <w:p w14:paraId="63FAC053">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电工电子产品环境试验第2部分：试验方法试验Ed：自由跌落</w:t>
            </w:r>
          </w:p>
        </w:tc>
      </w:tr>
      <w:tr w14:paraId="5EA5A40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670CBD4E">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GB/T2423.10</w:t>
            </w:r>
          </w:p>
        </w:tc>
        <w:tc>
          <w:tcPr>
            <w:tcW w:w="3775" w:type="pct"/>
            <w:noWrap w:val="0"/>
            <w:vAlign w:val="top"/>
          </w:tcPr>
          <w:p w14:paraId="71383602">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电工电子产品环境试验第2部分：试验方法试验Fc：振动（正弦）</w:t>
            </w:r>
          </w:p>
        </w:tc>
      </w:tr>
      <w:tr w14:paraId="76E7799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1A59F086">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GB/T3859.1</w:t>
            </w:r>
          </w:p>
        </w:tc>
        <w:tc>
          <w:tcPr>
            <w:tcW w:w="3775" w:type="pct"/>
            <w:noWrap w:val="0"/>
            <w:vAlign w:val="top"/>
          </w:tcPr>
          <w:p w14:paraId="1D447551">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半导体变流器基本要求的规定</w:t>
            </w:r>
          </w:p>
        </w:tc>
      </w:tr>
      <w:tr w14:paraId="763AC74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44B41F53">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GB/T3859.2</w:t>
            </w:r>
          </w:p>
        </w:tc>
        <w:tc>
          <w:tcPr>
            <w:tcW w:w="3775" w:type="pct"/>
            <w:noWrap w:val="0"/>
            <w:vAlign w:val="top"/>
          </w:tcPr>
          <w:p w14:paraId="73FEBDAF">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半导体变流器应用导则</w:t>
            </w:r>
          </w:p>
        </w:tc>
      </w:tr>
      <w:tr w14:paraId="6E9FAEC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33338467">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GB/T3859.3</w:t>
            </w:r>
          </w:p>
        </w:tc>
        <w:tc>
          <w:tcPr>
            <w:tcW w:w="3775" w:type="pct"/>
            <w:noWrap w:val="0"/>
            <w:vAlign w:val="top"/>
          </w:tcPr>
          <w:p w14:paraId="67190E37">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半导体变流器变压器和电抗器</w:t>
            </w:r>
          </w:p>
        </w:tc>
      </w:tr>
      <w:tr w14:paraId="650AD6E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44E9C10B">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GB/T17626</w:t>
            </w:r>
          </w:p>
        </w:tc>
        <w:tc>
          <w:tcPr>
            <w:tcW w:w="3775" w:type="pct"/>
            <w:noWrap w:val="0"/>
            <w:vAlign w:val="center"/>
          </w:tcPr>
          <w:p w14:paraId="0CC5C678">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电磁兼容试验和测量技术</w:t>
            </w:r>
          </w:p>
        </w:tc>
      </w:tr>
      <w:tr w14:paraId="5A6AFEA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7CE20F68">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GB/T14048.1</w:t>
            </w:r>
          </w:p>
        </w:tc>
        <w:tc>
          <w:tcPr>
            <w:tcW w:w="3775" w:type="pct"/>
            <w:noWrap w:val="0"/>
            <w:vAlign w:val="center"/>
          </w:tcPr>
          <w:p w14:paraId="1F22E19F">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低压开关设备和控制设备第1部分：总则</w:t>
            </w:r>
          </w:p>
        </w:tc>
      </w:tr>
      <w:tr w14:paraId="7E63080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2760CAB8">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GB7947</w:t>
            </w:r>
          </w:p>
        </w:tc>
        <w:tc>
          <w:tcPr>
            <w:tcW w:w="3775" w:type="pct"/>
            <w:noWrap w:val="0"/>
            <w:vAlign w:val="center"/>
          </w:tcPr>
          <w:p w14:paraId="5640BF05">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人机界面标志标识的基本和安全规则导体的颜色或数字标识</w:t>
            </w:r>
          </w:p>
        </w:tc>
      </w:tr>
      <w:tr w14:paraId="70A103C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277C147A">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GB/T12325</w:t>
            </w:r>
          </w:p>
        </w:tc>
        <w:tc>
          <w:tcPr>
            <w:tcW w:w="3775" w:type="pct"/>
            <w:noWrap w:val="0"/>
            <w:vAlign w:val="top"/>
          </w:tcPr>
          <w:p w14:paraId="2911CEFD">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电能质量供电电压允许偏差</w:t>
            </w:r>
          </w:p>
        </w:tc>
      </w:tr>
      <w:tr w14:paraId="4E7A612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1C8AA8F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GB/T12326</w:t>
            </w:r>
          </w:p>
        </w:tc>
        <w:tc>
          <w:tcPr>
            <w:tcW w:w="3775" w:type="pct"/>
            <w:noWrap w:val="0"/>
            <w:vAlign w:val="top"/>
          </w:tcPr>
          <w:p w14:paraId="27FFEC95">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电能质量电压波动和闪变</w:t>
            </w:r>
          </w:p>
        </w:tc>
      </w:tr>
      <w:tr w14:paraId="1737533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6B6EE00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GB/T14549</w:t>
            </w:r>
          </w:p>
        </w:tc>
        <w:tc>
          <w:tcPr>
            <w:tcW w:w="3775" w:type="pct"/>
            <w:noWrap w:val="0"/>
            <w:vAlign w:val="top"/>
          </w:tcPr>
          <w:p w14:paraId="6ADDBCF0">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电能质量公用电网谐波</w:t>
            </w:r>
          </w:p>
        </w:tc>
      </w:tr>
      <w:tr w14:paraId="13CA475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62076A3C">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GB/T15543</w:t>
            </w:r>
          </w:p>
        </w:tc>
        <w:tc>
          <w:tcPr>
            <w:tcW w:w="3775" w:type="pct"/>
            <w:noWrap w:val="0"/>
            <w:vAlign w:val="top"/>
          </w:tcPr>
          <w:p w14:paraId="789B6D13">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电能质量三相电压不平衡</w:t>
            </w:r>
          </w:p>
        </w:tc>
      </w:tr>
      <w:tr w14:paraId="3830617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4009D8C7">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GB/T15945</w:t>
            </w:r>
          </w:p>
        </w:tc>
        <w:tc>
          <w:tcPr>
            <w:tcW w:w="3775" w:type="pct"/>
            <w:noWrap w:val="0"/>
            <w:vAlign w:val="top"/>
          </w:tcPr>
          <w:p w14:paraId="34F98860">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电能质量电力系统频率偏差</w:t>
            </w:r>
          </w:p>
        </w:tc>
      </w:tr>
      <w:tr w14:paraId="646F901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714DEC4B">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GB/T24337</w:t>
            </w:r>
          </w:p>
        </w:tc>
        <w:tc>
          <w:tcPr>
            <w:tcW w:w="3775" w:type="pct"/>
            <w:noWrap w:val="0"/>
            <w:vAlign w:val="top"/>
          </w:tcPr>
          <w:p w14:paraId="6AE62753">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电能质量公用电网间谐波</w:t>
            </w:r>
          </w:p>
        </w:tc>
      </w:tr>
      <w:tr w14:paraId="5F396FA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3FCDDC2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GB17799.3</w:t>
            </w:r>
          </w:p>
        </w:tc>
        <w:tc>
          <w:tcPr>
            <w:tcW w:w="3775" w:type="pct"/>
            <w:noWrap w:val="0"/>
            <w:vAlign w:val="center"/>
          </w:tcPr>
          <w:p w14:paraId="41C314B7">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电磁兼容通用标准居住、商业和轻工业环境中的发射</w:t>
            </w:r>
          </w:p>
        </w:tc>
      </w:tr>
      <w:tr w14:paraId="6920620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6C3C04AA">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GB17799.4</w:t>
            </w:r>
          </w:p>
        </w:tc>
        <w:tc>
          <w:tcPr>
            <w:tcW w:w="3775" w:type="pct"/>
            <w:noWrap w:val="0"/>
            <w:vAlign w:val="top"/>
          </w:tcPr>
          <w:p w14:paraId="5BF01CA3">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电磁兼容通用标准工业环境中的发射</w:t>
            </w:r>
          </w:p>
        </w:tc>
      </w:tr>
      <w:tr w14:paraId="0128A57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top"/>
          </w:tcPr>
          <w:p w14:paraId="4D3414A0">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GB311.1</w:t>
            </w:r>
          </w:p>
        </w:tc>
        <w:tc>
          <w:tcPr>
            <w:tcW w:w="3775" w:type="pct"/>
            <w:noWrap w:val="0"/>
            <w:vAlign w:val="top"/>
          </w:tcPr>
          <w:p w14:paraId="1A527889">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绝缘配合第1部分：定义、原则和规则</w:t>
            </w:r>
          </w:p>
        </w:tc>
      </w:tr>
      <w:tr w14:paraId="7DC772A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top"/>
          </w:tcPr>
          <w:p w14:paraId="178B6A7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GB311.2</w:t>
            </w:r>
          </w:p>
        </w:tc>
        <w:tc>
          <w:tcPr>
            <w:tcW w:w="3775" w:type="pct"/>
            <w:noWrap w:val="0"/>
            <w:vAlign w:val="top"/>
          </w:tcPr>
          <w:p w14:paraId="3DF458AE">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绝缘配合第2部分：使用导则</w:t>
            </w:r>
          </w:p>
        </w:tc>
      </w:tr>
      <w:tr w14:paraId="2134C5C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5A0EADDF">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GB/T14598.3</w:t>
            </w:r>
          </w:p>
        </w:tc>
        <w:tc>
          <w:tcPr>
            <w:tcW w:w="3775" w:type="pct"/>
            <w:noWrap w:val="0"/>
            <w:vAlign w:val="center"/>
          </w:tcPr>
          <w:p w14:paraId="6E997F69">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绝缘试验</w:t>
            </w:r>
          </w:p>
        </w:tc>
      </w:tr>
      <w:tr w14:paraId="250F573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6EDD6C01">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GB4208</w:t>
            </w:r>
          </w:p>
        </w:tc>
        <w:tc>
          <w:tcPr>
            <w:tcW w:w="3775" w:type="pct"/>
            <w:noWrap w:val="0"/>
            <w:vAlign w:val="top"/>
          </w:tcPr>
          <w:p w14:paraId="3568CF88">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外壳防护等级（IP代码）（IEC60529:1998）</w:t>
            </w:r>
          </w:p>
        </w:tc>
      </w:tr>
      <w:tr w14:paraId="4866901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43D914D4">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GB4942.2</w:t>
            </w:r>
          </w:p>
        </w:tc>
        <w:tc>
          <w:tcPr>
            <w:tcW w:w="3775" w:type="pct"/>
            <w:noWrap w:val="0"/>
            <w:vAlign w:val="top"/>
          </w:tcPr>
          <w:p w14:paraId="3EA0C7F9">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低压电器外壳防护等级</w:t>
            </w:r>
          </w:p>
        </w:tc>
      </w:tr>
      <w:tr w14:paraId="669A38F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275024CC">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GB50054</w:t>
            </w:r>
          </w:p>
        </w:tc>
        <w:tc>
          <w:tcPr>
            <w:tcW w:w="3775" w:type="pct"/>
            <w:noWrap w:val="0"/>
            <w:vAlign w:val="top"/>
          </w:tcPr>
          <w:p w14:paraId="6DCEA6F9">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低压配电设计规范</w:t>
            </w:r>
          </w:p>
        </w:tc>
      </w:tr>
      <w:tr w14:paraId="46E2DC3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4905B248">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GB/T1984</w:t>
            </w:r>
          </w:p>
        </w:tc>
        <w:tc>
          <w:tcPr>
            <w:tcW w:w="3775" w:type="pct"/>
            <w:noWrap w:val="0"/>
            <w:vAlign w:val="top"/>
          </w:tcPr>
          <w:p w14:paraId="1E3644D7">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高压交流断路器</w:t>
            </w:r>
          </w:p>
        </w:tc>
      </w:tr>
      <w:tr w14:paraId="24F3804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52968196">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GB/T3906</w:t>
            </w:r>
          </w:p>
        </w:tc>
        <w:tc>
          <w:tcPr>
            <w:tcW w:w="3775" w:type="pct"/>
            <w:noWrap w:val="0"/>
            <w:vAlign w:val="top"/>
          </w:tcPr>
          <w:p w14:paraId="0FF4098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3.6kV～40.5kV交流金属封闭开关设备和控制设备</w:t>
            </w:r>
          </w:p>
        </w:tc>
      </w:tr>
      <w:tr w14:paraId="233FA8A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2D96F2F4">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GB/T11022</w:t>
            </w:r>
          </w:p>
        </w:tc>
        <w:tc>
          <w:tcPr>
            <w:tcW w:w="3775" w:type="pct"/>
            <w:noWrap w:val="0"/>
            <w:vAlign w:val="top"/>
          </w:tcPr>
          <w:p w14:paraId="7C31A381">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高压开关设备和控制设备标准的共用技术要求</w:t>
            </w:r>
          </w:p>
        </w:tc>
      </w:tr>
      <w:tr w14:paraId="2ED685E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097AAA2B">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GB1208</w:t>
            </w:r>
          </w:p>
        </w:tc>
        <w:tc>
          <w:tcPr>
            <w:tcW w:w="3775" w:type="pct"/>
            <w:noWrap w:val="0"/>
            <w:vAlign w:val="center"/>
          </w:tcPr>
          <w:p w14:paraId="1AA2C210">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电流互感器</w:t>
            </w:r>
          </w:p>
        </w:tc>
      </w:tr>
      <w:tr w14:paraId="468715F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7E61F2F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GB1207</w:t>
            </w:r>
          </w:p>
        </w:tc>
        <w:tc>
          <w:tcPr>
            <w:tcW w:w="3775" w:type="pct"/>
            <w:noWrap w:val="0"/>
            <w:vAlign w:val="center"/>
          </w:tcPr>
          <w:p w14:paraId="06FBFB4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电压互感器</w:t>
            </w:r>
          </w:p>
        </w:tc>
      </w:tr>
      <w:tr w14:paraId="6433A2E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3C4BE07E">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GB11032</w:t>
            </w:r>
          </w:p>
        </w:tc>
        <w:tc>
          <w:tcPr>
            <w:tcW w:w="3775" w:type="pct"/>
            <w:noWrap w:val="0"/>
            <w:vAlign w:val="center"/>
          </w:tcPr>
          <w:p w14:paraId="0556AE5A">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交流无间隙金属氧化物避雷器</w:t>
            </w:r>
          </w:p>
        </w:tc>
      </w:tr>
      <w:tr w14:paraId="556D51C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21F8FA77">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GB7251</w:t>
            </w:r>
          </w:p>
        </w:tc>
        <w:tc>
          <w:tcPr>
            <w:tcW w:w="3775" w:type="pct"/>
            <w:noWrap w:val="0"/>
            <w:vAlign w:val="center"/>
          </w:tcPr>
          <w:p w14:paraId="1CF92B6F">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低压成套开关设备</w:t>
            </w:r>
          </w:p>
        </w:tc>
      </w:tr>
      <w:tr w14:paraId="2B2CD2C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08E46F8D">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GB50150</w:t>
            </w:r>
          </w:p>
        </w:tc>
        <w:tc>
          <w:tcPr>
            <w:tcW w:w="3775" w:type="pct"/>
            <w:noWrap w:val="0"/>
            <w:vAlign w:val="center"/>
          </w:tcPr>
          <w:p w14:paraId="00D79D30">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电气装置安装工程电气设备交接试验标准</w:t>
            </w:r>
          </w:p>
        </w:tc>
      </w:tr>
      <w:tr w14:paraId="2669301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0A91C01D">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GB/T50064</w:t>
            </w:r>
          </w:p>
        </w:tc>
        <w:tc>
          <w:tcPr>
            <w:tcW w:w="3775" w:type="pct"/>
            <w:noWrap w:val="0"/>
            <w:vAlign w:val="center"/>
          </w:tcPr>
          <w:p w14:paraId="6756F30C">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交流电气装置的过电压保护和绝缘配合设计规范</w:t>
            </w:r>
          </w:p>
        </w:tc>
      </w:tr>
      <w:tr w14:paraId="767DF8B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29A7735F">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GB/T50063</w:t>
            </w:r>
          </w:p>
        </w:tc>
        <w:tc>
          <w:tcPr>
            <w:tcW w:w="3775" w:type="pct"/>
            <w:noWrap w:val="0"/>
            <w:vAlign w:val="center"/>
          </w:tcPr>
          <w:p w14:paraId="0117F266">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电力装置电测量仪表装置设计规范</w:t>
            </w:r>
          </w:p>
        </w:tc>
      </w:tr>
      <w:tr w14:paraId="12AAD83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7F9A5FCA">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GB/T19666</w:t>
            </w:r>
          </w:p>
        </w:tc>
        <w:tc>
          <w:tcPr>
            <w:tcW w:w="3775" w:type="pct"/>
            <w:noWrap w:val="0"/>
            <w:vAlign w:val="top"/>
          </w:tcPr>
          <w:p w14:paraId="10F332BB">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fldChar w:fldCharType="begin"/>
            </w:r>
            <w:r>
              <w:rPr>
                <w:rFonts w:hint="eastAsia" w:ascii="宋体" w:hAnsi="宋体" w:eastAsia="宋体" w:cs="宋体"/>
                <w:color w:val="auto"/>
                <w:kern w:val="2"/>
                <w:sz w:val="21"/>
                <w:szCs w:val="21"/>
                <w:highlight w:val="none"/>
                <w:lang w:val="en-US" w:eastAsia="zh-CN" w:bidi="ar-SA"/>
              </w:rPr>
              <w:instrText xml:space="preserve"> HYPERLINK "http://www.baidu.com/link?url=p-_zT9GdgDnCVLIoZC2Z_3Umi22gCl0clfYN4p2ELON9F7D3Ssxqevm0sptraljCArGVyzzmAE2bV2-btzcX7QW4UrWfgx1PmhXSSTmXbTy" \t "_blank" </w:instrText>
            </w:r>
            <w:r>
              <w:rPr>
                <w:rFonts w:hint="eastAsia" w:ascii="宋体" w:hAnsi="宋体" w:eastAsia="宋体" w:cs="宋体"/>
                <w:color w:val="auto"/>
                <w:kern w:val="2"/>
                <w:sz w:val="21"/>
                <w:szCs w:val="21"/>
                <w:highlight w:val="none"/>
                <w:lang w:val="en-US" w:eastAsia="zh-CN" w:bidi="ar-SA"/>
              </w:rPr>
              <w:fldChar w:fldCharType="separate"/>
            </w:r>
            <w:r>
              <w:rPr>
                <w:rFonts w:hint="eastAsia" w:ascii="宋体" w:hAnsi="宋体" w:eastAsia="宋体" w:cs="宋体"/>
                <w:color w:val="auto"/>
                <w:kern w:val="2"/>
                <w:sz w:val="21"/>
                <w:szCs w:val="21"/>
                <w:highlight w:val="none"/>
                <w:lang w:val="en-US" w:eastAsia="zh-CN" w:bidi="ar-SA"/>
              </w:rPr>
              <w:t>阻燃和耐火电线电缆通则</w:t>
            </w:r>
            <w:r>
              <w:rPr>
                <w:rFonts w:hint="eastAsia" w:ascii="宋体" w:hAnsi="宋体" w:eastAsia="宋体" w:cs="宋体"/>
                <w:color w:val="auto"/>
                <w:kern w:val="2"/>
                <w:sz w:val="21"/>
                <w:szCs w:val="21"/>
                <w:highlight w:val="none"/>
                <w:lang w:val="en-US" w:eastAsia="zh-CN" w:bidi="ar-SA"/>
              </w:rPr>
              <w:fldChar w:fldCharType="end"/>
            </w:r>
          </w:p>
        </w:tc>
      </w:tr>
      <w:tr w14:paraId="232259B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6DB8084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GB/T14598.9</w:t>
            </w:r>
          </w:p>
        </w:tc>
        <w:tc>
          <w:tcPr>
            <w:tcW w:w="3775" w:type="pct"/>
            <w:noWrap w:val="0"/>
            <w:vAlign w:val="center"/>
          </w:tcPr>
          <w:p w14:paraId="4F56A41F">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辐射电磁场干扰试验</w:t>
            </w:r>
          </w:p>
        </w:tc>
      </w:tr>
      <w:tr w14:paraId="66C1842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598CC30E">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GB/T14598.14</w:t>
            </w:r>
          </w:p>
        </w:tc>
        <w:tc>
          <w:tcPr>
            <w:tcW w:w="3775" w:type="pct"/>
            <w:noWrap w:val="0"/>
            <w:vAlign w:val="center"/>
          </w:tcPr>
          <w:p w14:paraId="38BA5B24">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静电放电试验</w:t>
            </w:r>
          </w:p>
        </w:tc>
      </w:tr>
      <w:tr w14:paraId="2C72B5B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67AFF246">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GB/T17626.8</w:t>
            </w:r>
          </w:p>
        </w:tc>
        <w:tc>
          <w:tcPr>
            <w:tcW w:w="3775" w:type="pct"/>
            <w:noWrap w:val="0"/>
            <w:vAlign w:val="center"/>
          </w:tcPr>
          <w:p w14:paraId="6EDA8CBA">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工频磁场抗扰度试验</w:t>
            </w:r>
          </w:p>
        </w:tc>
      </w:tr>
      <w:tr w14:paraId="2AAC5E2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48C4ED20">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GB51048-2014</w:t>
            </w:r>
          </w:p>
        </w:tc>
        <w:tc>
          <w:tcPr>
            <w:tcW w:w="3775" w:type="pct"/>
            <w:noWrap w:val="0"/>
            <w:vAlign w:val="top"/>
          </w:tcPr>
          <w:p w14:paraId="50E03123">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电化学储能电站设计规范</w:t>
            </w:r>
          </w:p>
        </w:tc>
      </w:tr>
      <w:tr w14:paraId="3A2F2DA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196EF6A6">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GB/T34120</w:t>
            </w:r>
          </w:p>
        </w:tc>
        <w:tc>
          <w:tcPr>
            <w:tcW w:w="3775" w:type="pct"/>
            <w:noWrap w:val="0"/>
            <w:vAlign w:val="top"/>
          </w:tcPr>
          <w:p w14:paraId="29B92D6D">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电化学储能系统储能变流器技术规范</w:t>
            </w:r>
          </w:p>
        </w:tc>
      </w:tr>
      <w:tr w14:paraId="52646A0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011996CE">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GB/T34133</w:t>
            </w:r>
          </w:p>
        </w:tc>
        <w:tc>
          <w:tcPr>
            <w:tcW w:w="3775" w:type="pct"/>
            <w:noWrap w:val="0"/>
            <w:vAlign w:val="top"/>
          </w:tcPr>
          <w:p w14:paraId="1488564C">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储能变流器检测技术规程</w:t>
            </w:r>
          </w:p>
        </w:tc>
      </w:tr>
      <w:tr w14:paraId="0AD53C0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top"/>
          </w:tcPr>
          <w:p w14:paraId="13E7B4A1">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GB/T36547</w:t>
            </w:r>
          </w:p>
        </w:tc>
        <w:tc>
          <w:tcPr>
            <w:tcW w:w="3775" w:type="pct"/>
            <w:noWrap w:val="0"/>
            <w:vAlign w:val="top"/>
          </w:tcPr>
          <w:p w14:paraId="0400EC4D">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电化学储能系统接入电网技术规定</w:t>
            </w:r>
          </w:p>
        </w:tc>
      </w:tr>
      <w:tr w14:paraId="2F69215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top"/>
          </w:tcPr>
          <w:p w14:paraId="57671509">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GB/T36548</w:t>
            </w:r>
          </w:p>
        </w:tc>
        <w:tc>
          <w:tcPr>
            <w:tcW w:w="3775" w:type="pct"/>
            <w:noWrap w:val="0"/>
            <w:vAlign w:val="top"/>
          </w:tcPr>
          <w:p w14:paraId="1BE31BAB">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电化学储能系统接入电网测试规范</w:t>
            </w:r>
          </w:p>
        </w:tc>
      </w:tr>
      <w:tr w14:paraId="45A34BC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top"/>
          </w:tcPr>
          <w:p w14:paraId="2F5FB4E8">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GB/T36549</w:t>
            </w:r>
          </w:p>
        </w:tc>
        <w:tc>
          <w:tcPr>
            <w:tcW w:w="3775" w:type="pct"/>
            <w:noWrap w:val="0"/>
            <w:vAlign w:val="top"/>
          </w:tcPr>
          <w:p w14:paraId="4F159F00">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电化学储能电站运行指标及评价</w:t>
            </w:r>
          </w:p>
        </w:tc>
      </w:tr>
      <w:tr w14:paraId="6FA22BA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top"/>
          </w:tcPr>
          <w:p w14:paraId="4C32AA34">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GB/T36558</w:t>
            </w:r>
          </w:p>
        </w:tc>
        <w:tc>
          <w:tcPr>
            <w:tcW w:w="3775" w:type="pct"/>
            <w:noWrap w:val="0"/>
            <w:vAlign w:val="top"/>
          </w:tcPr>
          <w:p w14:paraId="3E30317E">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电力系统电化学储能系统通用技术条件</w:t>
            </w:r>
          </w:p>
        </w:tc>
      </w:tr>
      <w:tr w14:paraId="3E74E69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14D766DB">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IEC63056</w:t>
            </w:r>
          </w:p>
        </w:tc>
        <w:tc>
          <w:tcPr>
            <w:tcW w:w="3775" w:type="pct"/>
            <w:noWrap w:val="0"/>
            <w:vAlign w:val="center"/>
          </w:tcPr>
          <w:p w14:paraId="40E18954">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最高直流电压为1500V的电力储能系统用二次锂电池和电池组的安全要求和测试方法</w:t>
            </w:r>
          </w:p>
        </w:tc>
      </w:tr>
      <w:tr w14:paraId="7070DCB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3B458AD4">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DL/T527</w:t>
            </w:r>
          </w:p>
        </w:tc>
        <w:tc>
          <w:tcPr>
            <w:tcW w:w="3775" w:type="pct"/>
            <w:noWrap w:val="0"/>
            <w:vAlign w:val="top"/>
          </w:tcPr>
          <w:p w14:paraId="67D1B796">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静态继电保护装置逆变电源技术条件</w:t>
            </w:r>
          </w:p>
        </w:tc>
      </w:tr>
      <w:tr w14:paraId="0F13234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520B238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DL/T402</w:t>
            </w:r>
          </w:p>
        </w:tc>
        <w:tc>
          <w:tcPr>
            <w:tcW w:w="3775" w:type="pct"/>
            <w:noWrap w:val="0"/>
            <w:vAlign w:val="center"/>
          </w:tcPr>
          <w:p w14:paraId="096F6E6B">
            <w:pPr>
              <w:keepNext w:val="0"/>
              <w:keepLines w:val="0"/>
              <w:pageBreakBefore w:val="0"/>
              <w:suppressLineNumbers w:val="0"/>
              <w:kinsoku/>
              <w:wordWrap/>
              <w:autoSpaceDE w:val="0"/>
              <w:autoSpaceDN w:val="0"/>
              <w:bidi w:val="0"/>
              <w:adjustRightIn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高压交流断路器订货技术条件</w:t>
            </w:r>
          </w:p>
        </w:tc>
      </w:tr>
      <w:tr w14:paraId="3340060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2D2E5E3F">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DL/T404</w:t>
            </w:r>
          </w:p>
        </w:tc>
        <w:tc>
          <w:tcPr>
            <w:tcW w:w="3775" w:type="pct"/>
            <w:noWrap w:val="0"/>
            <w:vAlign w:val="center"/>
          </w:tcPr>
          <w:p w14:paraId="37FFFE53">
            <w:pPr>
              <w:keepNext w:val="0"/>
              <w:keepLines w:val="0"/>
              <w:pageBreakBefore w:val="0"/>
              <w:suppressLineNumbers w:val="0"/>
              <w:kinsoku/>
              <w:wordWrap/>
              <w:autoSpaceDE w:val="0"/>
              <w:autoSpaceDN w:val="0"/>
              <w:bidi w:val="0"/>
              <w:adjustRightIn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3.6kV～40.5kV交流金属封闭开关设备和控制设备</w:t>
            </w:r>
          </w:p>
        </w:tc>
      </w:tr>
      <w:tr w14:paraId="0641CA4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1F5EE446">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DL/T645</w:t>
            </w:r>
          </w:p>
        </w:tc>
        <w:tc>
          <w:tcPr>
            <w:tcW w:w="3775" w:type="pct"/>
            <w:noWrap w:val="0"/>
            <w:vAlign w:val="top"/>
          </w:tcPr>
          <w:p w14:paraId="3627B9B0">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多功能电能表通信规约</w:t>
            </w:r>
          </w:p>
        </w:tc>
      </w:tr>
      <w:tr w14:paraId="38016FA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775F0691">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DL/T5429</w:t>
            </w:r>
          </w:p>
        </w:tc>
        <w:tc>
          <w:tcPr>
            <w:tcW w:w="3775" w:type="pct"/>
            <w:noWrap w:val="0"/>
            <w:vAlign w:val="top"/>
          </w:tcPr>
          <w:p w14:paraId="6FF8B2A8">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电力系统设计技术规程</w:t>
            </w:r>
          </w:p>
        </w:tc>
      </w:tr>
      <w:tr w14:paraId="34ED273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4791AD3E">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DL/T527</w:t>
            </w:r>
          </w:p>
        </w:tc>
        <w:tc>
          <w:tcPr>
            <w:tcW w:w="3775" w:type="pct"/>
            <w:noWrap w:val="0"/>
            <w:vAlign w:val="top"/>
          </w:tcPr>
          <w:p w14:paraId="4DDBC43F">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静态继电保护装置逆变电源技术条件</w:t>
            </w:r>
          </w:p>
        </w:tc>
      </w:tr>
      <w:tr w14:paraId="0533300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noWrap w:val="0"/>
            <w:vAlign w:val="center"/>
          </w:tcPr>
          <w:p w14:paraId="5A0BE7DF">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Q/GDW10769-2017</w:t>
            </w:r>
          </w:p>
        </w:tc>
        <w:tc>
          <w:tcPr>
            <w:tcW w:w="3775" w:type="pct"/>
            <w:noWrap w:val="0"/>
            <w:vAlign w:val="center"/>
          </w:tcPr>
          <w:p w14:paraId="20BD0964">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电化学储能电站技术导则</w:t>
            </w:r>
          </w:p>
        </w:tc>
      </w:tr>
      <w:tr w14:paraId="5A5EA77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tcBorders>
              <w:top w:val="single" w:color="auto" w:sz="6" w:space="0"/>
              <w:left w:val="single" w:color="auto" w:sz="8" w:space="0"/>
              <w:bottom w:val="single" w:color="auto" w:sz="6" w:space="0"/>
              <w:right w:val="single" w:color="auto" w:sz="6" w:space="0"/>
            </w:tcBorders>
            <w:noWrap w:val="0"/>
            <w:vAlign w:val="center"/>
          </w:tcPr>
          <w:p w14:paraId="29B9B91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GB/T16935.1</w:t>
            </w:r>
          </w:p>
        </w:tc>
        <w:tc>
          <w:tcPr>
            <w:tcW w:w="3775" w:type="pct"/>
            <w:tcBorders>
              <w:top w:val="single" w:color="auto" w:sz="6" w:space="0"/>
              <w:left w:val="single" w:color="auto" w:sz="6" w:space="0"/>
              <w:bottom w:val="single" w:color="auto" w:sz="6" w:space="0"/>
              <w:right w:val="single" w:color="auto" w:sz="8" w:space="0"/>
            </w:tcBorders>
            <w:noWrap w:val="0"/>
            <w:vAlign w:val="center"/>
          </w:tcPr>
          <w:p w14:paraId="3A2264AF">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低压系统内设备的绝缘配合第1部分：原理、要求和试验</w:t>
            </w:r>
          </w:p>
        </w:tc>
      </w:tr>
      <w:tr w14:paraId="6998494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tcBorders>
              <w:top w:val="single" w:color="auto" w:sz="6" w:space="0"/>
              <w:left w:val="single" w:color="auto" w:sz="8" w:space="0"/>
              <w:bottom w:val="single" w:color="auto" w:sz="6" w:space="0"/>
              <w:right w:val="single" w:color="auto" w:sz="6" w:space="0"/>
            </w:tcBorders>
            <w:noWrap w:val="0"/>
            <w:vAlign w:val="center"/>
          </w:tcPr>
          <w:p w14:paraId="63E48C10">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GB/T36276</w:t>
            </w:r>
          </w:p>
        </w:tc>
        <w:tc>
          <w:tcPr>
            <w:tcW w:w="3775" w:type="pct"/>
            <w:tcBorders>
              <w:top w:val="single" w:color="auto" w:sz="6" w:space="0"/>
              <w:left w:val="single" w:color="auto" w:sz="6" w:space="0"/>
              <w:bottom w:val="single" w:color="auto" w:sz="6" w:space="0"/>
              <w:right w:val="single" w:color="auto" w:sz="8" w:space="0"/>
            </w:tcBorders>
            <w:noWrap w:val="0"/>
            <w:vAlign w:val="center"/>
          </w:tcPr>
          <w:p w14:paraId="15162F62">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电力储能用锂离子电池</w:t>
            </w:r>
          </w:p>
        </w:tc>
      </w:tr>
      <w:tr w14:paraId="5996F58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tcBorders>
              <w:top w:val="single" w:color="auto" w:sz="6" w:space="0"/>
              <w:left w:val="single" w:color="auto" w:sz="8" w:space="0"/>
              <w:bottom w:val="single" w:color="auto" w:sz="6" w:space="0"/>
              <w:right w:val="single" w:color="auto" w:sz="6" w:space="0"/>
            </w:tcBorders>
            <w:noWrap w:val="0"/>
            <w:vAlign w:val="center"/>
          </w:tcPr>
          <w:p w14:paraId="27A91BF0">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GB/T34131</w:t>
            </w:r>
          </w:p>
        </w:tc>
        <w:tc>
          <w:tcPr>
            <w:tcW w:w="3775" w:type="pct"/>
            <w:tcBorders>
              <w:top w:val="single" w:color="auto" w:sz="6" w:space="0"/>
              <w:left w:val="single" w:color="auto" w:sz="6" w:space="0"/>
              <w:bottom w:val="single" w:color="auto" w:sz="6" w:space="0"/>
              <w:right w:val="single" w:color="auto" w:sz="8" w:space="0"/>
            </w:tcBorders>
            <w:noWrap w:val="0"/>
            <w:vAlign w:val="center"/>
          </w:tcPr>
          <w:p w14:paraId="50B4BC39">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电化学储能站用锂离子电池管理系统技术规范</w:t>
            </w:r>
          </w:p>
        </w:tc>
      </w:tr>
      <w:tr w14:paraId="062E7B7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tcBorders>
              <w:top w:val="single" w:color="auto" w:sz="6" w:space="0"/>
              <w:left w:val="single" w:color="auto" w:sz="8" w:space="0"/>
              <w:bottom w:val="single" w:color="auto" w:sz="6" w:space="0"/>
              <w:right w:val="single" w:color="auto" w:sz="6" w:space="0"/>
            </w:tcBorders>
            <w:noWrap w:val="0"/>
            <w:vAlign w:val="center"/>
          </w:tcPr>
          <w:p w14:paraId="59EF1634">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GB50065</w:t>
            </w:r>
          </w:p>
        </w:tc>
        <w:tc>
          <w:tcPr>
            <w:tcW w:w="3775" w:type="pct"/>
            <w:tcBorders>
              <w:top w:val="single" w:color="auto" w:sz="6" w:space="0"/>
              <w:left w:val="single" w:color="auto" w:sz="6" w:space="0"/>
              <w:bottom w:val="single" w:color="auto" w:sz="6" w:space="0"/>
              <w:right w:val="single" w:color="auto" w:sz="8" w:space="0"/>
            </w:tcBorders>
            <w:noWrap w:val="0"/>
            <w:vAlign w:val="center"/>
          </w:tcPr>
          <w:p w14:paraId="0F43F141">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交流电气装置的接地设计规范</w:t>
            </w:r>
          </w:p>
        </w:tc>
      </w:tr>
      <w:tr w14:paraId="63B6F40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tcBorders>
              <w:top w:val="single" w:color="auto" w:sz="6" w:space="0"/>
              <w:left w:val="single" w:color="auto" w:sz="8" w:space="0"/>
              <w:bottom w:val="single" w:color="auto" w:sz="6" w:space="0"/>
              <w:right w:val="single" w:color="auto" w:sz="6" w:space="0"/>
            </w:tcBorders>
            <w:noWrap w:val="0"/>
            <w:vAlign w:val="center"/>
          </w:tcPr>
          <w:p w14:paraId="499E485E">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GB50217</w:t>
            </w:r>
          </w:p>
        </w:tc>
        <w:tc>
          <w:tcPr>
            <w:tcW w:w="3775" w:type="pct"/>
            <w:tcBorders>
              <w:top w:val="single" w:color="auto" w:sz="6" w:space="0"/>
              <w:left w:val="single" w:color="auto" w:sz="6" w:space="0"/>
              <w:bottom w:val="single" w:color="auto" w:sz="6" w:space="0"/>
              <w:right w:val="single" w:color="auto" w:sz="8" w:space="0"/>
            </w:tcBorders>
            <w:noWrap w:val="0"/>
            <w:vAlign w:val="center"/>
          </w:tcPr>
          <w:p w14:paraId="0917D4BC">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电力工程电缆设计标准</w:t>
            </w:r>
          </w:p>
        </w:tc>
      </w:tr>
      <w:tr w14:paraId="1177232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tcBorders>
              <w:top w:val="single" w:color="auto" w:sz="6" w:space="0"/>
              <w:left w:val="single" w:color="auto" w:sz="8" w:space="0"/>
              <w:bottom w:val="single" w:color="auto" w:sz="6" w:space="0"/>
              <w:right w:val="single" w:color="auto" w:sz="6" w:space="0"/>
            </w:tcBorders>
            <w:noWrap w:val="0"/>
            <w:vAlign w:val="center"/>
          </w:tcPr>
          <w:p w14:paraId="52A4E00A">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GB51309</w:t>
            </w:r>
          </w:p>
        </w:tc>
        <w:tc>
          <w:tcPr>
            <w:tcW w:w="3775" w:type="pct"/>
            <w:tcBorders>
              <w:top w:val="single" w:color="auto" w:sz="6" w:space="0"/>
              <w:left w:val="single" w:color="auto" w:sz="6" w:space="0"/>
              <w:bottom w:val="single" w:color="auto" w:sz="6" w:space="0"/>
              <w:right w:val="single" w:color="auto" w:sz="8" w:space="0"/>
            </w:tcBorders>
            <w:noWrap w:val="0"/>
            <w:vAlign w:val="center"/>
          </w:tcPr>
          <w:p w14:paraId="3F3EF814">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消防应急照明和疏散指示系统技术标准</w:t>
            </w:r>
          </w:p>
        </w:tc>
      </w:tr>
      <w:tr w14:paraId="0CAB712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4" w:type="pct"/>
            <w:tcBorders>
              <w:top w:val="single" w:color="auto" w:sz="6" w:space="0"/>
              <w:left w:val="single" w:color="auto" w:sz="8" w:space="0"/>
              <w:bottom w:val="single" w:color="auto" w:sz="6" w:space="0"/>
              <w:right w:val="single" w:color="auto" w:sz="6" w:space="0"/>
            </w:tcBorders>
            <w:noWrap w:val="0"/>
            <w:vAlign w:val="center"/>
          </w:tcPr>
          <w:p w14:paraId="42649248">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DL/T866</w:t>
            </w:r>
          </w:p>
        </w:tc>
        <w:tc>
          <w:tcPr>
            <w:tcW w:w="3775" w:type="pct"/>
            <w:tcBorders>
              <w:top w:val="single" w:color="auto" w:sz="6" w:space="0"/>
              <w:left w:val="single" w:color="auto" w:sz="6" w:space="0"/>
              <w:bottom w:val="single" w:color="auto" w:sz="6" w:space="0"/>
              <w:right w:val="single" w:color="auto" w:sz="8" w:space="0"/>
            </w:tcBorders>
            <w:noWrap w:val="0"/>
            <w:vAlign w:val="center"/>
          </w:tcPr>
          <w:p w14:paraId="67366DFC">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电流互感器和电压互咸器选择及计算规程</w:t>
            </w:r>
          </w:p>
        </w:tc>
      </w:tr>
    </w:tbl>
    <w:p w14:paraId="1EFE9D4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2、设备技术要求</w:t>
      </w:r>
    </w:p>
    <w:p w14:paraId="685C8751">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cs="宋体"/>
          <w:b/>
          <w:bCs/>
          <w:color w:val="auto"/>
          <w:kern w:val="2"/>
          <w:sz w:val="21"/>
          <w:szCs w:val="21"/>
          <w:highlight w:val="none"/>
          <w:lang w:val="en-US" w:eastAsia="zh-CN" w:bidi="ar-SA"/>
        </w:rPr>
        <w:t>按照</w:t>
      </w:r>
      <w:r>
        <w:rPr>
          <w:rFonts w:hint="eastAsia" w:ascii="宋体" w:hAnsi="宋体" w:eastAsia="宋体" w:cs="宋体"/>
          <w:b/>
          <w:bCs/>
          <w:color w:val="auto"/>
          <w:kern w:val="2"/>
          <w:sz w:val="21"/>
          <w:szCs w:val="21"/>
          <w:highlight w:val="none"/>
          <w:lang w:val="en-US" w:eastAsia="zh-CN" w:bidi="ar-SA"/>
        </w:rPr>
        <w:t>《</w:t>
      </w:r>
      <w:r>
        <w:rPr>
          <w:rFonts w:hint="eastAsia" w:ascii="宋体" w:hAnsi="宋体" w:cs="宋体"/>
          <w:b/>
          <w:bCs/>
          <w:color w:val="auto"/>
          <w:kern w:val="2"/>
          <w:sz w:val="21"/>
          <w:szCs w:val="21"/>
          <w:highlight w:val="none"/>
          <w:lang w:val="en-US" w:eastAsia="zh-CN" w:bidi="ar-SA"/>
        </w:rPr>
        <w:t>东莞市新有能源投资有限公司</w:t>
      </w:r>
      <w:r>
        <w:rPr>
          <w:rFonts w:hint="eastAsia" w:ascii="宋体" w:hAnsi="宋体" w:eastAsia="宋体" w:cs="宋体"/>
          <w:b/>
          <w:bCs/>
          <w:color w:val="auto"/>
          <w:kern w:val="2"/>
          <w:sz w:val="21"/>
          <w:szCs w:val="21"/>
          <w:highlight w:val="none"/>
          <w:lang w:val="en-US" w:eastAsia="zh-CN" w:bidi="ar-SA"/>
        </w:rPr>
        <w:t>电化学储能电站-储能柜技术规范总要求》、《ModbusTCP规约点表</w:t>
      </w:r>
      <w:r>
        <w:rPr>
          <w:rFonts w:hint="eastAsia" w:ascii="宋体" w:hAnsi="宋体" w:cs="宋体"/>
          <w:b/>
          <w:bCs/>
          <w:color w:val="auto"/>
          <w:kern w:val="2"/>
          <w:sz w:val="21"/>
          <w:szCs w:val="21"/>
          <w:highlight w:val="none"/>
          <w:lang w:val="en-US" w:eastAsia="zh-CN" w:bidi="ar-SA"/>
        </w:rPr>
        <w:t>2.0</w:t>
      </w:r>
      <w:r>
        <w:rPr>
          <w:rFonts w:hint="eastAsia" w:ascii="宋体" w:hAnsi="宋体" w:eastAsia="宋体" w:cs="宋体"/>
          <w:b/>
          <w:bCs/>
          <w:color w:val="auto"/>
          <w:kern w:val="2"/>
          <w:sz w:val="21"/>
          <w:szCs w:val="21"/>
          <w:highlight w:val="none"/>
          <w:lang w:val="en-US" w:eastAsia="zh-CN" w:bidi="ar-SA"/>
        </w:rPr>
        <w:t>》</w:t>
      </w:r>
    </w:p>
    <w:p w14:paraId="137FF0E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3、施工技术要求</w:t>
      </w:r>
    </w:p>
    <w:p w14:paraId="4D2AB85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设备维护及雨棚、监控系统、建设需要符合采购人的要求（如：项目设备设计在房屋内无需加装雨棚）。</w:t>
      </w:r>
      <w:r>
        <w:rPr>
          <w:rFonts w:hint="eastAsia" w:ascii="宋体" w:hAnsi="宋体" w:cs="宋体"/>
          <w:b/>
          <w:bCs/>
          <w:color w:val="auto"/>
          <w:kern w:val="2"/>
          <w:sz w:val="21"/>
          <w:szCs w:val="21"/>
          <w:highlight w:val="none"/>
          <w:lang w:val="en-US" w:eastAsia="zh-CN" w:bidi="ar-SA"/>
        </w:rPr>
        <w:t>按照</w:t>
      </w:r>
      <w:r>
        <w:rPr>
          <w:rFonts w:hint="eastAsia" w:ascii="宋体" w:hAnsi="宋体" w:eastAsia="宋体" w:cs="宋体"/>
          <w:b/>
          <w:bCs/>
          <w:color w:val="auto"/>
          <w:kern w:val="2"/>
          <w:sz w:val="21"/>
          <w:szCs w:val="21"/>
          <w:highlight w:val="none"/>
          <w:lang w:val="en-US" w:eastAsia="zh-CN" w:bidi="ar-SA"/>
        </w:rPr>
        <w:t>《</w:t>
      </w:r>
      <w:r>
        <w:rPr>
          <w:rFonts w:hint="eastAsia" w:ascii="宋体" w:hAnsi="宋体" w:cs="宋体"/>
          <w:b/>
          <w:bCs/>
          <w:color w:val="auto"/>
          <w:kern w:val="2"/>
          <w:sz w:val="21"/>
          <w:szCs w:val="21"/>
          <w:highlight w:val="none"/>
          <w:lang w:val="en-US" w:eastAsia="zh-CN" w:bidi="ar-SA"/>
        </w:rPr>
        <w:t>东莞市新有能源投资有限公司</w:t>
      </w:r>
      <w:r>
        <w:rPr>
          <w:rFonts w:hint="eastAsia" w:ascii="宋体" w:hAnsi="宋体" w:eastAsia="宋体" w:cs="宋体"/>
          <w:b/>
          <w:bCs/>
          <w:color w:val="auto"/>
          <w:kern w:val="2"/>
          <w:sz w:val="21"/>
          <w:szCs w:val="21"/>
          <w:highlight w:val="none"/>
          <w:lang w:val="en-US" w:eastAsia="zh-CN" w:bidi="ar-SA"/>
        </w:rPr>
        <w:t>电化学储能电站-施工技术要求》</w:t>
      </w:r>
      <w:r>
        <w:rPr>
          <w:rFonts w:hint="eastAsia" w:ascii="宋体" w:hAnsi="宋体" w:eastAsia="宋体" w:cs="宋体"/>
          <w:color w:val="auto"/>
          <w:kern w:val="2"/>
          <w:sz w:val="21"/>
          <w:szCs w:val="21"/>
          <w:highlight w:val="none"/>
          <w:lang w:val="en-US" w:eastAsia="zh-CN" w:bidi="ar-SA"/>
        </w:rPr>
        <w:t>、</w:t>
      </w:r>
      <w:r>
        <w:rPr>
          <w:rFonts w:hint="eastAsia" w:ascii="宋体" w:hAnsi="宋体" w:eastAsia="宋体" w:cs="宋体"/>
          <w:b/>
          <w:bCs/>
          <w:color w:val="auto"/>
          <w:kern w:val="2"/>
          <w:sz w:val="21"/>
          <w:szCs w:val="21"/>
          <w:highlight w:val="none"/>
          <w:lang w:val="en-US" w:eastAsia="zh-CN" w:bidi="ar-SA"/>
        </w:rPr>
        <w:t>《</w:t>
      </w:r>
      <w:r>
        <w:rPr>
          <w:rFonts w:hint="eastAsia" w:ascii="宋体" w:hAnsi="宋体" w:cs="宋体"/>
          <w:b/>
          <w:bCs/>
          <w:color w:val="auto"/>
          <w:kern w:val="2"/>
          <w:sz w:val="21"/>
          <w:szCs w:val="21"/>
          <w:highlight w:val="none"/>
          <w:lang w:val="en-US" w:eastAsia="zh-CN" w:bidi="ar-SA"/>
        </w:rPr>
        <w:t>东莞市新有能源投资有限公司</w:t>
      </w:r>
      <w:r>
        <w:rPr>
          <w:rFonts w:hint="eastAsia" w:ascii="宋体" w:hAnsi="宋体" w:eastAsia="宋体" w:cs="宋体"/>
          <w:b/>
          <w:bCs/>
          <w:color w:val="auto"/>
          <w:kern w:val="2"/>
          <w:sz w:val="21"/>
          <w:szCs w:val="21"/>
          <w:highlight w:val="none"/>
          <w:lang w:val="en-US" w:eastAsia="zh-CN" w:bidi="ar-SA"/>
        </w:rPr>
        <w:t>电化学储能电站配套设施建设标准》</w:t>
      </w:r>
      <w:r>
        <w:rPr>
          <w:rFonts w:hint="eastAsia" w:ascii="宋体" w:hAnsi="宋体" w:cs="宋体"/>
          <w:b/>
          <w:bCs/>
          <w:color w:val="auto"/>
          <w:kern w:val="2"/>
          <w:sz w:val="21"/>
          <w:szCs w:val="21"/>
          <w:highlight w:val="none"/>
          <w:lang w:val="en-US" w:eastAsia="zh-CN" w:bidi="ar-SA"/>
        </w:rPr>
        <w:t>、</w:t>
      </w:r>
      <w:r>
        <w:rPr>
          <w:rFonts w:hint="eastAsia" w:ascii="宋体" w:hAnsi="宋体" w:eastAsia="宋体" w:cs="宋体"/>
          <w:b/>
          <w:bCs/>
          <w:color w:val="auto"/>
          <w:kern w:val="2"/>
          <w:sz w:val="21"/>
          <w:szCs w:val="21"/>
          <w:highlight w:val="none"/>
          <w:lang w:val="en-US" w:eastAsia="zh-CN" w:bidi="ar-SA"/>
        </w:rPr>
        <w:t>《</w:t>
      </w:r>
      <w:r>
        <w:rPr>
          <w:rFonts w:hint="eastAsia" w:ascii="宋体" w:hAnsi="宋体" w:cs="宋体"/>
          <w:b/>
          <w:bCs/>
          <w:color w:val="auto"/>
          <w:kern w:val="2"/>
          <w:sz w:val="21"/>
          <w:szCs w:val="21"/>
          <w:highlight w:val="none"/>
          <w:lang w:val="en-US" w:eastAsia="zh-CN" w:bidi="ar-SA"/>
        </w:rPr>
        <w:t>东莞市新有能源投资有限公司</w:t>
      </w:r>
      <w:r>
        <w:rPr>
          <w:rFonts w:hint="eastAsia" w:ascii="宋体" w:hAnsi="宋体" w:eastAsia="宋体" w:cs="宋体"/>
          <w:b/>
          <w:bCs/>
          <w:color w:val="auto"/>
          <w:kern w:val="2"/>
          <w:sz w:val="21"/>
          <w:szCs w:val="21"/>
          <w:highlight w:val="none"/>
          <w:lang w:val="en-US" w:eastAsia="zh-CN" w:bidi="ar-SA"/>
        </w:rPr>
        <w:t>储能项目-技术要求》等全过程的施工承包工作</w:t>
      </w:r>
      <w:r>
        <w:rPr>
          <w:rFonts w:hint="eastAsia" w:ascii="宋体" w:hAnsi="宋体" w:cs="宋体"/>
          <w:b/>
          <w:bCs/>
          <w:color w:val="auto"/>
          <w:kern w:val="2"/>
          <w:sz w:val="21"/>
          <w:szCs w:val="21"/>
          <w:highlight w:val="none"/>
          <w:lang w:val="en-US" w:eastAsia="zh-CN" w:bidi="ar-SA"/>
        </w:rPr>
        <w:t>。</w:t>
      </w:r>
    </w:p>
    <w:p w14:paraId="6C89EB2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cs="宋体"/>
          <w:b w:val="0"/>
          <w:bCs w:val="0"/>
          <w:color w:val="auto"/>
          <w:kern w:val="2"/>
          <w:sz w:val="21"/>
          <w:szCs w:val="21"/>
          <w:highlight w:val="none"/>
          <w:lang w:val="en-US" w:eastAsia="zh-CN" w:bidi="ar-SA"/>
        </w:rPr>
      </w:pPr>
      <w:r>
        <w:rPr>
          <w:rFonts w:hint="eastAsia" w:ascii="宋体" w:hAnsi="宋体" w:cs="宋体"/>
          <w:b w:val="0"/>
          <w:bCs w:val="0"/>
          <w:color w:val="auto"/>
          <w:kern w:val="2"/>
          <w:sz w:val="21"/>
          <w:szCs w:val="21"/>
          <w:lang w:val="en-US" w:eastAsia="zh-CN" w:bidi="ar-SA"/>
        </w:rPr>
        <w:t>4</w:t>
      </w:r>
      <w:r>
        <w:rPr>
          <w:rFonts w:hint="eastAsia" w:ascii="宋体" w:hAnsi="宋体" w:eastAsia="宋体" w:cs="宋体"/>
          <w:b w:val="0"/>
          <w:bCs w:val="0"/>
          <w:color w:val="auto"/>
          <w:kern w:val="2"/>
          <w:sz w:val="21"/>
          <w:szCs w:val="21"/>
          <w:lang w:val="en-US" w:eastAsia="zh-CN" w:bidi="ar-SA"/>
        </w:rPr>
        <w:t>、</w:t>
      </w:r>
      <w:r>
        <w:rPr>
          <w:rFonts w:hint="eastAsia" w:ascii="宋体" w:hAnsi="宋体" w:cs="宋体"/>
          <w:b w:val="0"/>
          <w:bCs w:val="0"/>
          <w:color w:val="auto"/>
          <w:kern w:val="2"/>
          <w:sz w:val="21"/>
          <w:szCs w:val="21"/>
          <w:highlight w:val="none"/>
          <w:lang w:val="en-US" w:eastAsia="zh-CN" w:bidi="ar-SA"/>
        </w:rPr>
        <w:t>项目实施方案</w:t>
      </w:r>
    </w:p>
    <w:p w14:paraId="11AF2244">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ind w:left="0" w:leftChars="0" w:firstLine="422" w:firstLineChars="200"/>
        <w:jc w:val="both"/>
        <w:textAlignment w:val="auto"/>
        <w:rPr>
          <w:rFonts w:hint="default" w:ascii="宋体" w:hAnsi="宋体" w:cs="宋体"/>
          <w:b w:val="0"/>
          <w:bCs w:val="0"/>
          <w:color w:val="auto"/>
          <w:kern w:val="2"/>
          <w:sz w:val="21"/>
          <w:szCs w:val="21"/>
          <w:highlight w:val="none"/>
          <w:lang w:val="en-US" w:eastAsia="zh-CN" w:bidi="ar-SA"/>
        </w:rPr>
      </w:pPr>
      <w:r>
        <w:rPr>
          <w:rFonts w:hint="eastAsia" w:ascii="宋体" w:hAnsi="宋体" w:cs="宋体"/>
          <w:b/>
          <w:bCs/>
          <w:color w:val="auto"/>
          <w:kern w:val="2"/>
          <w:sz w:val="21"/>
          <w:szCs w:val="21"/>
          <w:highlight w:val="none"/>
          <w:lang w:val="en-US" w:eastAsia="zh-CN" w:bidi="ar-SA"/>
        </w:rPr>
        <w:t>按照《东莞市旗领产业投资有限公司储能项目实施方案》</w:t>
      </w:r>
      <w:r>
        <w:rPr>
          <w:rFonts w:hint="eastAsia" w:ascii="宋体" w:hAnsi="宋体" w:cs="宋体"/>
          <w:b w:val="0"/>
          <w:bCs w:val="0"/>
          <w:color w:val="auto"/>
          <w:kern w:val="2"/>
          <w:sz w:val="21"/>
          <w:szCs w:val="21"/>
          <w:highlight w:val="none"/>
          <w:lang w:val="en-US" w:eastAsia="zh-CN" w:bidi="ar-SA"/>
        </w:rPr>
        <w:t>（方案仅供参考，实施方案以最终建设为准）。</w:t>
      </w:r>
    </w:p>
    <w:p w14:paraId="330332A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、服务要求</w:t>
      </w:r>
    </w:p>
    <w:p w14:paraId="11242E2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.1一般要求</w:t>
      </w:r>
    </w:p>
    <w:p w14:paraId="138A048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投标人在提供储能设备的同时，应提供相应的技术服务，以确保储能设备能顺利投入使用，并且能正常、高效和长期运行。投标人应提供的主要技术服务包括如下几大类：</w:t>
      </w:r>
    </w:p>
    <w:p w14:paraId="09C39D5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负责所供设备的运输</w:t>
      </w:r>
      <w:r>
        <w:rPr>
          <w:rFonts w:hint="eastAsia" w:ascii="宋体" w:hAnsi="宋体" w:cs="宋体"/>
          <w:color w:val="auto"/>
          <w:kern w:val="2"/>
          <w:sz w:val="21"/>
          <w:szCs w:val="21"/>
          <w:highlight w:val="none"/>
          <w:lang w:val="en-US" w:eastAsia="zh-CN" w:bidi="ar-SA"/>
        </w:rPr>
        <w:t>；</w:t>
      </w:r>
    </w:p>
    <w:p w14:paraId="79E0ACC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负责所供设备的调试和试运行</w:t>
      </w:r>
      <w:r>
        <w:rPr>
          <w:rFonts w:hint="eastAsia" w:ascii="宋体" w:hAnsi="宋体" w:cs="宋体"/>
          <w:color w:val="auto"/>
          <w:kern w:val="2"/>
          <w:sz w:val="21"/>
          <w:szCs w:val="21"/>
          <w:highlight w:val="none"/>
          <w:lang w:val="en-US" w:eastAsia="zh-CN" w:bidi="ar-SA"/>
        </w:rPr>
        <w:t>；</w:t>
      </w:r>
    </w:p>
    <w:p w14:paraId="4F226C7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负责所供设备质量保证期的保证责任，如设备的维修、免费更换</w:t>
      </w:r>
      <w:r>
        <w:rPr>
          <w:rFonts w:hint="eastAsia" w:ascii="宋体" w:hAnsi="宋体" w:cs="宋体"/>
          <w:color w:val="auto"/>
          <w:kern w:val="2"/>
          <w:sz w:val="21"/>
          <w:szCs w:val="21"/>
          <w:highlight w:val="none"/>
          <w:lang w:val="en-US" w:eastAsia="zh-CN" w:bidi="ar-SA"/>
        </w:rPr>
        <w:t>；</w:t>
      </w:r>
    </w:p>
    <w:p w14:paraId="4B4FFB8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4）</w:t>
      </w:r>
      <w:r>
        <w:rPr>
          <w:rFonts w:hint="eastAsia" w:ascii="宋体" w:hAnsi="宋体" w:eastAsia="宋体" w:cs="宋体"/>
          <w:color w:val="auto"/>
          <w:kern w:val="2"/>
          <w:sz w:val="21"/>
          <w:szCs w:val="21"/>
          <w:highlight w:val="none"/>
          <w:lang w:val="en-US" w:eastAsia="zh-CN" w:bidi="ar-SA"/>
        </w:rPr>
        <w:t>对</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指派的运行、维护、检修等人员的培训</w:t>
      </w:r>
      <w:r>
        <w:rPr>
          <w:rFonts w:hint="eastAsia" w:ascii="宋体" w:hAnsi="宋体" w:cs="宋体"/>
          <w:color w:val="auto"/>
          <w:kern w:val="2"/>
          <w:sz w:val="21"/>
          <w:szCs w:val="21"/>
          <w:highlight w:val="none"/>
          <w:lang w:val="en-US" w:eastAsia="zh-CN" w:bidi="ar-SA"/>
        </w:rPr>
        <w:t>；</w:t>
      </w:r>
    </w:p>
    <w:p w14:paraId="4178B2C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.2安装、调试、试运行</w:t>
      </w:r>
    </w:p>
    <w:p w14:paraId="6238A33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.2.1安装</w:t>
      </w:r>
    </w:p>
    <w:p w14:paraId="7635776B">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安装、对现场安装人员的培训及安装交底、调试和试运行包括：</w:t>
      </w:r>
    </w:p>
    <w:p w14:paraId="747926F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负责设备安装前准备工作：</w:t>
      </w:r>
    </w:p>
    <w:p w14:paraId="1BF0E7B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ab/>
      </w:r>
      <w:r>
        <w:rPr>
          <w:rFonts w:hint="eastAsia" w:ascii="宋体" w:hAnsi="宋体" w:eastAsia="宋体" w:cs="宋体"/>
          <w:color w:val="auto"/>
          <w:kern w:val="2"/>
          <w:sz w:val="21"/>
          <w:szCs w:val="21"/>
          <w:highlight w:val="none"/>
          <w:lang w:val="en-US" w:eastAsia="zh-CN" w:bidi="ar-SA"/>
        </w:rPr>
        <w:t>提供所供设备的安装手册，详细说明设备卸货、组装、安装和试运行</w:t>
      </w:r>
      <w:r>
        <w:rPr>
          <w:rFonts w:hint="eastAsia" w:ascii="宋体" w:hAnsi="宋体" w:cs="宋体"/>
          <w:color w:val="auto"/>
          <w:kern w:val="2"/>
          <w:sz w:val="21"/>
          <w:szCs w:val="21"/>
          <w:highlight w:val="none"/>
          <w:lang w:val="en-US" w:eastAsia="zh-CN" w:bidi="ar-SA"/>
        </w:rPr>
        <w:t>；</w:t>
      </w:r>
    </w:p>
    <w:p w14:paraId="26CC957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ab/>
      </w:r>
      <w:r>
        <w:rPr>
          <w:rFonts w:hint="eastAsia" w:ascii="宋体" w:hAnsi="宋体" w:eastAsia="宋体" w:cs="宋体"/>
          <w:color w:val="auto"/>
          <w:kern w:val="2"/>
          <w:sz w:val="21"/>
          <w:szCs w:val="21"/>
          <w:highlight w:val="none"/>
          <w:lang w:val="en-US" w:eastAsia="zh-CN" w:bidi="ar-SA"/>
        </w:rPr>
        <w:t>对安装人员提供确保安全装配/安装所需的必要培训</w:t>
      </w:r>
      <w:r>
        <w:rPr>
          <w:rFonts w:hint="eastAsia" w:ascii="宋体" w:hAnsi="宋体" w:cs="宋体"/>
          <w:color w:val="auto"/>
          <w:kern w:val="2"/>
          <w:sz w:val="21"/>
          <w:szCs w:val="21"/>
          <w:highlight w:val="none"/>
          <w:lang w:val="en-US" w:eastAsia="zh-CN" w:bidi="ar-SA"/>
        </w:rPr>
        <w:t>；</w:t>
      </w:r>
    </w:p>
    <w:p w14:paraId="07A9B2C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ab/>
      </w:r>
      <w:r>
        <w:rPr>
          <w:rFonts w:hint="eastAsia" w:ascii="宋体" w:hAnsi="宋体" w:eastAsia="宋体" w:cs="宋体"/>
          <w:color w:val="auto"/>
          <w:kern w:val="2"/>
          <w:sz w:val="21"/>
          <w:szCs w:val="21"/>
          <w:highlight w:val="none"/>
          <w:lang w:val="en-US" w:eastAsia="zh-CN" w:bidi="ar-SA"/>
        </w:rPr>
        <w:t>提供安装必需的专用工具</w:t>
      </w:r>
      <w:r>
        <w:rPr>
          <w:rFonts w:hint="eastAsia" w:ascii="宋体" w:hAnsi="宋体" w:cs="宋体"/>
          <w:color w:val="auto"/>
          <w:kern w:val="2"/>
          <w:sz w:val="21"/>
          <w:szCs w:val="21"/>
          <w:highlight w:val="none"/>
          <w:lang w:val="en-US" w:eastAsia="zh-CN" w:bidi="ar-SA"/>
        </w:rPr>
        <w:t>；</w:t>
      </w:r>
    </w:p>
    <w:p w14:paraId="21E5A10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ab/>
      </w:r>
      <w:r>
        <w:rPr>
          <w:rFonts w:hint="eastAsia" w:ascii="宋体" w:hAnsi="宋体" w:eastAsia="宋体" w:cs="宋体"/>
          <w:color w:val="auto"/>
          <w:kern w:val="2"/>
          <w:sz w:val="21"/>
          <w:szCs w:val="21"/>
          <w:highlight w:val="none"/>
          <w:lang w:val="en-US" w:eastAsia="zh-CN" w:bidi="ar-SA"/>
        </w:rPr>
        <w:t>检查安装现场的准备情况</w:t>
      </w:r>
      <w:r>
        <w:rPr>
          <w:rFonts w:hint="eastAsia" w:ascii="宋体" w:hAnsi="宋体" w:cs="宋体"/>
          <w:color w:val="auto"/>
          <w:kern w:val="2"/>
          <w:sz w:val="21"/>
          <w:szCs w:val="21"/>
          <w:highlight w:val="none"/>
          <w:lang w:val="en-US" w:eastAsia="zh-CN" w:bidi="ar-SA"/>
        </w:rPr>
        <w:t>；</w:t>
      </w:r>
    </w:p>
    <w:p w14:paraId="64A47E8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ab/>
      </w:r>
      <w:r>
        <w:rPr>
          <w:rFonts w:hint="eastAsia" w:ascii="宋体" w:hAnsi="宋体" w:eastAsia="宋体" w:cs="宋体"/>
          <w:color w:val="auto"/>
          <w:kern w:val="2"/>
          <w:sz w:val="21"/>
          <w:szCs w:val="21"/>
          <w:highlight w:val="none"/>
          <w:lang w:val="en-US" w:eastAsia="zh-CN" w:bidi="ar-SA"/>
        </w:rPr>
        <w:t>对将要安装的设备进行检查和清点。</w:t>
      </w:r>
    </w:p>
    <w:p w14:paraId="33FDB49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设备安装期间投标人的工作：</w:t>
      </w:r>
    </w:p>
    <w:p w14:paraId="696BACB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－现场进行所供设备的安装工作</w:t>
      </w:r>
      <w:r>
        <w:rPr>
          <w:rFonts w:hint="eastAsia" w:ascii="宋体" w:hAnsi="宋体" w:cs="宋体"/>
          <w:color w:val="auto"/>
          <w:kern w:val="2"/>
          <w:sz w:val="21"/>
          <w:szCs w:val="21"/>
          <w:highlight w:val="none"/>
          <w:lang w:val="en-US" w:eastAsia="zh-CN" w:bidi="ar-SA"/>
        </w:rPr>
        <w:t>；</w:t>
      </w:r>
    </w:p>
    <w:p w14:paraId="40F6587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－与现场其它投标人（如果有的话）协调。</w:t>
      </w:r>
    </w:p>
    <w:p w14:paraId="54E7ACB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.2.2设备调试</w:t>
      </w:r>
    </w:p>
    <w:p w14:paraId="51018225">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设备安装结束后，投标人全面参与设备的调试，设备调试结束后投标人应提交一份调试完成报告书，报告应包括（但不限于）以下内容：</w:t>
      </w:r>
    </w:p>
    <w:p w14:paraId="7F2864B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－调试的执行情况</w:t>
      </w:r>
      <w:r>
        <w:rPr>
          <w:rFonts w:hint="eastAsia" w:ascii="宋体" w:hAnsi="宋体" w:cs="宋体"/>
          <w:color w:val="auto"/>
          <w:kern w:val="2"/>
          <w:sz w:val="21"/>
          <w:szCs w:val="21"/>
          <w:highlight w:val="none"/>
          <w:lang w:val="en-US" w:eastAsia="zh-CN" w:bidi="ar-SA"/>
        </w:rPr>
        <w:t>；</w:t>
      </w:r>
    </w:p>
    <w:p w14:paraId="2348F51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－调试的起止时间</w:t>
      </w:r>
      <w:r>
        <w:rPr>
          <w:rFonts w:hint="eastAsia" w:ascii="宋体" w:hAnsi="宋体" w:cs="宋体"/>
          <w:color w:val="auto"/>
          <w:kern w:val="2"/>
          <w:sz w:val="21"/>
          <w:szCs w:val="21"/>
          <w:highlight w:val="none"/>
          <w:lang w:val="en-US" w:eastAsia="zh-CN" w:bidi="ar-SA"/>
        </w:rPr>
        <w:t>；</w:t>
      </w:r>
    </w:p>
    <w:p w14:paraId="246F359B">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－调试中发生的典型问题及解决办法</w:t>
      </w:r>
      <w:r>
        <w:rPr>
          <w:rFonts w:hint="eastAsia" w:ascii="宋体" w:hAnsi="宋体" w:cs="宋体"/>
          <w:color w:val="auto"/>
          <w:kern w:val="2"/>
          <w:sz w:val="21"/>
          <w:szCs w:val="21"/>
          <w:highlight w:val="none"/>
          <w:lang w:val="en-US" w:eastAsia="zh-CN" w:bidi="ar-SA"/>
        </w:rPr>
        <w:t>；</w:t>
      </w:r>
    </w:p>
    <w:p w14:paraId="7F8475E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－调试中更换的部件。</w:t>
      </w:r>
    </w:p>
    <w:p w14:paraId="39B9EEE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.2.3设备试运行</w:t>
      </w:r>
    </w:p>
    <w:p w14:paraId="7F11A7E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设备安装结束后，投标人全面参与设备的试运行，试运行结束后投标人应提交一份试运行验收申请书，经</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确认后进入设备的正常运行。</w:t>
      </w:r>
    </w:p>
    <w:p w14:paraId="69473985">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.3现场技术服务</w:t>
      </w:r>
    </w:p>
    <w:p w14:paraId="1D6096F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投标人现场服务人员的目的是使所供设备安全、正常投运。投标人应派合格的、能独立解决问题的现场服务人员。</w:t>
      </w:r>
    </w:p>
    <w:p w14:paraId="71EB8D9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.3.1投标人提供的包括服务人天数的现场服务计划表应能满足工程需要。如果由于投标人的原因，实际的人天数不满足投标人在下表中的承诺，并有权要求投标人追加人天数</w:t>
      </w:r>
      <w:r>
        <w:rPr>
          <w:rFonts w:hint="eastAsia" w:ascii="宋体" w:hAnsi="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如果由于</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的原因，实际的人天数不能满足工程需要，</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要求追加人天数的，发生的费用由</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承担。</w:t>
      </w:r>
    </w:p>
    <w:p w14:paraId="6EBCD6E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.3.2投标人服务人员的一切费用已包含在投标总价中，它包括诸如服务人员的工资及各种补助、交通费、通讯费、食宿费、医疗费、各种保险费、各种税费等等。</w:t>
      </w:r>
    </w:p>
    <w:p w14:paraId="563E713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.3.3现场服务人员的工作时间应与现场要求相一致，以满足现场安装、调试和试运行的要求。</w:t>
      </w:r>
    </w:p>
    <w:p w14:paraId="617A5BA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.3.4下述现场服务表中的天数均为现场服务人员天数。</w:t>
      </w:r>
    </w:p>
    <w:p w14:paraId="0A9CF507">
      <w:pPr>
        <w:rPr>
          <w:rFonts w:hint="eastAsia" w:ascii="宋体" w:hAnsi="宋体" w:eastAsia="宋体" w:cs="宋体"/>
          <w:color w:val="auto"/>
          <w:spacing w:val="-1"/>
          <w:kern w:val="0"/>
          <w:sz w:val="21"/>
          <w:szCs w:val="21"/>
          <w:highlight w:val="yellow"/>
        </w:rPr>
      </w:pPr>
      <w:r>
        <w:rPr>
          <w:rFonts w:hint="eastAsia" w:ascii="宋体" w:hAnsi="宋体" w:eastAsia="宋体" w:cs="宋体"/>
          <w:color w:val="auto"/>
          <w:spacing w:val="-1"/>
          <w:kern w:val="0"/>
          <w:sz w:val="21"/>
          <w:szCs w:val="21"/>
          <w:highlight w:val="yellow"/>
        </w:rPr>
        <w:br w:type="page"/>
      </w:r>
    </w:p>
    <w:p w14:paraId="6A8DC807">
      <w:pPr>
        <w:keepNext w:val="0"/>
        <w:keepLines w:val="0"/>
        <w:pageBreakBefore w:val="0"/>
        <w:widowControl/>
        <w:kinsoku/>
        <w:wordWrap/>
        <w:overflowPunct/>
        <w:topLinePunct w:val="0"/>
        <w:autoSpaceDE/>
        <w:autoSpaceDN/>
        <w:bidi w:val="0"/>
        <w:adjustRightInd w:val="0"/>
        <w:snapToGrid w:val="0"/>
        <w:spacing w:after="0" w:line="360" w:lineRule="auto"/>
        <w:ind w:left="0" w:leftChars="0" w:firstLine="0" w:firstLineChars="0"/>
        <w:jc w:val="center"/>
        <w:textAlignment w:val="auto"/>
        <w:rPr>
          <w:rFonts w:hint="eastAsia" w:ascii="宋体" w:hAnsi="宋体" w:eastAsia="宋体" w:cs="宋体"/>
          <w:color w:val="auto"/>
          <w:spacing w:val="-1"/>
          <w:kern w:val="0"/>
          <w:sz w:val="21"/>
          <w:szCs w:val="21"/>
          <w:highlight w:val="none"/>
        </w:rPr>
      </w:pPr>
      <w:r>
        <w:rPr>
          <w:rFonts w:hint="eastAsia" w:ascii="宋体" w:hAnsi="宋体" w:eastAsia="宋体" w:cs="宋体"/>
          <w:color w:val="auto"/>
          <w:spacing w:val="-1"/>
          <w:kern w:val="0"/>
          <w:sz w:val="21"/>
          <w:szCs w:val="21"/>
          <w:highlight w:val="none"/>
        </w:rPr>
        <w:t>表10现场服务计划表</w:t>
      </w:r>
    </w:p>
    <w:tbl>
      <w:tblPr>
        <w:tblStyle w:val="3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708"/>
        <w:gridCol w:w="1971"/>
        <w:gridCol w:w="1779"/>
        <w:gridCol w:w="1405"/>
        <w:gridCol w:w="1504"/>
        <w:gridCol w:w="2148"/>
      </w:tblGrid>
      <w:tr w14:paraId="2E8B0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372" w:type="pct"/>
            <w:vMerge w:val="restart"/>
            <w:noWrap w:val="0"/>
            <w:vAlign w:val="center"/>
          </w:tcPr>
          <w:p w14:paraId="0DFFC028">
            <w:pPr>
              <w:pageBreakBefore w:val="0"/>
              <w:kinsoku/>
              <w:wordWrap/>
              <w:bidi w:val="0"/>
              <w:adjustRightInd w:val="0"/>
              <w:snapToGrid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035" w:type="pct"/>
            <w:vMerge w:val="restart"/>
            <w:noWrap w:val="0"/>
            <w:vAlign w:val="center"/>
          </w:tcPr>
          <w:p w14:paraId="193F8F16">
            <w:pPr>
              <w:pageBreakBefore w:val="0"/>
              <w:kinsoku/>
              <w:wordWrap/>
              <w:bidi w:val="0"/>
              <w:adjustRightInd w:val="0"/>
              <w:snapToGrid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技术服务内容</w:t>
            </w:r>
          </w:p>
        </w:tc>
        <w:tc>
          <w:tcPr>
            <w:tcW w:w="934" w:type="pct"/>
            <w:vMerge w:val="restart"/>
            <w:noWrap w:val="0"/>
            <w:vAlign w:val="center"/>
          </w:tcPr>
          <w:p w14:paraId="62743830">
            <w:pPr>
              <w:pageBreakBefore w:val="0"/>
              <w:kinsoku/>
              <w:wordWrap/>
              <w:bidi w:val="0"/>
              <w:adjustRightInd w:val="0"/>
              <w:snapToGrid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总的计划</w:t>
            </w:r>
            <w:r>
              <w:rPr>
                <w:rFonts w:hint="eastAsia" w:ascii="宋体" w:hAnsi="宋体" w:eastAsia="宋体" w:cs="宋体"/>
                <w:color w:val="auto"/>
                <w:sz w:val="21"/>
                <w:szCs w:val="21"/>
                <w:highlight w:val="none"/>
                <w:lang w:val="en-US" w:eastAsia="zh-CN"/>
              </w:rPr>
              <w:t>天</w:t>
            </w:r>
            <w:r>
              <w:rPr>
                <w:rFonts w:hint="eastAsia" w:ascii="宋体" w:hAnsi="宋体" w:eastAsia="宋体" w:cs="宋体"/>
                <w:color w:val="auto"/>
                <w:sz w:val="21"/>
                <w:szCs w:val="21"/>
                <w:highlight w:val="none"/>
              </w:rPr>
              <w:t>数</w:t>
            </w:r>
          </w:p>
        </w:tc>
        <w:tc>
          <w:tcPr>
            <w:tcW w:w="1528" w:type="pct"/>
            <w:gridSpan w:val="2"/>
            <w:noWrap w:val="0"/>
            <w:vAlign w:val="center"/>
          </w:tcPr>
          <w:p w14:paraId="5099B13A">
            <w:pPr>
              <w:pageBreakBefore w:val="0"/>
              <w:kinsoku/>
              <w:wordWrap/>
              <w:bidi w:val="0"/>
              <w:adjustRightInd w:val="0"/>
              <w:snapToGrid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派出人员构成</w:t>
            </w:r>
          </w:p>
        </w:tc>
        <w:tc>
          <w:tcPr>
            <w:tcW w:w="1128" w:type="pct"/>
            <w:vMerge w:val="restart"/>
            <w:noWrap w:val="0"/>
            <w:vAlign w:val="center"/>
          </w:tcPr>
          <w:p w14:paraId="7600EB9D">
            <w:pPr>
              <w:pageBreakBefore w:val="0"/>
              <w:kinsoku/>
              <w:wordWrap/>
              <w:bidi w:val="0"/>
              <w:adjustRightInd w:val="0"/>
              <w:snapToGrid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14:paraId="0F805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372" w:type="pct"/>
            <w:vMerge w:val="continue"/>
            <w:noWrap w:val="0"/>
            <w:vAlign w:val="center"/>
          </w:tcPr>
          <w:p w14:paraId="2A89E500">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035" w:type="pct"/>
            <w:vMerge w:val="continue"/>
            <w:noWrap w:val="0"/>
            <w:vAlign w:val="center"/>
          </w:tcPr>
          <w:p w14:paraId="67EF8B8C">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934" w:type="pct"/>
            <w:vMerge w:val="continue"/>
            <w:noWrap w:val="0"/>
            <w:vAlign w:val="center"/>
          </w:tcPr>
          <w:p w14:paraId="48D9E1D8">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738" w:type="pct"/>
            <w:noWrap w:val="0"/>
            <w:vAlign w:val="center"/>
          </w:tcPr>
          <w:p w14:paraId="3C269E2C">
            <w:pPr>
              <w:pageBreakBefore w:val="0"/>
              <w:kinsoku/>
              <w:wordWrap/>
              <w:bidi w:val="0"/>
              <w:adjustRightInd w:val="0"/>
              <w:snapToGrid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职称</w:t>
            </w:r>
          </w:p>
        </w:tc>
        <w:tc>
          <w:tcPr>
            <w:tcW w:w="790" w:type="pct"/>
            <w:noWrap w:val="0"/>
            <w:vAlign w:val="center"/>
          </w:tcPr>
          <w:p w14:paraId="42211465">
            <w:pPr>
              <w:pageBreakBefore w:val="0"/>
              <w:kinsoku/>
              <w:wordWrap/>
              <w:bidi w:val="0"/>
              <w:adjustRightInd w:val="0"/>
              <w:snapToGrid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人数</w:t>
            </w:r>
          </w:p>
        </w:tc>
        <w:tc>
          <w:tcPr>
            <w:tcW w:w="1128" w:type="pct"/>
            <w:vMerge w:val="continue"/>
            <w:noWrap w:val="0"/>
            <w:vAlign w:val="center"/>
          </w:tcPr>
          <w:p w14:paraId="3DC8CF91">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r w14:paraId="4774B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372" w:type="pct"/>
            <w:noWrap w:val="0"/>
            <w:vAlign w:val="center"/>
          </w:tcPr>
          <w:p w14:paraId="684EA3D2">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035" w:type="pct"/>
            <w:noWrap w:val="0"/>
            <w:vAlign w:val="center"/>
          </w:tcPr>
          <w:p w14:paraId="089E4313">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934" w:type="pct"/>
            <w:noWrap w:val="0"/>
            <w:vAlign w:val="center"/>
          </w:tcPr>
          <w:p w14:paraId="1B68244D">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738" w:type="pct"/>
            <w:noWrap w:val="0"/>
            <w:vAlign w:val="center"/>
          </w:tcPr>
          <w:p w14:paraId="5DB51C26">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790" w:type="pct"/>
            <w:noWrap w:val="0"/>
            <w:vAlign w:val="center"/>
          </w:tcPr>
          <w:p w14:paraId="1BF0FF57">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128" w:type="pct"/>
            <w:noWrap w:val="0"/>
            <w:vAlign w:val="center"/>
          </w:tcPr>
          <w:p w14:paraId="561B71C5">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r w14:paraId="4FFAA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372" w:type="pct"/>
            <w:noWrap w:val="0"/>
            <w:vAlign w:val="center"/>
          </w:tcPr>
          <w:p w14:paraId="2206538C">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035" w:type="pct"/>
            <w:noWrap w:val="0"/>
            <w:vAlign w:val="center"/>
          </w:tcPr>
          <w:p w14:paraId="158BA6E6">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934" w:type="pct"/>
            <w:noWrap w:val="0"/>
            <w:vAlign w:val="center"/>
          </w:tcPr>
          <w:p w14:paraId="4083B993">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738" w:type="pct"/>
            <w:noWrap w:val="0"/>
            <w:vAlign w:val="center"/>
          </w:tcPr>
          <w:p w14:paraId="79C69C61">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790" w:type="pct"/>
            <w:noWrap w:val="0"/>
            <w:vAlign w:val="center"/>
          </w:tcPr>
          <w:p w14:paraId="0542DE56">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128" w:type="pct"/>
            <w:noWrap w:val="0"/>
            <w:vAlign w:val="center"/>
          </w:tcPr>
          <w:p w14:paraId="12975286">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r w14:paraId="4E591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372" w:type="pct"/>
            <w:noWrap w:val="0"/>
            <w:vAlign w:val="center"/>
          </w:tcPr>
          <w:p w14:paraId="6A9BB194">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035" w:type="pct"/>
            <w:noWrap w:val="0"/>
            <w:vAlign w:val="center"/>
          </w:tcPr>
          <w:p w14:paraId="78F2E69F">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934" w:type="pct"/>
            <w:noWrap w:val="0"/>
            <w:vAlign w:val="center"/>
          </w:tcPr>
          <w:p w14:paraId="79B21D81">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738" w:type="pct"/>
            <w:noWrap w:val="0"/>
            <w:vAlign w:val="center"/>
          </w:tcPr>
          <w:p w14:paraId="59FCD311">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790" w:type="pct"/>
            <w:noWrap w:val="0"/>
            <w:vAlign w:val="center"/>
          </w:tcPr>
          <w:p w14:paraId="76452D96">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128" w:type="pct"/>
            <w:noWrap w:val="0"/>
            <w:vAlign w:val="center"/>
          </w:tcPr>
          <w:p w14:paraId="7970F52D">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bl>
    <w:p w14:paraId="463F8AD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.3.5投标人现场服务人员具有下列资质：</w:t>
      </w:r>
    </w:p>
    <w:p w14:paraId="0C0D788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遵守中华人民共和国法律，遵守现场的各项规章和制度</w:t>
      </w:r>
      <w:r>
        <w:rPr>
          <w:rFonts w:hint="eastAsia" w:ascii="宋体" w:hAnsi="宋体" w:cs="宋体"/>
          <w:color w:val="auto"/>
          <w:kern w:val="2"/>
          <w:sz w:val="21"/>
          <w:szCs w:val="21"/>
          <w:highlight w:val="none"/>
          <w:lang w:val="en-US" w:eastAsia="zh-CN" w:bidi="ar-SA"/>
        </w:rPr>
        <w:t>；</w:t>
      </w:r>
    </w:p>
    <w:p w14:paraId="4C17844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有较强的责任感和事业心，按时到位</w:t>
      </w:r>
      <w:r>
        <w:rPr>
          <w:rFonts w:hint="eastAsia" w:ascii="宋体" w:hAnsi="宋体" w:cs="宋体"/>
          <w:color w:val="auto"/>
          <w:kern w:val="2"/>
          <w:sz w:val="21"/>
          <w:szCs w:val="21"/>
          <w:highlight w:val="none"/>
          <w:lang w:val="en-US" w:eastAsia="zh-CN" w:bidi="ar-SA"/>
        </w:rPr>
        <w:t>；</w:t>
      </w:r>
    </w:p>
    <w:p w14:paraId="6A3E45F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了解招标设备的设计，熟悉其结构，有相同或相近设备的现场工作经验，能够正确地进行现场指导及作业</w:t>
      </w:r>
      <w:r>
        <w:rPr>
          <w:rFonts w:hint="eastAsia" w:ascii="宋体" w:hAnsi="宋体" w:cs="宋体"/>
          <w:color w:val="auto"/>
          <w:kern w:val="2"/>
          <w:sz w:val="21"/>
          <w:szCs w:val="21"/>
          <w:highlight w:val="none"/>
          <w:lang w:val="en-US" w:eastAsia="zh-CN" w:bidi="ar-SA"/>
        </w:rPr>
        <w:t>；</w:t>
      </w:r>
    </w:p>
    <w:p w14:paraId="6378EF7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4）</w:t>
      </w:r>
      <w:r>
        <w:rPr>
          <w:rFonts w:hint="eastAsia" w:ascii="宋体" w:hAnsi="宋体" w:eastAsia="宋体" w:cs="宋体"/>
          <w:color w:val="auto"/>
          <w:kern w:val="2"/>
          <w:sz w:val="21"/>
          <w:szCs w:val="21"/>
          <w:highlight w:val="none"/>
          <w:lang w:val="en-US" w:eastAsia="zh-CN" w:bidi="ar-SA"/>
        </w:rPr>
        <w:t>现场安装和调试人员应具备相应专业作业的国家承认的资格证书，具备从事相应工作的技术能力、管理能力。</w:t>
      </w:r>
    </w:p>
    <w:p w14:paraId="4D83A17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身体健康，适应现场工作的条件。</w:t>
      </w:r>
    </w:p>
    <w:p w14:paraId="07AE4667">
      <w:pPr>
        <w:keepNext w:val="0"/>
        <w:keepLines w:val="0"/>
        <w:pageBreakBefore w:val="0"/>
        <w:widowControl/>
        <w:kinsoku/>
        <w:wordWrap/>
        <w:overflowPunct/>
        <w:topLinePunct w:val="0"/>
        <w:autoSpaceDE/>
        <w:autoSpaceDN/>
        <w:bidi w:val="0"/>
        <w:adjustRightInd w:val="0"/>
        <w:snapToGrid w:val="0"/>
        <w:spacing w:after="0" w:line="360" w:lineRule="auto"/>
        <w:ind w:left="0" w:leftChars="0" w:firstLine="0" w:firstLineChars="0"/>
        <w:jc w:val="center"/>
        <w:textAlignment w:val="auto"/>
        <w:rPr>
          <w:rFonts w:hint="eastAsia" w:ascii="宋体" w:hAnsi="宋体" w:eastAsia="宋体" w:cs="宋体"/>
          <w:color w:val="auto"/>
          <w:spacing w:val="-1"/>
          <w:kern w:val="0"/>
          <w:sz w:val="21"/>
          <w:szCs w:val="21"/>
          <w:highlight w:val="none"/>
        </w:rPr>
      </w:pPr>
      <w:r>
        <w:rPr>
          <w:rFonts w:hint="eastAsia" w:ascii="宋体" w:hAnsi="宋体" w:eastAsia="宋体" w:cs="宋体"/>
          <w:color w:val="auto"/>
          <w:spacing w:val="-1"/>
          <w:kern w:val="0"/>
          <w:sz w:val="21"/>
          <w:szCs w:val="21"/>
          <w:highlight w:val="none"/>
        </w:rPr>
        <w:t>表11服务人员情况表</w:t>
      </w:r>
    </w:p>
    <w:tbl>
      <w:tblPr>
        <w:tblStyle w:val="32"/>
        <w:tblW w:w="4997" w:type="pct"/>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4"/>
        <w:gridCol w:w="962"/>
        <w:gridCol w:w="1637"/>
        <w:gridCol w:w="1223"/>
        <w:gridCol w:w="1130"/>
        <w:gridCol w:w="1132"/>
        <w:gridCol w:w="1229"/>
        <w:gridCol w:w="896"/>
      </w:tblGrid>
      <w:tr w14:paraId="6620A31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57" w:type="pct"/>
            <w:tcBorders>
              <w:top w:val="single" w:color="auto" w:sz="4" w:space="0"/>
              <w:left w:val="single" w:color="auto" w:sz="4" w:space="0"/>
              <w:bottom w:val="single" w:color="auto" w:sz="4" w:space="0"/>
            </w:tcBorders>
            <w:noWrap w:val="0"/>
            <w:vAlign w:val="center"/>
          </w:tcPr>
          <w:p w14:paraId="5FED428B">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姓名</w:t>
            </w:r>
          </w:p>
        </w:tc>
        <w:tc>
          <w:tcPr>
            <w:tcW w:w="497" w:type="pct"/>
            <w:tcBorders>
              <w:top w:val="single" w:color="auto" w:sz="4" w:space="0"/>
              <w:bottom w:val="single" w:color="auto" w:sz="4" w:space="0"/>
            </w:tcBorders>
            <w:noWrap w:val="0"/>
            <w:vAlign w:val="center"/>
          </w:tcPr>
          <w:p w14:paraId="26EE851F">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p>
        </w:tc>
        <w:tc>
          <w:tcPr>
            <w:tcW w:w="846" w:type="pct"/>
            <w:tcBorders>
              <w:top w:val="single" w:color="auto" w:sz="4" w:space="0"/>
              <w:bottom w:val="single" w:color="auto" w:sz="4" w:space="0"/>
            </w:tcBorders>
            <w:noWrap w:val="0"/>
            <w:vAlign w:val="center"/>
          </w:tcPr>
          <w:p w14:paraId="156719F9">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性别</w:t>
            </w:r>
          </w:p>
        </w:tc>
        <w:tc>
          <w:tcPr>
            <w:tcW w:w="632" w:type="pct"/>
            <w:tcBorders>
              <w:top w:val="single" w:color="auto" w:sz="4" w:space="0"/>
              <w:bottom w:val="single" w:color="auto" w:sz="4" w:space="0"/>
            </w:tcBorders>
            <w:noWrap w:val="0"/>
            <w:vAlign w:val="center"/>
          </w:tcPr>
          <w:p w14:paraId="442D41AC">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p>
        </w:tc>
        <w:tc>
          <w:tcPr>
            <w:tcW w:w="584" w:type="pct"/>
            <w:tcBorders>
              <w:top w:val="single" w:color="auto" w:sz="4" w:space="0"/>
              <w:bottom w:val="single" w:color="auto" w:sz="4" w:space="0"/>
            </w:tcBorders>
            <w:noWrap w:val="0"/>
            <w:vAlign w:val="center"/>
          </w:tcPr>
          <w:p w14:paraId="6D20711E">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年龄</w:t>
            </w:r>
          </w:p>
        </w:tc>
        <w:tc>
          <w:tcPr>
            <w:tcW w:w="585" w:type="pct"/>
            <w:tcBorders>
              <w:top w:val="single" w:color="auto" w:sz="4" w:space="0"/>
              <w:bottom w:val="single" w:color="auto" w:sz="4" w:space="0"/>
            </w:tcBorders>
            <w:noWrap w:val="0"/>
            <w:vAlign w:val="center"/>
          </w:tcPr>
          <w:p w14:paraId="098A8F27">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p>
        </w:tc>
        <w:tc>
          <w:tcPr>
            <w:tcW w:w="635" w:type="pct"/>
            <w:tcBorders>
              <w:top w:val="single" w:color="auto" w:sz="4" w:space="0"/>
              <w:bottom w:val="single" w:color="auto" w:sz="4" w:space="0"/>
            </w:tcBorders>
            <w:noWrap w:val="0"/>
            <w:vAlign w:val="center"/>
          </w:tcPr>
          <w:p w14:paraId="747EC2E8">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民族</w:t>
            </w:r>
          </w:p>
        </w:tc>
        <w:tc>
          <w:tcPr>
            <w:tcW w:w="460" w:type="pct"/>
            <w:tcBorders>
              <w:top w:val="single" w:color="auto" w:sz="4" w:space="0"/>
              <w:bottom w:val="single" w:color="auto" w:sz="4" w:space="0"/>
              <w:right w:val="single" w:color="auto" w:sz="4" w:space="0"/>
            </w:tcBorders>
            <w:noWrap w:val="0"/>
            <w:vAlign w:val="center"/>
          </w:tcPr>
          <w:p w14:paraId="5692BFCA">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p>
        </w:tc>
      </w:tr>
      <w:tr w14:paraId="6CDA1B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57" w:type="pct"/>
            <w:tcBorders>
              <w:top w:val="single" w:color="auto" w:sz="4" w:space="0"/>
              <w:left w:val="single" w:color="auto" w:sz="4" w:space="0"/>
              <w:bottom w:val="single" w:color="auto" w:sz="4" w:space="0"/>
            </w:tcBorders>
            <w:noWrap w:val="0"/>
            <w:vAlign w:val="center"/>
          </w:tcPr>
          <w:p w14:paraId="77C96481">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政治</w:t>
            </w:r>
          </w:p>
          <w:p w14:paraId="7563193A">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面貌</w:t>
            </w:r>
          </w:p>
        </w:tc>
        <w:tc>
          <w:tcPr>
            <w:tcW w:w="497" w:type="pct"/>
            <w:tcBorders>
              <w:top w:val="single" w:color="auto" w:sz="4" w:space="0"/>
              <w:bottom w:val="single" w:color="auto" w:sz="4" w:space="0"/>
            </w:tcBorders>
            <w:noWrap w:val="0"/>
            <w:vAlign w:val="center"/>
          </w:tcPr>
          <w:p w14:paraId="3EA6C0A0">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p>
        </w:tc>
        <w:tc>
          <w:tcPr>
            <w:tcW w:w="846" w:type="pct"/>
            <w:tcBorders>
              <w:top w:val="single" w:color="auto" w:sz="4" w:space="0"/>
              <w:bottom w:val="single" w:color="auto" w:sz="4" w:space="0"/>
            </w:tcBorders>
            <w:noWrap w:val="0"/>
            <w:vAlign w:val="center"/>
          </w:tcPr>
          <w:p w14:paraId="049736D8">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学校和专业</w:t>
            </w:r>
          </w:p>
        </w:tc>
        <w:tc>
          <w:tcPr>
            <w:tcW w:w="632" w:type="pct"/>
            <w:tcBorders>
              <w:top w:val="single" w:color="auto" w:sz="4" w:space="0"/>
              <w:bottom w:val="single" w:color="auto" w:sz="4" w:space="0"/>
            </w:tcBorders>
            <w:noWrap w:val="0"/>
            <w:vAlign w:val="center"/>
          </w:tcPr>
          <w:p w14:paraId="6B256F81">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p>
        </w:tc>
        <w:tc>
          <w:tcPr>
            <w:tcW w:w="584" w:type="pct"/>
            <w:tcBorders>
              <w:top w:val="single" w:color="auto" w:sz="4" w:space="0"/>
              <w:bottom w:val="single" w:color="auto" w:sz="4" w:space="0"/>
            </w:tcBorders>
            <w:noWrap w:val="0"/>
            <w:vAlign w:val="center"/>
          </w:tcPr>
          <w:p w14:paraId="1CFE23AE">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职务</w:t>
            </w:r>
          </w:p>
        </w:tc>
        <w:tc>
          <w:tcPr>
            <w:tcW w:w="585" w:type="pct"/>
            <w:tcBorders>
              <w:top w:val="single" w:color="auto" w:sz="4" w:space="0"/>
              <w:bottom w:val="single" w:color="auto" w:sz="4" w:space="0"/>
            </w:tcBorders>
            <w:noWrap w:val="0"/>
            <w:vAlign w:val="center"/>
          </w:tcPr>
          <w:p w14:paraId="6C4FEEF9">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p>
        </w:tc>
        <w:tc>
          <w:tcPr>
            <w:tcW w:w="635" w:type="pct"/>
            <w:tcBorders>
              <w:top w:val="single" w:color="auto" w:sz="4" w:space="0"/>
              <w:bottom w:val="single" w:color="auto" w:sz="4" w:space="0"/>
            </w:tcBorders>
            <w:noWrap w:val="0"/>
            <w:vAlign w:val="center"/>
          </w:tcPr>
          <w:p w14:paraId="64C58057">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职称</w:t>
            </w:r>
          </w:p>
        </w:tc>
        <w:tc>
          <w:tcPr>
            <w:tcW w:w="460" w:type="pct"/>
            <w:tcBorders>
              <w:top w:val="single" w:color="auto" w:sz="4" w:space="0"/>
              <w:bottom w:val="single" w:color="auto" w:sz="4" w:space="0"/>
              <w:right w:val="single" w:color="auto" w:sz="4" w:space="0"/>
            </w:tcBorders>
            <w:noWrap w:val="0"/>
            <w:vAlign w:val="center"/>
          </w:tcPr>
          <w:p w14:paraId="1C92E4F0">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p>
        </w:tc>
      </w:tr>
      <w:tr w14:paraId="0C74DDC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843" w:hRule="atLeast"/>
        </w:trPr>
        <w:tc>
          <w:tcPr>
            <w:tcW w:w="757" w:type="pct"/>
            <w:tcBorders>
              <w:top w:val="single" w:color="auto" w:sz="4" w:space="0"/>
              <w:left w:val="single" w:color="auto" w:sz="4" w:space="0"/>
              <w:bottom w:val="single" w:color="auto" w:sz="4" w:space="0"/>
              <w:right w:val="single" w:color="auto" w:sz="4" w:space="0"/>
            </w:tcBorders>
            <w:noWrap w:val="0"/>
            <w:textDirection w:val="tbRlV"/>
            <w:vAlign w:val="center"/>
          </w:tcPr>
          <w:p w14:paraId="63F7CFE0">
            <w:pPr>
              <w:pageBreakBefore w:val="0"/>
              <w:kinsoku/>
              <w:wordWrap/>
              <w:bidi w:val="0"/>
              <w:spacing w:after="0" w:line="240" w:lineRule="auto"/>
              <w:ind w:left="0" w:leftChars="0" w:right="113"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工作简历</w:t>
            </w:r>
          </w:p>
        </w:tc>
        <w:tc>
          <w:tcPr>
            <w:tcW w:w="4242" w:type="pct"/>
            <w:gridSpan w:val="7"/>
            <w:tcBorders>
              <w:top w:val="single" w:color="auto" w:sz="4" w:space="0"/>
              <w:left w:val="single" w:color="auto" w:sz="4" w:space="0"/>
              <w:bottom w:val="single" w:color="auto" w:sz="4" w:space="0"/>
              <w:right w:val="single" w:color="auto" w:sz="4" w:space="0"/>
            </w:tcBorders>
            <w:noWrap w:val="0"/>
            <w:vAlign w:val="center"/>
          </w:tcPr>
          <w:p w14:paraId="21CC9881">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（包括参加了哪些工程的现场服务）</w:t>
            </w:r>
          </w:p>
        </w:tc>
      </w:tr>
      <w:tr w14:paraId="230D5A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524" w:hRule="atLeast"/>
        </w:trPr>
        <w:tc>
          <w:tcPr>
            <w:tcW w:w="757" w:type="pct"/>
            <w:tcBorders>
              <w:top w:val="single" w:color="auto" w:sz="4" w:space="0"/>
              <w:left w:val="single" w:color="auto" w:sz="4" w:space="0"/>
              <w:bottom w:val="single" w:color="auto" w:sz="4" w:space="0"/>
              <w:right w:val="single" w:color="auto" w:sz="4" w:space="0"/>
            </w:tcBorders>
            <w:noWrap w:val="0"/>
            <w:textDirection w:val="tbRlV"/>
            <w:vAlign w:val="center"/>
          </w:tcPr>
          <w:p w14:paraId="025478B9">
            <w:pPr>
              <w:pageBreakBefore w:val="0"/>
              <w:kinsoku/>
              <w:wordWrap/>
              <w:bidi w:val="0"/>
              <w:spacing w:after="0" w:line="240" w:lineRule="auto"/>
              <w:ind w:left="0" w:leftChars="0" w:right="113"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单位评价</w:t>
            </w:r>
          </w:p>
        </w:tc>
        <w:tc>
          <w:tcPr>
            <w:tcW w:w="4242" w:type="pct"/>
            <w:gridSpan w:val="7"/>
            <w:tcBorders>
              <w:top w:val="single" w:color="auto" w:sz="4" w:space="0"/>
              <w:left w:val="single" w:color="auto" w:sz="4" w:space="0"/>
              <w:bottom w:val="single" w:color="auto" w:sz="4" w:space="0"/>
              <w:right w:val="single" w:color="auto" w:sz="4" w:space="0"/>
            </w:tcBorders>
            <w:noWrap w:val="0"/>
            <w:vAlign w:val="center"/>
          </w:tcPr>
          <w:p w14:paraId="02D75030">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（按资质5条逐条评价）</w:t>
            </w:r>
          </w:p>
          <w:p w14:paraId="76595ABD">
            <w:pPr>
              <w:pageBreakBefore w:val="0"/>
              <w:kinsoku/>
              <w:wordWrap/>
              <w:bidi w:val="0"/>
              <w:spacing w:after="0" w:line="240" w:lineRule="auto"/>
              <w:ind w:left="0" w:leftChars="0" w:firstLine="0" w:firstLineChars="0"/>
              <w:jc w:val="right"/>
              <w:rPr>
                <w:rFonts w:hint="eastAsia" w:ascii="宋体" w:hAnsi="宋体" w:eastAsia="宋体" w:cs="宋体"/>
                <w:color w:val="auto"/>
                <w:sz w:val="21"/>
                <w:szCs w:val="21"/>
                <w:highlight w:val="none"/>
              </w:rPr>
            </w:pPr>
          </w:p>
          <w:p w14:paraId="67F21258">
            <w:pPr>
              <w:pageBreakBefore w:val="0"/>
              <w:kinsoku/>
              <w:wordWrap/>
              <w:bidi w:val="0"/>
              <w:spacing w:after="0" w:line="240" w:lineRule="auto"/>
              <w:ind w:left="0" w:leftChars="0" w:right="420" w:firstLine="0" w:firstLineChars="0"/>
              <w:jc w:val="righ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单位（盖章）</w:t>
            </w:r>
          </w:p>
          <w:p w14:paraId="26270031">
            <w:pPr>
              <w:pageBreakBefore w:val="0"/>
              <w:kinsoku/>
              <w:wordWrap/>
              <w:bidi w:val="0"/>
              <w:spacing w:after="0" w:line="240" w:lineRule="auto"/>
              <w:ind w:left="0" w:leftChars="0" w:right="480" w:firstLine="0" w:firstLineChars="0"/>
              <w:jc w:val="righ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年月日</w:t>
            </w:r>
          </w:p>
        </w:tc>
      </w:tr>
    </w:tbl>
    <w:p w14:paraId="6370F22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（注：每人一表）</w:t>
      </w:r>
    </w:p>
    <w:p w14:paraId="2313AB4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.3.6投标人现场技术服务人员的职责</w:t>
      </w:r>
    </w:p>
    <w:p w14:paraId="4F768C1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投标人现场服务人员的任务主要包括设备的开箱检验、设备质量问题的处理和设备调试的协调、参加试运和性能验收试验以及现场技术培训。</w:t>
      </w:r>
    </w:p>
    <w:p w14:paraId="5A6A24A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在安装和调试前，投标人技术服务人员应向</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进行交底，提供设备安装和调试的重要工序和进度表，</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技术人员要对此进行确认。经</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确认的工序不因此而减轻投标人技术服务人员的任何责任，对安装和调试中出现的任何问题投标人仍要负全部责任。</w:t>
      </w:r>
    </w:p>
    <w:p w14:paraId="7D58AA92">
      <w:pPr>
        <w:rPr>
          <w:rFonts w:hint="eastAsia" w:ascii="宋体" w:hAnsi="宋体" w:eastAsia="宋体" w:cs="宋体"/>
          <w:color w:val="auto"/>
          <w:spacing w:val="-1"/>
          <w:kern w:val="0"/>
          <w:sz w:val="21"/>
          <w:szCs w:val="21"/>
          <w:highlight w:val="none"/>
        </w:rPr>
      </w:pPr>
      <w:r>
        <w:rPr>
          <w:rFonts w:hint="eastAsia" w:ascii="宋体" w:hAnsi="宋体" w:eastAsia="宋体" w:cs="宋体"/>
          <w:color w:val="auto"/>
          <w:spacing w:val="-1"/>
          <w:kern w:val="0"/>
          <w:sz w:val="21"/>
          <w:szCs w:val="21"/>
          <w:highlight w:val="none"/>
        </w:rPr>
        <w:br w:type="page"/>
      </w:r>
    </w:p>
    <w:p w14:paraId="2398C386">
      <w:pPr>
        <w:keepNext w:val="0"/>
        <w:keepLines w:val="0"/>
        <w:pageBreakBefore w:val="0"/>
        <w:widowControl/>
        <w:kinsoku/>
        <w:wordWrap/>
        <w:overflowPunct/>
        <w:topLinePunct w:val="0"/>
        <w:autoSpaceDE/>
        <w:autoSpaceDN/>
        <w:bidi w:val="0"/>
        <w:adjustRightInd w:val="0"/>
        <w:snapToGrid w:val="0"/>
        <w:spacing w:after="0" w:line="360" w:lineRule="auto"/>
        <w:ind w:left="0" w:leftChars="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pacing w:val="-1"/>
          <w:kern w:val="0"/>
          <w:sz w:val="21"/>
          <w:szCs w:val="21"/>
          <w:highlight w:val="none"/>
        </w:rPr>
        <w:t>表12</w:t>
      </w:r>
      <w:r>
        <w:rPr>
          <w:rFonts w:hint="eastAsia" w:ascii="宋体" w:hAnsi="宋体" w:eastAsia="宋体" w:cs="宋体"/>
          <w:color w:val="auto"/>
          <w:spacing w:val="-1"/>
          <w:kern w:val="0"/>
          <w:sz w:val="21"/>
          <w:szCs w:val="21"/>
          <w:highlight w:val="none"/>
        </w:rPr>
        <w:tab/>
      </w:r>
      <w:r>
        <w:rPr>
          <w:rFonts w:hint="eastAsia" w:ascii="宋体" w:hAnsi="宋体" w:eastAsia="宋体" w:cs="宋体"/>
          <w:color w:val="auto"/>
          <w:spacing w:val="-1"/>
          <w:kern w:val="0"/>
          <w:sz w:val="21"/>
          <w:szCs w:val="21"/>
          <w:highlight w:val="none"/>
        </w:rPr>
        <w:t>安装和调试监督的重要工序表</w:t>
      </w:r>
    </w:p>
    <w:tbl>
      <w:tblPr>
        <w:tblStyle w:val="32"/>
        <w:tblW w:w="4998"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28" w:type="dxa"/>
          <w:bottom w:w="0" w:type="dxa"/>
          <w:right w:w="28" w:type="dxa"/>
        </w:tblCellMar>
      </w:tblPr>
      <w:tblGrid>
        <w:gridCol w:w="923"/>
        <w:gridCol w:w="3021"/>
        <w:gridCol w:w="3021"/>
        <w:gridCol w:w="2550"/>
      </w:tblGrid>
      <w:tr w14:paraId="208C80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trPr>
        <w:tc>
          <w:tcPr>
            <w:tcW w:w="485" w:type="pct"/>
            <w:noWrap w:val="0"/>
            <w:vAlign w:val="center"/>
          </w:tcPr>
          <w:p w14:paraId="6FC89E14">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587" w:type="pct"/>
            <w:noWrap w:val="0"/>
            <w:vAlign w:val="center"/>
          </w:tcPr>
          <w:p w14:paraId="64144122">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工序名称</w:t>
            </w:r>
          </w:p>
        </w:tc>
        <w:tc>
          <w:tcPr>
            <w:tcW w:w="1587" w:type="pct"/>
            <w:noWrap w:val="0"/>
            <w:vAlign w:val="center"/>
          </w:tcPr>
          <w:p w14:paraId="1D79080F">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工序主要内容</w:t>
            </w:r>
          </w:p>
        </w:tc>
        <w:tc>
          <w:tcPr>
            <w:tcW w:w="1339" w:type="pct"/>
            <w:noWrap w:val="0"/>
            <w:vAlign w:val="center"/>
          </w:tcPr>
          <w:p w14:paraId="64C43FA5">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14:paraId="2F21B9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485" w:type="pct"/>
            <w:noWrap w:val="0"/>
            <w:vAlign w:val="center"/>
          </w:tcPr>
          <w:p w14:paraId="0C29EDD4">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587" w:type="pct"/>
            <w:noWrap w:val="0"/>
            <w:vAlign w:val="center"/>
          </w:tcPr>
          <w:p w14:paraId="05DB450E">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设备安装</w:t>
            </w:r>
          </w:p>
        </w:tc>
        <w:tc>
          <w:tcPr>
            <w:tcW w:w="1587" w:type="pct"/>
            <w:noWrap w:val="0"/>
            <w:vAlign w:val="center"/>
          </w:tcPr>
          <w:p w14:paraId="5872618F">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339" w:type="pct"/>
            <w:noWrap w:val="0"/>
            <w:vAlign w:val="center"/>
          </w:tcPr>
          <w:p w14:paraId="24439B62">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r w14:paraId="2F3F38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485" w:type="pct"/>
            <w:noWrap w:val="0"/>
            <w:vAlign w:val="center"/>
          </w:tcPr>
          <w:p w14:paraId="4EE0DE98">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587" w:type="pct"/>
            <w:noWrap w:val="0"/>
            <w:vAlign w:val="center"/>
          </w:tcPr>
          <w:p w14:paraId="4CEDE8C5">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设备调试</w:t>
            </w:r>
          </w:p>
        </w:tc>
        <w:tc>
          <w:tcPr>
            <w:tcW w:w="1587" w:type="pct"/>
            <w:noWrap w:val="0"/>
            <w:vAlign w:val="center"/>
          </w:tcPr>
          <w:p w14:paraId="2A1C012B">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339" w:type="pct"/>
            <w:noWrap w:val="0"/>
            <w:vAlign w:val="center"/>
          </w:tcPr>
          <w:p w14:paraId="54C56B2D">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bl>
    <w:p w14:paraId="6978E2E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投标人现场服务人员负责全权处理现场出现的一切技术问题。如现场发生质量问题，投标人现场人员要在</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规定的时间内处理解决。</w:t>
      </w:r>
    </w:p>
    <w:p w14:paraId="3CE30B1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4）</w:t>
      </w:r>
      <w:r>
        <w:rPr>
          <w:rFonts w:hint="eastAsia" w:ascii="宋体" w:hAnsi="宋体" w:eastAsia="宋体" w:cs="宋体"/>
          <w:color w:val="auto"/>
          <w:kern w:val="2"/>
          <w:sz w:val="21"/>
          <w:szCs w:val="21"/>
          <w:highlight w:val="none"/>
          <w:lang w:val="en-US" w:eastAsia="zh-CN" w:bidi="ar-SA"/>
        </w:rPr>
        <w:t>投标人对其现场服务人员的一切行为负全部责任。</w:t>
      </w:r>
    </w:p>
    <w:p w14:paraId="49B0880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.3.7</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的义务</w:t>
      </w:r>
    </w:p>
    <w:p w14:paraId="2C7DE68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应配合投标人现场服务人员的工作，并在生活、交通和通讯上提供方便。</w:t>
      </w:r>
    </w:p>
    <w:p w14:paraId="079C168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.4人员培训</w:t>
      </w:r>
    </w:p>
    <w:p w14:paraId="4861842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为使招标设备能正常安装、调试、运行、维护及检修，投标人有责任提供相应的技术培训。</w:t>
      </w:r>
    </w:p>
    <w:p w14:paraId="60A321D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.4.1培训内容应包括：投标人所提供设备的性能、技术原理和操作使用方法，维护管理的技术，实际操作练习，培训内容和时间应与工程进度相一致。</w:t>
      </w:r>
    </w:p>
    <w:p w14:paraId="4796B7AB">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.4.2投标人应列出具体的培训计划。</w:t>
      </w:r>
    </w:p>
    <w:p w14:paraId="4BA8C9BB">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.4.3厂验及培训人数、时间等事宜在谈判时再由双方商定，投标人先报出人</w:t>
      </w:r>
      <w:r>
        <w:rPr>
          <w:rFonts w:hint="eastAsia" w:ascii="宋体" w:hAnsi="宋体" w:eastAsia="宋体" w:cs="宋体"/>
          <w:color w:val="auto"/>
          <w:kern w:val="2"/>
          <w:sz w:val="21"/>
          <w:szCs w:val="21"/>
          <w:highlight w:val="none"/>
          <w:u w:val="single"/>
          <w:lang w:val="en-US" w:eastAsia="zh-CN" w:bidi="ar-SA"/>
        </w:rPr>
        <w:t>·</w:t>
      </w:r>
      <w:r>
        <w:rPr>
          <w:rFonts w:hint="eastAsia" w:ascii="宋体" w:hAnsi="宋体" w:eastAsia="宋体" w:cs="宋体"/>
          <w:color w:val="auto"/>
          <w:kern w:val="2"/>
          <w:sz w:val="21"/>
          <w:szCs w:val="21"/>
          <w:highlight w:val="none"/>
          <w:lang w:val="en-US" w:eastAsia="zh-CN" w:bidi="ar-SA"/>
        </w:rPr>
        <w:t>天单价。</w:t>
      </w:r>
    </w:p>
    <w:p w14:paraId="3E7C6A8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.4.4培训计划和内容列出如下：</w:t>
      </w:r>
    </w:p>
    <w:p w14:paraId="53A38102">
      <w:pPr>
        <w:keepNext w:val="0"/>
        <w:keepLines w:val="0"/>
        <w:pageBreakBefore w:val="0"/>
        <w:widowControl/>
        <w:kinsoku/>
        <w:wordWrap/>
        <w:overflowPunct/>
        <w:topLinePunct w:val="0"/>
        <w:autoSpaceDE/>
        <w:autoSpaceDN/>
        <w:bidi w:val="0"/>
        <w:adjustRightInd w:val="0"/>
        <w:snapToGrid w:val="0"/>
        <w:spacing w:after="0" w:line="360" w:lineRule="auto"/>
        <w:ind w:left="0" w:leftChars="0" w:firstLine="0" w:firstLineChars="0"/>
        <w:jc w:val="center"/>
        <w:textAlignment w:val="auto"/>
        <w:rPr>
          <w:rFonts w:hint="eastAsia" w:ascii="宋体" w:hAnsi="宋体" w:eastAsia="宋体" w:cs="宋体"/>
          <w:color w:val="auto"/>
          <w:spacing w:val="-1"/>
          <w:kern w:val="0"/>
          <w:sz w:val="21"/>
          <w:szCs w:val="21"/>
          <w:highlight w:val="none"/>
        </w:rPr>
      </w:pPr>
      <w:r>
        <w:rPr>
          <w:rFonts w:hint="eastAsia" w:ascii="宋体" w:hAnsi="宋体" w:eastAsia="宋体" w:cs="宋体"/>
          <w:color w:val="auto"/>
          <w:spacing w:val="-1"/>
          <w:kern w:val="0"/>
          <w:sz w:val="21"/>
          <w:szCs w:val="21"/>
          <w:highlight w:val="none"/>
        </w:rPr>
        <w:t>表13培训计划表</w:t>
      </w:r>
    </w:p>
    <w:tbl>
      <w:tblPr>
        <w:tblStyle w:val="32"/>
        <w:tblW w:w="4997"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28" w:type="dxa"/>
          <w:bottom w:w="0" w:type="dxa"/>
          <w:right w:w="28" w:type="dxa"/>
        </w:tblCellMar>
      </w:tblPr>
      <w:tblGrid>
        <w:gridCol w:w="1158"/>
        <w:gridCol w:w="1677"/>
        <w:gridCol w:w="1611"/>
        <w:gridCol w:w="1224"/>
        <w:gridCol w:w="1224"/>
        <w:gridCol w:w="1224"/>
        <w:gridCol w:w="1395"/>
      </w:tblGrid>
      <w:tr w14:paraId="599C85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608" w:type="pct"/>
            <w:vMerge w:val="restart"/>
            <w:noWrap w:val="0"/>
            <w:vAlign w:val="center"/>
          </w:tcPr>
          <w:p w14:paraId="7AACD528">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881" w:type="pct"/>
            <w:vMerge w:val="restart"/>
            <w:noWrap w:val="0"/>
            <w:vAlign w:val="center"/>
          </w:tcPr>
          <w:p w14:paraId="52B08767">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培训内容</w:t>
            </w:r>
          </w:p>
        </w:tc>
        <w:tc>
          <w:tcPr>
            <w:tcW w:w="846" w:type="pct"/>
            <w:vMerge w:val="restart"/>
            <w:noWrap w:val="0"/>
            <w:vAlign w:val="center"/>
          </w:tcPr>
          <w:p w14:paraId="1BB6EB2A">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计划</w:t>
            </w:r>
            <w:r>
              <w:rPr>
                <w:rFonts w:hint="eastAsia" w:ascii="宋体" w:hAnsi="宋体" w:eastAsia="宋体" w:cs="宋体"/>
                <w:color w:val="auto"/>
                <w:sz w:val="21"/>
                <w:szCs w:val="21"/>
                <w:highlight w:val="none"/>
                <w:lang w:val="en-US" w:eastAsia="zh-CN"/>
              </w:rPr>
              <w:t>天</w:t>
            </w:r>
            <w:r>
              <w:rPr>
                <w:rFonts w:hint="eastAsia" w:ascii="宋体" w:hAnsi="宋体" w:eastAsia="宋体" w:cs="宋体"/>
                <w:color w:val="auto"/>
                <w:sz w:val="21"/>
                <w:szCs w:val="21"/>
                <w:highlight w:val="none"/>
              </w:rPr>
              <w:t>数</w:t>
            </w:r>
          </w:p>
        </w:tc>
        <w:tc>
          <w:tcPr>
            <w:tcW w:w="1286" w:type="pct"/>
            <w:gridSpan w:val="2"/>
            <w:noWrap w:val="0"/>
            <w:vAlign w:val="center"/>
          </w:tcPr>
          <w:p w14:paraId="5188D0F9">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培训教师构成</w:t>
            </w:r>
          </w:p>
        </w:tc>
        <w:tc>
          <w:tcPr>
            <w:tcW w:w="643" w:type="pct"/>
            <w:vMerge w:val="restart"/>
            <w:noWrap w:val="0"/>
            <w:vAlign w:val="center"/>
          </w:tcPr>
          <w:p w14:paraId="0817D8AE">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地点</w:t>
            </w:r>
          </w:p>
        </w:tc>
        <w:tc>
          <w:tcPr>
            <w:tcW w:w="733" w:type="pct"/>
            <w:vMerge w:val="restart"/>
            <w:noWrap w:val="0"/>
            <w:vAlign w:val="center"/>
          </w:tcPr>
          <w:p w14:paraId="71F1077B">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14:paraId="7D8830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608" w:type="pct"/>
            <w:vMerge w:val="continue"/>
            <w:noWrap w:val="0"/>
            <w:vAlign w:val="center"/>
          </w:tcPr>
          <w:p w14:paraId="6B06AE7A">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881" w:type="pct"/>
            <w:vMerge w:val="continue"/>
            <w:noWrap w:val="0"/>
            <w:vAlign w:val="center"/>
          </w:tcPr>
          <w:p w14:paraId="1AFA620F">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846" w:type="pct"/>
            <w:vMerge w:val="continue"/>
            <w:noWrap w:val="0"/>
            <w:vAlign w:val="center"/>
          </w:tcPr>
          <w:p w14:paraId="53BCC28D">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643" w:type="pct"/>
            <w:noWrap w:val="0"/>
            <w:vAlign w:val="center"/>
          </w:tcPr>
          <w:p w14:paraId="5A0C9A1A">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职称</w:t>
            </w:r>
          </w:p>
        </w:tc>
        <w:tc>
          <w:tcPr>
            <w:tcW w:w="643" w:type="pct"/>
            <w:noWrap w:val="0"/>
            <w:vAlign w:val="center"/>
          </w:tcPr>
          <w:p w14:paraId="50F62940">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人数</w:t>
            </w:r>
          </w:p>
        </w:tc>
        <w:tc>
          <w:tcPr>
            <w:tcW w:w="643" w:type="pct"/>
            <w:vMerge w:val="continue"/>
            <w:noWrap w:val="0"/>
            <w:vAlign w:val="center"/>
          </w:tcPr>
          <w:p w14:paraId="7263FFAD">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733" w:type="pct"/>
            <w:vMerge w:val="continue"/>
            <w:noWrap w:val="0"/>
            <w:vAlign w:val="center"/>
          </w:tcPr>
          <w:p w14:paraId="616F7191">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r w14:paraId="743DBA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608" w:type="pct"/>
            <w:noWrap w:val="0"/>
            <w:vAlign w:val="center"/>
          </w:tcPr>
          <w:p w14:paraId="757D5591">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881" w:type="pct"/>
            <w:noWrap w:val="0"/>
            <w:vAlign w:val="center"/>
          </w:tcPr>
          <w:p w14:paraId="2223E4B9">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846" w:type="pct"/>
            <w:noWrap w:val="0"/>
            <w:vAlign w:val="center"/>
          </w:tcPr>
          <w:p w14:paraId="48209C9B">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643" w:type="pct"/>
            <w:noWrap w:val="0"/>
            <w:vAlign w:val="center"/>
          </w:tcPr>
          <w:p w14:paraId="070CE7B3">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643" w:type="pct"/>
            <w:noWrap w:val="0"/>
            <w:vAlign w:val="center"/>
          </w:tcPr>
          <w:p w14:paraId="3D6CFFB6">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643" w:type="pct"/>
            <w:noWrap w:val="0"/>
            <w:vAlign w:val="center"/>
          </w:tcPr>
          <w:p w14:paraId="3345231D">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733" w:type="pct"/>
            <w:noWrap w:val="0"/>
            <w:vAlign w:val="center"/>
          </w:tcPr>
          <w:p w14:paraId="31C4CC96">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r w14:paraId="67BF34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608" w:type="pct"/>
            <w:noWrap w:val="0"/>
            <w:vAlign w:val="center"/>
          </w:tcPr>
          <w:p w14:paraId="757CA43F">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881" w:type="pct"/>
            <w:noWrap w:val="0"/>
            <w:vAlign w:val="center"/>
          </w:tcPr>
          <w:p w14:paraId="6F348D1D">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846" w:type="pct"/>
            <w:noWrap w:val="0"/>
            <w:vAlign w:val="center"/>
          </w:tcPr>
          <w:p w14:paraId="513928FC">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643" w:type="pct"/>
            <w:noWrap w:val="0"/>
            <w:vAlign w:val="center"/>
          </w:tcPr>
          <w:p w14:paraId="12973297">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643" w:type="pct"/>
            <w:noWrap w:val="0"/>
            <w:vAlign w:val="center"/>
          </w:tcPr>
          <w:p w14:paraId="1946DC9E">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643" w:type="pct"/>
            <w:noWrap w:val="0"/>
            <w:vAlign w:val="center"/>
          </w:tcPr>
          <w:p w14:paraId="3F6B072F">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733" w:type="pct"/>
            <w:noWrap w:val="0"/>
            <w:vAlign w:val="center"/>
          </w:tcPr>
          <w:p w14:paraId="552F5AC8">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r w14:paraId="1FD48A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608" w:type="pct"/>
            <w:noWrap w:val="0"/>
            <w:vAlign w:val="center"/>
          </w:tcPr>
          <w:p w14:paraId="41C6C604">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881" w:type="pct"/>
            <w:noWrap w:val="0"/>
            <w:vAlign w:val="center"/>
          </w:tcPr>
          <w:p w14:paraId="6C0438A8">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846" w:type="pct"/>
            <w:noWrap w:val="0"/>
            <w:vAlign w:val="center"/>
          </w:tcPr>
          <w:p w14:paraId="696AFB54">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643" w:type="pct"/>
            <w:noWrap w:val="0"/>
            <w:vAlign w:val="center"/>
          </w:tcPr>
          <w:p w14:paraId="5635400B">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643" w:type="pct"/>
            <w:noWrap w:val="0"/>
            <w:vAlign w:val="center"/>
          </w:tcPr>
          <w:p w14:paraId="6A9C0B69">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643" w:type="pct"/>
            <w:noWrap w:val="0"/>
            <w:vAlign w:val="center"/>
          </w:tcPr>
          <w:p w14:paraId="48954750">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733" w:type="pct"/>
            <w:noWrap w:val="0"/>
            <w:vAlign w:val="center"/>
          </w:tcPr>
          <w:p w14:paraId="0DB773E6">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bl>
    <w:p w14:paraId="01AF966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.4.5培训的时间、人数、地点由投标人填写。</w:t>
      </w:r>
    </w:p>
    <w:p w14:paraId="5BA090A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.5设计联络</w:t>
      </w:r>
    </w:p>
    <w:p w14:paraId="51357EC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有关设计联络的计划、时间、地点和内容要求由招投标双方商定。</w:t>
      </w:r>
    </w:p>
    <w:p w14:paraId="53A4663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6</w:t>
      </w:r>
      <w:r>
        <w:rPr>
          <w:rFonts w:hint="eastAsia" w:ascii="宋体" w:hAnsi="宋体" w:eastAsia="宋体" w:cs="宋体"/>
          <w:color w:val="auto"/>
          <w:kern w:val="2"/>
          <w:sz w:val="21"/>
          <w:szCs w:val="21"/>
          <w:highlight w:val="none"/>
          <w:lang w:val="en-US" w:eastAsia="zh-CN" w:bidi="ar-SA"/>
        </w:rPr>
        <w:t>包装、装卸、运输与储存</w:t>
      </w:r>
    </w:p>
    <w:p w14:paraId="46A34B1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6</w:t>
      </w:r>
      <w:r>
        <w:rPr>
          <w:rFonts w:hint="eastAsia" w:ascii="宋体" w:hAnsi="宋体" w:eastAsia="宋体" w:cs="宋体"/>
          <w:color w:val="auto"/>
          <w:kern w:val="2"/>
          <w:sz w:val="21"/>
          <w:szCs w:val="21"/>
          <w:highlight w:val="none"/>
          <w:lang w:val="en-US" w:eastAsia="zh-CN" w:bidi="ar-SA"/>
        </w:rPr>
        <w:t>.1投标人负责合同设备的包装、装卸、运输及倒运</w:t>
      </w:r>
      <w:r>
        <w:rPr>
          <w:rFonts w:hint="eastAsia" w:ascii="宋体" w:hAnsi="宋体" w:cs="宋体"/>
          <w:color w:val="auto"/>
          <w:kern w:val="2"/>
          <w:sz w:val="21"/>
          <w:szCs w:val="21"/>
          <w:highlight w:val="none"/>
          <w:lang w:val="en-US" w:eastAsia="zh-CN" w:bidi="ar-SA"/>
        </w:rPr>
        <w:t>；</w:t>
      </w:r>
    </w:p>
    <w:p w14:paraId="4F5C803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6</w:t>
      </w:r>
      <w:r>
        <w:rPr>
          <w:rFonts w:hint="eastAsia" w:ascii="宋体" w:hAnsi="宋体" w:eastAsia="宋体" w:cs="宋体"/>
          <w:color w:val="auto"/>
          <w:kern w:val="2"/>
          <w:sz w:val="21"/>
          <w:szCs w:val="21"/>
          <w:highlight w:val="none"/>
          <w:lang w:val="en-US" w:eastAsia="zh-CN" w:bidi="ar-SA"/>
        </w:rPr>
        <w:t>.2所有部件经妥善包装或装箱后，在运输过程中尚应采取其它防护措施，以免散失损坏或被盗。</w:t>
      </w:r>
    </w:p>
    <w:p w14:paraId="26BF4E0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6</w:t>
      </w:r>
      <w:r>
        <w:rPr>
          <w:rFonts w:hint="eastAsia" w:ascii="宋体" w:hAnsi="宋体" w:eastAsia="宋体" w:cs="宋体"/>
          <w:color w:val="auto"/>
          <w:kern w:val="2"/>
          <w:sz w:val="21"/>
          <w:szCs w:val="21"/>
          <w:highlight w:val="none"/>
          <w:lang w:val="en-US" w:eastAsia="zh-CN" w:bidi="ar-SA"/>
        </w:rPr>
        <w:t>.3在包装箱外应标明采购方的订货号、发货号。</w:t>
      </w:r>
    </w:p>
    <w:p w14:paraId="64A7BD4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6</w:t>
      </w:r>
      <w:r>
        <w:rPr>
          <w:rFonts w:hint="eastAsia" w:ascii="宋体" w:hAnsi="宋体" w:eastAsia="宋体" w:cs="宋体"/>
          <w:color w:val="auto"/>
          <w:kern w:val="2"/>
          <w:sz w:val="21"/>
          <w:szCs w:val="21"/>
          <w:highlight w:val="none"/>
          <w:lang w:val="en-US" w:eastAsia="zh-CN" w:bidi="ar-SA"/>
        </w:rPr>
        <w:t>.4各种包装应等确保各零部件在运输过程中不致遭到损坏、丢失、变形、受潮和腐蚀。</w:t>
      </w:r>
    </w:p>
    <w:p w14:paraId="47656C1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6</w:t>
      </w:r>
      <w:r>
        <w:rPr>
          <w:rFonts w:hint="eastAsia" w:ascii="宋体" w:hAnsi="宋体" w:eastAsia="宋体" w:cs="宋体"/>
          <w:color w:val="auto"/>
          <w:kern w:val="2"/>
          <w:sz w:val="21"/>
          <w:szCs w:val="21"/>
          <w:highlight w:val="none"/>
          <w:lang w:val="en-US" w:eastAsia="zh-CN" w:bidi="ar-SA"/>
        </w:rPr>
        <w:t>.5包装箱上应有明显的包装储运图示标志（按GB191）。</w:t>
      </w:r>
    </w:p>
    <w:p w14:paraId="1607568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6</w:t>
      </w:r>
      <w:r>
        <w:rPr>
          <w:rFonts w:hint="eastAsia" w:ascii="宋体" w:hAnsi="宋体" w:eastAsia="宋体" w:cs="宋体"/>
          <w:color w:val="auto"/>
          <w:kern w:val="2"/>
          <w:sz w:val="21"/>
          <w:szCs w:val="21"/>
          <w:highlight w:val="none"/>
          <w:lang w:val="en-US" w:eastAsia="zh-CN" w:bidi="ar-SA"/>
        </w:rPr>
        <w:t>.6整体产品或分别运输的部件都要适合运输和装载的要求。</w:t>
      </w:r>
    </w:p>
    <w:p w14:paraId="2FEAEB3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6</w:t>
      </w:r>
      <w:r>
        <w:rPr>
          <w:rFonts w:hint="eastAsia" w:ascii="宋体" w:hAnsi="宋体" w:eastAsia="宋体" w:cs="宋体"/>
          <w:color w:val="auto"/>
          <w:kern w:val="2"/>
          <w:sz w:val="21"/>
          <w:szCs w:val="21"/>
          <w:highlight w:val="none"/>
          <w:lang w:val="en-US" w:eastAsia="zh-CN" w:bidi="ar-SA"/>
        </w:rPr>
        <w:t>.7随产品提供的技术资料应完整无缺，提供份额符合GB19.32的要求。</w:t>
      </w:r>
    </w:p>
    <w:p w14:paraId="5B95557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6</w:t>
      </w:r>
      <w:r>
        <w:rPr>
          <w:rFonts w:hint="eastAsia" w:ascii="宋体" w:hAnsi="宋体" w:eastAsia="宋体" w:cs="宋体"/>
          <w:color w:val="auto"/>
          <w:kern w:val="2"/>
          <w:sz w:val="21"/>
          <w:szCs w:val="21"/>
          <w:highlight w:val="none"/>
          <w:lang w:val="en-US" w:eastAsia="zh-CN" w:bidi="ar-SA"/>
        </w:rPr>
        <w:t>.8</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为投标人设备存放提供现场场地。</w:t>
      </w:r>
    </w:p>
    <w:p w14:paraId="7D7C3BE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7</w:t>
      </w:r>
      <w:r>
        <w:rPr>
          <w:rFonts w:hint="eastAsia" w:ascii="宋体" w:hAnsi="宋体" w:eastAsia="宋体" w:cs="宋体"/>
          <w:color w:val="auto"/>
          <w:kern w:val="2"/>
          <w:sz w:val="21"/>
          <w:szCs w:val="21"/>
          <w:highlight w:val="none"/>
          <w:lang w:val="en-US" w:eastAsia="zh-CN" w:bidi="ar-SA"/>
        </w:rPr>
        <w:t>、文件资料和图纸</w:t>
      </w:r>
    </w:p>
    <w:p w14:paraId="493A44B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7</w:t>
      </w:r>
      <w:r>
        <w:rPr>
          <w:rFonts w:hint="eastAsia" w:ascii="宋体" w:hAnsi="宋体" w:eastAsia="宋体" w:cs="宋体"/>
          <w:color w:val="auto"/>
          <w:kern w:val="2"/>
          <w:sz w:val="21"/>
          <w:szCs w:val="21"/>
          <w:highlight w:val="none"/>
          <w:lang w:val="en-US" w:eastAsia="zh-CN" w:bidi="ar-SA"/>
        </w:rPr>
        <w:t>.1一般要求</w:t>
      </w:r>
    </w:p>
    <w:p w14:paraId="6EF53D0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7</w:t>
      </w:r>
      <w:r>
        <w:rPr>
          <w:rFonts w:hint="eastAsia" w:ascii="宋体" w:hAnsi="宋体" w:eastAsia="宋体" w:cs="宋体"/>
          <w:color w:val="auto"/>
          <w:kern w:val="2"/>
          <w:sz w:val="21"/>
          <w:szCs w:val="21"/>
          <w:highlight w:val="none"/>
          <w:lang w:val="en-US" w:eastAsia="zh-CN" w:bidi="ar-SA"/>
        </w:rPr>
        <w:t>.1.1技术文件中所含的内容将构成投标人进行产品设计、生产、售后服务的技术依据，也是电池系统集成的基本技术条件和要求。</w:t>
      </w:r>
    </w:p>
    <w:p w14:paraId="35597F8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7</w:t>
      </w:r>
      <w:r>
        <w:rPr>
          <w:rFonts w:hint="eastAsia" w:ascii="宋体" w:hAnsi="宋体" w:eastAsia="宋体" w:cs="宋体"/>
          <w:color w:val="auto"/>
          <w:kern w:val="2"/>
          <w:sz w:val="21"/>
          <w:szCs w:val="21"/>
          <w:highlight w:val="none"/>
          <w:lang w:val="en-US" w:eastAsia="zh-CN" w:bidi="ar-SA"/>
        </w:rPr>
        <w:t>.1.2投标人应按照</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要求准备和提供有关电池系统的运行、维护、修理、事故预案等相关资料。</w:t>
      </w:r>
    </w:p>
    <w:p w14:paraId="5966BE9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7</w:t>
      </w:r>
      <w:r>
        <w:rPr>
          <w:rFonts w:hint="eastAsia" w:ascii="宋体" w:hAnsi="宋体" w:eastAsia="宋体" w:cs="宋体"/>
          <w:color w:val="auto"/>
          <w:kern w:val="2"/>
          <w:sz w:val="21"/>
          <w:szCs w:val="21"/>
          <w:highlight w:val="none"/>
          <w:lang w:val="en-US" w:eastAsia="zh-CN" w:bidi="ar-SA"/>
        </w:rPr>
        <w:t>.1.3投标人应汇总并提交有关电池储能系统的相关标准及技术支持性文件测试报告、认证证书等文件。</w:t>
      </w:r>
    </w:p>
    <w:p w14:paraId="79AC6FC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7</w:t>
      </w:r>
      <w:r>
        <w:rPr>
          <w:rFonts w:hint="eastAsia" w:ascii="宋体" w:hAnsi="宋体" w:eastAsia="宋体" w:cs="宋体"/>
          <w:color w:val="auto"/>
          <w:kern w:val="2"/>
          <w:sz w:val="21"/>
          <w:szCs w:val="21"/>
          <w:highlight w:val="none"/>
          <w:lang w:val="en-US" w:eastAsia="zh-CN" w:bidi="ar-SA"/>
        </w:rPr>
        <w:t>.1.4投标人、招标机构和</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（包括与本项目涉及的其他中方机构）之间的所有文件及信件以中文简体为准。无论何时需要对合同条款进行编写、标注也应使用中文</w:t>
      </w:r>
      <w:r>
        <w:rPr>
          <w:rFonts w:hint="eastAsia" w:ascii="宋体" w:hAnsi="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如必须使用中英文对照文本，则以中文简体为准。</w:t>
      </w:r>
    </w:p>
    <w:p w14:paraId="14F23125">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7</w:t>
      </w:r>
      <w:r>
        <w:rPr>
          <w:rFonts w:hint="eastAsia" w:ascii="宋体" w:hAnsi="宋体" w:eastAsia="宋体" w:cs="宋体"/>
          <w:color w:val="auto"/>
          <w:kern w:val="2"/>
          <w:sz w:val="21"/>
          <w:szCs w:val="21"/>
          <w:highlight w:val="none"/>
          <w:lang w:val="en-US" w:eastAsia="zh-CN" w:bidi="ar-SA"/>
        </w:rPr>
        <w:t>.2资料的提交和认可</w:t>
      </w:r>
    </w:p>
    <w:p w14:paraId="68FB791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7</w:t>
      </w:r>
      <w:r>
        <w:rPr>
          <w:rFonts w:hint="eastAsia" w:ascii="宋体" w:hAnsi="宋体" w:eastAsia="宋体" w:cs="宋体"/>
          <w:color w:val="auto"/>
          <w:kern w:val="2"/>
          <w:sz w:val="21"/>
          <w:szCs w:val="21"/>
          <w:highlight w:val="none"/>
          <w:lang w:val="en-US" w:eastAsia="zh-CN" w:bidi="ar-SA"/>
        </w:rPr>
        <w:t>.2.1所有需经</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确认的图纸和说明文件，均应由投标人在技术协议签订后规定的时间内提交给</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及其所指定的单位进行审定认可。</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及其所指定的单位在收到需认可图纸后，将一套经确认的或签有</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校定标记的图纸（</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负责人签字）返还给投标人。</w:t>
      </w:r>
    </w:p>
    <w:p w14:paraId="4DE95AB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7</w:t>
      </w:r>
      <w:r>
        <w:rPr>
          <w:rFonts w:hint="eastAsia" w:ascii="宋体" w:hAnsi="宋体" w:eastAsia="宋体" w:cs="宋体"/>
          <w:color w:val="auto"/>
          <w:kern w:val="2"/>
          <w:sz w:val="21"/>
          <w:szCs w:val="21"/>
          <w:highlight w:val="none"/>
          <w:lang w:val="en-US" w:eastAsia="zh-CN" w:bidi="ar-SA"/>
        </w:rPr>
        <w:t>.2.2图纸资料</w:t>
      </w:r>
    </w:p>
    <w:p w14:paraId="21EEDBC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1）设备布置图：应包括所有设备排布位置，各设备型尺寸、总重量等。（需在签订合同之日起1周内提供）</w:t>
      </w:r>
    </w:p>
    <w:p w14:paraId="7773B40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2）基础图：应注明设备和其控制柜的尺寸，基础螺栓的位置和尺寸等。</w:t>
      </w:r>
    </w:p>
    <w:p w14:paraId="4718CB1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3）电气原理图：储能系统一次图。</w:t>
      </w:r>
    </w:p>
    <w:p w14:paraId="5FA0816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4）设备出厂前需进行出厂测试。</w:t>
      </w:r>
    </w:p>
    <w:p w14:paraId="0FE7763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5）使用说明书</w:t>
      </w:r>
      <w:r>
        <w:rPr>
          <w:rFonts w:hint="eastAsia" w:ascii="宋体" w:hAnsi="宋体" w:cs="宋体"/>
          <w:color w:val="auto"/>
          <w:kern w:val="2"/>
          <w:sz w:val="21"/>
          <w:szCs w:val="21"/>
          <w:highlight w:val="none"/>
          <w:lang w:val="en-US" w:eastAsia="zh-CN" w:bidi="ar-SA"/>
        </w:rPr>
        <w:t>；</w:t>
      </w:r>
    </w:p>
    <w:p w14:paraId="546722F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6）产品合格证明书</w:t>
      </w:r>
      <w:r>
        <w:rPr>
          <w:rFonts w:hint="eastAsia" w:ascii="宋体" w:hAnsi="宋体" w:cs="宋体"/>
          <w:color w:val="auto"/>
          <w:kern w:val="2"/>
          <w:sz w:val="21"/>
          <w:szCs w:val="21"/>
          <w:highlight w:val="none"/>
          <w:lang w:val="en-US" w:eastAsia="zh-CN" w:bidi="ar-SA"/>
        </w:rPr>
        <w:t>；</w:t>
      </w:r>
    </w:p>
    <w:p w14:paraId="555CEA0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7）工厂试验报告</w:t>
      </w:r>
      <w:r>
        <w:rPr>
          <w:rFonts w:hint="eastAsia" w:ascii="宋体" w:hAnsi="宋体" w:cs="宋体"/>
          <w:color w:val="auto"/>
          <w:kern w:val="2"/>
          <w:sz w:val="21"/>
          <w:szCs w:val="21"/>
          <w:highlight w:val="none"/>
          <w:lang w:val="en-US" w:eastAsia="zh-CN" w:bidi="ar-SA"/>
        </w:rPr>
        <w:t>；</w:t>
      </w:r>
    </w:p>
    <w:p w14:paraId="3FCB98E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8）设备清单</w:t>
      </w:r>
      <w:r>
        <w:rPr>
          <w:rFonts w:hint="eastAsia" w:ascii="宋体" w:hAnsi="宋体" w:cs="宋体"/>
          <w:color w:val="auto"/>
          <w:kern w:val="2"/>
          <w:sz w:val="21"/>
          <w:szCs w:val="21"/>
          <w:highlight w:val="none"/>
          <w:lang w:val="en-US" w:eastAsia="zh-CN" w:bidi="ar-SA"/>
        </w:rPr>
        <w:t>；</w:t>
      </w:r>
    </w:p>
    <w:p w14:paraId="278397C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9）安装手册</w:t>
      </w:r>
      <w:r>
        <w:rPr>
          <w:rFonts w:hint="eastAsia" w:ascii="宋体" w:hAnsi="宋体" w:cs="宋体"/>
          <w:color w:val="auto"/>
          <w:kern w:val="2"/>
          <w:sz w:val="21"/>
          <w:szCs w:val="21"/>
          <w:highlight w:val="none"/>
          <w:lang w:val="en-US" w:eastAsia="zh-CN" w:bidi="ar-SA"/>
        </w:rPr>
        <w:t>；</w:t>
      </w:r>
    </w:p>
    <w:p w14:paraId="61AAF931">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10）储能电站运维规程</w:t>
      </w:r>
      <w:r>
        <w:rPr>
          <w:rFonts w:hint="eastAsia" w:ascii="宋体" w:hAnsi="宋体" w:cs="宋体"/>
          <w:color w:val="auto"/>
          <w:kern w:val="2"/>
          <w:sz w:val="21"/>
          <w:szCs w:val="21"/>
          <w:highlight w:val="none"/>
          <w:lang w:val="en-US" w:eastAsia="zh-CN" w:bidi="ar-SA"/>
        </w:rPr>
        <w:t>；</w:t>
      </w:r>
    </w:p>
    <w:p w14:paraId="2947029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11）型式试验报告</w:t>
      </w:r>
      <w:r>
        <w:rPr>
          <w:rFonts w:hint="eastAsia" w:ascii="宋体" w:hAnsi="宋体" w:cs="宋体"/>
          <w:color w:val="auto"/>
          <w:kern w:val="2"/>
          <w:sz w:val="21"/>
          <w:szCs w:val="21"/>
          <w:highlight w:val="none"/>
          <w:lang w:val="en-US" w:eastAsia="zh-CN" w:bidi="ar-SA"/>
        </w:rPr>
        <w:t>；</w:t>
      </w:r>
    </w:p>
    <w:p w14:paraId="41ED9E0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12）原厂保修卡</w:t>
      </w:r>
      <w:r>
        <w:rPr>
          <w:rFonts w:hint="eastAsia" w:ascii="宋体" w:hAnsi="宋体" w:cs="宋体"/>
          <w:color w:val="auto"/>
          <w:kern w:val="2"/>
          <w:sz w:val="21"/>
          <w:szCs w:val="21"/>
          <w:highlight w:val="none"/>
          <w:lang w:val="en-US" w:eastAsia="zh-CN" w:bidi="ar-SA"/>
        </w:rPr>
        <w:t>；</w:t>
      </w:r>
    </w:p>
    <w:p w14:paraId="335F020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8</w:t>
      </w:r>
      <w:r>
        <w:rPr>
          <w:rFonts w:hint="eastAsia" w:ascii="宋体" w:hAnsi="宋体" w:eastAsia="宋体" w:cs="宋体"/>
          <w:color w:val="auto"/>
          <w:kern w:val="2"/>
          <w:sz w:val="21"/>
          <w:szCs w:val="21"/>
          <w:highlight w:val="none"/>
          <w:lang w:val="en-US" w:eastAsia="zh-CN" w:bidi="ar-SA"/>
        </w:rPr>
        <w:t>、质量保证</w:t>
      </w:r>
    </w:p>
    <w:p w14:paraId="4A2C6D2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投标方产品的试运行期为：累积72小时试运行，质保期不小于1年（技术需求中有特殊要求的，按技术需求为准）。</w:t>
      </w:r>
    </w:p>
    <w:p w14:paraId="10F1AB4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8</w:t>
      </w:r>
      <w:r>
        <w:rPr>
          <w:rFonts w:hint="eastAsia" w:ascii="宋体" w:hAnsi="宋体" w:eastAsia="宋体" w:cs="宋体"/>
          <w:color w:val="auto"/>
          <w:kern w:val="2"/>
          <w:sz w:val="21"/>
          <w:szCs w:val="21"/>
          <w:highlight w:val="none"/>
          <w:lang w:val="en-US" w:eastAsia="zh-CN" w:bidi="ar-SA"/>
        </w:rPr>
        <w:t>.1如在安装和试运行期间发现部件缺陷、损坏情况，在证实设备储存安装、维护和运行都符合要求时，投标方应尽快免费更换。</w:t>
      </w:r>
    </w:p>
    <w:p w14:paraId="451C797B">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8</w:t>
      </w:r>
      <w:r>
        <w:rPr>
          <w:rFonts w:hint="eastAsia" w:ascii="宋体" w:hAnsi="宋体" w:eastAsia="宋体" w:cs="宋体"/>
          <w:color w:val="auto"/>
          <w:kern w:val="2"/>
          <w:sz w:val="21"/>
          <w:szCs w:val="21"/>
          <w:highlight w:val="none"/>
          <w:lang w:val="en-US" w:eastAsia="zh-CN" w:bidi="ar-SA"/>
        </w:rPr>
        <w:t>.2在保证期内，投标方产品各部件因制造不良或设计不当而发生损坏或未能达到合同规定的各项指标时，投标方应无偿地为采购人修理或更换零部件。</w:t>
      </w:r>
    </w:p>
    <w:p w14:paraId="7291177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8</w:t>
      </w:r>
      <w:r>
        <w:rPr>
          <w:rFonts w:hint="eastAsia" w:ascii="宋体" w:hAnsi="宋体" w:eastAsia="宋体" w:cs="宋体"/>
          <w:color w:val="auto"/>
          <w:kern w:val="2"/>
          <w:sz w:val="21"/>
          <w:szCs w:val="21"/>
          <w:highlight w:val="none"/>
          <w:lang w:val="en-US" w:eastAsia="zh-CN" w:bidi="ar-SA"/>
        </w:rPr>
        <w:t>.3设备在验收试验时达不到合同规定的一个或多个技术指标保证值而属于投标方责任时，则投标方应自费采用有效措施在商定的时间内，使之达到保证指标。</w:t>
      </w:r>
    </w:p>
    <w:p w14:paraId="401F797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8</w:t>
      </w:r>
      <w:r>
        <w:rPr>
          <w:rFonts w:hint="eastAsia" w:ascii="宋体" w:hAnsi="宋体" w:eastAsia="宋体" w:cs="宋体"/>
          <w:color w:val="auto"/>
          <w:kern w:val="2"/>
          <w:sz w:val="21"/>
          <w:szCs w:val="21"/>
          <w:highlight w:val="none"/>
          <w:lang w:val="en-US" w:eastAsia="zh-CN" w:bidi="ar-SA"/>
        </w:rPr>
        <w:t>.4在保证期内，由于下列情况所造成的缺陷、损坏或达不到指标时，不属投标方责任：</w:t>
      </w:r>
    </w:p>
    <w:p w14:paraId="40463485">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—由于采购人错误操作和维修</w:t>
      </w:r>
      <w:r>
        <w:rPr>
          <w:rFonts w:hint="eastAsia" w:ascii="宋体" w:hAnsi="宋体" w:cs="宋体"/>
          <w:color w:val="auto"/>
          <w:kern w:val="2"/>
          <w:sz w:val="21"/>
          <w:szCs w:val="21"/>
          <w:highlight w:val="none"/>
          <w:lang w:val="en-US" w:eastAsia="zh-CN" w:bidi="ar-SA"/>
        </w:rPr>
        <w:t>；</w:t>
      </w:r>
    </w:p>
    <w:p w14:paraId="2B4F44D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—设备在现场保存时间超过合同规定期限的问题</w:t>
      </w:r>
      <w:r>
        <w:rPr>
          <w:rFonts w:hint="eastAsia" w:ascii="宋体" w:hAnsi="宋体" w:cs="宋体"/>
          <w:color w:val="auto"/>
          <w:kern w:val="2"/>
          <w:sz w:val="21"/>
          <w:szCs w:val="21"/>
          <w:highlight w:val="none"/>
          <w:lang w:val="en-US" w:eastAsia="zh-CN" w:bidi="ar-SA"/>
        </w:rPr>
        <w:t>；</w:t>
      </w:r>
    </w:p>
    <w:p w14:paraId="48432B7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ascii="宋体" w:hAnsi="宋体" w:eastAsia="宋体" w:cs="宋体"/>
          <w:b w:val="0"/>
          <w:bCs w:val="0"/>
          <w:color w:val="auto"/>
          <w:kern w:val="2"/>
          <w:sz w:val="28"/>
          <w:szCs w:val="28"/>
          <w:highlight w:val="none"/>
          <w:lang w:val="en-US" w:eastAsia="zh-CN" w:bidi="ar-SA"/>
        </w:rPr>
      </w:pPr>
      <w:r>
        <w:rPr>
          <w:rFonts w:hint="eastAsia" w:ascii="宋体" w:hAnsi="宋体" w:eastAsia="宋体" w:cs="宋体"/>
          <w:color w:val="auto"/>
          <w:kern w:val="2"/>
          <w:sz w:val="21"/>
          <w:szCs w:val="21"/>
          <w:highlight w:val="none"/>
          <w:lang w:val="en-US" w:eastAsia="zh-CN" w:bidi="ar-SA"/>
        </w:rPr>
        <w:t>—由于非投标方造成的其它错误和缺陷。</w:t>
      </w:r>
    </w:p>
    <w:p w14:paraId="031F1C76">
      <w:pPr>
        <w:rPr>
          <w:color w:val="auto"/>
          <w:highlight w:val="none"/>
        </w:rPr>
      </w:pPr>
    </w:p>
    <w:p w14:paraId="499A693E">
      <w:pPr>
        <w:rPr>
          <w:color w:val="auto"/>
          <w:highlight w:val="none"/>
        </w:rPr>
      </w:pPr>
      <w:r>
        <w:rPr>
          <w:rFonts w:hint="eastAsia" w:ascii="宋体" w:hAnsi="宋体" w:cs="Times New Roman"/>
          <w:b/>
          <w:bCs/>
          <w:color w:val="auto"/>
          <w:kern w:val="2"/>
          <w:szCs w:val="21"/>
          <w:highlight w:val="none"/>
        </w:rPr>
        <w:br w:type="page"/>
      </w:r>
    </w:p>
    <w:bookmarkEnd w:id="10"/>
    <w:bookmarkEnd w:id="11"/>
    <w:bookmarkEnd w:id="12"/>
    <w:bookmarkEnd w:id="13"/>
    <w:p w14:paraId="59973E13">
      <w:pPr>
        <w:pStyle w:val="3"/>
        <w:spacing w:before="0" w:after="0" w:line="240" w:lineRule="auto"/>
        <w:rPr>
          <w:color w:val="auto"/>
          <w:sz w:val="24"/>
          <w:szCs w:val="24"/>
          <w:highlight w:val="none"/>
        </w:rPr>
      </w:pPr>
      <w:bookmarkStart w:id="22" w:name="_Toc27038"/>
      <w:r>
        <w:rPr>
          <w:rFonts w:hint="eastAsia"/>
          <w:color w:val="auto"/>
          <w:sz w:val="28"/>
          <w:szCs w:val="28"/>
          <w:highlight w:val="none"/>
        </w:rPr>
        <w:t>第四部分投标人须知</w:t>
      </w:r>
      <w:bookmarkEnd w:id="22"/>
    </w:p>
    <w:p w14:paraId="59802D46">
      <w:pPr>
        <w:pStyle w:val="4"/>
        <w:numPr>
          <w:ilvl w:val="0"/>
          <w:numId w:val="2"/>
        </w:numPr>
        <w:spacing w:before="0" w:after="0" w:line="480" w:lineRule="auto"/>
        <w:jc w:val="center"/>
        <w:rPr>
          <w:rFonts w:ascii="宋体" w:hAnsi="宋体"/>
          <w:color w:val="auto"/>
          <w:highlight w:val="none"/>
        </w:rPr>
      </w:pPr>
      <w:bookmarkStart w:id="23" w:name="_Toc29170"/>
      <w:r>
        <w:rPr>
          <w:rFonts w:hint="eastAsia" w:ascii="宋体" w:hAnsi="宋体"/>
          <w:color w:val="auto"/>
          <w:highlight w:val="none"/>
        </w:rPr>
        <w:t>说明</w:t>
      </w:r>
      <w:bookmarkEnd w:id="23"/>
    </w:p>
    <w:p w14:paraId="0FF37DBF">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24" w:name="_Toc16383"/>
      <w:bookmarkStart w:id="25" w:name="_Toc3534"/>
      <w:r>
        <w:rPr>
          <w:rFonts w:hint="default" w:ascii="宋体" w:hAnsi="宋体" w:eastAsia="宋体" w:cs="宋体"/>
          <w:b/>
          <w:bCs/>
          <w:color w:val="auto"/>
          <w:sz w:val="21"/>
          <w:szCs w:val="21"/>
          <w:lang w:val="en-US" w:eastAsia="zh-CN" w:bidi="ar-SA"/>
        </w:rPr>
        <w:t>1.</w:t>
      </w:r>
      <w:r>
        <w:rPr>
          <w:rFonts w:hint="eastAsia" w:ascii="宋体" w:hAnsi="宋体" w:cs="宋体"/>
          <w:color w:val="auto"/>
          <w:sz w:val="21"/>
          <w:szCs w:val="21"/>
          <w:highlight w:val="none"/>
        </w:rPr>
        <w:t>适用范围</w:t>
      </w:r>
      <w:bookmarkEnd w:id="24"/>
      <w:bookmarkEnd w:id="25"/>
    </w:p>
    <w:p w14:paraId="7A701357">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1.1.</w:t>
      </w:r>
      <w:r>
        <w:rPr>
          <w:rFonts w:hint="eastAsia" w:ascii="宋体" w:hAnsi="宋体" w:cs="宋体"/>
          <w:color w:val="auto"/>
          <w:szCs w:val="21"/>
          <w:highlight w:val="none"/>
        </w:rPr>
        <w:t>采购范围：见本文件《用户需求书》</w:t>
      </w:r>
    </w:p>
    <w:p w14:paraId="59AB9ECA">
      <w:pPr>
        <w:rPr>
          <w:rFonts w:ascii="宋体" w:hAnsi="宋体" w:cs="宋体"/>
          <w:color w:val="auto"/>
          <w:highlight w:val="none"/>
        </w:rPr>
      </w:pPr>
    </w:p>
    <w:p w14:paraId="18F7333D">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26" w:name="_Toc15916"/>
      <w:bookmarkStart w:id="27" w:name="_Toc20286"/>
      <w:bookmarkStart w:id="28" w:name="_Toc298847174"/>
      <w:bookmarkStart w:id="29" w:name="_Toc1530"/>
      <w:bookmarkStart w:id="30" w:name="_Toc382049092"/>
      <w:bookmarkStart w:id="31" w:name="_Toc303084246"/>
      <w:r>
        <w:rPr>
          <w:rFonts w:hint="default" w:ascii="宋体" w:hAnsi="宋体" w:eastAsia="宋体" w:cs="宋体"/>
          <w:b/>
          <w:bCs/>
          <w:color w:val="auto"/>
          <w:sz w:val="21"/>
          <w:szCs w:val="21"/>
          <w:lang w:val="en-US" w:eastAsia="zh-CN" w:bidi="ar-SA"/>
        </w:rPr>
        <w:t>2.</w:t>
      </w:r>
      <w:r>
        <w:rPr>
          <w:rFonts w:hint="eastAsia" w:ascii="宋体" w:hAnsi="宋体" w:cs="宋体"/>
          <w:color w:val="auto"/>
          <w:sz w:val="21"/>
          <w:szCs w:val="21"/>
          <w:highlight w:val="none"/>
        </w:rPr>
        <w:t>定义</w:t>
      </w:r>
      <w:bookmarkEnd w:id="26"/>
      <w:bookmarkEnd w:id="27"/>
      <w:bookmarkEnd w:id="28"/>
      <w:bookmarkEnd w:id="29"/>
      <w:bookmarkEnd w:id="30"/>
      <w:bookmarkEnd w:id="31"/>
    </w:p>
    <w:p w14:paraId="21CC959A">
      <w:pPr>
        <w:pStyle w:val="46"/>
        <w:widowControl w:val="0"/>
        <w:ind w:left="425" w:hanging="425" w:firstLineChars="0"/>
        <w:jc w:val="both"/>
        <w:rPr>
          <w:rFonts w:ascii="宋体" w:hAnsi="宋体" w:cs="宋体"/>
          <w:vanish/>
          <w:color w:val="auto"/>
          <w:szCs w:val="21"/>
          <w:highlight w:val="none"/>
        </w:rPr>
      </w:pPr>
    </w:p>
    <w:p w14:paraId="37991B73">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2.1.</w:t>
      </w:r>
      <w:r>
        <w:rPr>
          <w:rFonts w:hint="eastAsia" w:ascii="宋体" w:hAnsi="宋体" w:cs="宋体"/>
          <w:color w:val="auto"/>
          <w:szCs w:val="21"/>
          <w:highlight w:val="none"/>
        </w:rPr>
        <w:t>采购人：见投标邀请书。</w:t>
      </w:r>
    </w:p>
    <w:p w14:paraId="0DCE4F9F">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2.2.</w:t>
      </w:r>
      <w:r>
        <w:rPr>
          <w:rFonts w:hint="eastAsia" w:ascii="宋体" w:hAnsi="宋体" w:cs="宋体"/>
          <w:color w:val="auto"/>
          <w:szCs w:val="21"/>
          <w:highlight w:val="none"/>
        </w:rPr>
        <w:t>投标人：响应采购并且符合采购文件规定资格条件和参加投标竞争的法人、其他组织或者自然人。</w:t>
      </w:r>
    </w:p>
    <w:p w14:paraId="6FA812AF">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2.3.</w:t>
      </w:r>
      <w:r>
        <w:rPr>
          <w:rFonts w:hint="eastAsia" w:ascii="宋体" w:hAnsi="宋体" w:cs="宋体"/>
          <w:color w:val="auto"/>
          <w:szCs w:val="21"/>
          <w:highlight w:val="none"/>
        </w:rPr>
        <w:t>法人：法人是依法在国内进行注册并具有民事权利能力和民事行为能力，依法独立享有民事权利和承担民事义务的组织。</w:t>
      </w:r>
    </w:p>
    <w:p w14:paraId="354F63FD">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2.4.</w:t>
      </w:r>
      <w:r>
        <w:rPr>
          <w:rFonts w:hint="eastAsia" w:ascii="宋体" w:hAnsi="宋体" w:cs="宋体"/>
          <w:color w:val="auto"/>
          <w:szCs w:val="21"/>
          <w:highlight w:val="none"/>
        </w:rPr>
        <w:t>中标人：指经评标委员会评审推荐、采购人确认的获得本项目中标资格的投标人。</w:t>
      </w:r>
    </w:p>
    <w:p w14:paraId="493C6CAD">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2.5.</w:t>
      </w:r>
      <w:r>
        <w:rPr>
          <w:rFonts w:hint="eastAsia" w:ascii="宋体" w:hAnsi="宋体" w:cs="宋体"/>
          <w:color w:val="auto"/>
          <w:szCs w:val="21"/>
          <w:highlight w:val="none"/>
        </w:rPr>
        <w:t>采购代理机构：见投标邀请书。</w:t>
      </w:r>
    </w:p>
    <w:p w14:paraId="1AF7B3D6">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2.6.</w:t>
      </w:r>
      <w:r>
        <w:rPr>
          <w:rFonts w:hint="eastAsia" w:ascii="宋体" w:hAnsi="宋体" w:cs="宋体"/>
          <w:color w:val="auto"/>
          <w:szCs w:val="21"/>
          <w:highlight w:val="none"/>
        </w:rPr>
        <w:t>评标委员会：评标委员会是依据相关规定组建的专门负责本次采购其评标工作的临时性机构。</w:t>
      </w:r>
    </w:p>
    <w:p w14:paraId="449DE5CD">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2.7.</w:t>
      </w:r>
      <w:r>
        <w:rPr>
          <w:rFonts w:hint="eastAsia" w:ascii="宋体" w:hAnsi="宋体" w:cs="宋体"/>
          <w:color w:val="auto"/>
          <w:szCs w:val="21"/>
          <w:highlight w:val="none"/>
        </w:rPr>
        <w:t>合同：指由本次采购所产生的合同或合约文件。</w:t>
      </w:r>
    </w:p>
    <w:p w14:paraId="209129AA">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2.8.</w:t>
      </w:r>
      <w:r>
        <w:rPr>
          <w:rFonts w:hint="eastAsia" w:ascii="宋体" w:hAnsi="宋体" w:cs="宋体"/>
          <w:color w:val="auto"/>
          <w:szCs w:val="21"/>
          <w:highlight w:val="none"/>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62A76745">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2.9.</w:t>
      </w:r>
      <w:r>
        <w:rPr>
          <w:rFonts w:hint="eastAsia" w:ascii="宋体" w:hAnsi="宋体" w:cs="宋体"/>
          <w:color w:val="auto"/>
          <w:szCs w:val="21"/>
          <w:highlight w:val="none"/>
        </w:rPr>
        <w:t>时间：本文件规定按日计算期间的，开始当天不计入，从次日开始计算。期限的最后一日是国家法定节假日的，顺延到节假日后的次日为期限的最后一日。</w:t>
      </w:r>
    </w:p>
    <w:p w14:paraId="7CC37B97">
      <w:pPr>
        <w:rPr>
          <w:rFonts w:ascii="宋体" w:hAnsi="宋体" w:cs="宋体"/>
          <w:color w:val="auto"/>
          <w:highlight w:val="none"/>
        </w:rPr>
      </w:pPr>
    </w:p>
    <w:p w14:paraId="6037CD95">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32" w:name="_Toc29268"/>
      <w:bookmarkStart w:id="33" w:name="_Toc11624"/>
      <w:r>
        <w:rPr>
          <w:rFonts w:hint="default" w:ascii="宋体" w:hAnsi="宋体" w:eastAsia="宋体" w:cs="宋体"/>
          <w:b/>
          <w:bCs/>
          <w:color w:val="auto"/>
          <w:sz w:val="21"/>
          <w:szCs w:val="21"/>
          <w:lang w:val="en-US" w:eastAsia="zh-CN" w:bidi="ar-SA"/>
        </w:rPr>
        <w:t>3.</w:t>
      </w:r>
      <w:r>
        <w:rPr>
          <w:rFonts w:hint="eastAsia" w:ascii="宋体" w:hAnsi="宋体" w:cs="宋体"/>
          <w:color w:val="auto"/>
          <w:sz w:val="21"/>
          <w:szCs w:val="21"/>
          <w:highlight w:val="none"/>
        </w:rPr>
        <w:t>货物和服务</w:t>
      </w:r>
      <w:bookmarkEnd w:id="32"/>
      <w:bookmarkEnd w:id="33"/>
    </w:p>
    <w:p w14:paraId="44436A5F">
      <w:pPr>
        <w:pStyle w:val="46"/>
        <w:widowControl w:val="0"/>
        <w:ind w:left="425" w:hanging="425" w:firstLineChars="0"/>
        <w:jc w:val="both"/>
        <w:rPr>
          <w:rFonts w:ascii="宋体" w:hAnsi="宋体" w:cs="宋体"/>
          <w:vanish/>
          <w:color w:val="auto"/>
          <w:szCs w:val="21"/>
          <w:highlight w:val="none"/>
        </w:rPr>
      </w:pPr>
    </w:p>
    <w:p w14:paraId="30A5BB86">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3.1.</w:t>
      </w:r>
      <w:r>
        <w:rPr>
          <w:rFonts w:hint="eastAsia" w:ascii="宋体" w:hAnsi="宋体" w:cs="宋体"/>
          <w:color w:val="auto"/>
          <w:szCs w:val="21"/>
          <w:highlight w:val="none"/>
        </w:rPr>
        <w:t>货物是指各种形态和种类的物品，包括原材料、燃料、设备、产品等。</w:t>
      </w:r>
    </w:p>
    <w:p w14:paraId="346D01D1">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3.2.</w:t>
      </w:r>
      <w:r>
        <w:rPr>
          <w:rFonts w:hint="eastAsia" w:ascii="宋体" w:hAnsi="宋体" w:cs="宋体"/>
          <w:color w:val="auto"/>
          <w:szCs w:val="21"/>
          <w:highlight w:val="none"/>
        </w:rPr>
        <w:t>服务是指除货物和工程以外的其他采购对象。</w:t>
      </w:r>
    </w:p>
    <w:p w14:paraId="762F2589">
      <w:pPr>
        <w:rPr>
          <w:rFonts w:ascii="宋体" w:hAnsi="宋体" w:cs="宋体"/>
          <w:color w:val="auto"/>
          <w:highlight w:val="none"/>
        </w:rPr>
      </w:pPr>
    </w:p>
    <w:p w14:paraId="0E028EB5">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34" w:name="_Toc15719"/>
      <w:bookmarkStart w:id="35" w:name="_Toc21187"/>
      <w:r>
        <w:rPr>
          <w:rFonts w:hint="default" w:ascii="宋体" w:hAnsi="宋体" w:eastAsia="宋体" w:cs="宋体"/>
          <w:b/>
          <w:bCs/>
          <w:color w:val="auto"/>
          <w:sz w:val="21"/>
          <w:szCs w:val="21"/>
          <w:lang w:val="en-US" w:eastAsia="zh-CN" w:bidi="ar-SA"/>
        </w:rPr>
        <w:t>4.</w:t>
      </w:r>
      <w:r>
        <w:rPr>
          <w:rFonts w:hint="eastAsia" w:ascii="宋体" w:hAnsi="宋体" w:cs="宋体"/>
          <w:color w:val="auto"/>
          <w:sz w:val="21"/>
          <w:szCs w:val="21"/>
          <w:highlight w:val="none"/>
        </w:rPr>
        <w:t>投标费用</w:t>
      </w:r>
      <w:bookmarkEnd w:id="34"/>
      <w:bookmarkEnd w:id="35"/>
    </w:p>
    <w:p w14:paraId="3827A6CE">
      <w:pPr>
        <w:pStyle w:val="46"/>
        <w:widowControl w:val="0"/>
        <w:ind w:left="425" w:hanging="425" w:firstLineChars="0"/>
        <w:jc w:val="both"/>
        <w:rPr>
          <w:rFonts w:ascii="宋体" w:hAnsi="宋体" w:cs="宋体"/>
          <w:vanish/>
          <w:color w:val="auto"/>
          <w:szCs w:val="21"/>
          <w:highlight w:val="none"/>
        </w:rPr>
      </w:pPr>
    </w:p>
    <w:p w14:paraId="2FF6062B">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4.1.</w:t>
      </w:r>
      <w:r>
        <w:rPr>
          <w:rFonts w:hint="eastAsia" w:ascii="宋体" w:hAnsi="宋体" w:cs="宋体"/>
          <w:color w:val="auto"/>
          <w:szCs w:val="21"/>
          <w:highlight w:val="none"/>
        </w:rPr>
        <w:t>投标人应承担所有与编写投标文件和参加投标有关的自身的所有费用，不论投标的结果如何，采购代理机构和采购人在任何情况下均无义务和责任承担这些费用。</w:t>
      </w:r>
    </w:p>
    <w:p w14:paraId="4653BF63">
      <w:pPr>
        <w:widowControl w:val="0"/>
        <w:jc w:val="both"/>
        <w:rPr>
          <w:rFonts w:ascii="宋体" w:hAnsi="宋体" w:cs="宋体"/>
          <w:color w:val="auto"/>
          <w:szCs w:val="21"/>
          <w:highlight w:val="none"/>
        </w:rPr>
      </w:pPr>
    </w:p>
    <w:p w14:paraId="161857DE">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36" w:name="_Toc24559"/>
      <w:bookmarkStart w:id="37" w:name="_Toc6180"/>
      <w:r>
        <w:rPr>
          <w:rFonts w:hint="default" w:ascii="宋体" w:hAnsi="宋体" w:eastAsia="宋体" w:cs="宋体"/>
          <w:b/>
          <w:bCs/>
          <w:color w:val="auto"/>
          <w:sz w:val="21"/>
          <w:szCs w:val="21"/>
          <w:lang w:val="en-US" w:eastAsia="zh-CN" w:bidi="ar-SA"/>
        </w:rPr>
        <w:t>5.</w:t>
      </w:r>
      <w:r>
        <w:rPr>
          <w:rFonts w:hint="eastAsia" w:ascii="宋体" w:hAnsi="宋体" w:cs="宋体"/>
          <w:color w:val="auto"/>
          <w:sz w:val="21"/>
          <w:szCs w:val="21"/>
          <w:highlight w:val="none"/>
        </w:rPr>
        <w:t>知识产权</w:t>
      </w:r>
      <w:bookmarkEnd w:id="36"/>
      <w:bookmarkEnd w:id="37"/>
    </w:p>
    <w:p w14:paraId="125554AC">
      <w:pPr>
        <w:pStyle w:val="46"/>
        <w:widowControl w:val="0"/>
        <w:ind w:left="425" w:hanging="425" w:firstLineChars="0"/>
        <w:jc w:val="both"/>
        <w:rPr>
          <w:rFonts w:ascii="宋体" w:hAnsi="宋体" w:cs="宋体"/>
          <w:vanish/>
          <w:color w:val="auto"/>
          <w:szCs w:val="21"/>
          <w:highlight w:val="none"/>
        </w:rPr>
      </w:pPr>
    </w:p>
    <w:p w14:paraId="6542FBC9">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5.1.</w:t>
      </w:r>
      <w:r>
        <w:rPr>
          <w:rFonts w:hint="eastAsia" w:ascii="宋体" w:hAnsi="宋体" w:cs="宋体"/>
          <w:color w:val="auto"/>
          <w:szCs w:val="21"/>
          <w:highlight w:val="none"/>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7383A6EE">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5.2.</w:t>
      </w:r>
      <w:r>
        <w:rPr>
          <w:rFonts w:hint="eastAsia" w:ascii="宋体" w:hAnsi="宋体" w:cs="宋体"/>
          <w:color w:val="auto"/>
          <w:szCs w:val="21"/>
          <w:highlight w:val="none"/>
        </w:rPr>
        <w:t>采购人享有本项目实施过程中产生的知识成果及知识产权。</w:t>
      </w:r>
    </w:p>
    <w:p w14:paraId="466EF4BD">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5.3.</w:t>
      </w:r>
      <w:r>
        <w:rPr>
          <w:rFonts w:hint="eastAsia" w:ascii="宋体" w:hAnsi="宋体" w:cs="宋体"/>
          <w:color w:val="auto"/>
          <w:szCs w:val="21"/>
          <w:highlight w:val="none"/>
        </w:rPr>
        <w:t>投标人如欲在项目实施过程中采用自有知识成果，需在投标文件中声明，并提供相关知识产权证明文件。使用该知识成果后，投标人需提供开发接口和开发手册等技术文档。</w:t>
      </w:r>
    </w:p>
    <w:p w14:paraId="1480C64D">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5.4.</w:t>
      </w:r>
      <w:r>
        <w:rPr>
          <w:rFonts w:hint="eastAsia" w:ascii="宋体" w:hAnsi="宋体" w:cs="宋体"/>
          <w:color w:val="auto"/>
          <w:szCs w:val="21"/>
          <w:highlight w:val="none"/>
        </w:rPr>
        <w:t>采购货物为计算机办公设备时，投标人提供的产品必须是预装正版操作系统软件的计算机产品。</w:t>
      </w:r>
    </w:p>
    <w:p w14:paraId="46120BF1">
      <w:pPr>
        <w:widowControl w:val="0"/>
        <w:ind w:left="567"/>
        <w:jc w:val="both"/>
        <w:rPr>
          <w:rFonts w:ascii="宋体" w:hAnsi="宋体" w:cs="宋体"/>
          <w:color w:val="auto"/>
          <w:szCs w:val="21"/>
          <w:highlight w:val="none"/>
        </w:rPr>
      </w:pPr>
    </w:p>
    <w:p w14:paraId="761DFC80">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38" w:name="_Toc32112"/>
      <w:bookmarkStart w:id="39" w:name="_Toc2352"/>
      <w:r>
        <w:rPr>
          <w:rFonts w:hint="default" w:ascii="宋体" w:hAnsi="宋体" w:eastAsia="宋体" w:cs="宋体"/>
          <w:b/>
          <w:bCs/>
          <w:color w:val="auto"/>
          <w:sz w:val="21"/>
          <w:szCs w:val="21"/>
          <w:lang w:val="en-US" w:eastAsia="zh-CN" w:bidi="ar-SA"/>
        </w:rPr>
        <w:t>6.</w:t>
      </w:r>
      <w:r>
        <w:rPr>
          <w:rFonts w:hint="eastAsia" w:ascii="宋体" w:hAnsi="宋体" w:cs="宋体"/>
          <w:color w:val="auto"/>
          <w:sz w:val="21"/>
          <w:szCs w:val="21"/>
          <w:highlight w:val="none"/>
        </w:rPr>
        <w:t>关于联合体投标</w:t>
      </w:r>
      <w:bookmarkEnd w:id="38"/>
      <w:bookmarkEnd w:id="39"/>
    </w:p>
    <w:p w14:paraId="1339FB22">
      <w:pPr>
        <w:pStyle w:val="46"/>
        <w:widowControl w:val="0"/>
        <w:ind w:left="425" w:hanging="425" w:firstLineChars="0"/>
        <w:jc w:val="both"/>
        <w:rPr>
          <w:rFonts w:ascii="宋体" w:hAnsi="宋体" w:cs="宋体"/>
          <w:vanish/>
          <w:color w:val="auto"/>
          <w:szCs w:val="21"/>
          <w:highlight w:val="none"/>
        </w:rPr>
      </w:pPr>
    </w:p>
    <w:p w14:paraId="61412C31">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6.1.</w:t>
      </w:r>
      <w:r>
        <w:rPr>
          <w:rFonts w:hint="eastAsia" w:ascii="宋体" w:hAnsi="宋体" w:cs="宋体"/>
          <w:color w:val="auto"/>
          <w:szCs w:val="21"/>
          <w:highlight w:val="none"/>
        </w:rPr>
        <w:t>对接受联合体投标的项目：两个以上的自然人、法人或者其他组织可以组成一个联合体，以一个投标人的身份共同参加采购活动。</w:t>
      </w:r>
    </w:p>
    <w:p w14:paraId="174DD07B">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6.2.</w:t>
      </w:r>
      <w:r>
        <w:rPr>
          <w:rFonts w:hint="eastAsia" w:ascii="宋体" w:hAnsi="宋体" w:cs="宋体"/>
          <w:color w:val="auto"/>
          <w:szCs w:val="21"/>
          <w:highlight w:val="none"/>
        </w:rPr>
        <w:t>以联合体形式参与项目的供应商在领购采购文件时，应提供所有联合体组成成员的营业执照复印件，并加盖各联合体组成成员的公章。</w:t>
      </w:r>
    </w:p>
    <w:p w14:paraId="02EA0349">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6.3.</w:t>
      </w:r>
      <w:r>
        <w:rPr>
          <w:rFonts w:hint="eastAsia" w:ascii="宋体" w:hAnsi="宋体" w:cs="宋体"/>
          <w:color w:val="auto"/>
          <w:szCs w:val="21"/>
          <w:highlight w:val="none"/>
        </w:rPr>
        <w:t>联合体各方均应具有独立承担民事责任能力的法人或其他组织。</w:t>
      </w:r>
    </w:p>
    <w:p w14:paraId="34ADE17A">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6.4.</w:t>
      </w:r>
      <w:r>
        <w:rPr>
          <w:rFonts w:hint="eastAsia" w:ascii="宋体" w:hAnsi="宋体" w:cs="宋体"/>
          <w:color w:val="auto"/>
          <w:szCs w:val="21"/>
          <w:highlight w:val="none"/>
        </w:rPr>
        <w:t>两个以上的自然人、法人或者其他组织组成一个联合体，以一个供应商的身份共同参加采购活动的，应当对所有联合体成员进行信用记录查询，联合体成员存在不良信用记录的，视同联合体存在不良信用记录。</w:t>
      </w:r>
    </w:p>
    <w:p w14:paraId="1017EC98">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6.5.</w:t>
      </w:r>
      <w:r>
        <w:rPr>
          <w:rFonts w:hint="eastAsia" w:ascii="宋体" w:hAnsi="宋体" w:cs="宋体"/>
          <w:color w:val="auto"/>
          <w:szCs w:val="21"/>
          <w:highlight w:val="none"/>
        </w:rPr>
        <w:t>采购文件对投标人资格条件有规定的，联合体各方均应当具备规定的相应资格条件。由同一专业的单位组成的联合体，按照资质等级较低的单位确定资质等级。</w:t>
      </w:r>
    </w:p>
    <w:p w14:paraId="3EE3FD2A">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6.6.</w:t>
      </w:r>
      <w:r>
        <w:rPr>
          <w:rFonts w:hint="eastAsia" w:ascii="宋体" w:hAnsi="宋体" w:cs="宋体"/>
          <w:color w:val="auto"/>
          <w:szCs w:val="21"/>
          <w:highlight w:val="none"/>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493A617F">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6.7.</w:t>
      </w:r>
      <w:r>
        <w:rPr>
          <w:rFonts w:hint="eastAsia" w:ascii="宋体" w:hAnsi="宋体" w:cs="宋体"/>
          <w:color w:val="auto"/>
          <w:szCs w:val="21"/>
          <w:highlight w:val="none"/>
        </w:rPr>
        <w:t>供应商为联合体的，可以由联合体中的任意一方交纳保证金，其交纳的保证金对联合体各方均具有约束力。</w:t>
      </w:r>
    </w:p>
    <w:p w14:paraId="42F27EA5">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6.8.</w:t>
      </w:r>
      <w:r>
        <w:rPr>
          <w:rFonts w:hint="eastAsia" w:ascii="宋体" w:hAnsi="宋体" w:cs="宋体"/>
          <w:color w:val="auto"/>
          <w:szCs w:val="21"/>
          <w:highlight w:val="none"/>
        </w:rPr>
        <w:t>除联合体协议明确授权盖章单位外，联合体投标时投标文件中所有要求盖章的地方均须加盖联合体所有组成成员的公章，否则该处盖章无效。</w:t>
      </w:r>
    </w:p>
    <w:p w14:paraId="499A715F">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6.9.</w:t>
      </w:r>
      <w:r>
        <w:rPr>
          <w:rFonts w:hint="eastAsia" w:ascii="宋体" w:hAnsi="宋体" w:cs="宋体"/>
          <w:color w:val="auto"/>
          <w:szCs w:val="21"/>
          <w:highlight w:val="none"/>
        </w:rPr>
        <w:t>联合体进行评分时，业绩、奖项等的认定和评分根据共同投标协议约定的各方承担的工作和相应责任，确定一方打分，不累加打分</w:t>
      </w:r>
      <w:r>
        <w:rPr>
          <w:rFonts w:hint="eastAsia" w:ascii="宋体" w:hAnsi="宋体" w:cs="宋体"/>
          <w:color w:val="auto"/>
          <w:szCs w:val="21"/>
          <w:highlight w:val="none"/>
          <w:lang w:eastAsia="zh-CN"/>
        </w:rPr>
        <w:t>；</w:t>
      </w:r>
      <w:r>
        <w:rPr>
          <w:rFonts w:hint="eastAsia" w:ascii="宋体" w:hAnsi="宋体" w:cs="宋体"/>
          <w:color w:val="auto"/>
          <w:szCs w:val="21"/>
          <w:highlight w:val="none"/>
        </w:rPr>
        <w:t>评审标准不明确或难以明确以哪一方计算评分情况时，则按主体方情况评分。</w:t>
      </w:r>
    </w:p>
    <w:p w14:paraId="0279B545">
      <w:pPr>
        <w:widowControl w:val="0"/>
        <w:ind w:left="567"/>
        <w:jc w:val="both"/>
        <w:rPr>
          <w:rFonts w:ascii="宋体" w:hAnsi="宋体" w:cs="宋体"/>
          <w:color w:val="auto"/>
          <w:szCs w:val="21"/>
          <w:highlight w:val="none"/>
        </w:rPr>
      </w:pPr>
    </w:p>
    <w:p w14:paraId="7EA04187">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40" w:name="_Toc3572"/>
      <w:bookmarkStart w:id="41" w:name="_Toc9362"/>
      <w:r>
        <w:rPr>
          <w:rFonts w:hint="default" w:ascii="宋体" w:hAnsi="宋体" w:eastAsia="宋体" w:cs="宋体"/>
          <w:b/>
          <w:bCs/>
          <w:color w:val="auto"/>
          <w:sz w:val="21"/>
          <w:szCs w:val="21"/>
          <w:lang w:val="en-US" w:eastAsia="zh-CN" w:bidi="ar-SA"/>
        </w:rPr>
        <w:t>7.</w:t>
      </w:r>
      <w:r>
        <w:rPr>
          <w:rFonts w:hint="eastAsia" w:ascii="宋体" w:hAnsi="宋体" w:cs="宋体"/>
          <w:color w:val="auto"/>
          <w:sz w:val="21"/>
          <w:szCs w:val="21"/>
          <w:highlight w:val="none"/>
        </w:rPr>
        <w:t>关于分支机构投标</w:t>
      </w:r>
      <w:bookmarkEnd w:id="40"/>
      <w:bookmarkEnd w:id="41"/>
    </w:p>
    <w:p w14:paraId="35DF968D">
      <w:pPr>
        <w:pStyle w:val="46"/>
        <w:widowControl w:val="0"/>
        <w:ind w:left="425" w:hanging="425" w:firstLineChars="0"/>
        <w:jc w:val="both"/>
        <w:rPr>
          <w:rFonts w:ascii="宋体" w:hAnsi="宋体" w:cs="宋体"/>
          <w:vanish/>
          <w:color w:val="auto"/>
          <w:szCs w:val="21"/>
          <w:highlight w:val="none"/>
        </w:rPr>
      </w:pPr>
      <w:bookmarkStart w:id="42" w:name="EB389f116341dd4693875bc7987e7327f3"/>
    </w:p>
    <w:p w14:paraId="782289D1">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7.1.</w:t>
      </w:r>
      <w:r>
        <w:rPr>
          <w:rFonts w:hint="eastAsia" w:ascii="宋体" w:hAnsi="宋体" w:cs="宋体"/>
          <w:color w:val="auto"/>
          <w:szCs w:val="21"/>
          <w:highlight w:val="none"/>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42"/>
    </w:p>
    <w:p w14:paraId="123C5A47">
      <w:pPr>
        <w:widowControl w:val="0"/>
        <w:ind w:left="567"/>
        <w:jc w:val="both"/>
        <w:rPr>
          <w:rFonts w:ascii="宋体" w:hAnsi="宋体" w:cs="宋体"/>
          <w:color w:val="auto"/>
          <w:szCs w:val="21"/>
          <w:highlight w:val="none"/>
        </w:rPr>
      </w:pPr>
    </w:p>
    <w:p w14:paraId="16898E17">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43" w:name="_Toc1071"/>
      <w:r>
        <w:rPr>
          <w:rFonts w:hint="default" w:ascii="宋体" w:hAnsi="宋体" w:eastAsia="宋体" w:cs="宋体"/>
          <w:b/>
          <w:bCs/>
          <w:color w:val="auto"/>
          <w:sz w:val="21"/>
          <w:szCs w:val="21"/>
          <w:lang w:val="en-US" w:eastAsia="zh-CN" w:bidi="ar-SA"/>
        </w:rPr>
        <w:t>8.</w:t>
      </w:r>
      <w:r>
        <w:rPr>
          <w:rFonts w:hint="eastAsia" w:ascii="宋体" w:hAnsi="宋体" w:cs="宋体"/>
          <w:color w:val="auto"/>
          <w:sz w:val="21"/>
          <w:szCs w:val="21"/>
          <w:highlight w:val="none"/>
        </w:rPr>
        <w:t>踏勘现场</w:t>
      </w:r>
      <w:bookmarkEnd w:id="43"/>
    </w:p>
    <w:p w14:paraId="7AA2BF2C">
      <w:pPr>
        <w:widowControl w:val="0"/>
        <w:numPr>
          <w:ilvl w:val="1"/>
          <w:numId w:val="0"/>
        </w:numPr>
        <w:overflowPunct w:val="0"/>
        <w:ind w:left="567" w:leftChars="0" w:hanging="567" w:firstLineChars="0"/>
        <w:rPr>
          <w:rFonts w:hint="eastAsia" w:ascii="宋体" w:hAnsi="宋体" w:eastAsia="宋体" w:cs="宋体"/>
          <w:color w:val="auto"/>
          <w:szCs w:val="21"/>
          <w:highlight w:val="none"/>
          <w:lang w:eastAsia="zh-CN"/>
        </w:rPr>
      </w:pPr>
      <w:r>
        <w:rPr>
          <w:rFonts w:hint="default" w:ascii="宋体" w:hAnsi="宋体" w:eastAsia="宋体" w:cs="宋体"/>
          <w:color w:val="auto"/>
          <w:sz w:val="21"/>
          <w:szCs w:val="21"/>
          <w:lang w:val="en-US" w:eastAsia="zh-CN" w:bidi="ar-SA"/>
        </w:rPr>
        <w:t>8.1.</w:t>
      </w:r>
      <w:r>
        <w:rPr>
          <w:rFonts w:hint="eastAsia" w:ascii="宋体" w:hAnsi="宋体" w:cs="宋体"/>
          <w:color w:val="auto"/>
          <w:szCs w:val="21"/>
          <w:highlight w:val="none"/>
        </w:rPr>
        <w:t>《投标资料表》规定组织踏勘现场的，采购人按《投标资料表》规定的时间、地点组织响应人踏勘项目现场</w:t>
      </w:r>
      <w:r>
        <w:rPr>
          <w:rFonts w:hint="eastAsia" w:ascii="宋体" w:hAnsi="宋体" w:cs="宋体"/>
          <w:color w:val="auto"/>
          <w:szCs w:val="21"/>
          <w:highlight w:val="none"/>
          <w:lang w:eastAsia="zh-CN"/>
        </w:rPr>
        <w:t>；</w:t>
      </w:r>
    </w:p>
    <w:p w14:paraId="15E1BC2D">
      <w:pPr>
        <w:widowControl w:val="0"/>
        <w:numPr>
          <w:ilvl w:val="1"/>
          <w:numId w:val="0"/>
        </w:numPr>
        <w:overflowPunct w:val="0"/>
        <w:ind w:left="567" w:leftChars="0" w:hanging="567" w:firstLineChars="0"/>
        <w:rPr>
          <w:rFonts w:hint="eastAsia" w:ascii="宋体" w:hAnsi="宋体" w:eastAsia="宋体" w:cs="宋体"/>
          <w:color w:val="auto"/>
          <w:szCs w:val="21"/>
          <w:highlight w:val="none"/>
          <w:lang w:eastAsia="zh-CN"/>
        </w:rPr>
      </w:pPr>
      <w:r>
        <w:rPr>
          <w:rFonts w:hint="default" w:ascii="宋体" w:hAnsi="宋体" w:eastAsia="宋体" w:cs="宋体"/>
          <w:color w:val="auto"/>
          <w:sz w:val="21"/>
          <w:szCs w:val="21"/>
          <w:lang w:val="en-US" w:eastAsia="zh-CN" w:bidi="ar-SA"/>
        </w:rPr>
        <w:t>8.2.</w:t>
      </w:r>
      <w:r>
        <w:rPr>
          <w:rFonts w:hint="eastAsia" w:ascii="宋体" w:hAnsi="宋体" w:cs="宋体"/>
          <w:color w:val="auto"/>
          <w:szCs w:val="21"/>
          <w:highlight w:val="none"/>
        </w:rPr>
        <w:t>响应人踏勘现场发生的费用自理</w:t>
      </w:r>
      <w:r>
        <w:rPr>
          <w:rFonts w:hint="eastAsia" w:ascii="宋体" w:hAnsi="宋体" w:cs="宋体"/>
          <w:color w:val="auto"/>
          <w:szCs w:val="21"/>
          <w:highlight w:val="none"/>
          <w:lang w:eastAsia="zh-CN"/>
        </w:rPr>
        <w:t>；</w:t>
      </w:r>
    </w:p>
    <w:p w14:paraId="45B3957A">
      <w:pPr>
        <w:widowControl w:val="0"/>
        <w:numPr>
          <w:ilvl w:val="1"/>
          <w:numId w:val="0"/>
        </w:numPr>
        <w:overflowPunct w:val="0"/>
        <w:ind w:left="567" w:leftChars="0" w:hanging="567" w:firstLineChars="0"/>
        <w:rPr>
          <w:rFonts w:hint="eastAsia" w:ascii="宋体" w:hAnsi="宋体" w:eastAsia="宋体" w:cs="宋体"/>
          <w:color w:val="auto"/>
          <w:szCs w:val="21"/>
          <w:highlight w:val="none"/>
          <w:lang w:eastAsia="zh-CN"/>
        </w:rPr>
      </w:pPr>
      <w:r>
        <w:rPr>
          <w:rFonts w:hint="default" w:ascii="宋体" w:hAnsi="宋体" w:eastAsia="宋体" w:cs="宋体"/>
          <w:color w:val="auto"/>
          <w:sz w:val="21"/>
          <w:szCs w:val="21"/>
          <w:lang w:val="en-US" w:eastAsia="zh-CN" w:bidi="ar-SA"/>
        </w:rPr>
        <w:t>8.3.</w:t>
      </w:r>
      <w:r>
        <w:rPr>
          <w:rFonts w:hint="eastAsia" w:ascii="宋体" w:hAnsi="宋体" w:cs="宋体"/>
          <w:color w:val="auto"/>
          <w:szCs w:val="21"/>
          <w:highlight w:val="none"/>
        </w:rPr>
        <w:t>除采购人的原因外，响应人自行负责在踏勘现场中所发生的人员伤亡和财产损失</w:t>
      </w:r>
      <w:r>
        <w:rPr>
          <w:rFonts w:hint="eastAsia" w:ascii="宋体" w:hAnsi="宋体" w:cs="宋体"/>
          <w:color w:val="auto"/>
          <w:szCs w:val="21"/>
          <w:highlight w:val="none"/>
          <w:lang w:eastAsia="zh-CN"/>
        </w:rPr>
        <w:t>；</w:t>
      </w:r>
    </w:p>
    <w:p w14:paraId="3130A6BC">
      <w:pPr>
        <w:widowControl w:val="0"/>
        <w:numPr>
          <w:ilvl w:val="1"/>
          <w:numId w:val="0"/>
        </w:numPr>
        <w:overflowPunct w:val="0"/>
        <w:ind w:left="567" w:leftChars="0" w:hanging="567" w:firstLineChars="0"/>
        <w:rPr>
          <w:rFonts w:hint="eastAsia" w:ascii="宋体" w:hAnsi="宋体" w:eastAsia="宋体" w:cs="宋体"/>
          <w:color w:val="auto"/>
          <w:szCs w:val="21"/>
          <w:highlight w:val="none"/>
          <w:lang w:eastAsia="zh-CN"/>
        </w:rPr>
      </w:pPr>
      <w:r>
        <w:rPr>
          <w:rFonts w:hint="default" w:ascii="宋体" w:hAnsi="宋体" w:eastAsia="宋体" w:cs="宋体"/>
          <w:color w:val="auto"/>
          <w:sz w:val="21"/>
          <w:szCs w:val="21"/>
          <w:lang w:val="en-US" w:eastAsia="zh-CN" w:bidi="ar-SA"/>
        </w:rPr>
        <w:t>8.4.</w:t>
      </w:r>
      <w:r>
        <w:rPr>
          <w:rFonts w:hint="eastAsia" w:ascii="宋体" w:hAnsi="宋体" w:cs="宋体"/>
          <w:color w:val="auto"/>
          <w:szCs w:val="21"/>
          <w:highlight w:val="none"/>
        </w:rPr>
        <w:t>采购人在踏勘现场中介绍的实施地点和相关的周边环境情况，供响应人在编制响应文件时参考，采购人不对响应人据此作出的判断和决策负责</w:t>
      </w:r>
      <w:r>
        <w:rPr>
          <w:rFonts w:hint="eastAsia" w:ascii="宋体" w:hAnsi="宋体" w:cs="宋体"/>
          <w:color w:val="auto"/>
          <w:szCs w:val="21"/>
          <w:highlight w:val="none"/>
          <w:lang w:eastAsia="zh-CN"/>
        </w:rPr>
        <w:t>；</w:t>
      </w:r>
    </w:p>
    <w:p w14:paraId="5E363EF9">
      <w:pPr>
        <w:rPr>
          <w:rFonts w:ascii="宋体" w:hAnsi="宋体" w:cs="宋体"/>
          <w:color w:val="auto"/>
          <w:highlight w:val="none"/>
        </w:rPr>
      </w:pPr>
    </w:p>
    <w:p w14:paraId="1F62AFAF">
      <w:pPr>
        <w:pStyle w:val="4"/>
        <w:numPr>
          <w:ilvl w:val="0"/>
          <w:numId w:val="2"/>
        </w:numPr>
        <w:spacing w:before="0" w:after="0" w:line="360" w:lineRule="auto"/>
        <w:jc w:val="center"/>
        <w:rPr>
          <w:rFonts w:ascii="宋体" w:hAnsi="宋体" w:cs="宋体"/>
          <w:color w:val="auto"/>
          <w:highlight w:val="none"/>
        </w:rPr>
      </w:pPr>
      <w:bookmarkStart w:id="44" w:name="_Toc9444"/>
      <w:bookmarkStart w:id="45" w:name="_Toc10877"/>
      <w:r>
        <w:rPr>
          <w:rFonts w:hint="eastAsia" w:ascii="宋体" w:hAnsi="宋体" w:cs="宋体"/>
          <w:color w:val="auto"/>
          <w:highlight w:val="none"/>
        </w:rPr>
        <w:t>采购文件</w:t>
      </w:r>
      <w:bookmarkEnd w:id="44"/>
      <w:bookmarkEnd w:id="45"/>
    </w:p>
    <w:p w14:paraId="5A81A715">
      <w:pPr>
        <w:pStyle w:val="5"/>
        <w:widowControl w:val="0"/>
        <w:numPr>
          <w:ilvl w:val="0"/>
          <w:numId w:val="0"/>
        </w:numPr>
        <w:overflowPunct w:val="0"/>
        <w:ind w:left="425" w:leftChars="0" w:hanging="425" w:firstLineChars="0"/>
        <w:rPr>
          <w:rFonts w:ascii="宋体" w:hAnsi="宋体" w:cs="宋体"/>
          <w:vanish/>
          <w:color w:val="auto"/>
          <w:szCs w:val="21"/>
          <w:highlight w:val="none"/>
        </w:rPr>
      </w:pPr>
      <w:bookmarkStart w:id="46" w:name="_Toc10638"/>
      <w:bookmarkStart w:id="47" w:name="_Toc23442"/>
      <w:r>
        <w:rPr>
          <w:rFonts w:hint="default" w:ascii="宋体" w:hAnsi="宋体" w:eastAsia="宋体" w:cs="宋体"/>
          <w:b/>
          <w:bCs/>
          <w:color w:val="auto"/>
          <w:sz w:val="21"/>
          <w:szCs w:val="21"/>
          <w:lang w:val="en-US" w:eastAsia="zh-CN" w:bidi="ar-SA"/>
        </w:rPr>
        <w:t>9.</w:t>
      </w:r>
      <w:r>
        <w:rPr>
          <w:rFonts w:hint="eastAsia" w:ascii="宋体" w:hAnsi="宋体" w:cs="宋体"/>
          <w:color w:val="auto"/>
          <w:sz w:val="21"/>
          <w:szCs w:val="21"/>
          <w:highlight w:val="none"/>
        </w:rPr>
        <w:t>采购文件的组成</w:t>
      </w:r>
      <w:bookmarkEnd w:id="46"/>
      <w:bookmarkEnd w:id="47"/>
    </w:p>
    <w:p w14:paraId="0016951A">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9.1.</w:t>
      </w:r>
      <w:r>
        <w:rPr>
          <w:rFonts w:hint="eastAsia" w:ascii="宋体" w:hAnsi="宋体" w:cs="宋体"/>
          <w:color w:val="auto"/>
          <w:szCs w:val="21"/>
          <w:highlight w:val="none"/>
        </w:rPr>
        <w:t>采购文件包括：</w:t>
      </w:r>
    </w:p>
    <w:p w14:paraId="113512B2">
      <w:pPr>
        <w:widowControl w:val="0"/>
        <w:ind w:firstLine="420" w:firstLineChars="200"/>
        <w:jc w:val="both"/>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投标邀请</w:t>
      </w:r>
      <w:r>
        <w:rPr>
          <w:rFonts w:hint="eastAsia" w:ascii="宋体" w:hAnsi="宋体" w:cs="宋体"/>
          <w:color w:val="auto"/>
          <w:szCs w:val="21"/>
          <w:highlight w:val="none"/>
          <w:lang w:eastAsia="zh-CN"/>
        </w:rPr>
        <w:t>；</w:t>
      </w:r>
    </w:p>
    <w:p w14:paraId="11060592">
      <w:pPr>
        <w:widowControl w:val="0"/>
        <w:ind w:firstLine="420" w:firstLineChars="200"/>
        <w:jc w:val="both"/>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相关资料表格</w:t>
      </w:r>
      <w:r>
        <w:rPr>
          <w:rFonts w:hint="eastAsia" w:ascii="宋体" w:hAnsi="宋体" w:cs="宋体"/>
          <w:color w:val="auto"/>
          <w:szCs w:val="21"/>
          <w:highlight w:val="none"/>
          <w:lang w:eastAsia="zh-CN"/>
        </w:rPr>
        <w:t>；</w:t>
      </w:r>
    </w:p>
    <w:p w14:paraId="4476BFE6">
      <w:pPr>
        <w:widowControl w:val="0"/>
        <w:ind w:firstLine="420" w:firstLineChars="200"/>
        <w:jc w:val="both"/>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（3）用户需求书</w:t>
      </w:r>
      <w:r>
        <w:rPr>
          <w:rFonts w:hint="eastAsia" w:ascii="宋体" w:hAnsi="宋体" w:cs="宋体"/>
          <w:color w:val="auto"/>
          <w:szCs w:val="21"/>
          <w:highlight w:val="none"/>
          <w:lang w:eastAsia="zh-CN"/>
        </w:rPr>
        <w:t>；</w:t>
      </w:r>
    </w:p>
    <w:p w14:paraId="7B4E0B40">
      <w:pPr>
        <w:widowControl w:val="0"/>
        <w:ind w:firstLine="420" w:firstLineChars="200"/>
        <w:jc w:val="both"/>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（4）投标人须知</w:t>
      </w:r>
      <w:r>
        <w:rPr>
          <w:rFonts w:hint="eastAsia" w:ascii="宋体" w:hAnsi="宋体" w:cs="宋体"/>
          <w:color w:val="auto"/>
          <w:szCs w:val="21"/>
          <w:highlight w:val="none"/>
          <w:lang w:eastAsia="zh-CN"/>
        </w:rPr>
        <w:t>；</w:t>
      </w:r>
    </w:p>
    <w:p w14:paraId="41BC05B5">
      <w:pPr>
        <w:widowControl w:val="0"/>
        <w:ind w:firstLine="420" w:firstLineChars="200"/>
        <w:jc w:val="both"/>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（5）</w:t>
      </w:r>
      <w:r>
        <w:rPr>
          <w:rFonts w:hint="eastAsia" w:ascii="宋体" w:hAnsi="宋体" w:cs="宋体"/>
          <w:color w:val="auto"/>
          <w:szCs w:val="21"/>
          <w:highlight w:val="none"/>
          <w:lang w:val="en-US" w:eastAsia="zh-CN"/>
        </w:rPr>
        <w:t>合同条款格式</w:t>
      </w:r>
      <w:r>
        <w:rPr>
          <w:rFonts w:hint="eastAsia" w:ascii="宋体" w:hAnsi="宋体" w:cs="宋体"/>
          <w:color w:val="auto"/>
          <w:szCs w:val="21"/>
          <w:highlight w:val="none"/>
          <w:lang w:eastAsia="zh-CN"/>
        </w:rPr>
        <w:t>；</w:t>
      </w:r>
    </w:p>
    <w:p w14:paraId="28C8F392">
      <w:pPr>
        <w:widowControl w:val="0"/>
        <w:ind w:firstLine="420" w:firstLineChars="200"/>
        <w:jc w:val="both"/>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（6）</w:t>
      </w:r>
      <w:r>
        <w:rPr>
          <w:rFonts w:hint="eastAsia" w:ascii="宋体" w:hAnsi="宋体" w:cs="宋体"/>
          <w:color w:val="auto"/>
          <w:szCs w:val="21"/>
          <w:highlight w:val="none"/>
          <w:lang w:val="en-US" w:eastAsia="zh-CN"/>
        </w:rPr>
        <w:t>投标文件格式</w:t>
      </w:r>
      <w:r>
        <w:rPr>
          <w:rFonts w:hint="eastAsia" w:ascii="宋体" w:hAnsi="宋体" w:cs="宋体"/>
          <w:color w:val="auto"/>
          <w:szCs w:val="21"/>
          <w:highlight w:val="none"/>
          <w:lang w:eastAsia="zh-CN"/>
        </w:rPr>
        <w:t>；</w:t>
      </w:r>
    </w:p>
    <w:p w14:paraId="266443A5">
      <w:pPr>
        <w:rPr>
          <w:rFonts w:ascii="宋体" w:hAnsi="宋体" w:cs="宋体"/>
          <w:color w:val="auto"/>
          <w:highlight w:val="none"/>
        </w:rPr>
      </w:pPr>
    </w:p>
    <w:p w14:paraId="09373A52">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48" w:name="_Toc16907"/>
      <w:bookmarkStart w:id="49" w:name="_Toc21392"/>
      <w:r>
        <w:rPr>
          <w:rFonts w:hint="default" w:ascii="宋体" w:hAnsi="宋体" w:eastAsia="宋体" w:cs="宋体"/>
          <w:b/>
          <w:bCs/>
          <w:color w:val="auto"/>
          <w:sz w:val="21"/>
          <w:szCs w:val="21"/>
          <w:lang w:val="en-US" w:eastAsia="zh-CN" w:bidi="ar-SA"/>
        </w:rPr>
        <w:t>10.</w:t>
      </w:r>
      <w:r>
        <w:rPr>
          <w:rFonts w:hint="eastAsia" w:ascii="宋体" w:hAnsi="宋体" w:cs="宋体"/>
          <w:color w:val="auto"/>
          <w:sz w:val="21"/>
          <w:szCs w:val="21"/>
          <w:highlight w:val="none"/>
        </w:rPr>
        <w:t>采购文件的澄清或修改</w:t>
      </w:r>
      <w:bookmarkEnd w:id="48"/>
      <w:bookmarkEnd w:id="49"/>
    </w:p>
    <w:p w14:paraId="712C0030">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10.1.</w:t>
      </w:r>
      <w:r>
        <w:rPr>
          <w:rFonts w:hint="eastAsia" w:ascii="宋体" w:hAnsi="宋体" w:cs="宋体"/>
          <w:color w:val="auto"/>
          <w:szCs w:val="21"/>
          <w:highlight w:val="none"/>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4F163254">
      <w:pPr>
        <w:widowControl w:val="0"/>
        <w:numPr>
          <w:ilvl w:val="1"/>
          <w:numId w:val="0"/>
        </w:numPr>
        <w:overflowPunct w:val="0"/>
        <w:ind w:left="567" w:leftChars="0" w:hanging="567" w:firstLineChars="0"/>
        <w:rPr>
          <w:rFonts w:ascii="宋体" w:hAnsi="宋体" w:cs="宋体"/>
          <w:b/>
          <w:bCs/>
          <w:color w:val="auto"/>
          <w:szCs w:val="21"/>
          <w:highlight w:val="none"/>
        </w:rPr>
      </w:pPr>
      <w:r>
        <w:rPr>
          <w:rFonts w:hint="default" w:ascii="宋体" w:hAnsi="宋体" w:eastAsia="宋体" w:cs="宋体"/>
          <w:b/>
          <w:bCs/>
          <w:color w:val="auto"/>
          <w:sz w:val="21"/>
          <w:szCs w:val="21"/>
          <w:lang w:val="en-US" w:eastAsia="zh-CN" w:bidi="ar-SA"/>
        </w:rPr>
        <w:t>10.2.</w:t>
      </w:r>
      <w:r>
        <w:rPr>
          <w:rFonts w:hint="eastAsia" w:ascii="宋体" w:hAnsi="宋体" w:cs="宋体"/>
          <w:b/>
          <w:bCs/>
          <w:color w:val="auto"/>
          <w:szCs w:val="21"/>
          <w:highlight w:val="none"/>
        </w:rPr>
        <w:t>采购期间，投标人有义务上网查看，公告一经上网发布，即视为送达。因投标人未及时上网查看而造成的所有后果，由投标人自行承担。</w:t>
      </w:r>
    </w:p>
    <w:p w14:paraId="23B6BAFF">
      <w:pPr>
        <w:widowControl w:val="0"/>
        <w:ind w:left="567"/>
        <w:jc w:val="both"/>
        <w:rPr>
          <w:rFonts w:ascii="宋体" w:hAnsi="宋体" w:cs="宋体"/>
          <w:color w:val="auto"/>
          <w:szCs w:val="21"/>
          <w:highlight w:val="none"/>
        </w:rPr>
      </w:pPr>
    </w:p>
    <w:p w14:paraId="4D3DFF5D">
      <w:pPr>
        <w:pStyle w:val="4"/>
        <w:numPr>
          <w:ilvl w:val="0"/>
          <w:numId w:val="2"/>
        </w:numPr>
        <w:spacing w:before="0" w:after="0" w:line="360" w:lineRule="auto"/>
        <w:jc w:val="center"/>
        <w:rPr>
          <w:rFonts w:ascii="宋体" w:hAnsi="宋体" w:cs="宋体"/>
          <w:color w:val="auto"/>
          <w:highlight w:val="none"/>
        </w:rPr>
      </w:pPr>
      <w:bookmarkStart w:id="50" w:name="_Toc12395"/>
      <w:bookmarkStart w:id="51" w:name="_Toc12343"/>
      <w:r>
        <w:rPr>
          <w:rFonts w:hint="eastAsia" w:ascii="宋体" w:hAnsi="宋体" w:cs="宋体"/>
          <w:color w:val="auto"/>
          <w:highlight w:val="none"/>
        </w:rPr>
        <w:t>投标文件的编制</w:t>
      </w:r>
      <w:bookmarkEnd w:id="50"/>
      <w:bookmarkEnd w:id="51"/>
    </w:p>
    <w:p w14:paraId="2EF5B283">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52" w:name="_Toc4889"/>
      <w:bookmarkStart w:id="53" w:name="_Toc16938"/>
      <w:r>
        <w:rPr>
          <w:rFonts w:hint="default" w:ascii="宋体" w:hAnsi="宋体" w:eastAsia="宋体" w:cs="宋体"/>
          <w:b/>
          <w:bCs/>
          <w:color w:val="auto"/>
          <w:sz w:val="21"/>
          <w:szCs w:val="21"/>
          <w:lang w:val="en-US" w:eastAsia="zh-CN" w:bidi="ar-SA"/>
        </w:rPr>
        <w:t>11.</w:t>
      </w:r>
      <w:r>
        <w:rPr>
          <w:rFonts w:hint="eastAsia" w:ascii="宋体" w:hAnsi="宋体" w:cs="宋体"/>
          <w:color w:val="auto"/>
          <w:sz w:val="21"/>
          <w:szCs w:val="21"/>
          <w:highlight w:val="none"/>
        </w:rPr>
        <w:t>投标文件的语言及度量衡单位</w:t>
      </w:r>
      <w:bookmarkEnd w:id="52"/>
      <w:bookmarkEnd w:id="53"/>
    </w:p>
    <w:p w14:paraId="4BF974D2">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11.1.</w:t>
      </w:r>
      <w:r>
        <w:rPr>
          <w:rFonts w:hint="eastAsia" w:ascii="宋体" w:hAnsi="宋体" w:cs="宋体"/>
          <w:color w:val="auto"/>
          <w:szCs w:val="21"/>
          <w:highlight w:val="none"/>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483484D0">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11.2.</w:t>
      </w:r>
      <w:r>
        <w:rPr>
          <w:rFonts w:hint="eastAsia" w:ascii="宋体" w:hAnsi="宋体" w:cs="宋体"/>
          <w:color w:val="auto"/>
          <w:szCs w:val="21"/>
          <w:highlight w:val="none"/>
        </w:rPr>
        <w:t>除非采购文件在技术规格中另有规定，投标人在投标文件中及其与采购代理机构和采购人所有往来文件中的所有计量单位均应采用中华人民共和国法定计量单位。</w:t>
      </w:r>
    </w:p>
    <w:p w14:paraId="53BCD136">
      <w:pPr>
        <w:widowControl w:val="0"/>
        <w:ind w:left="567"/>
        <w:jc w:val="both"/>
        <w:rPr>
          <w:rFonts w:ascii="宋体" w:hAnsi="宋体" w:cs="宋体"/>
          <w:color w:val="auto"/>
          <w:szCs w:val="21"/>
          <w:highlight w:val="none"/>
        </w:rPr>
      </w:pPr>
    </w:p>
    <w:p w14:paraId="2642C820">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54" w:name="_Toc382049103"/>
      <w:bookmarkStart w:id="55" w:name="_Toc28866"/>
      <w:bookmarkStart w:id="56" w:name="_Toc26641"/>
      <w:bookmarkStart w:id="57" w:name="_Toc11466"/>
      <w:bookmarkStart w:id="58" w:name="_Toc307934854"/>
      <w:bookmarkStart w:id="59" w:name="_Toc303084256"/>
      <w:r>
        <w:rPr>
          <w:rFonts w:hint="default" w:ascii="宋体" w:hAnsi="宋体" w:eastAsia="宋体" w:cs="宋体"/>
          <w:b/>
          <w:bCs/>
          <w:color w:val="auto"/>
          <w:sz w:val="21"/>
          <w:szCs w:val="21"/>
          <w:lang w:val="en-US" w:eastAsia="zh-CN" w:bidi="ar-SA"/>
        </w:rPr>
        <w:t>12.</w:t>
      </w:r>
      <w:r>
        <w:rPr>
          <w:rFonts w:hint="eastAsia" w:ascii="宋体" w:hAnsi="宋体" w:cs="宋体"/>
          <w:color w:val="auto"/>
          <w:sz w:val="21"/>
          <w:szCs w:val="21"/>
          <w:highlight w:val="none"/>
        </w:rPr>
        <w:t>投标文件的组成</w:t>
      </w:r>
      <w:bookmarkEnd w:id="54"/>
      <w:bookmarkEnd w:id="55"/>
      <w:bookmarkEnd w:id="56"/>
      <w:bookmarkEnd w:id="57"/>
      <w:bookmarkEnd w:id="58"/>
      <w:bookmarkEnd w:id="59"/>
    </w:p>
    <w:p w14:paraId="190A8C27">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12.1.</w:t>
      </w:r>
      <w:r>
        <w:rPr>
          <w:rFonts w:hint="eastAsia" w:ascii="宋体" w:hAnsi="宋体" w:cs="宋体"/>
          <w:color w:val="auto"/>
          <w:szCs w:val="21"/>
          <w:highlight w:val="none"/>
        </w:rPr>
        <w:t>包括但不限于采购文件附件格式中要求提供的表格。</w:t>
      </w:r>
    </w:p>
    <w:p w14:paraId="65B5F53E">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12.2.</w:t>
      </w:r>
      <w:r>
        <w:rPr>
          <w:rFonts w:hint="eastAsia" w:ascii="宋体" w:hAnsi="宋体" w:cs="宋体"/>
          <w:color w:val="auto"/>
          <w:szCs w:val="21"/>
          <w:highlight w:val="none"/>
        </w:rPr>
        <w:t>上述文件须按顺序装订成册，并编制投标文件目录。除上述文件资料外投标人还须按投标人须知的要求制作“唱标信封”。“唱标信封”作为投标文件的一部分，但须单独密封。</w:t>
      </w:r>
    </w:p>
    <w:p w14:paraId="711D874B">
      <w:pPr>
        <w:rPr>
          <w:rFonts w:ascii="宋体" w:hAnsi="宋体" w:cs="宋体"/>
          <w:color w:val="auto"/>
          <w:highlight w:val="none"/>
        </w:rPr>
      </w:pPr>
    </w:p>
    <w:p w14:paraId="1A98AB05">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60" w:name="_Toc755"/>
      <w:bookmarkStart w:id="61" w:name="_Toc7888"/>
      <w:r>
        <w:rPr>
          <w:rFonts w:hint="default" w:ascii="宋体" w:hAnsi="宋体" w:eastAsia="宋体" w:cs="宋体"/>
          <w:b/>
          <w:bCs/>
          <w:color w:val="auto"/>
          <w:sz w:val="21"/>
          <w:szCs w:val="21"/>
          <w:lang w:val="en-US" w:eastAsia="zh-CN" w:bidi="ar-SA"/>
        </w:rPr>
        <w:t>13.</w:t>
      </w:r>
      <w:r>
        <w:rPr>
          <w:rFonts w:hint="eastAsia" w:ascii="宋体" w:hAnsi="宋体" w:cs="宋体"/>
          <w:color w:val="auto"/>
          <w:sz w:val="21"/>
          <w:szCs w:val="21"/>
          <w:highlight w:val="none"/>
        </w:rPr>
        <w:t>投标文件编制</w:t>
      </w:r>
      <w:bookmarkEnd w:id="60"/>
      <w:bookmarkEnd w:id="61"/>
    </w:p>
    <w:p w14:paraId="6E82D742">
      <w:pPr>
        <w:widowControl w:val="0"/>
        <w:numPr>
          <w:ilvl w:val="1"/>
          <w:numId w:val="0"/>
        </w:numPr>
        <w:overflowPunct w:val="0"/>
        <w:ind w:left="567" w:leftChars="0" w:hanging="567" w:firstLineChars="0"/>
        <w:rPr>
          <w:rFonts w:ascii="宋体" w:hAnsi="宋体" w:cs="宋体"/>
          <w:color w:val="auto"/>
          <w:szCs w:val="21"/>
          <w:highlight w:val="none"/>
        </w:rPr>
      </w:pPr>
      <w:bookmarkStart w:id="62" w:name="_Toc303084258"/>
      <w:r>
        <w:rPr>
          <w:rFonts w:hint="default" w:ascii="宋体" w:hAnsi="宋体" w:eastAsia="宋体" w:cs="宋体"/>
          <w:color w:val="auto"/>
          <w:sz w:val="21"/>
          <w:szCs w:val="21"/>
          <w:lang w:val="en-US" w:eastAsia="zh-CN" w:bidi="ar-SA"/>
        </w:rPr>
        <w:t>13.1.</w:t>
      </w:r>
      <w:r>
        <w:rPr>
          <w:rFonts w:hint="eastAsia" w:ascii="宋体" w:hAnsi="宋体" w:cs="宋体"/>
          <w:color w:val="auto"/>
          <w:szCs w:val="21"/>
          <w:highlight w:val="none"/>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222911C5">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13.2.</w:t>
      </w:r>
      <w:r>
        <w:rPr>
          <w:rFonts w:hint="eastAsia" w:ascii="宋体" w:hAnsi="宋体" w:cs="宋体"/>
          <w:color w:val="auto"/>
          <w:szCs w:val="21"/>
          <w:highlight w:val="none"/>
        </w:rPr>
        <w:t>因投标文件编制存在歧义对投标人产生负面影响的，投标人自行承担后果。</w:t>
      </w:r>
    </w:p>
    <w:p w14:paraId="7DC23609">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13.3.</w:t>
      </w:r>
      <w:r>
        <w:rPr>
          <w:rFonts w:hint="eastAsia" w:ascii="宋体" w:hAnsi="宋体" w:cs="宋体"/>
          <w:color w:val="auto"/>
          <w:szCs w:val="21"/>
          <w:highlight w:val="none"/>
        </w:rPr>
        <w:t>投标单位名称与投标人公章不一致，若投标单位名称已进行变更，应在投标文件中提供相应的证明材料并加盖公章，否则投标文件无效。</w:t>
      </w:r>
    </w:p>
    <w:p w14:paraId="711C3305">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13.4.</w:t>
      </w:r>
      <w:r>
        <w:rPr>
          <w:rFonts w:hint="eastAsia" w:ascii="宋体" w:hAnsi="宋体" w:cs="宋体"/>
          <w:color w:val="auto"/>
          <w:szCs w:val="21"/>
          <w:highlight w:val="none"/>
        </w:rPr>
        <w:t>投标文件密封、标记及内容与本项目采购信息不符，导致无法分辨所投项目为本项目的，投标文件无效。</w:t>
      </w:r>
    </w:p>
    <w:p w14:paraId="6D530233">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13.5.</w:t>
      </w:r>
      <w:r>
        <w:rPr>
          <w:rFonts w:hint="eastAsia" w:ascii="宋体" w:hAnsi="宋体" w:cs="宋体"/>
          <w:color w:val="auto"/>
          <w:szCs w:val="21"/>
          <w:highlight w:val="none"/>
        </w:rPr>
        <w:t>投标人须客观撰写投标人简介（格式自理，并提供相关证明）以及所投的产品或服务说明。</w:t>
      </w:r>
    </w:p>
    <w:p w14:paraId="7DDEB3D6">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13.6.</w:t>
      </w:r>
      <w:r>
        <w:rPr>
          <w:rFonts w:hint="eastAsia" w:ascii="宋体" w:hAnsi="宋体" w:cs="宋体"/>
          <w:color w:val="auto"/>
          <w:szCs w:val="21"/>
          <w:highlight w:val="none"/>
        </w:rPr>
        <w:t>投标文件若出现以下内容，经评标委员会认定有可能间接影响评审秩序，作废标处理。</w:t>
      </w:r>
    </w:p>
    <w:p w14:paraId="76A503B3">
      <w:pPr>
        <w:pStyle w:val="46"/>
        <w:widowControl w:val="0"/>
        <w:numPr>
          <w:ilvl w:val="0"/>
          <w:numId w:val="3"/>
        </w:numPr>
        <w:ind w:firstLineChars="0"/>
        <w:jc w:val="both"/>
        <w:rPr>
          <w:rFonts w:ascii="宋体" w:hAnsi="宋体" w:cs="宋体"/>
          <w:color w:val="auto"/>
          <w:szCs w:val="21"/>
          <w:highlight w:val="none"/>
        </w:rPr>
      </w:pPr>
      <w:r>
        <w:rPr>
          <w:rFonts w:hint="eastAsia" w:ascii="宋体" w:hAnsi="宋体" w:cs="宋体"/>
          <w:color w:val="auto"/>
          <w:szCs w:val="21"/>
          <w:highlight w:val="none"/>
        </w:rPr>
        <w:t>投标文件内出现无官方证明文件的行业地域排名或使用“国家级”、“最高级”、“最佳”等用语字眼的。</w:t>
      </w:r>
    </w:p>
    <w:p w14:paraId="0726E7A1">
      <w:pPr>
        <w:pStyle w:val="46"/>
        <w:widowControl w:val="0"/>
        <w:numPr>
          <w:ilvl w:val="0"/>
          <w:numId w:val="3"/>
        </w:numPr>
        <w:ind w:firstLineChars="0"/>
        <w:jc w:val="both"/>
        <w:rPr>
          <w:rFonts w:ascii="宋体" w:hAnsi="宋体" w:cs="宋体"/>
          <w:color w:val="auto"/>
          <w:szCs w:val="21"/>
          <w:highlight w:val="none"/>
        </w:rPr>
      </w:pPr>
      <w:r>
        <w:rPr>
          <w:rFonts w:hint="eastAsia" w:ascii="宋体" w:hAnsi="宋体" w:cs="宋体"/>
          <w:color w:val="auto"/>
          <w:szCs w:val="21"/>
          <w:highlight w:val="none"/>
        </w:rPr>
        <w:t>投标文件内出现恶意诋毁、贬低其他生产经营者的商品或者服务的内容。</w:t>
      </w:r>
    </w:p>
    <w:p w14:paraId="0DAC98AE">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13.7.</w:t>
      </w:r>
      <w:r>
        <w:rPr>
          <w:rFonts w:hint="eastAsia" w:ascii="宋体" w:hAnsi="宋体" w:cs="宋体"/>
          <w:color w:val="auto"/>
          <w:szCs w:val="21"/>
          <w:highlight w:val="none"/>
        </w:rPr>
        <w:t>有下列情形之一的，视为投标人串通投标，其投标无效：</w:t>
      </w:r>
    </w:p>
    <w:p w14:paraId="1A71886E">
      <w:pPr>
        <w:widowControl w:val="0"/>
        <w:ind w:firstLine="420" w:firstLineChars="200"/>
        <w:jc w:val="both"/>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（1）不同投标人的投标文件由同一单位或者个人编制</w:t>
      </w:r>
      <w:r>
        <w:rPr>
          <w:rFonts w:hint="eastAsia" w:ascii="宋体" w:hAnsi="宋体" w:cs="宋体"/>
          <w:color w:val="auto"/>
          <w:szCs w:val="21"/>
          <w:highlight w:val="none"/>
          <w:lang w:eastAsia="zh-CN"/>
        </w:rPr>
        <w:t>；</w:t>
      </w:r>
    </w:p>
    <w:p w14:paraId="44CDE4F3">
      <w:pPr>
        <w:widowControl w:val="0"/>
        <w:ind w:firstLine="420" w:firstLineChars="200"/>
        <w:jc w:val="both"/>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（2）不同投标人委托同一单位或者个人办理投标事宜</w:t>
      </w:r>
      <w:r>
        <w:rPr>
          <w:rFonts w:hint="eastAsia" w:ascii="宋体" w:hAnsi="宋体" w:cs="宋体"/>
          <w:color w:val="auto"/>
          <w:szCs w:val="21"/>
          <w:highlight w:val="none"/>
          <w:lang w:eastAsia="zh-CN"/>
        </w:rPr>
        <w:t>；</w:t>
      </w:r>
    </w:p>
    <w:p w14:paraId="30A6835A">
      <w:pPr>
        <w:widowControl w:val="0"/>
        <w:ind w:firstLine="420" w:firstLineChars="200"/>
        <w:jc w:val="both"/>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（3）不同投标人的投标文件载明的项目管理成员或者联系人员为同一人</w:t>
      </w:r>
      <w:r>
        <w:rPr>
          <w:rFonts w:hint="eastAsia" w:ascii="宋体" w:hAnsi="宋体" w:cs="宋体"/>
          <w:color w:val="auto"/>
          <w:szCs w:val="21"/>
          <w:highlight w:val="none"/>
          <w:lang w:eastAsia="zh-CN"/>
        </w:rPr>
        <w:t>；</w:t>
      </w:r>
    </w:p>
    <w:p w14:paraId="212D1A1D">
      <w:pPr>
        <w:widowControl w:val="0"/>
        <w:ind w:firstLine="420" w:firstLineChars="200"/>
        <w:jc w:val="both"/>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（4）不同投标人的投标文件异常一致或者投标报价呈规律性差异</w:t>
      </w:r>
      <w:r>
        <w:rPr>
          <w:rFonts w:hint="eastAsia" w:ascii="宋体" w:hAnsi="宋体" w:cs="宋体"/>
          <w:color w:val="auto"/>
          <w:szCs w:val="21"/>
          <w:highlight w:val="none"/>
          <w:lang w:eastAsia="zh-CN"/>
        </w:rPr>
        <w:t>；</w:t>
      </w:r>
    </w:p>
    <w:p w14:paraId="50D6132F">
      <w:pPr>
        <w:widowControl w:val="0"/>
        <w:ind w:firstLine="420" w:firstLineChars="200"/>
        <w:jc w:val="both"/>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（5）不同投标人的投标文件相互混装</w:t>
      </w:r>
      <w:r>
        <w:rPr>
          <w:rFonts w:hint="eastAsia" w:ascii="宋体" w:hAnsi="宋体" w:cs="宋体"/>
          <w:color w:val="auto"/>
          <w:szCs w:val="21"/>
          <w:highlight w:val="none"/>
          <w:lang w:eastAsia="zh-CN"/>
        </w:rPr>
        <w:t>；</w:t>
      </w:r>
    </w:p>
    <w:p w14:paraId="5D693D2A">
      <w:pPr>
        <w:widowControl w:val="0"/>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（6）不同投标人的投标保证金从同一单位或者个人的账户转出。</w:t>
      </w:r>
    </w:p>
    <w:bookmarkEnd w:id="62"/>
    <w:p w14:paraId="687743D9">
      <w:pPr>
        <w:rPr>
          <w:rFonts w:ascii="宋体" w:hAnsi="宋体" w:cs="宋体"/>
          <w:color w:val="auto"/>
          <w:highlight w:val="none"/>
        </w:rPr>
      </w:pPr>
    </w:p>
    <w:p w14:paraId="7FE839F7">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63" w:name="_Toc6154"/>
      <w:bookmarkStart w:id="64" w:name="_Toc5008"/>
      <w:r>
        <w:rPr>
          <w:rFonts w:hint="default" w:ascii="宋体" w:hAnsi="宋体" w:eastAsia="宋体" w:cs="宋体"/>
          <w:b/>
          <w:bCs/>
          <w:color w:val="auto"/>
          <w:sz w:val="21"/>
          <w:szCs w:val="21"/>
          <w:lang w:val="en-US" w:eastAsia="zh-CN" w:bidi="ar-SA"/>
        </w:rPr>
        <w:t>14.</w:t>
      </w:r>
      <w:r>
        <w:rPr>
          <w:rFonts w:hint="eastAsia" w:ascii="宋体" w:hAnsi="宋体" w:cs="宋体"/>
          <w:color w:val="auto"/>
          <w:sz w:val="21"/>
          <w:szCs w:val="21"/>
          <w:highlight w:val="none"/>
        </w:rPr>
        <w:t>投标报价说明</w:t>
      </w:r>
      <w:bookmarkEnd w:id="63"/>
      <w:bookmarkEnd w:id="64"/>
    </w:p>
    <w:p w14:paraId="7276197C">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14.1.</w:t>
      </w:r>
      <w:r>
        <w:rPr>
          <w:rFonts w:hint="eastAsia" w:ascii="宋体" w:hAnsi="宋体" w:cs="宋体"/>
          <w:color w:val="auto"/>
          <w:szCs w:val="21"/>
          <w:highlight w:val="none"/>
        </w:rPr>
        <w:t>本次采购，投标人应按用户需求中的要求进行投标报价</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少报无效</w:t>
      </w:r>
      <w:r>
        <w:rPr>
          <w:rFonts w:hint="eastAsia" w:ascii="宋体" w:hAnsi="宋体" w:cs="宋体"/>
          <w:color w:val="auto"/>
          <w:szCs w:val="21"/>
          <w:highlight w:val="none"/>
        </w:rPr>
        <w:t>。</w:t>
      </w:r>
    </w:p>
    <w:p w14:paraId="41515697">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14.2.</w:t>
      </w:r>
      <w:r>
        <w:rPr>
          <w:rFonts w:hint="eastAsia" w:ascii="宋体" w:hAnsi="宋体" w:cs="宋体"/>
          <w:color w:val="auto"/>
          <w:szCs w:val="21"/>
          <w:highlight w:val="none"/>
        </w:rPr>
        <w:t>投标人所提供的货物或服务均以人民币（或相关费率）报价。</w:t>
      </w:r>
    </w:p>
    <w:p w14:paraId="4159D45E">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14.3.</w:t>
      </w:r>
      <w:r>
        <w:rPr>
          <w:rFonts w:hint="eastAsia" w:ascii="宋体" w:hAnsi="宋体" w:cs="宋体"/>
          <w:color w:val="auto"/>
          <w:szCs w:val="21"/>
          <w:highlight w:val="none"/>
        </w:rPr>
        <w:t>投标报价应包含完成本次采购所有服务内容的费用，包含各种税务费及合同实施过程中的全部费用和售后服务费等。</w:t>
      </w:r>
    </w:p>
    <w:p w14:paraId="6189F68B">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14.4.</w:t>
      </w:r>
      <w:r>
        <w:rPr>
          <w:rFonts w:hint="eastAsia" w:ascii="宋体" w:hAnsi="宋体" w:cs="宋体"/>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投标人不能证明其报价合理性的，评标委员会应当将其作为无效投标处理。</w:t>
      </w:r>
    </w:p>
    <w:p w14:paraId="6D8595D3">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14.5.</w:t>
      </w:r>
      <w:r>
        <w:rPr>
          <w:rFonts w:hint="eastAsia" w:ascii="宋体" w:hAnsi="宋体" w:cs="宋体"/>
          <w:color w:val="auto"/>
          <w:szCs w:val="21"/>
          <w:highlight w:val="none"/>
        </w:rPr>
        <w:t>中标后开出的所有发票必须与中标人的名称一致。</w:t>
      </w:r>
    </w:p>
    <w:p w14:paraId="70B62F86">
      <w:pPr>
        <w:rPr>
          <w:rFonts w:ascii="宋体" w:hAnsi="宋体" w:cs="宋体"/>
          <w:color w:val="auto"/>
          <w:highlight w:val="none"/>
        </w:rPr>
      </w:pPr>
    </w:p>
    <w:p w14:paraId="362D2951">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65" w:name="_Toc31877"/>
      <w:bookmarkStart w:id="66" w:name="_Toc17669"/>
      <w:r>
        <w:rPr>
          <w:rFonts w:hint="default" w:ascii="宋体" w:hAnsi="宋体" w:eastAsia="宋体" w:cs="宋体"/>
          <w:b/>
          <w:bCs/>
          <w:color w:val="auto"/>
          <w:sz w:val="21"/>
          <w:szCs w:val="21"/>
          <w:lang w:val="en-US" w:eastAsia="zh-CN" w:bidi="ar-SA"/>
        </w:rPr>
        <w:t>15.</w:t>
      </w:r>
      <w:r>
        <w:rPr>
          <w:rFonts w:hint="eastAsia" w:ascii="宋体" w:hAnsi="宋体" w:cs="宋体"/>
          <w:color w:val="auto"/>
          <w:sz w:val="21"/>
          <w:szCs w:val="21"/>
          <w:highlight w:val="none"/>
        </w:rPr>
        <w:t>投标人所提供的服务或货物的证明文件</w:t>
      </w:r>
      <w:bookmarkEnd w:id="65"/>
      <w:bookmarkEnd w:id="66"/>
    </w:p>
    <w:p w14:paraId="0170BFC5">
      <w:pPr>
        <w:widowControl w:val="0"/>
        <w:numPr>
          <w:ilvl w:val="1"/>
          <w:numId w:val="0"/>
        </w:numPr>
        <w:overflowPunct w:val="0"/>
        <w:ind w:left="567" w:leftChars="0" w:hanging="567" w:firstLineChars="0"/>
        <w:rPr>
          <w:rFonts w:ascii="宋体" w:hAnsi="宋体" w:cs="宋体"/>
          <w:color w:val="auto"/>
          <w:szCs w:val="21"/>
          <w:highlight w:val="none"/>
        </w:rPr>
      </w:pPr>
      <w:bookmarkStart w:id="67" w:name="_Hlt107925668"/>
      <w:bookmarkEnd w:id="67"/>
      <w:bookmarkStart w:id="68" w:name="_Hlt107925638"/>
      <w:bookmarkEnd w:id="68"/>
      <w:r>
        <w:rPr>
          <w:rFonts w:hint="default" w:ascii="宋体" w:hAnsi="宋体" w:eastAsia="宋体" w:cs="宋体"/>
          <w:color w:val="auto"/>
          <w:sz w:val="21"/>
          <w:szCs w:val="21"/>
          <w:lang w:val="en-US" w:eastAsia="zh-CN" w:bidi="ar-SA"/>
        </w:rPr>
        <w:t>15.1.</w:t>
      </w:r>
      <w:r>
        <w:rPr>
          <w:rFonts w:hint="eastAsia" w:ascii="宋体" w:hAnsi="宋体" w:cs="宋体"/>
          <w:color w:val="auto"/>
          <w:szCs w:val="21"/>
          <w:highlight w:val="none"/>
        </w:rPr>
        <w:t>证明服务或货物的文件，它可以是文字资料、图纸和数据包括但不限于：服务主要内容、标准、质量、人员资质、计划安排、报告审核等的详细说明</w:t>
      </w:r>
      <w:r>
        <w:rPr>
          <w:rFonts w:hint="eastAsia" w:ascii="宋体" w:hAnsi="宋体" w:cs="宋体"/>
          <w:color w:val="auto"/>
          <w:szCs w:val="21"/>
          <w:highlight w:val="none"/>
          <w:lang w:eastAsia="zh-CN"/>
        </w:rPr>
        <w:t>；</w:t>
      </w:r>
      <w:r>
        <w:rPr>
          <w:rFonts w:hint="eastAsia" w:ascii="宋体" w:hAnsi="宋体" w:cs="宋体"/>
          <w:color w:val="auto"/>
          <w:szCs w:val="21"/>
          <w:highlight w:val="none"/>
        </w:rPr>
        <w:t>对采购文件第三部分《用户需求书》中规定的要求进行详细应答和说明。</w:t>
      </w:r>
    </w:p>
    <w:p w14:paraId="04112F0A">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15.2.</w:t>
      </w:r>
      <w:r>
        <w:rPr>
          <w:rFonts w:hint="eastAsia" w:ascii="宋体" w:hAnsi="宋体" w:cs="宋体"/>
          <w:color w:val="auto"/>
          <w:szCs w:val="21"/>
          <w:highlight w:val="none"/>
        </w:rPr>
        <w:t>有下列情形之一的，视为投标人弄虚作假，其投标无效：</w:t>
      </w:r>
    </w:p>
    <w:p w14:paraId="0ABEA944">
      <w:pPr>
        <w:pStyle w:val="46"/>
        <w:widowControl w:val="0"/>
        <w:ind w:left="425" w:firstLine="0" w:firstLineChars="0"/>
        <w:jc w:val="both"/>
        <w:rPr>
          <w:rFonts w:ascii="宋体" w:hAnsi="宋体" w:cs="宋体"/>
          <w:color w:val="auto"/>
          <w:highlight w:val="none"/>
        </w:rPr>
      </w:pPr>
      <w:r>
        <w:rPr>
          <w:rFonts w:hint="eastAsia" w:ascii="宋体" w:hAnsi="宋体" w:cs="宋体"/>
          <w:color w:val="auto"/>
          <w:highlight w:val="none"/>
        </w:rPr>
        <w:t>1、使用通过受让或者租借等方式获取的资格、资质证书投标的，属于以他人名义投标。</w:t>
      </w:r>
    </w:p>
    <w:p w14:paraId="204361EA">
      <w:pPr>
        <w:pStyle w:val="46"/>
        <w:widowControl w:val="0"/>
        <w:ind w:left="425" w:firstLine="0" w:firstLineChars="0"/>
        <w:jc w:val="both"/>
        <w:rPr>
          <w:rFonts w:ascii="宋体" w:hAnsi="宋体" w:cs="宋体"/>
          <w:color w:val="auto"/>
          <w:highlight w:val="none"/>
        </w:rPr>
      </w:pPr>
      <w:r>
        <w:rPr>
          <w:rFonts w:hint="eastAsia" w:ascii="宋体" w:hAnsi="宋体" w:cs="宋体"/>
          <w:color w:val="auto"/>
          <w:highlight w:val="none"/>
        </w:rPr>
        <w:t>2、投标人有下列情形之一的，属于以其他方式弄虚作假的行为：</w:t>
      </w:r>
    </w:p>
    <w:p w14:paraId="7E131C00">
      <w:pPr>
        <w:pStyle w:val="46"/>
        <w:widowControl w:val="0"/>
        <w:ind w:left="425" w:firstLine="0" w:firstLineChars="0"/>
        <w:jc w:val="both"/>
        <w:rPr>
          <w:rFonts w:hint="eastAsia" w:ascii="宋体" w:hAnsi="宋体" w:eastAsia="宋体" w:cs="宋体"/>
          <w:color w:val="auto"/>
          <w:highlight w:val="none"/>
          <w:lang w:eastAsia="zh-CN"/>
        </w:rPr>
      </w:pPr>
      <w:r>
        <w:rPr>
          <w:rFonts w:hint="eastAsia" w:ascii="宋体" w:hAnsi="宋体" w:cs="宋体"/>
          <w:color w:val="auto"/>
          <w:highlight w:val="none"/>
        </w:rPr>
        <w:t>（1）使用伪造、变造的许可证件</w:t>
      </w:r>
      <w:r>
        <w:rPr>
          <w:rFonts w:hint="eastAsia" w:ascii="宋体" w:hAnsi="宋体" w:cs="宋体"/>
          <w:color w:val="auto"/>
          <w:highlight w:val="none"/>
          <w:lang w:eastAsia="zh-CN"/>
        </w:rPr>
        <w:t>；</w:t>
      </w:r>
    </w:p>
    <w:p w14:paraId="5C377461">
      <w:pPr>
        <w:pStyle w:val="46"/>
        <w:widowControl w:val="0"/>
        <w:ind w:left="425" w:firstLine="0" w:firstLineChars="0"/>
        <w:jc w:val="both"/>
        <w:rPr>
          <w:rFonts w:hint="eastAsia" w:ascii="宋体" w:hAnsi="宋体" w:eastAsia="宋体" w:cs="宋体"/>
          <w:color w:val="auto"/>
          <w:highlight w:val="none"/>
          <w:lang w:eastAsia="zh-CN"/>
        </w:rPr>
      </w:pPr>
      <w:r>
        <w:rPr>
          <w:rFonts w:hint="eastAsia" w:ascii="宋体" w:hAnsi="宋体" w:cs="宋体"/>
          <w:color w:val="auto"/>
          <w:highlight w:val="none"/>
        </w:rPr>
        <w:t>（2）提供虚假的财务状况或者业绩</w:t>
      </w:r>
      <w:r>
        <w:rPr>
          <w:rFonts w:hint="eastAsia" w:ascii="宋体" w:hAnsi="宋体" w:cs="宋体"/>
          <w:color w:val="auto"/>
          <w:highlight w:val="none"/>
          <w:lang w:eastAsia="zh-CN"/>
        </w:rPr>
        <w:t>；</w:t>
      </w:r>
    </w:p>
    <w:p w14:paraId="066179ED">
      <w:pPr>
        <w:pStyle w:val="46"/>
        <w:widowControl w:val="0"/>
        <w:ind w:left="425" w:firstLine="0" w:firstLineChars="0"/>
        <w:jc w:val="both"/>
        <w:rPr>
          <w:rFonts w:hint="eastAsia" w:ascii="宋体" w:hAnsi="宋体" w:eastAsia="宋体" w:cs="宋体"/>
          <w:color w:val="auto"/>
          <w:highlight w:val="none"/>
          <w:lang w:eastAsia="zh-CN"/>
        </w:rPr>
      </w:pPr>
      <w:r>
        <w:rPr>
          <w:rFonts w:hint="eastAsia" w:ascii="宋体" w:hAnsi="宋体" w:cs="宋体"/>
          <w:color w:val="auto"/>
          <w:highlight w:val="none"/>
        </w:rPr>
        <w:t>（3）提供虚假的项目负责人或者主要技术人员简历、劳动关系证明</w:t>
      </w:r>
      <w:r>
        <w:rPr>
          <w:rFonts w:hint="eastAsia" w:ascii="宋体" w:hAnsi="宋体" w:cs="宋体"/>
          <w:color w:val="auto"/>
          <w:highlight w:val="none"/>
          <w:lang w:eastAsia="zh-CN"/>
        </w:rPr>
        <w:t>；</w:t>
      </w:r>
    </w:p>
    <w:p w14:paraId="786E3F12">
      <w:pPr>
        <w:pStyle w:val="46"/>
        <w:widowControl w:val="0"/>
        <w:ind w:left="425" w:firstLine="0" w:firstLineChars="0"/>
        <w:jc w:val="both"/>
        <w:rPr>
          <w:rFonts w:hint="eastAsia" w:ascii="宋体" w:hAnsi="宋体" w:eastAsia="宋体" w:cs="宋体"/>
          <w:color w:val="auto"/>
          <w:highlight w:val="none"/>
          <w:lang w:eastAsia="zh-CN"/>
        </w:rPr>
      </w:pPr>
      <w:r>
        <w:rPr>
          <w:rFonts w:hint="eastAsia" w:ascii="宋体" w:hAnsi="宋体" w:cs="宋体"/>
          <w:color w:val="auto"/>
          <w:highlight w:val="none"/>
        </w:rPr>
        <w:t>（4）提供虚假的信用状况</w:t>
      </w:r>
      <w:r>
        <w:rPr>
          <w:rFonts w:hint="eastAsia" w:ascii="宋体" w:hAnsi="宋体" w:cs="宋体"/>
          <w:color w:val="auto"/>
          <w:highlight w:val="none"/>
          <w:lang w:eastAsia="zh-CN"/>
        </w:rPr>
        <w:t>；</w:t>
      </w:r>
    </w:p>
    <w:p w14:paraId="349C238B">
      <w:pPr>
        <w:pStyle w:val="46"/>
        <w:widowControl w:val="0"/>
        <w:ind w:left="425" w:firstLine="0" w:firstLineChars="0"/>
        <w:jc w:val="both"/>
        <w:rPr>
          <w:rFonts w:ascii="宋体" w:hAnsi="宋体" w:cs="宋体"/>
          <w:color w:val="auto"/>
          <w:highlight w:val="none"/>
        </w:rPr>
      </w:pPr>
      <w:r>
        <w:rPr>
          <w:rFonts w:hint="eastAsia" w:ascii="宋体" w:hAnsi="宋体" w:cs="宋体"/>
          <w:color w:val="auto"/>
          <w:highlight w:val="none"/>
        </w:rPr>
        <w:t>（5）其他弄虚作假的行为。</w:t>
      </w:r>
    </w:p>
    <w:p w14:paraId="7D64AA85">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69" w:name="_Toc30076"/>
      <w:bookmarkStart w:id="70" w:name="_Toc8324"/>
      <w:r>
        <w:rPr>
          <w:rFonts w:hint="default" w:ascii="宋体" w:hAnsi="宋体" w:eastAsia="宋体" w:cs="宋体"/>
          <w:b/>
          <w:bCs/>
          <w:color w:val="auto"/>
          <w:sz w:val="21"/>
          <w:szCs w:val="21"/>
          <w:lang w:val="en-US" w:eastAsia="zh-CN" w:bidi="ar-SA"/>
        </w:rPr>
        <w:t>16.</w:t>
      </w:r>
      <w:r>
        <w:rPr>
          <w:rFonts w:hint="eastAsia" w:ascii="宋体" w:hAnsi="宋体" w:cs="宋体"/>
          <w:color w:val="auto"/>
          <w:sz w:val="21"/>
          <w:szCs w:val="21"/>
          <w:highlight w:val="none"/>
        </w:rPr>
        <w:t>投标有效期</w:t>
      </w:r>
      <w:bookmarkEnd w:id="69"/>
      <w:bookmarkEnd w:id="70"/>
    </w:p>
    <w:p w14:paraId="57D9DFA2">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16.1.</w:t>
      </w:r>
      <w:r>
        <w:rPr>
          <w:rFonts w:hint="eastAsia" w:ascii="宋体" w:hAnsi="宋体" w:cs="宋体"/>
          <w:color w:val="auto"/>
          <w:szCs w:val="21"/>
          <w:highlight w:val="none"/>
        </w:rPr>
        <w:t>投标文件应根据投标人须知的规定在投标截止日后的90天内保持有效。</w:t>
      </w:r>
    </w:p>
    <w:p w14:paraId="0E74DF54">
      <w:pPr>
        <w:widowControl w:val="0"/>
        <w:ind w:left="567"/>
        <w:jc w:val="both"/>
        <w:rPr>
          <w:rFonts w:ascii="宋体" w:hAnsi="宋体" w:cs="宋体"/>
          <w:color w:val="auto"/>
          <w:highlight w:val="none"/>
        </w:rPr>
      </w:pPr>
    </w:p>
    <w:p w14:paraId="1E501A99">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71" w:name="_Toc4807"/>
      <w:bookmarkStart w:id="72" w:name="_Toc12582"/>
      <w:r>
        <w:rPr>
          <w:rFonts w:hint="default" w:ascii="宋体" w:hAnsi="宋体" w:eastAsia="宋体" w:cs="宋体"/>
          <w:b/>
          <w:bCs/>
          <w:color w:val="auto"/>
          <w:sz w:val="21"/>
          <w:szCs w:val="21"/>
          <w:lang w:val="en-US" w:eastAsia="zh-CN" w:bidi="ar-SA"/>
        </w:rPr>
        <w:t>17.</w:t>
      </w:r>
      <w:r>
        <w:rPr>
          <w:rFonts w:hint="eastAsia" w:ascii="宋体" w:hAnsi="宋体" w:cs="宋体"/>
          <w:color w:val="auto"/>
          <w:sz w:val="21"/>
          <w:szCs w:val="21"/>
          <w:highlight w:val="none"/>
        </w:rPr>
        <w:t>投标保证金</w:t>
      </w:r>
      <w:bookmarkEnd w:id="71"/>
      <w:bookmarkEnd w:id="72"/>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如有</w:t>
      </w:r>
      <w:r>
        <w:rPr>
          <w:rFonts w:hint="eastAsia" w:ascii="宋体" w:hAnsi="宋体" w:cs="宋体"/>
          <w:color w:val="auto"/>
          <w:sz w:val="21"/>
          <w:szCs w:val="21"/>
          <w:highlight w:val="none"/>
          <w:lang w:eastAsia="zh-CN"/>
        </w:rPr>
        <w:t>）</w:t>
      </w:r>
    </w:p>
    <w:p w14:paraId="1AE24553">
      <w:pPr>
        <w:widowControl w:val="0"/>
        <w:numPr>
          <w:ilvl w:val="1"/>
          <w:numId w:val="0"/>
        </w:numPr>
        <w:overflowPunct w:val="0"/>
        <w:ind w:left="567" w:leftChars="0" w:hanging="567" w:firstLineChars="0"/>
        <w:rPr>
          <w:rFonts w:ascii="宋体" w:hAnsi="宋体" w:cs="宋体"/>
          <w:color w:val="auto"/>
          <w:szCs w:val="21"/>
          <w:highlight w:val="none"/>
        </w:rPr>
      </w:pPr>
      <w:bookmarkStart w:id="73" w:name="_Ref179619405"/>
      <w:r>
        <w:rPr>
          <w:rFonts w:hint="default" w:ascii="宋体" w:hAnsi="宋体" w:eastAsia="宋体" w:cs="宋体"/>
          <w:color w:val="auto"/>
          <w:sz w:val="21"/>
          <w:szCs w:val="21"/>
          <w:lang w:val="en-US" w:eastAsia="zh-CN" w:bidi="ar-SA"/>
        </w:rPr>
        <w:t>17.1.</w:t>
      </w:r>
      <w:r>
        <w:rPr>
          <w:rFonts w:hint="eastAsia" w:ascii="宋体" w:hAnsi="宋体" w:cs="宋体"/>
          <w:color w:val="auto"/>
          <w:szCs w:val="21"/>
          <w:highlight w:val="none"/>
        </w:rPr>
        <w:t>投标人应在投标文件递交截止前提交相应的投标保证金，并作为其投标的一部分。</w:t>
      </w:r>
      <w:bookmarkEnd w:id="73"/>
    </w:p>
    <w:p w14:paraId="048A6DE8">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17.2.</w:t>
      </w:r>
      <w:r>
        <w:rPr>
          <w:rFonts w:hint="eastAsia" w:ascii="宋体" w:hAnsi="宋体" w:cs="宋体"/>
          <w:color w:val="auto"/>
          <w:szCs w:val="21"/>
          <w:highlight w:val="none"/>
        </w:rPr>
        <w:t>投标保证金是为了保护采购代理机构和采购人免遭因投标人的行为而蒙受的损失。采购代理机构和采购人在因投标人的行为受到损害时可根据本须知（17.7）的规定没收投标人的投标保证金。</w:t>
      </w:r>
    </w:p>
    <w:p w14:paraId="6DB76582">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17.3.</w:t>
      </w:r>
      <w:r>
        <w:rPr>
          <w:rFonts w:hint="eastAsia" w:ascii="宋体" w:hAnsi="宋体" w:cs="宋体"/>
          <w:color w:val="auto"/>
          <w:szCs w:val="21"/>
          <w:highlight w:val="none"/>
        </w:rPr>
        <w:t>投标保证金采用转账、电汇方式方式提交，应符合以下要求：采用银行转账、电汇方式提交的，保证金汇入《投标资料表》中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6386DDF2">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17.4.</w:t>
      </w:r>
      <w:r>
        <w:rPr>
          <w:rFonts w:hint="eastAsia" w:ascii="宋体" w:hAnsi="宋体" w:cs="宋体"/>
          <w:color w:val="auto"/>
          <w:szCs w:val="21"/>
          <w:highlight w:val="none"/>
        </w:rPr>
        <w:t>凡没有根据本须知（17.1和17.3）的规定随附有效的投标保证金的投标，将被视为非响应性投标予以拒绝。</w:t>
      </w:r>
    </w:p>
    <w:p w14:paraId="5E6DB08B">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17.5.</w:t>
      </w:r>
      <w:r>
        <w:rPr>
          <w:rFonts w:hint="eastAsia" w:ascii="宋体" w:hAnsi="宋体" w:cs="宋体"/>
          <w:color w:val="auto"/>
          <w:szCs w:val="21"/>
          <w:highlight w:val="none"/>
        </w:rPr>
        <w:t>投标保证金有效期应当与投标有效期一致。采购人如果按照采购文件另外规定延长了投标文件有效期，则投标担保的有效期也相应延长。</w:t>
      </w:r>
    </w:p>
    <w:p w14:paraId="7B14EDEC">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17.6.</w:t>
      </w:r>
      <w:r>
        <w:rPr>
          <w:rFonts w:hint="eastAsia" w:ascii="宋体" w:hAnsi="宋体" w:cs="宋体"/>
          <w:color w:val="auto"/>
          <w:szCs w:val="21"/>
          <w:highlight w:val="none"/>
        </w:rPr>
        <w:t>中标人在签订采购合同并按采购文件第（33）条规定提交履约担保金后，携带退保证金声明函、投标保证金汇款单复印件（加盖公章）和合同正本到采购人处办理投标保证金（无息）退回手续。</w:t>
      </w:r>
    </w:p>
    <w:p w14:paraId="7B1F8AAF">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17.7.</w:t>
      </w:r>
      <w:r>
        <w:rPr>
          <w:rFonts w:hint="eastAsia" w:ascii="宋体" w:hAnsi="宋体" w:cs="宋体"/>
          <w:color w:val="auto"/>
          <w:szCs w:val="21"/>
          <w:highlight w:val="none"/>
        </w:rPr>
        <w:t>下列任何情况发生时，投标保证金将不予退还：</w:t>
      </w:r>
    </w:p>
    <w:p w14:paraId="6ABA7579">
      <w:pPr>
        <w:widowControl w:val="0"/>
        <w:ind w:left="540" w:leftChars="257"/>
        <w:jc w:val="both"/>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（1）投标人在采购文件中规定的投标有效期内撤回其投标</w:t>
      </w:r>
      <w:r>
        <w:rPr>
          <w:rFonts w:hint="eastAsia" w:ascii="宋体" w:hAnsi="宋体" w:cs="宋体"/>
          <w:color w:val="auto"/>
          <w:szCs w:val="21"/>
          <w:highlight w:val="none"/>
          <w:lang w:eastAsia="zh-CN"/>
        </w:rPr>
        <w:t>；</w:t>
      </w:r>
    </w:p>
    <w:p w14:paraId="7CEEC07B">
      <w:pPr>
        <w:widowControl w:val="0"/>
        <w:ind w:left="540" w:leftChars="257"/>
        <w:jc w:val="both"/>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（2）中标人无正当理由不与采购人订立合同，在签订合同时向采购人提出附加条件，或者不按照采购文件要求提交履约保证金的</w:t>
      </w:r>
      <w:r>
        <w:rPr>
          <w:rFonts w:hint="eastAsia" w:ascii="宋体" w:hAnsi="宋体" w:cs="宋体"/>
          <w:color w:val="auto"/>
          <w:szCs w:val="21"/>
          <w:highlight w:val="none"/>
          <w:lang w:eastAsia="zh-CN"/>
        </w:rPr>
        <w:t>；</w:t>
      </w:r>
    </w:p>
    <w:p w14:paraId="031317C1">
      <w:pPr>
        <w:widowControl w:val="0"/>
        <w:ind w:left="540" w:leftChars="257"/>
        <w:jc w:val="both"/>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（3）中标人将本项目转让给他人，或者在投标文件中未说明，且未经采购人同意，将中标项目分包给他人的</w:t>
      </w:r>
      <w:r>
        <w:rPr>
          <w:rFonts w:hint="eastAsia" w:ascii="宋体" w:hAnsi="宋体" w:cs="宋体"/>
          <w:color w:val="auto"/>
          <w:szCs w:val="21"/>
          <w:highlight w:val="none"/>
          <w:lang w:eastAsia="zh-CN"/>
        </w:rPr>
        <w:t>；</w:t>
      </w:r>
    </w:p>
    <w:p w14:paraId="6DD77ED9">
      <w:pPr>
        <w:widowControl w:val="0"/>
        <w:ind w:left="540" w:leftChars="257"/>
        <w:jc w:val="both"/>
        <w:rPr>
          <w:rFonts w:ascii="宋体" w:hAnsi="宋体" w:cs="宋体"/>
          <w:color w:val="auto"/>
          <w:szCs w:val="21"/>
          <w:highlight w:val="none"/>
        </w:rPr>
      </w:pPr>
      <w:r>
        <w:rPr>
          <w:rFonts w:hint="eastAsia" w:ascii="宋体" w:hAnsi="宋体" w:cs="宋体"/>
          <w:color w:val="auto"/>
          <w:szCs w:val="21"/>
          <w:highlight w:val="none"/>
        </w:rPr>
        <w:t>（4）投标人提供虚假投标文件或虚假补充文件的。</w:t>
      </w:r>
    </w:p>
    <w:p w14:paraId="364E4BC1">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17.8.</w:t>
      </w:r>
      <w:r>
        <w:rPr>
          <w:rFonts w:hint="eastAsia" w:ascii="宋体" w:hAnsi="宋体" w:cs="宋体"/>
          <w:color w:val="auto"/>
          <w:szCs w:val="21"/>
          <w:highlight w:val="none"/>
        </w:rPr>
        <w:t>在中标通知书发出后，未中标投标人的投标保证金，由采购人自行返还至投标人的原转出账户。</w:t>
      </w:r>
    </w:p>
    <w:p w14:paraId="3669A893">
      <w:pPr>
        <w:rPr>
          <w:rFonts w:ascii="宋体" w:hAnsi="宋体" w:cs="宋体"/>
          <w:color w:val="auto"/>
          <w:highlight w:val="none"/>
        </w:rPr>
      </w:pPr>
    </w:p>
    <w:p w14:paraId="2BA02F6B">
      <w:pPr>
        <w:pStyle w:val="4"/>
        <w:numPr>
          <w:ilvl w:val="0"/>
          <w:numId w:val="2"/>
        </w:numPr>
        <w:spacing w:before="0" w:after="0" w:line="360" w:lineRule="auto"/>
        <w:jc w:val="center"/>
        <w:rPr>
          <w:rFonts w:ascii="宋体" w:hAnsi="宋体" w:cs="宋体"/>
          <w:color w:val="auto"/>
          <w:highlight w:val="none"/>
        </w:rPr>
      </w:pPr>
      <w:bookmarkStart w:id="74" w:name="_Toc30352"/>
      <w:bookmarkStart w:id="75" w:name="_Toc30531"/>
      <w:r>
        <w:rPr>
          <w:rFonts w:hint="eastAsia" w:ascii="宋体" w:hAnsi="宋体" w:cs="宋体"/>
          <w:color w:val="auto"/>
          <w:highlight w:val="none"/>
        </w:rPr>
        <w:t>投标文件的递交</w:t>
      </w:r>
      <w:bookmarkEnd w:id="74"/>
      <w:bookmarkEnd w:id="75"/>
    </w:p>
    <w:p w14:paraId="3F4AE3E3">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76" w:name="_Toc24997"/>
      <w:bookmarkStart w:id="77" w:name="_Toc382049111"/>
      <w:bookmarkStart w:id="78" w:name="_Toc24150"/>
      <w:bookmarkStart w:id="79" w:name="_Toc21988"/>
      <w:bookmarkStart w:id="80" w:name="_Toc303084264"/>
      <w:r>
        <w:rPr>
          <w:rFonts w:hint="default" w:ascii="宋体" w:hAnsi="宋体" w:eastAsia="宋体" w:cs="宋体"/>
          <w:b/>
          <w:bCs/>
          <w:color w:val="auto"/>
          <w:sz w:val="21"/>
          <w:szCs w:val="21"/>
          <w:lang w:val="en-US" w:eastAsia="zh-CN" w:bidi="ar-SA"/>
        </w:rPr>
        <w:t>18.</w:t>
      </w:r>
      <w:r>
        <w:rPr>
          <w:rFonts w:hint="eastAsia" w:ascii="宋体" w:hAnsi="宋体" w:cs="宋体"/>
          <w:color w:val="auto"/>
          <w:sz w:val="21"/>
          <w:szCs w:val="21"/>
          <w:highlight w:val="none"/>
        </w:rPr>
        <w:t>投标文件的装订，签署，密封和标记</w:t>
      </w:r>
      <w:bookmarkEnd w:id="76"/>
      <w:bookmarkEnd w:id="77"/>
      <w:bookmarkEnd w:id="78"/>
      <w:bookmarkEnd w:id="79"/>
      <w:bookmarkEnd w:id="80"/>
    </w:p>
    <w:p w14:paraId="6E91ECC9">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18.1.</w:t>
      </w:r>
      <w:r>
        <w:rPr>
          <w:rFonts w:hint="eastAsia" w:ascii="宋体" w:hAnsi="宋体"/>
          <w:color w:val="auto"/>
          <w:szCs w:val="21"/>
          <w:highlight w:val="none"/>
        </w:rPr>
        <w:t>投标人应按《投标资料表》的份数准备价格文件、商务文件、技术文件、唱标信封和电子文件（</w:t>
      </w:r>
      <w:r>
        <w:rPr>
          <w:rFonts w:hint="eastAsia" w:ascii="宋体" w:hAnsi="宋体"/>
          <w:b/>
          <w:color w:val="auto"/>
          <w:szCs w:val="21"/>
          <w:highlight w:val="none"/>
        </w:rPr>
        <w:t>价格文件、商务文件、技术文件分别单独装订成册</w:t>
      </w:r>
      <w:r>
        <w:rPr>
          <w:rFonts w:hint="eastAsia" w:ascii="宋体" w:hAnsi="宋体"/>
          <w:color w:val="auto"/>
          <w:szCs w:val="21"/>
          <w:highlight w:val="none"/>
        </w:rPr>
        <w:t>），每一份投标文件均需编上页次，装订成册（不允许使用活页夹，否则由此产生的风险由投标人自行承担）。所有投标文件必须封入密封完好的信封或包装，封口加盖公章</w:t>
      </w:r>
      <w:r>
        <w:rPr>
          <w:rFonts w:hint="eastAsia" w:ascii="宋体" w:hAnsi="宋体" w:cs="宋体"/>
          <w:color w:val="auto"/>
          <w:szCs w:val="21"/>
          <w:highlight w:val="none"/>
        </w:rPr>
        <w:t>。</w:t>
      </w:r>
    </w:p>
    <w:p w14:paraId="3C79C891">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18.2.</w:t>
      </w:r>
      <w:r>
        <w:rPr>
          <w:rFonts w:hint="eastAsia" w:ascii="宋体" w:hAnsi="宋体" w:cs="宋体"/>
          <w:color w:val="auto"/>
          <w:szCs w:val="21"/>
          <w:highlight w:val="none"/>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3830F6BC">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18.3.</w:t>
      </w:r>
      <w:r>
        <w:rPr>
          <w:rFonts w:hint="eastAsia" w:ascii="宋体" w:hAnsi="宋体" w:cs="宋体"/>
          <w:color w:val="auto"/>
          <w:szCs w:val="21"/>
          <w:highlight w:val="none"/>
        </w:rPr>
        <w:t>联合体投标文件的【正本】及【副本】的封面及骑缝均须加盖所有联合体组成成员的公章。（文件每页盖章等同于盖骑缝章）</w:t>
      </w:r>
    </w:p>
    <w:p w14:paraId="66A43B17">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18.4.</w:t>
      </w:r>
      <w:r>
        <w:rPr>
          <w:rFonts w:hint="eastAsia" w:ascii="宋体" w:hAnsi="宋体" w:cs="宋体"/>
          <w:color w:val="auto"/>
          <w:szCs w:val="21"/>
          <w:highlight w:val="none"/>
        </w:rPr>
        <w:t>电子文件内容包括：由投标人自行制作的与正本文件一致的所有文件。电子文件由光盘或U盘储存，并注明投标人名称及项目名称、采购项目编号，随投标文件一同密封提交。</w:t>
      </w:r>
    </w:p>
    <w:p w14:paraId="47D42669">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18.5.</w:t>
      </w:r>
      <w:r>
        <w:rPr>
          <w:rFonts w:hint="eastAsia" w:ascii="宋体" w:hAnsi="宋体" w:cs="宋体"/>
          <w:color w:val="auto"/>
          <w:szCs w:val="21"/>
          <w:highlight w:val="none"/>
        </w:rPr>
        <w:t>除投标人对错误处修改外，全套投标文件应无涂改或行间插字和增删。如有修改，修改处须由法定代表人或其正式授权代表在旁边签字及盖章。</w:t>
      </w:r>
    </w:p>
    <w:p w14:paraId="7E88D596">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18.6.</w:t>
      </w:r>
      <w:r>
        <w:rPr>
          <w:rFonts w:hint="eastAsia" w:ascii="宋体" w:hAnsi="宋体" w:cs="宋体"/>
          <w:color w:val="auto"/>
          <w:szCs w:val="21"/>
          <w:highlight w:val="none"/>
        </w:rPr>
        <w:t>投标人应将投标文件进行非透明的封装，以防止投标文件内容的泄露。采购代理机构将拒绝接收采用透明包装进行密封的投标文件。</w:t>
      </w:r>
    </w:p>
    <w:p w14:paraId="0E31FFD0">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18.7.</w:t>
      </w:r>
      <w:r>
        <w:rPr>
          <w:rFonts w:hint="eastAsia" w:ascii="宋体" w:hAnsi="宋体" w:cs="宋体"/>
          <w:color w:val="auto"/>
          <w:szCs w:val="21"/>
          <w:highlight w:val="none"/>
        </w:rPr>
        <w:t>密封破损导致投标文件内容直接或间接泄露的投标文件，采购代理机构将拒绝接收。</w:t>
      </w:r>
    </w:p>
    <w:p w14:paraId="18131E8E">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18.8.</w:t>
      </w:r>
      <w:r>
        <w:rPr>
          <w:rFonts w:hint="eastAsia" w:ascii="宋体" w:hAnsi="宋体" w:cs="宋体"/>
          <w:color w:val="auto"/>
          <w:szCs w:val="21"/>
          <w:highlight w:val="none"/>
        </w:rPr>
        <w:t>为方便开标唱标，投标人应将开标一览表和授权委托书单独密封提交，并在信封上标明“唱标信封”字样。唱标信封内还须包括并不限于：投标保证金支付凭证银行汇款底单（复印件加盖公章，原件随身携带，以备查核）和投标保证金汇入情况说明（加盖公章）。投标人的法定代表人参加投标时，须开具法定代表人证明书，按上述要求与开标一览表一并密封提交。“唱标信封”份数及签章等要求与投标文件正本相同（1份）。</w:t>
      </w:r>
    </w:p>
    <w:p w14:paraId="7C64C2BC">
      <w:pPr>
        <w:widowControl w:val="0"/>
        <w:numPr>
          <w:ilvl w:val="1"/>
          <w:numId w:val="0"/>
        </w:numPr>
        <w:overflowPunct w:val="0"/>
        <w:ind w:left="567" w:leftChars="0" w:hanging="567" w:firstLineChars="0"/>
        <w:rPr>
          <w:rFonts w:ascii="宋体" w:hAnsi="宋体" w:cs="宋体"/>
          <w:b/>
          <w:bCs/>
          <w:color w:val="auto"/>
          <w:szCs w:val="21"/>
          <w:highlight w:val="none"/>
        </w:rPr>
      </w:pPr>
      <w:r>
        <w:rPr>
          <w:rFonts w:hint="default" w:ascii="宋体" w:hAnsi="宋体" w:eastAsia="宋体" w:cs="宋体"/>
          <w:b/>
          <w:bCs/>
          <w:color w:val="auto"/>
          <w:sz w:val="21"/>
          <w:szCs w:val="21"/>
          <w:lang w:val="en-US" w:eastAsia="zh-CN" w:bidi="ar-SA"/>
        </w:rPr>
        <w:t>18.9.</w:t>
      </w:r>
      <w:r>
        <w:rPr>
          <w:rFonts w:hint="eastAsia" w:ascii="宋体" w:hAnsi="宋体" w:cs="宋体"/>
          <w:b/>
          <w:bCs/>
          <w:color w:val="auto"/>
          <w:szCs w:val="21"/>
          <w:highlight w:val="none"/>
        </w:rPr>
        <w:t>未单独提交唱标信封的投标人投标文件不进行唱标，投标文件作无效处理。</w:t>
      </w:r>
    </w:p>
    <w:p w14:paraId="597E716A">
      <w:pPr>
        <w:widowControl w:val="0"/>
        <w:numPr>
          <w:ilvl w:val="1"/>
          <w:numId w:val="0"/>
        </w:numPr>
        <w:overflowPunct w:val="0"/>
        <w:ind w:left="567" w:leftChars="0" w:hanging="567" w:firstLineChars="0"/>
        <w:rPr>
          <w:rFonts w:hint="eastAsia" w:ascii="宋体" w:hAnsi="宋体" w:eastAsia="宋体" w:cs="宋体"/>
          <w:color w:val="auto"/>
          <w:szCs w:val="21"/>
          <w:highlight w:val="none"/>
          <w:lang w:eastAsia="zh-CN"/>
        </w:rPr>
      </w:pPr>
      <w:r>
        <w:rPr>
          <w:rFonts w:hint="default" w:ascii="宋体" w:hAnsi="宋体" w:eastAsia="宋体" w:cs="宋体"/>
          <w:color w:val="auto"/>
          <w:sz w:val="21"/>
          <w:szCs w:val="21"/>
          <w:lang w:val="en-US" w:eastAsia="zh-CN" w:bidi="ar-SA"/>
        </w:rPr>
        <w:t>18.10.</w:t>
      </w:r>
      <w:r>
        <w:rPr>
          <w:rFonts w:hint="eastAsia" w:ascii="宋体" w:hAnsi="宋体" w:cs="宋体"/>
          <w:color w:val="auto"/>
          <w:szCs w:val="21"/>
          <w:highlight w:val="none"/>
        </w:rPr>
        <w:t>所有的信封均应注明：</w:t>
      </w:r>
    </w:p>
    <w:p w14:paraId="374671BE">
      <w:pPr>
        <w:widowControl w:val="0"/>
        <w:numPr>
          <w:ilvl w:val="0"/>
          <w:numId w:val="4"/>
        </w:numPr>
        <w:ind w:left="567"/>
        <w:jc w:val="both"/>
        <w:rPr>
          <w:rFonts w:ascii="宋体" w:hAnsi="宋体" w:cs="宋体"/>
          <w:color w:val="auto"/>
          <w:szCs w:val="21"/>
          <w:highlight w:val="none"/>
        </w:rPr>
      </w:pPr>
      <w:r>
        <w:rPr>
          <w:rFonts w:hint="eastAsia" w:ascii="宋体" w:hAnsi="宋体" w:cs="宋体"/>
          <w:color w:val="auto"/>
          <w:szCs w:val="21"/>
          <w:highlight w:val="none"/>
        </w:rPr>
        <w:t>收件人：</w:t>
      </w:r>
    </w:p>
    <w:p w14:paraId="108FFCC9">
      <w:pPr>
        <w:widowControl w:val="0"/>
        <w:numPr>
          <w:ilvl w:val="0"/>
          <w:numId w:val="4"/>
        </w:numPr>
        <w:ind w:left="567"/>
        <w:jc w:val="both"/>
        <w:rPr>
          <w:rFonts w:ascii="宋体" w:hAnsi="宋体" w:cs="宋体"/>
          <w:color w:val="auto"/>
          <w:szCs w:val="21"/>
          <w:highlight w:val="none"/>
        </w:rPr>
      </w:pPr>
      <w:r>
        <w:rPr>
          <w:rFonts w:hint="eastAsia" w:ascii="宋体" w:hAnsi="宋体" w:cs="宋体"/>
          <w:color w:val="auto"/>
          <w:szCs w:val="21"/>
          <w:highlight w:val="none"/>
        </w:rPr>
        <w:t>投标单位名称：</w:t>
      </w:r>
    </w:p>
    <w:p w14:paraId="3A8FC8FB">
      <w:pPr>
        <w:widowControl w:val="0"/>
        <w:numPr>
          <w:ilvl w:val="0"/>
          <w:numId w:val="4"/>
        </w:numPr>
        <w:ind w:left="567"/>
        <w:jc w:val="both"/>
        <w:rPr>
          <w:rFonts w:ascii="宋体" w:hAnsi="宋体" w:cs="宋体"/>
          <w:color w:val="auto"/>
          <w:szCs w:val="21"/>
          <w:highlight w:val="none"/>
        </w:rPr>
      </w:pPr>
      <w:r>
        <w:rPr>
          <w:rFonts w:hint="eastAsia" w:ascii="宋体" w:hAnsi="宋体" w:cs="宋体"/>
          <w:color w:val="auto"/>
          <w:szCs w:val="21"/>
          <w:highlight w:val="none"/>
        </w:rPr>
        <w:t>项目名称：</w:t>
      </w:r>
    </w:p>
    <w:p w14:paraId="38E67F1F">
      <w:pPr>
        <w:widowControl w:val="0"/>
        <w:numPr>
          <w:ilvl w:val="0"/>
          <w:numId w:val="4"/>
        </w:numPr>
        <w:ind w:left="567"/>
        <w:jc w:val="both"/>
        <w:rPr>
          <w:rFonts w:ascii="宋体" w:hAnsi="宋体" w:cs="宋体"/>
          <w:color w:val="auto"/>
          <w:szCs w:val="21"/>
          <w:highlight w:val="none"/>
        </w:rPr>
      </w:pPr>
      <w:r>
        <w:rPr>
          <w:rFonts w:hint="eastAsia" w:ascii="宋体" w:hAnsi="宋体" w:cs="宋体"/>
          <w:color w:val="auto"/>
          <w:szCs w:val="21"/>
          <w:highlight w:val="none"/>
        </w:rPr>
        <w:t>项目采购项目编号：</w:t>
      </w:r>
    </w:p>
    <w:p w14:paraId="730C746E">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18.11.</w:t>
      </w:r>
      <w:r>
        <w:rPr>
          <w:rFonts w:hint="eastAsia" w:ascii="宋体" w:hAnsi="宋体" w:cs="宋体"/>
          <w:color w:val="auto"/>
          <w:szCs w:val="21"/>
          <w:highlight w:val="none"/>
        </w:rPr>
        <w:t>密封信封上的项目编号错误或项目名称出现严重歧义的（包括采购内容不符），采购代理机构将拒绝接收。</w:t>
      </w:r>
    </w:p>
    <w:p w14:paraId="685EB301">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18.12.</w:t>
      </w:r>
      <w:r>
        <w:rPr>
          <w:rFonts w:hint="eastAsia" w:ascii="宋体" w:hAnsi="宋体" w:cs="宋体"/>
          <w:color w:val="auto"/>
          <w:szCs w:val="21"/>
          <w:highlight w:val="none"/>
        </w:rPr>
        <w:t>采购代理机构对所有投标文件的误投或提前启封概不负责。</w:t>
      </w:r>
    </w:p>
    <w:p w14:paraId="408803E4">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18.13.</w:t>
      </w:r>
      <w:r>
        <w:rPr>
          <w:rFonts w:hint="eastAsia" w:ascii="宋体" w:hAnsi="宋体" w:cs="宋体"/>
          <w:color w:val="auto"/>
          <w:szCs w:val="21"/>
          <w:highlight w:val="none"/>
        </w:rPr>
        <w:t>投标人同时参加几个包投标时必须按采购文件要求按包号分别制作投标文件，分别密封递交。</w:t>
      </w:r>
    </w:p>
    <w:p w14:paraId="51DD3927">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18.14.</w:t>
      </w:r>
      <w:r>
        <w:rPr>
          <w:rFonts w:hint="eastAsia" w:ascii="宋体" w:hAnsi="宋体" w:cs="宋体"/>
          <w:color w:val="auto"/>
          <w:szCs w:val="21"/>
          <w:highlight w:val="none"/>
        </w:rPr>
        <w:t>传真、电传的投标文件将被拒绝。</w:t>
      </w:r>
    </w:p>
    <w:p w14:paraId="10A34C11">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18.15.</w:t>
      </w:r>
      <w:r>
        <w:rPr>
          <w:rFonts w:hint="eastAsia" w:ascii="宋体" w:hAnsi="宋体" w:cs="宋体"/>
          <w:color w:val="auto"/>
          <w:szCs w:val="21"/>
          <w:highlight w:val="none"/>
        </w:rPr>
        <w:t>递交的投标文件中所提供的通讯方式应保持联络畅通，因联系不上而导致的所有后果由投标人自行承担。</w:t>
      </w:r>
    </w:p>
    <w:p w14:paraId="0820206F">
      <w:pPr>
        <w:rPr>
          <w:rFonts w:ascii="宋体" w:hAnsi="宋体" w:cs="宋体"/>
          <w:color w:val="auto"/>
          <w:highlight w:val="none"/>
        </w:rPr>
      </w:pPr>
    </w:p>
    <w:p w14:paraId="25119F4B">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81" w:name="_Toc25895"/>
      <w:bookmarkStart w:id="82" w:name="_Toc4661"/>
      <w:r>
        <w:rPr>
          <w:rFonts w:hint="default" w:ascii="宋体" w:hAnsi="宋体" w:eastAsia="宋体" w:cs="宋体"/>
          <w:b/>
          <w:bCs/>
          <w:color w:val="auto"/>
          <w:sz w:val="21"/>
          <w:szCs w:val="21"/>
          <w:lang w:val="en-US" w:eastAsia="zh-CN" w:bidi="ar-SA"/>
        </w:rPr>
        <w:t>19.</w:t>
      </w:r>
      <w:r>
        <w:rPr>
          <w:rFonts w:hint="eastAsia" w:ascii="宋体" w:hAnsi="宋体" w:cs="宋体"/>
          <w:color w:val="auto"/>
          <w:sz w:val="21"/>
          <w:szCs w:val="21"/>
          <w:highlight w:val="none"/>
        </w:rPr>
        <w:t>迟交的投标文件</w:t>
      </w:r>
      <w:bookmarkEnd w:id="81"/>
      <w:bookmarkEnd w:id="82"/>
    </w:p>
    <w:p w14:paraId="26FA2D5A">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19.1.</w:t>
      </w:r>
      <w:r>
        <w:rPr>
          <w:rFonts w:hint="eastAsia" w:ascii="宋体" w:hAnsi="宋体" w:cs="宋体"/>
          <w:color w:val="auto"/>
          <w:szCs w:val="21"/>
          <w:highlight w:val="none"/>
        </w:rPr>
        <w:t>投标人在投标截止时间之后提交的投标文件，采购代理机构将拒绝接收。</w:t>
      </w:r>
    </w:p>
    <w:p w14:paraId="5B8FBDF1">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19.2.</w:t>
      </w:r>
      <w:r>
        <w:rPr>
          <w:rFonts w:hint="eastAsia" w:ascii="宋体" w:hAnsi="宋体" w:cs="宋体"/>
          <w:color w:val="auto"/>
          <w:szCs w:val="21"/>
          <w:highlight w:val="none"/>
        </w:rPr>
        <w:t>有违反其他法律规定情形的，采购代理机构将拒绝接收。</w:t>
      </w:r>
    </w:p>
    <w:p w14:paraId="04AFF439">
      <w:pPr>
        <w:rPr>
          <w:rFonts w:ascii="宋体" w:hAnsi="宋体" w:cs="宋体"/>
          <w:color w:val="auto"/>
          <w:highlight w:val="none"/>
        </w:rPr>
      </w:pPr>
    </w:p>
    <w:p w14:paraId="23A7EF4F">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83" w:name="_Toc8026"/>
      <w:bookmarkStart w:id="84" w:name="_Toc9143"/>
      <w:r>
        <w:rPr>
          <w:rFonts w:hint="default" w:ascii="宋体" w:hAnsi="宋体" w:eastAsia="宋体" w:cs="宋体"/>
          <w:b/>
          <w:bCs/>
          <w:color w:val="auto"/>
          <w:sz w:val="21"/>
          <w:szCs w:val="21"/>
          <w:lang w:val="en-US" w:eastAsia="zh-CN" w:bidi="ar-SA"/>
        </w:rPr>
        <w:t>20.</w:t>
      </w:r>
      <w:r>
        <w:rPr>
          <w:rFonts w:hint="eastAsia" w:ascii="宋体" w:hAnsi="宋体" w:cs="宋体"/>
          <w:color w:val="auto"/>
          <w:sz w:val="21"/>
          <w:szCs w:val="21"/>
          <w:highlight w:val="none"/>
        </w:rPr>
        <w:t>投标样品（如需提交）</w:t>
      </w:r>
      <w:bookmarkEnd w:id="83"/>
      <w:bookmarkEnd w:id="84"/>
    </w:p>
    <w:p w14:paraId="5DBDC2BE">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20.1.</w:t>
      </w:r>
      <w:r>
        <w:rPr>
          <w:rFonts w:hint="eastAsia" w:ascii="宋体" w:hAnsi="宋体" w:cs="宋体"/>
          <w:color w:val="auto"/>
          <w:szCs w:val="21"/>
          <w:highlight w:val="none"/>
        </w:rPr>
        <w:t>如有必要，采购代理机构可以要求投标人提供本服务项目涉及的部分设备或产品样品，投标人在投标时应提交《样品清单》。</w:t>
      </w:r>
    </w:p>
    <w:p w14:paraId="074D3AE8">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20.2.</w:t>
      </w:r>
      <w:r>
        <w:rPr>
          <w:rFonts w:hint="eastAsia" w:ascii="宋体" w:hAnsi="宋体" w:cs="宋体"/>
          <w:color w:val="auto"/>
          <w:szCs w:val="21"/>
          <w:highlight w:val="none"/>
        </w:rPr>
        <w:t>为方便评标，投标人在提供样品时，应在所提供的样品表面显著位置标注投标人的名称、包号、样品名称、采购文件规定的服务或货物编号。</w:t>
      </w:r>
    </w:p>
    <w:p w14:paraId="7862F2C9">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20.3.</w:t>
      </w:r>
      <w:r>
        <w:rPr>
          <w:rFonts w:hint="eastAsia" w:ascii="宋体" w:hAnsi="宋体" w:cs="宋体"/>
          <w:color w:val="auto"/>
          <w:szCs w:val="21"/>
          <w:highlight w:val="none"/>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458E2090">
      <w:pPr>
        <w:rPr>
          <w:rFonts w:ascii="宋体" w:hAnsi="宋体" w:cs="宋体"/>
          <w:color w:val="auto"/>
          <w:highlight w:val="none"/>
        </w:rPr>
      </w:pPr>
    </w:p>
    <w:p w14:paraId="6823BB79">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85" w:name="_Toc303084265"/>
      <w:bookmarkStart w:id="86" w:name="_Toc1712"/>
      <w:bookmarkStart w:id="87" w:name="_Toc382049112"/>
      <w:bookmarkStart w:id="88" w:name="_Toc4501"/>
      <w:bookmarkStart w:id="89" w:name="_Toc9777"/>
      <w:r>
        <w:rPr>
          <w:rFonts w:hint="default" w:ascii="宋体" w:hAnsi="宋体" w:eastAsia="宋体" w:cs="宋体"/>
          <w:b/>
          <w:bCs/>
          <w:color w:val="auto"/>
          <w:sz w:val="21"/>
          <w:szCs w:val="21"/>
          <w:lang w:val="en-US" w:eastAsia="zh-CN" w:bidi="ar-SA"/>
        </w:rPr>
        <w:t>21.</w:t>
      </w:r>
      <w:r>
        <w:rPr>
          <w:rFonts w:hint="eastAsia" w:ascii="宋体" w:hAnsi="宋体" w:cs="宋体"/>
          <w:color w:val="auto"/>
          <w:sz w:val="21"/>
          <w:szCs w:val="21"/>
          <w:highlight w:val="none"/>
        </w:rPr>
        <w:t>投标截止期</w:t>
      </w:r>
      <w:bookmarkEnd w:id="85"/>
      <w:bookmarkEnd w:id="86"/>
      <w:bookmarkEnd w:id="87"/>
      <w:bookmarkEnd w:id="88"/>
      <w:bookmarkEnd w:id="89"/>
    </w:p>
    <w:p w14:paraId="692102D5">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21.1.</w:t>
      </w:r>
      <w:r>
        <w:rPr>
          <w:rFonts w:hint="eastAsia" w:ascii="宋体" w:hAnsi="宋体" w:cs="宋体"/>
          <w:color w:val="auto"/>
          <w:szCs w:val="21"/>
          <w:highlight w:val="none"/>
        </w:rPr>
        <w:t>投标人应在采购文件规定的截止日期和时间内，将投标文件送达到指定地点。</w:t>
      </w:r>
    </w:p>
    <w:p w14:paraId="54A45494">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21.2.</w:t>
      </w:r>
      <w:r>
        <w:rPr>
          <w:rFonts w:hint="eastAsia" w:ascii="宋体" w:hAnsi="宋体" w:cs="宋体"/>
          <w:color w:val="auto"/>
          <w:szCs w:val="21"/>
          <w:highlight w:val="none"/>
        </w:rPr>
        <w:t>采购代理机构可按本须知规定以澄清或修改通知的方式，酌情延长递交投标文件的截止时间。在此情况下，投标人的所有权利和义务以及投标人受制约的截止时间，均以延长后新的投标截止时间为准。</w:t>
      </w:r>
    </w:p>
    <w:p w14:paraId="0F318664">
      <w:pPr>
        <w:rPr>
          <w:rFonts w:ascii="宋体" w:hAnsi="宋体" w:cs="宋体"/>
          <w:color w:val="auto"/>
          <w:highlight w:val="none"/>
        </w:rPr>
      </w:pPr>
    </w:p>
    <w:p w14:paraId="4D8B308B">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90" w:name="_Toc31417"/>
      <w:bookmarkStart w:id="91" w:name="_Toc3604"/>
      <w:r>
        <w:rPr>
          <w:rFonts w:hint="default" w:ascii="宋体" w:hAnsi="宋体" w:eastAsia="宋体" w:cs="宋体"/>
          <w:b/>
          <w:bCs/>
          <w:color w:val="auto"/>
          <w:sz w:val="21"/>
          <w:szCs w:val="21"/>
          <w:lang w:val="en-US" w:eastAsia="zh-CN" w:bidi="ar-SA"/>
        </w:rPr>
        <w:t>22.</w:t>
      </w:r>
      <w:r>
        <w:rPr>
          <w:rFonts w:hint="eastAsia" w:ascii="宋体" w:hAnsi="宋体" w:cs="宋体"/>
          <w:color w:val="auto"/>
          <w:sz w:val="21"/>
          <w:szCs w:val="21"/>
          <w:highlight w:val="none"/>
        </w:rPr>
        <w:t>投标文件的补充、修改与撤回</w:t>
      </w:r>
      <w:bookmarkEnd w:id="90"/>
      <w:bookmarkEnd w:id="91"/>
    </w:p>
    <w:p w14:paraId="7C0E94C6">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22.1.</w:t>
      </w:r>
      <w:r>
        <w:rPr>
          <w:rFonts w:hint="eastAsia" w:ascii="宋体" w:hAnsi="宋体" w:cs="宋体"/>
          <w:color w:val="auto"/>
          <w:szCs w:val="21"/>
          <w:highlight w:val="none"/>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78B3BDF4">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22.2.</w:t>
      </w:r>
      <w:r>
        <w:rPr>
          <w:rFonts w:hint="eastAsia" w:ascii="宋体" w:hAnsi="宋体" w:cs="宋体"/>
          <w:color w:val="auto"/>
          <w:szCs w:val="21"/>
          <w:highlight w:val="none"/>
        </w:rPr>
        <w:t>投标人对投标文件的补充、修改的内容应当按采购文件要求的签署、盖章、密封后，作为投标文件的组成部分。并按照采购文件规定密封和标记的要求提交，并在投标文件密封袋上标明“补充、修改”字样。</w:t>
      </w:r>
    </w:p>
    <w:p w14:paraId="7B1DA3CA">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22.3.</w:t>
      </w:r>
      <w:r>
        <w:rPr>
          <w:rFonts w:hint="eastAsia" w:ascii="宋体" w:hAnsi="宋体" w:cs="宋体"/>
          <w:color w:val="auto"/>
          <w:szCs w:val="21"/>
          <w:highlight w:val="none"/>
        </w:rPr>
        <w:t>投标文件一经递交不予退还。</w:t>
      </w:r>
    </w:p>
    <w:p w14:paraId="72898D09">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22.4.</w:t>
      </w:r>
      <w:r>
        <w:rPr>
          <w:rFonts w:hint="eastAsia" w:ascii="宋体" w:hAnsi="宋体" w:cs="宋体"/>
          <w:color w:val="auto"/>
          <w:szCs w:val="21"/>
          <w:highlight w:val="none"/>
        </w:rPr>
        <w:t>在提交投标文件截止时间至投标有效期满之前，投标人不得撤回其投标，否则其投标保证金将不予退还。</w:t>
      </w:r>
    </w:p>
    <w:p w14:paraId="50D8A913">
      <w:pPr>
        <w:pStyle w:val="4"/>
        <w:numPr>
          <w:ilvl w:val="0"/>
          <w:numId w:val="2"/>
        </w:numPr>
        <w:spacing w:before="0" w:after="0" w:line="360" w:lineRule="auto"/>
        <w:jc w:val="center"/>
        <w:rPr>
          <w:rFonts w:ascii="宋体" w:hAnsi="宋体" w:cs="宋体"/>
          <w:color w:val="auto"/>
          <w:highlight w:val="none"/>
        </w:rPr>
      </w:pPr>
      <w:bookmarkStart w:id="92" w:name="_Toc32373"/>
      <w:bookmarkStart w:id="93" w:name="_Toc7410"/>
      <w:r>
        <w:rPr>
          <w:rFonts w:hint="eastAsia" w:ascii="宋体" w:hAnsi="宋体" w:cs="宋体"/>
          <w:color w:val="auto"/>
          <w:highlight w:val="none"/>
        </w:rPr>
        <w:t>开标与评标</w:t>
      </w:r>
      <w:bookmarkEnd w:id="92"/>
      <w:bookmarkEnd w:id="93"/>
    </w:p>
    <w:p w14:paraId="26703779">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94" w:name="_Toc7532"/>
      <w:bookmarkStart w:id="95" w:name="_Toc31671"/>
      <w:r>
        <w:rPr>
          <w:rFonts w:hint="default" w:ascii="宋体" w:hAnsi="宋体" w:eastAsia="宋体" w:cs="宋体"/>
          <w:b/>
          <w:bCs/>
          <w:color w:val="auto"/>
          <w:sz w:val="21"/>
          <w:szCs w:val="21"/>
          <w:lang w:val="en-US" w:eastAsia="zh-CN" w:bidi="ar-SA"/>
        </w:rPr>
        <w:t>23.</w:t>
      </w:r>
      <w:r>
        <w:rPr>
          <w:rFonts w:hint="eastAsia" w:ascii="宋体" w:hAnsi="宋体" w:cs="宋体"/>
          <w:color w:val="auto"/>
          <w:sz w:val="21"/>
          <w:szCs w:val="21"/>
          <w:highlight w:val="none"/>
        </w:rPr>
        <w:t>开标</w:t>
      </w:r>
      <w:bookmarkEnd w:id="94"/>
      <w:bookmarkEnd w:id="95"/>
    </w:p>
    <w:p w14:paraId="7334F08E">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23.1.</w:t>
      </w:r>
      <w:r>
        <w:rPr>
          <w:rFonts w:hint="eastAsia" w:ascii="宋体" w:hAnsi="宋体" w:cs="宋体"/>
          <w:color w:val="auto"/>
          <w:szCs w:val="21"/>
          <w:highlight w:val="none"/>
        </w:rPr>
        <w:t>采购代理机构按本采购文件所规定的时间和地点公开开标，并邀请所有投标人代表参加。</w:t>
      </w:r>
    </w:p>
    <w:p w14:paraId="71376F32">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23.2.</w:t>
      </w:r>
      <w:r>
        <w:rPr>
          <w:rFonts w:hint="eastAsia" w:ascii="宋体" w:hAnsi="宋体" w:cs="宋体"/>
          <w:color w:val="auto"/>
          <w:szCs w:val="21"/>
          <w:highlight w:val="none"/>
        </w:rPr>
        <w:t>开标程序：</w:t>
      </w:r>
    </w:p>
    <w:p w14:paraId="31B49262">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23.3.</w:t>
      </w:r>
      <w:r>
        <w:rPr>
          <w:rFonts w:hint="eastAsia" w:ascii="宋体" w:hAnsi="宋体" w:cs="宋体"/>
          <w:color w:val="auto"/>
          <w:szCs w:val="21"/>
          <w:highlight w:val="none"/>
        </w:rPr>
        <w:t>开标会由采购代理机构主持，投标人的法定代表人或其授权代表携带有效身份证明准时参加开标会并签名报到。</w:t>
      </w:r>
    </w:p>
    <w:p w14:paraId="6770A8C7">
      <w:pPr>
        <w:widowControl w:val="0"/>
        <w:numPr>
          <w:ilvl w:val="1"/>
          <w:numId w:val="0"/>
        </w:numPr>
        <w:overflowPunct w:val="0"/>
        <w:ind w:left="567" w:leftChars="0" w:hanging="567" w:firstLineChars="0"/>
        <w:rPr>
          <w:rFonts w:hint="eastAsia" w:ascii="宋体" w:hAnsi="宋体" w:eastAsia="宋体" w:cs="宋体"/>
          <w:color w:val="auto"/>
          <w:szCs w:val="21"/>
          <w:highlight w:val="none"/>
          <w:lang w:eastAsia="zh-CN"/>
        </w:rPr>
      </w:pPr>
      <w:r>
        <w:rPr>
          <w:rFonts w:hint="default" w:ascii="宋体" w:hAnsi="宋体" w:eastAsia="宋体" w:cs="宋体"/>
          <w:color w:val="auto"/>
          <w:sz w:val="21"/>
          <w:szCs w:val="21"/>
          <w:lang w:val="en-US" w:eastAsia="zh-CN" w:bidi="ar-SA"/>
        </w:rPr>
        <w:t>23.4.</w:t>
      </w:r>
      <w:r>
        <w:rPr>
          <w:rFonts w:hint="eastAsia" w:ascii="宋体" w:hAnsi="宋体" w:cs="宋体"/>
          <w:color w:val="auto"/>
          <w:szCs w:val="21"/>
          <w:highlight w:val="none"/>
        </w:rPr>
        <w:t>开标时，由投标人或者其推选的代表检查投标文件的密封情况</w:t>
      </w:r>
      <w:r>
        <w:rPr>
          <w:rFonts w:hint="eastAsia" w:ascii="宋体" w:hAnsi="宋体" w:cs="宋体"/>
          <w:color w:val="auto"/>
          <w:szCs w:val="21"/>
          <w:highlight w:val="none"/>
          <w:lang w:eastAsia="zh-CN"/>
        </w:rPr>
        <w:t>；</w:t>
      </w:r>
      <w:r>
        <w:rPr>
          <w:rFonts w:hint="eastAsia" w:ascii="宋体" w:hAnsi="宋体" w:cs="宋体"/>
          <w:color w:val="auto"/>
          <w:szCs w:val="21"/>
          <w:highlight w:val="none"/>
        </w:rPr>
        <w:t>经确认无误后，由采购人或者采购代理机构工作人员当众拆封，宣布投标人名称、投标价格和采购文件规定的需要宣布的其他内容</w:t>
      </w:r>
      <w:r>
        <w:rPr>
          <w:rFonts w:hint="eastAsia" w:ascii="宋体" w:hAnsi="宋体" w:cs="宋体"/>
          <w:color w:val="auto"/>
          <w:szCs w:val="21"/>
          <w:highlight w:val="none"/>
          <w:lang w:eastAsia="zh-CN"/>
        </w:rPr>
        <w:t>；</w:t>
      </w:r>
    </w:p>
    <w:p w14:paraId="06861EA6">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23.5.</w:t>
      </w:r>
      <w:r>
        <w:rPr>
          <w:rFonts w:hint="eastAsia" w:ascii="宋体" w:hAnsi="宋体" w:cs="宋体"/>
          <w:color w:val="auto"/>
          <w:szCs w:val="21"/>
          <w:highlight w:val="none"/>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6FCC60C5">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23.6.</w:t>
      </w:r>
      <w:r>
        <w:rPr>
          <w:rFonts w:hint="eastAsia" w:ascii="宋体" w:hAnsi="宋体" w:cs="宋体"/>
          <w:color w:val="auto"/>
          <w:szCs w:val="21"/>
          <w:highlight w:val="none"/>
        </w:rPr>
        <w:t>投标人未参加开标的，视同认可开标结果。</w:t>
      </w:r>
    </w:p>
    <w:p w14:paraId="1D51A107">
      <w:pPr>
        <w:widowControl w:val="0"/>
        <w:numPr>
          <w:ilvl w:val="1"/>
          <w:numId w:val="0"/>
        </w:numPr>
        <w:overflowPunct w:val="0"/>
        <w:ind w:left="567" w:leftChars="0" w:hanging="567" w:firstLineChars="0"/>
        <w:rPr>
          <w:rFonts w:hint="eastAsia" w:ascii="宋体" w:hAnsi="宋体" w:eastAsia="宋体" w:cs="宋体"/>
          <w:color w:val="auto"/>
          <w:szCs w:val="21"/>
          <w:highlight w:val="none"/>
          <w:lang w:eastAsia="zh-CN"/>
        </w:rPr>
      </w:pPr>
      <w:r>
        <w:rPr>
          <w:rFonts w:hint="default" w:ascii="宋体" w:hAnsi="宋体" w:eastAsia="宋体" w:cs="宋体"/>
          <w:color w:val="auto"/>
          <w:sz w:val="21"/>
          <w:szCs w:val="21"/>
          <w:lang w:val="en-US" w:eastAsia="zh-CN" w:bidi="ar-SA"/>
        </w:rPr>
        <w:t>23.7.</w:t>
      </w:r>
      <w:r>
        <w:rPr>
          <w:rFonts w:hint="eastAsia" w:ascii="宋体" w:hAnsi="宋体" w:cs="宋体"/>
          <w:color w:val="auto"/>
          <w:szCs w:val="21"/>
          <w:highlight w:val="none"/>
        </w:rPr>
        <w:t>合格投标人不足3家的，不得开标</w:t>
      </w:r>
      <w:r>
        <w:rPr>
          <w:rFonts w:hint="eastAsia" w:ascii="宋体" w:hAnsi="宋体" w:cs="宋体"/>
          <w:color w:val="auto"/>
          <w:szCs w:val="21"/>
          <w:highlight w:val="none"/>
          <w:lang w:eastAsia="zh-CN"/>
        </w:rPr>
        <w:t>；</w:t>
      </w:r>
    </w:p>
    <w:p w14:paraId="06A7E8BB">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23.8.</w:t>
      </w:r>
      <w:r>
        <w:rPr>
          <w:rFonts w:hint="eastAsia" w:ascii="宋体" w:hAnsi="宋体" w:cs="宋体"/>
          <w:color w:val="auto"/>
          <w:szCs w:val="21"/>
          <w:highlight w:val="none"/>
        </w:rPr>
        <w:t>开标过程应当由采购人或者采购代理机构负责记录，由参加开标的各投标人代表和相关工作人员签字确认。</w:t>
      </w:r>
    </w:p>
    <w:p w14:paraId="548A0363">
      <w:pPr>
        <w:widowControl w:val="0"/>
        <w:ind w:left="567"/>
        <w:jc w:val="both"/>
        <w:rPr>
          <w:rFonts w:ascii="宋体" w:hAnsi="宋体" w:cs="宋体"/>
          <w:color w:val="auto"/>
          <w:highlight w:val="none"/>
        </w:rPr>
      </w:pPr>
    </w:p>
    <w:p w14:paraId="6772D722">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96" w:name="_Toc3528"/>
      <w:bookmarkStart w:id="97" w:name="_Toc19240"/>
      <w:r>
        <w:rPr>
          <w:rFonts w:hint="default" w:ascii="宋体" w:hAnsi="宋体" w:eastAsia="宋体" w:cs="宋体"/>
          <w:b/>
          <w:bCs/>
          <w:color w:val="auto"/>
          <w:sz w:val="21"/>
          <w:szCs w:val="21"/>
          <w:lang w:val="en-US" w:eastAsia="zh-CN" w:bidi="ar-SA"/>
        </w:rPr>
        <w:t>24.</w:t>
      </w:r>
      <w:r>
        <w:rPr>
          <w:rFonts w:hint="eastAsia" w:ascii="宋体" w:hAnsi="宋体" w:cs="宋体"/>
          <w:color w:val="auto"/>
          <w:sz w:val="21"/>
          <w:szCs w:val="21"/>
          <w:highlight w:val="none"/>
        </w:rPr>
        <w:t>评标委员会及评标方法</w:t>
      </w:r>
      <w:bookmarkEnd w:id="96"/>
      <w:bookmarkEnd w:id="97"/>
    </w:p>
    <w:p w14:paraId="4726AAA5">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24.1.</w:t>
      </w:r>
      <w:r>
        <w:rPr>
          <w:rFonts w:hint="eastAsia" w:ascii="宋体" w:hAnsi="宋体" w:cs="宋体"/>
          <w:color w:val="auto"/>
          <w:szCs w:val="21"/>
          <w:highlight w:val="none"/>
        </w:rPr>
        <w:t>依法组成评标委员会，评标委员会由采购人和有关技术、经济等方面的专家组成，成员人数为五人或五人以上单数，其中技术、经济等方面的专家不少于成员总数的三分之二，并负责评标工作。</w:t>
      </w:r>
    </w:p>
    <w:p w14:paraId="19B3AEF3">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24.2.</w:t>
      </w:r>
      <w:r>
        <w:rPr>
          <w:rFonts w:hint="eastAsia" w:ascii="宋体" w:hAnsi="宋体" w:cs="宋体"/>
          <w:color w:val="auto"/>
          <w:szCs w:val="21"/>
          <w:highlight w:val="none"/>
        </w:rPr>
        <w:t>评审方法：本次采购的评审方法采用综合评分法。</w:t>
      </w:r>
    </w:p>
    <w:p w14:paraId="74737656">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24.3.</w:t>
      </w:r>
      <w:r>
        <w:rPr>
          <w:rFonts w:hint="eastAsia" w:ascii="宋体" w:hAnsi="宋体" w:cs="宋体"/>
          <w:color w:val="auto"/>
          <w:szCs w:val="21"/>
          <w:highlight w:val="none"/>
        </w:rPr>
        <w:t>定标原则：在最大限度满足采购文件实质性要求前提下，按照采购文件规定的各项评价因素进行量化打分，以评标总得分最高的投标人作为中标候选人或中标人。</w:t>
      </w:r>
    </w:p>
    <w:p w14:paraId="23CD1122">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24.4.</w:t>
      </w:r>
      <w:r>
        <w:rPr>
          <w:rFonts w:hint="eastAsia" w:ascii="宋体" w:hAnsi="宋体" w:cs="宋体"/>
          <w:color w:val="auto"/>
          <w:szCs w:val="21"/>
          <w:highlight w:val="none"/>
        </w:rPr>
        <w:t>评标委员会对投标文件的评审内容，分为商务评议、技术评议和价格评议。评审流程包括符合性检查、澄清问题、比较与评价、推荐中标候选人或确定中标人、编写评标报告等步骤。</w:t>
      </w:r>
    </w:p>
    <w:p w14:paraId="059C9AD7">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24.5.</w:t>
      </w:r>
      <w:r>
        <w:rPr>
          <w:rFonts w:hint="eastAsia" w:ascii="宋体" w:hAnsi="宋体" w:cs="宋体"/>
          <w:color w:val="auto"/>
          <w:szCs w:val="21"/>
          <w:highlight w:val="none"/>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4BB81F4D">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24.6.</w:t>
      </w:r>
      <w:r>
        <w:rPr>
          <w:rFonts w:hint="eastAsia" w:ascii="宋体" w:hAnsi="宋体" w:cs="宋体"/>
          <w:color w:val="auto"/>
          <w:szCs w:val="21"/>
          <w:highlight w:val="none"/>
        </w:rPr>
        <w:t>评标委员会和采购人在评审过程中有权核对投标文件中相关材料的原件，投标人在接到通知后应在评标委员会规定的时间内提交原件核查。</w:t>
      </w:r>
    </w:p>
    <w:p w14:paraId="43903452">
      <w:pPr>
        <w:rPr>
          <w:rFonts w:ascii="宋体" w:hAnsi="宋体" w:cs="宋体"/>
          <w:color w:val="auto"/>
          <w:highlight w:val="none"/>
        </w:rPr>
      </w:pPr>
    </w:p>
    <w:p w14:paraId="34CC2126">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98" w:name="_Toc4198"/>
      <w:bookmarkStart w:id="99" w:name="_Toc20797"/>
      <w:r>
        <w:rPr>
          <w:rFonts w:hint="default" w:ascii="宋体" w:hAnsi="宋体" w:eastAsia="宋体" w:cs="宋体"/>
          <w:b/>
          <w:bCs/>
          <w:color w:val="auto"/>
          <w:sz w:val="21"/>
          <w:szCs w:val="21"/>
          <w:lang w:val="en-US" w:eastAsia="zh-CN" w:bidi="ar-SA"/>
        </w:rPr>
        <w:t>25.</w:t>
      </w:r>
      <w:r>
        <w:rPr>
          <w:rFonts w:hint="eastAsia" w:ascii="宋体" w:hAnsi="宋体" w:cs="宋体"/>
          <w:color w:val="auto"/>
          <w:sz w:val="21"/>
          <w:szCs w:val="21"/>
          <w:highlight w:val="none"/>
        </w:rPr>
        <w:t>评审原则及评标过程的保密</w:t>
      </w:r>
      <w:bookmarkEnd w:id="98"/>
      <w:bookmarkEnd w:id="99"/>
    </w:p>
    <w:p w14:paraId="147B0F92">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25.1.</w:t>
      </w:r>
      <w:r>
        <w:rPr>
          <w:rFonts w:hint="eastAsia" w:ascii="宋体" w:hAnsi="宋体" w:cs="宋体"/>
          <w:color w:val="auto"/>
          <w:szCs w:val="21"/>
          <w:highlight w:val="none"/>
        </w:rPr>
        <w:t>评审的基本原则：评标委员会将依据采购文件的规定，遵循“公开、公平、公正、择优、信用”的原则进行评审工作。</w:t>
      </w:r>
    </w:p>
    <w:p w14:paraId="00A8FFE8">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25.2.</w:t>
      </w:r>
      <w:r>
        <w:rPr>
          <w:rFonts w:hint="eastAsia" w:ascii="宋体" w:hAnsi="宋体" w:cs="宋体"/>
          <w:color w:val="auto"/>
          <w:szCs w:val="21"/>
          <w:highlight w:val="none"/>
        </w:rPr>
        <w:t>从公开开标到签订合同，凡与审查、澄清、评审和投标有关的资料以及定标意见相关的事项，均不得向投标人及与评标无关的其他人透露。</w:t>
      </w:r>
    </w:p>
    <w:p w14:paraId="41419C12">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25.3.</w:t>
      </w:r>
      <w:r>
        <w:rPr>
          <w:rFonts w:hint="eastAsia" w:ascii="宋体" w:hAnsi="宋体" w:cs="宋体"/>
          <w:color w:val="auto"/>
          <w:szCs w:val="21"/>
          <w:highlight w:val="none"/>
        </w:rPr>
        <w:t>任何单位和个人不得非法干预、影响评标的过程和结果。</w:t>
      </w:r>
    </w:p>
    <w:p w14:paraId="4A565A68">
      <w:pPr>
        <w:rPr>
          <w:rFonts w:ascii="宋体" w:hAnsi="宋体" w:cs="宋体"/>
          <w:color w:val="auto"/>
          <w:highlight w:val="none"/>
        </w:rPr>
      </w:pPr>
    </w:p>
    <w:p w14:paraId="20684D02">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100" w:name="_Toc17296"/>
      <w:r>
        <w:rPr>
          <w:rFonts w:hint="default" w:ascii="宋体" w:hAnsi="宋体" w:eastAsia="宋体" w:cs="宋体"/>
          <w:b/>
          <w:bCs/>
          <w:color w:val="auto"/>
          <w:sz w:val="21"/>
          <w:szCs w:val="21"/>
          <w:lang w:val="en-US" w:eastAsia="zh-CN" w:bidi="ar-SA"/>
        </w:rPr>
        <w:t>26.</w:t>
      </w:r>
      <w:r>
        <w:rPr>
          <w:rFonts w:hint="eastAsia" w:ascii="宋体" w:hAnsi="宋体" w:cs="宋体"/>
          <w:color w:val="auto"/>
          <w:sz w:val="21"/>
          <w:szCs w:val="21"/>
          <w:highlight w:val="none"/>
        </w:rPr>
        <w:t>评标程序</w:t>
      </w:r>
      <w:bookmarkEnd w:id="100"/>
    </w:p>
    <w:p w14:paraId="44F2E283">
      <w:pPr>
        <w:widowControl w:val="0"/>
        <w:numPr>
          <w:ilvl w:val="1"/>
          <w:numId w:val="0"/>
        </w:numPr>
        <w:overflowPunct w:val="0"/>
        <w:ind w:left="567" w:leftChars="0" w:hanging="567" w:firstLineChars="0"/>
        <w:rPr>
          <w:rFonts w:ascii="宋体" w:hAnsi="宋体" w:cs="宋体"/>
          <w:b/>
          <w:bCs/>
          <w:color w:val="auto"/>
          <w:szCs w:val="21"/>
          <w:highlight w:val="none"/>
        </w:rPr>
      </w:pPr>
      <w:r>
        <w:rPr>
          <w:rFonts w:hint="default" w:ascii="宋体" w:hAnsi="宋体" w:eastAsia="宋体" w:cs="宋体"/>
          <w:b/>
          <w:bCs/>
          <w:color w:val="auto"/>
          <w:sz w:val="21"/>
          <w:szCs w:val="21"/>
          <w:lang w:val="en-US" w:eastAsia="zh-CN" w:bidi="ar-SA"/>
        </w:rPr>
        <w:t>26.1.</w:t>
      </w:r>
      <w:r>
        <w:rPr>
          <w:rFonts w:hint="eastAsia" w:ascii="宋体" w:hAnsi="宋体" w:cs="宋体"/>
          <w:b/>
          <w:bCs/>
          <w:color w:val="auto"/>
          <w:szCs w:val="21"/>
          <w:highlight w:val="none"/>
        </w:rPr>
        <w:t>资格性、符合性审查</w:t>
      </w:r>
    </w:p>
    <w:p w14:paraId="72F78ED1">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合格投标人不足3家的，不得评标。未通过资格性、符合性审查的投标人不进入</w:t>
      </w:r>
      <w:r>
        <w:rPr>
          <w:rFonts w:hint="eastAsia" w:hAnsi="宋体" w:cs="宋体"/>
          <w:color w:val="auto"/>
          <w:szCs w:val="21"/>
          <w:highlight w:val="none"/>
        </w:rPr>
        <w:t>评标阶段</w:t>
      </w:r>
      <w:r>
        <w:rPr>
          <w:rFonts w:hint="eastAsia" w:ascii="宋体" w:hAnsi="宋体" w:cs="宋体"/>
          <w:color w:val="auto"/>
          <w:szCs w:val="21"/>
          <w:highlight w:val="none"/>
        </w:rPr>
        <w:t>的评审。</w:t>
      </w:r>
    </w:p>
    <w:p w14:paraId="244490FE">
      <w:pPr>
        <w:jc w:val="center"/>
        <w:rPr>
          <w:b/>
          <w:bCs/>
          <w:color w:val="auto"/>
          <w:highlight w:val="none"/>
        </w:rPr>
      </w:pPr>
      <w:r>
        <w:rPr>
          <w:b/>
          <w:bCs/>
          <w:color w:val="auto"/>
          <w:highlight w:val="none"/>
        </w:rPr>
        <w:t>《资格性</w:t>
      </w:r>
      <w:r>
        <w:rPr>
          <w:rFonts w:hint="eastAsia"/>
          <w:b/>
          <w:bCs/>
          <w:color w:val="auto"/>
          <w:highlight w:val="none"/>
        </w:rPr>
        <w:t>、符合性</w:t>
      </w:r>
      <w:r>
        <w:rPr>
          <w:b/>
          <w:bCs/>
          <w:color w:val="auto"/>
          <w:highlight w:val="none"/>
        </w:rPr>
        <w:t>审查表》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8885"/>
      </w:tblGrid>
      <w:tr w14:paraId="3D6D0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61F905D2">
            <w:pPr>
              <w:jc w:val="center"/>
              <w:rPr>
                <w:rFonts w:ascii="宋体" w:hAnsi="宋体" w:cs="宋体"/>
                <w:b/>
                <w:color w:val="auto"/>
                <w:szCs w:val="21"/>
                <w:highlight w:val="none"/>
              </w:rPr>
            </w:pPr>
            <w:r>
              <w:rPr>
                <w:rFonts w:hint="eastAsia" w:ascii="宋体" w:hAnsi="宋体" w:cs="宋体"/>
                <w:b/>
                <w:color w:val="auto"/>
                <w:szCs w:val="21"/>
                <w:highlight w:val="none"/>
              </w:rPr>
              <w:t>序号</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1E4D7297">
            <w:pPr>
              <w:jc w:val="center"/>
              <w:rPr>
                <w:rFonts w:ascii="宋体" w:hAnsi="宋体" w:cs="宋体"/>
                <w:b/>
                <w:color w:val="auto"/>
                <w:szCs w:val="21"/>
                <w:highlight w:val="none"/>
              </w:rPr>
            </w:pPr>
            <w:r>
              <w:rPr>
                <w:rFonts w:hint="eastAsia" w:ascii="宋体" w:hAnsi="宋体" w:cs="宋体"/>
                <w:b/>
                <w:color w:val="auto"/>
                <w:szCs w:val="21"/>
                <w:highlight w:val="none"/>
              </w:rPr>
              <w:t>评审内容</w:t>
            </w:r>
          </w:p>
        </w:tc>
      </w:tr>
      <w:tr w14:paraId="50C3F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restart"/>
            <w:tcBorders>
              <w:top w:val="single" w:color="auto" w:sz="4" w:space="0"/>
              <w:left w:val="single" w:color="auto" w:sz="4" w:space="0"/>
              <w:right w:val="single" w:color="auto" w:sz="4" w:space="0"/>
              <w:tl2br w:val="nil"/>
              <w:tr2bl w:val="nil"/>
            </w:tcBorders>
            <w:vAlign w:val="center"/>
          </w:tcPr>
          <w:p w14:paraId="25034071">
            <w:pPr>
              <w:numPr>
                <w:ilvl w:val="0"/>
                <w:numId w:val="5"/>
              </w:numPr>
              <w:tabs>
                <w:tab w:val="left" w:pos="176"/>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28FA2474">
            <w:pPr>
              <w:tabs>
                <w:tab w:val="left" w:pos="612"/>
              </w:tabs>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r>
              <w:rPr>
                <w:rFonts w:hint="eastAsia" w:ascii="宋体" w:hAnsi="宋体" w:cs="宋体"/>
                <w:color w:val="auto"/>
                <w:szCs w:val="21"/>
                <w:highlight w:val="none"/>
                <w:lang w:eastAsia="zh-CN"/>
              </w:rPr>
              <w:t>；</w:t>
            </w:r>
          </w:p>
        </w:tc>
      </w:tr>
      <w:tr w14:paraId="44E26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00E39C41">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661D8AC7">
            <w:pPr>
              <w:tabs>
                <w:tab w:val="left" w:pos="612"/>
              </w:tabs>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（2）参加采购活动前三年内，在经营活动中没有重大违法记录（须提供书面声明）</w:t>
            </w:r>
            <w:r>
              <w:rPr>
                <w:rFonts w:hint="eastAsia" w:ascii="宋体" w:hAnsi="宋体" w:cs="宋体"/>
                <w:color w:val="auto"/>
                <w:szCs w:val="21"/>
                <w:highlight w:val="none"/>
                <w:lang w:eastAsia="zh-CN"/>
              </w:rPr>
              <w:t>；</w:t>
            </w:r>
          </w:p>
        </w:tc>
      </w:tr>
      <w:tr w14:paraId="1BBAC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12C8D6CE">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73CBD441">
            <w:pPr>
              <w:tabs>
                <w:tab w:val="left" w:pos="612"/>
              </w:tabs>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（3）投标人的单位负责人为同一人或者存在直接控股、管理关系的不同投标人，不得参加同一合同项下的采购活动</w:t>
            </w:r>
            <w:r>
              <w:rPr>
                <w:rFonts w:hint="eastAsia" w:ascii="宋体" w:hAnsi="宋体" w:cs="宋体"/>
                <w:color w:val="auto"/>
                <w:szCs w:val="21"/>
                <w:highlight w:val="none"/>
                <w:lang w:eastAsia="zh-CN"/>
              </w:rPr>
              <w:t>；</w:t>
            </w:r>
          </w:p>
        </w:tc>
      </w:tr>
      <w:tr w14:paraId="0D020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002D9B2C">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5CBE3B5D">
            <w:pPr>
              <w:tabs>
                <w:tab w:val="left" w:pos="612"/>
              </w:tabs>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4）未被列入“信用中国”网站(www.creditchina.gov.cn)“记录失信被执行人或重大税收违法失信主体或政府采购严重违法失信行为”记录名单。以代理机构于投标截止日当天在“信用中国”网站查询结果为准，如相关失信记录已失效，投标人需提供相关证明资料</w:t>
            </w:r>
            <w:r>
              <w:rPr>
                <w:rFonts w:hint="eastAsia" w:ascii="宋体" w:hAnsi="宋体" w:cs="宋体"/>
                <w:color w:val="auto"/>
                <w:szCs w:val="21"/>
                <w:highlight w:val="none"/>
                <w:lang w:eastAsia="zh-CN"/>
              </w:rPr>
              <w:t>；</w:t>
            </w:r>
          </w:p>
        </w:tc>
      </w:tr>
      <w:tr w14:paraId="37919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6FF1C6F5">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04181E41">
            <w:pPr>
              <w:tabs>
                <w:tab w:val="left" w:pos="612"/>
              </w:tabs>
              <w:rPr>
                <w:rFonts w:hint="eastAsia" w:ascii="宋体" w:hAnsi="宋体" w:cs="宋体"/>
                <w:color w:val="auto"/>
                <w:szCs w:val="21"/>
                <w:highlight w:val="none"/>
              </w:rPr>
            </w:pPr>
            <w:r>
              <w:rPr>
                <w:rFonts w:hint="eastAsia" w:ascii="宋体" w:hAnsi="宋体" w:cs="宋体"/>
                <w:color w:val="auto"/>
                <w:szCs w:val="21"/>
                <w:highlight w:val="none"/>
              </w:rPr>
              <w:t>（5）符合投标人资格要求中其他要求（如有）。（提供《附件9.相关资质证明文件》中对应证明文件。）</w:t>
            </w:r>
          </w:p>
        </w:tc>
      </w:tr>
      <w:tr w14:paraId="5D7F8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57C74E0B">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73A5A991">
            <w:pPr>
              <w:tabs>
                <w:tab w:val="left" w:pos="612"/>
              </w:tabs>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）符合投标人资格要求中业绩要求（如有）。</w:t>
            </w:r>
          </w:p>
        </w:tc>
      </w:tr>
      <w:tr w14:paraId="79320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642EDA33">
            <w:pPr>
              <w:numPr>
                <w:ilvl w:val="0"/>
                <w:numId w:val="5"/>
              </w:numPr>
              <w:tabs>
                <w:tab w:val="left" w:pos="176"/>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73B182F1">
            <w:pPr>
              <w:textAlignment w:val="center"/>
              <w:rPr>
                <w:rFonts w:hint="eastAsia" w:ascii="宋体" w:hAnsi="宋体" w:eastAsia="宋体" w:cs="宋体"/>
                <w:color w:val="auto"/>
                <w:szCs w:val="21"/>
                <w:highlight w:val="none"/>
                <w:lang w:eastAsia="zh-CN" w:bidi="ar"/>
              </w:rPr>
            </w:pPr>
            <w:r>
              <w:rPr>
                <w:rFonts w:hint="eastAsia" w:ascii="宋体" w:hAnsi="宋体" w:cs="宋体"/>
                <w:color w:val="auto"/>
                <w:szCs w:val="21"/>
                <w:highlight w:val="none"/>
                <w:lang w:bidi="ar"/>
              </w:rPr>
              <w:t>投标人按照采购文件要求提交投标保证金</w:t>
            </w:r>
            <w:r>
              <w:rPr>
                <w:rFonts w:hint="eastAsia" w:ascii="宋体" w:hAnsi="宋体" w:cs="宋体"/>
                <w:color w:val="auto"/>
                <w:szCs w:val="21"/>
                <w:highlight w:val="none"/>
                <w:lang w:eastAsia="zh-CN" w:bidi="ar"/>
              </w:rPr>
              <w:t>；</w:t>
            </w:r>
          </w:p>
        </w:tc>
      </w:tr>
      <w:tr w14:paraId="08846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3746B918">
            <w:pPr>
              <w:numPr>
                <w:ilvl w:val="0"/>
                <w:numId w:val="5"/>
              </w:numPr>
              <w:tabs>
                <w:tab w:val="left" w:pos="176"/>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325AB0B2">
            <w:pPr>
              <w:textAlignment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bidi="ar"/>
              </w:rPr>
              <w:t>投标文件按照采购文件要求签署盖章</w:t>
            </w:r>
            <w:r>
              <w:rPr>
                <w:rFonts w:hint="eastAsia" w:ascii="宋体" w:hAnsi="宋体" w:cs="宋体"/>
                <w:color w:val="auto"/>
                <w:szCs w:val="21"/>
                <w:highlight w:val="none"/>
                <w:lang w:eastAsia="zh-CN" w:bidi="ar"/>
              </w:rPr>
              <w:t>；</w:t>
            </w:r>
          </w:p>
        </w:tc>
      </w:tr>
      <w:tr w14:paraId="1AAD3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496A5E9C">
            <w:pPr>
              <w:numPr>
                <w:ilvl w:val="0"/>
                <w:numId w:val="5"/>
              </w:numPr>
              <w:tabs>
                <w:tab w:val="left" w:pos="176"/>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0B487D26">
            <w:pPr>
              <w:textAlignment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bidi="ar"/>
              </w:rPr>
              <w:t>投标</w:t>
            </w:r>
            <w:r>
              <w:rPr>
                <w:rFonts w:hint="eastAsia" w:ascii="宋体" w:hAnsi="宋体" w:cs="宋体"/>
                <w:color w:val="auto"/>
                <w:szCs w:val="21"/>
                <w:highlight w:val="none"/>
                <w:lang w:val="en-US" w:eastAsia="zh-CN" w:bidi="ar"/>
              </w:rPr>
              <w:t>单</w:t>
            </w:r>
            <w:r>
              <w:rPr>
                <w:rFonts w:hint="eastAsia" w:ascii="宋体" w:hAnsi="宋体" w:cs="宋体"/>
                <w:color w:val="auto"/>
                <w:szCs w:val="21"/>
                <w:highlight w:val="none"/>
                <w:lang w:bidi="ar"/>
              </w:rPr>
              <w:t>价未超出采购预算或</w:t>
            </w:r>
            <w:r>
              <w:rPr>
                <w:rFonts w:hint="eastAsia" w:ascii="宋体" w:hAnsi="宋体" w:cs="宋体"/>
                <w:color w:val="auto"/>
                <w:szCs w:val="21"/>
                <w:highlight w:val="none"/>
                <w:lang w:val="en-US" w:eastAsia="zh-CN" w:bidi="ar"/>
              </w:rPr>
              <w:t>单价</w:t>
            </w:r>
            <w:r>
              <w:rPr>
                <w:rFonts w:hint="eastAsia" w:ascii="宋体" w:hAnsi="宋体" w:cs="宋体"/>
                <w:color w:val="auto"/>
                <w:szCs w:val="21"/>
                <w:highlight w:val="none"/>
                <w:lang w:bidi="ar"/>
              </w:rPr>
              <w:t>最高限价</w:t>
            </w:r>
            <w:r>
              <w:rPr>
                <w:rFonts w:hint="eastAsia" w:ascii="宋体" w:hAnsi="宋体" w:cs="宋体"/>
                <w:color w:val="auto"/>
                <w:szCs w:val="21"/>
                <w:highlight w:val="none"/>
                <w:lang w:eastAsia="zh-CN" w:bidi="ar"/>
              </w:rPr>
              <w:t>；</w:t>
            </w:r>
          </w:p>
        </w:tc>
      </w:tr>
      <w:tr w14:paraId="446CA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1F9DE570">
            <w:pP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5</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449F229F">
            <w:pPr>
              <w:textAlignment w:val="center"/>
              <w:rPr>
                <w:rFonts w:hint="eastAsia" w:ascii="宋体" w:hAnsi="宋体" w:eastAsia="宋体" w:cs="宋体"/>
                <w:color w:val="auto"/>
                <w:szCs w:val="21"/>
                <w:highlight w:val="none"/>
                <w:lang w:eastAsia="zh-CN" w:bidi="ar"/>
              </w:rPr>
            </w:pPr>
            <w:r>
              <w:rPr>
                <w:rFonts w:hint="eastAsia" w:ascii="宋体" w:hAnsi="宋体" w:cs="宋体"/>
                <w:color w:val="auto"/>
                <w:szCs w:val="21"/>
                <w:highlight w:val="none"/>
                <w:lang w:bidi="ar"/>
              </w:rPr>
              <w:t>投标文件未含有采购人不能接受的附加条件</w:t>
            </w:r>
            <w:r>
              <w:rPr>
                <w:rFonts w:hint="eastAsia" w:ascii="宋体" w:hAnsi="宋体" w:cs="宋体"/>
                <w:color w:val="auto"/>
                <w:szCs w:val="21"/>
                <w:highlight w:val="none"/>
                <w:lang w:eastAsia="zh-CN" w:bidi="ar"/>
              </w:rPr>
              <w:t>；</w:t>
            </w:r>
          </w:p>
        </w:tc>
      </w:tr>
      <w:tr w14:paraId="5235A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08DE26BD">
            <w:pP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6</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4D4FF7D8">
            <w:pPr>
              <w:textAlignment w:val="center"/>
              <w:rPr>
                <w:rFonts w:ascii="宋体" w:hAnsi="宋体" w:cs="宋体"/>
                <w:color w:val="auto"/>
                <w:szCs w:val="21"/>
                <w:highlight w:val="none"/>
              </w:rPr>
            </w:pPr>
            <w:r>
              <w:rPr>
                <w:rFonts w:hint="eastAsia" w:ascii="宋体" w:hAnsi="宋体" w:cs="宋体"/>
                <w:color w:val="auto"/>
                <w:szCs w:val="21"/>
                <w:highlight w:val="none"/>
                <w:lang w:bidi="ar"/>
              </w:rPr>
              <w:t>无负偏离标注“★”符号的条款。</w:t>
            </w:r>
          </w:p>
        </w:tc>
      </w:tr>
      <w:tr w14:paraId="13207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2B4DD78B">
            <w:pP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7</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6C6BFD63">
            <w:pPr>
              <w:textAlignment w:val="center"/>
              <w:rPr>
                <w:rFonts w:ascii="宋体" w:hAnsi="宋体" w:cs="宋体"/>
                <w:color w:val="auto"/>
                <w:szCs w:val="21"/>
                <w:highlight w:val="none"/>
                <w:lang w:bidi="ar"/>
              </w:rPr>
            </w:pPr>
            <w:r>
              <w:rPr>
                <w:rFonts w:hint="eastAsia" w:ascii="宋体" w:hAnsi="宋体" w:cs="宋体"/>
                <w:color w:val="auto"/>
                <w:szCs w:val="21"/>
                <w:highlight w:val="none"/>
              </w:rPr>
              <w:t>未出现</w:t>
            </w:r>
            <w:r>
              <w:rPr>
                <w:rFonts w:hint="eastAsia" w:ascii="宋体" w:hAnsi="宋体" w:cs="宋体"/>
                <w:color w:val="auto"/>
                <w:szCs w:val="21"/>
                <w:highlight w:val="none"/>
                <w:lang w:bidi="ar"/>
              </w:rPr>
              <w:t>法律、法规和招标文件规定的其他无效情形。</w:t>
            </w:r>
          </w:p>
        </w:tc>
      </w:tr>
    </w:tbl>
    <w:p w14:paraId="7F8740C5">
      <w:pPr>
        <w:widowControl w:val="0"/>
        <w:overflowPunct w:val="0"/>
        <w:ind w:firstLine="420" w:firstLineChars="200"/>
        <w:rPr>
          <w:rFonts w:ascii="宋体" w:hAnsi="宋体"/>
          <w:color w:val="auto"/>
          <w:szCs w:val="21"/>
          <w:highlight w:val="none"/>
        </w:rPr>
      </w:pPr>
      <w:r>
        <w:rPr>
          <w:rFonts w:hint="eastAsia" w:ascii="宋体" w:hAnsi="宋体"/>
          <w:color w:val="auto"/>
          <w:szCs w:val="21"/>
          <w:highlight w:val="none"/>
        </w:rPr>
        <w:t>以上资格性、符合性审查中带有不合格分项的投标文件，将作无效标处理。经评标委员会确认的无效投标文件，采购人和采购代理机构将予以拒绝，并且不允许通过修正或撤消其不符合要求的差异，使之成为具有符合性的投标文件。经评标委员会资格性、符合性审查确认具有有效投标文件的投标人不足三家时将重新组织采购</w:t>
      </w:r>
    </w:p>
    <w:p w14:paraId="7C8A2D62">
      <w:pPr>
        <w:widowControl w:val="0"/>
        <w:numPr>
          <w:ilvl w:val="1"/>
          <w:numId w:val="0"/>
        </w:numPr>
        <w:overflowPunct w:val="0"/>
        <w:ind w:left="567" w:leftChars="0" w:hanging="567" w:firstLineChars="0"/>
        <w:rPr>
          <w:rFonts w:ascii="宋体" w:hAnsi="宋体" w:cs="宋体"/>
          <w:b/>
          <w:bCs/>
          <w:color w:val="auto"/>
          <w:szCs w:val="21"/>
          <w:highlight w:val="none"/>
        </w:rPr>
      </w:pPr>
      <w:r>
        <w:rPr>
          <w:rFonts w:hint="default" w:ascii="宋体" w:hAnsi="宋体" w:eastAsia="宋体" w:cs="宋体"/>
          <w:b/>
          <w:bCs/>
          <w:color w:val="auto"/>
          <w:sz w:val="21"/>
          <w:szCs w:val="21"/>
          <w:lang w:val="en-US" w:eastAsia="zh-CN" w:bidi="ar-SA"/>
        </w:rPr>
        <w:t>26.2.</w:t>
      </w:r>
      <w:r>
        <w:rPr>
          <w:rFonts w:hint="eastAsia" w:ascii="宋体" w:hAnsi="宋体" w:cs="宋体"/>
          <w:b/>
          <w:bCs/>
          <w:color w:val="auto"/>
          <w:szCs w:val="21"/>
          <w:highlight w:val="none"/>
        </w:rPr>
        <w:t>投标文件报价出现前后不一致的，评标委员会按照下列规定修正：</w:t>
      </w:r>
    </w:p>
    <w:p w14:paraId="3DDD893E">
      <w:pPr>
        <w:widowControl w:val="0"/>
        <w:numPr>
          <w:ilvl w:val="0"/>
          <w:numId w:val="6"/>
        </w:numPr>
        <w:overflowPunct w:val="0"/>
        <w:rPr>
          <w:rFonts w:ascii="宋体" w:hAnsi="宋体" w:cs="宋体"/>
          <w:color w:val="auto"/>
          <w:szCs w:val="21"/>
          <w:highlight w:val="none"/>
        </w:rPr>
      </w:pPr>
      <w:r>
        <w:rPr>
          <w:rFonts w:hint="eastAsia" w:ascii="宋体" w:hAnsi="宋体" w:cs="宋体"/>
          <w:color w:val="auto"/>
          <w:szCs w:val="21"/>
          <w:highlight w:val="none"/>
        </w:rPr>
        <w:t>投标文件中开标一览表（报价表）内容与投标文件中相应内容不一致的，以开标一览表（报价表）为准</w:t>
      </w:r>
      <w:r>
        <w:rPr>
          <w:rFonts w:hint="eastAsia" w:ascii="宋体" w:hAnsi="宋体" w:cs="宋体"/>
          <w:color w:val="auto"/>
          <w:szCs w:val="21"/>
          <w:highlight w:val="none"/>
          <w:lang w:eastAsia="zh-CN"/>
        </w:rPr>
        <w:t>；</w:t>
      </w:r>
    </w:p>
    <w:p w14:paraId="5B72E28D">
      <w:pPr>
        <w:widowControl w:val="0"/>
        <w:numPr>
          <w:ilvl w:val="0"/>
          <w:numId w:val="6"/>
        </w:numPr>
        <w:overflowPunct w:val="0"/>
        <w:rPr>
          <w:rFonts w:ascii="宋体" w:hAnsi="宋体" w:cs="宋体"/>
          <w:color w:val="auto"/>
          <w:szCs w:val="21"/>
          <w:highlight w:val="none"/>
        </w:rPr>
      </w:pPr>
      <w:r>
        <w:rPr>
          <w:rFonts w:hint="eastAsia" w:ascii="宋体" w:hAnsi="宋体" w:cs="宋体"/>
          <w:color w:val="auto"/>
          <w:szCs w:val="21"/>
          <w:highlight w:val="none"/>
        </w:rPr>
        <w:t>大写金额和小写金额不一致的，以大写金额为准</w:t>
      </w:r>
      <w:r>
        <w:rPr>
          <w:rFonts w:hint="eastAsia" w:ascii="宋体" w:hAnsi="宋体" w:cs="宋体"/>
          <w:color w:val="auto"/>
          <w:szCs w:val="21"/>
          <w:highlight w:val="none"/>
          <w:lang w:eastAsia="zh-CN"/>
        </w:rPr>
        <w:t>；</w:t>
      </w:r>
    </w:p>
    <w:p w14:paraId="57F8CDA4">
      <w:pPr>
        <w:widowControl w:val="0"/>
        <w:numPr>
          <w:ilvl w:val="0"/>
          <w:numId w:val="6"/>
        </w:numPr>
        <w:overflowPunct w:val="0"/>
        <w:rPr>
          <w:rFonts w:ascii="宋体" w:hAnsi="宋体" w:cs="宋体"/>
          <w:color w:val="auto"/>
          <w:szCs w:val="21"/>
          <w:highlight w:val="none"/>
        </w:rPr>
      </w:pPr>
      <w:r>
        <w:rPr>
          <w:rFonts w:hint="eastAsia" w:ascii="宋体" w:hAnsi="宋体" w:cs="宋体"/>
          <w:color w:val="auto"/>
          <w:szCs w:val="21"/>
          <w:highlight w:val="none"/>
        </w:rPr>
        <w:t>单价金额小数点或者百分比有明显错位的，以开标一览表的单价投标报价为准</w:t>
      </w:r>
      <w:r>
        <w:rPr>
          <w:rFonts w:hint="eastAsia" w:ascii="宋体" w:hAnsi="宋体" w:cs="宋体"/>
          <w:color w:val="auto"/>
          <w:szCs w:val="21"/>
          <w:highlight w:val="none"/>
          <w:lang w:eastAsia="zh-CN"/>
        </w:rPr>
        <w:t>；</w:t>
      </w:r>
    </w:p>
    <w:p w14:paraId="6ECD1705">
      <w:pPr>
        <w:widowControl w:val="0"/>
        <w:numPr>
          <w:ilvl w:val="0"/>
          <w:numId w:val="6"/>
        </w:numPr>
        <w:overflowPunct w:val="0"/>
        <w:rPr>
          <w:rFonts w:ascii="宋体" w:hAnsi="宋体" w:cs="宋体"/>
          <w:color w:val="auto"/>
          <w:szCs w:val="21"/>
          <w:highlight w:val="none"/>
        </w:rPr>
      </w:pPr>
      <w:r>
        <w:rPr>
          <w:rFonts w:hint="eastAsia" w:ascii="宋体" w:hAnsi="宋体" w:cs="宋体"/>
          <w:color w:val="auto"/>
          <w:szCs w:val="21"/>
          <w:highlight w:val="none"/>
        </w:rPr>
        <w:t>总价金额与按单价汇总金额不一致的，以单价金额计算结果为准。</w:t>
      </w:r>
    </w:p>
    <w:p w14:paraId="3949E354">
      <w:pPr>
        <w:widowControl w:val="0"/>
        <w:numPr>
          <w:ilvl w:val="0"/>
          <w:numId w:val="6"/>
        </w:numPr>
        <w:overflowPunct w:val="0"/>
        <w:rPr>
          <w:rFonts w:ascii="宋体" w:hAnsi="宋体" w:cs="宋体"/>
          <w:color w:val="auto"/>
          <w:szCs w:val="21"/>
          <w:highlight w:val="none"/>
        </w:rPr>
      </w:pPr>
      <w:r>
        <w:rPr>
          <w:rFonts w:hint="eastAsia" w:ascii="宋体" w:hAnsi="宋体" w:cs="宋体"/>
          <w:color w:val="auto"/>
          <w:szCs w:val="21"/>
          <w:highlight w:val="none"/>
        </w:rPr>
        <w:t>同时出现两种以上不一致的，按照前款规定的顺序修正。修正后的报价按照经投标人确认后产生约束力，投标人不确认的，其投标无效。</w:t>
      </w:r>
    </w:p>
    <w:p w14:paraId="43818609">
      <w:pPr>
        <w:widowControl w:val="0"/>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26.3评标委员会认为投标人的报价明显低于其他通过符合性审查投标人的报价，有可能影响产品质量或者不能诚信履约的，应当要求其在评标现场合理的时间内提供书面说明（以现场通知时间为准），必要时提交相关证明材料</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投标人不能证明其报价合理性的，评标委员会应当将其作为无效投标处理。</w:t>
      </w:r>
    </w:p>
    <w:p w14:paraId="0DA39B5D">
      <w:pPr>
        <w:widowControl w:val="0"/>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26.4对于投标文件中不构成实质性偏差的不正规、不一致或不规则，评标委员会可以接受，但这种接受不能损害或影响任何投标人的相对排序。</w:t>
      </w:r>
    </w:p>
    <w:p w14:paraId="284D9725">
      <w:pPr>
        <w:widowControl w:val="0"/>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26.5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1EBBB5DD">
      <w:pPr>
        <w:pStyle w:val="12"/>
        <w:spacing w:before="0"/>
        <w:rPr>
          <w:color w:val="auto"/>
          <w:highlight w:val="none"/>
        </w:rPr>
      </w:pPr>
    </w:p>
    <w:p w14:paraId="2739AA61">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101" w:name="_Toc4799"/>
      <w:bookmarkStart w:id="102" w:name="_Toc1937"/>
      <w:r>
        <w:rPr>
          <w:rFonts w:hint="default" w:ascii="宋体" w:hAnsi="宋体" w:eastAsia="宋体" w:cs="宋体"/>
          <w:b/>
          <w:bCs/>
          <w:color w:val="auto"/>
          <w:sz w:val="21"/>
          <w:szCs w:val="21"/>
          <w:lang w:val="en-US" w:eastAsia="zh-CN" w:bidi="ar-SA"/>
        </w:rPr>
        <w:t>27.</w:t>
      </w:r>
      <w:r>
        <w:rPr>
          <w:rFonts w:hint="eastAsia" w:ascii="宋体" w:hAnsi="宋体" w:cs="宋体"/>
          <w:color w:val="auto"/>
          <w:sz w:val="21"/>
          <w:szCs w:val="21"/>
          <w:highlight w:val="none"/>
        </w:rPr>
        <w:t>商务、技术、价格评审（具体评审项目详见投标资料表）</w:t>
      </w:r>
      <w:bookmarkEnd w:id="101"/>
      <w:bookmarkEnd w:id="102"/>
    </w:p>
    <w:p w14:paraId="47E3CB2A">
      <w:pPr>
        <w:widowControl w:val="0"/>
        <w:numPr>
          <w:ilvl w:val="1"/>
          <w:numId w:val="0"/>
        </w:numPr>
        <w:overflowPunct w:val="0"/>
        <w:ind w:left="567" w:leftChars="0" w:hanging="567" w:firstLineChars="0"/>
        <w:rPr>
          <w:rFonts w:hint="eastAsia" w:ascii="宋体" w:hAnsi="宋体" w:eastAsia="宋体" w:cs="宋体"/>
          <w:color w:val="auto"/>
          <w:szCs w:val="21"/>
          <w:highlight w:val="none"/>
          <w:lang w:eastAsia="zh-CN"/>
        </w:rPr>
      </w:pPr>
      <w:r>
        <w:rPr>
          <w:rFonts w:hint="default" w:ascii="宋体" w:hAnsi="宋体" w:eastAsia="宋体" w:cs="宋体"/>
          <w:color w:val="auto"/>
          <w:sz w:val="21"/>
          <w:szCs w:val="21"/>
          <w:lang w:val="en-US" w:eastAsia="zh-CN" w:bidi="ar-SA"/>
        </w:rPr>
        <w:t>27.1.</w:t>
      </w:r>
      <w:r>
        <w:rPr>
          <w:rFonts w:hint="eastAsia" w:ascii="宋体" w:hAnsi="宋体" w:cs="宋体"/>
          <w:color w:val="auto"/>
          <w:szCs w:val="21"/>
          <w:highlight w:val="none"/>
        </w:rPr>
        <w:t>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w:t>
      </w:r>
    </w:p>
    <w:p w14:paraId="5A749318">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27.2.</w:t>
      </w:r>
      <w:r>
        <w:rPr>
          <w:rFonts w:hint="eastAsia" w:ascii="宋体" w:hAnsi="宋体" w:cs="宋体"/>
          <w:color w:val="auto"/>
          <w:szCs w:val="21"/>
          <w:highlight w:val="none"/>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14:paraId="2B51B0E9">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27.3.</w:t>
      </w:r>
      <w:r>
        <w:rPr>
          <w:rFonts w:hint="eastAsia" w:ascii="宋体" w:hAnsi="宋体" w:cs="宋体"/>
          <w:color w:val="auto"/>
          <w:szCs w:val="21"/>
          <w:highlight w:val="none"/>
        </w:rPr>
        <w:t>采用综合评分法的，评标结果按评审后得分由高到低顺序排列。综合得分相同的，按价格评分由高到低顺序排列。综合</w:t>
      </w:r>
      <w:r>
        <w:rPr>
          <w:rFonts w:hint="eastAsia" w:ascii="宋体" w:hAnsi="宋体"/>
          <w:color w:val="auto"/>
          <w:szCs w:val="21"/>
          <w:highlight w:val="none"/>
        </w:rPr>
        <w:t>得分相同且价格评分相同的，按商务评分由高到低顺序排列，得分高的排前，得分低的排后</w:t>
      </w:r>
      <w:r>
        <w:rPr>
          <w:rFonts w:hint="eastAsia" w:ascii="宋体" w:hAnsi="宋体"/>
          <w:color w:val="auto"/>
          <w:szCs w:val="21"/>
          <w:highlight w:val="none"/>
          <w:lang w:eastAsia="zh-CN"/>
        </w:rPr>
        <w:t>；</w:t>
      </w:r>
      <w:r>
        <w:rPr>
          <w:rFonts w:hint="eastAsia" w:ascii="宋体" w:hAnsi="宋体"/>
          <w:color w:val="auto"/>
          <w:szCs w:val="21"/>
          <w:highlight w:val="none"/>
        </w:rPr>
        <w:t>按上述环节依然存在同分情形而不能确认排名顺序时，由评标委员会进行投票，得票多的排名在先。当第一轮投票结果为投标人得票数相同时，再次进行投票，如此类推，直到能确定排序次序为止</w:t>
      </w:r>
      <w:r>
        <w:rPr>
          <w:rFonts w:hint="eastAsia" w:ascii="宋体" w:hAnsi="宋体" w:cs="宋体"/>
          <w:color w:val="auto"/>
          <w:szCs w:val="21"/>
          <w:highlight w:val="none"/>
        </w:rPr>
        <w:t>。</w:t>
      </w:r>
    </w:p>
    <w:p w14:paraId="03AB2FF5">
      <w:pPr>
        <w:widowControl w:val="0"/>
        <w:tabs>
          <w:tab w:val="left" w:pos="907"/>
        </w:tabs>
        <w:ind w:left="567"/>
        <w:jc w:val="both"/>
        <w:rPr>
          <w:rFonts w:ascii="宋体" w:hAnsi="宋体" w:cs="宋体"/>
          <w:color w:val="auto"/>
          <w:szCs w:val="21"/>
          <w:highlight w:val="none"/>
        </w:rPr>
      </w:pPr>
    </w:p>
    <w:p w14:paraId="5DB07AAA">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103" w:name="_Toc316375620"/>
      <w:bookmarkStart w:id="104" w:name="_Toc12436"/>
      <w:bookmarkStart w:id="105" w:name="_Toc21663"/>
      <w:bookmarkStart w:id="106" w:name="_Toc382049120"/>
      <w:bookmarkStart w:id="107" w:name="_Toc20328"/>
      <w:r>
        <w:rPr>
          <w:rFonts w:hint="default" w:ascii="宋体" w:hAnsi="宋体" w:eastAsia="宋体" w:cs="宋体"/>
          <w:b/>
          <w:bCs/>
          <w:color w:val="auto"/>
          <w:sz w:val="21"/>
          <w:szCs w:val="21"/>
          <w:lang w:val="en-US" w:eastAsia="zh-CN" w:bidi="ar-SA"/>
        </w:rPr>
        <w:t>28.</w:t>
      </w:r>
      <w:r>
        <w:rPr>
          <w:rFonts w:hint="eastAsia" w:ascii="宋体" w:hAnsi="宋体" w:cs="宋体"/>
          <w:color w:val="auto"/>
          <w:sz w:val="21"/>
          <w:szCs w:val="21"/>
          <w:highlight w:val="none"/>
        </w:rPr>
        <w:t>纪律和保密</w:t>
      </w:r>
      <w:bookmarkEnd w:id="103"/>
      <w:r>
        <w:rPr>
          <w:rFonts w:hint="eastAsia" w:ascii="宋体" w:hAnsi="宋体" w:cs="宋体"/>
          <w:color w:val="auto"/>
          <w:sz w:val="21"/>
          <w:szCs w:val="21"/>
          <w:highlight w:val="none"/>
        </w:rPr>
        <w:t>事项</w:t>
      </w:r>
      <w:bookmarkEnd w:id="104"/>
      <w:bookmarkEnd w:id="105"/>
      <w:bookmarkEnd w:id="106"/>
      <w:bookmarkEnd w:id="107"/>
    </w:p>
    <w:p w14:paraId="48A1B5FA">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28.1.</w:t>
      </w:r>
      <w:r>
        <w:rPr>
          <w:rFonts w:hint="eastAsia" w:ascii="宋体" w:hAnsi="宋体" w:cs="宋体"/>
          <w:color w:val="auto"/>
          <w:szCs w:val="21"/>
          <w:highlight w:val="none"/>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02468406">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28.2.</w:t>
      </w:r>
      <w:r>
        <w:rPr>
          <w:rFonts w:hint="eastAsia" w:ascii="宋体" w:hAnsi="宋体" w:cs="宋体"/>
          <w:color w:val="auto"/>
          <w:szCs w:val="21"/>
          <w:highlight w:val="none"/>
        </w:rPr>
        <w:t>投标人不得串通作弊，以不正当的手段妨碍、排挤其他投标人，扰乱采购市场，破坏公平竞争原则。否则将按相关法律规定严肃处理。</w:t>
      </w:r>
    </w:p>
    <w:p w14:paraId="28E41D2B">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28.3.</w:t>
      </w:r>
      <w:r>
        <w:rPr>
          <w:rFonts w:hint="eastAsia" w:ascii="宋体" w:hAnsi="宋体" w:cs="宋体"/>
          <w:color w:val="auto"/>
          <w:szCs w:val="21"/>
          <w:highlight w:val="none"/>
        </w:rPr>
        <w:t>获得本采购文件的投标人，应对文件进行保密，不得用作本次投标以外的任何用途。开标后，投标人应归还采购文件中要求保密的文件和资料。</w:t>
      </w:r>
    </w:p>
    <w:p w14:paraId="1F945872">
      <w:pPr>
        <w:rPr>
          <w:rFonts w:ascii="宋体" w:hAnsi="宋体" w:cs="宋体"/>
          <w:color w:val="auto"/>
          <w:highlight w:val="none"/>
        </w:rPr>
      </w:pPr>
    </w:p>
    <w:p w14:paraId="5472C73E">
      <w:pPr>
        <w:pStyle w:val="4"/>
        <w:numPr>
          <w:ilvl w:val="0"/>
          <w:numId w:val="2"/>
        </w:numPr>
        <w:spacing w:before="0" w:after="0" w:line="360" w:lineRule="auto"/>
        <w:jc w:val="center"/>
        <w:rPr>
          <w:rFonts w:ascii="宋体" w:hAnsi="宋体" w:cs="宋体"/>
          <w:color w:val="auto"/>
          <w:highlight w:val="none"/>
        </w:rPr>
      </w:pPr>
      <w:bookmarkStart w:id="108" w:name="_Toc17578"/>
      <w:bookmarkStart w:id="109" w:name="_Toc1109"/>
      <w:r>
        <w:rPr>
          <w:rFonts w:hint="eastAsia" w:ascii="宋体" w:hAnsi="宋体" w:cs="宋体"/>
          <w:color w:val="auto"/>
          <w:highlight w:val="none"/>
        </w:rPr>
        <w:t>授予合同</w:t>
      </w:r>
      <w:bookmarkEnd w:id="108"/>
      <w:bookmarkEnd w:id="109"/>
    </w:p>
    <w:p w14:paraId="340EA334">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110" w:name="_Toc22623"/>
      <w:bookmarkStart w:id="111" w:name="_Toc20602"/>
      <w:bookmarkStart w:id="112" w:name="_Toc508284011"/>
      <w:r>
        <w:rPr>
          <w:rFonts w:hint="default" w:ascii="宋体" w:hAnsi="宋体" w:eastAsia="宋体" w:cs="宋体"/>
          <w:b/>
          <w:bCs/>
          <w:color w:val="auto"/>
          <w:sz w:val="21"/>
          <w:szCs w:val="21"/>
          <w:lang w:val="en-US" w:eastAsia="zh-CN" w:bidi="ar-SA"/>
        </w:rPr>
        <w:t>29.</w:t>
      </w:r>
      <w:r>
        <w:rPr>
          <w:rFonts w:hint="eastAsia" w:ascii="宋体" w:hAnsi="宋体" w:cs="宋体"/>
          <w:color w:val="auto"/>
          <w:sz w:val="21"/>
          <w:szCs w:val="21"/>
          <w:highlight w:val="none"/>
        </w:rPr>
        <w:t>合同授予标准</w:t>
      </w:r>
      <w:bookmarkEnd w:id="110"/>
      <w:bookmarkEnd w:id="111"/>
      <w:bookmarkEnd w:id="112"/>
    </w:p>
    <w:p w14:paraId="00751856">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29.1.</w:t>
      </w:r>
      <w:r>
        <w:rPr>
          <w:rFonts w:hint="eastAsia" w:ascii="宋体" w:hAnsi="宋体" w:cs="宋体"/>
          <w:color w:val="auto"/>
          <w:szCs w:val="21"/>
          <w:highlight w:val="none"/>
        </w:rPr>
        <w:t>根据评标委员会的评审结果，采购人按照评审报告推荐的中标候选人中按顺序依法确定中标人。</w:t>
      </w:r>
    </w:p>
    <w:p w14:paraId="0F039ED3">
      <w:pPr>
        <w:rPr>
          <w:rFonts w:ascii="宋体" w:hAnsi="宋体" w:cs="宋体"/>
          <w:color w:val="auto"/>
          <w:highlight w:val="none"/>
        </w:rPr>
      </w:pPr>
    </w:p>
    <w:p w14:paraId="1F99E24B">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113" w:name="_Toc13438"/>
      <w:bookmarkStart w:id="114" w:name="_Toc10545"/>
      <w:bookmarkStart w:id="115" w:name="_Toc508284013"/>
      <w:r>
        <w:rPr>
          <w:rFonts w:hint="default" w:ascii="宋体" w:hAnsi="宋体" w:eastAsia="宋体" w:cs="宋体"/>
          <w:b/>
          <w:bCs/>
          <w:color w:val="auto"/>
          <w:sz w:val="21"/>
          <w:szCs w:val="21"/>
          <w:lang w:val="en-US" w:eastAsia="zh-CN" w:bidi="ar-SA"/>
        </w:rPr>
        <w:t>30.</w:t>
      </w:r>
      <w:r>
        <w:rPr>
          <w:rFonts w:hint="eastAsia" w:ascii="宋体" w:hAnsi="宋体" w:cs="宋体"/>
          <w:color w:val="auto"/>
          <w:sz w:val="21"/>
          <w:szCs w:val="21"/>
          <w:highlight w:val="none"/>
        </w:rPr>
        <w:t>发布中标结果</w:t>
      </w:r>
      <w:bookmarkEnd w:id="113"/>
      <w:bookmarkEnd w:id="114"/>
      <w:bookmarkEnd w:id="115"/>
    </w:p>
    <w:p w14:paraId="1A0AA078">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30.1.</w:t>
      </w:r>
      <w:r>
        <w:rPr>
          <w:rFonts w:hint="eastAsia" w:ascii="宋体" w:hAnsi="宋体" w:cs="宋体"/>
          <w:color w:val="auto"/>
          <w:szCs w:val="21"/>
          <w:highlight w:val="none"/>
        </w:rPr>
        <w:t>评标委员会提出评标书面报告和推荐中标意见报采购人确认后，采购代理机构将在指定的信息发布媒体上发布公告。</w:t>
      </w:r>
    </w:p>
    <w:p w14:paraId="690D1CCB">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30.2.</w:t>
      </w:r>
      <w:r>
        <w:rPr>
          <w:rFonts w:hint="eastAsia" w:ascii="宋体" w:hAnsi="宋体" w:cs="宋体"/>
          <w:color w:val="auto"/>
          <w:szCs w:val="21"/>
          <w:highlight w:val="none"/>
        </w:rPr>
        <w:t>中标公告期限为3个日历日。</w:t>
      </w:r>
    </w:p>
    <w:p w14:paraId="6F0D193E">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30.3.</w:t>
      </w:r>
      <w:r>
        <w:rPr>
          <w:rFonts w:hint="eastAsia" w:ascii="宋体" w:hAnsi="宋体" w:cs="宋体"/>
          <w:color w:val="auto"/>
          <w:szCs w:val="21"/>
          <w:highlight w:val="none"/>
        </w:rPr>
        <w:t>《中标通知书》是合同的一个组成部分，《中标通知书》对采购人和中标人均具有同等法律效力。</w:t>
      </w:r>
    </w:p>
    <w:p w14:paraId="47C9F292">
      <w:pPr>
        <w:widowControl w:val="0"/>
        <w:tabs>
          <w:tab w:val="left" w:pos="907"/>
        </w:tabs>
        <w:jc w:val="both"/>
        <w:rPr>
          <w:rFonts w:ascii="宋体" w:hAnsi="宋体" w:cs="宋体"/>
          <w:color w:val="auto"/>
          <w:szCs w:val="21"/>
          <w:highlight w:val="none"/>
        </w:rPr>
      </w:pPr>
    </w:p>
    <w:p w14:paraId="6658E00B">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116" w:name="_Toc4872"/>
      <w:bookmarkStart w:id="117" w:name="_Toc11420"/>
      <w:r>
        <w:rPr>
          <w:rFonts w:hint="default" w:ascii="宋体" w:hAnsi="宋体" w:eastAsia="宋体" w:cs="宋体"/>
          <w:b/>
          <w:bCs/>
          <w:color w:val="auto"/>
          <w:sz w:val="21"/>
          <w:szCs w:val="21"/>
          <w:lang w:val="en-US" w:eastAsia="zh-CN" w:bidi="ar-SA"/>
        </w:rPr>
        <w:t>31.</w:t>
      </w:r>
      <w:r>
        <w:rPr>
          <w:rFonts w:hint="eastAsia" w:ascii="宋体" w:hAnsi="宋体" w:cs="宋体"/>
          <w:color w:val="auto"/>
          <w:sz w:val="21"/>
          <w:szCs w:val="21"/>
          <w:highlight w:val="none"/>
        </w:rPr>
        <w:t>资格后审</w:t>
      </w:r>
      <w:bookmarkEnd w:id="116"/>
      <w:bookmarkEnd w:id="117"/>
    </w:p>
    <w:p w14:paraId="4EC4E64A">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31.1.</w:t>
      </w:r>
      <w:r>
        <w:rPr>
          <w:rFonts w:hint="eastAsia" w:ascii="宋体" w:hAnsi="宋体" w:cs="宋体"/>
          <w:color w:val="auto"/>
          <w:szCs w:val="21"/>
          <w:highlight w:val="none"/>
        </w:rPr>
        <w:t>采购人将有权根据本文件中的要求，对评委会推荐的中标候选人进行资格后审。</w:t>
      </w:r>
    </w:p>
    <w:p w14:paraId="2B469D90">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31.2.</w:t>
      </w:r>
      <w:r>
        <w:rPr>
          <w:rFonts w:hint="eastAsia" w:ascii="宋体" w:hAnsi="宋体" w:cs="宋体"/>
          <w:color w:val="auto"/>
          <w:szCs w:val="21"/>
          <w:highlight w:val="none"/>
        </w:rPr>
        <w:t>中标候选人须无条件配合资格后审，否则采购人有权取消其中标资格，且投标保证金可不予退还。</w:t>
      </w:r>
    </w:p>
    <w:p w14:paraId="3CA2E11B">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31.3.</w:t>
      </w:r>
      <w:r>
        <w:rPr>
          <w:rFonts w:hint="eastAsia" w:ascii="宋体" w:hAnsi="宋体" w:cs="宋体"/>
          <w:color w:val="auto"/>
          <w:szCs w:val="21"/>
          <w:highlight w:val="none"/>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1036CED9">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31.4.</w:t>
      </w:r>
      <w:r>
        <w:rPr>
          <w:rFonts w:hint="eastAsia" w:ascii="宋体" w:hAnsi="宋体" w:cs="宋体"/>
          <w:color w:val="auto"/>
          <w:szCs w:val="21"/>
          <w:highlight w:val="none"/>
        </w:rPr>
        <w:t>如发现中标候选人以他人名义投标或者以其他方式弄虚作假，骗取中标的，采购人有权取消其中标资格，且投标保证金可不予退还</w:t>
      </w:r>
      <w:r>
        <w:rPr>
          <w:rFonts w:hint="eastAsia" w:ascii="宋体" w:hAnsi="宋体" w:cs="宋体"/>
          <w:color w:val="auto"/>
          <w:szCs w:val="21"/>
          <w:highlight w:val="none"/>
          <w:lang w:eastAsia="zh-CN"/>
        </w:rPr>
        <w:t>；</w:t>
      </w:r>
      <w:r>
        <w:rPr>
          <w:rFonts w:hint="eastAsia" w:ascii="宋体" w:hAnsi="宋体" w:cs="宋体"/>
          <w:color w:val="auto"/>
          <w:szCs w:val="21"/>
          <w:highlight w:val="none"/>
        </w:rPr>
        <w:t>给采购人造成损失的，应依法承担赔偿责任。</w:t>
      </w:r>
    </w:p>
    <w:p w14:paraId="6754AD80">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31.5.</w:t>
      </w:r>
      <w:r>
        <w:rPr>
          <w:rFonts w:hint="eastAsia" w:ascii="宋体" w:hAnsi="宋体" w:cs="宋体"/>
          <w:color w:val="auto"/>
          <w:szCs w:val="21"/>
          <w:highlight w:val="none"/>
        </w:rPr>
        <w:t>采购人有权审查中标候选人是否具备履行合同的能力，包括但不限于对其规模、人员、场地、生产能力、供货能力等方面的核实或现场考察。如果审查通过，采购人将把合同授予该中标人</w:t>
      </w:r>
      <w:r>
        <w:rPr>
          <w:rFonts w:hint="eastAsia" w:ascii="宋体" w:hAnsi="宋体" w:cs="宋体"/>
          <w:color w:val="auto"/>
          <w:szCs w:val="21"/>
          <w:highlight w:val="none"/>
          <w:lang w:eastAsia="zh-CN"/>
        </w:rPr>
        <w:t>；</w:t>
      </w:r>
      <w:r>
        <w:rPr>
          <w:rFonts w:hint="eastAsia" w:ascii="宋体" w:hAnsi="宋体" w:cs="宋体"/>
          <w:color w:val="auto"/>
          <w:szCs w:val="21"/>
          <w:highlight w:val="none"/>
        </w:rPr>
        <w:t>如果审查没有通过，采购人有权取消其中标资格，且投标保证金可不予退还，并依次审查下一名中标候选人是否具备履行合同的能力或重新采购。</w:t>
      </w:r>
    </w:p>
    <w:p w14:paraId="1C6C5DCF">
      <w:pPr>
        <w:rPr>
          <w:rFonts w:ascii="宋体" w:hAnsi="宋体" w:cs="宋体"/>
          <w:color w:val="auto"/>
          <w:highlight w:val="none"/>
        </w:rPr>
      </w:pPr>
    </w:p>
    <w:p w14:paraId="54875E41">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118" w:name="_Toc13528"/>
      <w:bookmarkStart w:id="119" w:name="_Toc27302"/>
      <w:r>
        <w:rPr>
          <w:rFonts w:hint="default" w:ascii="宋体" w:hAnsi="宋体" w:eastAsia="宋体" w:cs="宋体"/>
          <w:b/>
          <w:bCs/>
          <w:color w:val="auto"/>
          <w:sz w:val="21"/>
          <w:szCs w:val="21"/>
          <w:lang w:val="en-US" w:eastAsia="zh-CN" w:bidi="ar-SA"/>
        </w:rPr>
        <w:t>32.</w:t>
      </w:r>
      <w:r>
        <w:rPr>
          <w:rFonts w:hint="eastAsia" w:ascii="宋体" w:hAnsi="宋体" w:cs="宋体"/>
          <w:color w:val="auto"/>
          <w:sz w:val="21"/>
          <w:szCs w:val="21"/>
          <w:highlight w:val="none"/>
        </w:rPr>
        <w:t>合同的签订与履行</w:t>
      </w:r>
      <w:bookmarkEnd w:id="118"/>
      <w:bookmarkEnd w:id="119"/>
    </w:p>
    <w:p w14:paraId="1C7CC7A0">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32.1.</w:t>
      </w:r>
      <w:r>
        <w:rPr>
          <w:rFonts w:hint="eastAsia" w:ascii="宋体" w:hAnsi="宋体" w:cs="宋体"/>
          <w:color w:val="auto"/>
          <w:szCs w:val="21"/>
          <w:highlight w:val="none"/>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14:paraId="11864A42">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32.2.</w:t>
      </w:r>
      <w:r>
        <w:rPr>
          <w:rFonts w:hint="eastAsia" w:ascii="宋体" w:hAnsi="宋体" w:cs="宋体"/>
          <w:color w:val="auto"/>
          <w:szCs w:val="21"/>
          <w:highlight w:val="none"/>
        </w:rPr>
        <w:t>采购人与中标人应当根据合同的约定依法履行合同义务。</w:t>
      </w:r>
    </w:p>
    <w:p w14:paraId="7FFA0688">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32.3.</w:t>
      </w:r>
      <w:r>
        <w:rPr>
          <w:rFonts w:hint="eastAsia" w:ascii="宋体" w:hAnsi="宋体" w:cs="宋体"/>
          <w:color w:val="auto"/>
          <w:szCs w:val="21"/>
          <w:highlight w:val="none"/>
        </w:rPr>
        <w:t>采购合同的履行、违约责任和解决争议的方法等适用《中华人民共和国民法典》。</w:t>
      </w:r>
    </w:p>
    <w:p w14:paraId="24FB670B">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32.4.</w:t>
      </w:r>
      <w:r>
        <w:rPr>
          <w:rFonts w:hint="eastAsia" w:ascii="宋体" w:hAnsi="宋体" w:cs="宋体"/>
          <w:color w:val="auto"/>
          <w:szCs w:val="21"/>
          <w:highlight w:val="none"/>
        </w:rPr>
        <w:t>中标人在评审结束当天至合同履行结束，若因不可抗力的因素（如国家出台新法律法规等）造成投标人资质的变动，投标人应以纸质版形式通知采购人。若资质变动导致中标人不再具备履行合同资质要求，采购人有权中止合同。</w:t>
      </w:r>
    </w:p>
    <w:p w14:paraId="4F224D83">
      <w:pPr>
        <w:widowControl w:val="0"/>
        <w:tabs>
          <w:tab w:val="left" w:pos="907"/>
        </w:tabs>
        <w:jc w:val="both"/>
        <w:rPr>
          <w:rFonts w:ascii="宋体" w:hAnsi="宋体" w:cs="宋体"/>
          <w:color w:val="auto"/>
          <w:highlight w:val="none"/>
        </w:rPr>
      </w:pPr>
    </w:p>
    <w:p w14:paraId="3854464E">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120" w:name="_Toc303084277"/>
      <w:bookmarkStart w:id="121" w:name="_Toc382049124"/>
      <w:bookmarkStart w:id="122" w:name="_Toc29009"/>
      <w:bookmarkStart w:id="123" w:name="_Toc16266"/>
      <w:bookmarkStart w:id="124" w:name="_Toc6617"/>
      <w:r>
        <w:rPr>
          <w:rFonts w:hint="default" w:ascii="宋体" w:hAnsi="宋体" w:eastAsia="宋体" w:cs="宋体"/>
          <w:b/>
          <w:bCs/>
          <w:color w:val="auto"/>
          <w:sz w:val="21"/>
          <w:szCs w:val="21"/>
          <w:lang w:val="en-US" w:eastAsia="zh-CN" w:bidi="ar-SA"/>
        </w:rPr>
        <w:t>33.</w:t>
      </w:r>
      <w:r>
        <w:rPr>
          <w:rFonts w:hint="eastAsia" w:ascii="宋体" w:hAnsi="宋体" w:cs="宋体"/>
          <w:color w:val="auto"/>
          <w:sz w:val="21"/>
          <w:szCs w:val="21"/>
          <w:highlight w:val="none"/>
        </w:rPr>
        <w:t>履约</w:t>
      </w:r>
      <w:bookmarkEnd w:id="120"/>
      <w:bookmarkEnd w:id="121"/>
      <w:bookmarkEnd w:id="122"/>
      <w:r>
        <w:rPr>
          <w:rFonts w:hint="eastAsia" w:ascii="宋体" w:hAnsi="宋体" w:cs="宋体"/>
          <w:color w:val="auto"/>
          <w:sz w:val="21"/>
          <w:szCs w:val="21"/>
          <w:highlight w:val="none"/>
        </w:rPr>
        <w:t>担保</w:t>
      </w:r>
      <w:bookmarkEnd w:id="123"/>
      <w:bookmarkEnd w:id="124"/>
    </w:p>
    <w:p w14:paraId="590EF507">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33.1.</w:t>
      </w:r>
      <w:r>
        <w:rPr>
          <w:rFonts w:hint="eastAsia" w:ascii="宋体" w:hAnsi="宋体" w:cs="宋体"/>
          <w:color w:val="auto"/>
          <w:szCs w:val="21"/>
          <w:highlight w:val="none"/>
        </w:rPr>
        <w:t>中标人在采购（合同签署）时提交履约担保，履约担保金额为合同金额的10%，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14:paraId="1483A3B5">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33.2.</w:t>
      </w:r>
      <w:r>
        <w:rPr>
          <w:rFonts w:hint="eastAsia" w:ascii="宋体" w:hAnsi="宋体" w:cs="宋体"/>
          <w:color w:val="auto"/>
          <w:szCs w:val="21"/>
          <w:highlight w:val="none"/>
        </w:rPr>
        <w:t>履约担保期限从合同签订之日起至项目服务期结束验收合格并结算完毕后，经双方签字7天内保持有效。</w:t>
      </w:r>
    </w:p>
    <w:p w14:paraId="590ACB65">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33.3.</w:t>
      </w:r>
      <w:r>
        <w:rPr>
          <w:rFonts w:hint="eastAsia" w:ascii="宋体" w:hAnsi="宋体" w:cs="宋体"/>
          <w:color w:val="auto"/>
          <w:szCs w:val="21"/>
          <w:highlight w:val="none"/>
        </w:rPr>
        <w:t>履约担保可以采用下列任何一种形式：</w:t>
      </w:r>
    </w:p>
    <w:p w14:paraId="517BF2EA">
      <w:pPr>
        <w:keepNext w:val="0"/>
        <w:keepLines w:val="0"/>
        <w:pageBreakBefore w:val="0"/>
        <w:widowControl w:val="0"/>
        <w:numPr>
          <w:ilvl w:val="1"/>
          <w:numId w:val="0"/>
        </w:numPr>
        <w:kinsoku/>
        <w:wordWrap/>
        <w:overflowPunct w:val="0"/>
        <w:topLinePunct w:val="0"/>
        <w:autoSpaceDE/>
        <w:autoSpaceDN/>
        <w:bidi w:val="0"/>
        <w:adjustRightInd w:val="0"/>
        <w:snapToGrid w:val="0"/>
        <w:ind w:left="0" w:leftChars="0" w:firstLine="567" w:firstLineChars="0"/>
        <w:textAlignment w:val="auto"/>
        <w:rPr>
          <w:rFonts w:hint="eastAsia" w:ascii="宋体" w:hAnsi="宋体" w:cs="宋体"/>
          <w:color w:val="auto"/>
          <w:szCs w:val="21"/>
          <w:highlight w:val="none"/>
        </w:rPr>
      </w:pPr>
      <w:r>
        <w:rPr>
          <w:rFonts w:hint="eastAsia" w:ascii="宋体" w:hAnsi="宋体" w:cs="宋体"/>
          <w:color w:val="auto"/>
          <w:szCs w:val="21"/>
          <w:highlight w:val="none"/>
        </w:rPr>
        <w:t>（1）履约保函。如果中标人的履约担保是以银行保函形式提供的，则该银行保函应：</w:t>
      </w:r>
    </w:p>
    <w:p w14:paraId="27F91A88">
      <w:pPr>
        <w:keepNext w:val="0"/>
        <w:keepLines w:val="0"/>
        <w:pageBreakBefore w:val="0"/>
        <w:widowControl w:val="0"/>
        <w:numPr>
          <w:ilvl w:val="1"/>
          <w:numId w:val="0"/>
        </w:numPr>
        <w:kinsoku/>
        <w:wordWrap/>
        <w:overflowPunct w:val="0"/>
        <w:topLinePunct w:val="0"/>
        <w:autoSpaceDE/>
        <w:autoSpaceDN/>
        <w:bidi w:val="0"/>
        <w:adjustRightInd w:val="0"/>
        <w:snapToGrid w:val="0"/>
        <w:ind w:left="0" w:leftChars="0" w:firstLine="567" w:firstLineChars="0"/>
        <w:textAlignment w:val="auto"/>
        <w:rPr>
          <w:rFonts w:hint="eastAsia" w:ascii="宋体" w:hAnsi="宋体" w:cs="宋体"/>
          <w:color w:val="auto"/>
          <w:szCs w:val="21"/>
          <w:highlight w:val="none"/>
        </w:rPr>
      </w:pPr>
      <w:r>
        <w:rPr>
          <w:rFonts w:hint="eastAsia" w:ascii="宋体" w:hAnsi="宋体" w:cs="宋体"/>
          <w:color w:val="auto"/>
          <w:szCs w:val="21"/>
          <w:highlight w:val="none"/>
        </w:rPr>
        <w:t>①保函应由银行支行或以上银行机构开具。</w:t>
      </w:r>
    </w:p>
    <w:p w14:paraId="4420EA1B">
      <w:pPr>
        <w:keepNext w:val="0"/>
        <w:keepLines w:val="0"/>
        <w:pageBreakBefore w:val="0"/>
        <w:widowControl w:val="0"/>
        <w:numPr>
          <w:ilvl w:val="1"/>
          <w:numId w:val="0"/>
        </w:numPr>
        <w:kinsoku/>
        <w:wordWrap/>
        <w:overflowPunct w:val="0"/>
        <w:topLinePunct w:val="0"/>
        <w:autoSpaceDE/>
        <w:autoSpaceDN/>
        <w:bidi w:val="0"/>
        <w:adjustRightInd w:val="0"/>
        <w:snapToGrid w:val="0"/>
        <w:ind w:left="640" w:leftChars="270" w:hanging="73" w:firstLineChars="0"/>
        <w:textAlignment w:val="auto"/>
        <w:rPr>
          <w:rFonts w:hint="eastAsia" w:ascii="宋体" w:hAnsi="宋体" w:cs="宋体"/>
          <w:color w:val="auto"/>
          <w:szCs w:val="21"/>
          <w:highlight w:val="none"/>
        </w:rPr>
      </w:pPr>
      <w:r>
        <w:rPr>
          <w:rFonts w:hint="eastAsia" w:ascii="宋体" w:hAnsi="宋体" w:cs="宋体"/>
          <w:color w:val="auto"/>
          <w:szCs w:val="21"/>
          <w:highlight w:val="none"/>
        </w:rPr>
        <w:t>②保函的格式参考投标文件附件中提供的无条件不可撤销履约保函格式，保函担保期内若项目未能按期竣工，保函必须延期，办理延期手续时在银行方面所产生费用由中标人负责。</w:t>
      </w:r>
    </w:p>
    <w:p w14:paraId="3EFC17EF">
      <w:pPr>
        <w:keepNext w:val="0"/>
        <w:keepLines w:val="0"/>
        <w:pageBreakBefore w:val="0"/>
        <w:widowControl w:val="0"/>
        <w:numPr>
          <w:ilvl w:val="1"/>
          <w:numId w:val="0"/>
        </w:numPr>
        <w:kinsoku/>
        <w:wordWrap/>
        <w:overflowPunct w:val="0"/>
        <w:topLinePunct w:val="0"/>
        <w:autoSpaceDE/>
        <w:autoSpaceDN/>
        <w:bidi w:val="0"/>
        <w:adjustRightInd w:val="0"/>
        <w:snapToGrid w:val="0"/>
        <w:ind w:left="0" w:leftChars="0" w:firstLine="567" w:firstLineChars="0"/>
        <w:textAlignment w:val="auto"/>
        <w:rPr>
          <w:rFonts w:hint="eastAsia" w:ascii="宋体" w:hAnsi="宋体" w:cs="宋体"/>
          <w:color w:val="auto"/>
          <w:szCs w:val="21"/>
          <w:highlight w:val="none"/>
        </w:rPr>
      </w:pPr>
      <w:r>
        <w:rPr>
          <w:rFonts w:hint="eastAsia" w:ascii="宋体" w:hAnsi="宋体" w:cs="宋体"/>
          <w:color w:val="auto"/>
          <w:szCs w:val="21"/>
          <w:highlight w:val="none"/>
        </w:rPr>
        <w:t>③履约保函必须打印，手写、涂改无效。</w:t>
      </w:r>
    </w:p>
    <w:p w14:paraId="45F24C6C">
      <w:pPr>
        <w:keepNext w:val="0"/>
        <w:keepLines w:val="0"/>
        <w:pageBreakBefore w:val="0"/>
        <w:widowControl w:val="0"/>
        <w:numPr>
          <w:ilvl w:val="1"/>
          <w:numId w:val="0"/>
        </w:numPr>
        <w:kinsoku/>
        <w:wordWrap/>
        <w:overflowPunct w:val="0"/>
        <w:topLinePunct w:val="0"/>
        <w:autoSpaceDE/>
        <w:autoSpaceDN/>
        <w:bidi w:val="0"/>
        <w:adjustRightInd w:val="0"/>
        <w:snapToGrid w:val="0"/>
        <w:ind w:left="640" w:leftChars="270" w:hanging="73" w:firstLineChars="0"/>
        <w:textAlignment w:val="auto"/>
        <w:rPr>
          <w:rFonts w:ascii="宋体" w:hAnsi="宋体" w:cs="宋体"/>
          <w:color w:val="auto"/>
          <w:szCs w:val="21"/>
          <w:highlight w:val="none"/>
        </w:rPr>
      </w:pPr>
      <w:r>
        <w:rPr>
          <w:rFonts w:hint="eastAsia" w:ascii="宋体" w:hAnsi="宋体" w:cs="宋体"/>
          <w:color w:val="auto"/>
          <w:szCs w:val="21"/>
          <w:highlight w:val="none"/>
        </w:rPr>
        <w:t>（2）履约保证金。可采用电汇、银行汇票等银行转账方式提交，但不可以采用现金方式提交。履约保证金金额为</w:t>
      </w:r>
      <w:r>
        <w:rPr>
          <w:rFonts w:hint="eastAsia" w:ascii="宋体" w:hAnsi="宋体" w:cs="宋体"/>
          <w:color w:val="auto"/>
          <w:szCs w:val="21"/>
          <w:highlight w:val="none"/>
          <w:lang w:eastAsia="zh-CN"/>
        </w:rPr>
        <w:t>合同金额</w:t>
      </w:r>
      <w:r>
        <w:rPr>
          <w:rFonts w:hint="eastAsia" w:ascii="宋体" w:hAnsi="宋体" w:cs="宋体"/>
          <w:color w:val="auto"/>
          <w:szCs w:val="21"/>
          <w:highlight w:val="none"/>
        </w:rPr>
        <w:t>的10%。中标人必须保证履约保证金以中标人的名称在（合同约定的日期）前提交至采购人指定账户。</w:t>
      </w:r>
    </w:p>
    <w:p w14:paraId="586A4F03">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33.</w:t>
      </w:r>
      <w:r>
        <w:rPr>
          <w:rFonts w:hint="eastAsia" w:ascii="宋体" w:hAnsi="宋体" w:cs="宋体"/>
          <w:color w:val="auto"/>
          <w:sz w:val="21"/>
          <w:szCs w:val="21"/>
          <w:lang w:val="en-US" w:eastAsia="zh-CN" w:bidi="ar-SA"/>
        </w:rPr>
        <w:t>4</w:t>
      </w:r>
      <w:r>
        <w:rPr>
          <w:rFonts w:hint="default" w:ascii="宋体" w:hAnsi="宋体" w:eastAsia="宋体" w:cs="宋体"/>
          <w:color w:val="auto"/>
          <w:sz w:val="21"/>
          <w:szCs w:val="21"/>
          <w:lang w:val="en-US" w:eastAsia="zh-CN" w:bidi="ar-SA"/>
        </w:rPr>
        <w:t>.</w:t>
      </w:r>
      <w:r>
        <w:rPr>
          <w:rFonts w:hint="eastAsia" w:ascii="宋体" w:hAnsi="宋体" w:cs="宋体"/>
          <w:color w:val="auto"/>
          <w:szCs w:val="21"/>
          <w:highlight w:val="none"/>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3290AF08">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33.</w:t>
      </w:r>
      <w:r>
        <w:rPr>
          <w:rFonts w:hint="eastAsia" w:ascii="宋体" w:hAnsi="宋体" w:cs="宋体"/>
          <w:color w:val="auto"/>
          <w:sz w:val="21"/>
          <w:szCs w:val="21"/>
          <w:lang w:val="en-US" w:eastAsia="zh-CN" w:bidi="ar-SA"/>
        </w:rPr>
        <w:t>5</w:t>
      </w:r>
      <w:r>
        <w:rPr>
          <w:rFonts w:hint="default" w:ascii="宋体" w:hAnsi="宋体" w:eastAsia="宋体" w:cs="宋体"/>
          <w:color w:val="auto"/>
          <w:sz w:val="21"/>
          <w:szCs w:val="21"/>
          <w:lang w:val="en-US" w:eastAsia="zh-CN" w:bidi="ar-SA"/>
        </w:rPr>
        <w:t>.</w:t>
      </w:r>
      <w:r>
        <w:rPr>
          <w:rFonts w:hint="eastAsia" w:ascii="宋体" w:hAnsi="宋体" w:cs="宋体"/>
          <w:color w:val="auto"/>
          <w:szCs w:val="21"/>
          <w:highlight w:val="none"/>
        </w:rPr>
        <w:t>为取得履约担保所需的费用，由中标人承担</w:t>
      </w:r>
      <w:r>
        <w:rPr>
          <w:rFonts w:hint="eastAsia" w:ascii="宋体" w:hAnsi="宋体" w:cs="宋体"/>
          <w:color w:val="auto"/>
          <w:szCs w:val="21"/>
          <w:highlight w:val="none"/>
          <w:lang w:eastAsia="zh-CN"/>
        </w:rPr>
        <w:t>；</w:t>
      </w:r>
      <w:r>
        <w:rPr>
          <w:rFonts w:hint="eastAsia" w:ascii="宋体" w:hAnsi="宋体" w:cs="宋体"/>
          <w:color w:val="auto"/>
          <w:szCs w:val="21"/>
          <w:highlight w:val="none"/>
        </w:rPr>
        <w:t>若工期延误，履约担保时间延长，延长费用由中标人承担。</w:t>
      </w:r>
    </w:p>
    <w:p w14:paraId="7E4D6485">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33.</w:t>
      </w:r>
      <w:r>
        <w:rPr>
          <w:rFonts w:hint="eastAsia" w:ascii="宋体" w:hAnsi="宋体" w:cs="宋体"/>
          <w:color w:val="auto"/>
          <w:sz w:val="21"/>
          <w:szCs w:val="21"/>
          <w:lang w:val="en-US" w:eastAsia="zh-CN" w:bidi="ar-SA"/>
        </w:rPr>
        <w:t>6</w:t>
      </w:r>
      <w:r>
        <w:rPr>
          <w:rFonts w:hint="default" w:ascii="宋体" w:hAnsi="宋体" w:eastAsia="宋体" w:cs="宋体"/>
          <w:color w:val="auto"/>
          <w:sz w:val="21"/>
          <w:szCs w:val="21"/>
          <w:lang w:val="en-US" w:eastAsia="zh-CN" w:bidi="ar-SA"/>
        </w:rPr>
        <w:t>.</w:t>
      </w:r>
      <w:r>
        <w:rPr>
          <w:rFonts w:hint="eastAsia" w:ascii="宋体" w:hAnsi="宋体" w:cs="宋体"/>
          <w:color w:val="auto"/>
          <w:szCs w:val="21"/>
          <w:highlight w:val="none"/>
        </w:rPr>
        <w:t>若中标人在合同履行过程中出现项目质量事故、工期拖延、欠付工人工资、欠付材料款等情况，采购人在经核查属实后，有权将履约保函金额转为现金存入履约保证金账户</w:t>
      </w:r>
      <w:r>
        <w:rPr>
          <w:rFonts w:hint="eastAsia" w:ascii="宋体" w:hAnsi="宋体" w:cs="宋体"/>
          <w:color w:val="auto"/>
          <w:szCs w:val="21"/>
          <w:highlight w:val="none"/>
          <w:lang w:eastAsia="zh-CN"/>
        </w:rPr>
        <w:t>；</w:t>
      </w:r>
      <w:r>
        <w:rPr>
          <w:rFonts w:hint="eastAsia" w:ascii="宋体" w:hAnsi="宋体" w:cs="宋体"/>
          <w:color w:val="auto"/>
          <w:szCs w:val="21"/>
          <w:highlight w:val="none"/>
        </w:rPr>
        <w:t>中标人造成采购人损失的，采购人有权立即没收其履约担保，若造成损失超过履约担保的，还应当对超过部分予以赔偿。</w:t>
      </w:r>
    </w:p>
    <w:p w14:paraId="329DCE7C">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33.</w:t>
      </w:r>
      <w:r>
        <w:rPr>
          <w:rFonts w:hint="eastAsia" w:ascii="宋体" w:hAnsi="宋体" w:cs="宋体"/>
          <w:color w:val="auto"/>
          <w:sz w:val="21"/>
          <w:szCs w:val="21"/>
          <w:lang w:val="en-US" w:eastAsia="zh-CN" w:bidi="ar-SA"/>
        </w:rPr>
        <w:t>7</w:t>
      </w:r>
      <w:r>
        <w:rPr>
          <w:rFonts w:hint="default" w:ascii="宋体" w:hAnsi="宋体" w:eastAsia="宋体" w:cs="宋体"/>
          <w:color w:val="auto"/>
          <w:sz w:val="21"/>
          <w:szCs w:val="21"/>
          <w:lang w:val="en-US" w:eastAsia="zh-CN" w:bidi="ar-SA"/>
        </w:rPr>
        <w:t>.</w:t>
      </w:r>
      <w:r>
        <w:rPr>
          <w:rFonts w:hint="eastAsia" w:ascii="宋体" w:hAnsi="宋体" w:cs="宋体"/>
          <w:color w:val="auto"/>
          <w:szCs w:val="21"/>
          <w:highlight w:val="none"/>
        </w:rPr>
        <w:t>下列任何情况发生时，采购人有权行使享有的担保权利：</w:t>
      </w:r>
    </w:p>
    <w:p w14:paraId="795259EF">
      <w:pPr>
        <w:widowControl w:val="0"/>
        <w:tabs>
          <w:tab w:val="left" w:pos="907"/>
        </w:tabs>
        <w:ind w:left="567"/>
        <w:jc w:val="both"/>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（1）中标人将本项目转让给他人，或者在投标文件中未说明，且未经采购人同意，将中标项目分包给他人的</w:t>
      </w:r>
      <w:r>
        <w:rPr>
          <w:rFonts w:hint="eastAsia" w:ascii="宋体" w:hAnsi="宋体" w:cs="宋体"/>
          <w:color w:val="auto"/>
          <w:szCs w:val="21"/>
          <w:highlight w:val="none"/>
          <w:lang w:eastAsia="zh-CN"/>
        </w:rPr>
        <w:t>；</w:t>
      </w:r>
    </w:p>
    <w:p w14:paraId="4330BBC8">
      <w:pPr>
        <w:widowControl w:val="0"/>
        <w:tabs>
          <w:tab w:val="left" w:pos="907"/>
        </w:tabs>
        <w:ind w:left="567"/>
        <w:jc w:val="both"/>
        <w:rPr>
          <w:rFonts w:ascii="宋体" w:hAnsi="宋体" w:cs="宋体"/>
          <w:color w:val="auto"/>
          <w:szCs w:val="21"/>
          <w:highlight w:val="none"/>
        </w:rPr>
      </w:pPr>
      <w:r>
        <w:rPr>
          <w:rFonts w:hint="eastAsia" w:ascii="宋体" w:hAnsi="宋体" w:cs="宋体"/>
          <w:color w:val="auto"/>
          <w:szCs w:val="21"/>
          <w:highlight w:val="none"/>
        </w:rPr>
        <w:t>（2）中标人在履行采购合同期间，违反有关法律法规的规定及合同约定的条款，损害了采购人的利益。</w:t>
      </w:r>
    </w:p>
    <w:p w14:paraId="1764990F">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33.</w:t>
      </w:r>
      <w:r>
        <w:rPr>
          <w:rFonts w:hint="eastAsia" w:ascii="宋体" w:hAnsi="宋体" w:cs="宋体"/>
          <w:color w:val="auto"/>
          <w:sz w:val="21"/>
          <w:szCs w:val="21"/>
          <w:lang w:val="en-US" w:eastAsia="zh-CN" w:bidi="ar-SA"/>
        </w:rPr>
        <w:t>8</w:t>
      </w:r>
      <w:r>
        <w:rPr>
          <w:rFonts w:hint="default" w:ascii="宋体" w:hAnsi="宋体" w:eastAsia="宋体" w:cs="宋体"/>
          <w:color w:val="auto"/>
          <w:sz w:val="21"/>
          <w:szCs w:val="21"/>
          <w:lang w:val="en-US" w:eastAsia="zh-CN" w:bidi="ar-SA"/>
        </w:rPr>
        <w:t>.</w:t>
      </w:r>
      <w:r>
        <w:rPr>
          <w:rFonts w:hint="eastAsia" w:ascii="宋体" w:hAnsi="宋体" w:cs="宋体"/>
          <w:color w:val="auto"/>
          <w:szCs w:val="21"/>
          <w:highlight w:val="none"/>
        </w:rPr>
        <w:t>在整个项目验收合格后，中标人向采购人提交退回履约担保的申请，采购人办理履约担保退还手续。</w:t>
      </w:r>
    </w:p>
    <w:p w14:paraId="342458BA">
      <w:pPr>
        <w:widowControl w:val="0"/>
        <w:tabs>
          <w:tab w:val="left" w:pos="907"/>
        </w:tabs>
        <w:jc w:val="both"/>
        <w:rPr>
          <w:rFonts w:ascii="宋体" w:hAnsi="宋体" w:cs="宋体"/>
          <w:color w:val="auto"/>
          <w:highlight w:val="none"/>
        </w:rPr>
      </w:pPr>
    </w:p>
    <w:p w14:paraId="23ABF9AB">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125" w:name="_Toc18880"/>
      <w:bookmarkStart w:id="126" w:name="_Toc5566"/>
      <w:r>
        <w:rPr>
          <w:rFonts w:hint="default" w:ascii="宋体" w:hAnsi="宋体" w:eastAsia="宋体" w:cs="宋体"/>
          <w:b/>
          <w:bCs/>
          <w:color w:val="auto"/>
          <w:sz w:val="21"/>
          <w:szCs w:val="21"/>
          <w:lang w:val="en-US" w:eastAsia="zh-CN" w:bidi="ar-SA"/>
        </w:rPr>
        <w:t>34.</w:t>
      </w:r>
      <w:r>
        <w:rPr>
          <w:rFonts w:hint="eastAsia" w:ascii="宋体" w:hAnsi="宋体" w:cs="宋体"/>
          <w:color w:val="auto"/>
          <w:sz w:val="21"/>
          <w:szCs w:val="21"/>
          <w:highlight w:val="none"/>
        </w:rPr>
        <w:t>预付款保函（适用于预付款支付）</w:t>
      </w:r>
      <w:bookmarkEnd w:id="125"/>
      <w:bookmarkEnd w:id="126"/>
    </w:p>
    <w:p w14:paraId="07C4FC17">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34.1.</w:t>
      </w:r>
      <w:r>
        <w:rPr>
          <w:rFonts w:hint="eastAsia" w:ascii="宋体" w:hAnsi="宋体" w:cs="宋体"/>
          <w:color w:val="auto"/>
          <w:szCs w:val="21"/>
          <w:highlight w:val="none"/>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14:paraId="3DD9E07A">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34.2.</w:t>
      </w:r>
      <w:r>
        <w:rPr>
          <w:rFonts w:hint="eastAsia" w:ascii="宋体" w:hAnsi="宋体" w:cs="宋体"/>
          <w:color w:val="auto"/>
          <w:szCs w:val="21"/>
          <w:highlight w:val="none"/>
        </w:rPr>
        <w:t>预付款保函应：</w:t>
      </w:r>
    </w:p>
    <w:p w14:paraId="2866BAEF">
      <w:pPr>
        <w:widowControl w:val="0"/>
        <w:tabs>
          <w:tab w:val="left" w:pos="907"/>
        </w:tabs>
        <w:ind w:left="567"/>
        <w:jc w:val="both"/>
        <w:rPr>
          <w:rFonts w:ascii="宋体" w:hAnsi="宋体" w:cs="宋体"/>
          <w:color w:val="auto"/>
          <w:szCs w:val="21"/>
          <w:highlight w:val="none"/>
        </w:rPr>
      </w:pPr>
      <w:r>
        <w:rPr>
          <w:rFonts w:hint="eastAsia" w:ascii="宋体" w:hAnsi="宋体" w:cs="宋体"/>
          <w:color w:val="auto"/>
          <w:szCs w:val="21"/>
          <w:highlight w:val="none"/>
        </w:rPr>
        <w:t>（1）由东莞市行政区域内的银行支行及以上银行机构开具。</w:t>
      </w:r>
    </w:p>
    <w:p w14:paraId="28A4E588">
      <w:pPr>
        <w:widowControl w:val="0"/>
        <w:tabs>
          <w:tab w:val="left" w:pos="907"/>
        </w:tabs>
        <w:ind w:left="567"/>
        <w:jc w:val="both"/>
        <w:rPr>
          <w:rFonts w:ascii="宋体" w:hAnsi="宋体" w:cs="宋体"/>
          <w:color w:val="auto"/>
          <w:szCs w:val="21"/>
          <w:highlight w:val="none"/>
        </w:rPr>
      </w:pPr>
      <w:r>
        <w:rPr>
          <w:rFonts w:hint="eastAsia" w:ascii="宋体" w:hAnsi="宋体" w:cs="宋体"/>
          <w:color w:val="auto"/>
          <w:szCs w:val="21"/>
          <w:highlight w:val="none"/>
        </w:rPr>
        <w:t>（2）必须打印，手写、涂改无效</w:t>
      </w:r>
    </w:p>
    <w:p w14:paraId="4FB506FB">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34.3.</w:t>
      </w:r>
      <w:r>
        <w:rPr>
          <w:rFonts w:hint="eastAsia" w:ascii="宋体" w:hAnsi="宋体" w:cs="宋体"/>
          <w:color w:val="auto"/>
          <w:szCs w:val="21"/>
          <w:highlight w:val="none"/>
        </w:rPr>
        <w:t>若中标人不能按本须知（34.1至34.2）的规定执行，采购人将不予支付预付款。</w:t>
      </w:r>
    </w:p>
    <w:p w14:paraId="4EE9E76C">
      <w:pPr>
        <w:widowControl w:val="0"/>
        <w:numPr>
          <w:ilvl w:val="1"/>
          <w:numId w:val="0"/>
        </w:numPr>
        <w:overflowPunct w:val="0"/>
        <w:ind w:left="567" w:leftChars="0" w:hanging="567" w:firstLineChars="0"/>
        <w:rPr>
          <w:rFonts w:ascii="宋体" w:hAnsi="宋体" w:cs="宋体"/>
          <w:color w:val="auto"/>
          <w:highlight w:val="none"/>
        </w:rPr>
      </w:pPr>
      <w:r>
        <w:rPr>
          <w:rFonts w:hint="default" w:ascii="宋体" w:hAnsi="宋体" w:eastAsia="宋体" w:cs="宋体"/>
          <w:color w:val="auto"/>
          <w:sz w:val="21"/>
          <w:szCs w:val="21"/>
          <w:lang w:val="en-US" w:eastAsia="zh-CN" w:bidi="ar-SA"/>
        </w:rPr>
        <w:t>34.4.</w:t>
      </w:r>
      <w:r>
        <w:rPr>
          <w:rFonts w:hint="eastAsia" w:ascii="宋体" w:hAnsi="宋体" w:cs="宋体"/>
          <w:color w:val="auto"/>
          <w:szCs w:val="21"/>
          <w:highlight w:val="none"/>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1AF38644">
      <w:pPr>
        <w:pStyle w:val="4"/>
        <w:numPr>
          <w:ilvl w:val="0"/>
          <w:numId w:val="2"/>
        </w:numPr>
        <w:spacing w:before="0" w:after="0" w:line="360" w:lineRule="auto"/>
        <w:jc w:val="center"/>
        <w:rPr>
          <w:rFonts w:ascii="宋体" w:hAnsi="宋体" w:cs="宋体"/>
          <w:color w:val="auto"/>
          <w:highlight w:val="none"/>
        </w:rPr>
      </w:pPr>
      <w:bookmarkStart w:id="127" w:name="_Toc21814"/>
      <w:bookmarkStart w:id="128" w:name="_Toc7221"/>
      <w:r>
        <w:rPr>
          <w:rFonts w:hint="eastAsia" w:ascii="宋体" w:hAnsi="宋体" w:cs="宋体"/>
          <w:color w:val="auto"/>
          <w:highlight w:val="none"/>
        </w:rPr>
        <w:t>异议</w:t>
      </w:r>
      <w:bookmarkEnd w:id="127"/>
      <w:bookmarkEnd w:id="128"/>
    </w:p>
    <w:p w14:paraId="42A3FA1F">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129" w:name="_Toc27085"/>
      <w:bookmarkStart w:id="130" w:name="_Toc9791"/>
      <w:r>
        <w:rPr>
          <w:rFonts w:hint="default" w:ascii="宋体" w:hAnsi="宋体" w:eastAsia="宋体" w:cs="宋体"/>
          <w:b/>
          <w:bCs/>
          <w:color w:val="auto"/>
          <w:sz w:val="21"/>
          <w:szCs w:val="21"/>
          <w:lang w:val="en-US" w:eastAsia="zh-CN" w:bidi="ar-SA"/>
        </w:rPr>
        <w:t>35.</w:t>
      </w:r>
      <w:r>
        <w:rPr>
          <w:rFonts w:hint="eastAsia" w:ascii="宋体" w:hAnsi="宋体" w:cs="宋体"/>
          <w:color w:val="auto"/>
          <w:sz w:val="21"/>
          <w:szCs w:val="21"/>
          <w:highlight w:val="none"/>
        </w:rPr>
        <w:t>异议</w:t>
      </w:r>
      <w:bookmarkEnd w:id="129"/>
      <w:bookmarkEnd w:id="130"/>
    </w:p>
    <w:p w14:paraId="3B15844C">
      <w:pPr>
        <w:widowControl w:val="0"/>
        <w:numPr>
          <w:ilvl w:val="1"/>
          <w:numId w:val="0"/>
        </w:numPr>
        <w:overflowPunct w:val="0"/>
        <w:ind w:left="567" w:leftChars="0" w:hanging="567" w:firstLineChars="0"/>
        <w:rPr>
          <w:rFonts w:hint="eastAsia" w:ascii="宋体" w:hAnsi="宋体" w:eastAsia="宋体" w:cs="宋体"/>
          <w:color w:val="auto"/>
          <w:szCs w:val="21"/>
          <w:highlight w:val="none"/>
          <w:lang w:eastAsia="zh-CN"/>
        </w:rPr>
      </w:pPr>
      <w:r>
        <w:rPr>
          <w:rFonts w:hint="default" w:ascii="宋体" w:hAnsi="宋体" w:eastAsia="宋体" w:cs="宋体"/>
          <w:color w:val="auto"/>
          <w:sz w:val="21"/>
          <w:szCs w:val="21"/>
          <w:lang w:val="en-US" w:eastAsia="zh-CN" w:bidi="ar-SA"/>
        </w:rPr>
        <w:t>35.1.</w:t>
      </w:r>
      <w:r>
        <w:rPr>
          <w:rFonts w:hint="eastAsia" w:ascii="宋体" w:hAnsi="宋体" w:cs="宋体"/>
          <w:color w:val="auto"/>
          <w:szCs w:val="21"/>
          <w:highlight w:val="none"/>
          <w:lang w:val="zh-CN"/>
        </w:rPr>
        <w:t>采购文件的异议</w:t>
      </w:r>
    </w:p>
    <w:p w14:paraId="28F78A48">
      <w:pPr>
        <w:widowControl w:val="0"/>
        <w:tabs>
          <w:tab w:val="left" w:pos="907"/>
        </w:tabs>
        <w:ind w:firstLine="420" w:firstLineChars="200"/>
        <w:jc w:val="both"/>
        <w:rPr>
          <w:rFonts w:ascii="宋体" w:hAnsi="宋体" w:cs="宋体"/>
          <w:color w:val="auto"/>
          <w:szCs w:val="21"/>
          <w:highlight w:val="none"/>
        </w:rPr>
      </w:pPr>
      <w:r>
        <w:rPr>
          <w:rFonts w:hint="eastAsia" w:ascii="宋体" w:hAnsi="宋体" w:cs="宋体"/>
          <w:bCs/>
          <w:color w:val="auto"/>
          <w:kern w:val="2"/>
          <w:szCs w:val="21"/>
          <w:highlight w:val="none"/>
          <w:lang w:val="zh-CN"/>
        </w:rPr>
        <w:t>投标人或者其他利害关系人对采购文件有异议的，应当在投标截止时间10日前</w:t>
      </w:r>
      <w:r>
        <w:rPr>
          <w:rFonts w:hint="eastAsia" w:ascii="宋体" w:hAnsi="宋体" w:cs="宋体"/>
          <w:color w:val="auto"/>
          <w:kern w:val="2"/>
          <w:szCs w:val="21"/>
          <w:highlight w:val="none"/>
          <w:lang w:val="zh-CN"/>
        </w:rPr>
        <w:t>以书面形式向采购代理机构提出，并将材料原件送达采购代理机构，逾期则视为对采购文件所有内容无异议。</w:t>
      </w:r>
      <w:r>
        <w:rPr>
          <w:rFonts w:hint="eastAsia" w:ascii="宋体" w:hAnsi="宋体" w:cs="宋体"/>
          <w:bCs/>
          <w:color w:val="auto"/>
          <w:kern w:val="2"/>
          <w:szCs w:val="21"/>
          <w:highlight w:val="none"/>
          <w:lang w:val="zh-CN"/>
        </w:rPr>
        <w:t>异议</w:t>
      </w:r>
      <w:r>
        <w:rPr>
          <w:rFonts w:hint="eastAsia" w:ascii="宋体" w:hAnsi="宋体" w:cs="宋体"/>
          <w:color w:val="auto"/>
          <w:kern w:val="2"/>
          <w:szCs w:val="21"/>
          <w:highlight w:val="none"/>
          <w:lang w:val="zh-CN"/>
        </w:rPr>
        <w:t>书面材料必须加盖投标人法人公章，并注明联系人、联系电话、联系地址。</w:t>
      </w:r>
      <w:r>
        <w:rPr>
          <w:rFonts w:hint="eastAsia" w:ascii="宋体" w:hAnsi="宋体" w:cs="宋体"/>
          <w:bCs/>
          <w:color w:val="auto"/>
          <w:kern w:val="2"/>
          <w:szCs w:val="21"/>
          <w:highlight w:val="none"/>
          <w:lang w:val="zh-CN"/>
        </w:rPr>
        <w:t>超出</w:t>
      </w:r>
      <w:r>
        <w:rPr>
          <w:rFonts w:hint="eastAsia" w:ascii="宋体" w:hAnsi="宋体" w:cs="宋体"/>
          <w:color w:val="auto"/>
          <w:kern w:val="2"/>
          <w:szCs w:val="21"/>
          <w:highlight w:val="none"/>
          <w:lang w:val="zh-CN"/>
        </w:rPr>
        <w:t>提交接收异议截止时间而</w:t>
      </w:r>
      <w:r>
        <w:rPr>
          <w:rFonts w:hint="eastAsia" w:ascii="宋体" w:hAnsi="宋体" w:cs="宋体"/>
          <w:bCs/>
          <w:color w:val="auto"/>
          <w:kern w:val="2"/>
          <w:szCs w:val="21"/>
          <w:highlight w:val="none"/>
          <w:lang w:val="zh-CN"/>
        </w:rPr>
        <w:t>提出的任何疑问，</w:t>
      </w:r>
      <w:r>
        <w:rPr>
          <w:rFonts w:hint="eastAsia" w:ascii="宋体" w:hAnsi="宋体" w:cs="宋体"/>
          <w:bCs/>
          <w:color w:val="auto"/>
          <w:kern w:val="2"/>
          <w:szCs w:val="21"/>
          <w:highlight w:val="none"/>
        </w:rPr>
        <w:t>采购人或</w:t>
      </w:r>
      <w:r>
        <w:rPr>
          <w:rFonts w:hint="eastAsia" w:ascii="宋体" w:hAnsi="宋体" w:cs="宋体"/>
          <w:bCs/>
          <w:color w:val="auto"/>
          <w:kern w:val="2"/>
          <w:szCs w:val="21"/>
          <w:highlight w:val="none"/>
          <w:lang w:val="zh-CN"/>
        </w:rPr>
        <w:t>采购代理机构可不予答复。</w:t>
      </w:r>
    </w:p>
    <w:p w14:paraId="53B3E52C">
      <w:pPr>
        <w:widowControl w:val="0"/>
        <w:numPr>
          <w:ilvl w:val="1"/>
          <w:numId w:val="0"/>
        </w:numPr>
        <w:overflowPunct w:val="0"/>
        <w:ind w:left="567" w:leftChars="0" w:hanging="567" w:firstLineChars="0"/>
        <w:rPr>
          <w:rFonts w:hint="eastAsia" w:ascii="宋体" w:hAnsi="宋体" w:eastAsia="宋体" w:cs="宋体"/>
          <w:color w:val="auto"/>
          <w:szCs w:val="21"/>
          <w:highlight w:val="none"/>
          <w:lang w:eastAsia="zh-CN"/>
        </w:rPr>
      </w:pPr>
      <w:r>
        <w:rPr>
          <w:rFonts w:hint="default" w:ascii="宋体" w:hAnsi="宋体" w:eastAsia="宋体" w:cs="宋体"/>
          <w:color w:val="auto"/>
          <w:sz w:val="21"/>
          <w:szCs w:val="21"/>
          <w:lang w:val="en-US" w:eastAsia="zh-CN" w:bidi="ar-SA"/>
        </w:rPr>
        <w:t>35.2.</w:t>
      </w:r>
      <w:r>
        <w:rPr>
          <w:rFonts w:hint="eastAsia" w:ascii="宋体" w:hAnsi="宋体" w:cs="宋体"/>
          <w:color w:val="auto"/>
          <w:szCs w:val="21"/>
          <w:highlight w:val="none"/>
          <w:lang w:val="zh-CN"/>
        </w:rPr>
        <w:t>评标结果异议</w:t>
      </w:r>
    </w:p>
    <w:p w14:paraId="6BB57F2D">
      <w:pPr>
        <w:widowControl w:val="0"/>
        <w:tabs>
          <w:tab w:val="left" w:pos="907"/>
        </w:tabs>
        <w:ind w:firstLine="420" w:firstLineChars="200"/>
        <w:jc w:val="both"/>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738D86ED">
      <w:pPr>
        <w:widowControl w:val="0"/>
        <w:tabs>
          <w:tab w:val="left" w:pos="907"/>
        </w:tabs>
        <w:ind w:firstLine="420" w:firstLineChars="200"/>
        <w:jc w:val="both"/>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510C2DA7">
      <w:pPr>
        <w:widowControl w:val="0"/>
        <w:numPr>
          <w:ilvl w:val="1"/>
          <w:numId w:val="0"/>
        </w:numPr>
        <w:overflowPunct w:val="0"/>
        <w:ind w:left="567" w:leftChars="0" w:hanging="567" w:firstLineChars="0"/>
        <w:rPr>
          <w:rFonts w:ascii="宋体" w:hAnsi="宋体" w:cs="宋体"/>
          <w:color w:val="auto"/>
          <w:highlight w:val="none"/>
        </w:rPr>
      </w:pPr>
      <w:r>
        <w:rPr>
          <w:rFonts w:hint="default" w:ascii="宋体" w:hAnsi="宋体" w:eastAsia="宋体" w:cs="宋体"/>
          <w:color w:val="auto"/>
          <w:sz w:val="21"/>
          <w:szCs w:val="21"/>
          <w:lang w:val="en-US" w:eastAsia="zh-CN" w:bidi="ar-SA"/>
        </w:rPr>
        <w:t>35.3.</w:t>
      </w:r>
      <w:r>
        <w:rPr>
          <w:rFonts w:hint="eastAsia" w:ascii="宋体" w:hAnsi="宋体" w:cs="宋体"/>
          <w:color w:val="auto"/>
          <w:szCs w:val="21"/>
          <w:highlight w:val="none"/>
        </w:rPr>
        <w:t>以联合体形式参加采购活动的，其异议应当由组成联合体的所有投标人共同提出。</w:t>
      </w:r>
    </w:p>
    <w:p w14:paraId="30AB9E01">
      <w:pPr>
        <w:pStyle w:val="4"/>
        <w:numPr>
          <w:ilvl w:val="0"/>
          <w:numId w:val="2"/>
        </w:numPr>
        <w:spacing w:before="0" w:after="0" w:line="360" w:lineRule="auto"/>
        <w:jc w:val="center"/>
        <w:rPr>
          <w:rFonts w:ascii="宋体" w:hAnsi="宋体" w:cs="宋体"/>
          <w:color w:val="auto"/>
          <w:highlight w:val="none"/>
        </w:rPr>
      </w:pPr>
      <w:bookmarkStart w:id="131" w:name="_Toc10623"/>
      <w:bookmarkStart w:id="132" w:name="_Toc18965"/>
      <w:r>
        <w:rPr>
          <w:rFonts w:hint="eastAsia" w:ascii="宋体" w:hAnsi="宋体" w:cs="宋体"/>
          <w:color w:val="auto"/>
          <w:highlight w:val="none"/>
        </w:rPr>
        <w:t>其他</w:t>
      </w:r>
      <w:bookmarkEnd w:id="131"/>
      <w:bookmarkEnd w:id="132"/>
    </w:p>
    <w:p w14:paraId="3C5BF892">
      <w:pPr>
        <w:pStyle w:val="5"/>
        <w:widowControl w:val="0"/>
        <w:numPr>
          <w:ilvl w:val="0"/>
          <w:numId w:val="0"/>
        </w:numPr>
        <w:overflowPunct w:val="0"/>
        <w:ind w:left="425" w:leftChars="0" w:hanging="425" w:firstLineChars="0"/>
        <w:rPr>
          <w:rFonts w:ascii="宋体" w:hAnsi="宋体" w:cs="宋体"/>
          <w:color w:val="auto"/>
          <w:sz w:val="21"/>
          <w:szCs w:val="21"/>
          <w:highlight w:val="none"/>
        </w:rPr>
      </w:pPr>
      <w:bookmarkStart w:id="133" w:name="_Toc1587"/>
      <w:bookmarkStart w:id="134" w:name="_Toc20135"/>
      <w:r>
        <w:rPr>
          <w:rFonts w:hint="default" w:ascii="宋体" w:hAnsi="宋体" w:eastAsia="宋体" w:cs="宋体"/>
          <w:b/>
          <w:bCs/>
          <w:color w:val="auto"/>
          <w:sz w:val="21"/>
          <w:szCs w:val="21"/>
          <w:lang w:val="en-US" w:eastAsia="zh-CN" w:bidi="ar-SA"/>
        </w:rPr>
        <w:t>36.</w:t>
      </w:r>
      <w:r>
        <w:rPr>
          <w:rFonts w:hint="eastAsia" w:ascii="宋体" w:hAnsi="宋体" w:cs="宋体"/>
          <w:color w:val="auto"/>
          <w:sz w:val="21"/>
          <w:szCs w:val="21"/>
          <w:highlight w:val="none"/>
        </w:rPr>
        <w:t>采购文件的解释权</w:t>
      </w:r>
      <w:bookmarkEnd w:id="133"/>
      <w:bookmarkEnd w:id="134"/>
    </w:p>
    <w:p w14:paraId="2AA26186">
      <w:pPr>
        <w:pStyle w:val="46"/>
        <w:widowControl w:val="0"/>
        <w:numPr>
          <w:ilvl w:val="0"/>
          <w:numId w:val="0"/>
        </w:numPr>
        <w:tabs>
          <w:tab w:val="left" w:pos="907"/>
        </w:tabs>
        <w:ind w:leftChars="0"/>
        <w:jc w:val="both"/>
        <w:rPr>
          <w:rFonts w:ascii="宋体" w:hAnsi="宋体" w:cs="宋体"/>
          <w:vanish/>
          <w:color w:val="auto"/>
          <w:szCs w:val="21"/>
          <w:highlight w:val="none"/>
        </w:rPr>
      </w:pPr>
    </w:p>
    <w:p w14:paraId="4E844592">
      <w:pPr>
        <w:widowControl w:val="0"/>
        <w:numPr>
          <w:ilvl w:val="1"/>
          <w:numId w:val="0"/>
        </w:numPr>
        <w:overflowPunct w:val="0"/>
        <w:ind w:left="567" w:leftChars="0" w:hanging="567" w:firstLineChars="0"/>
        <w:rPr>
          <w:rFonts w:ascii="宋体" w:hAnsi="宋体" w:cs="宋体"/>
          <w:color w:val="auto"/>
          <w:szCs w:val="21"/>
          <w:highlight w:val="none"/>
        </w:rPr>
      </w:pPr>
      <w:r>
        <w:rPr>
          <w:rFonts w:hint="default" w:ascii="宋体" w:hAnsi="宋体" w:eastAsia="宋体" w:cs="宋体"/>
          <w:color w:val="auto"/>
          <w:sz w:val="21"/>
          <w:szCs w:val="21"/>
          <w:lang w:val="en-US" w:eastAsia="zh-CN" w:bidi="ar-SA"/>
        </w:rPr>
        <w:t>36.1.</w:t>
      </w:r>
      <w:r>
        <w:rPr>
          <w:rFonts w:hint="eastAsia" w:ascii="宋体" w:hAnsi="宋体" w:cs="宋体"/>
          <w:color w:val="auto"/>
          <w:szCs w:val="21"/>
          <w:highlight w:val="none"/>
        </w:rPr>
        <w:t>本采购文件是根据国家有关法律、法规以及采购管理有关规定和参照国际惯例编制，解释权属本采购代理机构。</w:t>
      </w:r>
    </w:p>
    <w:p w14:paraId="61692726">
      <w:pPr>
        <w:rPr>
          <w:rFonts w:ascii="宋体" w:hAnsi="宋体" w:cs="宋体"/>
          <w:color w:val="auto"/>
          <w:szCs w:val="21"/>
          <w:highlight w:val="none"/>
        </w:rPr>
      </w:pPr>
      <w:r>
        <w:rPr>
          <w:rFonts w:hint="eastAsia" w:ascii="宋体" w:hAnsi="宋体" w:cs="宋体"/>
          <w:color w:val="auto"/>
          <w:szCs w:val="21"/>
          <w:highlight w:val="none"/>
        </w:rPr>
        <w:br w:type="page"/>
      </w:r>
    </w:p>
    <w:p w14:paraId="3D59C48D">
      <w:pPr>
        <w:pStyle w:val="3"/>
        <w:spacing w:before="0" w:after="0" w:line="240" w:lineRule="auto"/>
        <w:rPr>
          <w:color w:val="auto"/>
          <w:sz w:val="28"/>
          <w:szCs w:val="28"/>
          <w:highlight w:val="none"/>
        </w:rPr>
      </w:pPr>
      <w:bookmarkStart w:id="135" w:name="_Toc22887"/>
      <w:r>
        <w:rPr>
          <w:rFonts w:hint="eastAsia"/>
          <w:color w:val="auto"/>
          <w:sz w:val="28"/>
          <w:szCs w:val="28"/>
          <w:highlight w:val="none"/>
        </w:rPr>
        <w:t>第五部分合同条款格式</w:t>
      </w:r>
      <w:bookmarkEnd w:id="135"/>
      <w:bookmarkStart w:id="136" w:name="_Toc15636"/>
    </w:p>
    <w:bookmarkEnd w:id="136"/>
    <w:p w14:paraId="77AFB9D6">
      <w:pPr>
        <w:jc w:val="both"/>
        <w:rPr>
          <w:rFonts w:hint="eastAsia" w:ascii="宋体" w:hAnsi="宋体"/>
          <w:b/>
          <w:color w:val="auto"/>
          <w:szCs w:val="21"/>
          <w:highlight w:val="none"/>
        </w:rPr>
      </w:pPr>
      <w:bookmarkStart w:id="137" w:name="_Hlt109815959"/>
      <w:bookmarkEnd w:id="137"/>
    </w:p>
    <w:p w14:paraId="24C32776">
      <w:pPr>
        <w:jc w:val="center"/>
        <w:rPr>
          <w:rFonts w:ascii="宋体" w:hAnsi="宋体" w:cs="宋体"/>
          <w:color w:val="auto"/>
          <w:szCs w:val="21"/>
          <w:highlight w:val="none"/>
          <w:lang w:bidi="ar"/>
        </w:rPr>
      </w:pPr>
      <w:r>
        <w:rPr>
          <w:rFonts w:hint="eastAsia" w:ascii="宋体" w:hAnsi="宋体"/>
          <w:b/>
          <w:color w:val="auto"/>
          <w:szCs w:val="21"/>
          <w:highlight w:val="none"/>
          <w:lang w:eastAsia="zh-CN"/>
        </w:rPr>
        <w:t>（</w:t>
      </w:r>
      <w:r>
        <w:rPr>
          <w:rFonts w:hint="eastAsia" w:ascii="宋体" w:hAnsi="宋体"/>
          <w:b/>
          <w:color w:val="auto"/>
          <w:szCs w:val="21"/>
          <w:highlight w:val="none"/>
        </w:rPr>
        <w:t>此仅为合同书样本，中标人需根据实际情况和甲方签订相应的合同</w:t>
      </w:r>
      <w:r>
        <w:rPr>
          <w:rFonts w:hint="eastAsia" w:ascii="宋体" w:hAnsi="宋体"/>
          <w:b/>
          <w:color w:val="auto"/>
          <w:szCs w:val="21"/>
          <w:highlight w:val="none"/>
          <w:lang w:eastAsia="zh-CN"/>
        </w:rPr>
        <w:t>）</w:t>
      </w:r>
    </w:p>
    <w:p w14:paraId="4735BCA8">
      <w:pPr>
        <w:rPr>
          <w:rFonts w:hint="eastAsia" w:ascii="宋体" w:hAnsi="宋体" w:cs="宋体"/>
          <w:color w:val="auto"/>
          <w:szCs w:val="21"/>
          <w:highlight w:val="none"/>
        </w:rPr>
      </w:pPr>
    </w:p>
    <w:p w14:paraId="1CA0C478">
      <w:pPr>
        <w:spacing w:before="1092" w:beforeLines="350" w:after="468" w:afterLines="150" w:line="360" w:lineRule="auto"/>
        <w:jc w:val="center"/>
        <w:outlineLvl w:val="9"/>
        <w:rPr>
          <w:rFonts w:hint="eastAsia" w:ascii="仿宋_GB2312" w:hAnsi="仿宋_GB2312" w:eastAsia="仿宋_GB2312" w:cs="仿宋_GB2312"/>
          <w:b/>
          <w:bCs/>
          <w:color w:val="auto"/>
          <w:spacing w:val="60"/>
          <w:sz w:val="52"/>
          <w:szCs w:val="52"/>
          <w:highlight w:val="none"/>
        </w:rPr>
      </w:pPr>
    </w:p>
    <w:p w14:paraId="7820C2FE">
      <w:pPr>
        <w:spacing w:before="1092" w:beforeLines="350" w:after="468" w:afterLines="150" w:line="360" w:lineRule="auto"/>
        <w:jc w:val="center"/>
        <w:outlineLvl w:val="0"/>
        <w:rPr>
          <w:rFonts w:hint="eastAsia" w:ascii="仿宋_GB2312" w:hAnsi="仿宋_GB2312" w:eastAsia="仿宋_GB2312" w:cs="仿宋_GB2312"/>
          <w:b/>
          <w:bCs/>
          <w:color w:val="auto"/>
          <w:spacing w:val="60"/>
          <w:sz w:val="52"/>
          <w:szCs w:val="52"/>
          <w:highlight w:val="none"/>
        </w:rPr>
      </w:pPr>
      <w:bookmarkStart w:id="138" w:name="_Toc5547"/>
      <w:r>
        <w:rPr>
          <w:rFonts w:hint="eastAsia" w:ascii="仿宋_GB2312" w:hAnsi="仿宋_GB2312" w:eastAsia="仿宋_GB2312" w:cs="仿宋_GB2312"/>
          <w:b/>
          <w:bCs/>
          <w:color w:val="auto"/>
          <w:spacing w:val="60"/>
          <w:sz w:val="52"/>
          <w:szCs w:val="52"/>
          <w:highlight w:val="none"/>
        </w:rPr>
        <w:t>合同文件</w:t>
      </w:r>
      <w:bookmarkEnd w:id="138"/>
    </w:p>
    <w:p w14:paraId="1B03F220">
      <w:pPr>
        <w:spacing w:after="200" w:line="360" w:lineRule="auto"/>
        <w:jc w:val="center"/>
        <w:rPr>
          <w:rFonts w:hint="eastAsia" w:ascii="宋体" w:hAnsi="宋体" w:eastAsia="宋体" w:cs="宋体"/>
          <w:b/>
          <w:bCs/>
          <w:color w:val="auto"/>
          <w:sz w:val="22"/>
          <w:szCs w:val="21"/>
          <w:highlight w:val="none"/>
        </w:rPr>
      </w:pPr>
      <w:r>
        <w:rPr>
          <w:rFonts w:hint="eastAsia" w:ascii="宋体" w:hAnsi="宋体" w:eastAsia="宋体" w:cs="宋体"/>
          <w:b/>
          <w:bCs/>
          <w:color w:val="auto"/>
          <w:sz w:val="22"/>
          <w:szCs w:val="21"/>
          <w:highlight w:val="none"/>
        </w:rPr>
        <w:t>（合同编号：）</w:t>
      </w:r>
    </w:p>
    <w:p w14:paraId="7ECC5B96">
      <w:pPr>
        <w:spacing w:after="200" w:line="360" w:lineRule="auto"/>
        <w:rPr>
          <w:rFonts w:hint="eastAsia" w:ascii="仿宋_GB2312" w:hAnsi="仿宋_GB2312" w:eastAsia="仿宋_GB2312" w:cs="仿宋_GB2312"/>
          <w:b/>
          <w:bCs/>
          <w:color w:val="auto"/>
          <w:sz w:val="22"/>
          <w:szCs w:val="21"/>
          <w:highlight w:val="none"/>
        </w:rPr>
      </w:pPr>
    </w:p>
    <w:p w14:paraId="298020CB">
      <w:pPr>
        <w:spacing w:after="200" w:line="360" w:lineRule="auto"/>
        <w:rPr>
          <w:rFonts w:hint="eastAsia" w:ascii="仿宋_GB2312" w:hAnsi="仿宋_GB2312" w:eastAsia="仿宋_GB2312" w:cs="仿宋_GB2312"/>
          <w:b/>
          <w:bCs/>
          <w:color w:val="auto"/>
          <w:sz w:val="22"/>
          <w:szCs w:val="21"/>
          <w:highlight w:val="none"/>
        </w:rPr>
      </w:pPr>
    </w:p>
    <w:p w14:paraId="11604F35">
      <w:pPr>
        <w:spacing w:after="200" w:line="360" w:lineRule="auto"/>
        <w:rPr>
          <w:rFonts w:hint="eastAsia" w:ascii="仿宋_GB2312" w:hAnsi="仿宋_GB2312" w:eastAsia="仿宋_GB2312" w:cs="仿宋_GB2312"/>
          <w:b/>
          <w:bCs/>
          <w:color w:val="auto"/>
          <w:sz w:val="22"/>
          <w:szCs w:val="21"/>
          <w:highlight w:val="none"/>
        </w:rPr>
      </w:pPr>
    </w:p>
    <w:tbl>
      <w:tblPr>
        <w:tblStyle w:val="32"/>
        <w:tblW w:w="4998" w:type="pct"/>
        <w:jc w:val="center"/>
        <w:tblLayout w:type="autofit"/>
        <w:tblCellMar>
          <w:top w:w="0" w:type="dxa"/>
          <w:left w:w="108" w:type="dxa"/>
          <w:bottom w:w="0" w:type="dxa"/>
          <w:right w:w="108" w:type="dxa"/>
        </w:tblCellMar>
      </w:tblPr>
      <w:tblGrid>
        <w:gridCol w:w="3108"/>
        <w:gridCol w:w="6567"/>
      </w:tblGrid>
      <w:tr w14:paraId="00F450CB">
        <w:tblPrEx>
          <w:tblCellMar>
            <w:top w:w="0" w:type="dxa"/>
            <w:left w:w="108" w:type="dxa"/>
            <w:bottom w:w="0" w:type="dxa"/>
            <w:right w:w="108" w:type="dxa"/>
          </w:tblCellMar>
        </w:tblPrEx>
        <w:trPr>
          <w:trHeight w:val="90" w:hRule="atLeast"/>
          <w:jc w:val="center"/>
        </w:trPr>
        <w:tc>
          <w:tcPr>
            <w:tcW w:w="1606" w:type="pct"/>
            <w:noWrap w:val="0"/>
            <w:vAlign w:val="top"/>
          </w:tcPr>
          <w:p w14:paraId="4AA0AD1C">
            <w:pPr>
              <w:spacing w:after="200" w:line="360" w:lineRule="auto"/>
              <w:jc w:val="both"/>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甲方（采购人）：</w:t>
            </w:r>
          </w:p>
        </w:tc>
        <w:tc>
          <w:tcPr>
            <w:tcW w:w="3393" w:type="pct"/>
            <w:noWrap w:val="0"/>
            <w:vAlign w:val="top"/>
          </w:tcPr>
          <w:p w14:paraId="35C378A8">
            <w:pPr>
              <w:spacing w:after="200" w:line="360" w:lineRule="auto"/>
              <w:rPr>
                <w:rFonts w:hint="eastAsia" w:ascii="仿宋_GB2312" w:hAnsi="仿宋_GB2312" w:eastAsia="宋体" w:cs="仿宋_GB2312"/>
                <w:b/>
                <w:bCs/>
                <w:color w:val="auto"/>
                <w:sz w:val="28"/>
                <w:szCs w:val="28"/>
                <w:highlight w:val="none"/>
                <w:u w:val="single"/>
                <w:lang w:eastAsia="zh-CN"/>
              </w:rPr>
            </w:pPr>
            <w:r>
              <w:rPr>
                <w:rFonts w:hint="eastAsia" w:ascii="宋体" w:hAnsi="宋体" w:cs="宋体"/>
                <w:b/>
                <w:bCs/>
                <w:color w:val="auto"/>
                <w:sz w:val="28"/>
                <w:szCs w:val="28"/>
                <w:highlight w:val="none"/>
                <w:u w:val="single"/>
                <w:lang w:eastAsia="zh-CN"/>
              </w:rPr>
              <w:t>东莞市新有能源投资有限公司</w:t>
            </w:r>
          </w:p>
        </w:tc>
      </w:tr>
      <w:tr w14:paraId="396CD2A0">
        <w:tblPrEx>
          <w:tblCellMar>
            <w:top w:w="0" w:type="dxa"/>
            <w:left w:w="108" w:type="dxa"/>
            <w:bottom w:w="0" w:type="dxa"/>
            <w:right w:w="108" w:type="dxa"/>
          </w:tblCellMar>
        </w:tblPrEx>
        <w:trPr>
          <w:trHeight w:val="745" w:hRule="atLeast"/>
          <w:jc w:val="center"/>
        </w:trPr>
        <w:tc>
          <w:tcPr>
            <w:tcW w:w="1606" w:type="pct"/>
            <w:noWrap w:val="0"/>
            <w:vAlign w:val="top"/>
          </w:tcPr>
          <w:p w14:paraId="162AA3ED">
            <w:pPr>
              <w:spacing w:after="200" w:line="360" w:lineRule="auto"/>
              <w:jc w:val="both"/>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乙方（中标</w:t>
            </w:r>
            <w:r>
              <w:rPr>
                <w:rFonts w:hint="eastAsia" w:ascii="宋体" w:hAnsi="宋体" w:eastAsia="宋体" w:cs="宋体"/>
                <w:b/>
                <w:bCs/>
                <w:color w:val="auto"/>
                <w:sz w:val="28"/>
                <w:szCs w:val="28"/>
                <w:highlight w:val="none"/>
                <w:lang w:val="en-US" w:eastAsia="zh-CN"/>
              </w:rPr>
              <w:t>人</w:t>
            </w:r>
            <w:r>
              <w:rPr>
                <w:rFonts w:hint="eastAsia" w:ascii="宋体" w:hAnsi="宋体" w:eastAsia="宋体" w:cs="宋体"/>
                <w:b/>
                <w:bCs/>
                <w:color w:val="auto"/>
                <w:sz w:val="28"/>
                <w:szCs w:val="28"/>
                <w:highlight w:val="none"/>
              </w:rPr>
              <w:t>）：</w:t>
            </w:r>
          </w:p>
        </w:tc>
        <w:tc>
          <w:tcPr>
            <w:tcW w:w="3393" w:type="pct"/>
            <w:noWrap w:val="0"/>
            <w:vAlign w:val="top"/>
          </w:tcPr>
          <w:p w14:paraId="4DA45D74">
            <w:pPr>
              <w:spacing w:after="200" w:line="360" w:lineRule="auto"/>
              <w:rPr>
                <w:rFonts w:hint="eastAsia" w:ascii="仿宋_GB2312" w:hAnsi="仿宋_GB2312" w:eastAsia="仿宋_GB2312" w:cs="仿宋_GB2312"/>
                <w:b/>
                <w:bCs/>
                <w:color w:val="auto"/>
                <w:sz w:val="28"/>
                <w:szCs w:val="28"/>
                <w:highlight w:val="none"/>
                <w:u w:val="single"/>
                <w:lang w:eastAsia="zh-CN"/>
              </w:rPr>
            </w:pPr>
          </w:p>
        </w:tc>
      </w:tr>
      <w:tr w14:paraId="408415AA">
        <w:tblPrEx>
          <w:tblCellMar>
            <w:top w:w="0" w:type="dxa"/>
            <w:left w:w="108" w:type="dxa"/>
            <w:bottom w:w="0" w:type="dxa"/>
            <w:right w:w="108" w:type="dxa"/>
          </w:tblCellMar>
        </w:tblPrEx>
        <w:trPr>
          <w:trHeight w:val="706" w:hRule="atLeast"/>
          <w:jc w:val="center"/>
        </w:trPr>
        <w:tc>
          <w:tcPr>
            <w:tcW w:w="1606" w:type="pct"/>
            <w:noWrap w:val="0"/>
            <w:vAlign w:val="top"/>
          </w:tcPr>
          <w:p w14:paraId="1F9E5FBC">
            <w:pPr>
              <w:spacing w:after="200" w:line="360" w:lineRule="auto"/>
              <w:jc w:val="both"/>
              <w:rPr>
                <w:rFonts w:hint="eastAsia" w:ascii="宋体" w:hAnsi="宋体" w:eastAsia="宋体" w:cs="宋体"/>
                <w:b/>
                <w:bCs/>
                <w:color w:val="auto"/>
                <w:spacing w:val="9"/>
                <w:sz w:val="28"/>
                <w:szCs w:val="28"/>
                <w:highlight w:val="none"/>
              </w:rPr>
            </w:pPr>
            <w:r>
              <w:rPr>
                <w:rFonts w:hint="eastAsia" w:ascii="宋体" w:hAnsi="宋体" w:eastAsia="宋体" w:cs="宋体"/>
                <w:b/>
                <w:bCs/>
                <w:color w:val="auto"/>
                <w:spacing w:val="9"/>
                <w:sz w:val="28"/>
                <w:szCs w:val="28"/>
                <w:highlight w:val="none"/>
              </w:rPr>
              <w:t>协议签订时间：</w:t>
            </w:r>
          </w:p>
        </w:tc>
        <w:tc>
          <w:tcPr>
            <w:tcW w:w="3393" w:type="pct"/>
            <w:noWrap w:val="0"/>
            <w:vAlign w:val="top"/>
          </w:tcPr>
          <w:p w14:paraId="296F38F7">
            <w:pPr>
              <w:tabs>
                <w:tab w:val="left" w:pos="720"/>
              </w:tabs>
              <w:spacing w:after="200" w:line="360" w:lineRule="auto"/>
              <w:jc w:val="both"/>
              <w:rPr>
                <w:rFonts w:hint="eastAsia" w:ascii="宋体" w:hAnsi="宋体" w:eastAsia="宋体" w:cs="宋体"/>
                <w:b/>
                <w:bCs/>
                <w:color w:val="auto"/>
                <w:sz w:val="28"/>
                <w:szCs w:val="28"/>
                <w:highlight w:val="none"/>
                <w:u w:val="single"/>
              </w:rPr>
            </w:pPr>
            <w:r>
              <w:rPr>
                <w:rFonts w:hint="eastAsia" w:ascii="宋体" w:hAnsi="宋体" w:eastAsia="宋体" w:cs="宋体"/>
                <w:color w:val="auto"/>
                <w:spacing w:val="20"/>
                <w:sz w:val="28"/>
                <w:szCs w:val="28"/>
                <w:highlight w:val="none"/>
              </w:rPr>
              <w:t>年</w:t>
            </w:r>
            <w:r>
              <w:rPr>
                <w:rFonts w:hint="eastAsia" w:ascii="宋体" w:hAnsi="宋体" w:cs="宋体"/>
                <w:color w:val="auto"/>
                <w:spacing w:val="20"/>
                <w:sz w:val="28"/>
                <w:szCs w:val="28"/>
                <w:highlight w:val="none"/>
                <w:lang w:val="en-US" w:eastAsia="zh-CN"/>
              </w:rPr>
              <w:t xml:space="preserve">  </w:t>
            </w:r>
            <w:r>
              <w:rPr>
                <w:rFonts w:hint="eastAsia" w:ascii="宋体" w:hAnsi="宋体" w:eastAsia="宋体" w:cs="宋体"/>
                <w:color w:val="auto"/>
                <w:spacing w:val="20"/>
                <w:sz w:val="28"/>
                <w:szCs w:val="28"/>
                <w:highlight w:val="none"/>
              </w:rPr>
              <w:t>月</w:t>
            </w:r>
            <w:r>
              <w:rPr>
                <w:rFonts w:hint="eastAsia" w:ascii="宋体" w:hAnsi="宋体" w:cs="宋体"/>
                <w:color w:val="auto"/>
                <w:spacing w:val="20"/>
                <w:sz w:val="28"/>
                <w:szCs w:val="28"/>
                <w:highlight w:val="none"/>
                <w:lang w:val="en-US" w:eastAsia="zh-CN"/>
              </w:rPr>
              <w:t xml:space="preserve">  </w:t>
            </w:r>
            <w:r>
              <w:rPr>
                <w:rFonts w:hint="eastAsia" w:ascii="宋体" w:hAnsi="宋体" w:eastAsia="宋体" w:cs="宋体"/>
                <w:color w:val="auto"/>
                <w:spacing w:val="20"/>
                <w:sz w:val="28"/>
                <w:szCs w:val="28"/>
                <w:highlight w:val="none"/>
                <w:u w:val="none"/>
              </w:rPr>
              <w:t>日</w:t>
            </w:r>
          </w:p>
        </w:tc>
      </w:tr>
    </w:tbl>
    <w:p w14:paraId="783A1608">
      <w:pPr>
        <w:autoSpaceDE w:val="0"/>
        <w:autoSpaceDN w:val="0"/>
        <w:adjustRightInd w:val="0"/>
        <w:spacing w:line="360" w:lineRule="auto"/>
        <w:jc w:val="center"/>
        <w:rPr>
          <w:rFonts w:hint="eastAsia" w:ascii="仿宋_GB2312" w:hAnsi="仿宋_GB2312" w:eastAsia="仿宋_GB2312" w:cs="仿宋_GB2312"/>
          <w:b/>
          <w:color w:val="auto"/>
          <w:kern w:val="0"/>
          <w:sz w:val="36"/>
          <w:szCs w:val="36"/>
          <w:highlight w:val="none"/>
        </w:rPr>
        <w:sectPr>
          <w:footerReference r:id="rId8" w:type="first"/>
          <w:footerReference r:id="rId7" w:type="default"/>
          <w:pgSz w:w="11907" w:h="16839"/>
          <w:pgMar w:top="1440" w:right="1080" w:bottom="1440" w:left="1080" w:header="1020" w:footer="992" w:gutter="284"/>
          <w:pgBorders>
            <w:top w:val="none" w:sz="0" w:space="0"/>
            <w:left w:val="none" w:sz="0" w:space="0"/>
            <w:bottom w:val="none" w:sz="0" w:space="0"/>
            <w:right w:val="none" w:sz="0" w:space="0"/>
          </w:pgBorders>
          <w:pgNumType w:fmt="decimal" w:start="1"/>
          <w:cols w:space="720" w:num="1"/>
          <w:docGrid w:linePitch="360" w:charSpace="0"/>
        </w:sectPr>
      </w:pPr>
    </w:p>
    <w:p w14:paraId="44BCA96F">
      <w:pPr>
        <w:pageBreakBefore w:val="0"/>
        <w:kinsoku/>
        <w:wordWrap/>
        <w:autoSpaceDE w:val="0"/>
        <w:autoSpaceDN w:val="0"/>
        <w:bidi w:val="0"/>
        <w:adjustRightInd w:val="0"/>
        <w:spacing w:after="0" w:line="360" w:lineRule="auto"/>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合同书</w:t>
      </w:r>
    </w:p>
    <w:p w14:paraId="639FD70E">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合同编号：</w:t>
      </w:r>
    </w:p>
    <w:p w14:paraId="2670406C">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p>
    <w:p w14:paraId="1C003A38">
      <w:pPr>
        <w:pageBreakBefore w:val="0"/>
        <w:kinsoku/>
        <w:wordWrap/>
        <w:bidi w:val="0"/>
        <w:spacing w:after="0" w:line="360" w:lineRule="auto"/>
        <w:ind w:firstLine="48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甲方：（采购人）</w:t>
      </w:r>
      <w:r>
        <w:rPr>
          <w:rFonts w:hint="eastAsia" w:ascii="宋体" w:hAnsi="宋体" w:cs="宋体"/>
          <w:color w:val="auto"/>
          <w:sz w:val="21"/>
          <w:szCs w:val="21"/>
          <w:highlight w:val="none"/>
          <w:u w:val="single"/>
          <w:lang w:eastAsia="zh-CN"/>
        </w:rPr>
        <w:t>东莞市新有能源投资有限公司</w:t>
      </w:r>
    </w:p>
    <w:p w14:paraId="0993D0DE">
      <w:pPr>
        <w:pageBreakBefore w:val="0"/>
        <w:kinsoku/>
        <w:wordWrap/>
        <w:bidi w:val="0"/>
        <w:spacing w:after="0" w:line="360" w:lineRule="auto"/>
        <w:ind w:firstLine="480"/>
        <w:jc w:val="left"/>
        <w:rPr>
          <w:rFonts w:hint="eastAsia" w:ascii="宋体" w:hAnsi="宋体" w:eastAsia="宋体" w:cs="宋体"/>
          <w:color w:val="auto"/>
          <w:sz w:val="21"/>
          <w:szCs w:val="21"/>
          <w:highlight w:val="none"/>
          <w:u w:val="single"/>
          <w:lang w:eastAsia="zh-CN"/>
        </w:rPr>
      </w:pPr>
      <w:r>
        <w:rPr>
          <w:rFonts w:hint="eastAsia" w:ascii="宋体" w:hAnsi="宋体" w:eastAsia="宋体" w:cs="宋体"/>
          <w:color w:val="auto"/>
          <w:sz w:val="21"/>
          <w:szCs w:val="21"/>
          <w:highlight w:val="none"/>
        </w:rPr>
        <w:t>项目联系人：联系电话：</w:t>
      </w:r>
    </w:p>
    <w:p w14:paraId="24966D2F">
      <w:pPr>
        <w:pageBreakBefore w:val="0"/>
        <w:kinsoku/>
        <w:wordWrap/>
        <w:bidi w:val="0"/>
        <w:spacing w:after="0" w:line="360" w:lineRule="auto"/>
        <w:ind w:firstLine="48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乙方：（中标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w:t>
      </w:r>
    </w:p>
    <w:p w14:paraId="12F1A180">
      <w:pPr>
        <w:pageBreakBefore w:val="0"/>
        <w:kinsoku/>
        <w:wordWrap/>
        <w:bidi w:val="0"/>
        <w:spacing w:after="0" w:line="360" w:lineRule="auto"/>
        <w:ind w:firstLine="48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项目联系人：联系电话：</w:t>
      </w:r>
    </w:p>
    <w:p w14:paraId="368C8AD1">
      <w:pPr>
        <w:pageBreakBefore w:val="0"/>
        <w:kinsoku/>
        <w:wordWrap/>
        <w:bidi w:val="0"/>
        <w:spacing w:after="0" w:line="360" w:lineRule="auto"/>
        <w:ind w:firstLine="480"/>
        <w:jc w:val="left"/>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受甲方委托，</w:t>
      </w:r>
      <w:r>
        <w:rPr>
          <w:rFonts w:hint="eastAsia" w:ascii="宋体" w:hAnsi="宋体" w:cs="宋体"/>
          <w:color w:val="auto"/>
          <w:sz w:val="21"/>
          <w:szCs w:val="21"/>
          <w:highlight w:val="none"/>
          <w:u w:val="single"/>
          <w:lang w:val="en-US" w:eastAsia="zh-CN"/>
        </w:rPr>
        <w:t>广州宏达工程顾问集团有限公司</w:t>
      </w:r>
      <w:r>
        <w:rPr>
          <w:rFonts w:hint="eastAsia" w:ascii="宋体" w:hAnsi="宋体" w:eastAsia="宋体" w:cs="宋体"/>
          <w:color w:val="auto"/>
          <w:sz w:val="21"/>
          <w:szCs w:val="21"/>
          <w:highlight w:val="none"/>
          <w:u w:val="none"/>
        </w:rPr>
        <w:t>(采购代理机构)</w:t>
      </w:r>
      <w:r>
        <w:rPr>
          <w:rFonts w:hint="eastAsia" w:ascii="宋体" w:hAnsi="宋体" w:eastAsia="宋体" w:cs="宋体"/>
          <w:color w:val="auto"/>
          <w:sz w:val="21"/>
          <w:szCs w:val="21"/>
          <w:highlight w:val="none"/>
        </w:rPr>
        <w:t>组织对甲方</w:t>
      </w:r>
      <w:r>
        <w:rPr>
          <w:rFonts w:hint="eastAsia" w:ascii="宋体" w:hAnsi="宋体" w:cs="宋体"/>
          <w:color w:val="auto"/>
          <w:sz w:val="21"/>
          <w:szCs w:val="21"/>
          <w:highlight w:val="none"/>
          <w:u w:val="single"/>
          <w:lang w:eastAsia="zh-CN"/>
        </w:rPr>
        <w:t>东莞市旗领产业投资有限公司1525kW/6100kWh用户侧储能项目</w:t>
      </w:r>
      <w:r>
        <w:rPr>
          <w:rFonts w:hint="eastAsia" w:ascii="宋体" w:hAnsi="宋体" w:eastAsia="宋体" w:cs="宋体"/>
          <w:color w:val="auto"/>
          <w:sz w:val="21"/>
          <w:szCs w:val="21"/>
          <w:highlight w:val="none"/>
        </w:rPr>
        <w:t>采购项目（项目编号）进行采购，于202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XX</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XX</w:t>
      </w:r>
      <w:r>
        <w:rPr>
          <w:rFonts w:hint="eastAsia" w:ascii="宋体" w:hAnsi="宋体" w:eastAsia="宋体" w:cs="宋体"/>
          <w:color w:val="auto"/>
          <w:sz w:val="21"/>
          <w:szCs w:val="21"/>
          <w:highlight w:val="none"/>
        </w:rPr>
        <w:t>通过公开（公开、邀请、竞争性谈判、询价、单一来源）招标，经评标委员会评定乙方为中标供应商。为了保护甲乙双方合法权益，根据《中华人民共和国</w:t>
      </w:r>
      <w:r>
        <w:rPr>
          <w:rFonts w:hint="eastAsia" w:ascii="宋体" w:hAnsi="宋体" w:eastAsia="宋体" w:cs="宋体"/>
          <w:color w:val="auto"/>
          <w:sz w:val="21"/>
          <w:szCs w:val="21"/>
          <w:highlight w:val="none"/>
          <w:lang w:val="en-US" w:eastAsia="zh-CN"/>
        </w:rPr>
        <w:t>民法典</w:t>
      </w:r>
      <w:r>
        <w:rPr>
          <w:rFonts w:hint="eastAsia" w:ascii="宋体" w:hAnsi="宋体" w:eastAsia="宋体" w:cs="宋体"/>
          <w:color w:val="auto"/>
          <w:sz w:val="21"/>
          <w:szCs w:val="21"/>
          <w:highlight w:val="none"/>
        </w:rPr>
        <w:t>》《中华人民共和国政府采购法》及其实施条例，在平等自愿的基础上，按照下面的条款和条件，签署本合同。</w:t>
      </w:r>
    </w:p>
    <w:p w14:paraId="774EDA8D">
      <w:pPr>
        <w:pageBreakBefore w:val="0"/>
        <w:kinsoku/>
        <w:wordWrap/>
        <w:bidi w:val="0"/>
        <w:spacing w:after="0" w:line="360" w:lineRule="auto"/>
        <w:outlineLvl w:val="0"/>
        <w:rPr>
          <w:rFonts w:hint="eastAsia" w:ascii="宋体" w:hAnsi="宋体" w:eastAsia="宋体" w:cs="宋体"/>
          <w:b/>
          <w:bCs/>
          <w:color w:val="auto"/>
          <w:sz w:val="21"/>
          <w:szCs w:val="21"/>
          <w:highlight w:val="none"/>
          <w:lang w:eastAsia="zh-CN"/>
        </w:rPr>
      </w:pPr>
      <w:bookmarkStart w:id="139" w:name="_Toc10689"/>
      <w:r>
        <w:rPr>
          <w:rFonts w:hint="eastAsia" w:ascii="宋体" w:hAnsi="宋体" w:eastAsia="宋体" w:cs="宋体"/>
          <w:b/>
          <w:bCs/>
          <w:color w:val="auto"/>
          <w:sz w:val="21"/>
          <w:szCs w:val="21"/>
          <w:highlight w:val="none"/>
        </w:rPr>
        <w:t>第一条　合同项目</w:t>
      </w:r>
      <w:bookmarkEnd w:id="139"/>
    </w:p>
    <w:p w14:paraId="6CDD0154">
      <w:pPr>
        <w:keepNext w:val="0"/>
        <w:keepLines w:val="0"/>
        <w:pageBreakBefore w:val="0"/>
        <w:widowControl/>
        <w:shd w:val="clear" w:color="auto" w:fill="FFFFFF"/>
        <w:kinsoku/>
        <w:wordWrap/>
        <w:overflowPunct/>
        <w:topLinePunct w:val="0"/>
        <w:autoSpaceDE/>
        <w:autoSpaceDN/>
        <w:bidi w:val="0"/>
        <w:adjustRightInd/>
        <w:snapToGrid/>
        <w:spacing w:after="0" w:line="360" w:lineRule="auto"/>
        <w:ind w:left="0"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1.工程名称：</w:t>
      </w:r>
    </w:p>
    <w:p w14:paraId="47061905">
      <w:pPr>
        <w:keepNext w:val="0"/>
        <w:keepLines w:val="0"/>
        <w:pageBreakBefore w:val="0"/>
        <w:widowControl/>
        <w:shd w:val="clear" w:color="auto" w:fill="FFFFFF"/>
        <w:kinsoku/>
        <w:wordWrap/>
        <w:overflowPunct/>
        <w:topLinePunct w:val="0"/>
        <w:autoSpaceDE/>
        <w:autoSpaceDN/>
        <w:bidi w:val="0"/>
        <w:adjustRightInd/>
        <w:snapToGrid/>
        <w:spacing w:after="0" w:line="360" w:lineRule="auto"/>
        <w:ind w:left="0"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工程地点：</w:t>
      </w:r>
    </w:p>
    <w:p w14:paraId="00221AD6">
      <w:pPr>
        <w:keepNext w:val="0"/>
        <w:keepLines w:val="0"/>
        <w:pageBreakBefore w:val="0"/>
        <w:widowControl/>
        <w:shd w:val="clear" w:color="auto" w:fill="FFFFFF"/>
        <w:kinsoku/>
        <w:wordWrap/>
        <w:overflowPunct/>
        <w:topLinePunct w:val="0"/>
        <w:autoSpaceDE/>
        <w:autoSpaceDN/>
        <w:bidi w:val="0"/>
        <w:adjustRightInd/>
        <w:snapToGrid/>
        <w:spacing w:after="0" w:line="360" w:lineRule="auto"/>
        <w:ind w:left="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工程建设规模：</w:t>
      </w:r>
    </w:p>
    <w:p w14:paraId="01C39D95">
      <w:pPr>
        <w:keepNext w:val="0"/>
        <w:keepLines w:val="0"/>
        <w:pageBreakBefore w:val="0"/>
        <w:kinsoku/>
        <w:wordWrap/>
        <w:overflowPunct/>
        <w:topLinePunct w:val="0"/>
        <w:autoSpaceDE/>
        <w:autoSpaceDN/>
        <w:bidi w:val="0"/>
        <w:adjustRightInd/>
        <w:snapToGrid/>
        <w:spacing w:after="0" w:line="360" w:lineRule="auto"/>
        <w:ind w:left="0" w:firstLine="420" w:firstLineChars="200"/>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.工程内容：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负责现场勘察、设备安装位置协调选址、施工图设计</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提供设备：</w:t>
      </w:r>
      <w:r>
        <w:rPr>
          <w:rFonts w:hint="eastAsia" w:ascii="宋体" w:hAnsi="宋体" w:eastAsia="宋体" w:cs="宋体"/>
          <w:color w:val="auto"/>
          <w:sz w:val="21"/>
          <w:szCs w:val="21"/>
          <w:highlight w:val="none"/>
        </w:rPr>
        <w:t>储能系统的设备选型、制造、软件设计开发、验收、提供相关图纸资料、试验（包括工厂试验、出厂试验）、包装、设备运输、现场开箱检查，现场技术服务、安装、调试和试验，参加联调试运行、验收，参加</w:t>
      </w:r>
      <w:r>
        <w:rPr>
          <w:rFonts w:hint="eastAsia" w:ascii="宋体" w:hAnsi="宋体" w:cs="宋体"/>
          <w:color w:val="auto"/>
          <w:sz w:val="21"/>
          <w:szCs w:val="21"/>
          <w:highlight w:val="none"/>
          <w:lang w:eastAsia="zh-CN"/>
        </w:rPr>
        <w:t>甲方</w:t>
      </w:r>
      <w:r>
        <w:rPr>
          <w:rFonts w:hint="eastAsia" w:ascii="宋体" w:hAnsi="宋体" w:eastAsia="宋体" w:cs="宋体"/>
          <w:color w:val="auto"/>
          <w:sz w:val="21"/>
          <w:szCs w:val="21"/>
          <w:highlight w:val="none"/>
        </w:rPr>
        <w:t>组织的其它设备的设计联络会及协调会，投标人应保证设备、文件和技术服务按合同要求的时间及内容进行等。其中储能系统所有的机械、电气、通信、外壳、接地等连接和配合（包括电池舱与PCS的连接电缆、PCS与隔离变压器或升压变压器的连接电缆、储能系统自用动力照明等辅助用电的配电系统及电源、防逆流装置）、消防设施以及其他辅助设施。</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提供储能项目工程建设服务（含施工临时电源、储能系统的土建及电气整体安装、调试达标交付）包括设备和材料采购供应、建筑安装工程施工、工程质量及工期控制、调试、报装、并网试运行直至验收交付等全过程的施工承包工作</w:t>
      </w:r>
      <w:r>
        <w:rPr>
          <w:rFonts w:hint="eastAsia" w:ascii="宋体" w:hAnsi="宋体" w:eastAsia="宋体" w:cs="宋体"/>
          <w:color w:val="auto"/>
          <w:sz w:val="21"/>
          <w:szCs w:val="21"/>
          <w:highlight w:val="none"/>
          <w:lang w:eastAsia="zh-CN"/>
        </w:rPr>
        <w:t>。</w:t>
      </w:r>
    </w:p>
    <w:p w14:paraId="662403DC">
      <w:pPr>
        <w:pageBreakBefore w:val="0"/>
        <w:kinsoku/>
        <w:wordWrap/>
        <w:bidi w:val="0"/>
        <w:spacing w:after="0" w:line="360" w:lineRule="auto"/>
        <w:ind w:firstLine="48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施工部分：提供储能项目工程建设服务（含施工临时电源、项目施工材料的采购（电缆需要采用铜芯电缆）、储能系统的土建、电气整体安装、调试达标交付</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施工过程资料及全套竣工资料）包括储能系统电气、土建基础及配套相关安装工程施工、工程质量及工期控制、调试、报装、并网试运行直至验收交付等全过程的施工承包工作。设备维护及雨棚</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监控系统、</w:t>
      </w:r>
      <w:r>
        <w:rPr>
          <w:rFonts w:hint="eastAsia" w:ascii="宋体" w:hAnsi="宋体" w:eastAsia="宋体" w:cs="宋体"/>
          <w:color w:val="auto"/>
          <w:sz w:val="21"/>
          <w:szCs w:val="21"/>
          <w:highlight w:val="none"/>
        </w:rPr>
        <w:t>建设需要符合采购人的要求，</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如设备设计在房屋内无需加装雨棚</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详见</w:t>
      </w:r>
      <w:r>
        <w:rPr>
          <w:rFonts w:hint="eastAsia" w:ascii="宋体" w:hAnsi="宋体" w:eastAsia="宋体" w:cs="宋体"/>
          <w:color w:val="auto"/>
          <w:sz w:val="21"/>
          <w:szCs w:val="21"/>
          <w:highlight w:val="none"/>
          <w:lang w:val="en-US" w:eastAsia="zh-CN"/>
        </w:rPr>
        <w:t>附件4：</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eastAsia="zh-CN"/>
        </w:rPr>
        <w:t>东莞市新有能源投资有限公司</w:t>
      </w:r>
      <w:r>
        <w:rPr>
          <w:rFonts w:hint="eastAsia" w:ascii="宋体" w:hAnsi="宋体" w:eastAsia="宋体" w:cs="宋体"/>
          <w:color w:val="auto"/>
          <w:sz w:val="21"/>
          <w:szCs w:val="21"/>
          <w:highlight w:val="none"/>
        </w:rPr>
        <w:t>电化学储能电站配套设施建设标准》。</w:t>
      </w:r>
      <w:r>
        <w:rPr>
          <w:rFonts w:hint="eastAsia" w:ascii="宋体" w:hAnsi="宋体" w:eastAsia="宋体" w:cs="宋体"/>
          <w:color w:val="auto"/>
          <w:sz w:val="21"/>
          <w:szCs w:val="21"/>
          <w:highlight w:val="none"/>
          <w:lang w:val="en-US" w:eastAsia="zh-CN"/>
        </w:rPr>
        <w:t>项目开工前需安装摄像头监控系统，包安全文明施工措施费、相关部门监督验收及合同实施过程中不可预见费用等中标人为履行本合同所发生的一切费用</w:t>
      </w:r>
      <w:r>
        <w:rPr>
          <w:rFonts w:hint="eastAsia" w:ascii="宋体" w:hAnsi="宋体" w:eastAsia="宋体" w:cs="宋体"/>
          <w:color w:val="auto"/>
          <w:sz w:val="21"/>
          <w:szCs w:val="21"/>
          <w:highlight w:val="none"/>
        </w:rPr>
        <w:t>。</w:t>
      </w:r>
    </w:p>
    <w:p w14:paraId="7F71BE76">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.承包形式：总报价金额包含供货、建安费、垃圾清运费、安装、测试、验收直至取得验收合格证明文件及材料价之任何市场差价、管理费、综合费率、保险</w:t>
      </w:r>
      <w:r>
        <w:rPr>
          <w:rFonts w:hint="eastAsia" w:ascii="宋体" w:hAnsi="宋体" w:eastAsia="宋体" w:cs="宋体"/>
          <w:color w:val="auto"/>
          <w:sz w:val="21"/>
          <w:szCs w:val="21"/>
          <w:highlight w:val="none"/>
          <w:lang w:val="en-US" w:eastAsia="zh-Hans"/>
        </w:rPr>
        <w:t>费</w:t>
      </w:r>
      <w:r>
        <w:rPr>
          <w:rFonts w:hint="eastAsia" w:ascii="宋体" w:hAnsi="宋体" w:eastAsia="宋体" w:cs="宋体"/>
          <w:color w:val="auto"/>
          <w:sz w:val="21"/>
          <w:szCs w:val="21"/>
          <w:highlight w:val="none"/>
        </w:rPr>
        <w:t>、利润和国家规定的应由中标人承担的任何收费、税金、必须的加班费、费率或汇率的变动、专利费、运输、货品迟到工地的窝工费等直至交付采购人正常使用的所有费用</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中标人根据项目中标金额及项目需求进行施工，建安费等费用不可超过本项目中标价。中标人施工图预算超出本项目中标价的，中标人须无偿为采购人修改施工图纸，直至采购人审定的施工图预算不超过本项目预算金额。双方约定条件范围内包工包料、包各项税费、材料购置费、安装费、运输费、装卸费、人工费、项目开工前需安装摄像头监控系统，包安全文明施工措施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相关部门监督验收及</w:t>
      </w:r>
      <w:r>
        <w:rPr>
          <w:rFonts w:hint="eastAsia" w:ascii="宋体" w:hAnsi="宋体" w:eastAsia="宋体" w:cs="宋体"/>
          <w:color w:val="auto"/>
          <w:sz w:val="21"/>
          <w:szCs w:val="21"/>
          <w:highlight w:val="none"/>
        </w:rPr>
        <w:t>合同实施过程中不可预见费用等中标人为履行本合同所发生的一切费用。</w:t>
      </w:r>
    </w:p>
    <w:p w14:paraId="4DCA291B">
      <w:pPr>
        <w:pageBreakBefore w:val="0"/>
        <w:kinsoku/>
        <w:wordWrap/>
        <w:bidi w:val="0"/>
        <w:spacing w:after="0" w:line="360" w:lineRule="auto"/>
        <w:ind w:firstLine="420" w:firstLineChars="200"/>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7.甲方现场代表：</w:t>
      </w:r>
      <w:r>
        <w:rPr>
          <w:rFonts w:hint="eastAsia" w:ascii="宋体" w:hAnsi="宋体" w:eastAsia="宋体" w:cs="宋体"/>
          <w:color w:val="auto"/>
          <w:sz w:val="21"/>
          <w:szCs w:val="21"/>
          <w:highlight w:val="none"/>
          <w:u w:val="single"/>
          <w:lang w:val="en-US" w:eastAsia="zh-CN"/>
        </w:rPr>
        <w:t>，联系方式：</w:t>
      </w:r>
    </w:p>
    <w:p w14:paraId="7CBB9C57">
      <w:pPr>
        <w:pageBreakBefore w:val="0"/>
        <w:kinsoku/>
        <w:wordWrap/>
        <w:bidi w:val="0"/>
        <w:spacing w:after="0" w:line="360" w:lineRule="auto"/>
        <w:ind w:firstLine="420" w:firstLineChars="200"/>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u w:val="none"/>
          <w:lang w:val="en-US" w:eastAsia="zh-CN"/>
        </w:rPr>
        <w:t>乙方项目负责人：</w:t>
      </w:r>
      <w:r>
        <w:rPr>
          <w:rFonts w:hint="eastAsia" w:ascii="宋体" w:hAnsi="宋体" w:eastAsia="宋体" w:cs="宋体"/>
          <w:color w:val="auto"/>
          <w:sz w:val="21"/>
          <w:szCs w:val="21"/>
          <w:highlight w:val="none"/>
          <w:u w:val="single"/>
          <w:lang w:val="en-US" w:eastAsia="zh-CN"/>
        </w:rPr>
        <w:t>，联系方式：</w:t>
      </w:r>
    </w:p>
    <w:p w14:paraId="48936CC1">
      <w:pPr>
        <w:pageBreakBefore w:val="0"/>
        <w:kinsoku/>
        <w:wordWrap/>
        <w:bidi w:val="0"/>
        <w:spacing w:after="0" w:line="360" w:lineRule="auto"/>
        <w:jc w:val="left"/>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第二条　工程期限</w:t>
      </w:r>
    </w:p>
    <w:p w14:paraId="5E42B281">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1.合同工期</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合同总工期数为个日历天（自</w:t>
      </w:r>
      <w:r>
        <w:rPr>
          <w:rFonts w:hint="eastAsia" w:ascii="宋体" w:hAnsi="宋体" w:eastAsia="宋体" w:cs="宋体"/>
          <w:color w:val="auto"/>
          <w:sz w:val="21"/>
          <w:szCs w:val="21"/>
          <w:highlight w:val="none"/>
          <w:lang w:val="en-US" w:eastAsia="zh-CN"/>
        </w:rPr>
        <w:t>采购人工程技术部</w:t>
      </w:r>
      <w:r>
        <w:rPr>
          <w:rFonts w:hint="eastAsia" w:ascii="宋体" w:hAnsi="宋体" w:eastAsia="宋体" w:cs="宋体"/>
          <w:color w:val="auto"/>
          <w:sz w:val="21"/>
          <w:szCs w:val="21"/>
          <w:highlight w:val="none"/>
        </w:rPr>
        <w:t>开</w:t>
      </w:r>
      <w:r>
        <w:rPr>
          <w:rFonts w:hint="eastAsia" w:ascii="宋体" w:hAnsi="宋体" w:eastAsia="宋体" w:cs="宋体"/>
          <w:color w:val="auto"/>
          <w:sz w:val="21"/>
          <w:szCs w:val="21"/>
          <w:highlight w:val="none"/>
          <w:lang w:val="en-US" w:eastAsia="zh-CN"/>
        </w:rPr>
        <w:t>工令</w:t>
      </w:r>
      <w:r>
        <w:rPr>
          <w:rFonts w:hint="eastAsia" w:ascii="宋体" w:hAnsi="宋体" w:eastAsia="宋体" w:cs="宋体"/>
          <w:color w:val="auto"/>
          <w:sz w:val="21"/>
          <w:szCs w:val="21"/>
          <w:highlight w:val="none"/>
        </w:rPr>
        <w:t>确定的日期起）。具体以甲方签发的开工通知确定的日期为准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若甲方无另行开工通知的，乙方应按照前述约定日期开工。</w:t>
      </w:r>
    </w:p>
    <w:p w14:paraId="506B96F1">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2.如遇下列情况，经甲方现场代表签证后，工期可相应顺延。</w:t>
      </w:r>
    </w:p>
    <w:p w14:paraId="14167B66">
      <w:pPr>
        <w:pageBreakBefore w:val="0"/>
        <w:kinsoku/>
        <w:wordWrap/>
        <w:bidi w:val="0"/>
        <w:spacing w:after="0" w:line="360" w:lineRule="auto"/>
        <w:ind w:firstLine="48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（1）在施工中如因停电、停水</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小时以上或连续间歇性停水、停电</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天以上（每次连续</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小时以上），影响正常施工</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停水停电2天以上</w:t>
      </w:r>
      <w:r>
        <w:rPr>
          <w:rFonts w:hint="eastAsia" w:ascii="宋体" w:hAnsi="宋体" w:cs="宋体"/>
          <w:color w:val="auto"/>
          <w:sz w:val="21"/>
          <w:szCs w:val="21"/>
          <w:highlight w:val="none"/>
          <w:lang w:eastAsia="zh-CN"/>
        </w:rPr>
        <w:t>；</w:t>
      </w:r>
    </w:p>
    <w:p w14:paraId="6E8546B7">
      <w:pPr>
        <w:pageBreakBefore w:val="0"/>
        <w:kinsoku/>
        <w:wordWrap/>
        <w:bidi w:val="0"/>
        <w:spacing w:after="0" w:line="360" w:lineRule="auto"/>
        <w:ind w:firstLine="48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（2）因台风暴雨飓风等不可抗力的因素</w:t>
      </w:r>
      <w:r>
        <w:rPr>
          <w:rFonts w:hint="eastAsia" w:ascii="宋体" w:hAnsi="宋体" w:cs="宋体"/>
          <w:color w:val="auto"/>
          <w:sz w:val="21"/>
          <w:szCs w:val="21"/>
          <w:highlight w:val="none"/>
          <w:lang w:eastAsia="zh-CN"/>
        </w:rPr>
        <w:t>；</w:t>
      </w:r>
    </w:p>
    <w:p w14:paraId="7C4F952C">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（3）因人力不可抗拒的其他因素而延误工期。</w:t>
      </w:r>
    </w:p>
    <w:p w14:paraId="6E2AE371">
      <w:pPr>
        <w:pageBreakBefore w:val="0"/>
        <w:kinsoku/>
        <w:wordWrap/>
        <w:bidi w:val="0"/>
        <w:spacing w:after="0" w:line="360" w:lineRule="auto"/>
        <w:ind w:firstLine="48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3.由于</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的下列原因造成工期延误的，</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有权</w:t>
      </w:r>
      <w:r>
        <w:rPr>
          <w:rFonts w:hint="eastAsia" w:ascii="宋体" w:hAnsi="宋体" w:eastAsia="宋体" w:cs="宋体"/>
          <w:color w:val="auto"/>
          <w:sz w:val="21"/>
          <w:szCs w:val="21"/>
          <w:highlight w:val="none"/>
          <w:lang w:val="en-US" w:eastAsia="zh-CN"/>
        </w:rPr>
        <w:t>顺延</w:t>
      </w:r>
      <w:r>
        <w:rPr>
          <w:rFonts w:hint="eastAsia" w:ascii="宋体" w:hAnsi="宋体" w:eastAsia="宋体" w:cs="宋体"/>
          <w:color w:val="auto"/>
          <w:sz w:val="21"/>
          <w:szCs w:val="21"/>
          <w:highlight w:val="none"/>
        </w:rPr>
        <w:t>工期</w:t>
      </w:r>
      <w:r>
        <w:rPr>
          <w:rFonts w:hint="eastAsia" w:ascii="宋体" w:hAnsi="宋体" w:eastAsia="宋体" w:cs="宋体"/>
          <w:color w:val="auto"/>
          <w:sz w:val="21"/>
          <w:szCs w:val="21"/>
          <w:highlight w:val="none"/>
          <w:lang w:eastAsia="zh-CN"/>
        </w:rPr>
        <w:t>：</w:t>
      </w:r>
    </w:p>
    <w:p w14:paraId="03E40693">
      <w:pPr>
        <w:pageBreakBefore w:val="0"/>
        <w:kinsoku/>
        <w:wordWrap/>
        <w:bidi w:val="0"/>
        <w:spacing w:after="0" w:line="360" w:lineRule="auto"/>
        <w:ind w:firstLine="48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（l）由于</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原因引起的变更</w:t>
      </w:r>
      <w:r>
        <w:rPr>
          <w:rFonts w:hint="eastAsia" w:ascii="宋体" w:hAnsi="宋体" w:cs="宋体"/>
          <w:color w:val="auto"/>
          <w:sz w:val="21"/>
          <w:szCs w:val="21"/>
          <w:highlight w:val="none"/>
          <w:lang w:eastAsia="zh-CN"/>
        </w:rPr>
        <w:t>；</w:t>
      </w:r>
    </w:p>
    <w:p w14:paraId="24424526">
      <w:pPr>
        <w:pageBreakBefore w:val="0"/>
        <w:kinsoku/>
        <w:wordWrap/>
        <w:bidi w:val="0"/>
        <w:spacing w:after="0" w:line="360" w:lineRule="auto"/>
        <w:ind w:firstLine="48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（2）未能按照合同要求的期限对</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文件进行审查</w:t>
      </w:r>
      <w:r>
        <w:rPr>
          <w:rFonts w:hint="eastAsia" w:ascii="宋体" w:hAnsi="宋体" w:cs="宋体"/>
          <w:color w:val="auto"/>
          <w:sz w:val="21"/>
          <w:szCs w:val="21"/>
          <w:highlight w:val="none"/>
          <w:lang w:eastAsia="zh-CN"/>
        </w:rPr>
        <w:t>；</w:t>
      </w:r>
    </w:p>
    <w:p w14:paraId="5C2025BB">
      <w:pPr>
        <w:pageBreakBefore w:val="0"/>
        <w:kinsoku/>
        <w:wordWrap/>
        <w:bidi w:val="0"/>
        <w:spacing w:after="0" w:line="360" w:lineRule="auto"/>
        <w:ind w:firstLine="48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（3）因</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原因导致的暂停施工</w:t>
      </w:r>
      <w:r>
        <w:rPr>
          <w:rFonts w:hint="eastAsia" w:ascii="宋体" w:hAnsi="宋体" w:cs="宋体"/>
          <w:color w:val="auto"/>
          <w:sz w:val="21"/>
          <w:szCs w:val="21"/>
          <w:highlight w:val="none"/>
          <w:lang w:eastAsia="zh-CN"/>
        </w:rPr>
        <w:t>；</w:t>
      </w:r>
    </w:p>
    <w:p w14:paraId="13E48BF9">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造成工期延误的其他原因。</w:t>
      </w:r>
    </w:p>
    <w:p w14:paraId="339ADD13">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因乙方原因造成施工延迟的，不得请求顺延工期。</w:t>
      </w:r>
    </w:p>
    <w:p w14:paraId="2FE70EC1">
      <w:pPr>
        <w:pageBreakBefore w:val="0"/>
        <w:kinsoku/>
        <w:wordWrap/>
        <w:bidi w:val="0"/>
        <w:spacing w:after="0" w:line="360" w:lineRule="auto"/>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第三条　工程</w:t>
      </w:r>
      <w:r>
        <w:rPr>
          <w:rFonts w:hint="eastAsia" w:ascii="宋体" w:hAnsi="宋体" w:eastAsia="宋体" w:cs="宋体"/>
          <w:b/>
          <w:bCs/>
          <w:color w:val="auto"/>
          <w:sz w:val="21"/>
          <w:szCs w:val="21"/>
          <w:highlight w:val="none"/>
          <w:lang w:val="en-US" w:eastAsia="zh-CN"/>
        </w:rPr>
        <w:t>履约保证金</w:t>
      </w:r>
    </w:p>
    <w:p w14:paraId="3AF8ED80">
      <w:pPr>
        <w:pageBreakBefore w:val="0"/>
        <w:kinsoku/>
        <w:wordWrap/>
        <w:bidi w:val="0"/>
        <w:spacing w:after="0" w:line="360" w:lineRule="auto"/>
        <w:ind w:firstLine="48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1.为保证乙方在建设工程施工合同中承诺的履约义务得到切实履行，根据招标要求，乙方须向甲方提交履约保证金或银行履约保函</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w:t>
      </w:r>
      <w:bookmarkStart w:id="140" w:name="OLE_LINK4"/>
      <w:r>
        <w:rPr>
          <w:rFonts w:hint="eastAsia" w:ascii="宋体" w:hAnsi="宋体" w:eastAsia="宋体" w:cs="宋体"/>
          <w:color w:val="auto"/>
          <w:sz w:val="21"/>
          <w:szCs w:val="21"/>
          <w:highlight w:val="none"/>
          <w:lang w:val="en-US" w:eastAsia="zh-CN"/>
        </w:rPr>
        <w:t>保函起保时间不低于180天</w:t>
      </w:r>
      <w:bookmarkEnd w:id="140"/>
      <w:r>
        <w:rPr>
          <w:rFonts w:hint="eastAsia" w:ascii="宋体" w:hAnsi="宋体" w:eastAsia="宋体" w:cs="宋体"/>
          <w:color w:val="auto"/>
          <w:sz w:val="21"/>
          <w:szCs w:val="21"/>
          <w:highlight w:val="none"/>
          <w:lang w:val="en-US" w:eastAsia="zh-CN"/>
        </w:rPr>
        <w:t>）。乙方应当按照合同总金额的10%，即金额：(</w:t>
      </w:r>
      <w:r>
        <w:rPr>
          <w:rFonts w:hint="eastAsia" w:ascii="宋体" w:hAnsi="宋体" w:eastAsia="宋体" w:cs="宋体"/>
          <w:color w:val="auto"/>
          <w:sz w:val="21"/>
          <w:szCs w:val="21"/>
          <w:highlight w:val="none"/>
          <w:u w:val="single"/>
          <w:lang w:val="en-US" w:eastAsia="zh-CN"/>
        </w:rPr>
        <w:t>元</w:t>
      </w:r>
      <w:r>
        <w:rPr>
          <w:rFonts w:hint="eastAsia" w:ascii="宋体" w:hAnsi="宋体" w:eastAsia="宋体" w:cs="宋体"/>
          <w:color w:val="auto"/>
          <w:sz w:val="21"/>
          <w:szCs w:val="21"/>
          <w:highlight w:val="none"/>
          <w:lang w:val="en-US" w:eastAsia="zh-CN"/>
        </w:rPr>
        <w:t>)大写人民币：作为履约保证金或银行履约保函交付给甲方，此笔履约保证金由乙方通过支付到甲方公司账户，此款项不计利息或资金占用费。</w:t>
      </w:r>
    </w:p>
    <w:p w14:paraId="0C7DF2F5">
      <w:pPr>
        <w:pageBreakBefore w:val="0"/>
        <w:kinsoku/>
        <w:wordWrap/>
        <w:bidi w:val="0"/>
        <w:spacing w:after="0" w:line="360" w:lineRule="auto"/>
        <w:ind w:firstLine="48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保证范围为乙方未按建设工程施工合同约定履行义务，包括但不限于因乙方原因不能按约定竣工日期竣工、安全生产、工程质量达不到标准时以及因违反《民法典》的相关约定应向甲方支付的违约金或赔偿的损失。</w:t>
      </w:r>
    </w:p>
    <w:p w14:paraId="3D5A4611">
      <w:pPr>
        <w:pageBreakBefore w:val="0"/>
        <w:kinsoku/>
        <w:wordWrap/>
        <w:bidi w:val="0"/>
        <w:spacing w:after="0" w:line="360" w:lineRule="auto"/>
        <w:ind w:firstLine="48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3.保证期间自甲乙双方签订合同生效之日起至建设工程竣工验收合格后，项目完成通电调试未出现影响甲方收益的故障，乙方可申请甲方退回乙方履约保证金。</w:t>
      </w:r>
    </w:p>
    <w:p w14:paraId="0484B71C">
      <w:pPr>
        <w:pageBreakBefore w:val="0"/>
        <w:kinsoku/>
        <w:wordWrap/>
        <w:bidi w:val="0"/>
        <w:spacing w:after="0" w:line="360" w:lineRule="auto"/>
        <w:outlineLvl w:val="0"/>
        <w:rPr>
          <w:rFonts w:hint="eastAsia" w:ascii="宋体" w:hAnsi="宋体" w:eastAsia="宋体" w:cs="宋体"/>
          <w:color w:val="auto"/>
          <w:sz w:val="21"/>
          <w:szCs w:val="21"/>
          <w:highlight w:val="none"/>
          <w:lang w:val="en-US" w:eastAsia="zh-CN"/>
        </w:rPr>
      </w:pPr>
      <w:bookmarkStart w:id="141" w:name="_Toc14221"/>
      <w:r>
        <w:rPr>
          <w:rFonts w:hint="eastAsia" w:ascii="宋体" w:hAnsi="宋体" w:eastAsia="宋体" w:cs="宋体"/>
          <w:b/>
          <w:bCs/>
          <w:color w:val="auto"/>
          <w:sz w:val="21"/>
          <w:szCs w:val="21"/>
          <w:highlight w:val="none"/>
        </w:rPr>
        <w:t>第</w:t>
      </w:r>
      <w:r>
        <w:rPr>
          <w:rFonts w:hint="eastAsia" w:ascii="宋体" w:hAnsi="宋体" w:eastAsia="宋体" w:cs="宋体"/>
          <w:b/>
          <w:bCs/>
          <w:color w:val="auto"/>
          <w:sz w:val="21"/>
          <w:szCs w:val="21"/>
          <w:highlight w:val="none"/>
          <w:lang w:val="en-US" w:eastAsia="zh-CN"/>
        </w:rPr>
        <w:t>四</w:t>
      </w:r>
      <w:r>
        <w:rPr>
          <w:rFonts w:hint="eastAsia" w:ascii="宋体" w:hAnsi="宋体" w:eastAsia="宋体" w:cs="宋体"/>
          <w:b/>
          <w:bCs/>
          <w:color w:val="auto"/>
          <w:sz w:val="21"/>
          <w:szCs w:val="21"/>
          <w:highlight w:val="none"/>
        </w:rPr>
        <w:t>条　工程价款、结算及付款</w:t>
      </w:r>
      <w:r>
        <w:rPr>
          <w:rFonts w:hint="eastAsia" w:ascii="宋体" w:hAnsi="宋体" w:eastAsia="宋体" w:cs="宋体"/>
          <w:b/>
          <w:bCs w:val="0"/>
          <w:color w:val="auto"/>
          <w:kern w:val="2"/>
          <w:sz w:val="21"/>
          <w:szCs w:val="21"/>
          <w:highlight w:val="none"/>
          <w:lang w:val="en-US" w:eastAsia="zh-CN" w:bidi="ar-SA"/>
        </w:rPr>
        <w:t>方式</w:t>
      </w:r>
      <w:bookmarkEnd w:id="141"/>
    </w:p>
    <w:p w14:paraId="55D08F98">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w:t>
      </w:r>
      <w:r>
        <w:rPr>
          <w:rFonts w:hint="eastAsia" w:ascii="宋体" w:hAnsi="宋体" w:cs="宋体"/>
          <w:bCs w:val="0"/>
          <w:color w:val="auto"/>
          <w:kern w:val="2"/>
          <w:sz w:val="21"/>
          <w:szCs w:val="21"/>
          <w:highlight w:val="none"/>
          <w:lang w:val="en-US" w:eastAsia="zh-CN" w:bidi="ar-SA"/>
        </w:rPr>
        <w:t>XXX</w:t>
      </w:r>
      <w:r>
        <w:rPr>
          <w:rFonts w:hint="eastAsia" w:ascii="宋体" w:hAnsi="宋体" w:eastAsia="宋体" w:cs="宋体"/>
          <w:bCs w:val="0"/>
          <w:color w:val="auto"/>
          <w:kern w:val="2"/>
          <w:sz w:val="21"/>
          <w:szCs w:val="21"/>
          <w:highlight w:val="none"/>
          <w:lang w:val="en-US" w:eastAsia="zh-CN" w:bidi="ar-SA"/>
        </w:rPr>
        <w:t>有限公司用户侧储能项目最终第三方设计装机容量</w:t>
      </w:r>
      <w:r>
        <w:rPr>
          <w:rFonts w:hint="eastAsia" w:ascii="宋体" w:hAnsi="宋体" w:cs="宋体"/>
          <w:bCs w:val="0"/>
          <w:color w:val="auto"/>
          <w:kern w:val="2"/>
          <w:sz w:val="21"/>
          <w:szCs w:val="21"/>
          <w:highlight w:val="none"/>
          <w:lang w:val="en-US" w:eastAsia="zh-CN" w:bidi="ar-SA"/>
        </w:rPr>
        <w:t>XXX</w:t>
      </w:r>
      <w:r>
        <w:rPr>
          <w:rFonts w:hint="eastAsia" w:ascii="宋体" w:hAnsi="宋体" w:eastAsia="宋体" w:cs="宋体"/>
          <w:bCs w:val="0"/>
          <w:color w:val="auto"/>
          <w:kern w:val="2"/>
          <w:sz w:val="21"/>
          <w:szCs w:val="21"/>
          <w:highlight w:val="none"/>
          <w:lang w:val="en-US" w:eastAsia="zh-CN" w:bidi="ar-SA"/>
        </w:rPr>
        <w:t>kW/</w:t>
      </w:r>
      <w:r>
        <w:rPr>
          <w:rFonts w:hint="eastAsia" w:ascii="宋体" w:hAnsi="宋体" w:cs="宋体"/>
          <w:bCs w:val="0"/>
          <w:color w:val="auto"/>
          <w:kern w:val="2"/>
          <w:sz w:val="21"/>
          <w:szCs w:val="21"/>
          <w:highlight w:val="none"/>
          <w:lang w:val="en-US" w:eastAsia="zh-CN" w:bidi="ar-SA"/>
        </w:rPr>
        <w:t>XXX</w:t>
      </w:r>
      <w:r>
        <w:rPr>
          <w:rFonts w:hint="eastAsia" w:ascii="宋体" w:hAnsi="宋体" w:eastAsia="宋体" w:cs="宋体"/>
          <w:bCs w:val="0"/>
          <w:color w:val="auto"/>
          <w:kern w:val="2"/>
          <w:sz w:val="21"/>
          <w:szCs w:val="21"/>
          <w:highlight w:val="none"/>
          <w:lang w:val="en-US" w:eastAsia="zh-CN" w:bidi="ar-SA"/>
        </w:rPr>
        <w:t>kWh，（现场位置不能满足设计要求，容量缩减不受降低容量偏差限制），本项目现场位置不能满足设计要求最终装机容量相对招标容量发生调整，项目最终结算总价按招标结果中标单价进行结算，中标价：¥元/kWh，合计总额（小写）¥</w:t>
      </w:r>
      <w:r>
        <w:rPr>
          <w:rFonts w:hint="eastAsia" w:ascii="宋体" w:hAnsi="宋体" w:cs="宋体"/>
          <w:bCs w:val="0"/>
          <w:color w:val="auto"/>
          <w:kern w:val="2"/>
          <w:sz w:val="21"/>
          <w:szCs w:val="21"/>
          <w:highlight w:val="none"/>
          <w:lang w:val="en-US" w:eastAsia="zh-CN" w:bidi="ar-SA"/>
        </w:rPr>
        <w:t>；</w:t>
      </w:r>
      <w:r>
        <w:rPr>
          <w:rFonts w:hint="eastAsia" w:ascii="宋体" w:hAnsi="宋体" w:eastAsia="宋体" w:cs="宋体"/>
          <w:bCs w:val="0"/>
          <w:color w:val="auto"/>
          <w:kern w:val="2"/>
          <w:sz w:val="21"/>
          <w:szCs w:val="21"/>
          <w:highlight w:val="none"/>
          <w:lang w:val="en-US" w:eastAsia="zh-CN" w:bidi="ar-SA"/>
        </w:rPr>
        <w:t>（大写）</w:t>
      </w:r>
      <w:r>
        <w:rPr>
          <w:rFonts w:hint="eastAsia" w:ascii="宋体" w:hAnsi="宋体" w:eastAsia="宋体" w:cs="宋体"/>
          <w:bCs w:val="0"/>
          <w:color w:val="auto"/>
          <w:kern w:val="2"/>
          <w:sz w:val="21"/>
          <w:szCs w:val="21"/>
          <w:highlight w:val="none"/>
          <w:u w:val="single"/>
          <w:lang w:val="en-US" w:eastAsia="zh-CN" w:bidi="ar-SA"/>
        </w:rPr>
        <w:t>XXXXXXXX</w:t>
      </w:r>
      <w:r>
        <w:rPr>
          <w:rFonts w:hint="eastAsia" w:ascii="宋体" w:hAnsi="宋体" w:eastAsia="宋体" w:cs="宋体"/>
          <w:bCs w:val="0"/>
          <w:color w:val="auto"/>
          <w:kern w:val="2"/>
          <w:sz w:val="21"/>
          <w:szCs w:val="21"/>
          <w:highlight w:val="none"/>
          <w:lang w:val="en-US" w:eastAsia="zh-CN" w:bidi="ar-SA"/>
        </w:rPr>
        <w:t>。合同签订后乙方请款需开具等额的合法有效的增值税发票，设备部分为合同款总额的80%，增值税率为13%，工程施工部分为合同款总额的20%，增值税率为9%，具体税率可根据国家税率</w:t>
      </w:r>
      <w:r>
        <w:rPr>
          <w:rFonts w:hint="eastAsia" w:ascii="宋体" w:hAnsi="宋体" w:eastAsia="宋体" w:cs="宋体"/>
          <w:bCs w:val="0"/>
          <w:color w:val="auto"/>
          <w:kern w:val="2"/>
          <w:sz w:val="21"/>
          <w:szCs w:val="21"/>
          <w:highlight w:val="none"/>
          <w:lang w:val="en-US" w:eastAsia="zh-Hans" w:bidi="ar-SA"/>
        </w:rPr>
        <w:t>政策</w:t>
      </w:r>
      <w:r>
        <w:rPr>
          <w:rFonts w:hint="eastAsia" w:ascii="宋体" w:hAnsi="宋体" w:eastAsia="宋体" w:cs="宋体"/>
          <w:bCs w:val="0"/>
          <w:color w:val="auto"/>
          <w:kern w:val="2"/>
          <w:sz w:val="21"/>
          <w:szCs w:val="21"/>
          <w:highlight w:val="none"/>
          <w:lang w:val="en-US" w:eastAsia="zh-CN" w:bidi="ar-SA"/>
        </w:rPr>
        <w:t>要求进行调整。</w:t>
      </w:r>
    </w:p>
    <w:p w14:paraId="405F69D1">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2.本项目合同金额包含供货、建安费、垃圾清运费、安装、测试、验收直至取得验收合格证明文件及材料价之任何市场差价、管理费、综合费率、保险</w:t>
      </w:r>
      <w:r>
        <w:rPr>
          <w:rFonts w:hint="eastAsia" w:ascii="宋体" w:hAnsi="宋体" w:eastAsia="宋体" w:cs="宋体"/>
          <w:bCs w:val="0"/>
          <w:color w:val="auto"/>
          <w:kern w:val="2"/>
          <w:sz w:val="21"/>
          <w:szCs w:val="21"/>
          <w:highlight w:val="none"/>
          <w:lang w:val="en-US" w:eastAsia="zh-Hans" w:bidi="ar-SA"/>
        </w:rPr>
        <w:t>费</w:t>
      </w:r>
      <w:r>
        <w:rPr>
          <w:rFonts w:hint="eastAsia" w:ascii="宋体" w:hAnsi="宋体" w:eastAsia="宋体" w:cs="宋体"/>
          <w:bCs w:val="0"/>
          <w:color w:val="auto"/>
          <w:kern w:val="2"/>
          <w:sz w:val="21"/>
          <w:szCs w:val="21"/>
          <w:highlight w:val="none"/>
          <w:lang w:val="en-US" w:eastAsia="zh-CN" w:bidi="ar-SA"/>
        </w:rPr>
        <w:t>、利润和国家规定的应由乙方承担的任何收费、税金、必须的加班费、费率或汇率的变动、专利费、运输、货品迟到工地的窝工费等直至交付甲方正常使用的所有费用</w:t>
      </w:r>
      <w:r>
        <w:rPr>
          <w:rFonts w:hint="eastAsia" w:ascii="宋体" w:hAnsi="宋体" w:cs="宋体"/>
          <w:bCs w:val="0"/>
          <w:color w:val="auto"/>
          <w:kern w:val="2"/>
          <w:sz w:val="21"/>
          <w:szCs w:val="21"/>
          <w:highlight w:val="none"/>
          <w:lang w:val="en-US" w:eastAsia="zh-CN" w:bidi="ar-SA"/>
        </w:rPr>
        <w:t>；</w:t>
      </w:r>
      <w:r>
        <w:rPr>
          <w:rFonts w:hint="eastAsia" w:ascii="宋体" w:hAnsi="宋体" w:eastAsia="宋体" w:cs="宋体"/>
          <w:bCs w:val="0"/>
          <w:color w:val="auto"/>
          <w:kern w:val="2"/>
          <w:sz w:val="21"/>
          <w:szCs w:val="21"/>
          <w:highlight w:val="none"/>
          <w:lang w:val="en-US" w:eastAsia="zh-CN" w:bidi="ar-SA"/>
        </w:rPr>
        <w:t>乙方根据项目预算金额及项目需求进行施工，建安费等费用不可超过本项目预算金额。乙方施工图预算超出本项目预算金额的，乙方须无偿为甲方修改施工图纸，直至甲方审定的施工图预算不超过本项目预算金额。双方约定条件范围内包工包料、包各项税费、材料购置费、安装费、运输费、装卸费、人工费、包安全文明施工措施费及合同实施过程中不可预见费用等乙方为履行本合同所发生的一切费用。</w:t>
      </w:r>
    </w:p>
    <w:p w14:paraId="16E53637">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3.付款方式：</w:t>
      </w:r>
    </w:p>
    <w:p w14:paraId="4D5CCC05">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3.1.预付款</w:t>
      </w:r>
    </w:p>
    <w:p w14:paraId="748E1F3E">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自施工图纸经甲方审查确认且乙方获甲方开工令之后,乙方可向甲方申请支付合同总金额的30%，即¥</w:t>
      </w:r>
      <w:r>
        <w:rPr>
          <w:rFonts w:hint="eastAsia" w:ascii="宋体" w:hAnsi="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元</w:t>
      </w:r>
      <w:r>
        <w:rPr>
          <w:rFonts w:hint="eastAsia" w:ascii="宋体" w:hAnsi="宋体" w:cs="宋体"/>
          <w:bCs w:val="0"/>
          <w:color w:val="auto"/>
          <w:kern w:val="2"/>
          <w:sz w:val="21"/>
          <w:szCs w:val="21"/>
          <w:highlight w:val="none"/>
          <w:lang w:val="en-US" w:eastAsia="zh-CN" w:bidi="ar-SA"/>
        </w:rPr>
        <w:t>；</w:t>
      </w:r>
      <w:r>
        <w:rPr>
          <w:rFonts w:hint="eastAsia" w:ascii="宋体" w:hAnsi="宋体" w:eastAsia="宋体" w:cs="宋体"/>
          <w:bCs w:val="0"/>
          <w:color w:val="auto"/>
          <w:kern w:val="2"/>
          <w:sz w:val="21"/>
          <w:szCs w:val="21"/>
          <w:highlight w:val="none"/>
          <w:lang w:val="en-US" w:eastAsia="zh-CN" w:bidi="ar-SA"/>
        </w:rPr>
        <w:t>（大写：</w:t>
      </w:r>
      <w:r>
        <w:rPr>
          <w:rFonts w:hint="eastAsia" w:ascii="宋体" w:hAnsi="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w:t>
      </w:r>
    </w:p>
    <w:p w14:paraId="5CFBD708">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3.2.进度款</w:t>
      </w:r>
    </w:p>
    <w:p w14:paraId="3C42E5D7">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乙方完成设备承台、电缆铺设施工、设备安装完毕后经甲、乙双方书面确认完成该施工进度后，乙方可向甲方申请支付合同总金额的40%,即¥</w:t>
      </w:r>
      <w:r>
        <w:rPr>
          <w:rFonts w:hint="eastAsia" w:ascii="宋体" w:hAnsi="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元</w:t>
      </w:r>
      <w:r>
        <w:rPr>
          <w:rFonts w:hint="eastAsia" w:ascii="宋体" w:hAnsi="宋体" w:cs="宋体"/>
          <w:bCs w:val="0"/>
          <w:color w:val="auto"/>
          <w:kern w:val="2"/>
          <w:sz w:val="21"/>
          <w:szCs w:val="21"/>
          <w:highlight w:val="none"/>
          <w:lang w:val="en-US" w:eastAsia="zh-CN" w:bidi="ar-SA"/>
        </w:rPr>
        <w:t>；</w:t>
      </w:r>
      <w:r>
        <w:rPr>
          <w:rFonts w:hint="eastAsia" w:ascii="宋体" w:hAnsi="宋体" w:eastAsia="宋体" w:cs="宋体"/>
          <w:bCs w:val="0"/>
          <w:color w:val="auto"/>
          <w:kern w:val="2"/>
          <w:sz w:val="21"/>
          <w:szCs w:val="21"/>
          <w:highlight w:val="none"/>
          <w:lang w:val="en-US" w:eastAsia="zh-CN" w:bidi="ar-SA"/>
        </w:rPr>
        <w:t>（大写：</w:t>
      </w:r>
      <w:r>
        <w:rPr>
          <w:rFonts w:hint="eastAsia" w:ascii="宋体" w:hAnsi="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w:t>
      </w:r>
    </w:p>
    <w:p w14:paraId="36CCAF71">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3.3.竣工验收款</w:t>
      </w:r>
    </w:p>
    <w:p w14:paraId="4FE186C0">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乙方</w:t>
      </w:r>
      <w:r>
        <w:rPr>
          <w:rFonts w:hint="eastAsia" w:ascii="宋体" w:hAnsi="宋体" w:eastAsia="宋体" w:cs="宋体"/>
          <w:bCs/>
          <w:color w:val="auto"/>
          <w:sz w:val="21"/>
          <w:szCs w:val="21"/>
          <w:highlight w:val="none"/>
          <w:lang w:val="en-US" w:eastAsia="zh-CN" w:bidi="ar-SA"/>
        </w:rPr>
        <w:t>完成并满足以下要求后</w:t>
      </w:r>
      <w:r>
        <w:rPr>
          <w:rFonts w:hint="eastAsia" w:ascii="宋体" w:hAnsi="宋体" w:eastAsia="宋体" w:cs="宋体"/>
          <w:bCs w:val="0"/>
          <w:color w:val="auto"/>
          <w:kern w:val="2"/>
          <w:sz w:val="21"/>
          <w:szCs w:val="21"/>
          <w:highlight w:val="none"/>
          <w:lang w:val="en-US" w:eastAsia="zh-CN" w:bidi="ar-SA"/>
        </w:rPr>
        <w:t>可向甲方申请竣工验收款：</w:t>
      </w:r>
    </w:p>
    <w:p w14:paraId="1F947E5A">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（1）本项目需完成通电调试且系统试运行正常</w:t>
      </w:r>
      <w:r>
        <w:rPr>
          <w:rFonts w:hint="eastAsia" w:ascii="宋体" w:hAnsi="宋体" w:cs="宋体"/>
          <w:bCs w:val="0"/>
          <w:color w:val="auto"/>
          <w:kern w:val="2"/>
          <w:sz w:val="21"/>
          <w:szCs w:val="21"/>
          <w:highlight w:val="none"/>
          <w:lang w:val="en-US" w:eastAsia="zh-CN" w:bidi="ar-SA"/>
        </w:rPr>
        <w:t>；</w:t>
      </w:r>
    </w:p>
    <w:p w14:paraId="4865F5C2">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（2）ModbusTCP协议及云平台对接要求：乙方的设备厂家需严格按照</w:t>
      </w:r>
      <w:bookmarkStart w:id="142" w:name="OLE_LINK3"/>
      <w:r>
        <w:rPr>
          <w:rFonts w:hint="eastAsia" w:ascii="宋体" w:hAnsi="宋体" w:eastAsia="宋体" w:cs="宋体"/>
          <w:bCs w:val="0"/>
          <w:color w:val="auto"/>
          <w:kern w:val="2"/>
          <w:sz w:val="21"/>
          <w:szCs w:val="21"/>
          <w:highlight w:val="none"/>
          <w:lang w:val="en-US" w:eastAsia="zh-CN" w:bidi="ar-SA"/>
        </w:rPr>
        <w:t>甲方提供的附件5《ModbusTCP规约点表》完成本地数据释放</w:t>
      </w:r>
      <w:bookmarkEnd w:id="142"/>
      <w:r>
        <w:rPr>
          <w:rFonts w:hint="eastAsia" w:ascii="宋体" w:hAnsi="宋体" w:eastAsia="宋体" w:cs="宋体"/>
          <w:bCs w:val="0"/>
          <w:color w:val="auto"/>
          <w:kern w:val="2"/>
          <w:sz w:val="21"/>
          <w:szCs w:val="21"/>
          <w:highlight w:val="none"/>
          <w:lang w:val="en-US" w:eastAsia="zh-CN" w:bidi="ar-SA"/>
        </w:rPr>
        <w:t>，并配合甲方完成本地硬件安装，本项目在甲方自有云平台上线运行，需实现全部数据正确展示、各类控制功能正常执行</w:t>
      </w:r>
      <w:r>
        <w:rPr>
          <w:rFonts w:hint="eastAsia" w:ascii="宋体" w:hAnsi="宋体" w:cs="宋体"/>
          <w:bCs w:val="0"/>
          <w:color w:val="auto"/>
          <w:kern w:val="2"/>
          <w:sz w:val="21"/>
          <w:szCs w:val="21"/>
          <w:highlight w:val="none"/>
          <w:lang w:val="en-US" w:eastAsia="zh-CN" w:bidi="ar-SA"/>
        </w:rPr>
        <w:t>；</w:t>
      </w:r>
    </w:p>
    <w:p w14:paraId="11E013D7">
      <w:pPr>
        <w:pageBreakBefore w:val="0"/>
        <w:widowControl w:val="0"/>
        <w:kinsoku/>
        <w:wordWrap/>
        <w:bidi w:val="0"/>
        <w:spacing w:after="0" w:line="360" w:lineRule="auto"/>
        <w:ind w:left="0" w:leftChars="0" w:firstLine="435" w:firstLineChars="0"/>
        <w:jc w:val="both"/>
        <w:rPr>
          <w:rFonts w:hint="eastAsia" w:ascii="宋体" w:hAnsi="宋体" w:eastAsia="宋体" w:cs="宋体"/>
          <w:bCs/>
          <w:color w:val="auto"/>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w:t>
      </w:r>
      <w:r>
        <w:rPr>
          <w:rFonts w:hint="eastAsia" w:ascii="宋体" w:hAnsi="宋体" w:eastAsia="宋体" w:cs="宋体"/>
          <w:b w:val="0"/>
          <w:bCs w:val="0"/>
          <w:color w:val="auto"/>
          <w:sz w:val="21"/>
          <w:szCs w:val="21"/>
          <w:highlight w:val="none"/>
          <w:lang w:val="en-US" w:eastAsia="zh-CN" w:bidi="ar-SA"/>
        </w:rPr>
        <w:t>甲方收到业主方第一个月的储能节能款</w:t>
      </w:r>
      <w:r>
        <w:rPr>
          <w:rFonts w:hint="eastAsia" w:ascii="宋体" w:hAnsi="宋体" w:cs="宋体"/>
          <w:bCs w:val="0"/>
          <w:color w:val="auto"/>
          <w:kern w:val="2"/>
          <w:sz w:val="21"/>
          <w:szCs w:val="21"/>
          <w:highlight w:val="none"/>
          <w:lang w:val="en-US" w:eastAsia="zh-CN" w:bidi="ar-SA"/>
        </w:rPr>
        <w:t>；</w:t>
      </w:r>
    </w:p>
    <w:p w14:paraId="6FD7DB4E">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（4）乙方按甲方要求完成项目竣工资料并出具双方加盖公章的竣工验收合格报告。竣工款支付至总合同结算金额的97%，即¥</w:t>
      </w:r>
      <w:r>
        <w:rPr>
          <w:rFonts w:hint="eastAsia" w:ascii="宋体" w:hAnsi="宋体" w:cs="宋体"/>
          <w:bCs w:val="0"/>
          <w:color w:val="auto"/>
          <w:kern w:val="2"/>
          <w:sz w:val="21"/>
          <w:szCs w:val="21"/>
          <w:highlight w:val="none"/>
          <w:u w:val="single"/>
          <w:lang w:val="en-US" w:eastAsia="zh-CN" w:bidi="ar-SA"/>
        </w:rPr>
        <w:t xml:space="preserve">               </w:t>
      </w:r>
      <w:r>
        <w:rPr>
          <w:rFonts w:hint="eastAsia" w:ascii="宋体" w:hAnsi="宋体" w:cs="宋体"/>
          <w:bCs w:val="0"/>
          <w:color w:val="auto"/>
          <w:kern w:val="2"/>
          <w:sz w:val="21"/>
          <w:szCs w:val="21"/>
          <w:highlight w:val="non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元</w:t>
      </w:r>
      <w:r>
        <w:rPr>
          <w:rFonts w:hint="eastAsia" w:ascii="宋体" w:hAnsi="宋体" w:cs="宋体"/>
          <w:bCs w:val="0"/>
          <w:color w:val="auto"/>
          <w:kern w:val="2"/>
          <w:sz w:val="21"/>
          <w:szCs w:val="21"/>
          <w:highlight w:val="none"/>
          <w:lang w:val="en-US" w:eastAsia="zh-CN" w:bidi="ar-SA"/>
        </w:rPr>
        <w:t>；</w:t>
      </w:r>
      <w:r>
        <w:rPr>
          <w:rFonts w:hint="eastAsia" w:ascii="宋体" w:hAnsi="宋体" w:eastAsia="宋体" w:cs="宋体"/>
          <w:bCs w:val="0"/>
          <w:color w:val="auto"/>
          <w:kern w:val="2"/>
          <w:sz w:val="21"/>
          <w:szCs w:val="21"/>
          <w:highlight w:val="none"/>
          <w:lang w:val="en-US" w:eastAsia="zh-CN" w:bidi="ar-SA"/>
        </w:rPr>
        <w:t>（大写</w:t>
      </w:r>
      <w:r>
        <w:rPr>
          <w:rFonts w:hint="eastAsia" w:ascii="宋体" w:hAnsi="宋体" w:eastAsia="宋体" w:cs="宋体"/>
          <w:bCs w:val="0"/>
          <w:color w:val="auto"/>
          <w:kern w:val="2"/>
          <w:sz w:val="21"/>
          <w:szCs w:val="21"/>
          <w:highlight w:val="none"/>
          <w:u w:val="single"/>
          <w:lang w:val="en-US" w:eastAsia="zh-CN" w:bidi="ar-SA"/>
        </w:rPr>
        <w:t>：</w:t>
      </w:r>
      <w:r>
        <w:rPr>
          <w:rFonts w:hint="eastAsia" w:ascii="宋体" w:hAnsi="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w:t>
      </w:r>
    </w:p>
    <w:p w14:paraId="302C581A">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3.4.质保款</w:t>
      </w:r>
    </w:p>
    <w:p w14:paraId="12AE2C82">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留本工程合同总结算金额的3%作为质量保修金，自本工程保修期届满后，甲方扣除乙方应付的维修、维护及质量损失赔偿金等金额后乙方可向甲方申请无息退还。</w:t>
      </w:r>
    </w:p>
    <w:p w14:paraId="41551E49">
      <w:pPr>
        <w:pageBreakBefore w:val="0"/>
        <w:kinsoku/>
        <w:wordWrap/>
        <w:bidi w:val="0"/>
        <w:spacing w:after="0" w:line="360" w:lineRule="auto"/>
        <w:outlineLvl w:val="0"/>
        <w:rPr>
          <w:rFonts w:hint="eastAsia" w:ascii="宋体" w:hAnsi="宋体" w:eastAsia="宋体" w:cs="宋体"/>
          <w:b/>
          <w:bCs/>
          <w:color w:val="auto"/>
          <w:sz w:val="21"/>
          <w:szCs w:val="21"/>
          <w:highlight w:val="none"/>
          <w:lang w:eastAsia="zh-CN"/>
        </w:rPr>
      </w:pPr>
      <w:bookmarkStart w:id="143" w:name="_Toc501"/>
      <w:r>
        <w:rPr>
          <w:rFonts w:hint="eastAsia" w:ascii="宋体" w:hAnsi="宋体" w:eastAsia="宋体" w:cs="宋体"/>
          <w:b/>
          <w:bCs/>
          <w:color w:val="auto"/>
          <w:sz w:val="21"/>
          <w:szCs w:val="21"/>
          <w:highlight w:val="none"/>
        </w:rPr>
        <w:t>第</w:t>
      </w:r>
      <w:r>
        <w:rPr>
          <w:rFonts w:hint="eastAsia" w:ascii="宋体" w:hAnsi="宋体" w:eastAsia="宋体" w:cs="宋体"/>
          <w:b/>
          <w:bCs/>
          <w:color w:val="auto"/>
          <w:sz w:val="21"/>
          <w:szCs w:val="21"/>
          <w:highlight w:val="none"/>
          <w:lang w:val="en-US" w:eastAsia="zh-CN"/>
        </w:rPr>
        <w:t>五</w:t>
      </w:r>
      <w:r>
        <w:rPr>
          <w:rFonts w:hint="eastAsia" w:ascii="宋体" w:hAnsi="宋体" w:eastAsia="宋体" w:cs="宋体"/>
          <w:b/>
          <w:bCs/>
          <w:color w:val="auto"/>
          <w:sz w:val="21"/>
          <w:szCs w:val="21"/>
          <w:highlight w:val="none"/>
        </w:rPr>
        <w:t>条　建筑材料、设备的供应和采购</w:t>
      </w:r>
      <w:bookmarkEnd w:id="143"/>
    </w:p>
    <w:p w14:paraId="33F7E839">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1.工程材料、设备由乙方采购。</w:t>
      </w:r>
    </w:p>
    <w:p w14:paraId="3D5A6D27">
      <w:pPr>
        <w:pageBreakBefore w:val="0"/>
        <w:widowControl w:val="0"/>
        <w:kinsoku/>
        <w:wordWrap/>
        <w:bidi w:val="0"/>
        <w:spacing w:after="0" w:line="360" w:lineRule="auto"/>
        <w:ind w:left="0" w:leftChars="0" w:firstLine="435" w:firstLineChars="0"/>
        <w:jc w:val="both"/>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2.乙方采购的设备，必须附有产品合格证和试验报告才能用于工程，甲方认为乙方提供的材料需要复验的，乙方应按要求提供复验报告。经复验符合质量要求的，方可用于工程，相关复验费用由甲方承担</w:t>
      </w:r>
      <w:r>
        <w:rPr>
          <w:rFonts w:hint="eastAsia" w:ascii="宋体" w:hAnsi="宋体" w:cs="宋体"/>
          <w:bCs w:val="0"/>
          <w:color w:val="auto"/>
          <w:kern w:val="2"/>
          <w:sz w:val="21"/>
          <w:szCs w:val="21"/>
          <w:highlight w:val="none"/>
          <w:lang w:val="en-US" w:eastAsia="zh-CN" w:bidi="ar-SA"/>
        </w:rPr>
        <w:t>；</w:t>
      </w:r>
      <w:r>
        <w:rPr>
          <w:rFonts w:hint="eastAsia" w:ascii="宋体" w:hAnsi="宋体" w:eastAsia="宋体" w:cs="宋体"/>
          <w:bCs w:val="0"/>
          <w:color w:val="auto"/>
          <w:kern w:val="2"/>
          <w:sz w:val="21"/>
          <w:szCs w:val="21"/>
          <w:highlight w:val="none"/>
          <w:lang w:val="en-US" w:eastAsia="zh-CN" w:bidi="ar-SA"/>
        </w:rPr>
        <w:t>复验不符合质量要求的，应退货处理，其复验费和退货损失由乙方承担。</w:t>
      </w:r>
    </w:p>
    <w:p w14:paraId="3466A094">
      <w:pPr>
        <w:pageBreakBefore w:val="0"/>
        <w:kinsoku/>
        <w:wordWrap/>
        <w:bidi w:val="0"/>
        <w:spacing w:after="0" w:line="360" w:lineRule="auto"/>
        <w:outlineLvl w:val="0"/>
        <w:rPr>
          <w:rFonts w:hint="eastAsia" w:ascii="宋体" w:hAnsi="宋体" w:eastAsia="宋体" w:cs="宋体"/>
          <w:b/>
          <w:bCs/>
          <w:color w:val="auto"/>
          <w:sz w:val="21"/>
          <w:szCs w:val="21"/>
          <w:highlight w:val="none"/>
          <w:lang w:eastAsia="zh-CN"/>
        </w:rPr>
      </w:pPr>
      <w:bookmarkStart w:id="144" w:name="_Toc4485"/>
      <w:r>
        <w:rPr>
          <w:rFonts w:hint="eastAsia" w:ascii="宋体" w:hAnsi="宋体" w:eastAsia="宋体" w:cs="宋体"/>
          <w:b/>
          <w:bCs/>
          <w:color w:val="auto"/>
          <w:sz w:val="21"/>
          <w:szCs w:val="21"/>
          <w:highlight w:val="none"/>
        </w:rPr>
        <w:t>第</w:t>
      </w:r>
      <w:r>
        <w:rPr>
          <w:rFonts w:hint="eastAsia" w:ascii="宋体" w:hAnsi="宋体" w:eastAsia="宋体" w:cs="宋体"/>
          <w:b/>
          <w:bCs/>
          <w:color w:val="auto"/>
          <w:sz w:val="21"/>
          <w:szCs w:val="21"/>
          <w:highlight w:val="none"/>
          <w:lang w:val="en-US" w:eastAsia="zh-CN"/>
        </w:rPr>
        <w:t>六</w:t>
      </w:r>
      <w:r>
        <w:rPr>
          <w:rFonts w:hint="eastAsia" w:ascii="宋体" w:hAnsi="宋体" w:eastAsia="宋体" w:cs="宋体"/>
          <w:b/>
          <w:bCs/>
          <w:color w:val="auto"/>
          <w:sz w:val="21"/>
          <w:szCs w:val="21"/>
          <w:highlight w:val="none"/>
        </w:rPr>
        <w:t>条　施工与设计</w:t>
      </w:r>
      <w:bookmarkEnd w:id="144"/>
    </w:p>
    <w:p w14:paraId="7823DE4C">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乙方负责聘请具有合格资质的设计单位出具正规设计图纸及相关设计资料，由甲方签字认定交付的设计图纸、说明和有关技术资料，作为施工的有效依据，乙方不得擅自修改。乙方对于设计过程中所需的设计资料或其他需甲方配合的事项应及时通知甲方,协助和参与甲方的设计资料的收集工作，协助甲方使方案设计及施工图设计获得批准。</w:t>
      </w:r>
    </w:p>
    <w:p w14:paraId="2D713A84">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2、自本合同签订之日起5个工作日内，乙方需提交项目的施工图，经甲方审查合格后，在3日内做好相关开工准备工作并向甲方提交项目的开工申请。</w:t>
      </w:r>
    </w:p>
    <w:p w14:paraId="3BD1A51D">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甲方因使用功能提出的变更内容，甲方应向乙方出具变更意向书，说明变更的目的、范围、变更内容以及变更的工程量及其进度和技术要求，并附有关图纸和文件。为不影响施工进度，乙方收到变更意向书后应先行实施，并及时做好现场签证。</w:t>
      </w:r>
    </w:p>
    <w:p w14:paraId="5AF4369F">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4.实现包干价格，除法律规定的条件外一般不变更包干价格。</w:t>
      </w:r>
    </w:p>
    <w:p w14:paraId="688530CF">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5、施工过程中必须遵守甲方的工程管理制度，接受甲方的上级、工程、安全部门的检查考核，相关管理制度详细资料在交底时提供。</w:t>
      </w:r>
    </w:p>
    <w:p w14:paraId="2350AEA8">
      <w:pPr>
        <w:pageBreakBefore w:val="0"/>
        <w:kinsoku/>
        <w:wordWrap/>
        <w:bidi w:val="0"/>
        <w:spacing w:after="0" w:line="360" w:lineRule="auto"/>
        <w:outlineLvl w:val="0"/>
        <w:rPr>
          <w:rFonts w:hint="eastAsia" w:ascii="宋体" w:hAnsi="宋体" w:eastAsia="宋体" w:cs="宋体"/>
          <w:b/>
          <w:bCs/>
          <w:color w:val="auto"/>
          <w:sz w:val="21"/>
          <w:szCs w:val="21"/>
          <w:highlight w:val="none"/>
        </w:rPr>
      </w:pPr>
      <w:bookmarkStart w:id="145" w:name="_Toc30697"/>
      <w:r>
        <w:rPr>
          <w:rFonts w:hint="eastAsia" w:ascii="宋体" w:hAnsi="宋体" w:eastAsia="宋体" w:cs="宋体"/>
          <w:b/>
          <w:bCs/>
          <w:color w:val="auto"/>
          <w:sz w:val="21"/>
          <w:szCs w:val="21"/>
          <w:highlight w:val="none"/>
        </w:rPr>
        <w:t>第</w:t>
      </w:r>
      <w:r>
        <w:rPr>
          <w:rFonts w:hint="eastAsia" w:ascii="宋体" w:hAnsi="宋体" w:eastAsia="宋体" w:cs="宋体"/>
          <w:b/>
          <w:bCs/>
          <w:color w:val="auto"/>
          <w:sz w:val="21"/>
          <w:szCs w:val="21"/>
          <w:highlight w:val="none"/>
          <w:lang w:val="en-US" w:eastAsia="zh-CN"/>
        </w:rPr>
        <w:t>七</w:t>
      </w:r>
      <w:r>
        <w:rPr>
          <w:rFonts w:hint="eastAsia" w:ascii="宋体" w:hAnsi="宋体" w:eastAsia="宋体" w:cs="宋体"/>
          <w:b/>
          <w:bCs/>
          <w:color w:val="auto"/>
          <w:sz w:val="21"/>
          <w:szCs w:val="21"/>
          <w:highlight w:val="none"/>
        </w:rPr>
        <w:t>条　工程质量管理及验收</w:t>
      </w:r>
      <w:bookmarkEnd w:id="145"/>
    </w:p>
    <w:p w14:paraId="1F84E612">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工程具备隐蔽条件，乙方先进行自检，并在隐蔽工程验收前24小时通知甲方验收。验收合格，甲方现场代表在验收记录上签字后，承包人可进行隐蔽工程继续施工。验收不合格，乙方予以整改后再交由甲方重新验收。</w:t>
      </w:r>
    </w:p>
    <w:p w14:paraId="14A6EA8E">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工程具备竣工验收条件，乙方向甲方提供完整竣工资料及竣工验收报告，包含：竣工图、有资质公司设计盖章图和现场签证单（如有）等。验收合格的，双方进行交接，验收不合格的，乙方应及时返工，费用由乙方自行承担，返工导致工期延误的，乙方应承担相应的违约责任。由于乙方原因造成质量事故，其返工费用由乙方承担，工期不变。</w:t>
      </w:r>
    </w:p>
    <w:p w14:paraId="45E1551E">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经甲、乙双方特别提出并约定，乙方应当在合同工程通过竣工验收后90日内为甲方完成合同工程中低压工程部分的并网申请工作直至最终完成低压并网，否则甲方有权不支付验收款及其他任何款项。同时，需要特别明确的是，因工程发包的不可分割性（低压并网和低压接入并存的接入方式）及基于支付风险的商业考量和违约责任分配，乙方清晰知晓并承诺：在合同所涉低压工程成功并网前，即使甲方已对合同工程完成竣工验收或已实际使用工程中的非低压工程部分，乙方仍无权要求甲方就合同工程的整体或单独部分（无论该单独部分是否可独立核算）支付验收款及其他任何款项。除此之外，乙方清晰知晓因低压工程并网所产生的一切费用（包括但不限于设备整改费用、检验报告出具费用、因并网所产生的各单位协调费用等各费用）均由其自行承担。</w:t>
      </w:r>
    </w:p>
    <w:p w14:paraId="17C5E9A1">
      <w:pPr>
        <w:pageBreakBefore w:val="0"/>
        <w:kinsoku/>
        <w:wordWrap/>
        <w:bidi w:val="0"/>
        <w:spacing w:after="0" w:line="360" w:lineRule="auto"/>
        <w:ind w:firstLine="420" w:firstLineChars="200"/>
        <w:rPr>
          <w:rFonts w:hint="eastAsia" w:ascii="宋体" w:hAnsi="宋体" w:eastAsia="宋体" w:cs="宋体"/>
          <w:b/>
          <w:bCs/>
          <w:color w:val="auto"/>
          <w:sz w:val="21"/>
          <w:szCs w:val="21"/>
          <w:highlight w:val="none"/>
        </w:rPr>
      </w:pPr>
      <w:r>
        <w:rPr>
          <w:rFonts w:hint="eastAsia" w:ascii="宋体" w:hAnsi="宋体" w:eastAsia="宋体" w:cs="宋体"/>
          <w:bCs w:val="0"/>
          <w:color w:val="auto"/>
          <w:kern w:val="2"/>
          <w:sz w:val="21"/>
          <w:szCs w:val="21"/>
          <w:highlight w:val="none"/>
          <w:lang w:val="en-US" w:eastAsia="zh-CN" w:bidi="ar-SA"/>
        </w:rPr>
        <w:t>4.工程质量满足：电力行业相关制度标准、国标以及该项目签署的《技术协议》要求见附件：技术协议。</w:t>
      </w:r>
    </w:p>
    <w:p w14:paraId="0AACCD62">
      <w:pPr>
        <w:pageBreakBefore w:val="0"/>
        <w:kinsoku/>
        <w:wordWrap/>
        <w:bidi w:val="0"/>
        <w:spacing w:after="0" w:line="360" w:lineRule="auto"/>
        <w:outlineLvl w:val="0"/>
        <w:rPr>
          <w:rFonts w:hint="eastAsia" w:ascii="宋体" w:hAnsi="宋体" w:eastAsia="宋体" w:cs="宋体"/>
          <w:b/>
          <w:bCs/>
          <w:color w:val="auto"/>
          <w:sz w:val="21"/>
          <w:szCs w:val="21"/>
          <w:highlight w:val="none"/>
        </w:rPr>
      </w:pPr>
      <w:bookmarkStart w:id="146" w:name="_Toc8501"/>
      <w:r>
        <w:rPr>
          <w:rFonts w:hint="eastAsia" w:ascii="宋体" w:hAnsi="宋体" w:eastAsia="宋体" w:cs="宋体"/>
          <w:b/>
          <w:bCs/>
          <w:color w:val="auto"/>
          <w:sz w:val="21"/>
          <w:szCs w:val="21"/>
          <w:highlight w:val="none"/>
        </w:rPr>
        <w:t>第</w:t>
      </w:r>
      <w:r>
        <w:rPr>
          <w:rFonts w:hint="eastAsia" w:ascii="宋体" w:hAnsi="宋体" w:eastAsia="宋体" w:cs="宋体"/>
          <w:b/>
          <w:bCs/>
          <w:color w:val="auto"/>
          <w:sz w:val="21"/>
          <w:szCs w:val="21"/>
          <w:highlight w:val="none"/>
          <w:lang w:val="en-US" w:eastAsia="zh-CN"/>
        </w:rPr>
        <w:t>八</w:t>
      </w:r>
      <w:r>
        <w:rPr>
          <w:rFonts w:hint="eastAsia" w:ascii="宋体" w:hAnsi="宋体" w:eastAsia="宋体" w:cs="宋体"/>
          <w:b/>
          <w:bCs/>
          <w:color w:val="auto"/>
          <w:sz w:val="21"/>
          <w:szCs w:val="21"/>
          <w:highlight w:val="none"/>
        </w:rPr>
        <w:t>条　安全施工</w:t>
      </w:r>
      <w:bookmarkEnd w:id="146"/>
    </w:p>
    <w:p w14:paraId="3820F4B3">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乙方在获得甲方开具的开工令后方可进场施工，未经甲方允许乙方自行施工的一切后果由乙方承担。乙方应遵守工程建设安全生产有关管理规定，严格按安全标准组织施工，乙方应进行现场管理，采取必要的安全防护措施，消除事故隐患。由于乙方安全措施不力造成事故的责任和因此发生的费用，由乙方承担。</w:t>
      </w:r>
    </w:p>
    <w:p w14:paraId="6DD26A88">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乙方应与作业人员签订劳动合同，购买社保及相关待遇的申领、发放，负责项目安装工人的用工关系及社会保险等。因乙方与实际施工人之间的包括但不限于薪资、工伤等劳动关系争议或一切债权债务关系均由乙方负责，与甲方无关。乙方作业过程中发生安全事故，造成甲方工作人员或第三人、人身伤害或财产损失的，乙方应当及时向保险公司</w:t>
      </w:r>
      <w:r>
        <w:rPr>
          <w:rFonts w:hint="eastAsia" w:ascii="宋体" w:hAnsi="宋体" w:eastAsia="宋体" w:cs="宋体"/>
          <w:bCs w:val="0"/>
          <w:color w:val="auto"/>
          <w:kern w:val="2"/>
          <w:sz w:val="21"/>
          <w:szCs w:val="21"/>
          <w:highlight w:val="none"/>
          <w:lang w:val="en-US" w:eastAsia="zh-Hans" w:bidi="ar-SA"/>
        </w:rPr>
        <w:t>或社保部门</w:t>
      </w:r>
      <w:r>
        <w:rPr>
          <w:rFonts w:hint="eastAsia" w:ascii="宋体" w:hAnsi="宋体" w:eastAsia="宋体" w:cs="宋体"/>
          <w:bCs w:val="0"/>
          <w:color w:val="auto"/>
          <w:kern w:val="2"/>
          <w:sz w:val="21"/>
          <w:szCs w:val="21"/>
          <w:highlight w:val="none"/>
          <w:lang w:val="en-US" w:eastAsia="zh-CN" w:bidi="ar-SA"/>
        </w:rPr>
        <w:t>申请赔付</w:t>
      </w:r>
      <w:r>
        <w:rPr>
          <w:rFonts w:hint="eastAsia" w:ascii="宋体" w:hAnsi="宋体" w:cs="宋体"/>
          <w:bCs w:val="0"/>
          <w:color w:val="auto"/>
          <w:kern w:val="2"/>
          <w:sz w:val="21"/>
          <w:szCs w:val="21"/>
          <w:highlight w:val="none"/>
          <w:lang w:val="en-US" w:eastAsia="zh-CN" w:bidi="ar-SA"/>
        </w:rPr>
        <w:t>；</w:t>
      </w:r>
      <w:r>
        <w:rPr>
          <w:rFonts w:hint="eastAsia" w:ascii="宋体" w:hAnsi="宋体" w:eastAsia="宋体" w:cs="宋体"/>
          <w:bCs w:val="0"/>
          <w:color w:val="auto"/>
          <w:kern w:val="2"/>
          <w:sz w:val="21"/>
          <w:szCs w:val="21"/>
          <w:highlight w:val="none"/>
          <w:lang w:val="en-US" w:eastAsia="zh-CN" w:bidi="ar-SA"/>
        </w:rPr>
        <w:t>如因乙方未购买保险</w:t>
      </w:r>
      <w:r>
        <w:rPr>
          <w:rFonts w:hint="eastAsia" w:ascii="宋体" w:hAnsi="宋体" w:eastAsia="宋体" w:cs="宋体"/>
          <w:bCs w:val="0"/>
          <w:color w:val="auto"/>
          <w:kern w:val="2"/>
          <w:sz w:val="21"/>
          <w:szCs w:val="21"/>
          <w:highlight w:val="none"/>
          <w:lang w:val="en-US" w:eastAsia="zh-Hans" w:bidi="ar-SA"/>
        </w:rPr>
        <w:t>或社保</w:t>
      </w:r>
      <w:r>
        <w:rPr>
          <w:rFonts w:hint="eastAsia" w:ascii="宋体" w:hAnsi="宋体" w:eastAsia="宋体" w:cs="宋体"/>
          <w:bCs w:val="0"/>
          <w:color w:val="auto"/>
          <w:kern w:val="2"/>
          <w:sz w:val="21"/>
          <w:szCs w:val="21"/>
          <w:highlight w:val="none"/>
          <w:lang w:val="en-US" w:eastAsia="zh-CN" w:bidi="ar-SA"/>
        </w:rPr>
        <w:t>及乙方原因导致的安全事故，乙方应当承担全部赔偿责任。</w:t>
      </w:r>
    </w:p>
    <w:p w14:paraId="1EF8AC2D">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3.乙方需针对本工程购买工程相关保险。合同期内发生重大消防安全事故，事故责任的最终认定以消防安全事故专业认定机构或司法机构认定结果为准。乙方应当及时向保险公司申请赔付</w:t>
      </w:r>
      <w:r>
        <w:rPr>
          <w:rFonts w:hint="eastAsia" w:ascii="宋体" w:hAnsi="宋体" w:cs="宋体"/>
          <w:bCs w:val="0"/>
          <w:color w:val="auto"/>
          <w:kern w:val="2"/>
          <w:sz w:val="21"/>
          <w:szCs w:val="21"/>
          <w:highlight w:val="none"/>
          <w:lang w:val="en-US" w:eastAsia="zh-CN" w:bidi="ar-SA"/>
        </w:rPr>
        <w:t>；</w:t>
      </w:r>
      <w:r>
        <w:rPr>
          <w:rFonts w:hint="eastAsia" w:ascii="宋体" w:hAnsi="宋体" w:eastAsia="宋体" w:cs="宋体"/>
          <w:bCs w:val="0"/>
          <w:color w:val="auto"/>
          <w:kern w:val="2"/>
          <w:sz w:val="21"/>
          <w:szCs w:val="21"/>
          <w:highlight w:val="none"/>
          <w:lang w:val="en-US" w:eastAsia="zh-CN" w:bidi="ar-SA"/>
        </w:rPr>
        <w:t>如因乙方任何操作不当而导致火情发生或火情发生时不能及时遏制火情，经公安消防部门鉴定确实是乙方未及时报警或操作不当导致的，甲方有权单方解除合同，乙方须赔偿甲方因此而造成的直接损失及第三方的损失，并</w:t>
      </w:r>
      <w:r>
        <w:rPr>
          <w:rFonts w:hint="eastAsia" w:ascii="宋体" w:hAnsi="宋体" w:eastAsia="宋体" w:cs="宋体"/>
          <w:bCs w:val="0"/>
          <w:color w:val="auto"/>
          <w:kern w:val="2"/>
          <w:sz w:val="21"/>
          <w:szCs w:val="21"/>
          <w:highlight w:val="none"/>
          <w:lang w:val="en-US" w:eastAsia="zh-Hans" w:bidi="ar-SA"/>
        </w:rPr>
        <w:t>向甲方支付</w:t>
      </w:r>
      <w:r>
        <w:rPr>
          <w:rFonts w:hint="eastAsia" w:ascii="宋体" w:hAnsi="宋体" w:eastAsia="宋体" w:cs="宋体"/>
          <w:bCs w:val="0"/>
          <w:color w:val="auto"/>
          <w:kern w:val="2"/>
          <w:sz w:val="21"/>
          <w:szCs w:val="21"/>
          <w:highlight w:val="none"/>
          <w:lang w:val="en-US" w:eastAsia="zh-CN" w:bidi="ar-SA"/>
        </w:rPr>
        <w:t>合同价款的15%作为违约金。</w:t>
      </w:r>
    </w:p>
    <w:p w14:paraId="39C7D110">
      <w:pPr>
        <w:pageBreakBefore w:val="0"/>
        <w:kinsoku/>
        <w:wordWrap/>
        <w:bidi w:val="0"/>
        <w:spacing w:after="0" w:line="360" w:lineRule="auto"/>
        <w:outlineLvl w:val="0"/>
        <w:rPr>
          <w:rFonts w:hint="eastAsia" w:ascii="宋体" w:hAnsi="宋体" w:eastAsia="宋体" w:cs="宋体"/>
          <w:b/>
          <w:bCs/>
          <w:color w:val="auto"/>
          <w:sz w:val="21"/>
          <w:szCs w:val="21"/>
          <w:highlight w:val="none"/>
        </w:rPr>
      </w:pPr>
      <w:bookmarkStart w:id="147" w:name="_Toc31964"/>
      <w:r>
        <w:rPr>
          <w:rFonts w:hint="eastAsia" w:ascii="宋体" w:hAnsi="宋体" w:eastAsia="宋体" w:cs="宋体"/>
          <w:b/>
          <w:bCs/>
          <w:color w:val="auto"/>
          <w:sz w:val="21"/>
          <w:szCs w:val="21"/>
          <w:highlight w:val="none"/>
        </w:rPr>
        <w:t>第</w:t>
      </w:r>
      <w:r>
        <w:rPr>
          <w:rFonts w:hint="eastAsia" w:ascii="宋体" w:hAnsi="宋体" w:eastAsia="宋体" w:cs="宋体"/>
          <w:b/>
          <w:bCs/>
          <w:color w:val="auto"/>
          <w:sz w:val="21"/>
          <w:szCs w:val="21"/>
          <w:highlight w:val="none"/>
          <w:lang w:val="en-US" w:eastAsia="zh-CN"/>
        </w:rPr>
        <w:t>九</w:t>
      </w:r>
      <w:r>
        <w:rPr>
          <w:rFonts w:hint="eastAsia" w:ascii="宋体" w:hAnsi="宋体" w:eastAsia="宋体" w:cs="宋体"/>
          <w:b/>
          <w:bCs/>
          <w:color w:val="auto"/>
          <w:sz w:val="21"/>
          <w:szCs w:val="21"/>
          <w:highlight w:val="none"/>
        </w:rPr>
        <w:t>条　质量保修</w:t>
      </w:r>
      <w:bookmarkEnd w:id="147"/>
    </w:p>
    <w:p w14:paraId="2694B289">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1.本工程施工保修期限为</w:t>
      </w:r>
      <w:r>
        <w:rPr>
          <w:rFonts w:hint="eastAsia" w:ascii="宋体" w:hAnsi="宋体" w:eastAsia="宋体" w:cs="宋体"/>
          <w:bCs w:val="0"/>
          <w:color w:val="auto"/>
          <w:kern w:val="2"/>
          <w:sz w:val="21"/>
          <w:szCs w:val="21"/>
          <w:highlight w:val="none"/>
          <w:u w:val="single"/>
          <w:lang w:val="en-US" w:eastAsia="zh-CN" w:bidi="ar-SA"/>
        </w:rPr>
        <w:t>壹</w:t>
      </w:r>
      <w:r>
        <w:rPr>
          <w:rFonts w:hint="eastAsia" w:ascii="宋体" w:hAnsi="宋体" w:eastAsia="宋体" w:cs="宋体"/>
          <w:bCs w:val="0"/>
          <w:color w:val="auto"/>
          <w:kern w:val="2"/>
          <w:sz w:val="21"/>
          <w:szCs w:val="21"/>
          <w:highlight w:val="none"/>
          <w:lang w:val="en-US" w:eastAsia="zh-CN" w:bidi="ar-SA"/>
        </w:rPr>
        <w:t>年，电化学储能设备整体保修期限为5年，电池系统寿命不少于10年或电池循环次数6500次，6500次循环剩余容量≧原始容量的70%且放电倍率0.5C，EOL≧70%（以先到为准），自工程竣工并经甲方书面验收合格起算。保修期内，如出现相关质量异常或使用问题，乙方应无偿进行维修处理。</w:t>
      </w:r>
    </w:p>
    <w:p w14:paraId="2BF672C4">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在免费保修期内，乙方应保证通讯畅通，令甲方能够随时同乙方取得联系。乙方在接到甲方维修通知后24小时内到达现场并及时处理。如乙方更换保修人员或联系电话，应及时通知甲方。若因乙方通讯不畅或故意不接，拖延推诿，甲方将视为乙方放弃保修责任，有权自行解决（包括聘请第三方维修等），由乙方承担所有费用。</w:t>
      </w:r>
    </w:p>
    <w:p w14:paraId="45571331">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乙方保修联系人：</w:t>
      </w:r>
      <w:r>
        <w:rPr>
          <w:rFonts w:hint="eastAsia" w:ascii="宋体" w:hAnsi="宋体" w:cs="宋体"/>
          <w:bCs w:val="0"/>
          <w:color w:val="auto"/>
          <w:kern w:val="2"/>
          <w:sz w:val="21"/>
          <w:szCs w:val="21"/>
          <w:highlight w:val="none"/>
          <w:lang w:val="en-US" w:eastAsia="zh-CN" w:bidi="ar-SA"/>
        </w:rPr>
        <w:t>；</w:t>
      </w:r>
      <w:r>
        <w:rPr>
          <w:rFonts w:hint="eastAsia" w:ascii="宋体" w:hAnsi="宋体" w:eastAsia="宋体" w:cs="宋体"/>
          <w:bCs w:val="0"/>
          <w:color w:val="auto"/>
          <w:kern w:val="2"/>
          <w:sz w:val="21"/>
          <w:szCs w:val="21"/>
          <w:highlight w:val="none"/>
          <w:lang w:val="en-US" w:eastAsia="zh-CN" w:bidi="ar-SA"/>
        </w:rPr>
        <w:t>乙方保修联系电话：</w:t>
      </w:r>
    </w:p>
    <w:p w14:paraId="711DF4E4">
      <w:pPr>
        <w:pageBreakBefore w:val="0"/>
        <w:numPr>
          <w:ilvl w:val="0"/>
          <w:numId w:val="0"/>
        </w:numPr>
        <w:kinsoku/>
        <w:wordWrap/>
        <w:bidi w:val="0"/>
        <w:spacing w:after="0" w:line="360" w:lineRule="auto"/>
        <w:outlineLvl w:val="0"/>
        <w:rPr>
          <w:rFonts w:hint="eastAsia" w:ascii="宋体" w:hAnsi="宋体" w:eastAsia="宋体" w:cs="宋体"/>
          <w:b/>
          <w:bCs/>
          <w:color w:val="auto"/>
          <w:sz w:val="21"/>
          <w:szCs w:val="21"/>
          <w:highlight w:val="none"/>
        </w:rPr>
      </w:pPr>
      <w:bookmarkStart w:id="148" w:name="_Toc23665"/>
      <w:r>
        <w:rPr>
          <w:rFonts w:hint="eastAsia" w:ascii="宋体" w:hAnsi="宋体" w:eastAsia="宋体" w:cs="宋体"/>
          <w:b/>
          <w:bCs/>
          <w:color w:val="auto"/>
          <w:sz w:val="21"/>
          <w:szCs w:val="21"/>
          <w:highlight w:val="none"/>
          <w:lang w:val="en-US" w:eastAsia="zh-CN"/>
        </w:rPr>
        <w:t>第十条</w:t>
      </w:r>
      <w:r>
        <w:rPr>
          <w:rFonts w:hint="eastAsia" w:ascii="宋体" w:hAnsi="宋体" w:eastAsia="宋体" w:cs="宋体"/>
          <w:b/>
          <w:bCs/>
          <w:color w:val="auto"/>
          <w:sz w:val="21"/>
          <w:szCs w:val="21"/>
          <w:highlight w:val="none"/>
        </w:rPr>
        <w:t>违约责任</w:t>
      </w:r>
      <w:bookmarkEnd w:id="148"/>
    </w:p>
    <w:p w14:paraId="5C3E7D35">
      <w:pPr>
        <w:pageBreakBefore w:val="0"/>
        <w:numPr>
          <w:ilvl w:val="0"/>
          <w:numId w:val="7"/>
        </w:numPr>
        <w:kinsoku/>
        <w:wordWrap/>
        <w:bidi w:val="0"/>
        <w:spacing w:after="0" w:line="360" w:lineRule="auto"/>
        <w:outlineLvl w:val="0"/>
        <w:rPr>
          <w:rFonts w:hint="eastAsia" w:ascii="宋体" w:hAnsi="宋体" w:eastAsia="宋体" w:cs="宋体"/>
          <w:b/>
          <w:bCs/>
          <w:color w:val="auto"/>
          <w:sz w:val="21"/>
          <w:szCs w:val="21"/>
          <w:highlight w:val="none"/>
          <w:lang w:val="en-US" w:eastAsia="zh-CN"/>
        </w:rPr>
      </w:pPr>
      <w:bookmarkStart w:id="149" w:name="_Toc14978"/>
      <w:r>
        <w:rPr>
          <w:rFonts w:hint="eastAsia" w:ascii="宋体" w:hAnsi="宋体" w:eastAsia="宋体" w:cs="宋体"/>
          <w:b/>
          <w:bCs/>
          <w:color w:val="auto"/>
          <w:sz w:val="21"/>
          <w:szCs w:val="21"/>
          <w:highlight w:val="none"/>
          <w:lang w:val="en-US" w:eastAsia="zh-CN"/>
        </w:rPr>
        <w:t>甲方违约责任</w:t>
      </w:r>
      <w:bookmarkEnd w:id="149"/>
    </w:p>
    <w:p w14:paraId="6B3E0307">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若甲方无正当理由延期支付工程款的，乙方可向甲方发出履约通知，甲方在收到通知后仍不按照约定支付工程款的，乙方可以停工并顺延工期且不承担任何违约责任，甲方应当从应付之日起向乙方支付应付工程款的利息，并赔偿因此给乙方造成的停工、窝工损失。</w:t>
      </w:r>
    </w:p>
    <w:p w14:paraId="4887F099">
      <w:pPr>
        <w:pageBreakBefore w:val="0"/>
        <w:numPr>
          <w:ilvl w:val="-1"/>
          <w:numId w:val="0"/>
        </w:numPr>
        <w:kinsoku/>
        <w:wordWrap/>
        <w:bidi w:val="0"/>
        <w:spacing w:after="0" w:line="360" w:lineRule="auto"/>
        <w:outlineLvl w:val="0"/>
        <w:rPr>
          <w:rFonts w:hint="eastAsia" w:ascii="宋体" w:hAnsi="宋体" w:eastAsia="宋体" w:cs="宋体"/>
          <w:b/>
          <w:bCs/>
          <w:color w:val="auto"/>
          <w:sz w:val="21"/>
          <w:szCs w:val="21"/>
          <w:highlight w:val="none"/>
          <w:lang w:val="en-US" w:eastAsia="zh-CN"/>
        </w:rPr>
      </w:pPr>
      <w:bookmarkStart w:id="150" w:name="_Toc27788"/>
      <w:r>
        <w:rPr>
          <w:rFonts w:hint="eastAsia" w:ascii="宋体" w:hAnsi="宋体" w:eastAsia="宋体" w:cs="宋体"/>
          <w:b/>
          <w:bCs/>
          <w:color w:val="auto"/>
          <w:sz w:val="21"/>
          <w:szCs w:val="21"/>
          <w:highlight w:val="none"/>
          <w:lang w:val="en-US" w:eastAsia="zh-CN"/>
        </w:rPr>
        <w:t>（二）乙方违约责任</w:t>
      </w:r>
      <w:bookmarkEnd w:id="150"/>
    </w:p>
    <w:p w14:paraId="7C1A7F3C">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1.由于乙方违法甲方的工程、安全管理制度，接受甲方相关部门的按照开工交底前双方确认的制度执行处罚，罚款金额另外支付，不在工程款项中扣除。</w:t>
      </w:r>
    </w:p>
    <w:p w14:paraId="66964A73">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因乙方原因致使工程质量不符合约定的，甲方有权要求乙方在合理期限内无偿修理或者返工。此外乙方应赔偿因此给甲方造成的直接损失与相关费用(包括但不限于守约方为维护自己的合法权益而支付的律师费、公证费、调查费、诉讼费、保全费、保全保险费等相关各项费用)。</w:t>
      </w:r>
    </w:p>
    <w:p w14:paraId="1A03151C">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3.因乙方原因导致工期延</w:t>
      </w:r>
      <w:r>
        <w:rPr>
          <w:rFonts w:hint="eastAsia" w:ascii="宋体" w:hAnsi="宋体" w:eastAsia="宋体" w:cs="宋体"/>
          <w:bCs w:val="0"/>
          <w:color w:val="auto"/>
          <w:kern w:val="2"/>
          <w:sz w:val="21"/>
          <w:szCs w:val="21"/>
          <w:highlight w:val="none"/>
          <w:lang w:val="en-US" w:eastAsia="zh-Hans" w:bidi="ar-SA"/>
        </w:rPr>
        <w:t>期</w:t>
      </w:r>
      <w:r>
        <w:rPr>
          <w:rFonts w:hint="eastAsia" w:ascii="宋体" w:hAnsi="宋体" w:eastAsia="宋体" w:cs="宋体"/>
          <w:bCs w:val="0"/>
          <w:color w:val="auto"/>
          <w:kern w:val="2"/>
          <w:sz w:val="21"/>
          <w:szCs w:val="21"/>
          <w:highlight w:val="none"/>
          <w:lang w:val="en-US" w:eastAsia="zh-CN" w:bidi="ar-SA"/>
        </w:rPr>
        <w:t>的，乙方应当承担违约责任，以合同价款为基数，向甲方赔偿</w:t>
      </w:r>
      <w:r>
        <w:rPr>
          <w:rFonts w:hint="eastAsia" w:ascii="宋体" w:hAnsi="宋体" w:cs="宋体"/>
          <w:bCs w:val="0"/>
          <w:color w:val="auto"/>
          <w:kern w:val="2"/>
          <w:sz w:val="21"/>
          <w:szCs w:val="21"/>
          <w:highlight w:val="none"/>
          <w:lang w:val="en-US" w:eastAsia="zh-CN" w:bidi="ar-SA"/>
        </w:rPr>
        <w:t>；</w:t>
      </w:r>
      <w:r>
        <w:rPr>
          <w:rFonts w:hint="eastAsia" w:ascii="宋体" w:hAnsi="宋体" w:eastAsia="宋体" w:cs="宋体"/>
          <w:bCs w:val="0"/>
          <w:color w:val="auto"/>
          <w:kern w:val="2"/>
          <w:sz w:val="21"/>
          <w:szCs w:val="21"/>
          <w:highlight w:val="none"/>
          <w:lang w:val="en-US" w:eastAsia="zh-CN" w:bidi="ar-SA"/>
        </w:rPr>
        <w:t>如逾期超15日，甲方要求乙方承担违约金的同时</w:t>
      </w:r>
      <w:r>
        <w:rPr>
          <w:rFonts w:hint="eastAsia" w:ascii="宋体" w:hAnsi="宋体" w:eastAsia="宋体" w:cs="宋体"/>
          <w:bCs w:val="0"/>
          <w:color w:val="auto"/>
          <w:kern w:val="2"/>
          <w:sz w:val="21"/>
          <w:szCs w:val="21"/>
          <w:highlight w:val="none"/>
          <w:lang w:val="en-US" w:eastAsia="zh-Hans" w:bidi="ar-SA"/>
        </w:rPr>
        <w:t>有权</w:t>
      </w:r>
      <w:r>
        <w:rPr>
          <w:rFonts w:hint="eastAsia" w:ascii="宋体" w:hAnsi="宋体" w:eastAsia="宋体" w:cs="宋体"/>
          <w:bCs w:val="0"/>
          <w:color w:val="auto"/>
          <w:kern w:val="2"/>
          <w:sz w:val="21"/>
          <w:szCs w:val="21"/>
          <w:highlight w:val="none"/>
          <w:lang w:val="en-US" w:eastAsia="zh-CN" w:bidi="ar-SA"/>
        </w:rPr>
        <w:t>单方解除本合同，违约金最高不超过每日万分之三的违约金</w:t>
      </w:r>
      <w:r>
        <w:rPr>
          <w:rFonts w:hint="eastAsia" w:ascii="宋体" w:hAnsi="宋体" w:cs="宋体"/>
          <w:bCs w:val="0"/>
          <w:color w:val="auto"/>
          <w:kern w:val="2"/>
          <w:sz w:val="21"/>
          <w:szCs w:val="21"/>
          <w:highlight w:val="none"/>
          <w:lang w:val="en-US" w:eastAsia="zh-CN" w:bidi="ar-SA"/>
        </w:rPr>
        <w:t>；</w:t>
      </w:r>
      <w:r>
        <w:rPr>
          <w:rFonts w:hint="eastAsia" w:ascii="宋体" w:hAnsi="宋体" w:eastAsia="宋体" w:cs="宋体"/>
          <w:bCs w:val="0"/>
          <w:color w:val="auto"/>
          <w:kern w:val="2"/>
          <w:sz w:val="21"/>
          <w:szCs w:val="21"/>
          <w:highlight w:val="none"/>
          <w:lang w:val="en-US" w:eastAsia="zh-CN" w:bidi="ar-SA"/>
        </w:rPr>
        <w:t>如逾期超15日，甲方要求乙方承担违约金的同时</w:t>
      </w:r>
      <w:r>
        <w:rPr>
          <w:rFonts w:hint="eastAsia" w:ascii="宋体" w:hAnsi="宋体" w:eastAsia="宋体" w:cs="宋体"/>
          <w:bCs w:val="0"/>
          <w:color w:val="auto"/>
          <w:kern w:val="2"/>
          <w:sz w:val="21"/>
          <w:szCs w:val="21"/>
          <w:highlight w:val="none"/>
          <w:lang w:val="en-US" w:eastAsia="zh-Hans" w:bidi="ar-SA"/>
        </w:rPr>
        <w:t>有权</w:t>
      </w:r>
      <w:r>
        <w:rPr>
          <w:rFonts w:hint="eastAsia" w:ascii="宋体" w:hAnsi="宋体" w:eastAsia="宋体" w:cs="宋体"/>
          <w:bCs w:val="0"/>
          <w:color w:val="auto"/>
          <w:kern w:val="2"/>
          <w:sz w:val="21"/>
          <w:szCs w:val="21"/>
          <w:highlight w:val="none"/>
          <w:lang w:val="en-US" w:eastAsia="zh-CN" w:bidi="ar-SA"/>
        </w:rPr>
        <w:t>解除合同。</w:t>
      </w:r>
    </w:p>
    <w:p w14:paraId="5DA10547">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4.乙方擅自拆改房屋承重结构或共用管线和设施，由此发生的损失或事故（包括罚款），由乙方负责并承担责任，同时支付甲方由此遭受的直接损失与相关费用(包括但不限于守约方为维护自己的合法权益而支付的律师费、公证费、调查费、诉讼费、保全费、保全保险费等相关各项费用)。</w:t>
      </w:r>
    </w:p>
    <w:p w14:paraId="310592E2">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5.乙方提供的材料、设备是假冒伪劣产品的，应按材料、设备价款的双倍赔偿甲方。</w:t>
      </w:r>
    </w:p>
    <w:p w14:paraId="07BEAD9C">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6.乙方未能按照第七条第3点在约定期限内完成并网的，甲方有权要求乙方以合同价款为基数，向甲方按日赔偿日万分之三的违约金，此外还应赔偿因此给甲方造成的直接损失与相关费用(包括但不限于守约方为维护自己的合法权益而支付的律师费、公证费、调查费、诉讼费、保全费、保全保险费等相关各项费用)。</w:t>
      </w:r>
    </w:p>
    <w:p w14:paraId="186CE68F">
      <w:pPr>
        <w:pageBreakBefore w:val="0"/>
        <w:kinsoku/>
        <w:wordWrap/>
        <w:bidi w:val="0"/>
        <w:spacing w:after="0" w:line="360" w:lineRule="auto"/>
        <w:ind w:firstLine="0" w:firstLineChars="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三</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其他</w:t>
      </w:r>
    </w:p>
    <w:p w14:paraId="086F1C83">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协议一方于施工后擅自解除或终止本合同的，违约方应按工程款的15%向守约方支付违约金，若该违约金不足以弥补守约方由此遭受的直接损失与相关费用(包括但不限于守约方为维护自己的合法权益而支付的律师费、公证费、调查费、诉讼费、保全费、保全保险费等相关各项费用)，守约方有权追偿。</w:t>
      </w:r>
    </w:p>
    <w:p w14:paraId="7F084BFE">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2.不可抗力是指甲乙双方在订立合同时不可预见，在履行合同过程中不可避免发生并不能克服的自然灾害和社会性突发事件，包括但不限于下列情况：</w:t>
      </w:r>
    </w:p>
    <w:p w14:paraId="0D7864E1">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（1）战争、敌对行动（无论宣战与否）、入侵、外敌行为</w:t>
      </w:r>
      <w:r>
        <w:rPr>
          <w:rFonts w:hint="eastAsia" w:ascii="宋体" w:hAnsi="宋体" w:cs="宋体"/>
          <w:bCs w:val="0"/>
          <w:color w:val="auto"/>
          <w:kern w:val="2"/>
          <w:sz w:val="21"/>
          <w:szCs w:val="21"/>
          <w:highlight w:val="none"/>
          <w:lang w:val="en-US" w:eastAsia="zh-CN" w:bidi="ar-SA"/>
        </w:rPr>
        <w:t>；</w:t>
      </w:r>
    </w:p>
    <w:p w14:paraId="5830CAA5">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（2）叛乱、恐怖主义、暴动、军事政变或篡夺政权、或内战</w:t>
      </w:r>
      <w:r>
        <w:rPr>
          <w:rFonts w:hint="eastAsia" w:ascii="宋体" w:hAnsi="宋体" w:cs="宋体"/>
          <w:bCs w:val="0"/>
          <w:color w:val="auto"/>
          <w:kern w:val="2"/>
          <w:sz w:val="21"/>
          <w:szCs w:val="21"/>
          <w:highlight w:val="none"/>
          <w:lang w:val="en-US" w:eastAsia="zh-CN" w:bidi="ar-SA"/>
        </w:rPr>
        <w:t>；</w:t>
      </w:r>
    </w:p>
    <w:p w14:paraId="6FE6EBCF">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（3）暴乱、骚动、混乱、非承包人员工以及非承包人和分包人的其他雇员所造成的罢工或停工</w:t>
      </w:r>
      <w:r>
        <w:rPr>
          <w:rFonts w:hint="eastAsia" w:ascii="宋体" w:hAnsi="宋体" w:cs="宋体"/>
          <w:bCs w:val="0"/>
          <w:color w:val="auto"/>
          <w:kern w:val="2"/>
          <w:sz w:val="21"/>
          <w:szCs w:val="21"/>
          <w:highlight w:val="none"/>
          <w:lang w:val="en-US" w:eastAsia="zh-CN" w:bidi="ar-SA"/>
        </w:rPr>
        <w:t>；</w:t>
      </w:r>
    </w:p>
    <w:p w14:paraId="5C339E50">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（4）战争军火、爆炸材料、放射能产生的离子辐射污染，但可能因承包人使用此类军火、炸药、放射或辐射能引起的除外</w:t>
      </w:r>
      <w:r>
        <w:rPr>
          <w:rFonts w:hint="eastAsia" w:ascii="宋体" w:hAnsi="宋体" w:cs="宋体"/>
          <w:bCs w:val="0"/>
          <w:color w:val="auto"/>
          <w:kern w:val="2"/>
          <w:sz w:val="21"/>
          <w:szCs w:val="21"/>
          <w:highlight w:val="none"/>
          <w:lang w:val="en-US" w:eastAsia="zh-CN" w:bidi="ar-SA"/>
        </w:rPr>
        <w:t>；</w:t>
      </w:r>
    </w:p>
    <w:p w14:paraId="32F271CF">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（5）自然灾难,例如地震、瘟疫、飓风、台风、雷暴或火山爆发</w:t>
      </w:r>
      <w:r>
        <w:rPr>
          <w:rFonts w:hint="eastAsia" w:ascii="宋体" w:hAnsi="宋体" w:cs="宋体"/>
          <w:bCs w:val="0"/>
          <w:color w:val="auto"/>
          <w:kern w:val="2"/>
          <w:sz w:val="21"/>
          <w:szCs w:val="21"/>
          <w:highlight w:val="none"/>
          <w:lang w:val="en-US" w:eastAsia="zh-CN" w:bidi="ar-SA"/>
        </w:rPr>
        <w:t>；</w:t>
      </w:r>
    </w:p>
    <w:p w14:paraId="33EE395A">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合同一方遇到不可抗力事件，使其履行合同义务受到阻碍时，应立即通知合同另一方，书面说明不可抗力和受阻碍的详细情况，并提供必要的证明。不可抗力发生后，甲方和乙方均应采取措施尽量避免和减少损失的扩大，任何一方没有采取有效措施导致损失扩大的，应对扩大的损失承担责任。</w:t>
      </w:r>
    </w:p>
    <w:p w14:paraId="367CB8F3">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合同一方因不可抗力不能履行合同的，应当及时通知对方解除合同。合同解除后的付款，双方应根据实际工程量及各方损失协商确定。</w:t>
      </w:r>
    </w:p>
    <w:p w14:paraId="45B24398">
      <w:pPr>
        <w:pageBreakBefore w:val="0"/>
        <w:kinsoku/>
        <w:wordWrap/>
        <w:bidi w:val="0"/>
        <w:spacing w:after="0" w:line="360" w:lineRule="auto"/>
        <w:ind w:left="0" w:leftChars="0" w:firstLine="0" w:firstLineChars="0"/>
        <w:outlineLvl w:val="9"/>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rPr>
        <w:t>第十</w:t>
      </w:r>
      <w:r>
        <w:rPr>
          <w:rFonts w:hint="eastAsia" w:ascii="宋体" w:hAnsi="宋体" w:eastAsia="宋体" w:cs="宋体"/>
          <w:b/>
          <w:bCs/>
          <w:color w:val="auto"/>
          <w:sz w:val="21"/>
          <w:szCs w:val="21"/>
          <w:highlight w:val="none"/>
          <w:lang w:val="en-US" w:eastAsia="zh-CN"/>
        </w:rPr>
        <w:t>一</w:t>
      </w:r>
      <w:r>
        <w:rPr>
          <w:rFonts w:hint="eastAsia" w:ascii="宋体" w:hAnsi="宋体" w:eastAsia="宋体" w:cs="宋体"/>
          <w:b/>
          <w:bCs/>
          <w:color w:val="auto"/>
          <w:sz w:val="21"/>
          <w:szCs w:val="21"/>
          <w:highlight w:val="none"/>
        </w:rPr>
        <w:t>条　纠纷解决办法</w:t>
      </w:r>
    </w:p>
    <w:p w14:paraId="52C86B0D">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合同经双方签字生效后，双方必须严格遵守。任何一方需变更合同内容，应经协商一致后，重新签订补充协议。合同签订后施工前，一方如要终止合同，应以书面形式提出，并按合同总价款10%支付违约金，办理终止合同手续。</w:t>
      </w:r>
    </w:p>
    <w:p w14:paraId="7FBF8935">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2.因本合同产生纠纷，如协商无法解决，双方均有权向甲方所在地人民法院提起诉讼。</w:t>
      </w:r>
    </w:p>
    <w:p w14:paraId="17239C45">
      <w:pPr>
        <w:pageBreakBefore w:val="0"/>
        <w:widowControl/>
        <w:shd w:val="clear"/>
        <w:kinsoku/>
        <w:wordWrap/>
        <w:bidi w:val="0"/>
        <w:spacing w:after="0" w:line="360" w:lineRule="auto"/>
        <w:ind w:left="0" w:leftChars="0" w:firstLine="0" w:firstLineChars="0"/>
        <w:outlineLvl w:val="9"/>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rPr>
        <w:t>第十</w:t>
      </w:r>
      <w:r>
        <w:rPr>
          <w:rFonts w:hint="eastAsia" w:ascii="宋体" w:hAnsi="宋体" w:eastAsia="宋体" w:cs="宋体"/>
          <w:b/>
          <w:bCs/>
          <w:color w:val="auto"/>
          <w:sz w:val="21"/>
          <w:szCs w:val="21"/>
          <w:highlight w:val="none"/>
          <w:lang w:val="en-US" w:eastAsia="zh-CN"/>
        </w:rPr>
        <w:t>二</w:t>
      </w:r>
      <w:r>
        <w:rPr>
          <w:rFonts w:hint="eastAsia" w:ascii="宋体" w:hAnsi="宋体" w:eastAsia="宋体" w:cs="宋体"/>
          <w:b/>
          <w:bCs/>
          <w:color w:val="auto"/>
          <w:sz w:val="21"/>
          <w:szCs w:val="21"/>
          <w:highlight w:val="none"/>
        </w:rPr>
        <w:t>条　附　则</w:t>
      </w:r>
    </w:p>
    <w:p w14:paraId="03EB0259">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1.甲方代表为，乙方代表为。</w:t>
      </w:r>
    </w:p>
    <w:p w14:paraId="55BF9B3F">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2.本合同一式肆份，甲乙双方各执贰份，自甲乙双方代表签字，加盖双方公章或合同专用章后生效。</w:t>
      </w:r>
    </w:p>
    <w:p w14:paraId="1C460994">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3.附件1：《开票明细表》。</w:t>
      </w:r>
    </w:p>
    <w:p w14:paraId="2AF0054F">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4.附件2：《廉洁协议书》。</w:t>
      </w:r>
    </w:p>
    <w:p w14:paraId="63979A95">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5.附件3：《不拖欠农民工工资承诺书》。</w:t>
      </w:r>
    </w:p>
    <w:p w14:paraId="0757D827">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6.附件4：《工程施工安全协议书》。</w:t>
      </w:r>
    </w:p>
    <w:p w14:paraId="2445CD62">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7.附件5：《承包商违章处罚条例》。</w:t>
      </w:r>
    </w:p>
    <w:p w14:paraId="18821AD6">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8.附件6：《技术用户需求》。</w:t>
      </w:r>
    </w:p>
    <w:p w14:paraId="433B9123">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bCs w:val="0"/>
          <w:color w:val="auto"/>
          <w:kern w:val="2"/>
          <w:sz w:val="21"/>
          <w:szCs w:val="21"/>
          <w:highlight w:val="none"/>
          <w:lang w:val="en-US" w:eastAsia="zh-CN" w:bidi="ar-SA"/>
        </w:rPr>
        <w:t>9.附件7：《技术协议》。</w:t>
      </w:r>
    </w:p>
    <w:p w14:paraId="2A43CF4D">
      <w:pPr>
        <w:pageBreakBefore w:val="0"/>
        <w:kinsoku/>
        <w:wordWrap/>
        <w:bidi w:val="0"/>
        <w:spacing w:after="0" w:line="360" w:lineRule="auto"/>
        <w:ind w:firstLine="0" w:firstLineChars="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（以下无正文）</w:t>
      </w:r>
    </w:p>
    <w:p w14:paraId="498F47E6">
      <w:pPr>
        <w:spacing w:after="200" w:line="240" w:lineRule="auto"/>
        <w:rPr>
          <w:rFonts w:hint="eastAsia" w:ascii="宋体" w:hAnsi="宋体" w:eastAsia="宋体" w:cs="宋体"/>
          <w:bCs w:val="0"/>
          <w:color w:val="auto"/>
          <w:kern w:val="2"/>
          <w:sz w:val="21"/>
          <w:szCs w:val="21"/>
          <w:highlight w:val="none"/>
          <w:lang w:val="en-US" w:eastAsia="zh-CN" w:bidi="ar-SA"/>
        </w:rPr>
      </w:pPr>
    </w:p>
    <w:tbl>
      <w:tblPr>
        <w:tblStyle w:val="32"/>
        <w:tblpPr w:leftFromText="180" w:rightFromText="180" w:vertAnchor="text" w:horzAnchor="page" w:tblpX="1150" w:tblpY="443"/>
        <w:tblOverlap w:val="never"/>
        <w:tblW w:w="4999" w:type="pct"/>
        <w:tblInd w:w="0" w:type="dxa"/>
        <w:tblLayout w:type="autofit"/>
        <w:tblCellMar>
          <w:top w:w="0" w:type="dxa"/>
          <w:left w:w="108" w:type="dxa"/>
          <w:bottom w:w="0" w:type="dxa"/>
          <w:right w:w="108" w:type="dxa"/>
        </w:tblCellMar>
      </w:tblPr>
      <w:tblGrid>
        <w:gridCol w:w="4930"/>
        <w:gridCol w:w="4747"/>
      </w:tblGrid>
      <w:tr w14:paraId="2F7B1FD4">
        <w:tc>
          <w:tcPr>
            <w:tcW w:w="2547" w:type="pct"/>
            <w:noWrap w:val="0"/>
            <w:vAlign w:val="top"/>
          </w:tcPr>
          <w:p w14:paraId="3E1DB2B0">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p>
          <w:p w14:paraId="2041218A">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甲方（盖章）：</w:t>
            </w:r>
            <w:r>
              <w:rPr>
                <w:rFonts w:hint="eastAsia" w:ascii="宋体" w:hAnsi="宋体" w:cs="宋体"/>
                <w:bCs w:val="0"/>
                <w:color w:val="auto"/>
                <w:kern w:val="2"/>
                <w:sz w:val="21"/>
                <w:szCs w:val="21"/>
                <w:highlight w:val="none"/>
                <w:lang w:val="en-US" w:eastAsia="zh-CN" w:bidi="ar-SA"/>
              </w:rPr>
              <w:t>东莞市新有能源投资有限公司</w:t>
            </w:r>
          </w:p>
        </w:tc>
        <w:tc>
          <w:tcPr>
            <w:tcW w:w="2452" w:type="pct"/>
            <w:noWrap w:val="0"/>
            <w:vAlign w:val="top"/>
          </w:tcPr>
          <w:p w14:paraId="6149F32D">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p>
          <w:p w14:paraId="2B4C8961">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乙方(盖章)：</w:t>
            </w:r>
          </w:p>
        </w:tc>
      </w:tr>
      <w:tr w14:paraId="5547FB53">
        <w:tblPrEx>
          <w:tblCellMar>
            <w:top w:w="0" w:type="dxa"/>
            <w:left w:w="108" w:type="dxa"/>
            <w:bottom w:w="0" w:type="dxa"/>
            <w:right w:w="108" w:type="dxa"/>
          </w:tblCellMar>
        </w:tblPrEx>
        <w:tc>
          <w:tcPr>
            <w:tcW w:w="2547" w:type="pct"/>
            <w:noWrap w:val="0"/>
            <w:vAlign w:val="top"/>
          </w:tcPr>
          <w:p w14:paraId="712C0EAA">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法定代表人或</w:t>
            </w:r>
          </w:p>
          <w:p w14:paraId="23FD26BA">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授权代表(签章)：</w:t>
            </w:r>
          </w:p>
          <w:p w14:paraId="3BC609D3">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p>
        </w:tc>
        <w:tc>
          <w:tcPr>
            <w:tcW w:w="2452" w:type="pct"/>
            <w:noWrap w:val="0"/>
            <w:vAlign w:val="top"/>
          </w:tcPr>
          <w:p w14:paraId="038E59A3">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法定代表人或</w:t>
            </w:r>
          </w:p>
          <w:p w14:paraId="37715D08">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授权代表(签章)：</w:t>
            </w:r>
          </w:p>
        </w:tc>
      </w:tr>
      <w:tr w14:paraId="70A356D1">
        <w:tblPrEx>
          <w:tblCellMar>
            <w:top w:w="0" w:type="dxa"/>
            <w:left w:w="108" w:type="dxa"/>
            <w:bottom w:w="0" w:type="dxa"/>
            <w:right w:w="108" w:type="dxa"/>
          </w:tblCellMar>
        </w:tblPrEx>
        <w:tc>
          <w:tcPr>
            <w:tcW w:w="2547" w:type="pct"/>
            <w:noWrap w:val="0"/>
            <w:vAlign w:val="top"/>
          </w:tcPr>
          <w:p w14:paraId="55179B5F">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地址：</w:t>
            </w:r>
          </w:p>
        </w:tc>
        <w:tc>
          <w:tcPr>
            <w:tcW w:w="2452" w:type="pct"/>
            <w:noWrap w:val="0"/>
            <w:vAlign w:val="top"/>
          </w:tcPr>
          <w:p w14:paraId="515E4618">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地址：</w:t>
            </w:r>
          </w:p>
        </w:tc>
      </w:tr>
      <w:tr w14:paraId="75FB5B72">
        <w:tblPrEx>
          <w:tblCellMar>
            <w:top w:w="0" w:type="dxa"/>
            <w:left w:w="108" w:type="dxa"/>
            <w:bottom w:w="0" w:type="dxa"/>
            <w:right w:w="108" w:type="dxa"/>
          </w:tblCellMar>
        </w:tblPrEx>
        <w:tc>
          <w:tcPr>
            <w:tcW w:w="2547" w:type="pct"/>
            <w:noWrap w:val="0"/>
            <w:vAlign w:val="top"/>
          </w:tcPr>
          <w:p w14:paraId="7AC12918">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电话：</w:t>
            </w:r>
          </w:p>
        </w:tc>
        <w:tc>
          <w:tcPr>
            <w:tcW w:w="2452" w:type="pct"/>
            <w:noWrap w:val="0"/>
            <w:vAlign w:val="top"/>
          </w:tcPr>
          <w:p w14:paraId="352B461C">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电话：</w:t>
            </w:r>
          </w:p>
        </w:tc>
      </w:tr>
      <w:tr w14:paraId="472CA58B">
        <w:tblPrEx>
          <w:tblCellMar>
            <w:top w:w="0" w:type="dxa"/>
            <w:left w:w="108" w:type="dxa"/>
            <w:bottom w:w="0" w:type="dxa"/>
            <w:right w:w="108" w:type="dxa"/>
          </w:tblCellMar>
        </w:tblPrEx>
        <w:tc>
          <w:tcPr>
            <w:tcW w:w="2547" w:type="pct"/>
            <w:noWrap w:val="0"/>
            <w:vAlign w:val="top"/>
          </w:tcPr>
          <w:p w14:paraId="6DD86EC8">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开户银行：</w:t>
            </w:r>
          </w:p>
        </w:tc>
        <w:tc>
          <w:tcPr>
            <w:tcW w:w="2452" w:type="pct"/>
            <w:noWrap w:val="0"/>
            <w:vAlign w:val="top"/>
          </w:tcPr>
          <w:p w14:paraId="35746A2B">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开户银行：</w:t>
            </w:r>
          </w:p>
        </w:tc>
      </w:tr>
      <w:tr w14:paraId="248DE1E8">
        <w:tblPrEx>
          <w:tblCellMar>
            <w:top w:w="0" w:type="dxa"/>
            <w:left w:w="108" w:type="dxa"/>
            <w:bottom w:w="0" w:type="dxa"/>
            <w:right w:w="108" w:type="dxa"/>
          </w:tblCellMar>
        </w:tblPrEx>
        <w:tc>
          <w:tcPr>
            <w:tcW w:w="2547" w:type="pct"/>
            <w:noWrap w:val="0"/>
            <w:vAlign w:val="top"/>
          </w:tcPr>
          <w:p w14:paraId="16D1D1A2">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银行账户：</w:t>
            </w:r>
          </w:p>
        </w:tc>
        <w:tc>
          <w:tcPr>
            <w:tcW w:w="2452" w:type="pct"/>
            <w:noWrap w:val="0"/>
            <w:vAlign w:val="top"/>
          </w:tcPr>
          <w:p w14:paraId="2A10D91B">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银行账户：</w:t>
            </w:r>
          </w:p>
        </w:tc>
      </w:tr>
      <w:tr w14:paraId="2D5D2645">
        <w:tblPrEx>
          <w:tblCellMar>
            <w:top w:w="0" w:type="dxa"/>
            <w:left w:w="108" w:type="dxa"/>
            <w:bottom w:w="0" w:type="dxa"/>
            <w:right w:w="108" w:type="dxa"/>
          </w:tblCellMar>
        </w:tblPrEx>
        <w:tc>
          <w:tcPr>
            <w:tcW w:w="2547" w:type="pct"/>
            <w:noWrap w:val="0"/>
            <w:vAlign w:val="top"/>
          </w:tcPr>
          <w:p w14:paraId="101F9D54">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签订日期：</w:t>
            </w:r>
            <w:r>
              <w:rPr>
                <w:rFonts w:hint="eastAsia" w:ascii="宋体" w:hAnsi="宋体" w:cs="宋体"/>
                <w:bCs w:val="0"/>
                <w:color w:val="auto"/>
                <w:kern w:val="2"/>
                <w:sz w:val="21"/>
                <w:szCs w:val="21"/>
                <w:highlight w:val="non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年</w:t>
            </w:r>
            <w:r>
              <w:rPr>
                <w:rFonts w:hint="eastAsia" w:ascii="宋体" w:hAnsi="宋体" w:cs="宋体"/>
                <w:bCs w:val="0"/>
                <w:color w:val="auto"/>
                <w:kern w:val="2"/>
                <w:sz w:val="21"/>
                <w:szCs w:val="21"/>
                <w:highlight w:val="non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月</w:t>
            </w:r>
            <w:r>
              <w:rPr>
                <w:rFonts w:hint="eastAsia" w:ascii="宋体" w:hAnsi="宋体" w:cs="宋体"/>
                <w:bCs w:val="0"/>
                <w:color w:val="auto"/>
                <w:kern w:val="2"/>
                <w:sz w:val="21"/>
                <w:szCs w:val="21"/>
                <w:highlight w:val="non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日</w:t>
            </w:r>
          </w:p>
        </w:tc>
        <w:tc>
          <w:tcPr>
            <w:tcW w:w="2452" w:type="pct"/>
            <w:noWrap w:val="0"/>
            <w:vAlign w:val="top"/>
          </w:tcPr>
          <w:p w14:paraId="4117A04E">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签订日期：</w:t>
            </w:r>
            <w:r>
              <w:rPr>
                <w:rFonts w:hint="eastAsia" w:ascii="宋体" w:hAnsi="宋体" w:cs="宋体"/>
                <w:bCs w:val="0"/>
                <w:color w:val="auto"/>
                <w:kern w:val="2"/>
                <w:sz w:val="21"/>
                <w:szCs w:val="21"/>
                <w:highlight w:val="non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年</w:t>
            </w:r>
            <w:r>
              <w:rPr>
                <w:rFonts w:hint="eastAsia" w:ascii="宋体" w:hAnsi="宋体" w:cs="宋体"/>
                <w:bCs w:val="0"/>
                <w:color w:val="auto"/>
                <w:kern w:val="2"/>
                <w:sz w:val="21"/>
                <w:szCs w:val="21"/>
                <w:highlight w:val="non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月</w:t>
            </w:r>
            <w:r>
              <w:rPr>
                <w:rFonts w:hint="eastAsia" w:ascii="宋体" w:hAnsi="宋体" w:cs="宋体"/>
                <w:bCs w:val="0"/>
                <w:color w:val="auto"/>
                <w:kern w:val="2"/>
                <w:sz w:val="21"/>
                <w:szCs w:val="21"/>
                <w:highlight w:val="non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日</w:t>
            </w:r>
          </w:p>
        </w:tc>
      </w:tr>
    </w:tbl>
    <w:p w14:paraId="4B5425BB">
      <w:pPr>
        <w:widowControl w:val="0"/>
        <w:spacing w:after="120" w:line="360" w:lineRule="auto"/>
        <w:ind w:left="420" w:leftChars="200" w:firstLine="420" w:firstLineChars="200"/>
        <w:jc w:val="both"/>
        <w:rPr>
          <w:rFonts w:hint="eastAsia" w:ascii="宋体" w:hAnsi="宋体" w:eastAsia="宋体" w:cs="宋体"/>
          <w:bCs/>
          <w:color w:val="auto"/>
          <w:szCs w:val="21"/>
          <w:highlight w:val="none"/>
          <w:lang w:val="en-US" w:eastAsia="zh-CN" w:bidi="ar-SA"/>
        </w:rPr>
      </w:pPr>
    </w:p>
    <w:p w14:paraId="7D6013AC">
      <w:pPr>
        <w:pageBreakBefore w:val="0"/>
        <w:widowControl/>
        <w:kinsoku/>
        <w:wordWrap/>
        <w:bidi w:val="0"/>
        <w:spacing w:after="0" w:line="360" w:lineRule="auto"/>
        <w:jc w:val="left"/>
        <w:rPr>
          <w:rFonts w:hint="eastAsia" w:ascii="宋体" w:hAnsi="宋体" w:eastAsia="宋体" w:cs="宋体"/>
          <w:b/>
          <w:color w:val="auto"/>
          <w:sz w:val="21"/>
          <w:szCs w:val="21"/>
          <w:highlight w:val="none"/>
        </w:rPr>
      </w:pPr>
    </w:p>
    <w:p w14:paraId="475F4EBA">
      <w:pPr>
        <w:pageBreakBefore w:val="0"/>
        <w:widowControl/>
        <w:kinsoku/>
        <w:wordWrap/>
        <w:bidi w:val="0"/>
        <w:spacing w:after="0" w:line="360" w:lineRule="auto"/>
        <w:jc w:val="left"/>
        <w:rPr>
          <w:rFonts w:hint="eastAsia" w:ascii="宋体" w:hAnsi="宋体" w:eastAsia="宋体" w:cs="宋体"/>
          <w:b/>
          <w:color w:val="auto"/>
          <w:sz w:val="21"/>
          <w:szCs w:val="21"/>
          <w:highlight w:val="none"/>
        </w:rPr>
        <w:sectPr>
          <w:footerReference r:id="rId9" w:type="default"/>
          <w:pgSz w:w="11907" w:h="16839"/>
          <w:pgMar w:top="1440" w:right="1080" w:bottom="1440" w:left="1080" w:header="850" w:footer="992" w:gutter="284"/>
          <w:pgBorders>
            <w:top w:val="none" w:sz="0" w:space="0"/>
            <w:left w:val="none" w:sz="0" w:space="0"/>
            <w:bottom w:val="none" w:sz="0" w:space="0"/>
            <w:right w:val="none" w:sz="0" w:space="0"/>
          </w:pgBorders>
          <w:pgNumType w:fmt="decimal"/>
          <w:cols w:space="720" w:num="1"/>
          <w:docGrid w:linePitch="360" w:charSpace="0"/>
        </w:sectPr>
      </w:pPr>
      <w:r>
        <w:rPr>
          <w:rFonts w:hint="eastAsia" w:ascii="宋体" w:hAnsi="宋体" w:eastAsia="宋体" w:cs="宋体"/>
          <w:b/>
          <w:color w:val="auto"/>
          <w:sz w:val="21"/>
          <w:szCs w:val="21"/>
          <w:highlight w:val="none"/>
        </w:rPr>
        <w:br w:type="page"/>
      </w:r>
    </w:p>
    <w:p w14:paraId="4124B7F8">
      <w:pPr>
        <w:pageBreakBefore w:val="0"/>
        <w:widowControl w:val="0"/>
        <w:kinsoku/>
        <w:wordWrap/>
        <w:bidi w:val="0"/>
        <w:spacing w:after="0" w:line="360" w:lineRule="auto"/>
        <w:ind w:left="0" w:leftChars="0" w:firstLine="0" w:firstLineChars="0"/>
        <w:jc w:val="both"/>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附件1开票明细表</w:t>
      </w:r>
    </w:p>
    <w:p w14:paraId="6B07F85B">
      <w:pPr>
        <w:pageBreakBefore w:val="0"/>
        <w:kinsoku/>
        <w:wordWrap/>
        <w:bidi w:val="0"/>
        <w:spacing w:after="0" w:line="360" w:lineRule="auto"/>
        <w:rPr>
          <w:rFonts w:hint="eastAsia" w:ascii="宋体" w:hAnsi="宋体" w:eastAsia="宋体" w:cs="宋体"/>
          <w:b/>
          <w:color w:val="auto"/>
          <w:sz w:val="21"/>
          <w:szCs w:val="21"/>
          <w:highlight w:val="none"/>
          <w:lang w:val="en-US" w:eastAsia="zh-CN"/>
        </w:rPr>
      </w:pPr>
    </w:p>
    <w:tbl>
      <w:tblPr>
        <w:tblStyle w:val="32"/>
        <w:tblW w:w="4995"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58"/>
        <w:gridCol w:w="1818"/>
        <w:gridCol w:w="1472"/>
        <w:gridCol w:w="702"/>
        <w:gridCol w:w="824"/>
        <w:gridCol w:w="1387"/>
        <w:gridCol w:w="1408"/>
      </w:tblGrid>
      <w:tr w14:paraId="42AD7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2" w:hRule="atLeast"/>
        </w:trPr>
        <w:tc>
          <w:tcPr>
            <w:tcW w:w="10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6C810">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开票类别</w:t>
            </w:r>
          </w:p>
        </w:tc>
        <w:tc>
          <w:tcPr>
            <w:tcW w:w="9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F795D6">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开票内容</w:t>
            </w: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F82DA5">
            <w:pPr>
              <w:keepNext w:val="0"/>
              <w:keepLines w:val="0"/>
              <w:pageBreakBefore w:val="0"/>
              <w:widowControl/>
              <w:suppressLineNumbers w:val="0"/>
              <w:kinsoku/>
              <w:wordWrap/>
              <w:bidi w:val="0"/>
              <w:spacing w:after="0" w:line="360" w:lineRule="auto"/>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型号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3189C2">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数量</w:t>
            </w: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7442D0">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单位</w:t>
            </w:r>
          </w:p>
        </w:tc>
        <w:tc>
          <w:tcPr>
            <w:tcW w:w="7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DAED64">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含税单价</w:t>
            </w: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11056A">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税价合计</w:t>
            </w:r>
          </w:p>
        </w:tc>
      </w:tr>
      <w:tr w14:paraId="704F4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9" w:hRule="atLeast"/>
        </w:trPr>
        <w:tc>
          <w:tcPr>
            <w:tcW w:w="106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F20FAA">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设备部分为合同款总额的80%，增值税率为13%</w:t>
            </w:r>
          </w:p>
        </w:tc>
        <w:tc>
          <w:tcPr>
            <w:tcW w:w="9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003273">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lang w:val="en-US"/>
              </w:rPr>
            </w:pP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E7A454">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17A568">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00DCFA">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7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17B1AE">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D8FF51">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r>
      <w:tr w14:paraId="5DC93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0" w:hRule="atLeast"/>
        </w:trPr>
        <w:tc>
          <w:tcPr>
            <w:tcW w:w="106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47428D">
            <w:pPr>
              <w:pageBreakBefore w:val="0"/>
              <w:kinsoku/>
              <w:wordWrap/>
              <w:bidi w:val="0"/>
              <w:spacing w:after="0" w:line="360" w:lineRule="auto"/>
              <w:jc w:val="center"/>
              <w:rPr>
                <w:rFonts w:hint="eastAsia" w:ascii="宋体" w:hAnsi="宋体" w:eastAsia="宋体" w:cs="宋体"/>
                <w:i w:val="0"/>
                <w:iCs w:val="0"/>
                <w:color w:val="auto"/>
                <w:sz w:val="21"/>
                <w:szCs w:val="21"/>
                <w:highlight w:val="none"/>
                <w:u w:val="none"/>
              </w:rPr>
            </w:pPr>
          </w:p>
        </w:tc>
        <w:tc>
          <w:tcPr>
            <w:tcW w:w="9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40DE61">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E9F129">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E9A77D">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900722">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7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7AA51E">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93CDBC">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r>
      <w:tr w14:paraId="1EA13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0" w:hRule="atLeast"/>
        </w:trPr>
        <w:tc>
          <w:tcPr>
            <w:tcW w:w="10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054F4">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工程施工部分为合同款总额的20%，增值税率为9%</w:t>
            </w:r>
          </w:p>
        </w:tc>
        <w:tc>
          <w:tcPr>
            <w:tcW w:w="9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0A99E8">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工程施工</w:t>
            </w:r>
          </w:p>
        </w:tc>
        <w:tc>
          <w:tcPr>
            <w:tcW w:w="7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7D6755">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49E82">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EF669">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7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A0A7E6">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7DE83D">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r>
      <w:tr w14:paraId="426EB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3"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2CEF30B">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合同总价：¥</w:t>
            </w:r>
            <w:r>
              <w:rPr>
                <w:rFonts w:hint="eastAsia" w:ascii="宋体" w:hAnsi="宋体" w:cs="宋体"/>
                <w:b/>
                <w:bCs/>
                <w:i w:val="0"/>
                <w:iCs w:val="0"/>
                <w:color w:val="auto"/>
                <w:kern w:val="0"/>
                <w:sz w:val="21"/>
                <w:szCs w:val="21"/>
                <w:highlight w:val="none"/>
                <w:u w:val="single"/>
                <w:lang w:val="en-US" w:eastAsia="zh-CN" w:bidi="ar"/>
              </w:rPr>
              <w:t xml:space="preserve">               </w:t>
            </w:r>
            <w:r>
              <w:rPr>
                <w:rFonts w:hint="eastAsia" w:ascii="宋体" w:hAnsi="宋体" w:eastAsia="宋体" w:cs="宋体"/>
                <w:b/>
                <w:bCs/>
                <w:i w:val="0"/>
                <w:iCs w:val="0"/>
                <w:color w:val="auto"/>
                <w:kern w:val="0"/>
                <w:sz w:val="21"/>
                <w:szCs w:val="21"/>
                <w:highlight w:val="none"/>
                <w:u w:val="single"/>
                <w:lang w:val="en-US" w:eastAsia="zh-CN" w:bidi="ar"/>
              </w:rPr>
              <w:t>元</w:t>
            </w:r>
            <w:r>
              <w:rPr>
                <w:rFonts w:hint="eastAsia" w:ascii="宋体" w:hAnsi="宋体" w:eastAsia="宋体" w:cs="宋体"/>
                <w:b/>
                <w:bCs/>
                <w:i w:val="0"/>
                <w:iCs w:val="0"/>
                <w:color w:val="auto"/>
                <w:kern w:val="0"/>
                <w:sz w:val="21"/>
                <w:szCs w:val="21"/>
                <w:highlight w:val="none"/>
                <w:u w:val="none"/>
                <w:lang w:val="en-US" w:eastAsia="zh-CN" w:bidi="ar"/>
              </w:rPr>
              <w:t>(人民币</w:t>
            </w:r>
            <w:r>
              <w:rPr>
                <w:rFonts w:hint="eastAsia" w:ascii="宋体" w:hAnsi="宋体" w:eastAsia="宋体" w:cs="宋体"/>
                <w:b/>
                <w:bCs/>
                <w:i w:val="0"/>
                <w:iCs w:val="0"/>
                <w:color w:val="auto"/>
                <w:kern w:val="0"/>
                <w:sz w:val="21"/>
                <w:szCs w:val="21"/>
                <w:highlight w:val="none"/>
                <w:u w:val="single"/>
                <w:lang w:val="en-US" w:eastAsia="zh-CN" w:bidi="ar"/>
              </w:rPr>
              <w:t>)</w:t>
            </w:r>
          </w:p>
        </w:tc>
      </w:tr>
      <w:tr w14:paraId="0FC4A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961E5FA">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备注：每套储能系统含1套储能嵌入式软件</w:t>
            </w:r>
          </w:p>
        </w:tc>
      </w:tr>
    </w:tbl>
    <w:p w14:paraId="18E94DFC">
      <w:pPr>
        <w:pageBreakBefore w:val="0"/>
        <w:kinsoku/>
        <w:wordWrap/>
        <w:bidi w:val="0"/>
        <w:spacing w:after="0"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br w:type="page"/>
      </w:r>
    </w:p>
    <w:p w14:paraId="2A188239">
      <w:pPr>
        <w:pageBreakBefore w:val="0"/>
        <w:kinsoku/>
        <w:wordWrap/>
        <w:bidi w:val="0"/>
        <w:spacing w:after="0" w:line="360" w:lineRule="auto"/>
        <w:rPr>
          <w:rFonts w:hint="eastAsia" w:ascii="宋体" w:hAnsi="宋体" w:eastAsia="宋体" w:cs="宋体"/>
          <w:color w:val="auto"/>
          <w:sz w:val="21"/>
          <w:szCs w:val="21"/>
          <w:highlight w:val="none"/>
          <w:lang w:eastAsia="zh-CN"/>
        </w:rPr>
        <w:sectPr>
          <w:footerReference r:id="rId11" w:type="first"/>
          <w:footerReference r:id="rId10" w:type="default"/>
          <w:pgSz w:w="11907" w:h="16839"/>
          <w:pgMar w:top="1440" w:right="1080" w:bottom="1440" w:left="1080" w:header="850" w:footer="992" w:gutter="284"/>
          <w:pgBorders>
            <w:top w:val="none" w:sz="0" w:space="0"/>
            <w:left w:val="none" w:sz="0" w:space="0"/>
            <w:bottom w:val="none" w:sz="0" w:space="0"/>
            <w:right w:val="none" w:sz="0" w:space="0"/>
          </w:pgBorders>
          <w:pgNumType w:fmt="decimal"/>
          <w:cols w:space="720" w:num="1"/>
          <w:docGrid w:linePitch="360" w:charSpace="0"/>
        </w:sectPr>
      </w:pPr>
    </w:p>
    <w:p w14:paraId="5DD413BD">
      <w:pPr>
        <w:pageBreakBefore w:val="0"/>
        <w:widowControl/>
        <w:kinsoku/>
        <w:wordWrap/>
        <w:bidi w:val="0"/>
        <w:spacing w:after="0" w:line="360" w:lineRule="auto"/>
        <w:ind w:left="0" w:leftChars="0" w:firstLine="0" w:firstLineChars="0"/>
        <w:jc w:val="left"/>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附件2：廉洁协议书</w:t>
      </w:r>
    </w:p>
    <w:p w14:paraId="2DF3AC30">
      <w:pPr>
        <w:pageBreakBefore w:val="0"/>
        <w:kinsoku/>
        <w:wordWrap/>
        <w:bidi w:val="0"/>
        <w:spacing w:after="0" w:line="360" w:lineRule="auto"/>
        <w:jc w:val="center"/>
        <w:outlineLvl w:val="1"/>
        <w:rPr>
          <w:rFonts w:hint="eastAsia" w:ascii="宋体" w:hAnsi="宋体" w:eastAsia="宋体" w:cs="宋体"/>
          <w:b/>
          <w:bCs/>
          <w:color w:val="auto"/>
          <w:sz w:val="21"/>
          <w:szCs w:val="21"/>
          <w:highlight w:val="none"/>
        </w:rPr>
      </w:pPr>
      <w:bookmarkStart w:id="151" w:name="_Toc27047"/>
      <w:r>
        <w:rPr>
          <w:rFonts w:hint="eastAsia" w:ascii="宋体" w:hAnsi="宋体" w:eastAsia="宋体" w:cs="宋体"/>
          <w:b/>
          <w:bCs/>
          <w:color w:val="auto"/>
          <w:sz w:val="21"/>
          <w:szCs w:val="21"/>
          <w:highlight w:val="none"/>
        </w:rPr>
        <w:t>廉洁协议书</w:t>
      </w:r>
      <w:bookmarkEnd w:id="151"/>
    </w:p>
    <w:p w14:paraId="264E9179">
      <w:pPr>
        <w:pageBreakBefore w:val="0"/>
        <w:kinsoku/>
        <w:wordWrap/>
        <w:bidi w:val="0"/>
        <w:spacing w:after="0" w:line="360" w:lineRule="auto"/>
        <w:rPr>
          <w:rFonts w:hint="eastAsia" w:ascii="宋体" w:hAnsi="宋体" w:eastAsia="宋体" w:cs="宋体"/>
          <w:color w:val="auto"/>
          <w:sz w:val="21"/>
          <w:szCs w:val="21"/>
          <w:highlight w:val="none"/>
        </w:rPr>
      </w:pPr>
    </w:p>
    <w:p w14:paraId="703D5134">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项目名称：</w:t>
      </w:r>
    </w:p>
    <w:p w14:paraId="14DB58B0">
      <w:pPr>
        <w:keepNext w:val="0"/>
        <w:keepLines w:val="0"/>
        <w:pageBreakBefore w:val="0"/>
        <w:widowControl w:val="0"/>
        <w:kinsoku/>
        <w:wordWrap/>
        <w:overflowPunct/>
        <w:topLinePunct w:val="0"/>
        <w:autoSpaceDE/>
        <w:autoSpaceDN/>
        <w:bidi w:val="0"/>
        <w:adjustRightInd w:val="0"/>
        <w:snapToGrid w:val="0"/>
        <w:spacing w:after="0" w:line="360" w:lineRule="auto"/>
        <w:ind w:left="0" w:leftChars="0" w:right="0" w:rightChars="0" w:firstLine="420" w:firstLineChars="200"/>
        <w:jc w:val="both"/>
        <w:textAlignment w:val="auto"/>
        <w:outlineLvl w:val="9"/>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甲方：</w:t>
      </w:r>
      <w:r>
        <w:rPr>
          <w:rFonts w:hint="eastAsia" w:ascii="宋体" w:hAnsi="宋体" w:cs="宋体"/>
          <w:color w:val="auto"/>
          <w:sz w:val="21"/>
          <w:szCs w:val="21"/>
          <w:highlight w:val="none"/>
          <w:u w:val="single"/>
          <w:lang w:eastAsia="zh-CN"/>
        </w:rPr>
        <w:t>东莞市新有能源投资有限公司</w:t>
      </w:r>
    </w:p>
    <w:p w14:paraId="2CA24B8C">
      <w:pPr>
        <w:pageBreakBefore w:val="0"/>
        <w:kinsoku/>
        <w:wordWrap/>
        <w:bidi w:val="0"/>
        <w:adjustRightInd w:val="0"/>
        <w:snapToGrid w:val="0"/>
        <w:spacing w:after="0" w:line="360" w:lineRule="auto"/>
        <w:ind w:firstLine="420" w:firstLineChars="200"/>
        <w:rPr>
          <w:rFonts w:hint="default"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rPr>
        <w:t>乙方：</w:t>
      </w:r>
    </w:p>
    <w:p w14:paraId="5671FFA2">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为规范甲乙双方在订立、履行合同及经济业务往来过程中的行为，保持廉洁自律的工作作风,防止各种违法及不正当行为的发生,确保甲乙双方及其工作人员自觉遵守国家法律、法规及廉洁从业各项规定，特订立本协议。</w:t>
      </w:r>
    </w:p>
    <w:p w14:paraId="689A76C3">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p>
    <w:p w14:paraId="682837BC">
      <w:pPr>
        <w:pageBreakBefore w:val="0"/>
        <w:kinsoku/>
        <w:wordWrap/>
        <w:bidi w:val="0"/>
        <w:adjustRightInd w:val="0"/>
        <w:snapToGrid w:val="0"/>
        <w:spacing w:after="0" w:line="360" w:lineRule="auto"/>
        <w:ind w:firstLine="422" w:firstLineChars="200"/>
        <w:outlineLvl w:val="0"/>
        <w:rPr>
          <w:rFonts w:hint="eastAsia" w:ascii="宋体" w:hAnsi="宋体" w:eastAsia="宋体" w:cs="宋体"/>
          <w:b/>
          <w:bCs/>
          <w:color w:val="auto"/>
          <w:sz w:val="21"/>
          <w:szCs w:val="21"/>
          <w:highlight w:val="none"/>
        </w:rPr>
      </w:pPr>
      <w:bookmarkStart w:id="152" w:name="_Toc4319"/>
      <w:r>
        <w:rPr>
          <w:rFonts w:hint="eastAsia" w:ascii="宋体" w:hAnsi="宋体" w:eastAsia="宋体" w:cs="宋体"/>
          <w:b/>
          <w:bCs/>
          <w:color w:val="auto"/>
          <w:sz w:val="21"/>
          <w:szCs w:val="21"/>
          <w:highlight w:val="none"/>
        </w:rPr>
        <w:t>第一条甲乙双方的权利和义务</w:t>
      </w:r>
      <w:bookmarkEnd w:id="152"/>
    </w:p>
    <w:p w14:paraId="6FBE4AC4">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（一）严格遵守党和国家有关法律法规等有关廉洁从业规定。</w:t>
      </w:r>
    </w:p>
    <w:p w14:paraId="499C41E0">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（二）严格执行本项目的合同文件，自觉按合同办事。</w:t>
      </w:r>
    </w:p>
    <w:p w14:paraId="42986F6C">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（三）双方的业务活动坚持公开、公正、诚信、透明的原则（除法律认定的商业秘密和合同文件另有规定之外）不得损害国家和集体利益，违反服务建设管理及其他法律法规规章制度。</w:t>
      </w:r>
    </w:p>
    <w:p w14:paraId="2F90A982">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（四）建立健全廉洁制度，开展廉洁教育，设立廉洁监督公示牌，公布举报电话，监督并认真查处违法违纪行为。</w:t>
      </w:r>
    </w:p>
    <w:p w14:paraId="7999566B">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（五）发现对方在业务活动中有违反廉洁规定的行为，有及时提醒对方纠正的权利和义务。</w:t>
      </w:r>
    </w:p>
    <w:p w14:paraId="39A46F62">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（六）发现对方严重违反本协议义务条款的行为，有向其上级有关部门举报、建议给予处理并要求告知处理结果的权利。</w:t>
      </w:r>
    </w:p>
    <w:p w14:paraId="26E2F3D3">
      <w:pPr>
        <w:pageBreakBefore w:val="0"/>
        <w:kinsoku/>
        <w:wordWrap/>
        <w:bidi w:val="0"/>
        <w:adjustRightInd w:val="0"/>
        <w:snapToGrid w:val="0"/>
        <w:spacing w:after="0" w:line="360" w:lineRule="auto"/>
        <w:ind w:firstLine="422" w:firstLineChars="200"/>
        <w:outlineLvl w:val="0"/>
        <w:rPr>
          <w:rFonts w:hint="eastAsia" w:ascii="宋体" w:hAnsi="宋体" w:eastAsia="宋体" w:cs="宋体"/>
          <w:b/>
          <w:bCs/>
          <w:color w:val="auto"/>
          <w:sz w:val="21"/>
          <w:szCs w:val="21"/>
          <w:highlight w:val="none"/>
        </w:rPr>
      </w:pPr>
      <w:bookmarkStart w:id="153" w:name="_Toc30481"/>
      <w:r>
        <w:rPr>
          <w:rFonts w:hint="eastAsia" w:ascii="宋体" w:hAnsi="宋体" w:eastAsia="宋体" w:cs="宋体"/>
          <w:b/>
          <w:bCs/>
          <w:color w:val="auto"/>
          <w:sz w:val="21"/>
          <w:szCs w:val="21"/>
          <w:highlight w:val="none"/>
        </w:rPr>
        <w:t>第二条甲方的义务</w:t>
      </w:r>
      <w:bookmarkEnd w:id="153"/>
    </w:p>
    <w:p w14:paraId="5899BBEE">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（一）甲方及其工作人员不得索要或接受乙方的礼金、有价证券和贵重物品，不得在乙方报销任何应由甲方或个人支付的费用。</w:t>
      </w:r>
    </w:p>
    <w:p w14:paraId="28986F95">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（二）甲方工作人员不得参加乙方安排的高消费宴请和娱乐活动</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不得接受乙方提供的通讯工具、交通工具和高档办公用品。</w:t>
      </w:r>
    </w:p>
    <w:p w14:paraId="2B8642C7">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（三）甲方及其工作人员不得要求或者接受乙方为其住房装修、婚丧嫁娶活动、家属或亲友的工作安排以及出国出境、旅游等提供方便。</w:t>
      </w:r>
    </w:p>
    <w:p w14:paraId="19FF8D70">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（四）甲方工作人员不得向乙方介绍其家属或者亲友（包括家属或亲友开办的公司企业）从事于本项目涉及的经济业务活动。</w:t>
      </w:r>
    </w:p>
    <w:p w14:paraId="3C509C85">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（五）甲方及其工作人员不得以任何理由向乙方推荐分包单位，不得要求乙方购买合同规定外的材料和设备。</w:t>
      </w:r>
    </w:p>
    <w:p w14:paraId="3FD096EA">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（六）甲方及其工作人员不得进行违反廉洁规定的其他活动。</w:t>
      </w:r>
    </w:p>
    <w:p w14:paraId="598318F3">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（七）甲方应对甲方工作人员进行廉洁监督管理，如甲方工作人员违反本协议第一、第二条，甲方应依据有关法律法规、党纪规定对其进行处理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涉嫌犯罪的，甲方应将其移交司法机关追究刑事责任。</w:t>
      </w:r>
    </w:p>
    <w:p w14:paraId="73C0BBF3">
      <w:pPr>
        <w:pageBreakBefore w:val="0"/>
        <w:kinsoku/>
        <w:wordWrap/>
        <w:bidi w:val="0"/>
        <w:adjustRightInd w:val="0"/>
        <w:snapToGrid w:val="0"/>
        <w:spacing w:after="0" w:line="360" w:lineRule="auto"/>
        <w:ind w:firstLine="422" w:firstLineChars="200"/>
        <w:outlineLvl w:val="0"/>
        <w:rPr>
          <w:rFonts w:hint="eastAsia" w:ascii="宋体" w:hAnsi="宋体" w:eastAsia="宋体" w:cs="宋体"/>
          <w:b/>
          <w:bCs/>
          <w:color w:val="auto"/>
          <w:sz w:val="21"/>
          <w:szCs w:val="21"/>
          <w:highlight w:val="none"/>
        </w:rPr>
      </w:pPr>
      <w:bookmarkStart w:id="154" w:name="_Toc19097"/>
      <w:r>
        <w:rPr>
          <w:rFonts w:hint="eastAsia" w:ascii="宋体" w:hAnsi="宋体" w:eastAsia="宋体" w:cs="宋体"/>
          <w:b/>
          <w:bCs/>
          <w:color w:val="auto"/>
          <w:sz w:val="21"/>
          <w:szCs w:val="21"/>
          <w:highlight w:val="none"/>
        </w:rPr>
        <w:t>第三条乙方义务</w:t>
      </w:r>
      <w:bookmarkEnd w:id="154"/>
    </w:p>
    <w:p w14:paraId="01FB87D6">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（一）乙方不得以任何理由向甲方及其工作人员馈赠礼金、有价证券、贵重礼品，或报销应由甲方单位或个人支付的任何费用。</w:t>
      </w:r>
    </w:p>
    <w:p w14:paraId="2D0AD9C4">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（二）乙方及其工作人员不得以考察、参观、洽谈业务、签订合同等的借口邀请甲方及其工作人员参加高消费的宴请、娱乐和健身等活动。</w:t>
      </w:r>
    </w:p>
    <w:p w14:paraId="4E1A3BCA">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（三）乙方不得为甲方单位和个人购置或提供通讯工具、交通工具和高档办公用品等。</w:t>
      </w:r>
    </w:p>
    <w:p w14:paraId="698D086B">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（四）乙方及其工作人员不得为甲方工作人员购买、装修、维修私人住房、汽车等。</w:t>
      </w:r>
    </w:p>
    <w:p w14:paraId="57DADB69">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（五）乙方及其工作人员不得为甲方工作人员的婚丧嫁娶、家属或亲友的工作安排，及出国出境提供方便以及报销任何私人消费的费用。</w:t>
      </w:r>
    </w:p>
    <w:p w14:paraId="1101DE26">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（六）乙方及其工作人员不得进行影响甲方及其工作人员公正执行合同和履行职务的其他活动。</w:t>
      </w:r>
    </w:p>
    <w:p w14:paraId="0B82CB18">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（七）乙方应对乙方工作人员进行廉洁监督管理，如乙方工作人员违反本协议第一、第三条，乙方应依据有关法律法规、党纪规定对其进行处理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乙方工作人员涉嫌犯罪的，乙方应将其移交司法机关追究刑事责任。</w:t>
      </w:r>
    </w:p>
    <w:p w14:paraId="0C6640A8">
      <w:pPr>
        <w:pageBreakBefore w:val="0"/>
        <w:kinsoku/>
        <w:wordWrap/>
        <w:bidi w:val="0"/>
        <w:adjustRightInd w:val="0"/>
        <w:snapToGrid w:val="0"/>
        <w:spacing w:after="0" w:line="360" w:lineRule="auto"/>
        <w:ind w:firstLine="422" w:firstLineChars="200"/>
        <w:outlineLvl w:val="0"/>
        <w:rPr>
          <w:rFonts w:hint="eastAsia" w:ascii="宋体" w:hAnsi="宋体" w:eastAsia="宋体" w:cs="宋体"/>
          <w:b/>
          <w:bCs/>
          <w:color w:val="auto"/>
          <w:sz w:val="21"/>
          <w:szCs w:val="21"/>
          <w:highlight w:val="none"/>
        </w:rPr>
      </w:pPr>
      <w:bookmarkStart w:id="155" w:name="_Toc12434"/>
      <w:r>
        <w:rPr>
          <w:rFonts w:hint="eastAsia" w:ascii="宋体" w:hAnsi="宋体" w:eastAsia="宋体" w:cs="宋体"/>
          <w:b/>
          <w:bCs/>
          <w:color w:val="auto"/>
          <w:sz w:val="21"/>
          <w:szCs w:val="21"/>
          <w:highlight w:val="none"/>
        </w:rPr>
        <w:t>第四条违约责任</w:t>
      </w:r>
      <w:bookmarkEnd w:id="155"/>
    </w:p>
    <w:p w14:paraId="3AEFBC00">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（一）甲方违反本协议第一、第二条给乙方单位造成经济损失的，应予以赔偿。</w:t>
      </w:r>
    </w:p>
    <w:p w14:paraId="1512AC3F">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（二）乙方违反本协议第一、第三条给甲方单位造成经济损失的，应予以赔偿。</w:t>
      </w:r>
    </w:p>
    <w:p w14:paraId="5B499454">
      <w:pPr>
        <w:pageBreakBefore w:val="0"/>
        <w:kinsoku/>
        <w:wordWrap/>
        <w:bidi w:val="0"/>
        <w:adjustRightInd w:val="0"/>
        <w:snapToGrid w:val="0"/>
        <w:spacing w:after="0" w:line="360" w:lineRule="auto"/>
        <w:ind w:firstLine="422" w:firstLineChars="200"/>
        <w:outlineLvl w:val="0"/>
        <w:rPr>
          <w:rFonts w:hint="eastAsia" w:ascii="宋体" w:hAnsi="宋体" w:eastAsia="宋体" w:cs="宋体"/>
          <w:b/>
          <w:bCs/>
          <w:color w:val="auto"/>
          <w:sz w:val="21"/>
          <w:szCs w:val="21"/>
          <w:highlight w:val="none"/>
        </w:rPr>
      </w:pPr>
      <w:bookmarkStart w:id="156" w:name="_Toc17449"/>
      <w:r>
        <w:rPr>
          <w:rFonts w:hint="eastAsia" w:ascii="宋体" w:hAnsi="宋体" w:eastAsia="宋体" w:cs="宋体"/>
          <w:b/>
          <w:bCs/>
          <w:color w:val="auto"/>
          <w:sz w:val="21"/>
          <w:szCs w:val="21"/>
          <w:highlight w:val="none"/>
        </w:rPr>
        <w:t>第五条监督检查</w:t>
      </w:r>
      <w:bookmarkEnd w:id="156"/>
    </w:p>
    <w:p w14:paraId="7C5BB348">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甲乙双方的廉洁从业行为由双方或双方上级单位的纪检、监察负责监督，对本协议履行情况进行检查。</w:t>
      </w:r>
    </w:p>
    <w:p w14:paraId="2B513B2E">
      <w:pPr>
        <w:pageBreakBefore w:val="0"/>
        <w:kinsoku/>
        <w:wordWrap/>
        <w:bidi w:val="0"/>
        <w:adjustRightInd w:val="0"/>
        <w:snapToGrid w:val="0"/>
        <w:spacing w:after="0" w:line="360" w:lineRule="auto"/>
        <w:ind w:firstLine="422" w:firstLineChars="200"/>
        <w:outlineLvl w:val="0"/>
        <w:rPr>
          <w:rFonts w:hint="eastAsia" w:ascii="宋体" w:hAnsi="宋体" w:eastAsia="宋体" w:cs="宋体"/>
          <w:b/>
          <w:bCs/>
          <w:color w:val="auto"/>
          <w:sz w:val="21"/>
          <w:szCs w:val="21"/>
          <w:highlight w:val="none"/>
        </w:rPr>
      </w:pPr>
      <w:bookmarkStart w:id="157" w:name="_Toc17236"/>
      <w:r>
        <w:rPr>
          <w:rFonts w:hint="eastAsia" w:ascii="宋体" w:hAnsi="宋体" w:eastAsia="宋体" w:cs="宋体"/>
          <w:b/>
          <w:bCs/>
          <w:color w:val="auto"/>
          <w:sz w:val="21"/>
          <w:szCs w:val="21"/>
          <w:highlight w:val="none"/>
        </w:rPr>
        <w:t>第六条其他</w:t>
      </w:r>
      <w:bookmarkEnd w:id="157"/>
    </w:p>
    <w:p w14:paraId="1FFCF15D">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本协议有效期为甲乙双方签字并加盖公章之日起至该服务期满后止。本协议一式</w:t>
      </w:r>
      <w:r>
        <w:rPr>
          <w:rFonts w:hint="eastAsia" w:ascii="宋体" w:hAnsi="宋体" w:eastAsia="宋体" w:cs="宋体"/>
          <w:color w:val="auto"/>
          <w:sz w:val="21"/>
          <w:szCs w:val="21"/>
          <w:highlight w:val="none"/>
          <w:lang w:val="en-US" w:eastAsia="zh-CN"/>
        </w:rPr>
        <w:t>肆</w:t>
      </w:r>
      <w:r>
        <w:rPr>
          <w:rFonts w:hint="eastAsia" w:ascii="宋体" w:hAnsi="宋体" w:eastAsia="宋体" w:cs="宋体"/>
          <w:color w:val="auto"/>
          <w:sz w:val="21"/>
          <w:szCs w:val="21"/>
          <w:highlight w:val="none"/>
        </w:rPr>
        <w:t>份，甲</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乙</w:t>
      </w:r>
      <w:r>
        <w:rPr>
          <w:rFonts w:hint="eastAsia" w:ascii="宋体" w:hAnsi="宋体" w:eastAsia="宋体" w:cs="宋体"/>
          <w:color w:val="auto"/>
          <w:sz w:val="21"/>
          <w:szCs w:val="21"/>
          <w:highlight w:val="none"/>
        </w:rPr>
        <w:t>双方各执</w:t>
      </w:r>
      <w:r>
        <w:rPr>
          <w:rFonts w:hint="eastAsia" w:ascii="宋体" w:hAnsi="宋体" w:eastAsia="宋体" w:cs="宋体"/>
          <w:color w:val="auto"/>
          <w:sz w:val="21"/>
          <w:szCs w:val="21"/>
          <w:highlight w:val="none"/>
          <w:lang w:val="en-US" w:eastAsia="zh-CN"/>
        </w:rPr>
        <w:t>贰</w:t>
      </w:r>
      <w:r>
        <w:rPr>
          <w:rFonts w:hint="eastAsia" w:ascii="宋体" w:hAnsi="宋体" w:eastAsia="宋体" w:cs="宋体"/>
          <w:color w:val="auto"/>
          <w:sz w:val="21"/>
          <w:szCs w:val="21"/>
          <w:highlight w:val="none"/>
        </w:rPr>
        <w:t>份。</w:t>
      </w:r>
    </w:p>
    <w:tbl>
      <w:tblPr>
        <w:tblStyle w:val="32"/>
        <w:tblpPr w:leftFromText="180" w:rightFromText="180" w:vertAnchor="text" w:horzAnchor="page" w:tblpX="1360" w:tblpY="443"/>
        <w:tblOverlap w:val="never"/>
        <w:tblW w:w="5265" w:type="pct"/>
        <w:tblInd w:w="0" w:type="dxa"/>
        <w:tblLayout w:type="autofit"/>
        <w:tblCellMar>
          <w:top w:w="0" w:type="dxa"/>
          <w:left w:w="108" w:type="dxa"/>
          <w:bottom w:w="0" w:type="dxa"/>
          <w:right w:w="108" w:type="dxa"/>
        </w:tblCellMar>
      </w:tblPr>
      <w:tblGrid>
        <w:gridCol w:w="5362"/>
        <w:gridCol w:w="4830"/>
      </w:tblGrid>
      <w:tr w14:paraId="231C1711">
        <w:tblPrEx>
          <w:tblCellMar>
            <w:top w:w="0" w:type="dxa"/>
            <w:left w:w="108" w:type="dxa"/>
            <w:bottom w:w="0" w:type="dxa"/>
            <w:right w:w="108" w:type="dxa"/>
          </w:tblCellMar>
        </w:tblPrEx>
        <w:trPr>
          <w:trHeight w:val="758" w:hRule="atLeast"/>
        </w:trPr>
        <w:tc>
          <w:tcPr>
            <w:tcW w:w="2630" w:type="pct"/>
            <w:noWrap w:val="0"/>
            <w:vAlign w:val="top"/>
          </w:tcPr>
          <w:p w14:paraId="601F0E46">
            <w:pPr>
              <w:pageBreakBefore w:val="0"/>
              <w:kinsoku/>
              <w:wordWrap/>
              <w:bidi w:val="0"/>
              <w:spacing w:after="0" w:line="360" w:lineRule="auto"/>
              <w:rPr>
                <w:rFonts w:hint="eastAsia" w:ascii="宋体" w:hAnsi="宋体" w:eastAsia="宋体" w:cs="宋体"/>
                <w:b/>
                <w:bCs/>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甲方（盖章）：</w:t>
            </w:r>
            <w:r>
              <w:rPr>
                <w:rFonts w:hint="eastAsia" w:ascii="宋体" w:hAnsi="宋体" w:cs="宋体"/>
                <w:color w:val="auto"/>
                <w:sz w:val="21"/>
                <w:szCs w:val="21"/>
                <w:highlight w:val="none"/>
                <w:lang w:val="en-US" w:eastAsia="zh-CN"/>
              </w:rPr>
              <w:t>东莞市新有能源投资有限公司</w:t>
            </w:r>
          </w:p>
        </w:tc>
        <w:tc>
          <w:tcPr>
            <w:tcW w:w="2369" w:type="pct"/>
            <w:noWrap w:val="0"/>
            <w:vAlign w:val="top"/>
          </w:tcPr>
          <w:p w14:paraId="3DEA7E59">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乙方(盖章)：</w:t>
            </w:r>
          </w:p>
        </w:tc>
      </w:tr>
      <w:tr w14:paraId="19A2B53E">
        <w:tblPrEx>
          <w:tblCellMar>
            <w:top w:w="0" w:type="dxa"/>
            <w:left w:w="108" w:type="dxa"/>
            <w:bottom w:w="0" w:type="dxa"/>
            <w:right w:w="108" w:type="dxa"/>
          </w:tblCellMar>
        </w:tblPrEx>
        <w:tc>
          <w:tcPr>
            <w:tcW w:w="2630" w:type="pct"/>
            <w:noWrap w:val="0"/>
            <w:vAlign w:val="top"/>
          </w:tcPr>
          <w:p w14:paraId="1B718638">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法定代表人或</w:t>
            </w:r>
          </w:p>
          <w:p w14:paraId="50A30A65">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授权代表(签章)：</w:t>
            </w:r>
          </w:p>
        </w:tc>
        <w:tc>
          <w:tcPr>
            <w:tcW w:w="2369" w:type="pct"/>
            <w:noWrap w:val="0"/>
            <w:vAlign w:val="top"/>
          </w:tcPr>
          <w:p w14:paraId="593B1F6F">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法定代表人或</w:t>
            </w:r>
          </w:p>
          <w:p w14:paraId="6A5A35F0">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授权代表(签章)：</w:t>
            </w:r>
          </w:p>
          <w:p w14:paraId="725036BC">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tc>
      </w:tr>
      <w:tr w14:paraId="2A042ED5">
        <w:tblPrEx>
          <w:tblCellMar>
            <w:top w:w="0" w:type="dxa"/>
            <w:left w:w="108" w:type="dxa"/>
            <w:bottom w:w="0" w:type="dxa"/>
            <w:right w:w="108" w:type="dxa"/>
          </w:tblCellMar>
        </w:tblPrEx>
        <w:trPr>
          <w:trHeight w:val="608" w:hRule="atLeast"/>
        </w:trPr>
        <w:tc>
          <w:tcPr>
            <w:tcW w:w="2630" w:type="pct"/>
            <w:noWrap w:val="0"/>
            <w:vAlign w:val="top"/>
          </w:tcPr>
          <w:p w14:paraId="461B357D">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签订日期：</w:t>
            </w:r>
            <w:r>
              <w:rPr>
                <w:rFonts w:hint="eastAsia" w:ascii="宋体"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lang w:val="en-US" w:eastAsia="zh-CN"/>
              </w:rPr>
              <w:t>年</w:t>
            </w:r>
            <w:r>
              <w:rPr>
                <w:rFonts w:hint="eastAsia" w:ascii="宋体"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lang w:val="en-US" w:eastAsia="zh-CN"/>
              </w:rPr>
              <w:t>日</w:t>
            </w:r>
          </w:p>
        </w:tc>
        <w:tc>
          <w:tcPr>
            <w:tcW w:w="2369" w:type="pct"/>
            <w:noWrap w:val="0"/>
            <w:vAlign w:val="top"/>
          </w:tcPr>
          <w:p w14:paraId="1CDC0065">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签订日期：</w:t>
            </w:r>
            <w:r>
              <w:rPr>
                <w:rFonts w:hint="eastAsia" w:ascii="宋体"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lang w:val="en-US" w:eastAsia="zh-CN"/>
              </w:rPr>
              <w:t>年</w:t>
            </w:r>
            <w:r>
              <w:rPr>
                <w:rFonts w:hint="eastAsia" w:ascii="宋体"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lang w:val="en-US" w:eastAsia="zh-CN"/>
              </w:rPr>
              <w:t>日</w:t>
            </w:r>
          </w:p>
        </w:tc>
      </w:tr>
    </w:tbl>
    <w:p w14:paraId="03AF8D20">
      <w:pPr>
        <w:pageBreakBefore w:val="0"/>
        <w:tabs>
          <w:tab w:val="left" w:pos="202"/>
        </w:tabs>
        <w:kinsoku/>
        <w:wordWrap/>
        <w:bidi w:val="0"/>
        <w:spacing w:after="0" w:line="360" w:lineRule="auto"/>
        <w:jc w:val="left"/>
        <w:rPr>
          <w:rFonts w:hint="eastAsia" w:ascii="宋体" w:hAnsi="宋体" w:eastAsia="宋体" w:cs="宋体"/>
          <w:color w:val="auto"/>
          <w:sz w:val="21"/>
          <w:szCs w:val="21"/>
          <w:highlight w:val="none"/>
          <w:lang w:val="en-US" w:eastAsia="zh-CN"/>
        </w:rPr>
        <w:sectPr>
          <w:footerReference r:id="rId13" w:type="first"/>
          <w:footerReference r:id="rId12" w:type="default"/>
          <w:pgSz w:w="11907" w:h="16839"/>
          <w:pgMar w:top="1440" w:right="1080" w:bottom="1440" w:left="1080" w:header="850" w:footer="992" w:gutter="284"/>
          <w:pgBorders>
            <w:top w:val="none" w:sz="0" w:space="0"/>
            <w:left w:val="none" w:sz="0" w:space="0"/>
            <w:bottom w:val="none" w:sz="0" w:space="0"/>
            <w:right w:val="none" w:sz="0" w:space="0"/>
          </w:pgBorders>
          <w:pgNumType w:fmt="decimal"/>
          <w:cols w:space="720" w:num="1"/>
          <w:titlePg/>
          <w:docGrid w:linePitch="360" w:charSpace="0"/>
        </w:sectPr>
      </w:pPr>
    </w:p>
    <w:p w14:paraId="4A559021">
      <w:pPr>
        <w:pageBreakBefore w:val="0"/>
        <w:widowControl/>
        <w:kinsoku/>
        <w:wordWrap/>
        <w:bidi w:val="0"/>
        <w:spacing w:after="0" w:line="360" w:lineRule="auto"/>
        <w:ind w:left="0" w:leftChars="0" w:firstLine="0" w:firstLineChars="0"/>
        <w:jc w:val="left"/>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附件3：不拖欠农民工工资承诺书</w:t>
      </w:r>
    </w:p>
    <w:p w14:paraId="5446FB18">
      <w:pPr>
        <w:pageBreakBefore w:val="0"/>
        <w:kinsoku/>
        <w:wordWrap/>
        <w:bidi w:val="0"/>
        <w:spacing w:after="0" w:line="360" w:lineRule="auto"/>
        <w:ind w:firstLine="643"/>
        <w:outlineLvl w:val="9"/>
        <w:rPr>
          <w:rFonts w:hint="eastAsia" w:ascii="宋体" w:hAnsi="宋体" w:eastAsia="宋体" w:cs="宋体"/>
          <w:color w:val="auto"/>
          <w:sz w:val="24"/>
          <w:szCs w:val="24"/>
          <w:highlight w:val="none"/>
        </w:rPr>
      </w:pPr>
    </w:p>
    <w:p w14:paraId="122A454E">
      <w:pPr>
        <w:pageBreakBefore w:val="0"/>
        <w:numPr>
          <w:ilvl w:val="0"/>
          <w:numId w:val="0"/>
        </w:numPr>
        <w:kinsoku/>
        <w:wordWrap/>
        <w:bidi w:val="0"/>
        <w:adjustRightInd w:val="0"/>
        <w:snapToGrid w:val="0"/>
        <w:spacing w:after="0" w:line="360" w:lineRule="auto"/>
        <w:ind w:leftChars="0"/>
        <w:jc w:val="center"/>
        <w:outlineLvl w:val="0"/>
        <w:rPr>
          <w:rFonts w:hint="eastAsia" w:ascii="宋体" w:hAnsi="宋体" w:eastAsia="宋体" w:cs="宋体"/>
          <w:b w:val="0"/>
          <w:color w:val="auto"/>
          <w:kern w:val="2"/>
          <w:sz w:val="21"/>
          <w:szCs w:val="21"/>
          <w:highlight w:val="none"/>
          <w:lang w:val="en-US" w:eastAsia="zh-CN" w:bidi="ar-SA"/>
        </w:rPr>
      </w:pPr>
      <w:bookmarkStart w:id="158" w:name="_Toc20516"/>
      <w:bookmarkStart w:id="159" w:name="_Toc20225"/>
      <w:bookmarkStart w:id="160" w:name="_Toc28005"/>
      <w:bookmarkStart w:id="161" w:name="_Toc2531"/>
      <w:bookmarkStart w:id="162" w:name="_Toc27388"/>
      <w:bookmarkStart w:id="163" w:name="_Toc14513"/>
      <w:bookmarkStart w:id="164" w:name="_Toc1174"/>
      <w:bookmarkStart w:id="165" w:name="_Toc488"/>
      <w:r>
        <w:rPr>
          <w:rFonts w:hint="eastAsia" w:ascii="宋体" w:hAnsi="宋体" w:eastAsia="宋体" w:cs="宋体"/>
          <w:b w:val="0"/>
          <w:color w:val="auto"/>
          <w:kern w:val="2"/>
          <w:sz w:val="24"/>
          <w:szCs w:val="24"/>
          <w:highlight w:val="none"/>
          <w:lang w:val="en-US" w:eastAsia="zh-CN" w:bidi="ar-SA"/>
        </w:rPr>
        <w:t>不拖欠农民工工资承诺书</w:t>
      </w:r>
      <w:bookmarkEnd w:id="158"/>
      <w:bookmarkEnd w:id="159"/>
      <w:bookmarkEnd w:id="160"/>
      <w:bookmarkEnd w:id="161"/>
      <w:bookmarkEnd w:id="162"/>
      <w:bookmarkEnd w:id="163"/>
      <w:bookmarkEnd w:id="164"/>
      <w:bookmarkEnd w:id="165"/>
    </w:p>
    <w:p w14:paraId="3483C0F1">
      <w:pPr>
        <w:pageBreakBefore w:val="0"/>
        <w:kinsoku/>
        <w:wordWrap/>
        <w:bidi w:val="0"/>
        <w:spacing w:after="0" w:line="360" w:lineRule="auto"/>
        <w:ind w:firstLine="643"/>
        <w:jc w:val="center"/>
        <w:rPr>
          <w:rFonts w:hint="eastAsia" w:ascii="宋体" w:hAnsi="宋体" w:eastAsia="宋体" w:cs="宋体"/>
          <w:b/>
          <w:color w:val="auto"/>
          <w:sz w:val="21"/>
          <w:szCs w:val="21"/>
          <w:highlight w:val="none"/>
        </w:rPr>
      </w:pPr>
    </w:p>
    <w:p w14:paraId="67463672">
      <w:pPr>
        <w:pageBreakBefore w:val="0"/>
        <w:kinsoku/>
        <w:wordWrap/>
        <w:bidi w:val="0"/>
        <w:spacing w:after="0"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我公司承诺我公司承接的</w:t>
      </w:r>
      <w:r>
        <w:rPr>
          <w:rFonts w:hint="eastAsia" w:ascii="宋体" w:hAnsi="宋体" w:eastAsia="宋体" w:cs="宋体"/>
          <w:color w:val="auto"/>
          <w:sz w:val="21"/>
          <w:szCs w:val="21"/>
          <w:highlight w:val="none"/>
          <w:lang w:val="en-US" w:eastAsia="zh-CN"/>
        </w:rPr>
        <w:t>xxxx</w:t>
      </w:r>
      <w:r>
        <w:rPr>
          <w:rFonts w:hint="eastAsia" w:ascii="宋体" w:hAnsi="宋体" w:eastAsia="宋体" w:cs="宋体"/>
          <w:color w:val="auto"/>
          <w:sz w:val="21"/>
          <w:szCs w:val="21"/>
          <w:highlight w:val="none"/>
          <w:u w:val="single"/>
          <w:lang w:eastAsia="zh-CN"/>
        </w:rPr>
        <w:t>储能项目</w:t>
      </w:r>
      <w:r>
        <w:rPr>
          <w:rFonts w:hint="eastAsia" w:ascii="宋体" w:hAnsi="宋体" w:eastAsia="宋体" w:cs="宋体"/>
          <w:color w:val="auto"/>
          <w:sz w:val="21"/>
          <w:szCs w:val="21"/>
          <w:highlight w:val="none"/>
          <w:u w:val="single"/>
          <w:lang w:val="en-US" w:eastAsia="zh-CN"/>
        </w:rPr>
        <w:t>合同文件</w:t>
      </w:r>
      <w:r>
        <w:rPr>
          <w:rFonts w:hint="eastAsia" w:ascii="宋体" w:hAnsi="宋体" w:eastAsia="宋体" w:cs="宋体"/>
          <w:color w:val="auto"/>
          <w:sz w:val="21"/>
          <w:szCs w:val="21"/>
          <w:highlight w:val="none"/>
          <w:u w:val="none"/>
        </w:rPr>
        <w:t>工程</w:t>
      </w:r>
      <w:r>
        <w:rPr>
          <w:rFonts w:hint="eastAsia" w:ascii="宋体" w:hAnsi="宋体" w:eastAsia="宋体" w:cs="宋体"/>
          <w:color w:val="auto"/>
          <w:sz w:val="21"/>
          <w:szCs w:val="21"/>
          <w:highlight w:val="none"/>
        </w:rPr>
        <w:t>项目按照国家规定、合同要求支付农民工工资，决不拖欠农民工工资，如果发生违反规定拖欠或克扣农民工工资行为，造成农民工上访，本单位愿意接受人力资源社会保障、建设、公安等部门依照有关规定作出的处理和处罚决定。</w:t>
      </w:r>
    </w:p>
    <w:p w14:paraId="59C71AB6">
      <w:pPr>
        <w:pageBreakBefore w:val="0"/>
        <w:kinsoku/>
        <w:wordWrap/>
        <w:bidi w:val="0"/>
        <w:spacing w:after="0" w:line="360" w:lineRule="auto"/>
        <w:ind w:firstLine="640"/>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rPr>
        <w:t>单位全称（盖章）</w:t>
      </w:r>
      <w:r>
        <w:rPr>
          <w:rFonts w:hint="eastAsia" w:ascii="宋体" w:hAnsi="宋体" w:eastAsia="宋体" w:cs="宋体"/>
          <w:color w:val="auto"/>
          <w:sz w:val="21"/>
          <w:szCs w:val="21"/>
          <w:highlight w:val="none"/>
          <w:lang w:eastAsia="zh-CN"/>
        </w:rPr>
        <w:t>：</w:t>
      </w:r>
    </w:p>
    <w:p w14:paraId="4F6776D8">
      <w:pPr>
        <w:pageBreakBefore w:val="0"/>
        <w:kinsoku/>
        <w:wordWrap/>
        <w:bidi w:val="0"/>
        <w:spacing w:after="0" w:line="360" w:lineRule="auto"/>
        <w:ind w:firstLine="64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法定代表人或委托人（签字）</w:t>
      </w:r>
      <w:r>
        <w:rPr>
          <w:rFonts w:hint="eastAsia" w:ascii="宋体" w:hAnsi="宋体" w:eastAsia="宋体" w:cs="宋体"/>
          <w:color w:val="auto"/>
          <w:sz w:val="21"/>
          <w:szCs w:val="21"/>
          <w:highlight w:val="none"/>
          <w:lang w:eastAsia="zh-CN"/>
        </w:rPr>
        <w:t>：</w:t>
      </w:r>
    </w:p>
    <w:p w14:paraId="254568F0">
      <w:pPr>
        <w:pageBreakBefore w:val="0"/>
        <w:kinsoku/>
        <w:wordWrap/>
        <w:bidi w:val="0"/>
        <w:spacing w:after="0" w:line="360" w:lineRule="auto"/>
        <w:ind w:firstLine="3675" w:firstLineChars="1750"/>
        <w:rPr>
          <w:rFonts w:hint="eastAsia" w:ascii="宋体" w:hAnsi="宋体" w:eastAsia="宋体" w:cs="宋体"/>
          <w:color w:val="auto"/>
          <w:sz w:val="21"/>
          <w:szCs w:val="21"/>
          <w:highlight w:val="none"/>
        </w:rPr>
      </w:pPr>
    </w:p>
    <w:p w14:paraId="6EBE04E6">
      <w:pPr>
        <w:pageBreakBefore w:val="0"/>
        <w:kinsoku/>
        <w:wordWrap/>
        <w:bidi w:val="0"/>
        <w:spacing w:after="0" w:line="360" w:lineRule="auto"/>
        <w:ind w:firstLine="3360" w:firstLineChars="16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w:t>
      </w:r>
      <w:r>
        <w:rPr>
          <w:rFonts w:hint="eastAsia" w:ascii="宋体"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月</w:t>
      </w:r>
      <w:r>
        <w:rPr>
          <w:rFonts w:hint="eastAsia" w:ascii="宋体"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日</w:t>
      </w:r>
    </w:p>
    <w:p w14:paraId="32A1E271">
      <w:pPr>
        <w:pageBreakBefore w:val="0"/>
        <w:kinsoku/>
        <w:wordWrap/>
        <w:bidi w:val="0"/>
        <w:spacing w:after="0" w:line="360" w:lineRule="auto"/>
        <w:rPr>
          <w:rFonts w:hint="eastAsia" w:ascii="宋体" w:hAnsi="宋体" w:eastAsia="宋体" w:cs="宋体"/>
          <w:color w:val="auto"/>
          <w:kern w:val="2"/>
          <w:sz w:val="21"/>
          <w:szCs w:val="21"/>
          <w:highlight w:val="none"/>
          <w:lang w:val="en-US" w:eastAsia="zh-CN" w:bidi="ar-SA"/>
        </w:rPr>
      </w:pPr>
    </w:p>
    <w:p w14:paraId="4CF53321">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530CFF29">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4FA3AC27">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70F4072F">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5A199D00">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3A88FB36">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30479A25">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70558D29">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15BBDAB5">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25C4D3F7">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2924D2CF">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71E61832">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3C13F905">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07C1BD01">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14FD0851">
      <w:pPr>
        <w:pageBreakBefore w:val="0"/>
        <w:tabs>
          <w:tab w:val="left" w:pos="1478"/>
        </w:tabs>
        <w:kinsoku/>
        <w:wordWrap/>
        <w:bidi w:val="0"/>
        <w:spacing w:after="0" w:line="360" w:lineRule="auto"/>
        <w:jc w:val="left"/>
        <w:rPr>
          <w:rFonts w:hint="eastAsia" w:ascii="宋体" w:hAnsi="宋体" w:eastAsia="宋体" w:cs="宋体"/>
          <w:color w:val="auto"/>
          <w:sz w:val="21"/>
          <w:szCs w:val="21"/>
          <w:highlight w:val="none"/>
          <w:lang w:val="en-US" w:eastAsia="zh-CN"/>
        </w:rPr>
        <w:sectPr>
          <w:pgSz w:w="11907" w:h="16840"/>
          <w:pgMar w:top="1418" w:right="1134" w:bottom="1134" w:left="1418" w:header="851" w:footer="992" w:gutter="0"/>
          <w:pgNumType w:fmt="decimal"/>
          <w:cols w:space="720" w:num="1"/>
          <w:docGrid w:type="lines" w:linePitch="317" w:charSpace="0"/>
        </w:sectPr>
      </w:pPr>
      <w:r>
        <w:rPr>
          <w:rFonts w:hint="eastAsia" w:ascii="宋体" w:hAnsi="宋体" w:eastAsia="宋体" w:cs="宋体"/>
          <w:color w:val="auto"/>
          <w:sz w:val="21"/>
          <w:szCs w:val="21"/>
          <w:highlight w:val="none"/>
          <w:lang w:val="en-US" w:eastAsia="zh-CN"/>
        </w:rPr>
        <w:tab/>
      </w:r>
    </w:p>
    <w:p w14:paraId="4F44E43C">
      <w:pPr>
        <w:pageBreakBefore w:val="0"/>
        <w:widowControl w:val="0"/>
        <w:numPr>
          <w:ilvl w:val="0"/>
          <w:numId w:val="0"/>
        </w:numPr>
        <w:kinsoku/>
        <w:wordWrap/>
        <w:bidi w:val="0"/>
        <w:spacing w:after="0" w:line="360" w:lineRule="auto"/>
        <w:ind w:left="0" w:leftChars="0" w:firstLine="0" w:firstLineChars="0"/>
        <w:jc w:val="left"/>
        <w:outlineLvl w:val="1"/>
        <w:rPr>
          <w:rFonts w:hint="eastAsia" w:ascii="宋体" w:hAnsi="宋体" w:eastAsia="宋体" w:cs="宋体"/>
          <w:b/>
          <w:bCs/>
          <w:color w:val="auto"/>
          <w:sz w:val="21"/>
          <w:szCs w:val="21"/>
          <w:highlight w:val="none"/>
          <w:lang w:val="en-US" w:eastAsia="zh-CN" w:bidi="ar-SA"/>
        </w:rPr>
      </w:pPr>
      <w:bookmarkStart w:id="166" w:name="_Toc24046"/>
      <w:r>
        <w:rPr>
          <w:rFonts w:hint="eastAsia" w:ascii="宋体" w:hAnsi="宋体" w:eastAsia="宋体" w:cs="宋体"/>
          <w:b/>
          <w:bCs/>
          <w:color w:val="auto"/>
          <w:sz w:val="21"/>
          <w:szCs w:val="21"/>
          <w:highlight w:val="none"/>
          <w:lang w:val="en-US" w:eastAsia="zh-CN" w:bidi="en-US"/>
        </w:rPr>
        <w:t>附件4：工程施工安全协议书</w:t>
      </w:r>
      <w:bookmarkEnd w:id="166"/>
    </w:p>
    <w:p w14:paraId="29689EC1">
      <w:pPr>
        <w:pageBreakBefore w:val="0"/>
        <w:kinsoku/>
        <w:wordWrap/>
        <w:bidi w:val="0"/>
        <w:spacing w:after="0" w:line="36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工程施工安全协议书</w:t>
      </w:r>
    </w:p>
    <w:p w14:paraId="55F1E428">
      <w:pPr>
        <w:pageBreakBefore w:val="0"/>
        <w:kinsoku/>
        <w:wordWrap/>
        <w:bidi w:val="0"/>
        <w:spacing w:after="0" w:line="360" w:lineRule="auto"/>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p w14:paraId="0961C9AC">
      <w:pPr>
        <w:pageBreakBefore w:val="0"/>
        <w:kinsoku/>
        <w:wordWrap/>
        <w:bidi w:val="0"/>
        <w:spacing w:after="0" w:line="360" w:lineRule="auto"/>
        <w:ind w:firstLine="0" w:firstLineChars="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甲方(发包方):</w:t>
      </w:r>
      <w:r>
        <w:rPr>
          <w:rFonts w:hint="eastAsia" w:ascii="宋体" w:hAnsi="宋体" w:cs="宋体"/>
          <w:color w:val="auto"/>
          <w:sz w:val="21"/>
          <w:szCs w:val="21"/>
          <w:highlight w:val="none"/>
          <w:lang w:eastAsia="zh-CN"/>
        </w:rPr>
        <w:t>东莞市新有能源投资有限公司</w:t>
      </w:r>
    </w:p>
    <w:p w14:paraId="11E4D6BA">
      <w:pPr>
        <w:pageBreakBefore w:val="0"/>
        <w:kinsoku/>
        <w:wordWrap/>
        <w:bidi w:val="0"/>
        <w:spacing w:after="0" w:line="360" w:lineRule="auto"/>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代理人:</w:t>
      </w:r>
    </w:p>
    <w:p w14:paraId="7F38745A">
      <w:pPr>
        <w:pageBreakBefore w:val="0"/>
        <w:kinsoku/>
        <w:wordWrap/>
        <w:bidi w:val="0"/>
        <w:spacing w:after="0" w:line="360" w:lineRule="auto"/>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联系电话:</w:t>
      </w:r>
    </w:p>
    <w:p w14:paraId="64DC4272">
      <w:pPr>
        <w:pageBreakBefore w:val="0"/>
        <w:kinsoku/>
        <w:wordWrap/>
        <w:bidi w:val="0"/>
        <w:spacing w:after="0" w:line="360" w:lineRule="auto"/>
        <w:ind w:firstLine="0" w:firstLine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联系地址:</w:t>
      </w:r>
    </w:p>
    <w:p w14:paraId="419AC6A5">
      <w:pPr>
        <w:pageBreakBefore w:val="0"/>
        <w:kinsoku/>
        <w:wordWrap/>
        <w:bidi w:val="0"/>
        <w:spacing w:after="0" w:line="360" w:lineRule="auto"/>
        <w:ind w:firstLine="0" w:firstLine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乙方(承包方):</w:t>
      </w:r>
    </w:p>
    <w:p w14:paraId="71D37A63">
      <w:pPr>
        <w:pageBreakBefore w:val="0"/>
        <w:kinsoku/>
        <w:wordWrap/>
        <w:bidi w:val="0"/>
        <w:spacing w:after="0" w:line="360" w:lineRule="auto"/>
        <w:ind w:firstLine="0" w:firstLineChars="0"/>
        <w:jc w:val="left"/>
        <w:rPr>
          <w:rFonts w:hint="eastAsia" w:ascii="宋体" w:hAnsi="宋体" w:eastAsia="宋体" w:cs="宋体"/>
          <w:bCs w:val="0"/>
          <w:color w:val="auto"/>
          <w:kern w:val="2"/>
          <w:sz w:val="21"/>
          <w:szCs w:val="21"/>
          <w:highlight w:val="none"/>
          <w:u w:val="none"/>
          <w:lang w:val="en-US" w:eastAsia="zh-CN" w:bidi="ar-SA"/>
        </w:rPr>
      </w:pPr>
      <w:r>
        <w:rPr>
          <w:rFonts w:hint="eastAsia" w:ascii="宋体" w:hAnsi="宋体" w:eastAsia="宋体" w:cs="宋体"/>
          <w:color w:val="auto"/>
          <w:sz w:val="21"/>
          <w:szCs w:val="21"/>
          <w:highlight w:val="none"/>
        </w:rPr>
        <w:t>代理人:</w:t>
      </w:r>
    </w:p>
    <w:p w14:paraId="45FC6A9D">
      <w:pPr>
        <w:pageBreakBefore w:val="0"/>
        <w:kinsoku/>
        <w:wordWrap/>
        <w:bidi w:val="0"/>
        <w:spacing w:after="0" w:line="360" w:lineRule="auto"/>
        <w:ind w:firstLine="0" w:firstLineChars="0"/>
        <w:jc w:val="left"/>
        <w:rPr>
          <w:rFonts w:hint="eastAsia" w:ascii="宋体" w:hAnsi="宋体" w:eastAsia="宋体" w:cs="宋体"/>
          <w:color w:val="auto"/>
          <w:sz w:val="21"/>
          <w:szCs w:val="21"/>
          <w:highlight w:val="none"/>
          <w:u w:val="none"/>
          <w:lang w:val="en-US" w:eastAsia="zh-CN"/>
        </w:rPr>
      </w:pPr>
      <w:r>
        <w:rPr>
          <w:rFonts w:hint="eastAsia" w:ascii="宋体" w:hAnsi="宋体" w:eastAsia="宋体" w:cs="宋体"/>
          <w:color w:val="auto"/>
          <w:sz w:val="21"/>
          <w:szCs w:val="21"/>
          <w:highlight w:val="none"/>
        </w:rPr>
        <w:t>联系电话:</w:t>
      </w:r>
    </w:p>
    <w:p w14:paraId="013ECC89">
      <w:pPr>
        <w:pageBreakBefore w:val="0"/>
        <w:kinsoku/>
        <w:wordWrap/>
        <w:bidi w:val="0"/>
        <w:spacing w:after="0" w:line="360" w:lineRule="auto"/>
        <w:ind w:firstLine="0" w:firstLineChars="0"/>
        <w:jc w:val="left"/>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rPr>
        <w:t>联系地址:</w:t>
      </w:r>
    </w:p>
    <w:p w14:paraId="1E0D6E1B">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为了切实加强施工现场安全生产管理，依照《中华人民共和国安全生产法》、《中华人民共和国建筑法》、《中华人民共和国民法典》以及《建设工程安全生产管理条例》建设部《施工现场临时用电安全技术规范》、机电安装相关的标准，双方本着平等、自愿的原则，签订本协议书。</w:t>
      </w:r>
    </w:p>
    <w:p w14:paraId="517CA86F">
      <w:pPr>
        <w:pageBreakBefore w:val="0"/>
        <w:kinsoku/>
        <w:wordWrap/>
        <w:bidi w:val="0"/>
        <w:spacing w:after="0"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第一条管理人员</w:t>
      </w:r>
    </w:p>
    <w:p w14:paraId="77B35DED">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为保证施工安全管理及安全责任，必须明确现场管理人员:</w:t>
      </w:r>
    </w:p>
    <w:p w14:paraId="308846FE">
      <w:pPr>
        <w:pageBreakBefore w:val="0"/>
        <w:numPr>
          <w:ilvl w:val="0"/>
          <w:numId w:val="8"/>
        </w:numPr>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乙方项目负责人:联系电话:</w:t>
      </w:r>
    </w:p>
    <w:p w14:paraId="7939D59D">
      <w:pPr>
        <w:pageBreakBefore w:val="0"/>
        <w:numPr>
          <w:ilvl w:val="0"/>
          <w:numId w:val="8"/>
        </w:numPr>
        <w:kinsoku/>
        <w:wordWrap/>
        <w:bidi w:val="0"/>
        <w:spacing w:after="0" w:line="360" w:lineRule="auto"/>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乙方现场安全负责人:联系电话:</w:t>
      </w:r>
    </w:p>
    <w:p w14:paraId="6ED69DF8">
      <w:pPr>
        <w:pageBreakBefore w:val="0"/>
        <w:kinsoku/>
        <w:wordWrap/>
        <w:bidi w:val="0"/>
        <w:spacing w:after="0"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第二条甲方安全责任</w:t>
      </w:r>
    </w:p>
    <w:p w14:paraId="02DFD89D">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甲方有协助乙方搞好安全生产、防火管理以及督促检查的义务。甲方有权检查督促乙方执行有关安全生产方面的工作规定，对乙方不符合安全文明施工的行为进行制止、纠正并发出安全整改通知书,直至清退出场。</w:t>
      </w:r>
    </w:p>
    <w:p w14:paraId="333856A4">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2、甲方不得要求乙方违反安全管理规定进行施工。因甲方原因导致的事故由甲方承担责任。</w:t>
      </w:r>
    </w:p>
    <w:p w14:paraId="2BAD0769">
      <w:pPr>
        <w:pageBreakBefore w:val="0"/>
        <w:kinsoku/>
        <w:wordWrap/>
        <w:bidi w:val="0"/>
        <w:spacing w:after="0" w:line="360" w:lineRule="auto"/>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第三条乙方安全责任</w:t>
      </w:r>
    </w:p>
    <w:p w14:paraId="0FDF6F45">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乙方作为工程项目的承包方，对工程施工过程中发生的人身伤害、设备损坏事故承担安全责任。乙方应切实履行以下安全责任:</w:t>
      </w:r>
    </w:p>
    <w:p w14:paraId="1EC8E8E8">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1、乙方按照国家的有关规定,为施工人员办理人身保险,配备合格的劳动防护用品、安全用具。</w:t>
      </w:r>
    </w:p>
    <w:p w14:paraId="623DD68B">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2、乙方所提供的承包工程要求的相关资质证明材料应真实、合法、有效。</w:t>
      </w:r>
    </w:p>
    <w:p w14:paraId="2CDB23B8">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3、现场施工应遵守国家和地方关于劳动安全,劳务用工遵守法律法规及规章制度，保证其用工的合法性。</w:t>
      </w:r>
    </w:p>
    <w:p w14:paraId="4797593B">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4、施工期间，乙方应指派专职安全员作为安全工作联系和现场安全管理。</w:t>
      </w:r>
    </w:p>
    <w:p w14:paraId="10D5CD96">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5、施工活动，必须有安全施工措施，施工前对全体施工人员进行全面的安全技术交底，并在整个施工过程正确、完整地执行，无措施或未交底，严禁施工。</w:t>
      </w:r>
    </w:p>
    <w:p w14:paraId="2A2ADD77">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6、开工前，乙方应组织全体施工人员进行安全教育。特种作业人员必须有相关部门核发的合格有效的上岗资格证书。</w:t>
      </w:r>
    </w:p>
    <w:p w14:paraId="588BEA10">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7、乙方应在施工范围装设临时围栏或警告标志,不得超越指定的施工范围进行施工，禁止无关人员进入施工现场。</w:t>
      </w:r>
    </w:p>
    <w:p w14:paraId="39DEF5DC">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8、乙方施工过程中应做到日产、日清，确保施工场地卫生整洁。</w:t>
      </w:r>
    </w:p>
    <w:p w14:paraId="49C965E0">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9、做好文明施工、安全施工</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施工过程中需使用电、水源，应事先与甲方取得联系,不得私拉乱接</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做好施工临时用电</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按规范要求搭设脚手架做好安全防护工作，确保施工人员和乘客安全。</w:t>
      </w:r>
    </w:p>
    <w:p w14:paraId="6E9D79B8">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10、建立整改责任制,对检查中发现的质量安全隐患，采取有效措施立即进行整改，落实专人负责监控，确保质量安全。</w:t>
      </w:r>
    </w:p>
    <w:p w14:paraId="3CAF8032">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11、制定安全紧急情况预案，</w:t>
      </w:r>
      <w:r>
        <w:rPr>
          <w:rFonts w:hint="eastAsia" w:ascii="宋体" w:hAnsi="宋体" w:eastAsia="宋体" w:cs="宋体"/>
          <w:color w:val="auto"/>
          <w:sz w:val="21"/>
          <w:szCs w:val="21"/>
          <w:highlight w:val="none"/>
          <w:lang w:val="en-US" w:eastAsia="zh-CN"/>
        </w:rPr>
        <w:t>一</w:t>
      </w:r>
      <w:r>
        <w:rPr>
          <w:rFonts w:hint="eastAsia" w:ascii="宋体" w:hAnsi="宋体" w:eastAsia="宋体" w:cs="宋体"/>
          <w:color w:val="auto"/>
          <w:sz w:val="21"/>
          <w:szCs w:val="21"/>
          <w:highlight w:val="none"/>
        </w:rPr>
        <w:t>旦发生各类突发事故和紧急情况，要立即启动预案，并按照有关规定及时上报和妥善处理。</w:t>
      </w:r>
    </w:p>
    <w:p w14:paraId="6A7EB8E6">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r>
        <w:rPr>
          <w:rFonts w:hint="eastAsia" w:ascii="宋体" w:hAnsi="宋体" w:eastAsia="宋体" w:cs="宋体"/>
          <w:color w:val="auto"/>
          <w:sz w:val="21"/>
          <w:szCs w:val="21"/>
          <w:highlight w:val="none"/>
          <w:lang w:val="en-US" w:eastAsia="zh-CN"/>
        </w:rPr>
        <w:t>因乙方原因</w:t>
      </w:r>
      <w:r>
        <w:rPr>
          <w:rFonts w:hint="eastAsia" w:ascii="宋体" w:hAnsi="宋体" w:eastAsia="宋体" w:cs="宋体"/>
          <w:color w:val="auto"/>
          <w:sz w:val="21"/>
          <w:szCs w:val="21"/>
          <w:highlight w:val="none"/>
        </w:rPr>
        <w:t>发生以下情况停工整顿，因停工造成的违约责任由乙方承担:</w:t>
      </w:r>
    </w:p>
    <w:p w14:paraId="428DE430">
      <w:pPr>
        <w:pageBreakBefore w:val="0"/>
        <w:kinsoku/>
        <w:wordWrap/>
        <w:bidi w:val="0"/>
        <w:spacing w:after="0"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(1)人身伤亡事故</w:t>
      </w:r>
      <w:r>
        <w:rPr>
          <w:rFonts w:hint="eastAsia" w:ascii="宋体" w:hAnsi="宋体" w:cs="宋体"/>
          <w:color w:val="auto"/>
          <w:sz w:val="21"/>
          <w:szCs w:val="21"/>
          <w:highlight w:val="none"/>
          <w:lang w:eastAsia="zh-CN"/>
        </w:rPr>
        <w:t>；</w:t>
      </w:r>
    </w:p>
    <w:p w14:paraId="4E0B4149">
      <w:pPr>
        <w:pageBreakBefore w:val="0"/>
        <w:kinsoku/>
        <w:wordWrap/>
        <w:bidi w:val="0"/>
        <w:spacing w:after="0"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(2)发生施工机械、生产主设备严重损坏事故</w:t>
      </w:r>
      <w:r>
        <w:rPr>
          <w:rFonts w:hint="eastAsia" w:ascii="宋体" w:hAnsi="宋体" w:cs="宋体"/>
          <w:color w:val="auto"/>
          <w:sz w:val="21"/>
          <w:szCs w:val="21"/>
          <w:highlight w:val="none"/>
          <w:lang w:eastAsia="zh-CN"/>
        </w:rPr>
        <w:t>；</w:t>
      </w:r>
    </w:p>
    <w:p w14:paraId="70AC3A0D">
      <w:pPr>
        <w:pageBreakBefore w:val="0"/>
        <w:kinsoku/>
        <w:wordWrap/>
        <w:bidi w:val="0"/>
        <w:spacing w:after="0"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(3)发生违章作业、冒险作业不听劝告的</w:t>
      </w:r>
      <w:r>
        <w:rPr>
          <w:rFonts w:hint="eastAsia" w:ascii="宋体" w:hAnsi="宋体" w:cs="宋体"/>
          <w:color w:val="auto"/>
          <w:sz w:val="21"/>
          <w:szCs w:val="21"/>
          <w:highlight w:val="none"/>
          <w:lang w:eastAsia="zh-CN"/>
        </w:rPr>
        <w:t>；</w:t>
      </w:r>
    </w:p>
    <w:p w14:paraId="25E8A4DD">
      <w:pPr>
        <w:pageBreakBefore w:val="0"/>
        <w:kinsoku/>
        <w:wordWrap/>
        <w:bidi w:val="0"/>
        <w:spacing w:after="0"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(4)施工现场脏、乱、差，不能满足安全和文明施工要求的</w:t>
      </w:r>
      <w:r>
        <w:rPr>
          <w:rFonts w:hint="eastAsia" w:ascii="宋体" w:hAnsi="宋体" w:cs="宋体"/>
          <w:color w:val="auto"/>
          <w:sz w:val="21"/>
          <w:szCs w:val="21"/>
          <w:highlight w:val="none"/>
          <w:lang w:eastAsia="zh-CN"/>
        </w:rPr>
        <w:t>；</w:t>
      </w:r>
    </w:p>
    <w:p w14:paraId="02A21818">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(5)施工过程中，因违反工程相关规定的，被相关管理机关勒令停工的。</w:t>
      </w:r>
    </w:p>
    <w:p w14:paraId="1E0E73EC">
      <w:pPr>
        <w:pageBreakBefore w:val="0"/>
        <w:kinsoku/>
        <w:wordWrap/>
        <w:bidi w:val="0"/>
        <w:spacing w:after="0" w:line="360" w:lineRule="auto"/>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第四条违约责任</w:t>
      </w:r>
    </w:p>
    <w:p w14:paraId="3213E065">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1、由于乙方责任造成对第三方的人身伤害、设备损坏等财产损失，由乙方承担相应责任，并赔偿第三方因此造成的全部损失。</w:t>
      </w:r>
    </w:p>
    <w:p w14:paraId="04CD767E">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2、乙方未指定安监人员</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未能正确、全面执行安全技术措施、施工组织设计</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施工人员未掌握本工程项目特点及施工安全措施</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甲方有权要求乙方立即停工整改,由此弓|起的后果及损失由乙方承担。</w:t>
      </w:r>
    </w:p>
    <w:p w14:paraId="7C4768A9">
      <w:pPr>
        <w:pageBreakBefore w:val="0"/>
        <w:kinsoku/>
        <w:wordWrap/>
        <w:bidi w:val="0"/>
        <w:spacing w:after="0" w:line="360" w:lineRule="auto"/>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第五条出险理赔责任</w:t>
      </w:r>
    </w:p>
    <w:p w14:paraId="51CBED2A">
      <w:pPr>
        <w:pageBreakBefore w:val="0"/>
        <w:kinsoku/>
        <w:wordWrap/>
        <w:bidi w:val="0"/>
        <w:spacing w:after="0"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对于施工过程中出现意外，造成人身伤事故，由保险公司依据相关条例规定和额度负责理赔，</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不承担赔偿责任。</w:t>
      </w:r>
      <w:r>
        <w:rPr>
          <w:rFonts w:hint="eastAsia" w:ascii="宋体" w:hAnsi="宋体" w:eastAsia="宋体" w:cs="宋体"/>
          <w:color w:val="auto"/>
          <w:sz w:val="21"/>
          <w:szCs w:val="21"/>
          <w:highlight w:val="none"/>
          <w:lang w:val="en-US" w:eastAsia="zh-CN"/>
        </w:rPr>
        <w:t>如</w:t>
      </w:r>
      <w:r>
        <w:rPr>
          <w:rFonts w:hint="eastAsia" w:ascii="宋体" w:hAnsi="宋体" w:eastAsia="宋体" w:cs="宋体"/>
          <w:color w:val="auto"/>
          <w:sz w:val="21"/>
          <w:szCs w:val="21"/>
          <w:highlight w:val="none"/>
          <w:lang w:val="en-US" w:eastAsia="zh-Hans"/>
        </w:rPr>
        <w:t>从</w:t>
      </w:r>
      <w:r>
        <w:rPr>
          <w:rFonts w:hint="eastAsia" w:ascii="宋体" w:hAnsi="宋体" w:eastAsia="宋体" w:cs="宋体"/>
          <w:color w:val="auto"/>
          <w:sz w:val="21"/>
          <w:szCs w:val="21"/>
          <w:highlight w:val="none"/>
          <w:lang w:val="en-US" w:eastAsia="zh-CN"/>
        </w:rPr>
        <w:t>承保人处获得的</w:t>
      </w:r>
      <w:r>
        <w:rPr>
          <w:rFonts w:hint="eastAsia" w:ascii="宋体" w:hAnsi="宋体" w:eastAsia="宋体" w:cs="宋体"/>
          <w:color w:val="auto"/>
          <w:sz w:val="21"/>
          <w:szCs w:val="21"/>
          <w:highlight w:val="none"/>
          <w:lang w:val="en-US" w:eastAsia="zh-Hans"/>
        </w:rPr>
        <w:t>保险金</w:t>
      </w:r>
      <w:r>
        <w:rPr>
          <w:rFonts w:hint="eastAsia" w:ascii="宋体" w:hAnsi="宋体" w:eastAsia="宋体" w:cs="宋体"/>
          <w:color w:val="auto"/>
          <w:sz w:val="21"/>
          <w:szCs w:val="21"/>
          <w:highlight w:val="none"/>
          <w:lang w:val="en-US" w:eastAsia="zh-CN"/>
        </w:rPr>
        <w:t>不能全额补偿乙方或第三方损失的差额部分及免赔额，由乙方自行负责。</w:t>
      </w:r>
    </w:p>
    <w:p w14:paraId="057A051D">
      <w:pPr>
        <w:pageBreakBefore w:val="0"/>
        <w:kinsoku/>
        <w:wordWrap/>
        <w:bidi w:val="0"/>
        <w:spacing w:after="0" w:line="360" w:lineRule="auto"/>
        <w:ind w:firstLine="422" w:firstLineChars="20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第六条</w:t>
      </w:r>
      <w:r>
        <w:rPr>
          <w:rFonts w:hint="eastAsia" w:ascii="宋体" w:hAnsi="宋体" w:eastAsia="宋体" w:cs="宋体"/>
          <w:color w:val="auto"/>
          <w:sz w:val="21"/>
          <w:szCs w:val="21"/>
          <w:highlight w:val="none"/>
        </w:rPr>
        <w:t>甲乙双方必须严格执行本协议,本协议的法律效力独立于主合同。</w:t>
      </w:r>
    </w:p>
    <w:p w14:paraId="7D6E3693">
      <w:pPr>
        <w:pageBreakBefore w:val="0"/>
        <w:kinsoku/>
        <w:wordWrap/>
        <w:bidi w:val="0"/>
        <w:spacing w:after="0" w:line="360" w:lineRule="auto"/>
        <w:ind w:firstLine="422" w:firstLineChars="20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第七条</w:t>
      </w:r>
      <w:r>
        <w:rPr>
          <w:rFonts w:hint="eastAsia" w:ascii="宋体" w:hAnsi="宋体" w:eastAsia="宋体" w:cs="宋体"/>
          <w:color w:val="auto"/>
          <w:sz w:val="21"/>
          <w:szCs w:val="21"/>
          <w:highlight w:val="none"/>
        </w:rPr>
        <w:t>本协议经双方法定代表人或委托代理人签字盖章后生效。</w:t>
      </w:r>
    </w:p>
    <w:p w14:paraId="2A5F02F0">
      <w:pPr>
        <w:pageBreakBefore w:val="0"/>
        <w:kinsoku/>
        <w:wordWrap/>
        <w:bidi w:val="0"/>
        <w:spacing w:after="0" w:line="360" w:lineRule="auto"/>
        <w:ind w:firstLine="422" w:firstLineChars="20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第八条</w:t>
      </w:r>
      <w:r>
        <w:rPr>
          <w:rFonts w:hint="eastAsia" w:ascii="宋体" w:hAnsi="宋体" w:eastAsia="宋体" w:cs="宋体"/>
          <w:color w:val="auto"/>
          <w:sz w:val="21"/>
          <w:szCs w:val="21"/>
          <w:highlight w:val="none"/>
        </w:rPr>
        <w:t>本协议</w:t>
      </w:r>
      <w:r>
        <w:rPr>
          <w:rFonts w:hint="eastAsia" w:ascii="宋体" w:hAnsi="宋体" w:eastAsia="宋体" w:cs="宋体"/>
          <w:color w:val="auto"/>
          <w:sz w:val="21"/>
          <w:szCs w:val="21"/>
          <w:highlight w:val="none"/>
          <w:lang w:val="en-US" w:eastAsia="zh-CN"/>
        </w:rPr>
        <w:t>一</w:t>
      </w:r>
      <w:r>
        <w:rPr>
          <w:rFonts w:hint="eastAsia" w:ascii="宋体" w:hAnsi="宋体" w:eastAsia="宋体" w:cs="宋体"/>
          <w:color w:val="auto"/>
          <w:sz w:val="21"/>
          <w:szCs w:val="21"/>
          <w:highlight w:val="none"/>
        </w:rPr>
        <w:t>式</w:t>
      </w:r>
      <w:r>
        <w:rPr>
          <w:rFonts w:hint="eastAsia" w:ascii="宋体" w:hAnsi="宋体" w:eastAsia="宋体" w:cs="宋体"/>
          <w:color w:val="auto"/>
          <w:sz w:val="21"/>
          <w:szCs w:val="21"/>
          <w:highlight w:val="none"/>
          <w:lang w:val="en-US" w:eastAsia="zh-CN"/>
        </w:rPr>
        <w:t>肆</w:t>
      </w:r>
      <w:r>
        <w:rPr>
          <w:rFonts w:hint="eastAsia" w:ascii="宋体" w:hAnsi="宋体" w:eastAsia="宋体" w:cs="宋体"/>
          <w:color w:val="auto"/>
          <w:sz w:val="21"/>
          <w:szCs w:val="21"/>
          <w:highlight w:val="none"/>
        </w:rPr>
        <w:t>份，甲</w:t>
      </w:r>
      <w:r>
        <w:rPr>
          <w:rFonts w:hint="eastAsia" w:ascii="宋体" w:hAnsi="宋体" w:eastAsia="宋体" w:cs="宋体"/>
          <w:color w:val="auto"/>
          <w:sz w:val="21"/>
          <w:szCs w:val="21"/>
          <w:highlight w:val="none"/>
          <w:lang w:val="en-US" w:eastAsia="zh-CN"/>
        </w:rPr>
        <w:t>乙</w:t>
      </w:r>
      <w:r>
        <w:rPr>
          <w:rFonts w:hint="eastAsia" w:ascii="宋体" w:hAnsi="宋体" w:eastAsia="宋体" w:cs="宋体"/>
          <w:color w:val="auto"/>
          <w:sz w:val="21"/>
          <w:szCs w:val="21"/>
          <w:highlight w:val="none"/>
        </w:rPr>
        <w:t>双方各执</w:t>
      </w:r>
      <w:r>
        <w:rPr>
          <w:rFonts w:hint="eastAsia" w:ascii="宋体" w:hAnsi="宋体" w:eastAsia="宋体" w:cs="宋体"/>
          <w:color w:val="auto"/>
          <w:sz w:val="21"/>
          <w:szCs w:val="21"/>
          <w:highlight w:val="none"/>
          <w:lang w:val="en-US" w:eastAsia="zh-CN"/>
        </w:rPr>
        <w:t>贰</w:t>
      </w:r>
      <w:r>
        <w:rPr>
          <w:rFonts w:hint="eastAsia" w:ascii="宋体" w:hAnsi="宋体" w:eastAsia="宋体" w:cs="宋体"/>
          <w:color w:val="auto"/>
          <w:sz w:val="21"/>
          <w:szCs w:val="21"/>
          <w:highlight w:val="none"/>
        </w:rPr>
        <w:t>份。</w:t>
      </w:r>
    </w:p>
    <w:p w14:paraId="6C8626DD">
      <w:pPr>
        <w:pageBreakBefore w:val="0"/>
        <w:kinsoku/>
        <w:wordWrap/>
        <w:bidi w:val="0"/>
        <w:spacing w:after="0" w:line="360" w:lineRule="auto"/>
        <w:ind w:firstLine="422" w:firstLineChars="20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第九条</w:t>
      </w:r>
      <w:r>
        <w:rPr>
          <w:rFonts w:hint="eastAsia" w:ascii="宋体" w:hAnsi="宋体" w:eastAsia="宋体" w:cs="宋体"/>
          <w:color w:val="auto"/>
          <w:sz w:val="21"/>
          <w:szCs w:val="21"/>
          <w:highlight w:val="none"/>
        </w:rPr>
        <w:t>本协议签订地点在。</w:t>
      </w:r>
    </w:p>
    <w:p w14:paraId="291948F5">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670CB6F6">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6A06FEC6">
      <w:pPr>
        <w:pageBreakBefore w:val="0"/>
        <w:kinsoku/>
        <w:wordWrap/>
        <w:bidi w:val="0"/>
        <w:spacing w:after="0" w:line="360" w:lineRule="auto"/>
        <w:rPr>
          <w:rFonts w:hint="eastAsia" w:ascii="宋体" w:hAnsi="宋体" w:eastAsia="宋体" w:cs="宋体"/>
          <w:b w:val="0"/>
          <w:bCs w:val="0"/>
          <w:color w:val="auto"/>
          <w:sz w:val="21"/>
          <w:szCs w:val="21"/>
          <w:highlight w:val="none"/>
        </w:rPr>
      </w:pPr>
      <w:r>
        <w:rPr>
          <w:rFonts w:hint="eastAsia" w:ascii="宋体" w:hAnsi="宋体" w:eastAsia="宋体" w:cs="宋体"/>
          <w:color w:val="auto"/>
          <w:sz w:val="21"/>
          <w:szCs w:val="21"/>
          <w:highlight w:val="none"/>
          <w:lang w:val="en-US" w:eastAsia="zh-CN"/>
        </w:rPr>
        <w:t>以下无正文</w:t>
      </w:r>
    </w:p>
    <w:tbl>
      <w:tblPr>
        <w:tblStyle w:val="32"/>
        <w:tblpPr w:leftFromText="180" w:rightFromText="180" w:vertAnchor="text" w:horzAnchor="page" w:tblpX="1360" w:tblpY="443"/>
        <w:tblOverlap w:val="never"/>
        <w:tblW w:w="4999" w:type="pct"/>
        <w:tblInd w:w="0" w:type="dxa"/>
        <w:tblLayout w:type="autofit"/>
        <w:tblCellMar>
          <w:top w:w="0" w:type="dxa"/>
          <w:left w:w="108" w:type="dxa"/>
          <w:bottom w:w="0" w:type="dxa"/>
          <w:right w:w="108" w:type="dxa"/>
        </w:tblCellMar>
      </w:tblPr>
      <w:tblGrid>
        <w:gridCol w:w="5240"/>
        <w:gridCol w:w="4720"/>
      </w:tblGrid>
      <w:tr w14:paraId="58C4D247">
        <w:tblPrEx>
          <w:tblCellMar>
            <w:top w:w="0" w:type="dxa"/>
            <w:left w:w="108" w:type="dxa"/>
            <w:bottom w:w="0" w:type="dxa"/>
            <w:right w:w="108" w:type="dxa"/>
          </w:tblCellMar>
        </w:tblPrEx>
        <w:tc>
          <w:tcPr>
            <w:tcW w:w="2630" w:type="pct"/>
            <w:noWrap w:val="0"/>
            <w:vAlign w:val="top"/>
          </w:tcPr>
          <w:p w14:paraId="4931E379">
            <w:pPr>
              <w:pageBreakBefore w:val="0"/>
              <w:kinsoku/>
              <w:wordWrap/>
              <w:bidi w:val="0"/>
              <w:spacing w:after="0" w:line="360" w:lineRule="auto"/>
              <w:rPr>
                <w:rFonts w:hint="eastAsia" w:ascii="宋体" w:hAnsi="宋体" w:eastAsia="宋体" w:cs="宋体"/>
                <w:b/>
                <w:bCs/>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甲方（盖章）：</w:t>
            </w:r>
            <w:r>
              <w:rPr>
                <w:rFonts w:hint="eastAsia" w:ascii="宋体" w:hAnsi="宋体" w:cs="宋体"/>
                <w:color w:val="auto"/>
                <w:sz w:val="21"/>
                <w:szCs w:val="21"/>
                <w:highlight w:val="none"/>
                <w:lang w:val="en-US" w:eastAsia="zh-CN"/>
              </w:rPr>
              <w:t>东莞市新有能源投资有限公司</w:t>
            </w:r>
          </w:p>
        </w:tc>
        <w:tc>
          <w:tcPr>
            <w:tcW w:w="2369" w:type="pct"/>
            <w:noWrap w:val="0"/>
            <w:vAlign w:val="top"/>
          </w:tcPr>
          <w:p w14:paraId="444B3CE6">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乙方(盖章)：</w:t>
            </w:r>
          </w:p>
        </w:tc>
      </w:tr>
      <w:tr w14:paraId="41CDE60A">
        <w:tblPrEx>
          <w:tblCellMar>
            <w:top w:w="0" w:type="dxa"/>
            <w:left w:w="108" w:type="dxa"/>
            <w:bottom w:w="0" w:type="dxa"/>
            <w:right w:w="108" w:type="dxa"/>
          </w:tblCellMar>
        </w:tblPrEx>
        <w:tc>
          <w:tcPr>
            <w:tcW w:w="2630" w:type="pct"/>
            <w:noWrap w:val="0"/>
            <w:vAlign w:val="top"/>
          </w:tcPr>
          <w:p w14:paraId="5219E927">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法定代表人或</w:t>
            </w:r>
          </w:p>
          <w:p w14:paraId="6A4F8334">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授权代表(签章)：</w:t>
            </w:r>
          </w:p>
        </w:tc>
        <w:tc>
          <w:tcPr>
            <w:tcW w:w="2369" w:type="pct"/>
            <w:noWrap w:val="0"/>
            <w:vAlign w:val="top"/>
          </w:tcPr>
          <w:p w14:paraId="063BC4A9">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法定代表人或</w:t>
            </w:r>
          </w:p>
          <w:p w14:paraId="58529584">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授权代表(签章)：</w:t>
            </w:r>
          </w:p>
          <w:p w14:paraId="2935AFFF">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tc>
      </w:tr>
      <w:tr w14:paraId="2DDA23DD">
        <w:tblPrEx>
          <w:tblCellMar>
            <w:top w:w="0" w:type="dxa"/>
            <w:left w:w="108" w:type="dxa"/>
            <w:bottom w:w="0" w:type="dxa"/>
            <w:right w:w="108" w:type="dxa"/>
          </w:tblCellMar>
        </w:tblPrEx>
        <w:tc>
          <w:tcPr>
            <w:tcW w:w="2630" w:type="pct"/>
            <w:noWrap w:val="0"/>
            <w:vAlign w:val="top"/>
          </w:tcPr>
          <w:p w14:paraId="7E2E5263">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241CD209">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签订日期：</w:t>
            </w:r>
            <w:r>
              <w:rPr>
                <w:rFonts w:hint="eastAsia" w:ascii="宋体"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lang w:val="en-US" w:eastAsia="zh-CN"/>
              </w:rPr>
              <w:t>年</w:t>
            </w:r>
            <w:r>
              <w:rPr>
                <w:rFonts w:hint="eastAsia" w:ascii="宋体"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lang w:val="en-US" w:eastAsia="zh-CN"/>
              </w:rPr>
              <w:t>日</w:t>
            </w:r>
          </w:p>
        </w:tc>
        <w:tc>
          <w:tcPr>
            <w:tcW w:w="2369" w:type="pct"/>
            <w:noWrap w:val="0"/>
            <w:vAlign w:val="top"/>
          </w:tcPr>
          <w:p w14:paraId="04A0AA0E">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1322C486">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签订日期：</w:t>
            </w:r>
            <w:r>
              <w:rPr>
                <w:rFonts w:hint="eastAsia" w:ascii="宋体"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lang w:val="en-US" w:eastAsia="zh-CN"/>
              </w:rPr>
              <w:t>年</w:t>
            </w:r>
            <w:r>
              <w:rPr>
                <w:rFonts w:hint="eastAsia" w:ascii="宋体"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lang w:val="en-US" w:eastAsia="zh-CN"/>
              </w:rPr>
              <w:t>日</w:t>
            </w:r>
          </w:p>
        </w:tc>
      </w:tr>
    </w:tbl>
    <w:p w14:paraId="69CCAFDF">
      <w:pPr>
        <w:pageBreakBefore w:val="0"/>
        <w:widowControl w:val="0"/>
        <w:kinsoku/>
        <w:wordWrap/>
        <w:bidi w:val="0"/>
        <w:spacing w:after="0" w:line="360" w:lineRule="auto"/>
        <w:ind w:left="0" w:leftChars="0" w:firstLine="0" w:firstLineChars="0"/>
        <w:jc w:val="both"/>
        <w:outlineLvl w:val="9"/>
        <w:rPr>
          <w:rFonts w:hint="eastAsia" w:ascii="宋体" w:hAnsi="宋体" w:eastAsia="宋体" w:cs="宋体"/>
          <w:bCs/>
          <w:color w:val="auto"/>
          <w:sz w:val="21"/>
          <w:szCs w:val="21"/>
          <w:highlight w:val="none"/>
          <w:lang w:val="en-US" w:eastAsia="zh-CN" w:bidi="ar-SA"/>
        </w:rPr>
      </w:pPr>
    </w:p>
    <w:p w14:paraId="7E59FA12">
      <w:pPr>
        <w:pageBreakBefore w:val="0"/>
        <w:widowControl w:val="0"/>
        <w:kinsoku/>
        <w:wordWrap/>
        <w:bidi w:val="0"/>
        <w:spacing w:after="0" w:line="360" w:lineRule="auto"/>
        <w:ind w:left="0" w:leftChars="0" w:firstLine="0" w:firstLineChars="0"/>
        <w:jc w:val="both"/>
        <w:outlineLvl w:val="9"/>
        <w:rPr>
          <w:rFonts w:hint="eastAsia" w:ascii="宋体" w:hAnsi="宋体" w:eastAsia="宋体" w:cs="宋体"/>
          <w:bCs/>
          <w:color w:val="auto"/>
          <w:sz w:val="21"/>
          <w:szCs w:val="21"/>
          <w:highlight w:val="none"/>
          <w:lang w:val="en-US" w:eastAsia="zh-CN" w:bidi="ar-SA"/>
        </w:rPr>
      </w:pPr>
    </w:p>
    <w:p w14:paraId="533A4C41">
      <w:pPr>
        <w:pageBreakBefore w:val="0"/>
        <w:widowControl w:val="0"/>
        <w:numPr>
          <w:ilvl w:val="0"/>
          <w:numId w:val="0"/>
        </w:numPr>
        <w:kinsoku/>
        <w:wordWrap/>
        <w:bidi w:val="0"/>
        <w:spacing w:after="0" w:line="360" w:lineRule="auto"/>
        <w:ind w:left="0" w:leftChars="0" w:firstLine="0" w:firstLineChars="0"/>
        <w:jc w:val="left"/>
        <w:outlineLvl w:val="9"/>
        <w:rPr>
          <w:rFonts w:hint="eastAsia" w:ascii="宋体" w:hAnsi="宋体" w:eastAsia="宋体" w:cs="宋体"/>
          <w:b/>
          <w:bCs/>
          <w:color w:val="auto"/>
          <w:sz w:val="21"/>
          <w:szCs w:val="21"/>
          <w:highlight w:val="none"/>
          <w:lang w:val="en-US" w:eastAsia="zh-CN" w:bidi="en-US"/>
        </w:rPr>
      </w:pPr>
    </w:p>
    <w:p w14:paraId="2F2A37DA">
      <w:pPr>
        <w:pageBreakBefore w:val="0"/>
        <w:widowControl w:val="0"/>
        <w:numPr>
          <w:ilvl w:val="0"/>
          <w:numId w:val="0"/>
        </w:numPr>
        <w:kinsoku/>
        <w:wordWrap/>
        <w:bidi w:val="0"/>
        <w:spacing w:after="0" w:line="360" w:lineRule="auto"/>
        <w:ind w:left="0" w:leftChars="0" w:firstLine="0" w:firstLineChars="0"/>
        <w:jc w:val="left"/>
        <w:outlineLvl w:val="9"/>
        <w:rPr>
          <w:rFonts w:hint="eastAsia" w:ascii="宋体" w:hAnsi="宋体" w:eastAsia="宋体" w:cs="宋体"/>
          <w:b/>
          <w:bCs/>
          <w:color w:val="auto"/>
          <w:sz w:val="21"/>
          <w:szCs w:val="21"/>
          <w:highlight w:val="none"/>
          <w:lang w:val="en-US" w:eastAsia="zh-CN" w:bidi="en-US"/>
        </w:rPr>
      </w:pPr>
    </w:p>
    <w:p w14:paraId="7D4957DD">
      <w:pPr>
        <w:spacing w:after="200" w:line="240" w:lineRule="auto"/>
        <w:outlineLvl w:val="9"/>
        <w:rPr>
          <w:rFonts w:hint="eastAsia" w:ascii="宋体" w:hAnsi="宋体" w:eastAsia="宋体" w:cs="宋体"/>
          <w:b/>
          <w:color w:val="auto"/>
          <w:sz w:val="21"/>
          <w:szCs w:val="21"/>
          <w:highlight w:val="none"/>
          <w:lang w:bidi="en-US"/>
        </w:rPr>
      </w:pPr>
      <w:r>
        <w:rPr>
          <w:rFonts w:hint="eastAsia" w:ascii="宋体" w:hAnsi="宋体" w:eastAsia="宋体" w:cs="宋体"/>
          <w:b/>
          <w:color w:val="auto"/>
          <w:sz w:val="21"/>
          <w:szCs w:val="21"/>
          <w:highlight w:val="none"/>
          <w:lang w:bidi="en-US"/>
        </w:rPr>
        <w:br w:type="page"/>
      </w:r>
    </w:p>
    <w:p w14:paraId="35E7FAB5">
      <w:pPr>
        <w:pageBreakBefore w:val="0"/>
        <w:widowControl w:val="0"/>
        <w:numPr>
          <w:ilvl w:val="0"/>
          <w:numId w:val="0"/>
        </w:numPr>
        <w:kinsoku/>
        <w:wordWrap/>
        <w:bidi w:val="0"/>
        <w:spacing w:after="0" w:line="360" w:lineRule="auto"/>
        <w:ind w:left="0" w:leftChars="0" w:firstLine="0" w:firstLineChars="0"/>
        <w:jc w:val="left"/>
        <w:outlineLvl w:val="1"/>
        <w:rPr>
          <w:rFonts w:hint="eastAsia" w:ascii="宋体" w:hAnsi="宋体" w:eastAsia="宋体" w:cs="宋体"/>
          <w:b/>
          <w:bCs/>
          <w:color w:val="auto"/>
          <w:sz w:val="21"/>
          <w:szCs w:val="21"/>
          <w:highlight w:val="none"/>
          <w:lang w:val="en-US" w:eastAsia="zh-CN" w:bidi="ar-SA"/>
        </w:rPr>
      </w:pPr>
      <w:bookmarkStart w:id="167" w:name="_Toc1131"/>
      <w:r>
        <w:rPr>
          <w:rFonts w:hint="eastAsia" w:ascii="宋体" w:hAnsi="宋体" w:eastAsia="宋体" w:cs="宋体"/>
          <w:b/>
          <w:bCs/>
          <w:color w:val="auto"/>
          <w:sz w:val="21"/>
          <w:szCs w:val="21"/>
          <w:highlight w:val="none"/>
          <w:lang w:val="en-US" w:eastAsia="zh-CN" w:bidi="en-US"/>
        </w:rPr>
        <w:t>附件5：承包商违章处罚条款</w:t>
      </w:r>
      <w:bookmarkEnd w:id="167"/>
    </w:p>
    <w:tbl>
      <w:tblPr>
        <w:tblStyle w:val="32"/>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0"/>
        <w:gridCol w:w="4919"/>
        <w:gridCol w:w="1198"/>
        <w:gridCol w:w="508"/>
        <w:gridCol w:w="606"/>
        <w:gridCol w:w="686"/>
        <w:gridCol w:w="686"/>
        <w:gridCol w:w="783"/>
      </w:tblGrid>
      <w:tr w14:paraId="5366CA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7" w:hRule="atLeast"/>
        </w:trPr>
        <w:tc>
          <w:tcPr>
            <w:tcW w:w="286" w:type="pct"/>
            <w:tcBorders>
              <w:top w:val="single" w:color="auto" w:sz="4" w:space="0"/>
              <w:left w:val="single" w:color="000000" w:sz="4" w:space="0"/>
              <w:bottom w:val="single" w:color="000000" w:sz="4" w:space="0"/>
              <w:right w:val="single" w:color="000000" w:sz="4" w:space="0"/>
            </w:tcBorders>
            <w:shd w:val="clear" w:color="auto" w:fill="auto"/>
            <w:vAlign w:val="center"/>
          </w:tcPr>
          <w:p w14:paraId="3B5FC6A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2468" w:type="pct"/>
            <w:tcBorders>
              <w:top w:val="single" w:color="auto" w:sz="4" w:space="0"/>
              <w:left w:val="single" w:color="000000" w:sz="4" w:space="0"/>
              <w:bottom w:val="single" w:color="000000" w:sz="4" w:space="0"/>
              <w:right w:val="single" w:color="000000" w:sz="4" w:space="0"/>
            </w:tcBorders>
            <w:shd w:val="clear" w:color="auto" w:fill="auto"/>
            <w:vAlign w:val="center"/>
          </w:tcPr>
          <w:p w14:paraId="1936E4B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违章现象</w:t>
            </w:r>
          </w:p>
        </w:tc>
        <w:tc>
          <w:tcPr>
            <w:tcW w:w="601" w:type="pct"/>
            <w:tcBorders>
              <w:top w:val="single" w:color="auto" w:sz="4" w:space="0"/>
              <w:left w:val="single" w:color="000000" w:sz="4" w:space="0"/>
              <w:bottom w:val="single" w:color="000000" w:sz="4" w:space="0"/>
              <w:right w:val="single" w:color="000000" w:sz="4" w:space="0"/>
            </w:tcBorders>
            <w:shd w:val="clear" w:color="auto" w:fill="auto"/>
            <w:vAlign w:val="center"/>
          </w:tcPr>
          <w:p w14:paraId="6A0D422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违章类型</w:t>
            </w:r>
          </w:p>
        </w:tc>
        <w:tc>
          <w:tcPr>
            <w:tcW w:w="255" w:type="pct"/>
            <w:tcBorders>
              <w:top w:val="single" w:color="auto" w:sz="4" w:space="0"/>
              <w:left w:val="single" w:color="000000" w:sz="4" w:space="0"/>
              <w:bottom w:val="single" w:color="000000" w:sz="4" w:space="0"/>
              <w:right w:val="single" w:color="000000" w:sz="4" w:space="0"/>
            </w:tcBorders>
            <w:shd w:val="clear" w:color="auto" w:fill="auto"/>
            <w:vAlign w:val="center"/>
          </w:tcPr>
          <w:p w14:paraId="495C67E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严重性</w:t>
            </w:r>
          </w:p>
        </w:tc>
        <w:tc>
          <w:tcPr>
            <w:tcW w:w="304" w:type="pct"/>
            <w:tcBorders>
              <w:top w:val="single" w:color="auto" w:sz="4" w:space="0"/>
              <w:left w:val="single" w:color="000000" w:sz="4" w:space="0"/>
              <w:bottom w:val="single" w:color="000000" w:sz="4" w:space="0"/>
              <w:right w:val="single" w:color="000000" w:sz="4" w:space="0"/>
            </w:tcBorders>
            <w:shd w:val="clear" w:color="auto" w:fill="auto"/>
            <w:vAlign w:val="center"/>
          </w:tcPr>
          <w:p w14:paraId="3C74890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第一次</w:t>
            </w:r>
          </w:p>
        </w:tc>
        <w:tc>
          <w:tcPr>
            <w:tcW w:w="344" w:type="pct"/>
            <w:tcBorders>
              <w:top w:val="single" w:color="auto" w:sz="4" w:space="0"/>
              <w:left w:val="single" w:color="000000" w:sz="4" w:space="0"/>
              <w:bottom w:val="single" w:color="000000" w:sz="4" w:space="0"/>
              <w:right w:val="single" w:color="000000" w:sz="4" w:space="0"/>
            </w:tcBorders>
            <w:shd w:val="clear" w:color="auto" w:fill="auto"/>
            <w:vAlign w:val="center"/>
          </w:tcPr>
          <w:p w14:paraId="40FD3BC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第二次</w:t>
            </w:r>
          </w:p>
        </w:tc>
        <w:tc>
          <w:tcPr>
            <w:tcW w:w="344" w:type="pct"/>
            <w:tcBorders>
              <w:top w:val="single" w:color="auto" w:sz="4" w:space="0"/>
              <w:left w:val="single" w:color="000000" w:sz="4" w:space="0"/>
              <w:bottom w:val="single" w:color="000000" w:sz="4" w:space="0"/>
              <w:right w:val="single" w:color="000000" w:sz="4" w:space="0"/>
            </w:tcBorders>
            <w:shd w:val="clear" w:color="auto" w:fill="auto"/>
            <w:vAlign w:val="center"/>
          </w:tcPr>
          <w:p w14:paraId="695D743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第三次</w:t>
            </w:r>
          </w:p>
        </w:tc>
        <w:tc>
          <w:tcPr>
            <w:tcW w:w="393" w:type="pct"/>
            <w:tcBorders>
              <w:top w:val="single" w:color="auto" w:sz="4" w:space="0"/>
              <w:left w:val="single" w:color="000000" w:sz="4" w:space="0"/>
              <w:bottom w:val="single" w:color="000000" w:sz="4" w:space="0"/>
              <w:right w:val="single" w:color="000000" w:sz="4" w:space="0"/>
            </w:tcBorders>
            <w:shd w:val="clear" w:color="auto" w:fill="auto"/>
            <w:vAlign w:val="center"/>
          </w:tcPr>
          <w:p w14:paraId="101AE44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备注</w:t>
            </w:r>
          </w:p>
        </w:tc>
      </w:tr>
      <w:tr w14:paraId="69366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2"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370D5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161AB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没有按规定做好围蔽、五牌一图、摄像头、警示牌（等）、防暑用品，按合同约定设立项目部（如有）</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C6D6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D52FF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3B03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0C0A7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5B4CD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4F2A3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单位：元/次</w:t>
            </w:r>
          </w:p>
        </w:tc>
      </w:tr>
      <w:tr w14:paraId="4455A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0D9B9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1FE59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不组织班前、班后会及其他安全活动</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安全技术交底记录中未签字、代签字或机打签字。</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1363C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75556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22CD5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08B11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9258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276218">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0D8D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B76D5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CEF5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不按照交底宣贯的施工样板技术规范施工，施工工艺、材料设备质量不合符规范。</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0F32D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材料质量</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76039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97AC3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C94EF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EF1E0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6944CC">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BB6E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6"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2C537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2A713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不按规定同步更新施工过程资料（施工图片、施工日志、材料报审、进度汇报等）、竣工资料</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施工日志没有当天发到工作群。</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E60F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信息传递</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8B5FE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B475B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57FA3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E4439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9409B">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4400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8007A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53F6F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当日施工完毕后未对现场进行整理及垃圾清理，现场混乱。</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09435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D4D07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8A082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F58BB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B9B36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950491">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2D7F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787D7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E807D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工程进度滞后超过3天（自然日），且未经甲方项目负责人书面同意延期的。（不可抗力因素除外）</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901A4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进度管控</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05A53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25213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D1E14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B015F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8185EA">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B367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C4F62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1A2D0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总承包单位在实施过程中，因施工单位原因，收到业主单位/客户/监管部门投诉。</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A8742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E879C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EE18A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0AA8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95E0F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D0CB71">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A7F2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D8C9A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0A44D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施工现场存在坑洞、高空坠落物、触电、滑倒等危险因素的场地,未设置醒目标识、护栏或围栏。</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778F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安全措施</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9556F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58CFA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D4325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52AAE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519E80">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7013F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633D4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A2631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施工人员在非指定区域吸烟、乱丢烟头的</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不按指定路线出入施工区域且不听劝阻。</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A2AD0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AF49F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491A2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0C20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E3D2F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66BFF">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23C6C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7597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4A48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施工现场未确定监工及现场安全管理人员或监工、现场安全管理人员未在现场督导。</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AF13E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安全措施</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E4736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57D3E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141F8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4289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77465">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BBD0F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C2DA1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93B8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施工人员不听劝阻等正常管理，而采取抵触、漫骂等行为</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06021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F98FF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55231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9CC41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6CFAF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4CC892">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68A6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348EB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39944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违规碰撞、踩踏、破坏储能设备</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没做好基础成品保护的。</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647BB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02D09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6CEBC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8C034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6913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DF0A79">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AB89B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8499E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13</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400A6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不当施工或行为造成空气/土壤/水污染且未采取任何恢复措施者。</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6BE57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53925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60792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C65E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B8EDB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3668E4">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12D8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6"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3E7FD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4A9B3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施工现场发生危险，未令停止作业及未告知甲方或监理人员，发生事故者</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工作场所发生职业伤害，未通报甲方且未依照相关规定办理。</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2A403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D6E6D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61B9E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B2F8C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BFAAD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0917A7">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0E26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6"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FB460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37A1A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未经停电、验电、接地即开展作业，未按照工作票所列“应装设的接地”要求装设接地或工作地点未装设封闭接地，擅自变更接地位置。</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1F1C1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B9F42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53E28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301FA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C3E2E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1AF61B">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9FC7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31C4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16</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8747F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违章指挥、强令工作班人员冒险作业</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未办理开工/复工手续擅自组织施工，或停工令执行不到位。</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11EE3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信息传递</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F2DFC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8F164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09161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503E5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A66A26">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06CE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16B8F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17</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1A43D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在存在感应电、反送电触电风险的导地线等设备作业时，未使用个人保安线或接地线，或个人保安线或接地线未有效接地，丧失接地保护功能。</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61414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60DE8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A4351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34AF5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A827A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707BFD">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6468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2"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E05B8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18</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0BAE2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高处作业未使用安全带等防坠落用品、装置，或安全带未挂在牢固的构件上，或攀登杆塔、转移位置时失去安全带的保护</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人未下到地面直接移动脚手架或梯子等登高用具。</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9D089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0304B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A1564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32BE6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4B7E6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8FBFCB">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C5FCC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6"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D45D1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E5533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带明火进入易燃易爆物品储放场所，或在易燃易爆物品储放场所动火工作未采取防火等安全措施，动火作业点10米内未清除可燃物品或作业后现场有残留火种。</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E9F46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A39A8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94673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3AC7C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4DB06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F62849">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96433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6"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45C70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325E7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低压不停电作业未穿绝缘鞋，未戴低压绝缘手套或帆布手套，未使用有绝缘柄的工具。作业前未采取绝缘隔离、遮蔽带电部分等防止相间或接地短路的有效措施。</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3433F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7ACBE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54C50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9B421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EB827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275DEF">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412F6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6"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83D09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21</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D85CB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起重机械、高空作业平台、吊篮（吊笼）、牵引设备、钢丝绳等起重、起吊、牵引设备超过铭牌规定额定荷载值使用</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吊钩防脱落保险装置残缺、失效。</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46B7B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6A0E9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B28AA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59991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65CB7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D623B1">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7BA418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47A17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22</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6C882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邻近带电设备场所使用的起重机和绞车等牵引工具未接地，作业的导（地）线未在工作地点接地。</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E24B8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19959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47E57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24B6A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AD55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ABE166">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EA280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550B5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23</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FA2FC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在带电设备附近使用金属梯子进行作业。</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CC1C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88737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A9046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97913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B813C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ED8E88">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439E0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AFCD2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24</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8EB8E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特种作业人员未经年审或证件过期仍开展特种作业。</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310D0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46FFD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0BD03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21C16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0FDB3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ACCE9">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C9DE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7B275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25</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0788B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醉酒、酒后等不清醒状态下开展作业。</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C09AF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D6210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FFCD4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97E42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B8ED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0DF771">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DC358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C3BB7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26</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D3234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雨天在户外操作电气设备时，验电器、绝缘棒、操作杆无防雨罩，未穿绝缘靴、戴绝缘手套。</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2FF83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33C07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A6AD5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3AFC6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73FB8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C14921">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57385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B3D8A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27</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3CC9B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作业现场使用、携带的工器具不合格（存在严重破损、裂纹、松脱、断股等明显缺陷或达到报废标准）。</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307F4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9440A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F4120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74511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B590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46DCEA">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5099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8FF28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28</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D9161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未使用相应电压等级且合格的验电器进行验电。</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5F65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9558C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FAFCE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EE2F9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D310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33552F">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7710C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70E4E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29</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8D84F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作业现场使用、携带的砂轮机、切割机、锯木机的刀片有裂纹、破损，或机械转动部分保护罩破损、缺失。</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2BA9E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DDD89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6D60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27277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59DEB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021435">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7586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6"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842D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0152C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采用流动式起重机、高空作业车、绝缘斗臂车、高处作业平台等作业时，未落实稳固支撑等防倾覆措施，且存在严重的倾覆隐患。</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1424B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DD8ED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4F236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590BE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2F914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D70A6D">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AB2B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018A6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DEAD1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装、拆接地线后未及时做好相关记录。</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BF52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安全措施</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A4C64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242BA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6DA7B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8D33E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409E25">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A130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0A71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32</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5147D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在高处作业地点的垂直下方及坠物可能落到的地方通行或逗留</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高处作业人员随手上下抛掷工具、器具和材料。</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69402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FF112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8E9E6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8783F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BE605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3D3DD">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0E77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0EC9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33</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C3267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起吊作业范围没有防止外人通行的围蔽设施、未设置警示标志。</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408D9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C59F5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162D9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B0166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B4856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9F8E15">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24938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4C006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34</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13E15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在城区、人口密集区、通行道路上或交通道口施工时，工作场所周围未设遮栏（围栏）或其他安全措施。</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0B631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79654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F913E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8C6AA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34E14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4844D8">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263A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6E587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35</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F32B1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施工检修电源箱外壳未接地或接地不规范、无锁、无警示标志等。现场使用的施工机具等应接地未接地或接地不规范。</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371E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17026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60C72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97EC7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3CDB1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E5DC21">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0ED1C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753C8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36</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78501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作业人员擅自移动安全遮栏（围栏）、拆除标志牌等</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随意挪用现场安全设施或损坏现场安全标志。</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FC3D5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A61A9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C3B2B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6581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E7FDE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1BFC4F">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F071B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78B72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37</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F04A4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擅自拆除孔洞盖板、栏杆、隔离层，或因工作需要拆除附属设施时未设明显标示，未及时恢复。</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ABB82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AFFD0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8CC66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EF400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85240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F8480B">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46D1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A8A95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38</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086F5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电容器、电缆等设备检修前或试验调整接线前，未逐个、逐相进行充分放电。</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3CC82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F2AAF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E078E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06ABE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56ED3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9E713">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20AF4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D6F16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39</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6A190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作业人员在受力钢丝绳上下方、内角侧，或起吊物下逗留或通过。</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470A7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5A1E2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4419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14484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9F948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DDB8A4">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0D3DB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1F6C9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F6C8B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电动工具搬动和移动、收放电源线时未切断电源。</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7EFAF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3BB6B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26E3F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2B127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07240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7F6157">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0BCF3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64569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41</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3409A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工作负责人在工作内容、分工、范围等变动后，未重新组织工作班人员进行安全交代。</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1A49D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信息传递</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54015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31FC3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2FFBC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1F1B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C46A90">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BFCB4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0F9F4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42</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DBB6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搬运、起吊重大物件无统一指挥、统一信号</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凭借栏杆、脚手架、瓷件等起吊物件。</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41DCD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信息传递</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7F7DA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C7730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1432A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5C4C0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03B8EA">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6D0E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6"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E3E25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43</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F9F09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电源箱设置不符合“一机、一闸、一保护”要求，临时电源箱无漏电保护装置或漏电装置损坏，或插头、插座、电源箱破损明显，或使用铁线、铜线等代替保险丝。</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1EADC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456D2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B6879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F855F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48EE7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A5D889">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B559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E70A9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44</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2825F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电气设备、工具的电源线直接钩挂在闸刀上或直接插入插座使用。</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F16F2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39F42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4941D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958D0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60C18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BCEB40">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0D86C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F5C5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45</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EF274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户外使用中的电焊机无防雨措施，或电焊机电源线直接搭接在电线上。</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C5938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75F91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FC71D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219CA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95D94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FF5267">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9302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A1B78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46</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4CFE9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绞磨牵引钢丝绳未从绞磨下方卷入，钢丝绳未在磨芯上绕5圈以上，磨芯未放置防钢丝绳跑出的安全装置。</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07CC2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1AC51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85D82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4E75D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6B5C9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2E30FD">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02256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0454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47</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835CE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使用大锤和手锤、砂轮、钻床、电钻、冲击钻时戴棉纱手套操作。</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88F4C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34E33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997D7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528C9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5985B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E1C4F5">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769102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6"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465A9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48</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A1BA2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梯子架设在不稳定的支持物上，或梯子无防滑措施，或人字梯无限制开度的拉绳或限位器。梯子架设不稳固时无专人扶持或在未绑扎牢固的梯子上作业。</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C1E80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5B31A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76C46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C7601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0807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D19D54">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000B3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98051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49</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9EC1C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使用长度在2米以上的安全带、安全绳等未加装缓冲器或在具备条件的情况下安全带未高挂低用。</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291C1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D66C7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BC936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B42D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E8597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D51FC">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778F4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B0AD9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76D03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现场作业时未按规定着装</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不按规定佩戴或未正确佩戴安全帽。</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0B4C0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CB4E6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812CE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B3B7A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82540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956BE">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92029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EBAA6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51</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13333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使用验电器对低压配电设备验电时未戴绝缘手套。</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31F34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75BA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264E3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1A469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DE0D9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5F65E7">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F795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E93BF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52</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5D395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电、气焊工作时不戴防护镜、不穿帆布或全棉工作服、不戴防护手套等专用劳动防护用品。</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0AA30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A8E19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6C5DF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6D696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AC539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25DC85">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6E6A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8EC31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53</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0EAEE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二次回路工作未落实防止电流互感器二次侧开路或电压互感器二次侧短路的措施。</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8159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CE10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98E8E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171F4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2BABA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C83F48">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0DF54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C4C29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54</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E0DA7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易燃、易爆物品或各种气瓶不按规定储运、存放、使用。</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5DB07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4BC1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4B0EA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0F43A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B3328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25AA37">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EECEF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99E5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55</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76EF2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使用中的乙炔瓶没有防回火装置，气管有龟裂、鼓包、漏气等现象。</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2CD83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38C74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A9D6F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924D0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68CF8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744A63">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7922A3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24624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56</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1CBE4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氧气瓶与乙炔瓶同车运载及混放使用中的氧气瓶、乙炔瓶放置相距不足5米，距明火不足10米，未垂直放置固定。</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DEFA5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431D8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713F4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E1C1D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B588F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6C24A9">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003373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E39C9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57</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FC627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动火作业现场未放置足够、合格的灭火器材。</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ED661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7E45B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1618F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968E3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4CA6C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1A90B1">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2CFAB6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6ADA0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58</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B31E9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动火现场（周围及动火点下方最小半径10米）有易燃易爆物，存在可燃溶剂清洗剂及喷漆作业。</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6010A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F633F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84561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FF8FC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CF50E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7CB147">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633D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2BD0A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59</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619C0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擅自倾倒、堆放、丢弃或遗撒危险化学品</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危化品、爆破品运输、存储、使用不规范。</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1664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9D24E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5DC75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CA692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B9223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C143C0">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7CA77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0DCF5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86B38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电缆沟、疏水沟、下水道、井下等有限空间工作现场少于2人，有限空间外未设置监护人或未全程持续监护。</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C0EC8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795A2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B97A2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16A10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5A562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2FFAB">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FF7FE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209FD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61</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9232B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敷设电缆过程中无专人指挥，电缆移动时用手搬动滑轮。</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6A3D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60990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FFBB7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95FC1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76265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F4FCA">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CC91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D4162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62</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155BA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未按规定将作业纳入视频监控（含视频点不足、故意遮挡视频、非可调摄像头未对准作业现场、位置摆放错误）。</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14CD3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信息传递</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ED16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B07B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643BD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53064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31022D">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976E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3F2CF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63</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6785A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安排有职业禁忌病症的人员从事相应的禁忌作业。</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2CB4C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5F256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05DA2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ACC2E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7F5CB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4A3CAD">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8039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CEB1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64</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33782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未按规定办理审批、交底等手续或未探明地下管线等分布情况，盲目开挖、掘进、顶管等作业。</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E58F7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FA92E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3FD2E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89B01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92168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847263">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00AD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0339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65</w:t>
            </w:r>
          </w:p>
        </w:tc>
        <w:tc>
          <w:tcPr>
            <w:tcW w:w="24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AA2F7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现场处于使用状态的施工机械（具）、发电车或施工用电设备无人看护。</w:t>
            </w:r>
          </w:p>
        </w:tc>
        <w:tc>
          <w:tcPr>
            <w:tcW w:w="6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FF5A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34E4E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6F523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07897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F591B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08D804">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bl>
    <w:p w14:paraId="2F2F84E2">
      <w:pPr>
        <w:pageBreakBefore w:val="0"/>
        <w:kinsoku/>
        <w:wordWrap/>
        <w:bidi w:val="0"/>
        <w:spacing w:after="0" w:line="360" w:lineRule="auto"/>
        <w:rPr>
          <w:rFonts w:ascii="宋体" w:hAnsi="宋体" w:cs="宋体"/>
          <w:color w:val="auto"/>
          <w:szCs w:val="21"/>
          <w:highlight w:val="none"/>
        </w:rPr>
      </w:pPr>
      <w:r>
        <w:rPr>
          <w:rFonts w:hint="eastAsia" w:ascii="宋体" w:hAnsi="宋体" w:cs="宋体"/>
          <w:color w:val="auto"/>
          <w:szCs w:val="21"/>
          <w:highlight w:val="none"/>
        </w:rPr>
        <w:br w:type="page"/>
      </w:r>
    </w:p>
    <w:p w14:paraId="10B0E233">
      <w:pPr>
        <w:pStyle w:val="3"/>
        <w:spacing w:before="0" w:after="0" w:line="240" w:lineRule="auto"/>
        <w:rPr>
          <w:color w:val="auto"/>
          <w:sz w:val="28"/>
          <w:szCs w:val="28"/>
          <w:highlight w:val="none"/>
        </w:rPr>
      </w:pPr>
      <w:bookmarkStart w:id="168" w:name="_Toc7112"/>
      <w:r>
        <w:rPr>
          <w:rFonts w:hint="eastAsia"/>
          <w:color w:val="auto"/>
          <w:sz w:val="28"/>
          <w:szCs w:val="28"/>
          <w:highlight w:val="none"/>
        </w:rPr>
        <w:t>第六部分附件－投标文件格式</w:t>
      </w:r>
      <w:bookmarkEnd w:id="168"/>
    </w:p>
    <w:p w14:paraId="69325636">
      <w:pPr>
        <w:rPr>
          <w:color w:val="auto"/>
          <w:highlight w:val="none"/>
        </w:rPr>
      </w:pPr>
    </w:p>
    <w:p w14:paraId="559C303C">
      <w:pPr>
        <w:pStyle w:val="5"/>
        <w:widowControl w:val="0"/>
        <w:overflowPunct w:val="0"/>
        <w:spacing w:line="240" w:lineRule="auto"/>
        <w:rPr>
          <w:rFonts w:ascii="宋体" w:hAnsi="宋体"/>
          <w:color w:val="auto"/>
          <w:sz w:val="21"/>
          <w:szCs w:val="21"/>
          <w:highlight w:val="none"/>
        </w:rPr>
      </w:pPr>
      <w:bookmarkStart w:id="169" w:name="_Toc3306"/>
      <w:r>
        <w:rPr>
          <w:rFonts w:hint="eastAsia" w:ascii="宋体" w:hAnsi="宋体"/>
          <w:color w:val="auto"/>
          <w:sz w:val="21"/>
          <w:szCs w:val="21"/>
          <w:highlight w:val="none"/>
        </w:rPr>
        <w:t>投标文件目录</w:t>
      </w:r>
      <w:bookmarkEnd w:id="169"/>
    </w:p>
    <w:p w14:paraId="74FDBC38">
      <w:pPr>
        <w:jc w:val="center"/>
        <w:rPr>
          <w:rFonts w:ascii="黑体" w:eastAsia="黑体"/>
          <w:color w:val="auto"/>
          <w:sz w:val="32"/>
          <w:szCs w:val="32"/>
          <w:highlight w:val="none"/>
        </w:rPr>
      </w:pPr>
    </w:p>
    <w:p w14:paraId="427A363B">
      <w:pPr>
        <w:jc w:val="center"/>
        <w:rPr>
          <w:rFonts w:ascii="黑体" w:eastAsia="黑体"/>
          <w:color w:val="auto"/>
          <w:sz w:val="32"/>
          <w:szCs w:val="32"/>
          <w:highlight w:val="none"/>
        </w:rPr>
      </w:pPr>
      <w:r>
        <w:rPr>
          <w:rFonts w:hint="eastAsia" w:ascii="黑体" w:eastAsia="黑体"/>
          <w:color w:val="auto"/>
          <w:sz w:val="32"/>
          <w:szCs w:val="32"/>
          <w:highlight w:val="none"/>
        </w:rPr>
        <w:t>目录</w:t>
      </w:r>
    </w:p>
    <w:p w14:paraId="4C6D32C3">
      <w:pPr>
        <w:adjustRightInd/>
        <w:snapToGrid/>
        <w:spacing w:line="276" w:lineRule="auto"/>
        <w:rPr>
          <w:rFonts w:ascii="宋体" w:hAnsi="宋体"/>
          <w:color w:val="auto"/>
          <w:szCs w:val="21"/>
          <w:highlight w:val="none"/>
        </w:rPr>
      </w:pPr>
      <w:r>
        <w:rPr>
          <w:rFonts w:hint="eastAsia" w:ascii="宋体" w:hAnsi="宋体"/>
          <w:color w:val="auto"/>
          <w:szCs w:val="21"/>
          <w:highlight w:val="none"/>
        </w:rPr>
        <w:t>格式自理。</w:t>
      </w:r>
    </w:p>
    <w:p w14:paraId="7512FB31">
      <w:pPr>
        <w:adjustRightInd/>
        <w:snapToGrid/>
        <w:spacing w:line="276" w:lineRule="auto"/>
        <w:rPr>
          <w:rFonts w:ascii="宋体" w:hAnsi="宋体"/>
          <w:color w:val="auto"/>
          <w:szCs w:val="21"/>
          <w:highlight w:val="none"/>
        </w:rPr>
      </w:pPr>
    </w:p>
    <w:p w14:paraId="75D3082C">
      <w:pPr>
        <w:adjustRightInd/>
        <w:snapToGrid/>
        <w:spacing w:line="276" w:lineRule="auto"/>
        <w:rPr>
          <w:rFonts w:ascii="宋体" w:hAnsi="宋体"/>
          <w:color w:val="auto"/>
          <w:szCs w:val="21"/>
          <w:highlight w:val="none"/>
        </w:rPr>
      </w:pPr>
    </w:p>
    <w:p w14:paraId="42693BB3">
      <w:pPr>
        <w:adjustRightInd/>
        <w:snapToGrid/>
        <w:spacing w:line="276" w:lineRule="auto"/>
        <w:rPr>
          <w:rFonts w:ascii="宋体" w:hAnsi="宋体"/>
          <w:color w:val="auto"/>
          <w:szCs w:val="21"/>
          <w:highlight w:val="none"/>
        </w:rPr>
      </w:pPr>
      <w:r>
        <w:rPr>
          <w:rFonts w:hint="eastAsia" w:ascii="宋体" w:hAnsi="宋体"/>
          <w:color w:val="auto"/>
          <w:szCs w:val="21"/>
          <w:highlight w:val="none"/>
        </w:rPr>
        <w:t>注：</w:t>
      </w:r>
    </w:p>
    <w:p w14:paraId="27CC1E6A">
      <w:pPr>
        <w:adjustRightInd/>
        <w:snapToGrid/>
        <w:spacing w:line="276" w:lineRule="auto"/>
        <w:rPr>
          <w:rFonts w:ascii="宋体" w:hAnsi="宋体"/>
          <w:color w:val="auto"/>
          <w:szCs w:val="21"/>
          <w:highlight w:val="none"/>
        </w:rPr>
      </w:pPr>
      <w:r>
        <w:rPr>
          <w:rFonts w:hint="eastAsia" w:ascii="宋体" w:hAnsi="宋体"/>
          <w:color w:val="auto"/>
          <w:szCs w:val="21"/>
          <w:highlight w:val="none"/>
        </w:rPr>
        <w:t>1、投标人制作的投标文件应当具备目录。</w:t>
      </w:r>
      <w:r>
        <w:rPr>
          <w:rFonts w:ascii="宋体" w:hAnsi="宋体"/>
          <w:color w:val="auto"/>
          <w:szCs w:val="21"/>
          <w:highlight w:val="none"/>
        </w:rPr>
        <w:br w:type="page"/>
      </w:r>
    </w:p>
    <w:p w14:paraId="29063B37">
      <w:pPr>
        <w:pStyle w:val="5"/>
        <w:widowControl w:val="0"/>
        <w:overflowPunct w:val="0"/>
        <w:spacing w:line="240" w:lineRule="auto"/>
        <w:rPr>
          <w:rFonts w:ascii="宋体" w:hAnsi="宋体"/>
          <w:color w:val="auto"/>
          <w:sz w:val="21"/>
          <w:szCs w:val="21"/>
          <w:highlight w:val="none"/>
        </w:rPr>
      </w:pPr>
      <w:bookmarkStart w:id="170" w:name="_Toc19655"/>
      <w:r>
        <w:rPr>
          <w:rFonts w:hint="eastAsia" w:ascii="宋体" w:hAnsi="宋体"/>
          <w:color w:val="auto"/>
          <w:sz w:val="21"/>
          <w:szCs w:val="21"/>
          <w:highlight w:val="none"/>
        </w:rPr>
        <w:t>附件1.评分标准索引表</w:t>
      </w:r>
      <w:bookmarkEnd w:id="170"/>
    </w:p>
    <w:p w14:paraId="393DBFAC">
      <w:pPr>
        <w:adjustRightInd/>
        <w:snapToGrid/>
        <w:spacing w:line="276" w:lineRule="auto"/>
        <w:rPr>
          <w:rFonts w:ascii="宋体" w:hAnsi="宋体"/>
          <w:color w:val="auto"/>
          <w:szCs w:val="21"/>
          <w:highlight w:val="none"/>
        </w:rPr>
      </w:pPr>
    </w:p>
    <w:p w14:paraId="76EB4311">
      <w:pPr>
        <w:jc w:val="center"/>
        <w:rPr>
          <w:rFonts w:ascii="黑体" w:eastAsia="黑体"/>
          <w:color w:val="auto"/>
          <w:sz w:val="32"/>
          <w:szCs w:val="32"/>
          <w:highlight w:val="none"/>
        </w:rPr>
      </w:pPr>
      <w:r>
        <w:rPr>
          <w:rFonts w:hint="eastAsia" w:ascii="黑体" w:eastAsia="黑体"/>
          <w:color w:val="auto"/>
          <w:sz w:val="32"/>
          <w:szCs w:val="32"/>
          <w:highlight w:val="none"/>
        </w:rPr>
        <w:t>评分标准索引表</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9"/>
        <w:gridCol w:w="1989"/>
        <w:gridCol w:w="1990"/>
        <w:gridCol w:w="1992"/>
        <w:gridCol w:w="1998"/>
      </w:tblGrid>
      <w:tr w14:paraId="3A69F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999" w:type="pct"/>
            <w:vAlign w:val="center"/>
          </w:tcPr>
          <w:p w14:paraId="05002171">
            <w:pPr>
              <w:jc w:val="center"/>
              <w:rPr>
                <w:rFonts w:ascii="宋体" w:hAnsi="宋体" w:cs="宋体"/>
                <w:color w:val="auto"/>
                <w:highlight w:val="none"/>
              </w:rPr>
            </w:pPr>
            <w:r>
              <w:rPr>
                <w:rFonts w:hint="eastAsia" w:ascii="宋体" w:hAnsi="宋体" w:cs="宋体"/>
                <w:color w:val="auto"/>
                <w:highlight w:val="none"/>
              </w:rPr>
              <w:t>序号</w:t>
            </w:r>
          </w:p>
        </w:tc>
        <w:tc>
          <w:tcPr>
            <w:tcW w:w="999" w:type="pct"/>
            <w:vAlign w:val="center"/>
          </w:tcPr>
          <w:p w14:paraId="0F3CD634">
            <w:pPr>
              <w:jc w:val="center"/>
              <w:rPr>
                <w:rFonts w:ascii="宋体" w:hAnsi="宋体" w:cs="宋体"/>
                <w:color w:val="auto"/>
                <w:highlight w:val="none"/>
              </w:rPr>
            </w:pPr>
            <w:r>
              <w:rPr>
                <w:rFonts w:hint="eastAsia" w:ascii="宋体" w:hAnsi="宋体" w:cs="宋体"/>
                <w:color w:val="auto"/>
                <w:highlight w:val="none"/>
              </w:rPr>
              <w:t>评审项目</w:t>
            </w:r>
          </w:p>
        </w:tc>
        <w:tc>
          <w:tcPr>
            <w:tcW w:w="999" w:type="pct"/>
            <w:vAlign w:val="center"/>
          </w:tcPr>
          <w:p w14:paraId="7A70C195">
            <w:pPr>
              <w:jc w:val="center"/>
              <w:rPr>
                <w:rFonts w:ascii="宋体" w:hAnsi="宋体" w:cs="宋体"/>
                <w:color w:val="auto"/>
                <w:highlight w:val="none"/>
              </w:rPr>
            </w:pPr>
            <w:r>
              <w:rPr>
                <w:rFonts w:hint="eastAsia" w:ascii="宋体" w:hAnsi="宋体" w:cs="宋体"/>
                <w:color w:val="auto"/>
                <w:highlight w:val="none"/>
              </w:rPr>
              <w:t>评审细则</w:t>
            </w:r>
          </w:p>
        </w:tc>
        <w:tc>
          <w:tcPr>
            <w:tcW w:w="1000" w:type="pct"/>
            <w:vAlign w:val="center"/>
          </w:tcPr>
          <w:p w14:paraId="68923D19">
            <w:pPr>
              <w:jc w:val="center"/>
              <w:rPr>
                <w:rFonts w:ascii="宋体" w:hAnsi="宋体" w:cs="宋体"/>
                <w:color w:val="auto"/>
                <w:highlight w:val="none"/>
              </w:rPr>
            </w:pPr>
            <w:r>
              <w:rPr>
                <w:rFonts w:hint="eastAsia" w:ascii="宋体" w:hAnsi="宋体" w:cs="宋体"/>
                <w:color w:val="auto"/>
                <w:highlight w:val="none"/>
              </w:rPr>
              <w:t>分值</w:t>
            </w:r>
          </w:p>
        </w:tc>
        <w:tc>
          <w:tcPr>
            <w:tcW w:w="1000" w:type="pct"/>
            <w:vAlign w:val="center"/>
          </w:tcPr>
          <w:p w14:paraId="45679C12">
            <w:pPr>
              <w:jc w:val="center"/>
              <w:rPr>
                <w:rFonts w:ascii="宋体" w:hAnsi="宋体" w:cs="宋体"/>
                <w:color w:val="auto"/>
                <w:highlight w:val="none"/>
              </w:rPr>
            </w:pPr>
            <w:r>
              <w:rPr>
                <w:rFonts w:hint="eastAsia" w:ascii="宋体" w:hAnsi="宋体" w:cs="宋体"/>
                <w:color w:val="auto"/>
                <w:highlight w:val="none"/>
              </w:rPr>
              <w:t>页码范围</w:t>
            </w:r>
          </w:p>
        </w:tc>
      </w:tr>
      <w:tr w14:paraId="24B7F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5000" w:type="pct"/>
            <w:gridSpan w:val="5"/>
            <w:vAlign w:val="center"/>
          </w:tcPr>
          <w:p w14:paraId="22472EE1">
            <w:pPr>
              <w:rPr>
                <w:rFonts w:ascii="宋体" w:hAnsi="宋体" w:cs="宋体"/>
                <w:color w:val="auto"/>
                <w:highlight w:val="none"/>
              </w:rPr>
            </w:pPr>
            <w:r>
              <w:rPr>
                <w:rFonts w:hint="eastAsia" w:ascii="宋体" w:hAnsi="宋体" w:cs="宋体"/>
                <w:color w:val="auto"/>
                <w:highlight w:val="none"/>
              </w:rPr>
              <w:t>商务评审</w:t>
            </w:r>
          </w:p>
        </w:tc>
      </w:tr>
      <w:tr w14:paraId="07280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999" w:type="pct"/>
            <w:vAlign w:val="center"/>
          </w:tcPr>
          <w:p w14:paraId="27BB34C5">
            <w:pPr>
              <w:jc w:val="center"/>
              <w:rPr>
                <w:rFonts w:ascii="宋体" w:hAnsi="宋体" w:cs="宋体"/>
                <w:color w:val="auto"/>
                <w:highlight w:val="none"/>
              </w:rPr>
            </w:pPr>
          </w:p>
        </w:tc>
        <w:tc>
          <w:tcPr>
            <w:tcW w:w="999" w:type="pct"/>
            <w:vAlign w:val="center"/>
          </w:tcPr>
          <w:p w14:paraId="1B455A7C">
            <w:pPr>
              <w:jc w:val="center"/>
              <w:rPr>
                <w:rFonts w:ascii="宋体" w:hAnsi="宋体" w:cs="宋体"/>
                <w:color w:val="auto"/>
                <w:highlight w:val="none"/>
              </w:rPr>
            </w:pPr>
          </w:p>
        </w:tc>
        <w:tc>
          <w:tcPr>
            <w:tcW w:w="999" w:type="pct"/>
            <w:vAlign w:val="center"/>
          </w:tcPr>
          <w:p w14:paraId="3E9567E4">
            <w:pPr>
              <w:jc w:val="center"/>
              <w:rPr>
                <w:rFonts w:ascii="宋体" w:hAnsi="宋体" w:cs="宋体"/>
                <w:color w:val="auto"/>
                <w:highlight w:val="none"/>
              </w:rPr>
            </w:pPr>
          </w:p>
        </w:tc>
        <w:tc>
          <w:tcPr>
            <w:tcW w:w="1000" w:type="pct"/>
            <w:vAlign w:val="center"/>
          </w:tcPr>
          <w:p w14:paraId="511FBC0D">
            <w:pPr>
              <w:jc w:val="center"/>
              <w:rPr>
                <w:rFonts w:ascii="宋体" w:hAnsi="宋体" w:cs="宋体"/>
                <w:color w:val="auto"/>
                <w:highlight w:val="none"/>
              </w:rPr>
            </w:pPr>
          </w:p>
        </w:tc>
        <w:tc>
          <w:tcPr>
            <w:tcW w:w="1000" w:type="pct"/>
            <w:vAlign w:val="center"/>
          </w:tcPr>
          <w:p w14:paraId="216D2C83">
            <w:pPr>
              <w:jc w:val="center"/>
              <w:rPr>
                <w:rFonts w:ascii="宋体" w:hAnsi="宋体" w:cs="宋体"/>
                <w:color w:val="auto"/>
                <w:highlight w:val="none"/>
              </w:rPr>
            </w:pPr>
          </w:p>
        </w:tc>
      </w:tr>
      <w:tr w14:paraId="73A4C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999" w:type="pct"/>
            <w:vAlign w:val="center"/>
          </w:tcPr>
          <w:p w14:paraId="6253B870">
            <w:pPr>
              <w:jc w:val="center"/>
              <w:rPr>
                <w:rFonts w:ascii="宋体" w:hAnsi="宋体" w:cs="宋体"/>
                <w:color w:val="auto"/>
                <w:highlight w:val="none"/>
              </w:rPr>
            </w:pPr>
          </w:p>
        </w:tc>
        <w:tc>
          <w:tcPr>
            <w:tcW w:w="999" w:type="pct"/>
            <w:vAlign w:val="center"/>
          </w:tcPr>
          <w:p w14:paraId="769ED308">
            <w:pPr>
              <w:jc w:val="center"/>
              <w:rPr>
                <w:rFonts w:ascii="宋体" w:hAnsi="宋体" w:cs="宋体"/>
                <w:color w:val="auto"/>
                <w:highlight w:val="none"/>
              </w:rPr>
            </w:pPr>
          </w:p>
        </w:tc>
        <w:tc>
          <w:tcPr>
            <w:tcW w:w="999" w:type="pct"/>
            <w:vAlign w:val="center"/>
          </w:tcPr>
          <w:p w14:paraId="5F1532C1">
            <w:pPr>
              <w:jc w:val="center"/>
              <w:rPr>
                <w:rFonts w:ascii="宋体" w:hAnsi="宋体" w:cs="宋体"/>
                <w:color w:val="auto"/>
                <w:highlight w:val="none"/>
              </w:rPr>
            </w:pPr>
          </w:p>
        </w:tc>
        <w:tc>
          <w:tcPr>
            <w:tcW w:w="1000" w:type="pct"/>
            <w:vAlign w:val="center"/>
          </w:tcPr>
          <w:p w14:paraId="53CFA759">
            <w:pPr>
              <w:jc w:val="center"/>
              <w:rPr>
                <w:rFonts w:ascii="宋体" w:hAnsi="宋体" w:cs="宋体"/>
                <w:color w:val="auto"/>
                <w:highlight w:val="none"/>
              </w:rPr>
            </w:pPr>
          </w:p>
        </w:tc>
        <w:tc>
          <w:tcPr>
            <w:tcW w:w="1000" w:type="pct"/>
            <w:vAlign w:val="center"/>
          </w:tcPr>
          <w:p w14:paraId="44C02D7D">
            <w:pPr>
              <w:jc w:val="center"/>
              <w:rPr>
                <w:rFonts w:ascii="宋体" w:hAnsi="宋体" w:cs="宋体"/>
                <w:color w:val="auto"/>
                <w:highlight w:val="none"/>
              </w:rPr>
            </w:pPr>
          </w:p>
        </w:tc>
      </w:tr>
      <w:tr w14:paraId="14062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999" w:type="pct"/>
            <w:vAlign w:val="center"/>
          </w:tcPr>
          <w:p w14:paraId="78592D7C">
            <w:pPr>
              <w:jc w:val="center"/>
              <w:rPr>
                <w:rFonts w:ascii="宋体" w:hAnsi="宋体" w:cs="宋体"/>
                <w:color w:val="auto"/>
                <w:highlight w:val="none"/>
              </w:rPr>
            </w:pPr>
          </w:p>
        </w:tc>
        <w:tc>
          <w:tcPr>
            <w:tcW w:w="999" w:type="pct"/>
            <w:vAlign w:val="center"/>
          </w:tcPr>
          <w:p w14:paraId="09B56010">
            <w:pPr>
              <w:jc w:val="center"/>
              <w:rPr>
                <w:rFonts w:ascii="宋体" w:hAnsi="宋体" w:cs="宋体"/>
                <w:color w:val="auto"/>
                <w:highlight w:val="none"/>
              </w:rPr>
            </w:pPr>
          </w:p>
        </w:tc>
        <w:tc>
          <w:tcPr>
            <w:tcW w:w="999" w:type="pct"/>
            <w:vAlign w:val="center"/>
          </w:tcPr>
          <w:p w14:paraId="377FA575">
            <w:pPr>
              <w:jc w:val="center"/>
              <w:rPr>
                <w:rFonts w:ascii="宋体" w:hAnsi="宋体" w:cs="宋体"/>
                <w:color w:val="auto"/>
                <w:highlight w:val="none"/>
              </w:rPr>
            </w:pPr>
          </w:p>
        </w:tc>
        <w:tc>
          <w:tcPr>
            <w:tcW w:w="1000" w:type="pct"/>
            <w:vAlign w:val="center"/>
          </w:tcPr>
          <w:p w14:paraId="5FE31E6D">
            <w:pPr>
              <w:jc w:val="center"/>
              <w:rPr>
                <w:rFonts w:ascii="宋体" w:hAnsi="宋体" w:cs="宋体"/>
                <w:color w:val="auto"/>
                <w:highlight w:val="none"/>
              </w:rPr>
            </w:pPr>
          </w:p>
        </w:tc>
        <w:tc>
          <w:tcPr>
            <w:tcW w:w="1000" w:type="pct"/>
            <w:vAlign w:val="center"/>
          </w:tcPr>
          <w:p w14:paraId="6805A18E">
            <w:pPr>
              <w:jc w:val="center"/>
              <w:rPr>
                <w:rFonts w:ascii="宋体" w:hAnsi="宋体" w:cs="宋体"/>
                <w:color w:val="auto"/>
                <w:highlight w:val="none"/>
              </w:rPr>
            </w:pPr>
          </w:p>
        </w:tc>
      </w:tr>
      <w:tr w14:paraId="68288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5000" w:type="pct"/>
            <w:gridSpan w:val="5"/>
            <w:vAlign w:val="center"/>
          </w:tcPr>
          <w:p w14:paraId="053F12FB">
            <w:pPr>
              <w:rPr>
                <w:rFonts w:ascii="宋体" w:hAnsi="宋体" w:cs="宋体"/>
                <w:color w:val="auto"/>
                <w:highlight w:val="none"/>
              </w:rPr>
            </w:pPr>
            <w:r>
              <w:rPr>
                <w:rFonts w:hint="eastAsia" w:ascii="宋体" w:hAnsi="宋体" w:cs="宋体"/>
                <w:color w:val="auto"/>
                <w:highlight w:val="none"/>
              </w:rPr>
              <w:t>技术评审</w:t>
            </w:r>
          </w:p>
        </w:tc>
      </w:tr>
      <w:tr w14:paraId="57572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999" w:type="pct"/>
            <w:vAlign w:val="center"/>
          </w:tcPr>
          <w:p w14:paraId="7991B582">
            <w:pPr>
              <w:jc w:val="center"/>
              <w:rPr>
                <w:rFonts w:ascii="宋体" w:hAnsi="宋体" w:cs="宋体"/>
                <w:color w:val="auto"/>
                <w:highlight w:val="none"/>
              </w:rPr>
            </w:pPr>
          </w:p>
        </w:tc>
        <w:tc>
          <w:tcPr>
            <w:tcW w:w="999" w:type="pct"/>
            <w:vAlign w:val="center"/>
          </w:tcPr>
          <w:p w14:paraId="1D74727A">
            <w:pPr>
              <w:jc w:val="center"/>
              <w:rPr>
                <w:rFonts w:ascii="宋体" w:hAnsi="宋体" w:cs="宋体"/>
                <w:color w:val="auto"/>
                <w:highlight w:val="none"/>
              </w:rPr>
            </w:pPr>
          </w:p>
        </w:tc>
        <w:tc>
          <w:tcPr>
            <w:tcW w:w="999" w:type="pct"/>
            <w:vAlign w:val="center"/>
          </w:tcPr>
          <w:p w14:paraId="0D6155B0">
            <w:pPr>
              <w:jc w:val="center"/>
              <w:rPr>
                <w:rFonts w:ascii="宋体" w:hAnsi="宋体" w:cs="宋体"/>
                <w:color w:val="auto"/>
                <w:highlight w:val="none"/>
              </w:rPr>
            </w:pPr>
          </w:p>
        </w:tc>
        <w:tc>
          <w:tcPr>
            <w:tcW w:w="1000" w:type="pct"/>
            <w:vAlign w:val="center"/>
          </w:tcPr>
          <w:p w14:paraId="2F4729BE">
            <w:pPr>
              <w:jc w:val="center"/>
              <w:rPr>
                <w:rFonts w:ascii="宋体" w:hAnsi="宋体" w:cs="宋体"/>
                <w:color w:val="auto"/>
                <w:highlight w:val="none"/>
              </w:rPr>
            </w:pPr>
          </w:p>
        </w:tc>
        <w:tc>
          <w:tcPr>
            <w:tcW w:w="1000" w:type="pct"/>
            <w:vAlign w:val="center"/>
          </w:tcPr>
          <w:p w14:paraId="347BD0FB">
            <w:pPr>
              <w:jc w:val="center"/>
              <w:rPr>
                <w:rFonts w:ascii="宋体" w:hAnsi="宋体" w:cs="宋体"/>
                <w:color w:val="auto"/>
                <w:highlight w:val="none"/>
              </w:rPr>
            </w:pPr>
          </w:p>
        </w:tc>
      </w:tr>
      <w:tr w14:paraId="3A1CD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999" w:type="pct"/>
            <w:vAlign w:val="center"/>
          </w:tcPr>
          <w:p w14:paraId="34234CE2">
            <w:pPr>
              <w:jc w:val="center"/>
              <w:rPr>
                <w:rFonts w:ascii="宋体" w:hAnsi="宋体" w:cs="宋体"/>
                <w:color w:val="auto"/>
                <w:highlight w:val="none"/>
              </w:rPr>
            </w:pPr>
          </w:p>
        </w:tc>
        <w:tc>
          <w:tcPr>
            <w:tcW w:w="999" w:type="pct"/>
            <w:vAlign w:val="center"/>
          </w:tcPr>
          <w:p w14:paraId="0F4CA6D9">
            <w:pPr>
              <w:jc w:val="center"/>
              <w:rPr>
                <w:rFonts w:ascii="宋体" w:hAnsi="宋体" w:cs="宋体"/>
                <w:color w:val="auto"/>
                <w:highlight w:val="none"/>
              </w:rPr>
            </w:pPr>
          </w:p>
        </w:tc>
        <w:tc>
          <w:tcPr>
            <w:tcW w:w="999" w:type="pct"/>
            <w:vAlign w:val="center"/>
          </w:tcPr>
          <w:p w14:paraId="0D3CD160">
            <w:pPr>
              <w:jc w:val="center"/>
              <w:rPr>
                <w:rFonts w:ascii="宋体" w:hAnsi="宋体" w:cs="宋体"/>
                <w:color w:val="auto"/>
                <w:highlight w:val="none"/>
              </w:rPr>
            </w:pPr>
          </w:p>
        </w:tc>
        <w:tc>
          <w:tcPr>
            <w:tcW w:w="1000" w:type="pct"/>
            <w:vAlign w:val="center"/>
          </w:tcPr>
          <w:p w14:paraId="7926844A">
            <w:pPr>
              <w:jc w:val="center"/>
              <w:rPr>
                <w:rFonts w:ascii="宋体" w:hAnsi="宋体" w:cs="宋体"/>
                <w:color w:val="auto"/>
                <w:highlight w:val="none"/>
              </w:rPr>
            </w:pPr>
          </w:p>
        </w:tc>
        <w:tc>
          <w:tcPr>
            <w:tcW w:w="1000" w:type="pct"/>
            <w:vAlign w:val="center"/>
          </w:tcPr>
          <w:p w14:paraId="627541E0">
            <w:pPr>
              <w:jc w:val="center"/>
              <w:rPr>
                <w:rFonts w:ascii="宋体" w:hAnsi="宋体" w:cs="宋体"/>
                <w:color w:val="auto"/>
                <w:highlight w:val="none"/>
              </w:rPr>
            </w:pPr>
          </w:p>
        </w:tc>
      </w:tr>
      <w:tr w14:paraId="0D9B6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999" w:type="pct"/>
            <w:vAlign w:val="center"/>
          </w:tcPr>
          <w:p w14:paraId="7837C5E0">
            <w:pPr>
              <w:jc w:val="center"/>
              <w:rPr>
                <w:rFonts w:ascii="宋体" w:hAnsi="宋体" w:cs="宋体"/>
                <w:color w:val="auto"/>
                <w:highlight w:val="none"/>
              </w:rPr>
            </w:pPr>
          </w:p>
        </w:tc>
        <w:tc>
          <w:tcPr>
            <w:tcW w:w="999" w:type="pct"/>
            <w:vAlign w:val="center"/>
          </w:tcPr>
          <w:p w14:paraId="79B39C89">
            <w:pPr>
              <w:jc w:val="center"/>
              <w:rPr>
                <w:rFonts w:ascii="宋体" w:hAnsi="宋体" w:cs="宋体"/>
                <w:color w:val="auto"/>
                <w:highlight w:val="none"/>
              </w:rPr>
            </w:pPr>
          </w:p>
        </w:tc>
        <w:tc>
          <w:tcPr>
            <w:tcW w:w="999" w:type="pct"/>
            <w:vAlign w:val="center"/>
          </w:tcPr>
          <w:p w14:paraId="7A06075F">
            <w:pPr>
              <w:jc w:val="center"/>
              <w:rPr>
                <w:rFonts w:ascii="宋体" w:hAnsi="宋体" w:cs="宋体"/>
                <w:color w:val="auto"/>
                <w:highlight w:val="none"/>
              </w:rPr>
            </w:pPr>
          </w:p>
        </w:tc>
        <w:tc>
          <w:tcPr>
            <w:tcW w:w="1000" w:type="pct"/>
            <w:vAlign w:val="center"/>
          </w:tcPr>
          <w:p w14:paraId="76FAD248">
            <w:pPr>
              <w:jc w:val="center"/>
              <w:rPr>
                <w:rFonts w:ascii="宋体" w:hAnsi="宋体" w:cs="宋体"/>
                <w:color w:val="auto"/>
                <w:highlight w:val="none"/>
              </w:rPr>
            </w:pPr>
          </w:p>
        </w:tc>
        <w:tc>
          <w:tcPr>
            <w:tcW w:w="1000" w:type="pct"/>
            <w:vAlign w:val="center"/>
          </w:tcPr>
          <w:p w14:paraId="3938E15C">
            <w:pPr>
              <w:jc w:val="center"/>
              <w:rPr>
                <w:rFonts w:ascii="宋体" w:hAnsi="宋体" w:cs="宋体"/>
                <w:color w:val="auto"/>
                <w:highlight w:val="none"/>
              </w:rPr>
            </w:pPr>
          </w:p>
        </w:tc>
      </w:tr>
    </w:tbl>
    <w:p w14:paraId="4E9F0B23">
      <w:pPr>
        <w:rPr>
          <w:rFonts w:ascii="宋体" w:hAnsi="宋体"/>
          <w:color w:val="auto"/>
          <w:szCs w:val="21"/>
          <w:highlight w:val="none"/>
        </w:rPr>
      </w:pPr>
    </w:p>
    <w:p w14:paraId="4780726D">
      <w:pPr>
        <w:rPr>
          <w:rFonts w:ascii="宋体" w:hAnsi="宋体"/>
          <w:color w:val="auto"/>
          <w:szCs w:val="21"/>
          <w:highlight w:val="none"/>
        </w:rPr>
      </w:pPr>
      <w:r>
        <w:rPr>
          <w:rFonts w:hint="eastAsia" w:ascii="宋体" w:hAnsi="宋体"/>
          <w:color w:val="auto"/>
          <w:szCs w:val="21"/>
          <w:highlight w:val="none"/>
        </w:rPr>
        <w:t>注：</w:t>
      </w:r>
    </w:p>
    <w:p w14:paraId="3A335ACA">
      <w:pPr>
        <w:numPr>
          <w:ilvl w:val="0"/>
          <w:numId w:val="9"/>
        </w:numPr>
        <w:rPr>
          <w:rFonts w:ascii="宋体" w:hAnsi="宋体"/>
          <w:color w:val="auto"/>
          <w:szCs w:val="21"/>
          <w:highlight w:val="none"/>
        </w:rPr>
      </w:pPr>
      <w:r>
        <w:rPr>
          <w:rFonts w:hint="eastAsia" w:ascii="宋体" w:hAnsi="宋体"/>
          <w:color w:val="auto"/>
          <w:szCs w:val="21"/>
          <w:highlight w:val="none"/>
        </w:rPr>
        <w:t>该表格为参考格式，投标人可按实际情况自行制订评分标准索引表。</w:t>
      </w:r>
    </w:p>
    <w:p w14:paraId="4B6E1989">
      <w:pPr>
        <w:pStyle w:val="12"/>
        <w:spacing w:before="0"/>
        <w:ind w:left="0"/>
        <w:rPr>
          <w:color w:val="auto"/>
          <w:highlight w:val="none"/>
        </w:rPr>
      </w:pPr>
    </w:p>
    <w:p w14:paraId="651A1EC5">
      <w:pPr>
        <w:adjustRightInd/>
        <w:snapToGrid/>
        <w:spacing w:line="276" w:lineRule="auto"/>
        <w:rPr>
          <w:rFonts w:ascii="宋体" w:hAnsi="宋体"/>
          <w:color w:val="auto"/>
          <w:szCs w:val="21"/>
          <w:highlight w:val="none"/>
        </w:rPr>
      </w:pPr>
    </w:p>
    <w:p w14:paraId="5A5FCE36">
      <w:pPr>
        <w:adjustRightInd/>
        <w:snapToGrid/>
        <w:spacing w:line="276" w:lineRule="auto"/>
        <w:rPr>
          <w:rFonts w:ascii="宋体" w:hAnsi="宋体"/>
          <w:color w:val="auto"/>
          <w:szCs w:val="21"/>
          <w:highlight w:val="none"/>
        </w:rPr>
      </w:pPr>
    </w:p>
    <w:p w14:paraId="65CAE3B1">
      <w:pPr>
        <w:adjustRightInd/>
        <w:snapToGrid/>
        <w:spacing w:line="276" w:lineRule="auto"/>
        <w:rPr>
          <w:rFonts w:ascii="宋体" w:hAnsi="宋体"/>
          <w:color w:val="auto"/>
          <w:szCs w:val="21"/>
          <w:highlight w:val="none"/>
        </w:rPr>
      </w:pPr>
    </w:p>
    <w:p w14:paraId="1DCE1A82">
      <w:pPr>
        <w:adjustRightInd/>
        <w:snapToGrid/>
        <w:spacing w:line="276" w:lineRule="auto"/>
        <w:rPr>
          <w:rFonts w:ascii="宋体" w:hAnsi="宋体"/>
          <w:color w:val="auto"/>
          <w:szCs w:val="21"/>
          <w:highlight w:val="none"/>
        </w:rPr>
      </w:pPr>
    </w:p>
    <w:p w14:paraId="77BB6E72">
      <w:pPr>
        <w:adjustRightInd/>
        <w:snapToGrid/>
        <w:spacing w:line="276" w:lineRule="auto"/>
        <w:rPr>
          <w:rFonts w:ascii="宋体" w:hAnsi="宋体"/>
          <w:color w:val="auto"/>
          <w:szCs w:val="21"/>
          <w:highlight w:val="none"/>
        </w:rPr>
      </w:pPr>
    </w:p>
    <w:p w14:paraId="7842E3FA">
      <w:pPr>
        <w:adjustRightInd/>
        <w:snapToGrid/>
        <w:spacing w:line="276" w:lineRule="auto"/>
        <w:rPr>
          <w:rFonts w:ascii="宋体" w:hAnsi="宋体"/>
          <w:color w:val="auto"/>
          <w:szCs w:val="21"/>
          <w:highlight w:val="none"/>
        </w:rPr>
      </w:pPr>
      <w:r>
        <w:rPr>
          <w:rFonts w:ascii="宋体" w:hAnsi="宋体"/>
          <w:color w:val="auto"/>
          <w:szCs w:val="21"/>
          <w:highlight w:val="none"/>
        </w:rPr>
        <w:br w:type="page"/>
      </w:r>
    </w:p>
    <w:p w14:paraId="7BBEF8C8">
      <w:pPr>
        <w:jc w:val="center"/>
        <w:rPr>
          <w:rFonts w:ascii="黑体" w:eastAsia="黑体"/>
          <w:color w:val="auto"/>
          <w:sz w:val="52"/>
          <w:szCs w:val="52"/>
          <w:highlight w:val="none"/>
        </w:rPr>
      </w:pPr>
      <w:bookmarkStart w:id="171" w:name="_Toc18450"/>
      <w:bookmarkStart w:id="172" w:name="_Toc30918"/>
      <w:bookmarkStart w:id="173" w:name="_Toc21746"/>
      <w:bookmarkStart w:id="174" w:name="_Toc28154"/>
      <w:bookmarkStart w:id="175" w:name="_Toc20335"/>
    </w:p>
    <w:p w14:paraId="6AAF8477">
      <w:pPr>
        <w:pStyle w:val="3"/>
        <w:spacing w:before="0" w:after="0" w:line="360" w:lineRule="auto"/>
        <w:jc w:val="center"/>
        <w:rPr>
          <w:color w:val="auto"/>
          <w:sz w:val="72"/>
          <w:szCs w:val="72"/>
          <w:highlight w:val="none"/>
        </w:rPr>
      </w:pPr>
      <w:bookmarkStart w:id="176" w:name="_Toc26772"/>
      <w:r>
        <w:rPr>
          <w:rFonts w:hint="eastAsia"/>
          <w:color w:val="auto"/>
          <w:sz w:val="72"/>
          <w:szCs w:val="72"/>
          <w:highlight w:val="none"/>
        </w:rPr>
        <w:t>价格文件</w:t>
      </w:r>
      <w:bookmarkEnd w:id="171"/>
      <w:bookmarkEnd w:id="172"/>
      <w:bookmarkEnd w:id="176"/>
      <w:bookmarkStart w:id="177" w:name="_Hlt10456397"/>
      <w:bookmarkEnd w:id="177"/>
      <w:bookmarkStart w:id="178" w:name="_Hlt10519799"/>
      <w:bookmarkEnd w:id="178"/>
    </w:p>
    <w:p w14:paraId="279E0D9B">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bookmarkEnd w:id="173"/>
      <w:bookmarkEnd w:id="174"/>
      <w:bookmarkEnd w:id="175"/>
    </w:p>
    <w:p w14:paraId="78130CDE">
      <w:pPr>
        <w:rPr>
          <w:color w:val="auto"/>
          <w:highlight w:val="none"/>
        </w:rPr>
      </w:pPr>
    </w:p>
    <w:p w14:paraId="770D1705">
      <w:pPr>
        <w:pStyle w:val="12"/>
        <w:rPr>
          <w:color w:val="auto"/>
          <w:highlight w:val="none"/>
        </w:rPr>
      </w:pPr>
    </w:p>
    <w:p w14:paraId="57DECA05">
      <w:pPr>
        <w:spacing w:before="0" w:after="0"/>
        <w:ind w:left="0" w:firstLine="240"/>
        <w:rPr>
          <w:color w:val="auto"/>
          <w:highlight w:val="none"/>
        </w:rPr>
      </w:pPr>
    </w:p>
    <w:tbl>
      <w:tblPr>
        <w:tblStyle w:val="33"/>
        <w:tblW w:w="2341" w:type="pct"/>
        <w:tblInd w:w="26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64"/>
      </w:tblGrid>
      <w:tr w14:paraId="12340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nil"/>
              <w:left w:val="nil"/>
              <w:bottom w:val="nil"/>
              <w:right w:val="nil"/>
            </w:tcBorders>
          </w:tcPr>
          <w:p w14:paraId="2437BBE2">
            <w:pPr>
              <w:keepNext w:val="0"/>
              <w:keepLines w:val="0"/>
              <w:pageBreakBefore w:val="0"/>
              <w:widowControl/>
              <w:kinsoku/>
              <w:wordWrap/>
              <w:overflowPunct/>
              <w:topLinePunct w:val="0"/>
              <w:autoSpaceDE/>
              <w:autoSpaceDN/>
              <w:bidi w:val="0"/>
              <w:adjustRightInd w:val="0"/>
              <w:snapToGrid w:val="0"/>
              <w:textAlignment w:val="auto"/>
              <w:rPr>
                <w:rFonts w:ascii="宋体" w:hAnsi="宋体" w:cs="宋体"/>
                <w:b/>
                <w:bCs/>
                <w:color w:val="auto"/>
                <w:spacing w:val="-6"/>
                <w:sz w:val="32"/>
                <w:szCs w:val="32"/>
                <w:highlight w:val="none"/>
                <w:vertAlign w:val="baseline"/>
              </w:rPr>
            </w:pPr>
            <w:r>
              <w:rPr>
                <w:rFonts w:hint="eastAsia" w:ascii="宋体" w:hAnsi="宋体" w:cs="宋体"/>
                <w:b/>
                <w:bCs/>
                <w:color w:val="auto"/>
                <w:spacing w:val="53"/>
                <w:kern w:val="0"/>
                <w:sz w:val="32"/>
                <w:szCs w:val="32"/>
                <w:highlight w:val="none"/>
                <w:fitText w:val="1600" w:id="1650596144"/>
              </w:rPr>
              <w:t>项目名</w:t>
            </w:r>
            <w:r>
              <w:rPr>
                <w:rFonts w:hint="eastAsia" w:ascii="宋体" w:hAnsi="宋体" w:cs="宋体"/>
                <w:b/>
                <w:bCs/>
                <w:color w:val="auto"/>
                <w:spacing w:val="1"/>
                <w:kern w:val="0"/>
                <w:sz w:val="32"/>
                <w:szCs w:val="32"/>
                <w:highlight w:val="none"/>
                <w:fitText w:val="1600" w:id="1650596144"/>
              </w:rPr>
              <w:t>称</w:t>
            </w:r>
            <w:r>
              <w:rPr>
                <w:rFonts w:hint="eastAsia" w:ascii="宋体" w:hAnsi="宋体" w:cs="宋体"/>
                <w:b/>
                <w:bCs/>
                <w:color w:val="auto"/>
                <w:spacing w:val="-6"/>
                <w:sz w:val="32"/>
                <w:szCs w:val="32"/>
                <w:highlight w:val="none"/>
              </w:rPr>
              <w:t>：</w:t>
            </w:r>
          </w:p>
        </w:tc>
      </w:tr>
      <w:tr w14:paraId="0005C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nil"/>
              <w:left w:val="nil"/>
              <w:bottom w:val="nil"/>
              <w:right w:val="nil"/>
            </w:tcBorders>
          </w:tcPr>
          <w:p w14:paraId="0A8BED41">
            <w:pPr>
              <w:keepNext w:val="0"/>
              <w:keepLines w:val="0"/>
              <w:pageBreakBefore w:val="0"/>
              <w:widowControl/>
              <w:kinsoku/>
              <w:wordWrap/>
              <w:overflowPunct/>
              <w:topLinePunct w:val="0"/>
              <w:autoSpaceDE/>
              <w:autoSpaceDN/>
              <w:bidi w:val="0"/>
              <w:adjustRightInd w:val="0"/>
              <w:snapToGrid w:val="0"/>
              <w:ind w:left="2564" w:hanging="2564" w:hangingChars="600"/>
              <w:textAlignment w:val="auto"/>
              <w:rPr>
                <w:rFonts w:ascii="宋体" w:hAnsi="宋体" w:cs="宋体"/>
                <w:b/>
                <w:bCs/>
                <w:color w:val="auto"/>
                <w:spacing w:val="-6"/>
                <w:sz w:val="32"/>
                <w:szCs w:val="32"/>
                <w:highlight w:val="none"/>
                <w:vertAlign w:val="baseline"/>
              </w:rPr>
            </w:pPr>
            <w:r>
              <w:rPr>
                <w:rFonts w:hint="eastAsia" w:ascii="宋体" w:hAnsi="宋体" w:cs="宋体"/>
                <w:b/>
                <w:bCs/>
                <w:color w:val="auto"/>
                <w:spacing w:val="53"/>
                <w:kern w:val="0"/>
                <w:sz w:val="32"/>
                <w:szCs w:val="32"/>
                <w:highlight w:val="none"/>
                <w:fitText w:val="1600" w:id="979121594"/>
              </w:rPr>
              <w:t>项目编</w:t>
            </w:r>
            <w:r>
              <w:rPr>
                <w:rFonts w:hint="eastAsia" w:ascii="宋体" w:hAnsi="宋体" w:cs="宋体"/>
                <w:b/>
                <w:bCs/>
                <w:color w:val="auto"/>
                <w:spacing w:val="1"/>
                <w:kern w:val="0"/>
                <w:sz w:val="32"/>
                <w:szCs w:val="32"/>
                <w:highlight w:val="none"/>
                <w:fitText w:val="1600" w:id="979121594"/>
              </w:rPr>
              <w:t>号</w:t>
            </w:r>
            <w:r>
              <w:rPr>
                <w:rFonts w:hint="eastAsia" w:ascii="宋体" w:hAnsi="宋体" w:cs="宋体"/>
                <w:b/>
                <w:bCs/>
                <w:color w:val="auto"/>
                <w:sz w:val="32"/>
                <w:szCs w:val="32"/>
                <w:highlight w:val="none"/>
              </w:rPr>
              <w:t>：</w:t>
            </w:r>
          </w:p>
        </w:tc>
      </w:tr>
      <w:tr w14:paraId="4F5F7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nil"/>
              <w:left w:val="nil"/>
              <w:bottom w:val="nil"/>
              <w:right w:val="nil"/>
            </w:tcBorders>
          </w:tcPr>
          <w:p w14:paraId="23EF757E">
            <w:pPr>
              <w:pStyle w:val="12"/>
              <w:keepNext w:val="0"/>
              <w:keepLines w:val="0"/>
              <w:pageBreakBefore w:val="0"/>
              <w:widowControl/>
              <w:kinsoku/>
              <w:wordWrap/>
              <w:overflowPunct/>
              <w:topLinePunct w:val="0"/>
              <w:autoSpaceDE/>
              <w:autoSpaceDN/>
              <w:bidi w:val="0"/>
              <w:adjustRightInd w:val="0"/>
              <w:snapToGrid w:val="0"/>
              <w:ind w:left="2564" w:hanging="3200" w:hangingChars="600"/>
              <w:textAlignment w:val="auto"/>
              <w:rPr>
                <w:rFonts w:ascii="宋体" w:hAnsi="宋体" w:cs="宋体"/>
                <w:b/>
                <w:bCs/>
                <w:color w:val="auto"/>
                <w:spacing w:val="-6"/>
                <w:sz w:val="32"/>
                <w:szCs w:val="32"/>
                <w:highlight w:val="none"/>
                <w:vertAlign w:val="baseline"/>
              </w:rPr>
            </w:pPr>
            <w:r>
              <w:rPr>
                <w:b/>
                <w:color w:val="auto"/>
                <w:spacing w:val="106"/>
                <w:sz w:val="32"/>
                <w:szCs w:val="32"/>
                <w:highlight w:val="none"/>
                <w:lang w:val="en-US" w:bidi="ar-SA"/>
              </w:rPr>
              <w:t>包组号（如有）：</w:t>
            </w:r>
          </w:p>
        </w:tc>
      </w:tr>
      <w:tr w14:paraId="7322C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nil"/>
              <w:left w:val="nil"/>
              <w:bottom w:val="nil"/>
              <w:right w:val="nil"/>
            </w:tcBorders>
          </w:tcPr>
          <w:p w14:paraId="6603C6D9">
            <w:pPr>
              <w:keepNext w:val="0"/>
              <w:keepLines w:val="0"/>
              <w:pageBreakBefore w:val="0"/>
              <w:widowControl/>
              <w:kinsoku/>
              <w:wordWrap/>
              <w:overflowPunct/>
              <w:topLinePunct w:val="0"/>
              <w:autoSpaceDE/>
              <w:autoSpaceDN/>
              <w:bidi w:val="0"/>
              <w:adjustRightInd w:val="0"/>
              <w:snapToGrid w:val="0"/>
              <w:ind w:left="2564" w:hanging="1928" w:hangingChars="600"/>
              <w:textAlignment w:val="auto"/>
              <w:rPr>
                <w:rFonts w:ascii="宋体" w:hAnsi="宋体" w:cs="宋体"/>
                <w:b/>
                <w:bCs/>
                <w:color w:val="auto"/>
                <w:spacing w:val="-6"/>
                <w:sz w:val="32"/>
                <w:szCs w:val="32"/>
                <w:highlight w:val="none"/>
                <w:vertAlign w:val="baseline"/>
              </w:rPr>
            </w:pPr>
            <w:r>
              <w:rPr>
                <w:rFonts w:hint="eastAsia" w:ascii="宋体" w:hAnsi="宋体" w:cs="宋体"/>
                <w:b/>
                <w:color w:val="auto"/>
                <w:spacing w:val="0"/>
                <w:kern w:val="0"/>
                <w:sz w:val="32"/>
                <w:szCs w:val="32"/>
                <w:highlight w:val="none"/>
                <w:fitText w:val="1600" w:id="347622947"/>
              </w:rPr>
              <w:t>投标人名称</w:t>
            </w:r>
            <w:r>
              <w:rPr>
                <w:rFonts w:hint="eastAsia" w:ascii="宋体" w:hAnsi="宋体" w:cs="宋体"/>
                <w:b/>
                <w:color w:val="auto"/>
                <w:sz w:val="32"/>
                <w:szCs w:val="32"/>
                <w:highlight w:val="none"/>
              </w:rPr>
              <w:t>：</w:t>
            </w:r>
          </w:p>
        </w:tc>
      </w:tr>
      <w:tr w14:paraId="4D336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nil"/>
              <w:left w:val="nil"/>
              <w:bottom w:val="nil"/>
              <w:right w:val="nil"/>
            </w:tcBorders>
          </w:tcPr>
          <w:p w14:paraId="051B53D8">
            <w:pPr>
              <w:keepNext w:val="0"/>
              <w:keepLines w:val="0"/>
              <w:pageBreakBefore w:val="0"/>
              <w:widowControl/>
              <w:kinsoku/>
              <w:wordWrap/>
              <w:overflowPunct/>
              <w:topLinePunct w:val="0"/>
              <w:autoSpaceDE/>
              <w:autoSpaceDN/>
              <w:bidi w:val="0"/>
              <w:adjustRightInd w:val="0"/>
              <w:snapToGrid w:val="0"/>
              <w:ind w:left="2564" w:hanging="7688" w:hangingChars="600"/>
              <w:textAlignment w:val="auto"/>
              <w:rPr>
                <w:rFonts w:ascii="宋体" w:hAnsi="宋体" w:cs="宋体"/>
                <w:b/>
                <w:bCs/>
                <w:color w:val="auto"/>
                <w:spacing w:val="-6"/>
                <w:sz w:val="32"/>
                <w:szCs w:val="32"/>
                <w:highlight w:val="none"/>
                <w:vertAlign w:val="baseline"/>
              </w:rPr>
            </w:pPr>
            <w:r>
              <w:rPr>
                <w:rFonts w:hint="eastAsia" w:ascii="宋体" w:hAnsi="宋体" w:cs="宋体"/>
                <w:b/>
                <w:color w:val="auto"/>
                <w:spacing w:val="480"/>
                <w:kern w:val="0"/>
                <w:sz w:val="32"/>
                <w:szCs w:val="32"/>
                <w:highlight w:val="none"/>
                <w:fitText w:val="1600" w:id="1063470700"/>
              </w:rPr>
              <w:t>日</w:t>
            </w:r>
            <w:r>
              <w:rPr>
                <w:rFonts w:hint="eastAsia" w:ascii="宋体" w:hAnsi="宋体" w:cs="宋体"/>
                <w:b/>
                <w:color w:val="auto"/>
                <w:spacing w:val="0"/>
                <w:kern w:val="0"/>
                <w:sz w:val="32"/>
                <w:szCs w:val="32"/>
                <w:highlight w:val="none"/>
                <w:fitText w:val="1600" w:id="1063470700"/>
              </w:rPr>
              <w:t>期</w:t>
            </w:r>
            <w:r>
              <w:rPr>
                <w:rFonts w:hint="eastAsia" w:ascii="宋体" w:hAnsi="宋体" w:cs="宋体"/>
                <w:b/>
                <w:color w:val="auto"/>
                <w:sz w:val="32"/>
                <w:szCs w:val="32"/>
                <w:highlight w:val="none"/>
              </w:rPr>
              <w:t>：</w:t>
            </w:r>
          </w:p>
        </w:tc>
      </w:tr>
    </w:tbl>
    <w:p w14:paraId="14194558">
      <w:pPr>
        <w:rPr>
          <w:color w:val="auto"/>
          <w:highlight w:val="none"/>
        </w:rPr>
      </w:pPr>
    </w:p>
    <w:p w14:paraId="4A704B3C">
      <w:pPr>
        <w:pStyle w:val="12"/>
        <w:rPr>
          <w:color w:val="auto"/>
          <w:highlight w:val="none"/>
        </w:rPr>
      </w:pPr>
    </w:p>
    <w:p w14:paraId="5DB755F3">
      <w:pPr>
        <w:ind w:firstLine="240"/>
        <w:rPr>
          <w:color w:val="auto"/>
          <w:highlight w:val="none"/>
        </w:rPr>
      </w:pPr>
    </w:p>
    <w:p w14:paraId="60E77A0B">
      <w:pPr>
        <w:pStyle w:val="26"/>
        <w:rPr>
          <w:color w:val="auto"/>
          <w:highlight w:val="none"/>
        </w:rPr>
      </w:pPr>
    </w:p>
    <w:p w14:paraId="07153444">
      <w:pPr>
        <w:rPr>
          <w:color w:val="auto"/>
          <w:highlight w:val="none"/>
        </w:rPr>
      </w:pPr>
    </w:p>
    <w:p w14:paraId="4F946413">
      <w:pPr>
        <w:pStyle w:val="12"/>
        <w:rPr>
          <w:color w:val="auto"/>
          <w:highlight w:val="none"/>
        </w:rPr>
      </w:pPr>
    </w:p>
    <w:p w14:paraId="64D23AE3">
      <w:pPr>
        <w:ind w:firstLine="240"/>
        <w:rPr>
          <w:color w:val="auto"/>
          <w:highlight w:val="none"/>
        </w:rPr>
      </w:pPr>
    </w:p>
    <w:p w14:paraId="38A600E3">
      <w:pPr>
        <w:pStyle w:val="26"/>
        <w:rPr>
          <w:color w:val="auto"/>
          <w:highlight w:val="none"/>
        </w:rPr>
      </w:pPr>
    </w:p>
    <w:p w14:paraId="221816B5">
      <w:pPr>
        <w:pStyle w:val="26"/>
        <w:ind w:left="0"/>
        <w:rPr>
          <w:color w:val="auto"/>
          <w:highlight w:val="none"/>
        </w:rPr>
      </w:pPr>
    </w:p>
    <w:p w14:paraId="58EF3C9B">
      <w:pPr>
        <w:rPr>
          <w:rFonts w:ascii="宋体" w:hAnsi="宋体"/>
          <w:color w:val="auto"/>
          <w:szCs w:val="21"/>
          <w:highlight w:val="none"/>
        </w:rPr>
      </w:pPr>
      <w:r>
        <w:rPr>
          <w:rFonts w:hint="eastAsia" w:ascii="宋体" w:hAnsi="宋体"/>
          <w:color w:val="auto"/>
          <w:szCs w:val="21"/>
          <w:highlight w:val="none"/>
        </w:rPr>
        <w:br w:type="page"/>
      </w:r>
    </w:p>
    <w:p w14:paraId="211DF9E1">
      <w:pPr>
        <w:pStyle w:val="5"/>
        <w:widowControl w:val="0"/>
        <w:overflowPunct w:val="0"/>
        <w:spacing w:line="240" w:lineRule="auto"/>
        <w:rPr>
          <w:rFonts w:ascii="宋体" w:hAnsi="宋体"/>
          <w:color w:val="auto"/>
          <w:sz w:val="21"/>
          <w:szCs w:val="21"/>
          <w:highlight w:val="none"/>
        </w:rPr>
      </w:pPr>
      <w:bookmarkStart w:id="179" w:name="_Toc877"/>
      <w:r>
        <w:rPr>
          <w:rFonts w:hint="eastAsia" w:ascii="宋体" w:hAnsi="宋体"/>
          <w:color w:val="auto"/>
          <w:sz w:val="21"/>
          <w:szCs w:val="21"/>
          <w:highlight w:val="none"/>
        </w:rPr>
        <w:t>附件2.开标一览表格式</w:t>
      </w:r>
      <w:bookmarkEnd w:id="179"/>
    </w:p>
    <w:p w14:paraId="0C2AFA36">
      <w:pPr>
        <w:jc w:val="center"/>
        <w:rPr>
          <w:rFonts w:ascii="黑体" w:eastAsia="黑体"/>
          <w:color w:val="auto"/>
          <w:sz w:val="32"/>
          <w:szCs w:val="32"/>
          <w:highlight w:val="none"/>
        </w:rPr>
      </w:pPr>
      <w:r>
        <w:rPr>
          <w:rFonts w:hint="eastAsia" w:ascii="黑体" w:eastAsia="黑体"/>
          <w:color w:val="auto"/>
          <w:sz w:val="32"/>
          <w:szCs w:val="32"/>
          <w:highlight w:val="none"/>
        </w:rPr>
        <w:t>开标一览表</w:t>
      </w:r>
    </w:p>
    <w:p w14:paraId="3F1D63D7">
      <w:pPr>
        <w:rPr>
          <w:color w:val="auto"/>
          <w:highlight w:val="none"/>
        </w:rPr>
      </w:pPr>
    </w:p>
    <w:p w14:paraId="559BE084">
      <w:pPr>
        <w:rPr>
          <w:rFonts w:ascii="宋体" w:hAnsi="宋体"/>
          <w:color w:val="auto"/>
          <w:szCs w:val="21"/>
          <w:highlight w:val="none"/>
        </w:rPr>
      </w:pPr>
      <w:r>
        <w:rPr>
          <w:rFonts w:hint="eastAsia" w:ascii="宋体" w:hAnsi="宋体"/>
          <w:color w:val="auto"/>
          <w:szCs w:val="21"/>
          <w:highlight w:val="none"/>
        </w:rPr>
        <w:t>投标人名称：</w:t>
      </w:r>
    </w:p>
    <w:p w14:paraId="0900CC14">
      <w:pPr>
        <w:rPr>
          <w:color w:val="auto"/>
          <w:highlight w:val="none"/>
        </w:rPr>
      </w:pPr>
      <w:r>
        <w:rPr>
          <w:rFonts w:hint="eastAsia" w:ascii="宋体" w:hAnsi="宋体"/>
          <w:color w:val="auto"/>
          <w:szCs w:val="21"/>
          <w:highlight w:val="none"/>
        </w:rPr>
        <w:t>采购项目编号：</w:t>
      </w:r>
    </w:p>
    <w:tbl>
      <w:tblPr>
        <w:tblStyle w:val="32"/>
        <w:tblW w:w="4998"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hemeFill="background1"/>
        <w:tblLayout w:type="autofit"/>
        <w:tblCellMar>
          <w:top w:w="0" w:type="dxa"/>
          <w:left w:w="108" w:type="dxa"/>
          <w:bottom w:w="0" w:type="dxa"/>
          <w:right w:w="108" w:type="dxa"/>
        </w:tblCellMar>
      </w:tblPr>
      <w:tblGrid>
        <w:gridCol w:w="4073"/>
        <w:gridCol w:w="1831"/>
        <w:gridCol w:w="4054"/>
      </w:tblGrid>
      <w:tr w14:paraId="337769D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hemeFill="background1"/>
          <w:tblCellMar>
            <w:top w:w="0" w:type="dxa"/>
            <w:left w:w="108" w:type="dxa"/>
            <w:bottom w:w="0" w:type="dxa"/>
            <w:right w:w="108" w:type="dxa"/>
          </w:tblCellMar>
        </w:tblPrEx>
        <w:trPr>
          <w:trHeight w:val="905" w:hRule="atLeast"/>
          <w:jc w:val="center"/>
        </w:trPr>
        <w:tc>
          <w:tcPr>
            <w:tcW w:w="2045" w:type="pct"/>
            <w:shd w:val="clear" w:color="auto" w:fill="FFFFFF" w:themeFill="background1"/>
            <w:vAlign w:val="center"/>
          </w:tcPr>
          <w:p w14:paraId="265CA3F6">
            <w:pPr>
              <w:widowControl w:val="0"/>
              <w:spacing w:after="0"/>
              <w:jc w:val="center"/>
              <w:rPr>
                <w:rFonts w:ascii="宋体" w:hAnsi="宋体" w:eastAsia="宋体" w:cs="Times New Roman"/>
                <w:b/>
                <w:color w:val="auto"/>
                <w:kern w:val="2"/>
                <w:sz w:val="21"/>
                <w:szCs w:val="21"/>
                <w:highlight w:val="none"/>
              </w:rPr>
            </w:pPr>
            <w:r>
              <w:rPr>
                <w:rFonts w:hint="eastAsia" w:ascii="宋体" w:hAnsi="宋体" w:eastAsia="宋体" w:cs="Times New Roman"/>
                <w:b/>
                <w:color w:val="auto"/>
                <w:kern w:val="2"/>
                <w:sz w:val="21"/>
                <w:szCs w:val="21"/>
                <w:highlight w:val="none"/>
              </w:rPr>
              <w:t>采购标的</w:t>
            </w:r>
          </w:p>
        </w:tc>
        <w:tc>
          <w:tcPr>
            <w:tcW w:w="919" w:type="pct"/>
            <w:shd w:val="clear" w:color="auto" w:fill="FFFFFF" w:themeFill="background1"/>
            <w:vAlign w:val="center"/>
          </w:tcPr>
          <w:p w14:paraId="25C65307">
            <w:pPr>
              <w:widowControl w:val="0"/>
              <w:spacing w:after="0"/>
              <w:jc w:val="center"/>
              <w:rPr>
                <w:rFonts w:ascii="宋体" w:hAnsi="宋体" w:eastAsia="宋体" w:cs="Times New Roman"/>
                <w:b/>
                <w:color w:val="auto"/>
                <w:kern w:val="2"/>
                <w:sz w:val="21"/>
                <w:szCs w:val="21"/>
                <w:highlight w:val="none"/>
              </w:rPr>
            </w:pPr>
            <w:r>
              <w:rPr>
                <w:rStyle w:val="35"/>
                <w:rFonts w:ascii="宋体" w:hAnsi="宋体" w:eastAsia="宋体"/>
                <w:color w:val="auto"/>
                <w:sz w:val="21"/>
                <w:szCs w:val="21"/>
                <w:highlight w:val="none"/>
              </w:rPr>
              <w:t>数量（单位）</w:t>
            </w:r>
          </w:p>
        </w:tc>
        <w:tc>
          <w:tcPr>
            <w:tcW w:w="2035" w:type="pct"/>
            <w:shd w:val="clear" w:color="auto" w:fill="FFFFFF" w:themeFill="background1"/>
            <w:vAlign w:val="center"/>
          </w:tcPr>
          <w:p w14:paraId="6C8DE5C3">
            <w:pPr>
              <w:widowControl w:val="0"/>
              <w:spacing w:after="0"/>
              <w:jc w:val="center"/>
              <w:rPr>
                <w:rFonts w:ascii="宋体" w:hAnsi="Times New Roman" w:eastAsia="宋体" w:cs="Times New Roman"/>
                <w:b/>
                <w:color w:val="auto"/>
                <w:kern w:val="2"/>
                <w:sz w:val="21"/>
                <w:szCs w:val="21"/>
                <w:highlight w:val="none"/>
              </w:rPr>
            </w:pPr>
            <w:r>
              <w:rPr>
                <w:rFonts w:hint="eastAsia" w:ascii="宋体" w:hAnsi="Times New Roman" w:eastAsia="宋体" w:cs="Times New Roman"/>
                <w:b/>
                <w:color w:val="auto"/>
                <w:kern w:val="2"/>
                <w:sz w:val="21"/>
                <w:szCs w:val="21"/>
                <w:highlight w:val="none"/>
              </w:rPr>
              <w:t>单价投标报价</w:t>
            </w:r>
          </w:p>
        </w:tc>
      </w:tr>
      <w:tr w14:paraId="441B5D5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hemeFill="background1"/>
          <w:tblCellMar>
            <w:top w:w="0" w:type="dxa"/>
            <w:left w:w="108" w:type="dxa"/>
            <w:bottom w:w="0" w:type="dxa"/>
            <w:right w:w="108" w:type="dxa"/>
          </w:tblCellMar>
        </w:tblPrEx>
        <w:trPr>
          <w:trHeight w:val="1362" w:hRule="atLeast"/>
          <w:jc w:val="center"/>
        </w:trPr>
        <w:tc>
          <w:tcPr>
            <w:tcW w:w="2045" w:type="pct"/>
            <w:shd w:val="clear" w:color="auto" w:fill="FFFFFF" w:themeFill="background1"/>
            <w:vAlign w:val="center"/>
          </w:tcPr>
          <w:p w14:paraId="5641B3A8">
            <w:pPr>
              <w:widowControl w:val="0"/>
              <w:spacing w:after="0"/>
              <w:jc w:val="center"/>
              <w:rPr>
                <w:rFonts w:hint="eastAsia" w:ascii="宋体" w:hAnsi="宋体" w:eastAsia="宋体" w:cs="Times New Roman"/>
                <w:bCs/>
                <w:color w:val="auto"/>
                <w:kern w:val="2"/>
                <w:sz w:val="21"/>
                <w:szCs w:val="21"/>
                <w:highlight w:val="none"/>
                <w:lang w:eastAsia="zh-CN"/>
              </w:rPr>
            </w:pPr>
            <w:r>
              <w:rPr>
                <w:rFonts w:hint="eastAsia" w:ascii="宋体" w:hAnsi="宋体" w:cs="Times New Roman"/>
                <w:bCs/>
                <w:color w:val="auto"/>
                <w:kern w:val="2"/>
                <w:sz w:val="21"/>
                <w:szCs w:val="21"/>
                <w:highlight w:val="none"/>
                <w:lang w:eastAsia="zh-CN"/>
              </w:rPr>
              <w:t>东莞市旗领产业投资有限公司1525kW/6100kWh用户侧储能项目</w:t>
            </w:r>
          </w:p>
        </w:tc>
        <w:tc>
          <w:tcPr>
            <w:tcW w:w="919" w:type="pct"/>
            <w:shd w:val="clear" w:color="auto" w:fill="FFFFFF" w:themeFill="background1"/>
            <w:vAlign w:val="center"/>
          </w:tcPr>
          <w:p w14:paraId="00C503A3">
            <w:pPr>
              <w:widowControl w:val="0"/>
              <w:spacing w:after="0"/>
              <w:jc w:val="center"/>
              <w:rPr>
                <w:rFonts w:ascii="宋体" w:hAnsi="宋体" w:eastAsia="宋体" w:cs="Times New Roman"/>
                <w:bCs/>
                <w:color w:val="auto"/>
                <w:kern w:val="2"/>
                <w:sz w:val="21"/>
                <w:szCs w:val="21"/>
                <w:highlight w:val="none"/>
              </w:rPr>
            </w:pPr>
            <w:r>
              <w:rPr>
                <w:rFonts w:hint="eastAsia" w:ascii="宋体" w:hAnsi="宋体" w:eastAsia="宋体"/>
                <w:color w:val="auto"/>
                <w:sz w:val="21"/>
                <w:szCs w:val="21"/>
                <w:highlight w:val="none"/>
              </w:rPr>
              <w:t>1（项）</w:t>
            </w:r>
          </w:p>
        </w:tc>
        <w:tc>
          <w:tcPr>
            <w:tcW w:w="2035" w:type="pct"/>
            <w:shd w:val="clear" w:color="auto" w:fill="FFFFFF" w:themeFill="background1"/>
            <w:vAlign w:val="center"/>
          </w:tcPr>
          <w:p w14:paraId="2BA60EF7">
            <w:pPr>
              <w:widowControl w:val="0"/>
              <w:spacing w:after="0"/>
              <w:jc w:val="center"/>
              <w:rPr>
                <w:rFonts w:hint="eastAsia" w:ascii="宋体" w:hAnsi="Times New Roman" w:eastAsia="宋体" w:cs="Times New Roman"/>
                <w:bCs/>
                <w:color w:val="auto"/>
                <w:kern w:val="2"/>
                <w:sz w:val="21"/>
                <w:szCs w:val="21"/>
                <w:highlight w:val="none"/>
                <w:lang w:eastAsia="zh-CN"/>
              </w:rPr>
            </w:pPr>
            <w:r>
              <w:rPr>
                <w:rFonts w:hint="eastAsia" w:ascii="宋体" w:hAnsi="Times New Roman" w:eastAsia="宋体" w:cs="Times New Roman"/>
                <w:bCs/>
                <w:color w:val="auto"/>
                <w:kern w:val="2"/>
                <w:sz w:val="21"/>
                <w:szCs w:val="21"/>
                <w:highlight w:val="none"/>
              </w:rPr>
              <w:t>小写：</w:t>
            </w:r>
            <w:r>
              <w:rPr>
                <w:rFonts w:hint="eastAsia" w:ascii="宋体" w:hAnsi="Times New Roman" w:eastAsia="宋体" w:cs="Times New Roman"/>
                <w:b/>
                <w:color w:val="auto"/>
                <w:kern w:val="2"/>
                <w:sz w:val="21"/>
                <w:szCs w:val="21"/>
                <w:highlight w:val="none"/>
              </w:rPr>
              <w:t>元/</w:t>
            </w:r>
            <w:r>
              <w:rPr>
                <w:rFonts w:hint="eastAsia" w:ascii="宋体" w:hAnsi="Times New Roman" w:eastAsia="宋体" w:cs="Times New Roman"/>
                <w:b/>
                <w:color w:val="auto"/>
                <w:kern w:val="2"/>
                <w:sz w:val="21"/>
                <w:szCs w:val="21"/>
                <w:highlight w:val="none"/>
                <w:lang w:eastAsia="zh-CN"/>
              </w:rPr>
              <w:t>kWh</w:t>
            </w:r>
          </w:p>
        </w:tc>
      </w:tr>
    </w:tbl>
    <w:p w14:paraId="33BD1C8A">
      <w:pPr>
        <w:rPr>
          <w:rFonts w:ascii="宋体" w:hAnsi="宋体"/>
          <w:color w:val="auto"/>
          <w:szCs w:val="21"/>
          <w:highlight w:val="none"/>
        </w:rPr>
      </w:pPr>
    </w:p>
    <w:p w14:paraId="6E01F657">
      <w:pPr>
        <w:ind w:firstLine="359" w:firstLineChars="171"/>
        <w:rPr>
          <w:rFonts w:ascii="宋体" w:hAnsi="宋体"/>
          <w:color w:val="auto"/>
          <w:szCs w:val="21"/>
          <w:highlight w:val="none"/>
        </w:rPr>
      </w:pPr>
    </w:p>
    <w:p w14:paraId="4FF2C2AA">
      <w:pPr>
        <w:ind w:firstLine="359" w:firstLineChars="171"/>
        <w:rPr>
          <w:rFonts w:ascii="宋体" w:hAnsi="宋体"/>
          <w:color w:val="auto"/>
          <w:szCs w:val="21"/>
          <w:highlight w:val="none"/>
        </w:rPr>
      </w:pPr>
      <w:r>
        <w:rPr>
          <w:rFonts w:hint="eastAsia" w:ascii="宋体" w:hAnsi="宋体"/>
          <w:color w:val="auto"/>
          <w:szCs w:val="21"/>
          <w:highlight w:val="none"/>
        </w:rPr>
        <w:t>投标人代表签字：</w:t>
      </w:r>
    </w:p>
    <w:p w14:paraId="30991339">
      <w:pPr>
        <w:ind w:firstLine="359" w:firstLineChars="171"/>
        <w:rPr>
          <w:rFonts w:ascii="宋体" w:hAnsi="宋体"/>
          <w:color w:val="auto"/>
          <w:szCs w:val="21"/>
          <w:highlight w:val="none"/>
        </w:rPr>
      </w:pPr>
      <w:r>
        <w:rPr>
          <w:rFonts w:hint="eastAsia" w:ascii="宋体" w:hAnsi="宋体"/>
          <w:color w:val="auto"/>
          <w:szCs w:val="21"/>
          <w:highlight w:val="none"/>
        </w:rPr>
        <w:t>投标人盖章：</w:t>
      </w:r>
    </w:p>
    <w:p w14:paraId="1E48062A">
      <w:pPr>
        <w:ind w:firstLine="359" w:firstLineChars="171"/>
        <w:rPr>
          <w:rFonts w:ascii="宋体" w:hAnsi="宋体"/>
          <w:color w:val="auto"/>
          <w:szCs w:val="21"/>
          <w:highlight w:val="none"/>
        </w:rPr>
      </w:pPr>
      <w:r>
        <w:rPr>
          <w:rFonts w:hint="eastAsia" w:ascii="宋体" w:hAnsi="宋体"/>
          <w:color w:val="auto"/>
          <w:szCs w:val="21"/>
          <w:highlight w:val="none"/>
        </w:rPr>
        <w:t>日期：</w:t>
      </w:r>
    </w:p>
    <w:p w14:paraId="439B3B68">
      <w:pPr>
        <w:ind w:firstLine="359" w:firstLineChars="171"/>
        <w:rPr>
          <w:rFonts w:ascii="宋体" w:hAnsi="宋体"/>
          <w:color w:val="auto"/>
          <w:szCs w:val="21"/>
          <w:highlight w:val="none"/>
        </w:rPr>
      </w:pPr>
    </w:p>
    <w:p w14:paraId="2841E6C4">
      <w:pPr>
        <w:ind w:left="391" w:hanging="390" w:hangingChars="186"/>
        <w:rPr>
          <w:rFonts w:ascii="宋体" w:hAnsi="宋体"/>
          <w:color w:val="auto"/>
          <w:szCs w:val="21"/>
          <w:highlight w:val="none"/>
        </w:rPr>
      </w:pPr>
      <w:r>
        <w:rPr>
          <w:rFonts w:hint="eastAsia" w:ascii="宋体" w:hAnsi="宋体"/>
          <w:color w:val="auto"/>
          <w:szCs w:val="21"/>
          <w:highlight w:val="none"/>
        </w:rPr>
        <w:t>注：</w:t>
      </w:r>
    </w:p>
    <w:p w14:paraId="62D21E0E">
      <w:pPr>
        <w:ind w:firstLine="420" w:firstLineChars="200"/>
        <w:rPr>
          <w:rFonts w:ascii="宋体" w:hAnsi="宋体"/>
          <w:color w:val="auto"/>
          <w:szCs w:val="21"/>
          <w:highlight w:val="none"/>
        </w:rPr>
      </w:pPr>
      <w:r>
        <w:rPr>
          <w:rFonts w:hint="eastAsia" w:ascii="宋体" w:hAnsi="宋体"/>
          <w:color w:val="auto"/>
          <w:szCs w:val="21"/>
          <w:highlight w:val="none"/>
        </w:rPr>
        <w:t>1、投标</w:t>
      </w:r>
      <w:r>
        <w:rPr>
          <w:rFonts w:hint="eastAsia" w:ascii="宋体" w:hAnsi="宋体"/>
          <w:color w:val="auto"/>
          <w:szCs w:val="21"/>
          <w:highlight w:val="none"/>
          <w:lang w:eastAsia="zh-CN"/>
        </w:rPr>
        <w:t>报价</w:t>
      </w:r>
      <w:r>
        <w:rPr>
          <w:rFonts w:hint="eastAsia" w:ascii="宋体" w:hAnsi="宋体"/>
          <w:color w:val="auto"/>
          <w:szCs w:val="21"/>
          <w:highlight w:val="none"/>
        </w:rPr>
        <w:t>保留小数点后两位。投标</w:t>
      </w:r>
      <w:r>
        <w:rPr>
          <w:rFonts w:hint="eastAsia" w:ascii="宋体" w:hAnsi="宋体"/>
          <w:color w:val="auto"/>
          <w:szCs w:val="21"/>
          <w:highlight w:val="none"/>
          <w:lang w:eastAsia="zh-CN"/>
        </w:rPr>
        <w:t>报价</w:t>
      </w:r>
      <w:r>
        <w:rPr>
          <w:rFonts w:hint="eastAsia" w:ascii="宋体" w:hAnsi="宋体"/>
          <w:color w:val="auto"/>
          <w:szCs w:val="21"/>
          <w:highlight w:val="none"/>
        </w:rPr>
        <w:t>必须准确唯一且应包含采购文件要求的所有费用。</w:t>
      </w:r>
    </w:p>
    <w:p w14:paraId="17405AC1">
      <w:pPr>
        <w:ind w:firstLine="420" w:firstLineChars="200"/>
        <w:rPr>
          <w:rFonts w:ascii="宋体" w:hAnsi="宋体"/>
          <w:color w:val="auto"/>
          <w:szCs w:val="21"/>
          <w:highlight w:val="none"/>
        </w:rPr>
      </w:pPr>
      <w:r>
        <w:rPr>
          <w:rFonts w:hint="eastAsia" w:ascii="宋体" w:hAnsi="宋体"/>
          <w:color w:val="auto"/>
          <w:szCs w:val="21"/>
          <w:highlight w:val="none"/>
        </w:rPr>
        <w:t>2、温馨提示：未按采购文件要求报价、填写开标一览表是导致投标人废标的常见问题，请投标人仔细填写，认真核对。</w:t>
      </w:r>
    </w:p>
    <w:p w14:paraId="3FC10C50">
      <w:pPr>
        <w:rPr>
          <w:rFonts w:ascii="宋体" w:hAnsi="宋体"/>
          <w:color w:val="auto"/>
          <w:szCs w:val="21"/>
          <w:highlight w:val="none"/>
        </w:rPr>
      </w:pPr>
      <w:r>
        <w:rPr>
          <w:rFonts w:hint="eastAsia" w:ascii="宋体" w:hAnsi="宋体"/>
          <w:color w:val="auto"/>
          <w:szCs w:val="21"/>
          <w:highlight w:val="none"/>
        </w:rPr>
        <w:br w:type="page"/>
      </w:r>
    </w:p>
    <w:p w14:paraId="3E30DFA5">
      <w:pPr>
        <w:rPr>
          <w:color w:val="auto"/>
          <w:sz w:val="52"/>
          <w:szCs w:val="52"/>
          <w:highlight w:val="none"/>
        </w:rPr>
      </w:pPr>
    </w:p>
    <w:p w14:paraId="71A23882">
      <w:pPr>
        <w:pStyle w:val="3"/>
        <w:spacing w:before="0" w:after="0" w:line="360" w:lineRule="auto"/>
        <w:jc w:val="center"/>
        <w:rPr>
          <w:color w:val="auto"/>
          <w:sz w:val="72"/>
          <w:szCs w:val="72"/>
          <w:highlight w:val="none"/>
        </w:rPr>
      </w:pPr>
      <w:bookmarkStart w:id="180" w:name="_Toc9938"/>
      <w:r>
        <w:rPr>
          <w:rFonts w:hint="eastAsia"/>
          <w:color w:val="auto"/>
          <w:sz w:val="72"/>
          <w:szCs w:val="72"/>
          <w:highlight w:val="none"/>
        </w:rPr>
        <w:t>商务文件</w:t>
      </w:r>
      <w:bookmarkEnd w:id="180"/>
    </w:p>
    <w:p w14:paraId="51DB0051">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3E082E8E">
      <w:pPr>
        <w:rPr>
          <w:color w:val="auto"/>
          <w:highlight w:val="none"/>
        </w:rPr>
      </w:pPr>
    </w:p>
    <w:p w14:paraId="73A84AD9">
      <w:pPr>
        <w:pStyle w:val="12"/>
        <w:rPr>
          <w:color w:val="auto"/>
          <w:highlight w:val="none"/>
        </w:rPr>
      </w:pPr>
    </w:p>
    <w:p w14:paraId="302AFE38">
      <w:pPr>
        <w:ind w:firstLine="240"/>
        <w:rPr>
          <w:color w:val="auto"/>
          <w:highlight w:val="none"/>
        </w:rPr>
      </w:pPr>
    </w:p>
    <w:tbl>
      <w:tblPr>
        <w:tblStyle w:val="33"/>
        <w:tblW w:w="2341" w:type="pct"/>
        <w:tblInd w:w="26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64"/>
      </w:tblGrid>
      <w:tr w14:paraId="713C1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nil"/>
              <w:left w:val="nil"/>
              <w:bottom w:val="nil"/>
              <w:right w:val="nil"/>
            </w:tcBorders>
          </w:tcPr>
          <w:p w14:paraId="41CC4C58">
            <w:pPr>
              <w:keepNext w:val="0"/>
              <w:keepLines w:val="0"/>
              <w:pageBreakBefore w:val="0"/>
              <w:widowControl/>
              <w:kinsoku/>
              <w:wordWrap/>
              <w:overflowPunct/>
              <w:topLinePunct w:val="0"/>
              <w:autoSpaceDE/>
              <w:autoSpaceDN/>
              <w:bidi w:val="0"/>
              <w:adjustRightInd w:val="0"/>
              <w:snapToGrid w:val="0"/>
              <w:textAlignment w:val="auto"/>
              <w:rPr>
                <w:rFonts w:ascii="宋体" w:hAnsi="宋体" w:cs="宋体"/>
                <w:b/>
                <w:bCs/>
                <w:color w:val="auto"/>
                <w:spacing w:val="-6"/>
                <w:sz w:val="32"/>
                <w:szCs w:val="32"/>
                <w:highlight w:val="none"/>
                <w:vertAlign w:val="baseline"/>
              </w:rPr>
            </w:pPr>
            <w:r>
              <w:rPr>
                <w:rFonts w:hint="eastAsia" w:ascii="宋体" w:hAnsi="宋体" w:cs="宋体"/>
                <w:b/>
                <w:bCs/>
                <w:color w:val="auto"/>
                <w:spacing w:val="53"/>
                <w:kern w:val="0"/>
                <w:sz w:val="32"/>
                <w:szCs w:val="32"/>
                <w:highlight w:val="none"/>
                <w:fitText w:val="1600" w:id="894963714"/>
              </w:rPr>
              <w:t>项目名</w:t>
            </w:r>
            <w:r>
              <w:rPr>
                <w:rFonts w:hint="eastAsia" w:ascii="宋体" w:hAnsi="宋体" w:cs="宋体"/>
                <w:b/>
                <w:bCs/>
                <w:color w:val="auto"/>
                <w:spacing w:val="1"/>
                <w:kern w:val="0"/>
                <w:sz w:val="32"/>
                <w:szCs w:val="32"/>
                <w:highlight w:val="none"/>
                <w:fitText w:val="1600" w:id="894963714"/>
              </w:rPr>
              <w:t>称</w:t>
            </w:r>
            <w:r>
              <w:rPr>
                <w:rFonts w:hint="eastAsia" w:ascii="宋体" w:hAnsi="宋体" w:cs="宋体"/>
                <w:b/>
                <w:bCs/>
                <w:color w:val="auto"/>
                <w:spacing w:val="-6"/>
                <w:sz w:val="32"/>
                <w:szCs w:val="32"/>
                <w:highlight w:val="none"/>
              </w:rPr>
              <w:t>：</w:t>
            </w:r>
          </w:p>
        </w:tc>
      </w:tr>
      <w:tr w14:paraId="3BA89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nil"/>
              <w:left w:val="nil"/>
              <w:bottom w:val="nil"/>
              <w:right w:val="nil"/>
            </w:tcBorders>
          </w:tcPr>
          <w:p w14:paraId="0ACE8F5F">
            <w:pPr>
              <w:keepNext w:val="0"/>
              <w:keepLines w:val="0"/>
              <w:pageBreakBefore w:val="0"/>
              <w:widowControl/>
              <w:kinsoku/>
              <w:wordWrap/>
              <w:overflowPunct/>
              <w:topLinePunct w:val="0"/>
              <w:autoSpaceDE/>
              <w:autoSpaceDN/>
              <w:bidi w:val="0"/>
              <w:adjustRightInd w:val="0"/>
              <w:snapToGrid w:val="0"/>
              <w:ind w:left="2564" w:hanging="2564" w:hangingChars="600"/>
              <w:textAlignment w:val="auto"/>
              <w:rPr>
                <w:rFonts w:ascii="宋体" w:hAnsi="宋体" w:cs="宋体"/>
                <w:b/>
                <w:bCs/>
                <w:color w:val="auto"/>
                <w:spacing w:val="-6"/>
                <w:sz w:val="32"/>
                <w:szCs w:val="32"/>
                <w:highlight w:val="none"/>
                <w:vertAlign w:val="baseline"/>
              </w:rPr>
            </w:pPr>
            <w:r>
              <w:rPr>
                <w:rFonts w:hint="eastAsia" w:ascii="宋体" w:hAnsi="宋体" w:cs="宋体"/>
                <w:b/>
                <w:bCs/>
                <w:color w:val="auto"/>
                <w:spacing w:val="53"/>
                <w:kern w:val="0"/>
                <w:sz w:val="32"/>
                <w:szCs w:val="32"/>
                <w:highlight w:val="none"/>
                <w:fitText w:val="1600" w:id="1225524358"/>
              </w:rPr>
              <w:t>项目编</w:t>
            </w:r>
            <w:r>
              <w:rPr>
                <w:rFonts w:hint="eastAsia" w:ascii="宋体" w:hAnsi="宋体" w:cs="宋体"/>
                <w:b/>
                <w:bCs/>
                <w:color w:val="auto"/>
                <w:spacing w:val="1"/>
                <w:kern w:val="0"/>
                <w:sz w:val="32"/>
                <w:szCs w:val="32"/>
                <w:highlight w:val="none"/>
                <w:fitText w:val="1600" w:id="1225524358"/>
              </w:rPr>
              <w:t>号</w:t>
            </w:r>
            <w:r>
              <w:rPr>
                <w:rFonts w:hint="eastAsia" w:ascii="宋体" w:hAnsi="宋体" w:cs="宋体"/>
                <w:b/>
                <w:bCs/>
                <w:color w:val="auto"/>
                <w:sz w:val="32"/>
                <w:szCs w:val="32"/>
                <w:highlight w:val="none"/>
              </w:rPr>
              <w:t>：</w:t>
            </w:r>
          </w:p>
        </w:tc>
      </w:tr>
      <w:tr w14:paraId="17987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nil"/>
              <w:left w:val="nil"/>
              <w:bottom w:val="nil"/>
              <w:right w:val="nil"/>
            </w:tcBorders>
          </w:tcPr>
          <w:p w14:paraId="3DD44514">
            <w:pPr>
              <w:pStyle w:val="12"/>
              <w:keepNext w:val="0"/>
              <w:keepLines w:val="0"/>
              <w:pageBreakBefore w:val="0"/>
              <w:widowControl/>
              <w:kinsoku/>
              <w:wordWrap/>
              <w:overflowPunct/>
              <w:topLinePunct w:val="0"/>
              <w:autoSpaceDE/>
              <w:autoSpaceDN/>
              <w:bidi w:val="0"/>
              <w:adjustRightInd w:val="0"/>
              <w:snapToGrid w:val="0"/>
              <w:ind w:left="2564" w:hanging="3200" w:hangingChars="600"/>
              <w:textAlignment w:val="auto"/>
              <w:rPr>
                <w:rFonts w:ascii="宋体" w:hAnsi="宋体" w:cs="宋体"/>
                <w:b/>
                <w:bCs/>
                <w:color w:val="auto"/>
                <w:spacing w:val="-6"/>
                <w:sz w:val="32"/>
                <w:szCs w:val="32"/>
                <w:highlight w:val="none"/>
                <w:vertAlign w:val="baseline"/>
              </w:rPr>
            </w:pPr>
            <w:r>
              <w:rPr>
                <w:b/>
                <w:color w:val="auto"/>
                <w:spacing w:val="106"/>
                <w:sz w:val="32"/>
                <w:szCs w:val="32"/>
                <w:highlight w:val="none"/>
                <w:lang w:val="en-US" w:bidi="ar-SA"/>
              </w:rPr>
              <w:t>包组号（如有）：</w:t>
            </w:r>
          </w:p>
        </w:tc>
      </w:tr>
      <w:tr w14:paraId="7540B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nil"/>
              <w:left w:val="nil"/>
              <w:bottom w:val="nil"/>
              <w:right w:val="nil"/>
            </w:tcBorders>
          </w:tcPr>
          <w:p w14:paraId="0448A015">
            <w:pPr>
              <w:keepNext w:val="0"/>
              <w:keepLines w:val="0"/>
              <w:pageBreakBefore w:val="0"/>
              <w:widowControl/>
              <w:kinsoku/>
              <w:wordWrap/>
              <w:overflowPunct/>
              <w:topLinePunct w:val="0"/>
              <w:autoSpaceDE/>
              <w:autoSpaceDN/>
              <w:bidi w:val="0"/>
              <w:adjustRightInd w:val="0"/>
              <w:snapToGrid w:val="0"/>
              <w:ind w:left="2564" w:hanging="1928" w:hangingChars="600"/>
              <w:textAlignment w:val="auto"/>
              <w:rPr>
                <w:rFonts w:ascii="宋体" w:hAnsi="宋体" w:cs="宋体"/>
                <w:b/>
                <w:bCs/>
                <w:color w:val="auto"/>
                <w:spacing w:val="-6"/>
                <w:sz w:val="32"/>
                <w:szCs w:val="32"/>
                <w:highlight w:val="none"/>
                <w:vertAlign w:val="baseline"/>
              </w:rPr>
            </w:pPr>
            <w:r>
              <w:rPr>
                <w:rFonts w:hint="eastAsia" w:ascii="宋体" w:hAnsi="宋体" w:cs="宋体"/>
                <w:b/>
                <w:color w:val="auto"/>
                <w:spacing w:val="0"/>
                <w:kern w:val="0"/>
                <w:sz w:val="32"/>
                <w:szCs w:val="32"/>
                <w:highlight w:val="none"/>
                <w:fitText w:val="1600" w:id="744320174"/>
              </w:rPr>
              <w:t>投标人名称</w:t>
            </w:r>
            <w:r>
              <w:rPr>
                <w:rFonts w:hint="eastAsia" w:ascii="宋体" w:hAnsi="宋体" w:cs="宋体"/>
                <w:b/>
                <w:color w:val="auto"/>
                <w:sz w:val="32"/>
                <w:szCs w:val="32"/>
                <w:highlight w:val="none"/>
              </w:rPr>
              <w:t>：</w:t>
            </w:r>
          </w:p>
        </w:tc>
      </w:tr>
      <w:tr w14:paraId="11FC0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nil"/>
              <w:left w:val="nil"/>
              <w:bottom w:val="nil"/>
              <w:right w:val="nil"/>
            </w:tcBorders>
          </w:tcPr>
          <w:p w14:paraId="0C09EAEA">
            <w:pPr>
              <w:keepNext w:val="0"/>
              <w:keepLines w:val="0"/>
              <w:pageBreakBefore w:val="0"/>
              <w:widowControl/>
              <w:kinsoku/>
              <w:wordWrap/>
              <w:overflowPunct/>
              <w:topLinePunct w:val="0"/>
              <w:autoSpaceDE/>
              <w:autoSpaceDN/>
              <w:bidi w:val="0"/>
              <w:adjustRightInd w:val="0"/>
              <w:snapToGrid w:val="0"/>
              <w:ind w:left="2564" w:hanging="7688" w:hangingChars="600"/>
              <w:textAlignment w:val="auto"/>
              <w:rPr>
                <w:rFonts w:ascii="宋体" w:hAnsi="宋体" w:cs="宋体"/>
                <w:b/>
                <w:bCs/>
                <w:color w:val="auto"/>
                <w:spacing w:val="-6"/>
                <w:sz w:val="32"/>
                <w:szCs w:val="32"/>
                <w:highlight w:val="none"/>
                <w:vertAlign w:val="baseline"/>
              </w:rPr>
            </w:pPr>
            <w:r>
              <w:rPr>
                <w:rFonts w:hint="eastAsia" w:ascii="宋体" w:hAnsi="宋体" w:cs="宋体"/>
                <w:b/>
                <w:color w:val="auto"/>
                <w:spacing w:val="480"/>
                <w:kern w:val="0"/>
                <w:sz w:val="32"/>
                <w:szCs w:val="32"/>
                <w:highlight w:val="none"/>
                <w:fitText w:val="1600" w:id="1022168630"/>
              </w:rPr>
              <w:t>日</w:t>
            </w:r>
            <w:r>
              <w:rPr>
                <w:rFonts w:hint="eastAsia" w:ascii="宋体" w:hAnsi="宋体" w:cs="宋体"/>
                <w:b/>
                <w:color w:val="auto"/>
                <w:spacing w:val="0"/>
                <w:kern w:val="0"/>
                <w:sz w:val="32"/>
                <w:szCs w:val="32"/>
                <w:highlight w:val="none"/>
                <w:fitText w:val="1600" w:id="1022168630"/>
              </w:rPr>
              <w:t>期</w:t>
            </w:r>
            <w:r>
              <w:rPr>
                <w:rFonts w:hint="eastAsia" w:ascii="宋体" w:hAnsi="宋体" w:cs="宋体"/>
                <w:b/>
                <w:color w:val="auto"/>
                <w:sz w:val="32"/>
                <w:szCs w:val="32"/>
                <w:highlight w:val="none"/>
              </w:rPr>
              <w:t>：</w:t>
            </w:r>
          </w:p>
        </w:tc>
      </w:tr>
    </w:tbl>
    <w:p w14:paraId="4946754A">
      <w:pPr>
        <w:keepNext w:val="0"/>
        <w:keepLines w:val="0"/>
        <w:pageBreakBefore w:val="0"/>
        <w:widowControl/>
        <w:kinsoku/>
        <w:wordWrap/>
        <w:overflowPunct/>
        <w:topLinePunct w:val="0"/>
        <w:autoSpaceDE/>
        <w:autoSpaceDN/>
        <w:bidi w:val="0"/>
        <w:adjustRightInd w:val="0"/>
        <w:snapToGrid w:val="0"/>
        <w:textAlignment w:val="auto"/>
        <w:rPr>
          <w:rFonts w:ascii="宋体" w:hAnsi="宋体" w:cs="宋体"/>
          <w:b/>
          <w:bCs/>
          <w:color w:val="auto"/>
          <w:spacing w:val="-6"/>
          <w:sz w:val="32"/>
          <w:szCs w:val="32"/>
          <w:highlight w:val="none"/>
        </w:rPr>
      </w:pPr>
    </w:p>
    <w:p w14:paraId="17ACD9A6">
      <w:pPr>
        <w:pStyle w:val="12"/>
        <w:rPr>
          <w:b/>
          <w:color w:val="auto"/>
          <w:sz w:val="32"/>
          <w:szCs w:val="32"/>
          <w:highlight w:val="none"/>
        </w:rPr>
      </w:pPr>
    </w:p>
    <w:p w14:paraId="3BC5A8C6">
      <w:pPr>
        <w:ind w:firstLine="321"/>
        <w:rPr>
          <w:b/>
          <w:color w:val="auto"/>
          <w:sz w:val="32"/>
          <w:szCs w:val="32"/>
          <w:highlight w:val="none"/>
        </w:rPr>
      </w:pPr>
    </w:p>
    <w:p w14:paraId="558D0674">
      <w:pPr>
        <w:pStyle w:val="26"/>
        <w:rPr>
          <w:rFonts w:ascii="宋体" w:hAnsi="宋体" w:cs="宋体"/>
          <w:b/>
          <w:color w:val="auto"/>
          <w:sz w:val="32"/>
          <w:szCs w:val="32"/>
          <w:highlight w:val="none"/>
        </w:rPr>
      </w:pPr>
    </w:p>
    <w:p w14:paraId="2E9DE55E">
      <w:pPr>
        <w:rPr>
          <w:rFonts w:ascii="宋体" w:hAnsi="宋体" w:cs="宋体"/>
          <w:b/>
          <w:color w:val="auto"/>
          <w:sz w:val="32"/>
          <w:szCs w:val="32"/>
          <w:highlight w:val="none"/>
        </w:rPr>
      </w:pPr>
    </w:p>
    <w:p w14:paraId="61F8F9E2">
      <w:pPr>
        <w:pStyle w:val="12"/>
        <w:rPr>
          <w:b/>
          <w:color w:val="auto"/>
          <w:sz w:val="32"/>
          <w:szCs w:val="32"/>
          <w:highlight w:val="none"/>
        </w:rPr>
      </w:pPr>
    </w:p>
    <w:p w14:paraId="43086FFC">
      <w:pPr>
        <w:rPr>
          <w:color w:val="auto"/>
          <w:highlight w:val="none"/>
        </w:rPr>
      </w:pPr>
    </w:p>
    <w:p w14:paraId="764CDDF4">
      <w:pPr>
        <w:rPr>
          <w:rFonts w:ascii="宋体" w:hAnsi="宋体"/>
          <w:color w:val="auto"/>
          <w:szCs w:val="21"/>
          <w:highlight w:val="none"/>
        </w:rPr>
      </w:pPr>
      <w:r>
        <w:rPr>
          <w:rFonts w:hint="eastAsia" w:ascii="宋体" w:hAnsi="宋体"/>
          <w:color w:val="auto"/>
          <w:szCs w:val="21"/>
          <w:highlight w:val="none"/>
        </w:rPr>
        <w:br w:type="page"/>
      </w:r>
    </w:p>
    <w:p w14:paraId="532F0544">
      <w:pPr>
        <w:pStyle w:val="5"/>
        <w:widowControl w:val="0"/>
        <w:overflowPunct w:val="0"/>
        <w:spacing w:line="240" w:lineRule="auto"/>
        <w:rPr>
          <w:color w:val="auto"/>
          <w:highlight w:val="none"/>
        </w:rPr>
      </w:pPr>
      <w:bookmarkStart w:id="181" w:name="_Toc25797"/>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.投标书格式</w:t>
      </w:r>
      <w:bookmarkEnd w:id="181"/>
    </w:p>
    <w:p w14:paraId="57D266C2">
      <w:pPr>
        <w:jc w:val="center"/>
        <w:rPr>
          <w:rFonts w:ascii="宋体" w:hAnsi="宋体"/>
          <w:color w:val="auto"/>
          <w:szCs w:val="21"/>
          <w:highlight w:val="none"/>
        </w:rPr>
      </w:pPr>
      <w:r>
        <w:rPr>
          <w:rFonts w:hint="eastAsia" w:ascii="黑体" w:eastAsia="黑体"/>
          <w:color w:val="auto"/>
          <w:sz w:val="32"/>
          <w:szCs w:val="32"/>
          <w:highlight w:val="none"/>
        </w:rPr>
        <w:t>投标书</w:t>
      </w:r>
    </w:p>
    <w:p w14:paraId="7DCFCE88">
      <w:pPr>
        <w:rPr>
          <w:rFonts w:ascii="宋体" w:hAnsi="宋体"/>
          <w:color w:val="auto"/>
          <w:szCs w:val="21"/>
          <w:highlight w:val="none"/>
        </w:rPr>
      </w:pPr>
      <w:r>
        <w:rPr>
          <w:rFonts w:hint="eastAsia" w:ascii="宋体" w:hAnsi="宋体"/>
          <w:color w:val="auto"/>
          <w:szCs w:val="21"/>
          <w:highlight w:val="none"/>
        </w:rPr>
        <w:t>致：xxx公司：</w:t>
      </w:r>
    </w:p>
    <w:p w14:paraId="4C68F7FE">
      <w:pPr>
        <w:rPr>
          <w:rFonts w:ascii="宋体" w:hAnsi="宋体"/>
          <w:color w:val="auto"/>
          <w:szCs w:val="21"/>
          <w:highlight w:val="none"/>
        </w:rPr>
      </w:pPr>
    </w:p>
    <w:p w14:paraId="084A6067">
      <w:pPr>
        <w:ind w:firstLine="420" w:firstLineChars="200"/>
        <w:rPr>
          <w:rFonts w:ascii="宋体" w:hAnsi="宋体"/>
          <w:color w:val="auto"/>
          <w:szCs w:val="21"/>
          <w:highlight w:val="none"/>
        </w:rPr>
      </w:pPr>
      <w:r>
        <w:rPr>
          <w:rFonts w:hint="eastAsia" w:ascii="宋体" w:hAnsi="宋体"/>
          <w:color w:val="auto"/>
          <w:szCs w:val="21"/>
          <w:highlight w:val="none"/>
        </w:rPr>
        <w:t>根据贵方为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（项目名称）</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single"/>
        </w:rPr>
        <w:t>（采购项目编号）</w:t>
      </w:r>
      <w:r>
        <w:rPr>
          <w:rFonts w:hint="eastAsia" w:ascii="宋体" w:hAnsi="宋体"/>
          <w:color w:val="auto"/>
          <w:szCs w:val="21"/>
          <w:highlight w:val="none"/>
        </w:rPr>
        <w:t>项目采购公告/采购邀请，签字代表</w:t>
      </w:r>
      <w:r>
        <w:rPr>
          <w:rFonts w:hint="eastAsia" w:ascii="宋体" w:hAnsi="宋体"/>
          <w:color w:val="auto"/>
          <w:szCs w:val="21"/>
          <w:highlight w:val="none"/>
          <w:u w:val="single"/>
        </w:rPr>
        <w:t>（姓名、职务）</w:t>
      </w:r>
      <w:r>
        <w:rPr>
          <w:rFonts w:hint="eastAsia" w:ascii="宋体" w:hAnsi="宋体"/>
          <w:color w:val="auto"/>
          <w:szCs w:val="21"/>
          <w:highlight w:val="none"/>
        </w:rPr>
        <w:t>经正式授权并代表投标人</w:t>
      </w:r>
      <w:r>
        <w:rPr>
          <w:rFonts w:hint="eastAsia" w:ascii="宋体" w:hAnsi="宋体"/>
          <w:color w:val="auto"/>
          <w:szCs w:val="21"/>
          <w:highlight w:val="none"/>
          <w:u w:val="single"/>
        </w:rPr>
        <w:t>（投标人名称、地址）</w:t>
      </w:r>
      <w:r>
        <w:rPr>
          <w:rFonts w:hint="eastAsia" w:ascii="宋体" w:hAnsi="宋体"/>
          <w:color w:val="auto"/>
          <w:szCs w:val="21"/>
          <w:highlight w:val="none"/>
        </w:rPr>
        <w:t>提交投标文件及“唱标信封”：</w:t>
      </w:r>
    </w:p>
    <w:p w14:paraId="42B4ABCA">
      <w:pP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在此，签字代表宣布同意如下：</w:t>
      </w:r>
    </w:p>
    <w:p w14:paraId="19591DA0">
      <w:pPr>
        <w:widowControl w:val="0"/>
        <w:numPr>
          <w:ilvl w:val="0"/>
          <w:numId w:val="10"/>
        </w:numPr>
        <w:adjustRightInd/>
        <w:snapToGrid/>
        <w:jc w:val="both"/>
        <w:rPr>
          <w:rFonts w:ascii="宋体" w:hAnsi="宋体"/>
          <w:color w:val="auto"/>
          <w:szCs w:val="21"/>
          <w:highlight w:val="none"/>
        </w:rPr>
      </w:pPr>
      <w:r>
        <w:rPr>
          <w:rFonts w:hint="eastAsia" w:ascii="宋体" w:hAnsi="宋体"/>
          <w:color w:val="auto"/>
          <w:szCs w:val="21"/>
          <w:highlight w:val="none"/>
        </w:rPr>
        <w:t>我方将按采购文件的规定履行合同责任和义务。</w:t>
      </w:r>
    </w:p>
    <w:p w14:paraId="2E5B17E2">
      <w:pPr>
        <w:widowControl w:val="0"/>
        <w:numPr>
          <w:ilvl w:val="0"/>
          <w:numId w:val="10"/>
        </w:numPr>
        <w:adjustRightInd/>
        <w:snapToGrid/>
        <w:jc w:val="both"/>
        <w:rPr>
          <w:rFonts w:ascii="宋体" w:hAnsi="宋体"/>
          <w:color w:val="auto"/>
          <w:szCs w:val="21"/>
          <w:highlight w:val="none"/>
        </w:rPr>
      </w:pPr>
      <w:r>
        <w:rPr>
          <w:rFonts w:hint="eastAsia" w:ascii="宋体" w:hAnsi="宋体"/>
          <w:b/>
          <w:color w:val="auto"/>
          <w:szCs w:val="21"/>
          <w:highlight w:val="none"/>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02A923A5">
      <w:pPr>
        <w:widowControl w:val="0"/>
        <w:numPr>
          <w:ilvl w:val="0"/>
          <w:numId w:val="10"/>
        </w:numPr>
        <w:adjustRightInd/>
        <w:snapToGrid/>
        <w:jc w:val="both"/>
        <w:rPr>
          <w:rFonts w:ascii="宋体" w:hAnsi="宋体"/>
          <w:color w:val="auto"/>
          <w:szCs w:val="21"/>
          <w:highlight w:val="none"/>
        </w:rPr>
      </w:pPr>
      <w:r>
        <w:rPr>
          <w:rFonts w:hint="eastAsia" w:ascii="宋体" w:hAnsi="宋体"/>
          <w:color w:val="auto"/>
          <w:szCs w:val="21"/>
          <w:highlight w:val="none"/>
        </w:rPr>
        <w:t>本投标有效期为自开标日起</w:t>
      </w:r>
      <w:r>
        <w:rPr>
          <w:rFonts w:hint="eastAsia" w:ascii="宋体" w:hAnsi="宋体"/>
          <w:color w:val="auto"/>
          <w:szCs w:val="21"/>
          <w:highlight w:val="none"/>
          <w:u w:val="single"/>
        </w:rPr>
        <w:t>90</w:t>
      </w:r>
      <w:r>
        <w:rPr>
          <w:rFonts w:hint="eastAsia" w:ascii="宋体" w:hAnsi="宋体"/>
          <w:color w:val="auto"/>
          <w:szCs w:val="21"/>
          <w:highlight w:val="none"/>
        </w:rPr>
        <w:t>个日历日。</w:t>
      </w:r>
    </w:p>
    <w:p w14:paraId="0C08BD6B">
      <w:pPr>
        <w:widowControl w:val="0"/>
        <w:numPr>
          <w:ilvl w:val="0"/>
          <w:numId w:val="10"/>
        </w:numPr>
        <w:adjustRightInd/>
        <w:snapToGrid/>
        <w:jc w:val="both"/>
        <w:rPr>
          <w:rFonts w:ascii="宋体" w:hAnsi="宋体"/>
          <w:color w:val="auto"/>
          <w:szCs w:val="21"/>
          <w:highlight w:val="none"/>
        </w:rPr>
      </w:pPr>
      <w:r>
        <w:rPr>
          <w:rFonts w:hint="eastAsia" w:ascii="宋体" w:hAnsi="宋体"/>
          <w:color w:val="auto"/>
          <w:szCs w:val="21"/>
          <w:highlight w:val="none"/>
        </w:rPr>
        <w:t>我方保证遵守投标人须知中关于没收投标保证金的规定。</w:t>
      </w:r>
    </w:p>
    <w:p w14:paraId="353105D8">
      <w:pPr>
        <w:widowControl w:val="0"/>
        <w:numPr>
          <w:ilvl w:val="0"/>
          <w:numId w:val="10"/>
        </w:numPr>
        <w:adjustRightInd/>
        <w:snapToGrid/>
        <w:jc w:val="both"/>
        <w:rPr>
          <w:rFonts w:ascii="宋体" w:hAnsi="宋体"/>
          <w:color w:val="auto"/>
          <w:szCs w:val="21"/>
          <w:highlight w:val="none"/>
        </w:rPr>
      </w:pPr>
      <w:r>
        <w:rPr>
          <w:rFonts w:hint="eastAsia" w:ascii="宋体" w:hAnsi="宋体"/>
          <w:color w:val="auto"/>
          <w:szCs w:val="21"/>
          <w:highlight w:val="none"/>
        </w:rPr>
        <w:t>我方承诺，与买方聘请的为此项目提供咨询服务的公司及任何附属机构均无关联，我方不是买方的附属机构。</w:t>
      </w:r>
    </w:p>
    <w:p w14:paraId="241AA715">
      <w:pPr>
        <w:widowControl w:val="0"/>
        <w:numPr>
          <w:ilvl w:val="0"/>
          <w:numId w:val="10"/>
        </w:numPr>
        <w:adjustRightInd/>
        <w:snapToGrid/>
        <w:jc w:val="both"/>
        <w:rPr>
          <w:rFonts w:ascii="宋体" w:hAnsi="宋体"/>
          <w:color w:val="auto"/>
          <w:szCs w:val="21"/>
          <w:highlight w:val="none"/>
        </w:rPr>
      </w:pPr>
      <w:r>
        <w:rPr>
          <w:rFonts w:hint="eastAsia" w:ascii="宋体" w:hAnsi="宋体"/>
          <w:color w:val="auto"/>
          <w:szCs w:val="21"/>
          <w:highlight w:val="none"/>
        </w:rPr>
        <w:t>我方承诺，我方具备投标人邀请中所要求的资格条件，已清楚采购文件所有要求及有关规定</w:t>
      </w:r>
      <w:r>
        <w:rPr>
          <w:rFonts w:hint="eastAsia" w:ascii="宋体" w:hAnsi="宋体"/>
          <w:color w:val="auto"/>
          <w:szCs w:val="21"/>
          <w:highlight w:val="none"/>
          <w:lang w:eastAsia="zh-CN"/>
        </w:rPr>
        <w:t>；</w:t>
      </w:r>
      <w:r>
        <w:rPr>
          <w:rFonts w:hint="eastAsia" w:ascii="宋体" w:hAnsi="宋体"/>
          <w:color w:val="auto"/>
          <w:szCs w:val="21"/>
          <w:highlight w:val="none"/>
        </w:rPr>
        <w:t>并承诺参加本次采购活动中，如有违法、违规、弄虚作假行为，所造成的损失、不良后果及法律责任，一律由我方承担</w:t>
      </w:r>
      <w:r>
        <w:rPr>
          <w:rFonts w:hint="eastAsia" w:ascii="宋体" w:hAnsi="宋体"/>
          <w:color w:val="auto"/>
          <w:szCs w:val="21"/>
          <w:highlight w:val="none"/>
          <w:lang w:eastAsia="zh-CN"/>
        </w:rPr>
        <w:t>；</w:t>
      </w:r>
    </w:p>
    <w:p w14:paraId="02C92449">
      <w:pPr>
        <w:widowControl w:val="0"/>
        <w:numPr>
          <w:ilvl w:val="0"/>
          <w:numId w:val="10"/>
        </w:numPr>
        <w:adjustRightInd/>
        <w:snapToGrid/>
        <w:jc w:val="both"/>
        <w:rPr>
          <w:rFonts w:ascii="宋体" w:hAnsi="宋体"/>
          <w:color w:val="auto"/>
          <w:szCs w:val="21"/>
          <w:highlight w:val="none"/>
        </w:rPr>
      </w:pPr>
      <w:r>
        <w:rPr>
          <w:rFonts w:hint="eastAsia" w:ascii="宋体" w:hAnsi="宋体"/>
          <w:color w:val="auto"/>
          <w:szCs w:val="21"/>
          <w:highlight w:val="none"/>
        </w:rPr>
        <w:t>我方同意提供按照贵方可能要求的与其投标有关的一切数据或资料。</w:t>
      </w:r>
    </w:p>
    <w:p w14:paraId="3783601F">
      <w:pPr>
        <w:widowControl w:val="0"/>
        <w:numPr>
          <w:ilvl w:val="0"/>
          <w:numId w:val="10"/>
        </w:numPr>
        <w:adjustRightInd/>
        <w:snapToGrid/>
        <w:jc w:val="both"/>
        <w:rPr>
          <w:rFonts w:ascii="宋体" w:hAnsi="宋体"/>
          <w:color w:val="auto"/>
          <w:szCs w:val="21"/>
          <w:highlight w:val="none"/>
        </w:rPr>
      </w:pPr>
      <w:r>
        <w:rPr>
          <w:rFonts w:hint="eastAsia" w:ascii="宋体" w:hAnsi="宋体"/>
          <w:color w:val="auto"/>
          <w:szCs w:val="21"/>
          <w:highlight w:val="none"/>
        </w:rPr>
        <w:t>与本投标有关的一切正式信函请寄：</w:t>
      </w:r>
    </w:p>
    <w:p w14:paraId="625C879D">
      <w:pPr>
        <w:rPr>
          <w:rFonts w:ascii="宋体" w:hAnsi="宋体"/>
          <w:color w:val="auto"/>
          <w:szCs w:val="21"/>
          <w:highlight w:val="none"/>
        </w:rPr>
      </w:pPr>
      <w:r>
        <w:rPr>
          <w:rFonts w:hint="eastAsia" w:ascii="宋体" w:hAnsi="宋体"/>
          <w:color w:val="auto"/>
          <w:szCs w:val="21"/>
          <w:highlight w:val="none"/>
        </w:rPr>
        <w:t>地址：　　　　　　　　　　　　　　　　　　　电子邮箱：</w:t>
      </w:r>
    </w:p>
    <w:p w14:paraId="37ABC2ED">
      <w:pPr>
        <w:rPr>
          <w:rFonts w:ascii="宋体" w:hAnsi="宋体"/>
          <w:color w:val="auto"/>
          <w:szCs w:val="21"/>
          <w:highlight w:val="none"/>
        </w:rPr>
      </w:pPr>
      <w:r>
        <w:rPr>
          <w:rFonts w:hint="eastAsia" w:ascii="宋体" w:hAnsi="宋体"/>
          <w:color w:val="auto"/>
          <w:szCs w:val="21"/>
          <w:highlight w:val="none"/>
        </w:rPr>
        <w:t>电话/移动电话：　　　　　　　　　　　　　　　</w:t>
      </w:r>
    </w:p>
    <w:p w14:paraId="51CD22C5">
      <w:pPr>
        <w:rPr>
          <w:rFonts w:hint="eastAsia" w:ascii="宋体" w:hAnsi="宋体" w:eastAsia="宋体"/>
          <w:color w:val="auto"/>
          <w:szCs w:val="21"/>
          <w:highlight w:val="none"/>
          <w:lang w:eastAsia="zh-CN"/>
        </w:rPr>
      </w:pPr>
      <w:r>
        <w:rPr>
          <w:rFonts w:hint="eastAsia" w:ascii="宋体" w:hAnsi="宋体"/>
          <w:color w:val="auto"/>
          <w:szCs w:val="21"/>
          <w:highlight w:val="none"/>
        </w:rPr>
        <w:t>投标人法定代表人（或其授权代表）签字：</w:t>
      </w:r>
    </w:p>
    <w:p w14:paraId="7645B719">
      <w:pPr>
        <w:rPr>
          <w:rFonts w:hint="eastAsia" w:ascii="宋体" w:hAnsi="宋体" w:eastAsia="宋体"/>
          <w:color w:val="auto"/>
          <w:szCs w:val="21"/>
          <w:highlight w:val="none"/>
          <w:lang w:eastAsia="zh-CN"/>
        </w:rPr>
      </w:pPr>
      <w:r>
        <w:rPr>
          <w:rFonts w:hint="eastAsia" w:ascii="宋体" w:hAnsi="宋体"/>
          <w:color w:val="auto"/>
          <w:szCs w:val="21"/>
          <w:highlight w:val="none"/>
        </w:rPr>
        <w:t>投标人名称（全称）：</w:t>
      </w:r>
    </w:p>
    <w:p w14:paraId="64CC604F">
      <w:pPr>
        <w:rPr>
          <w:rFonts w:hint="eastAsia" w:ascii="宋体" w:hAnsi="宋体" w:eastAsia="宋体"/>
          <w:color w:val="auto"/>
          <w:szCs w:val="21"/>
          <w:highlight w:val="none"/>
          <w:lang w:eastAsia="zh-CN"/>
        </w:rPr>
      </w:pPr>
      <w:r>
        <w:rPr>
          <w:rFonts w:hint="eastAsia" w:ascii="宋体" w:hAnsi="宋体"/>
          <w:color w:val="auto"/>
          <w:szCs w:val="21"/>
          <w:highlight w:val="none"/>
        </w:rPr>
        <w:t>投标人盖章：</w:t>
      </w:r>
    </w:p>
    <w:p w14:paraId="4C5BEEFC">
      <w:pPr>
        <w:rPr>
          <w:color w:val="auto"/>
          <w:highlight w:val="none"/>
        </w:rPr>
      </w:pPr>
      <w:r>
        <w:rPr>
          <w:rFonts w:hint="eastAsia" w:ascii="宋体" w:hAnsi="宋体"/>
          <w:color w:val="auto"/>
          <w:szCs w:val="21"/>
          <w:highlight w:val="none"/>
        </w:rPr>
        <w:t>日期：</w:t>
      </w:r>
      <w:r>
        <w:rPr>
          <w:color w:val="auto"/>
          <w:highlight w:val="none"/>
        </w:rPr>
        <w:br w:type="page"/>
      </w:r>
    </w:p>
    <w:p w14:paraId="31433B45">
      <w:pPr>
        <w:pStyle w:val="5"/>
        <w:widowControl w:val="0"/>
        <w:overflowPunct w:val="0"/>
        <w:spacing w:line="240" w:lineRule="auto"/>
        <w:rPr>
          <w:rFonts w:ascii="宋体" w:hAnsi="宋体"/>
          <w:color w:val="auto"/>
          <w:sz w:val="21"/>
          <w:szCs w:val="21"/>
          <w:highlight w:val="none"/>
        </w:rPr>
      </w:pPr>
      <w:bookmarkStart w:id="182" w:name="_Toc26301"/>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.法定代表人证明书格式</w:t>
      </w:r>
      <w:bookmarkEnd w:id="182"/>
    </w:p>
    <w:p w14:paraId="1BF12A4B">
      <w:pPr>
        <w:rPr>
          <w:color w:val="auto"/>
          <w:highlight w:val="none"/>
        </w:rPr>
      </w:pPr>
    </w:p>
    <w:p w14:paraId="55C3E40E">
      <w:pPr>
        <w:jc w:val="center"/>
        <w:rPr>
          <w:rFonts w:ascii="黑体" w:eastAsia="黑体"/>
          <w:color w:val="auto"/>
          <w:sz w:val="28"/>
          <w:szCs w:val="28"/>
          <w:highlight w:val="none"/>
        </w:rPr>
      </w:pPr>
      <w:r>
        <w:rPr>
          <w:rFonts w:hint="eastAsia" w:ascii="黑体" w:eastAsia="黑体"/>
          <w:color w:val="auto"/>
          <w:sz w:val="28"/>
          <w:szCs w:val="28"/>
          <w:highlight w:val="none"/>
        </w:rPr>
        <w:t>法定代表人证明书</w:t>
      </w:r>
    </w:p>
    <w:p w14:paraId="6471E90A">
      <w:pPr>
        <w:pStyle w:val="49"/>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rPr>
        <w:t>致：xxx公司</w:t>
      </w:r>
    </w:p>
    <w:p w14:paraId="14510A15">
      <w:pPr>
        <w:pStyle w:val="49"/>
        <w:spacing w:line="420" w:lineRule="atLeast"/>
        <w:ind w:firstLine="433"/>
        <w:rPr>
          <w:rFonts w:ascii="宋体" w:eastAsia="宋体"/>
          <w:color w:val="auto"/>
          <w:sz w:val="21"/>
          <w:szCs w:val="21"/>
          <w:highlight w:val="none"/>
        </w:rPr>
      </w:pPr>
    </w:p>
    <w:p w14:paraId="23B5212C">
      <w:pPr>
        <w:pStyle w:val="49"/>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投标人名称:</w:t>
      </w:r>
    </w:p>
    <w:p w14:paraId="7177EE72">
      <w:pPr>
        <w:pStyle w:val="49"/>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单位性质：</w:t>
      </w:r>
    </w:p>
    <w:p w14:paraId="7B5F5DCD">
      <w:pPr>
        <w:pStyle w:val="49"/>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地址：</w:t>
      </w:r>
    </w:p>
    <w:p w14:paraId="5A844A1C">
      <w:pPr>
        <w:pStyle w:val="49"/>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成立时间：年月日</w:t>
      </w:r>
    </w:p>
    <w:p w14:paraId="0461CF8D">
      <w:pPr>
        <w:pStyle w:val="49"/>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经营期限：</w:t>
      </w:r>
    </w:p>
    <w:p w14:paraId="7F2F3DEC">
      <w:pPr>
        <w:pStyle w:val="49"/>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姓名：性别：年龄：职务：</w:t>
      </w:r>
    </w:p>
    <w:p w14:paraId="14BE9CE6">
      <w:pPr>
        <w:pStyle w:val="49"/>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系（投标人名称）的法定代表人。</w:t>
      </w:r>
    </w:p>
    <w:p w14:paraId="235CFBB6">
      <w:pPr>
        <w:spacing w:line="420" w:lineRule="atLeast"/>
        <w:ind w:firstLine="420" w:firstLineChars="200"/>
        <w:rPr>
          <w:rFonts w:ascii="宋体" w:hAnsi="宋体"/>
          <w:color w:val="auto"/>
          <w:szCs w:val="21"/>
          <w:highlight w:val="none"/>
        </w:rPr>
      </w:pPr>
      <w:r>
        <w:rPr>
          <w:rFonts w:hint="eastAsia" w:ascii="宋体" w:hAnsi="宋体"/>
          <w:color w:val="auto"/>
          <w:szCs w:val="21"/>
          <w:highlight w:val="none"/>
        </w:rPr>
        <w:t>特此证明。</w:t>
      </w:r>
    </w:p>
    <w:p w14:paraId="5BDFF1DF">
      <w:pPr>
        <w:pStyle w:val="49"/>
        <w:spacing w:line="500" w:lineRule="atLeast"/>
        <w:ind w:firstLine="3517" w:firstLineChars="1675"/>
        <w:rPr>
          <w:rFonts w:ascii="宋体" w:eastAsia="宋体"/>
          <w:color w:val="auto"/>
          <w:sz w:val="21"/>
          <w:szCs w:val="21"/>
          <w:highlight w:val="none"/>
        </w:rPr>
      </w:pPr>
    </w:p>
    <w:p w14:paraId="08DDAA0B">
      <w:pPr>
        <w:pStyle w:val="49"/>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3430D962">
      <w:pPr>
        <w:pStyle w:val="49"/>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法定代表人（签名或盖私章）：</w:t>
      </w:r>
    </w:p>
    <w:p w14:paraId="2B7B0BF4">
      <w:pPr>
        <w:pStyle w:val="49"/>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法定代表人联系方式：</w:t>
      </w:r>
    </w:p>
    <w:p w14:paraId="3DDF03F2">
      <w:pPr>
        <w:pStyle w:val="49"/>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身份证号码：</w:t>
      </w:r>
    </w:p>
    <w:p w14:paraId="6EEBAA61">
      <w:pPr>
        <w:pStyle w:val="49"/>
        <w:spacing w:line="500" w:lineRule="atLeas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日期：</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日</w:t>
      </w:r>
    </w:p>
    <w:p w14:paraId="482F1A56">
      <w:pPr>
        <w:ind w:firstLine="420" w:firstLineChars="200"/>
        <w:rPr>
          <w:rFonts w:ascii="宋体" w:hAnsi="宋体"/>
          <w:color w:val="auto"/>
          <w:szCs w:val="21"/>
          <w:highlight w:val="none"/>
        </w:rPr>
      </w:pPr>
    </w:p>
    <w:p w14:paraId="3EB51275">
      <w:pPr>
        <w:ind w:firstLine="420" w:firstLineChars="200"/>
        <w:rPr>
          <w:rFonts w:ascii="宋体" w:hAnsi="宋体"/>
          <w:color w:val="auto"/>
          <w:szCs w:val="21"/>
          <w:highlight w:val="none"/>
        </w:rPr>
      </w:pPr>
      <w:r>
        <w:rPr>
          <w:rFonts w:hint="eastAsia" w:ascii="宋体" w:hAnsi="宋体"/>
          <w:color w:val="auto"/>
          <w:szCs w:val="21"/>
          <w:highlight w:val="none"/>
        </w:rPr>
        <w:t>注：法定代表人身份证明书需附法人代表身份证复印件。</w:t>
      </w:r>
    </w:p>
    <w:tbl>
      <w:tblPr>
        <w:tblStyle w:val="32"/>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42DF8EEB">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17A9D044">
            <w:pPr>
              <w:pStyle w:val="49"/>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正面</w:t>
            </w:r>
          </w:p>
        </w:tc>
        <w:tc>
          <w:tcPr>
            <w:tcW w:w="4182" w:type="dxa"/>
            <w:vAlign w:val="center"/>
          </w:tcPr>
          <w:p w14:paraId="3D526400">
            <w:pPr>
              <w:pStyle w:val="49"/>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背面</w:t>
            </w:r>
          </w:p>
        </w:tc>
      </w:tr>
    </w:tbl>
    <w:p w14:paraId="1B083C44">
      <w:pPr>
        <w:rPr>
          <w:color w:val="auto"/>
          <w:highlight w:val="none"/>
        </w:rPr>
      </w:pPr>
    </w:p>
    <w:p w14:paraId="1C21173C">
      <w:pPr>
        <w:adjustRightInd/>
        <w:snapToGrid/>
        <w:spacing w:line="276" w:lineRule="auto"/>
        <w:rPr>
          <w:rFonts w:ascii="楷体_GB2312" w:eastAsia="楷体_GB2312" w:hAnsiTheme="majorHAnsi" w:cstheme="majorBidi"/>
          <w:b/>
          <w:bCs/>
          <w:color w:val="auto"/>
          <w:sz w:val="24"/>
          <w:szCs w:val="28"/>
          <w:highlight w:val="none"/>
        </w:rPr>
      </w:pPr>
      <w:r>
        <w:rPr>
          <w:rFonts w:ascii="楷体_GB2312" w:eastAsia="楷体_GB2312"/>
          <w:color w:val="auto"/>
          <w:sz w:val="24"/>
          <w:highlight w:val="none"/>
        </w:rPr>
        <w:br w:type="page"/>
      </w:r>
    </w:p>
    <w:p w14:paraId="58B010A8">
      <w:pPr>
        <w:pStyle w:val="5"/>
        <w:widowControl w:val="0"/>
        <w:overflowPunct w:val="0"/>
        <w:spacing w:line="240" w:lineRule="auto"/>
        <w:rPr>
          <w:color w:val="auto"/>
          <w:highlight w:val="none"/>
        </w:rPr>
      </w:pPr>
      <w:bookmarkStart w:id="183" w:name="_Toc20685"/>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5</w:t>
      </w:r>
      <w:r>
        <w:rPr>
          <w:rFonts w:hint="eastAsia" w:ascii="宋体" w:hAnsi="宋体"/>
          <w:color w:val="auto"/>
          <w:sz w:val="21"/>
          <w:szCs w:val="21"/>
          <w:highlight w:val="none"/>
        </w:rPr>
        <w:t>.法定代表人授权书格式</w:t>
      </w:r>
      <w:bookmarkEnd w:id="183"/>
    </w:p>
    <w:p w14:paraId="040FF92B">
      <w:pPr>
        <w:rPr>
          <w:color w:val="auto"/>
          <w:highlight w:val="none"/>
        </w:rPr>
      </w:pPr>
    </w:p>
    <w:p w14:paraId="527CA440">
      <w:pPr>
        <w:jc w:val="center"/>
        <w:rPr>
          <w:rFonts w:ascii="黑体" w:eastAsia="黑体"/>
          <w:color w:val="auto"/>
          <w:sz w:val="28"/>
          <w:szCs w:val="28"/>
          <w:highlight w:val="none"/>
        </w:rPr>
      </w:pPr>
      <w:r>
        <w:rPr>
          <w:rFonts w:hint="eastAsia" w:ascii="黑体" w:eastAsia="黑体"/>
          <w:color w:val="auto"/>
          <w:sz w:val="28"/>
          <w:szCs w:val="28"/>
          <w:highlight w:val="none"/>
        </w:rPr>
        <w:t>法定代表人授权书</w:t>
      </w:r>
    </w:p>
    <w:p w14:paraId="6C56C2E9">
      <w:pPr>
        <w:pStyle w:val="49"/>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rPr>
        <w:t>致：xxx公司</w:t>
      </w:r>
    </w:p>
    <w:p w14:paraId="3CD0E61E">
      <w:pPr>
        <w:pStyle w:val="49"/>
        <w:spacing w:line="420" w:lineRule="atLeast"/>
        <w:ind w:firstLine="433"/>
        <w:rPr>
          <w:rFonts w:ascii="宋体" w:eastAsia="宋体"/>
          <w:color w:val="auto"/>
          <w:sz w:val="21"/>
          <w:szCs w:val="21"/>
          <w:highlight w:val="none"/>
        </w:rPr>
      </w:pPr>
    </w:p>
    <w:p w14:paraId="4B2EE23C">
      <w:pPr>
        <w:ind w:firstLine="420" w:firstLineChars="200"/>
        <w:rPr>
          <w:rFonts w:ascii="宋体" w:hAnsi="宋体" w:cs="Times New Roman"/>
          <w:color w:val="auto"/>
          <w:szCs w:val="21"/>
          <w:highlight w:val="none"/>
        </w:rPr>
      </w:pPr>
      <w:r>
        <w:rPr>
          <w:rFonts w:hint="eastAsia" w:ascii="宋体" w:hAnsi="宋体" w:cs="Times New Roman"/>
          <w:color w:val="auto"/>
          <w:szCs w:val="21"/>
          <w:highlight w:val="none"/>
        </w:rPr>
        <w:t>本授权书声明：注册于</w:t>
      </w:r>
      <w:r>
        <w:rPr>
          <w:rFonts w:hint="eastAsia" w:ascii="宋体" w:hAnsi="宋体" w:cs="Times New Roman"/>
          <w:color w:val="auto"/>
          <w:szCs w:val="21"/>
          <w:highlight w:val="none"/>
          <w:u w:val="single"/>
        </w:rPr>
        <w:t>（国家或地区的名称）</w:t>
      </w:r>
      <w:r>
        <w:rPr>
          <w:rFonts w:hint="eastAsia" w:ascii="宋体" w:hAnsi="宋体" w:cs="Times New Roman"/>
          <w:color w:val="auto"/>
          <w:szCs w:val="21"/>
          <w:highlight w:val="none"/>
        </w:rPr>
        <w:t>的</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（法定代表人姓名、职务）</w:t>
      </w:r>
      <w:r>
        <w:rPr>
          <w:rFonts w:hint="eastAsia" w:ascii="宋体" w:hAnsi="宋体" w:cs="Times New Roman"/>
          <w:color w:val="auto"/>
          <w:szCs w:val="21"/>
          <w:highlight w:val="none"/>
        </w:rPr>
        <w:t>代表本单位授权</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（被授权人的姓名、职务）</w:t>
      </w:r>
      <w:r>
        <w:rPr>
          <w:rFonts w:hint="eastAsia" w:ascii="宋体" w:hAnsi="宋体" w:cs="Times New Roman"/>
          <w:color w:val="auto"/>
          <w:szCs w:val="21"/>
          <w:highlight w:val="none"/>
        </w:rPr>
        <w:t>为本单位的合法代理人，就</w:t>
      </w:r>
      <w:r>
        <w:rPr>
          <w:rFonts w:hint="eastAsia" w:ascii="宋体" w:hAnsi="宋体" w:cs="Times New Roman"/>
          <w:color w:val="auto"/>
          <w:szCs w:val="21"/>
          <w:highlight w:val="none"/>
          <w:u w:val="single"/>
        </w:rPr>
        <w:t>（项目名称）</w:t>
      </w:r>
      <w:r>
        <w:rPr>
          <w:rFonts w:hint="eastAsia" w:ascii="宋体" w:hAnsi="宋体" w:cs="Times New Roman"/>
          <w:color w:val="auto"/>
          <w:szCs w:val="21"/>
          <w:highlight w:val="none"/>
        </w:rPr>
        <w:t>投标及参加项目谈判，以本单位名义处理一切与之有关的事务。</w:t>
      </w:r>
    </w:p>
    <w:p w14:paraId="36FEE55E">
      <w:pPr>
        <w:ind w:firstLine="315" w:firstLineChars="150"/>
        <w:rPr>
          <w:rFonts w:ascii="宋体" w:hAnsi="宋体" w:cs="Times New Roman"/>
          <w:color w:val="auto"/>
          <w:szCs w:val="21"/>
          <w:highlight w:val="none"/>
        </w:rPr>
      </w:pPr>
      <w:r>
        <w:rPr>
          <w:rFonts w:hint="eastAsia" w:ascii="宋体" w:hAnsi="宋体" w:cs="Times New Roman"/>
          <w:color w:val="auto"/>
          <w:szCs w:val="21"/>
          <w:highlight w:val="none"/>
        </w:rPr>
        <w:t>本授权书于</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年</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月</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日签字生效，特此声明。</w:t>
      </w:r>
    </w:p>
    <w:p w14:paraId="7B8B2940">
      <w:pPr>
        <w:pStyle w:val="49"/>
        <w:spacing w:line="500" w:lineRule="atLeast"/>
        <w:ind w:firstLine="3517" w:firstLineChars="1675"/>
        <w:rPr>
          <w:rFonts w:ascii="宋体" w:eastAsia="宋体"/>
          <w:color w:val="auto"/>
          <w:sz w:val="21"/>
          <w:szCs w:val="21"/>
          <w:highlight w:val="none"/>
        </w:rPr>
      </w:pPr>
    </w:p>
    <w:p w14:paraId="57003F2F">
      <w:pPr>
        <w:pStyle w:val="49"/>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14BF9323">
      <w:pPr>
        <w:pStyle w:val="49"/>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法定代表人签字（签名或盖私章）：</w:t>
      </w:r>
    </w:p>
    <w:p w14:paraId="32C0044E">
      <w:pPr>
        <w:pStyle w:val="49"/>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被授权人签字：</w:t>
      </w:r>
    </w:p>
    <w:p w14:paraId="20B4BE20">
      <w:pPr>
        <w:pStyle w:val="49"/>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职务：</w:t>
      </w:r>
    </w:p>
    <w:p w14:paraId="18E9646A">
      <w:pPr>
        <w:pStyle w:val="49"/>
        <w:spacing w:line="500" w:lineRule="atLeast"/>
        <w:ind w:firstLine="3517" w:firstLineChars="1675"/>
        <w:rPr>
          <w:rFonts w:hint="eastAsia" w:ascii="宋体" w:eastAsia="宋体"/>
          <w:color w:val="auto"/>
          <w:sz w:val="21"/>
          <w:szCs w:val="21"/>
          <w:highlight w:val="none"/>
          <w:lang w:eastAsia="zh-CN"/>
        </w:rPr>
      </w:pPr>
      <w:r>
        <w:rPr>
          <w:rFonts w:hint="eastAsia" w:ascii="宋体" w:eastAsia="宋体"/>
          <w:color w:val="auto"/>
          <w:sz w:val="21"/>
          <w:szCs w:val="21"/>
          <w:highlight w:val="none"/>
        </w:rPr>
        <w:t>移动电话：</w:t>
      </w:r>
    </w:p>
    <w:p w14:paraId="7CFB8A49">
      <w:pPr>
        <w:pStyle w:val="49"/>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详细通讯地址：</w:t>
      </w:r>
    </w:p>
    <w:p w14:paraId="0E160983">
      <w:pPr>
        <w:pStyle w:val="49"/>
        <w:spacing w:line="500" w:lineRule="atLeast"/>
        <w:ind w:firstLine="3517" w:firstLineChars="1675"/>
        <w:rPr>
          <w:rFonts w:hint="eastAsia" w:ascii="宋体" w:eastAsia="宋体"/>
          <w:color w:val="auto"/>
          <w:sz w:val="21"/>
          <w:szCs w:val="21"/>
          <w:highlight w:val="none"/>
          <w:lang w:eastAsia="zh-CN"/>
        </w:rPr>
      </w:pPr>
      <w:r>
        <w:rPr>
          <w:rFonts w:hint="eastAsia" w:ascii="宋体" w:eastAsia="宋体"/>
          <w:color w:val="auto"/>
          <w:sz w:val="21"/>
          <w:szCs w:val="21"/>
          <w:highlight w:val="none"/>
        </w:rPr>
        <w:t>邮箱：</w:t>
      </w:r>
    </w:p>
    <w:p w14:paraId="63671AAC">
      <w:pPr>
        <w:pStyle w:val="49"/>
        <w:spacing w:line="500" w:lineRule="atLeas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日期：</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日</w:t>
      </w:r>
    </w:p>
    <w:p w14:paraId="06EAC678">
      <w:pPr>
        <w:pStyle w:val="49"/>
        <w:spacing w:line="460" w:lineRule="exact"/>
        <w:ind w:firstLine="433"/>
        <w:rPr>
          <w:rFonts w:ascii="宋体" w:eastAsia="宋体"/>
          <w:color w:val="auto"/>
          <w:sz w:val="21"/>
          <w:szCs w:val="21"/>
          <w:highlight w:val="none"/>
        </w:rPr>
      </w:pPr>
    </w:p>
    <w:p w14:paraId="69BBE406">
      <w:pPr>
        <w:ind w:firstLine="420" w:firstLineChars="200"/>
        <w:rPr>
          <w:color w:val="auto"/>
          <w:highlight w:val="none"/>
        </w:rPr>
      </w:pPr>
      <w:r>
        <w:rPr>
          <w:rFonts w:hint="eastAsia" w:ascii="宋体" w:hAnsi="宋体"/>
          <w:color w:val="auto"/>
          <w:szCs w:val="21"/>
          <w:highlight w:val="none"/>
        </w:rPr>
        <w:t>须附：被授权人身份证复印件。</w:t>
      </w:r>
    </w:p>
    <w:tbl>
      <w:tblPr>
        <w:tblStyle w:val="32"/>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7CEDA818">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14:paraId="58E591A2">
            <w:pPr>
              <w:pStyle w:val="49"/>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正面</w:t>
            </w:r>
          </w:p>
        </w:tc>
        <w:tc>
          <w:tcPr>
            <w:tcW w:w="4232" w:type="dxa"/>
            <w:vAlign w:val="center"/>
          </w:tcPr>
          <w:p w14:paraId="78C97C2E">
            <w:pPr>
              <w:pStyle w:val="49"/>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背面</w:t>
            </w:r>
          </w:p>
        </w:tc>
      </w:tr>
    </w:tbl>
    <w:p w14:paraId="53A9F6B2">
      <w:pPr>
        <w:adjustRightInd/>
        <w:snapToGrid/>
        <w:spacing w:line="276" w:lineRule="auto"/>
        <w:rPr>
          <w:rFonts w:hint="eastAsia" w:ascii="宋体" w:hAnsi="宋体"/>
          <w:color w:val="auto"/>
          <w:szCs w:val="21"/>
          <w:highlight w:val="none"/>
        </w:rPr>
      </w:pPr>
      <w:bookmarkStart w:id="184" w:name="_Toc22486"/>
    </w:p>
    <w:p w14:paraId="2D3F0C13">
      <w:pPr>
        <w:adjustRightInd/>
        <w:snapToGrid/>
        <w:spacing w:line="276" w:lineRule="auto"/>
        <w:rPr>
          <w:rFonts w:hint="eastAsia" w:ascii="宋体" w:hAnsi="宋体"/>
          <w:color w:val="auto"/>
          <w:szCs w:val="21"/>
          <w:highlight w:val="none"/>
        </w:rPr>
      </w:pPr>
      <w:r>
        <w:rPr>
          <w:rFonts w:hint="eastAsia" w:ascii="宋体" w:hAnsi="宋体"/>
          <w:b/>
          <w:bCs/>
          <w:color w:val="auto"/>
          <w:szCs w:val="21"/>
          <w:highlight w:val="none"/>
          <w:lang w:val="en-US" w:eastAsia="zh-CN"/>
        </w:rPr>
        <w:t>注：</w:t>
      </w:r>
      <w:r>
        <w:rPr>
          <w:rFonts w:hint="eastAsia" w:ascii="宋体" w:hAnsi="宋体"/>
          <w:b/>
          <w:bCs/>
          <w:color w:val="auto"/>
          <w:szCs w:val="21"/>
          <w:highlight w:val="none"/>
        </w:rPr>
        <w:t>在递交投标文件时，投标人的法定代表人或其授权代表应携带本人身份证原件、社保部门出具的近六个月内任意一个月社会保险证明（或劳动合同证明）备查。无法开具社会保险证明的省市，若相关记录能够在官网上查询，允许以查询记录加盖投标人公章的形式证明。</w:t>
      </w:r>
    </w:p>
    <w:p w14:paraId="79322A1B">
      <w:pPr>
        <w:adjustRightInd/>
        <w:snapToGrid/>
        <w:spacing w:line="276" w:lineRule="auto"/>
        <w:ind w:firstLine="420" w:firstLineChars="200"/>
        <w:rPr>
          <w:color w:val="auto"/>
          <w:highlight w:val="none"/>
        </w:rPr>
      </w:pPr>
      <w:r>
        <w:rPr>
          <w:rFonts w:hint="eastAsia" w:ascii="宋体" w:hAnsi="宋体"/>
          <w:color w:val="auto"/>
          <w:szCs w:val="21"/>
          <w:highlight w:val="none"/>
        </w:rPr>
        <w:br w:type="page"/>
      </w:r>
    </w:p>
    <w:p w14:paraId="79826FDD">
      <w:pPr>
        <w:pStyle w:val="5"/>
        <w:widowControl w:val="0"/>
        <w:overflowPunct w:val="0"/>
        <w:spacing w:line="240" w:lineRule="auto"/>
        <w:rPr>
          <w:rFonts w:ascii="宋体" w:hAnsi="宋体"/>
          <w:color w:val="auto"/>
          <w:sz w:val="21"/>
          <w:szCs w:val="21"/>
          <w:highlight w:val="none"/>
        </w:rPr>
      </w:pPr>
      <w:bookmarkStart w:id="185" w:name="_Toc6240"/>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6</w:t>
      </w:r>
      <w:r>
        <w:rPr>
          <w:rFonts w:hint="eastAsia" w:ascii="宋体" w:hAnsi="宋体"/>
          <w:color w:val="auto"/>
          <w:sz w:val="21"/>
          <w:szCs w:val="21"/>
          <w:highlight w:val="none"/>
        </w:rPr>
        <w:t>.资格申明</w:t>
      </w:r>
      <w:bookmarkEnd w:id="185"/>
    </w:p>
    <w:p w14:paraId="01E85155">
      <w:pPr>
        <w:jc w:val="center"/>
        <w:rPr>
          <w:rFonts w:ascii="黑体" w:eastAsia="黑体"/>
          <w:color w:val="auto"/>
          <w:sz w:val="28"/>
          <w:szCs w:val="28"/>
          <w:highlight w:val="none"/>
        </w:rPr>
      </w:pPr>
      <w:r>
        <w:rPr>
          <w:rFonts w:hint="eastAsia" w:ascii="黑体" w:eastAsia="黑体"/>
          <w:color w:val="auto"/>
          <w:sz w:val="28"/>
          <w:szCs w:val="28"/>
          <w:highlight w:val="none"/>
        </w:rPr>
        <w:t>资格申明</w:t>
      </w:r>
    </w:p>
    <w:p w14:paraId="045EADBF">
      <w:pPr>
        <w:pStyle w:val="49"/>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u w:val="single"/>
        </w:rPr>
        <w:t>xxx</w:t>
      </w:r>
      <w:r>
        <w:rPr>
          <w:rFonts w:hint="eastAsia" w:ascii="宋体" w:eastAsia="宋体"/>
          <w:color w:val="auto"/>
          <w:sz w:val="21"/>
          <w:szCs w:val="21"/>
          <w:highlight w:val="none"/>
        </w:rPr>
        <w:t>公司：</w:t>
      </w:r>
    </w:p>
    <w:p w14:paraId="53129DA6">
      <w:pPr>
        <w:ind w:firstLine="420" w:firstLineChars="200"/>
        <w:rPr>
          <w:rFonts w:ascii="宋体" w:hAnsi="宋体"/>
          <w:color w:val="auto"/>
          <w:szCs w:val="21"/>
          <w:highlight w:val="none"/>
        </w:rPr>
      </w:pPr>
    </w:p>
    <w:p w14:paraId="58411BAF">
      <w:pPr>
        <w:ind w:firstLine="420" w:firstLineChars="200"/>
        <w:rPr>
          <w:rFonts w:ascii="宋体" w:hAnsi="宋体"/>
          <w:color w:val="auto"/>
          <w:szCs w:val="21"/>
          <w:highlight w:val="none"/>
        </w:rPr>
      </w:pPr>
      <w:r>
        <w:rPr>
          <w:rFonts w:hint="eastAsia" w:ascii="宋体" w:hAnsi="宋体"/>
          <w:color w:val="auto"/>
          <w:szCs w:val="21"/>
          <w:highlight w:val="none"/>
        </w:rPr>
        <w:t>我方</w:t>
      </w:r>
      <w:r>
        <w:rPr>
          <w:rFonts w:ascii="宋体" w:hAnsi="宋体"/>
          <w:color w:val="auto"/>
          <w:szCs w:val="21"/>
          <w:highlight w:val="none"/>
        </w:rPr>
        <w:t>愿响应</w:t>
      </w:r>
      <w:r>
        <w:rPr>
          <w:rFonts w:hint="eastAsia" w:ascii="宋体" w:hAnsi="宋体"/>
          <w:color w:val="auto"/>
          <w:szCs w:val="21"/>
          <w:highlight w:val="none"/>
        </w:rPr>
        <w:t>贵</w:t>
      </w:r>
      <w:r>
        <w:rPr>
          <w:rFonts w:ascii="宋体" w:hAnsi="宋体"/>
          <w:color w:val="auto"/>
          <w:szCs w:val="21"/>
          <w:highlight w:val="none"/>
        </w:rPr>
        <w:t>方</w:t>
      </w:r>
      <w:r>
        <w:rPr>
          <w:rFonts w:hint="eastAsia" w:ascii="宋体" w:hAnsi="宋体"/>
          <w:color w:val="auto"/>
          <w:szCs w:val="21"/>
          <w:highlight w:val="none"/>
        </w:rPr>
        <w:t>关于（项目名称：）</w:t>
      </w:r>
      <w:r>
        <w:rPr>
          <w:rFonts w:ascii="宋体" w:hAnsi="宋体"/>
          <w:color w:val="auto"/>
          <w:szCs w:val="21"/>
          <w:highlight w:val="none"/>
        </w:rPr>
        <w:t>（</w:t>
      </w:r>
      <w:r>
        <w:rPr>
          <w:rFonts w:hint="eastAsia" w:ascii="宋体" w:hAnsi="宋体"/>
          <w:color w:val="auto"/>
          <w:szCs w:val="21"/>
          <w:highlight w:val="none"/>
        </w:rPr>
        <w:t>采购项目编号：</w:t>
      </w:r>
      <w:r>
        <w:rPr>
          <w:rFonts w:ascii="宋体" w:hAnsi="宋体"/>
          <w:color w:val="auto"/>
          <w:szCs w:val="21"/>
          <w:highlight w:val="none"/>
        </w:rPr>
        <w:t>）</w:t>
      </w:r>
      <w:r>
        <w:rPr>
          <w:rFonts w:hint="eastAsia" w:ascii="宋体" w:hAnsi="宋体"/>
          <w:color w:val="auto"/>
          <w:szCs w:val="21"/>
          <w:highlight w:val="none"/>
        </w:rPr>
        <w:t>的</w:t>
      </w:r>
      <w:r>
        <w:rPr>
          <w:rFonts w:ascii="宋体" w:hAnsi="宋体"/>
          <w:color w:val="auto"/>
          <w:szCs w:val="21"/>
          <w:highlight w:val="none"/>
        </w:rPr>
        <w:t>投标邀请，参与投标，提供用户需求书中规定的</w:t>
      </w:r>
      <w:r>
        <w:rPr>
          <w:rFonts w:hint="eastAsia" w:ascii="宋体" w:hAnsi="宋体"/>
          <w:color w:val="auto"/>
          <w:szCs w:val="21"/>
          <w:highlight w:val="none"/>
        </w:rPr>
        <w:t>货物及相关服务</w:t>
      </w:r>
      <w:r>
        <w:rPr>
          <w:rFonts w:ascii="宋体" w:hAnsi="宋体"/>
          <w:color w:val="auto"/>
          <w:szCs w:val="21"/>
          <w:highlight w:val="none"/>
        </w:rPr>
        <w:t>，并按</w:t>
      </w:r>
      <w:r>
        <w:rPr>
          <w:rFonts w:hint="eastAsia" w:ascii="宋体" w:hAnsi="宋体"/>
          <w:color w:val="auto"/>
          <w:szCs w:val="21"/>
          <w:highlight w:val="none"/>
        </w:rPr>
        <w:t>采购</w:t>
      </w:r>
      <w:r>
        <w:rPr>
          <w:rFonts w:ascii="宋体" w:hAnsi="宋体"/>
          <w:color w:val="auto"/>
          <w:szCs w:val="21"/>
          <w:highlight w:val="none"/>
        </w:rPr>
        <w:t>文件要求提交所附资格文件且声明和保证如下：</w:t>
      </w:r>
    </w:p>
    <w:p w14:paraId="2730BE6B">
      <w:pP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一、我方具备投标人邀请中所要求得资格条件，已清楚采购文件所有要求及有关规定</w:t>
      </w:r>
      <w:r>
        <w:rPr>
          <w:rFonts w:hint="eastAsia" w:ascii="宋体" w:hAnsi="宋体"/>
          <w:color w:val="auto"/>
          <w:szCs w:val="21"/>
          <w:highlight w:val="none"/>
          <w:lang w:eastAsia="zh-CN"/>
        </w:rPr>
        <w:t>；</w:t>
      </w:r>
      <w:r>
        <w:rPr>
          <w:rFonts w:hint="eastAsia" w:ascii="宋体" w:hAnsi="宋体"/>
          <w:color w:val="auto"/>
          <w:szCs w:val="21"/>
          <w:highlight w:val="none"/>
        </w:rPr>
        <w:t>并承诺参加本次采购活动中，如有违法、违规、弄虚作假行为，所造成的损失、不良后果及法律责任，一律由我方承担</w:t>
      </w:r>
      <w:r>
        <w:rPr>
          <w:rFonts w:hint="eastAsia" w:ascii="宋体" w:hAnsi="宋体"/>
          <w:color w:val="auto"/>
          <w:szCs w:val="21"/>
          <w:highlight w:val="none"/>
          <w:lang w:eastAsia="zh-CN"/>
        </w:rPr>
        <w:t>；</w:t>
      </w:r>
    </w:p>
    <w:p w14:paraId="33BAC650">
      <w:pPr>
        <w:ind w:firstLine="420" w:firstLineChars="200"/>
        <w:rPr>
          <w:rFonts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我方依法注册，在法律上、财务上和运作上完全独立于</w:t>
      </w:r>
      <w:r>
        <w:rPr>
          <w:rFonts w:hint="eastAsia" w:ascii="宋体" w:hAnsi="宋体"/>
          <w:color w:val="auto"/>
          <w:szCs w:val="21"/>
          <w:highlight w:val="none"/>
          <w:u w:val="single"/>
        </w:rPr>
        <w:t>xxxx</w:t>
      </w:r>
      <w:r>
        <w:rPr>
          <w:rFonts w:hint="eastAsia" w:ascii="宋体" w:hAnsi="宋体"/>
          <w:color w:val="auto"/>
          <w:szCs w:val="21"/>
          <w:highlight w:val="none"/>
        </w:rPr>
        <w:t>公司</w:t>
      </w:r>
      <w:r>
        <w:rPr>
          <w:rFonts w:ascii="宋体" w:hAnsi="宋体"/>
          <w:color w:val="auto"/>
          <w:szCs w:val="21"/>
          <w:highlight w:val="none"/>
        </w:rPr>
        <w:t>（</w:t>
      </w:r>
      <w:r>
        <w:rPr>
          <w:rFonts w:hint="eastAsia" w:ascii="宋体" w:hAnsi="宋体"/>
          <w:color w:val="auto"/>
          <w:szCs w:val="21"/>
          <w:highlight w:val="none"/>
        </w:rPr>
        <w:t>采购人</w:t>
      </w:r>
      <w:r>
        <w:rPr>
          <w:rFonts w:ascii="宋体" w:hAnsi="宋体"/>
          <w:color w:val="auto"/>
          <w:szCs w:val="21"/>
          <w:highlight w:val="none"/>
        </w:rPr>
        <w:t>）及</w:t>
      </w:r>
      <w:r>
        <w:rPr>
          <w:rFonts w:hint="eastAsia" w:ascii="宋体" w:hAnsi="宋体"/>
          <w:color w:val="auto"/>
          <w:szCs w:val="21"/>
          <w:highlight w:val="none"/>
          <w:u w:val="single"/>
        </w:rPr>
        <w:t>xxx</w:t>
      </w:r>
      <w:r>
        <w:rPr>
          <w:rFonts w:hint="eastAsia" w:ascii="宋体" w:hAnsi="宋体"/>
          <w:color w:val="auto"/>
          <w:szCs w:val="21"/>
          <w:highlight w:val="none"/>
        </w:rPr>
        <w:t>公司</w:t>
      </w:r>
      <w:r>
        <w:rPr>
          <w:rFonts w:ascii="宋体" w:hAnsi="宋体"/>
          <w:color w:val="auto"/>
          <w:szCs w:val="21"/>
          <w:highlight w:val="none"/>
        </w:rPr>
        <w:t>（采购代理机构）</w:t>
      </w:r>
      <w:r>
        <w:rPr>
          <w:rFonts w:hint="eastAsia" w:ascii="宋体" w:hAnsi="宋体"/>
          <w:color w:val="auto"/>
          <w:szCs w:val="21"/>
          <w:highlight w:val="none"/>
        </w:rPr>
        <w:t>。</w:t>
      </w:r>
    </w:p>
    <w:p w14:paraId="20772A5C">
      <w:pPr>
        <w:pStyle w:val="49"/>
        <w:spacing w:line="500" w:lineRule="atLeast"/>
        <w:ind w:firstLine="3517" w:firstLineChars="1675"/>
        <w:rPr>
          <w:rFonts w:ascii="宋体" w:eastAsia="宋体"/>
          <w:color w:val="auto"/>
          <w:sz w:val="21"/>
          <w:szCs w:val="21"/>
          <w:highlight w:val="none"/>
        </w:rPr>
      </w:pPr>
    </w:p>
    <w:p w14:paraId="3D0ADEB5">
      <w:pPr>
        <w:pStyle w:val="49"/>
        <w:spacing w:line="500" w:lineRule="atLeast"/>
        <w:ind w:firstLine="3517" w:firstLineChars="1675"/>
        <w:rPr>
          <w:rFonts w:ascii="宋体" w:eastAsia="宋体"/>
          <w:color w:val="auto"/>
          <w:sz w:val="21"/>
          <w:szCs w:val="21"/>
          <w:highlight w:val="none"/>
        </w:rPr>
      </w:pPr>
    </w:p>
    <w:p w14:paraId="79E26880">
      <w:pPr>
        <w:pStyle w:val="49"/>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45E7F08E">
      <w:pPr>
        <w:pStyle w:val="49"/>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法定代表人签字（签名或盖私章）：</w:t>
      </w:r>
    </w:p>
    <w:p w14:paraId="3391BE16">
      <w:pPr>
        <w:pStyle w:val="49"/>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日期：</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日</w:t>
      </w:r>
    </w:p>
    <w:p w14:paraId="26D60E2B">
      <w:pPr>
        <w:pStyle w:val="49"/>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br w:type="page"/>
      </w:r>
    </w:p>
    <w:p w14:paraId="3554ADDE">
      <w:pPr>
        <w:pStyle w:val="5"/>
        <w:widowControl w:val="0"/>
        <w:overflowPunct w:val="0"/>
        <w:spacing w:line="240" w:lineRule="auto"/>
        <w:rPr>
          <w:rFonts w:ascii="宋体" w:hAnsi="宋体"/>
          <w:color w:val="auto"/>
          <w:sz w:val="21"/>
          <w:szCs w:val="21"/>
          <w:highlight w:val="none"/>
        </w:rPr>
      </w:pPr>
      <w:bookmarkStart w:id="186" w:name="_Toc28496"/>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7</w:t>
      </w:r>
      <w:r>
        <w:rPr>
          <w:rFonts w:hint="eastAsia" w:ascii="宋体" w:hAnsi="宋体"/>
          <w:color w:val="auto"/>
          <w:sz w:val="21"/>
          <w:szCs w:val="21"/>
          <w:highlight w:val="none"/>
        </w:rPr>
        <w:t>.营业执照</w:t>
      </w:r>
      <w:bookmarkEnd w:id="186"/>
    </w:p>
    <w:p w14:paraId="3457E964">
      <w:pPr>
        <w:jc w:val="center"/>
        <w:rPr>
          <w:rFonts w:ascii="黑体" w:eastAsia="黑体"/>
          <w:color w:val="auto"/>
          <w:sz w:val="28"/>
          <w:szCs w:val="28"/>
          <w:highlight w:val="none"/>
        </w:rPr>
      </w:pPr>
      <w:bookmarkStart w:id="187" w:name="_Toc17470"/>
      <w:bookmarkStart w:id="188" w:name="_Toc24210"/>
      <w:bookmarkStart w:id="189" w:name="_Toc1511"/>
      <w:bookmarkStart w:id="190" w:name="_Toc4926"/>
      <w:bookmarkStart w:id="191" w:name="_Toc5919"/>
      <w:r>
        <w:rPr>
          <w:rFonts w:hint="eastAsia" w:ascii="黑体" w:eastAsia="黑体"/>
          <w:color w:val="auto"/>
          <w:sz w:val="28"/>
          <w:szCs w:val="28"/>
          <w:highlight w:val="none"/>
        </w:rPr>
        <w:t>营业执照</w:t>
      </w:r>
      <w:bookmarkEnd w:id="187"/>
      <w:bookmarkEnd w:id="188"/>
      <w:bookmarkEnd w:id="189"/>
      <w:bookmarkEnd w:id="190"/>
      <w:bookmarkEnd w:id="191"/>
    </w:p>
    <w:p w14:paraId="457B1A23">
      <w:pPr>
        <w:jc w:val="center"/>
        <w:rPr>
          <w:rFonts w:ascii="黑体" w:eastAsia="黑体"/>
          <w:color w:val="auto"/>
          <w:sz w:val="28"/>
          <w:szCs w:val="28"/>
          <w:highlight w:val="none"/>
        </w:rPr>
      </w:pPr>
      <w:r>
        <w:rPr>
          <w:rFonts w:hint="eastAsia" w:ascii="黑体" w:eastAsia="黑体"/>
          <w:color w:val="auto"/>
          <w:sz w:val="28"/>
          <w:szCs w:val="28"/>
          <w:highlight w:val="none"/>
        </w:rPr>
        <w:br w:type="page"/>
      </w:r>
    </w:p>
    <w:p w14:paraId="74D6890E">
      <w:pPr>
        <w:pStyle w:val="5"/>
        <w:widowControl w:val="0"/>
        <w:overflowPunct w:val="0"/>
        <w:spacing w:line="240" w:lineRule="auto"/>
        <w:rPr>
          <w:rFonts w:ascii="宋体" w:hAnsi="宋体"/>
          <w:color w:val="auto"/>
          <w:sz w:val="21"/>
          <w:szCs w:val="21"/>
          <w:highlight w:val="none"/>
        </w:rPr>
      </w:pPr>
      <w:bookmarkStart w:id="192" w:name="_Toc25786"/>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8</w:t>
      </w:r>
      <w:r>
        <w:rPr>
          <w:rFonts w:hint="eastAsia" w:ascii="宋体" w:hAnsi="宋体"/>
          <w:color w:val="auto"/>
          <w:sz w:val="21"/>
          <w:szCs w:val="21"/>
          <w:highlight w:val="none"/>
        </w:rPr>
        <w:t>.相关资质证明文件</w:t>
      </w:r>
      <w:bookmarkEnd w:id="192"/>
    </w:p>
    <w:p w14:paraId="1D81B384">
      <w:pPr>
        <w:rPr>
          <w:color w:val="auto"/>
          <w:highlight w:val="none"/>
        </w:rPr>
      </w:pPr>
    </w:p>
    <w:p w14:paraId="0046EB2D">
      <w:pPr>
        <w:jc w:val="center"/>
        <w:rPr>
          <w:rFonts w:ascii="黑体" w:eastAsia="黑体"/>
          <w:color w:val="auto"/>
          <w:sz w:val="28"/>
          <w:szCs w:val="28"/>
          <w:highlight w:val="none"/>
        </w:rPr>
      </w:pPr>
      <w:bookmarkStart w:id="193" w:name="_Toc13458"/>
      <w:bookmarkStart w:id="194" w:name="_Toc16233"/>
      <w:bookmarkStart w:id="195" w:name="_Toc16698"/>
      <w:bookmarkStart w:id="196" w:name="_Toc9592"/>
      <w:bookmarkStart w:id="197" w:name="_Toc30307"/>
      <w:r>
        <w:rPr>
          <w:rFonts w:hint="eastAsia" w:ascii="黑体" w:eastAsia="黑体"/>
          <w:color w:val="auto"/>
          <w:sz w:val="28"/>
          <w:szCs w:val="28"/>
          <w:highlight w:val="none"/>
        </w:rPr>
        <w:t>相关资质证明文件</w:t>
      </w:r>
      <w:bookmarkEnd w:id="184"/>
      <w:bookmarkEnd w:id="193"/>
      <w:bookmarkEnd w:id="194"/>
      <w:bookmarkEnd w:id="195"/>
      <w:bookmarkEnd w:id="196"/>
      <w:bookmarkEnd w:id="197"/>
    </w:p>
    <w:p w14:paraId="3FAAE666">
      <w:pPr>
        <w:numPr>
          <w:ilvl w:val="0"/>
          <w:numId w:val="11"/>
        </w:numP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符合投标邀请书“投标人资格要求”其他要求对应的证明文件</w:t>
      </w:r>
      <w:r>
        <w:rPr>
          <w:rFonts w:hint="eastAsia" w:ascii="宋体" w:hAnsi="宋体" w:cs="宋体"/>
          <w:b/>
          <w:bCs/>
          <w:color w:val="auto"/>
          <w:szCs w:val="21"/>
          <w:highlight w:val="none"/>
          <w:lang w:eastAsia="zh-CN"/>
        </w:rPr>
        <w:t>；</w:t>
      </w:r>
    </w:p>
    <w:p w14:paraId="2E93D20E">
      <w:pPr>
        <w:numPr>
          <w:ilvl w:val="0"/>
          <w:numId w:val="11"/>
        </w:numP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投标人认为必要的文件。</w:t>
      </w:r>
      <w:r>
        <w:rPr>
          <w:rFonts w:hint="eastAsia" w:ascii="宋体" w:hAnsi="宋体" w:cs="宋体"/>
          <w:b/>
          <w:bCs/>
          <w:color w:val="auto"/>
          <w:szCs w:val="21"/>
          <w:highlight w:val="none"/>
        </w:rPr>
        <w:br w:type="page"/>
      </w:r>
    </w:p>
    <w:p w14:paraId="40488939">
      <w:pPr>
        <w:pStyle w:val="5"/>
        <w:widowControl w:val="0"/>
        <w:overflowPunct w:val="0"/>
        <w:spacing w:line="240" w:lineRule="auto"/>
        <w:rPr>
          <w:rFonts w:ascii="楷体_GB2312" w:eastAsia="楷体_GB2312"/>
          <w:color w:val="auto"/>
          <w:highlight w:val="none"/>
        </w:rPr>
      </w:pPr>
      <w:bookmarkStart w:id="198" w:name="_Toc19515"/>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9</w:t>
      </w:r>
      <w:r>
        <w:rPr>
          <w:rFonts w:hint="eastAsia" w:ascii="宋体" w:hAnsi="宋体"/>
          <w:color w:val="auto"/>
          <w:sz w:val="21"/>
          <w:szCs w:val="21"/>
          <w:highlight w:val="none"/>
        </w:rPr>
        <w:t>.在经营活动中没有重大违法记录的书面声明格式</w:t>
      </w:r>
      <w:bookmarkEnd w:id="198"/>
    </w:p>
    <w:p w14:paraId="31E62FBD">
      <w:pPr>
        <w:rPr>
          <w:color w:val="auto"/>
          <w:highlight w:val="none"/>
        </w:rPr>
      </w:pPr>
    </w:p>
    <w:p w14:paraId="27F3F915">
      <w:pPr>
        <w:jc w:val="center"/>
        <w:rPr>
          <w:rFonts w:ascii="黑体" w:eastAsia="黑体"/>
          <w:color w:val="auto"/>
          <w:sz w:val="28"/>
          <w:szCs w:val="28"/>
          <w:highlight w:val="none"/>
        </w:rPr>
      </w:pPr>
      <w:r>
        <w:rPr>
          <w:rFonts w:hint="eastAsia" w:ascii="黑体" w:eastAsia="黑体"/>
          <w:color w:val="auto"/>
          <w:sz w:val="28"/>
          <w:szCs w:val="28"/>
          <w:highlight w:val="none"/>
        </w:rPr>
        <w:t>投标人在经营活动中前三年内未有重大违法记录、没有不良信用记录的声明函</w:t>
      </w:r>
    </w:p>
    <w:p w14:paraId="6A09D982">
      <w:pPr>
        <w:ind w:firstLine="420" w:firstLineChars="200"/>
        <w:rPr>
          <w:rFonts w:ascii="宋体" w:hAnsi="宋体" w:cs="宋体"/>
          <w:color w:val="auto"/>
          <w:szCs w:val="21"/>
          <w:highlight w:val="none"/>
        </w:rPr>
      </w:pPr>
    </w:p>
    <w:p w14:paraId="1F136750">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x</w:t>
      </w:r>
      <w:r>
        <w:rPr>
          <w:rFonts w:ascii="宋体" w:hAnsi="宋体" w:cs="宋体"/>
          <w:color w:val="auto"/>
          <w:szCs w:val="21"/>
          <w:highlight w:val="none"/>
        </w:rPr>
        <w:t>xxxxx</w:t>
      </w:r>
      <w:r>
        <w:rPr>
          <w:rFonts w:hint="eastAsia" w:ascii="宋体" w:hAnsi="宋体" w:cs="宋体"/>
          <w:color w:val="auto"/>
          <w:szCs w:val="21"/>
          <w:highlight w:val="none"/>
        </w:rPr>
        <w:t>公司：</w:t>
      </w:r>
    </w:p>
    <w:p w14:paraId="4D9F7EF6">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我公司郑重承诺：在参加“</w:t>
      </w:r>
      <w:r>
        <w:rPr>
          <w:rFonts w:hint="eastAsia" w:ascii="宋体" w:hAnsi="宋体" w:cs="宋体"/>
          <w:color w:val="auto"/>
          <w:szCs w:val="21"/>
          <w:highlight w:val="none"/>
          <w:u w:val="single"/>
        </w:rPr>
        <w:t>（采购项目名称）</w:t>
      </w:r>
      <w:r>
        <w:rPr>
          <w:rFonts w:hint="eastAsia" w:ascii="宋体" w:hAnsi="宋体" w:cs="宋体"/>
          <w:color w:val="auto"/>
          <w:szCs w:val="21"/>
          <w:highlight w:val="none"/>
        </w:rPr>
        <w:t>”（项目编号:XX）采购活动前三年内（设立不满三年的从设立之日计算），在经营活动中没有重大违法记录</w:t>
      </w:r>
      <w:r>
        <w:rPr>
          <w:rFonts w:hint="eastAsia" w:ascii="宋体" w:hAnsi="宋体" w:cs="宋体"/>
          <w:color w:val="auto"/>
          <w:szCs w:val="21"/>
          <w:highlight w:val="none"/>
          <w:lang w:eastAsia="zh-CN"/>
        </w:rPr>
        <w:t>；</w:t>
      </w:r>
      <w:r>
        <w:rPr>
          <w:rFonts w:hint="eastAsia" w:ascii="宋体" w:hAnsi="宋体" w:cs="宋体"/>
          <w:color w:val="auto"/>
          <w:szCs w:val="21"/>
          <w:highlight w:val="none"/>
        </w:rPr>
        <w:t>至本项目提交投标文件截止时间止未被列入“信用中国”网站失信被执行人、重大税收违法失信主体、政府采购严重违法失信行为记录名单。</w:t>
      </w:r>
    </w:p>
    <w:p w14:paraId="2762936E">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我公司以上承诺均为真实有效，绝无任何虚假、伪造的成份，否则，愿承担相应的后果和法律责任。</w:t>
      </w:r>
    </w:p>
    <w:p w14:paraId="7B0D1D52">
      <w:pPr>
        <w:ind w:firstLine="420" w:firstLineChars="200"/>
        <w:rPr>
          <w:rFonts w:ascii="宋体" w:hAnsi="宋体" w:cs="宋体"/>
          <w:color w:val="auto"/>
          <w:szCs w:val="21"/>
          <w:highlight w:val="none"/>
        </w:rPr>
      </w:pPr>
    </w:p>
    <w:p w14:paraId="7A8FA2F3">
      <w:pPr>
        <w:rPr>
          <w:rFonts w:ascii="宋体" w:hAnsi="宋体" w:cs="宋体"/>
          <w:color w:val="auto"/>
          <w:szCs w:val="21"/>
          <w:highlight w:val="none"/>
        </w:rPr>
      </w:pPr>
    </w:p>
    <w:p w14:paraId="7165D31E">
      <w:pP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投标人名称（盖章）：</w:t>
      </w:r>
    </w:p>
    <w:p w14:paraId="1E47BA06">
      <w:pPr>
        <w:rPr>
          <w:rFonts w:ascii="宋体" w:hAnsi="宋体" w:cs="宋体"/>
          <w:color w:val="auto"/>
          <w:szCs w:val="21"/>
          <w:highlight w:val="none"/>
        </w:rPr>
      </w:pPr>
    </w:p>
    <w:p w14:paraId="0F037140">
      <w:pPr>
        <w:ind w:firstLine="420" w:firstLineChars="200"/>
        <w:rPr>
          <w:rFonts w:ascii="宋体" w:hAnsi="宋体" w:cs="宋体"/>
          <w:color w:val="auto"/>
          <w:szCs w:val="21"/>
          <w:highlight w:val="none"/>
        </w:rPr>
      </w:pPr>
      <w:r>
        <w:rPr>
          <w:rFonts w:hint="eastAsia" w:ascii="宋体" w:hAnsi="宋体" w:cs="宋体"/>
          <w:color w:val="auto"/>
          <w:szCs w:val="21"/>
          <w:highlight w:val="none"/>
        </w:rPr>
        <w:t>日期：</w:t>
      </w:r>
    </w:p>
    <w:p w14:paraId="3D8ED2E0">
      <w:pPr>
        <w:rPr>
          <w:color w:val="auto"/>
          <w:highlight w:val="none"/>
        </w:rPr>
      </w:pPr>
    </w:p>
    <w:p w14:paraId="7DF02858">
      <w:pPr>
        <w:rPr>
          <w:rFonts w:ascii="宋体" w:hAnsi="宋体"/>
          <w:color w:val="auto"/>
          <w:szCs w:val="21"/>
          <w:highlight w:val="none"/>
        </w:rPr>
      </w:pPr>
    </w:p>
    <w:p w14:paraId="02679C45">
      <w:pPr>
        <w:pStyle w:val="12"/>
        <w:rPr>
          <w:color w:val="auto"/>
          <w:sz w:val="21"/>
          <w:szCs w:val="21"/>
          <w:highlight w:val="none"/>
        </w:rPr>
      </w:pPr>
    </w:p>
    <w:p w14:paraId="55506486">
      <w:pPr>
        <w:rPr>
          <w:rFonts w:ascii="宋体" w:hAnsi="宋体"/>
          <w:color w:val="auto"/>
          <w:szCs w:val="21"/>
          <w:highlight w:val="none"/>
        </w:rPr>
      </w:pPr>
    </w:p>
    <w:p w14:paraId="26705AC8">
      <w:pPr>
        <w:pStyle w:val="12"/>
        <w:rPr>
          <w:color w:val="auto"/>
          <w:sz w:val="21"/>
          <w:szCs w:val="21"/>
          <w:highlight w:val="none"/>
        </w:rPr>
      </w:pPr>
    </w:p>
    <w:p w14:paraId="27FE9498">
      <w:pPr>
        <w:rPr>
          <w:rFonts w:ascii="宋体" w:hAnsi="宋体"/>
          <w:color w:val="auto"/>
          <w:szCs w:val="21"/>
          <w:highlight w:val="none"/>
        </w:rPr>
      </w:pPr>
    </w:p>
    <w:p w14:paraId="6AA8B8FB">
      <w:pPr>
        <w:pStyle w:val="12"/>
        <w:rPr>
          <w:color w:val="auto"/>
          <w:sz w:val="21"/>
          <w:szCs w:val="21"/>
          <w:highlight w:val="none"/>
        </w:rPr>
      </w:pPr>
    </w:p>
    <w:p w14:paraId="0A6738F3">
      <w:pPr>
        <w:rPr>
          <w:rFonts w:ascii="宋体" w:hAnsi="宋体"/>
          <w:color w:val="auto"/>
          <w:szCs w:val="21"/>
          <w:highlight w:val="none"/>
        </w:rPr>
      </w:pPr>
    </w:p>
    <w:p w14:paraId="0AE2ED73">
      <w:pPr>
        <w:pStyle w:val="12"/>
        <w:rPr>
          <w:color w:val="auto"/>
          <w:sz w:val="21"/>
          <w:szCs w:val="21"/>
          <w:highlight w:val="none"/>
        </w:rPr>
      </w:pPr>
    </w:p>
    <w:p w14:paraId="5ED2E126">
      <w:pPr>
        <w:rPr>
          <w:rFonts w:ascii="宋体" w:hAnsi="宋体"/>
          <w:color w:val="auto"/>
          <w:szCs w:val="21"/>
          <w:highlight w:val="none"/>
        </w:rPr>
      </w:pPr>
    </w:p>
    <w:p w14:paraId="40503CEE">
      <w:pPr>
        <w:pStyle w:val="12"/>
        <w:rPr>
          <w:color w:val="auto"/>
          <w:sz w:val="21"/>
          <w:szCs w:val="21"/>
          <w:highlight w:val="none"/>
        </w:rPr>
      </w:pPr>
    </w:p>
    <w:p w14:paraId="247C98BD">
      <w:pPr>
        <w:rPr>
          <w:color w:val="auto"/>
          <w:highlight w:val="none"/>
        </w:rPr>
      </w:pPr>
    </w:p>
    <w:p w14:paraId="64BF31A1">
      <w:pPr>
        <w:rPr>
          <w:rFonts w:hint="eastAsia" w:ascii="宋体" w:hAnsi="宋体"/>
          <w:color w:val="auto"/>
          <w:sz w:val="21"/>
          <w:szCs w:val="21"/>
          <w:highlight w:val="none"/>
        </w:rPr>
      </w:pPr>
      <w:r>
        <w:rPr>
          <w:rFonts w:hint="eastAsia" w:ascii="宋体" w:hAnsi="宋体"/>
          <w:color w:val="auto"/>
          <w:sz w:val="21"/>
          <w:szCs w:val="21"/>
          <w:highlight w:val="none"/>
        </w:rPr>
        <w:br w:type="page"/>
      </w:r>
    </w:p>
    <w:p w14:paraId="59B96DD7">
      <w:pPr>
        <w:pStyle w:val="5"/>
        <w:widowControl w:val="0"/>
        <w:overflowPunct w:val="0"/>
        <w:spacing w:line="240" w:lineRule="auto"/>
        <w:rPr>
          <w:rFonts w:ascii="楷体_GB2312" w:eastAsia="楷体_GB2312"/>
          <w:color w:val="auto"/>
          <w:highlight w:val="none"/>
        </w:rPr>
      </w:pPr>
      <w:bookmarkStart w:id="199" w:name="_Toc23338"/>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0</w:t>
      </w:r>
      <w:r>
        <w:rPr>
          <w:rFonts w:hint="eastAsia" w:ascii="宋体" w:hAnsi="宋体"/>
          <w:color w:val="auto"/>
          <w:sz w:val="21"/>
          <w:szCs w:val="21"/>
          <w:highlight w:val="none"/>
        </w:rPr>
        <w:t>.承诺书格式</w:t>
      </w:r>
      <w:bookmarkEnd w:id="199"/>
    </w:p>
    <w:p w14:paraId="413216BA">
      <w:pPr>
        <w:jc w:val="center"/>
        <w:rPr>
          <w:rFonts w:ascii="黑体" w:eastAsia="黑体"/>
          <w:color w:val="auto"/>
          <w:sz w:val="28"/>
          <w:szCs w:val="28"/>
          <w:highlight w:val="none"/>
        </w:rPr>
      </w:pPr>
      <w:r>
        <w:rPr>
          <w:rFonts w:hint="eastAsia" w:ascii="黑体" w:eastAsia="黑体"/>
          <w:color w:val="auto"/>
          <w:sz w:val="28"/>
          <w:szCs w:val="28"/>
          <w:highlight w:val="none"/>
        </w:rPr>
        <w:t>承诺书</w:t>
      </w:r>
    </w:p>
    <w:p w14:paraId="194C1A19">
      <w:pPr>
        <w:pStyle w:val="49"/>
        <w:spacing w:line="420" w:lineRule="atLeast"/>
        <w:ind w:firstLine="0" w:firstLineChars="0"/>
        <w:rPr>
          <w:rFonts w:ascii="宋体" w:eastAsia="宋体" w:cs="宋体"/>
          <w:color w:val="auto"/>
          <w:sz w:val="21"/>
          <w:szCs w:val="21"/>
          <w:highlight w:val="none"/>
        </w:rPr>
      </w:pPr>
      <w:r>
        <w:rPr>
          <w:rFonts w:hint="eastAsia" w:ascii="宋体" w:eastAsia="宋体" w:cs="宋体"/>
          <w:color w:val="auto"/>
          <w:sz w:val="21"/>
          <w:szCs w:val="21"/>
          <w:highlight w:val="none"/>
        </w:rPr>
        <w:t>致xxx公司：</w:t>
      </w:r>
    </w:p>
    <w:p w14:paraId="01E06506">
      <w:pPr>
        <w:jc w:val="center"/>
        <w:rPr>
          <w:rFonts w:ascii="宋体" w:hAnsi="宋体" w:cs="宋体"/>
          <w:color w:val="auto"/>
          <w:szCs w:val="21"/>
          <w:highlight w:val="none"/>
        </w:rPr>
      </w:pPr>
    </w:p>
    <w:p w14:paraId="4789555C">
      <w:pPr>
        <w:pStyle w:val="49"/>
        <w:spacing w:line="420" w:lineRule="exact"/>
        <w:ind w:firstLine="433"/>
        <w:rPr>
          <w:rFonts w:ascii="宋体" w:eastAsia="宋体" w:cs="宋体"/>
          <w:color w:val="auto"/>
          <w:sz w:val="21"/>
          <w:szCs w:val="21"/>
          <w:highlight w:val="none"/>
        </w:rPr>
      </w:pPr>
      <w:r>
        <w:rPr>
          <w:rFonts w:hint="eastAsia" w:ascii="宋体" w:eastAsia="宋体" w:cs="宋体"/>
          <w:color w:val="auto"/>
          <w:sz w:val="21"/>
          <w:szCs w:val="21"/>
          <w:highlight w:val="none"/>
        </w:rPr>
        <w:t>我方已完整阅读了</w:t>
      </w:r>
      <w:r>
        <w:rPr>
          <w:rFonts w:hint="eastAsia" w:ascii="宋体" w:eastAsia="宋体" w:cs="宋体"/>
          <w:color w:val="auto"/>
          <w:sz w:val="21"/>
          <w:szCs w:val="21"/>
          <w:highlight w:val="none"/>
          <w:u w:val="single"/>
        </w:rPr>
        <w:t>（项目名称）</w:t>
      </w:r>
      <w:r>
        <w:rPr>
          <w:rFonts w:hint="eastAsia" w:ascii="宋体" w:eastAsia="宋体" w:cs="宋体"/>
          <w:color w:val="auto"/>
          <w:sz w:val="21"/>
          <w:szCs w:val="21"/>
          <w:highlight w:val="none"/>
        </w:rPr>
        <w:t>项目（项目编号：）采购文件的所有内容（包括澄清，以及所有已提供的参考资料和有关附件），并完全理解上述文件所表达的意思，该项目递交投标文件时间截止后，我方承诺不再对上述文件内容有异议。</w:t>
      </w:r>
      <w:r>
        <w:rPr>
          <w:rFonts w:hint="eastAsia" w:ascii="宋体" w:eastAsia="宋体" w:cs="宋体"/>
          <w:color w:val="auto"/>
          <w:sz w:val="21"/>
          <w:szCs w:val="21"/>
          <w:highlight w:val="none"/>
        </w:rPr>
        <w:cr/>
      </w:r>
    </w:p>
    <w:p w14:paraId="1072697D">
      <w:pPr>
        <w:pStyle w:val="49"/>
        <w:spacing w:line="420" w:lineRule="exact"/>
        <w:ind w:firstLine="433"/>
        <w:rPr>
          <w:rFonts w:ascii="宋体" w:eastAsia="宋体" w:cs="宋体"/>
          <w:color w:val="auto"/>
          <w:sz w:val="21"/>
          <w:szCs w:val="21"/>
          <w:highlight w:val="none"/>
        </w:rPr>
      </w:pPr>
    </w:p>
    <w:p w14:paraId="06927539">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投标人名称（加盖公章）：</w:t>
      </w:r>
    </w:p>
    <w:p w14:paraId="69760D8B">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法定代表人或被授权人（签名或盖私章）：</w:t>
      </w:r>
    </w:p>
    <w:p w14:paraId="6B44EEF8">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日期：</w:t>
      </w:r>
    </w:p>
    <w:p w14:paraId="7D88F178">
      <w:pPr>
        <w:rPr>
          <w:color w:val="auto"/>
          <w:highlight w:val="none"/>
        </w:rPr>
      </w:pPr>
    </w:p>
    <w:p w14:paraId="6172406E">
      <w:pPr>
        <w:rPr>
          <w:rFonts w:ascii="宋体" w:hAnsi="宋体"/>
          <w:color w:val="auto"/>
          <w:szCs w:val="21"/>
          <w:highlight w:val="none"/>
        </w:rPr>
      </w:pPr>
    </w:p>
    <w:p w14:paraId="39D0EEC1">
      <w:pPr>
        <w:pStyle w:val="12"/>
        <w:rPr>
          <w:color w:val="auto"/>
          <w:sz w:val="21"/>
          <w:szCs w:val="21"/>
          <w:highlight w:val="none"/>
        </w:rPr>
      </w:pPr>
    </w:p>
    <w:p w14:paraId="15EA093D">
      <w:pPr>
        <w:rPr>
          <w:rFonts w:ascii="宋体" w:hAnsi="宋体"/>
          <w:color w:val="auto"/>
          <w:szCs w:val="21"/>
          <w:highlight w:val="none"/>
        </w:rPr>
      </w:pPr>
    </w:p>
    <w:p w14:paraId="3C096AF4">
      <w:pPr>
        <w:pStyle w:val="12"/>
        <w:rPr>
          <w:color w:val="auto"/>
          <w:sz w:val="21"/>
          <w:szCs w:val="21"/>
          <w:highlight w:val="none"/>
        </w:rPr>
      </w:pPr>
    </w:p>
    <w:p w14:paraId="2CA3001F">
      <w:pPr>
        <w:rPr>
          <w:rFonts w:ascii="宋体" w:hAnsi="宋体"/>
          <w:color w:val="auto"/>
          <w:szCs w:val="21"/>
          <w:highlight w:val="none"/>
        </w:rPr>
      </w:pPr>
    </w:p>
    <w:p w14:paraId="1FFC30D5">
      <w:pPr>
        <w:pStyle w:val="12"/>
        <w:rPr>
          <w:color w:val="auto"/>
          <w:sz w:val="21"/>
          <w:szCs w:val="21"/>
          <w:highlight w:val="none"/>
        </w:rPr>
      </w:pPr>
    </w:p>
    <w:p w14:paraId="76595266">
      <w:pPr>
        <w:rPr>
          <w:rFonts w:ascii="宋体" w:hAnsi="宋体"/>
          <w:color w:val="auto"/>
          <w:szCs w:val="21"/>
          <w:highlight w:val="none"/>
        </w:rPr>
      </w:pPr>
    </w:p>
    <w:p w14:paraId="296F7A34">
      <w:pPr>
        <w:pStyle w:val="12"/>
        <w:rPr>
          <w:color w:val="auto"/>
          <w:sz w:val="21"/>
          <w:szCs w:val="21"/>
          <w:highlight w:val="none"/>
        </w:rPr>
      </w:pPr>
    </w:p>
    <w:p w14:paraId="77621D11">
      <w:pPr>
        <w:rPr>
          <w:rFonts w:ascii="宋体" w:hAnsi="宋体"/>
          <w:color w:val="auto"/>
          <w:szCs w:val="21"/>
          <w:highlight w:val="none"/>
        </w:rPr>
      </w:pPr>
    </w:p>
    <w:p w14:paraId="01680CFE">
      <w:pPr>
        <w:pStyle w:val="12"/>
        <w:rPr>
          <w:color w:val="auto"/>
          <w:sz w:val="21"/>
          <w:szCs w:val="21"/>
          <w:highlight w:val="none"/>
        </w:rPr>
      </w:pPr>
    </w:p>
    <w:p w14:paraId="2E160194">
      <w:pPr>
        <w:rPr>
          <w:rFonts w:ascii="宋体" w:hAnsi="宋体"/>
          <w:color w:val="auto"/>
          <w:szCs w:val="21"/>
          <w:highlight w:val="none"/>
        </w:rPr>
      </w:pPr>
    </w:p>
    <w:p w14:paraId="1DCD010A">
      <w:pPr>
        <w:pStyle w:val="12"/>
        <w:rPr>
          <w:color w:val="auto"/>
          <w:sz w:val="21"/>
          <w:szCs w:val="21"/>
          <w:highlight w:val="none"/>
        </w:rPr>
      </w:pPr>
    </w:p>
    <w:p w14:paraId="478524D4">
      <w:pPr>
        <w:rPr>
          <w:rFonts w:ascii="宋体" w:hAnsi="宋体"/>
          <w:color w:val="auto"/>
          <w:szCs w:val="21"/>
          <w:highlight w:val="none"/>
        </w:rPr>
      </w:pPr>
    </w:p>
    <w:p w14:paraId="128D0EB9">
      <w:pPr>
        <w:pStyle w:val="12"/>
        <w:rPr>
          <w:color w:val="auto"/>
          <w:sz w:val="21"/>
          <w:szCs w:val="21"/>
          <w:highlight w:val="none"/>
        </w:rPr>
      </w:pPr>
    </w:p>
    <w:p w14:paraId="74A5ECC7">
      <w:pPr>
        <w:rPr>
          <w:rFonts w:ascii="宋体" w:hAnsi="宋体"/>
          <w:color w:val="auto"/>
          <w:szCs w:val="21"/>
          <w:highlight w:val="none"/>
        </w:rPr>
      </w:pPr>
    </w:p>
    <w:p w14:paraId="4F1744F1">
      <w:pPr>
        <w:pStyle w:val="12"/>
        <w:rPr>
          <w:color w:val="auto"/>
          <w:sz w:val="21"/>
          <w:szCs w:val="21"/>
          <w:highlight w:val="none"/>
        </w:rPr>
      </w:pPr>
    </w:p>
    <w:p w14:paraId="38C17380">
      <w:pPr>
        <w:rPr>
          <w:color w:val="auto"/>
          <w:highlight w:val="none"/>
        </w:rPr>
      </w:pPr>
    </w:p>
    <w:p w14:paraId="34455EF8">
      <w:pPr>
        <w:rPr>
          <w:rFonts w:hint="eastAsia" w:ascii="宋体" w:hAnsi="宋体"/>
          <w:color w:val="auto"/>
          <w:sz w:val="21"/>
          <w:szCs w:val="21"/>
          <w:highlight w:val="none"/>
        </w:rPr>
      </w:pPr>
      <w:r>
        <w:rPr>
          <w:rFonts w:hint="eastAsia" w:ascii="宋体" w:hAnsi="宋体"/>
          <w:color w:val="auto"/>
          <w:sz w:val="21"/>
          <w:szCs w:val="21"/>
          <w:highlight w:val="none"/>
        </w:rPr>
        <w:br w:type="page"/>
      </w:r>
    </w:p>
    <w:p w14:paraId="046680CE">
      <w:pPr>
        <w:pStyle w:val="5"/>
        <w:widowControl w:val="0"/>
        <w:overflowPunct w:val="0"/>
        <w:spacing w:line="240" w:lineRule="auto"/>
        <w:rPr>
          <w:rFonts w:ascii="楷体_GB2312" w:eastAsia="楷体_GB2312"/>
          <w:color w:val="auto"/>
          <w:highlight w:val="none"/>
        </w:rPr>
      </w:pPr>
      <w:bookmarkStart w:id="200" w:name="_Toc18423"/>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1</w:t>
      </w:r>
      <w:r>
        <w:rPr>
          <w:rFonts w:hint="eastAsia" w:ascii="宋体" w:hAnsi="宋体"/>
          <w:color w:val="auto"/>
          <w:sz w:val="21"/>
          <w:szCs w:val="21"/>
          <w:highlight w:val="none"/>
        </w:rPr>
        <w:t>.ModbusTCP协议及云平台对接要求承诺函</w:t>
      </w:r>
      <w:bookmarkEnd w:id="200"/>
    </w:p>
    <w:p w14:paraId="20124330">
      <w:pPr>
        <w:widowControl w:val="0"/>
        <w:spacing w:after="120" w:line="360" w:lineRule="auto"/>
        <w:ind w:left="0" w:leftChars="0" w:firstLine="0" w:firstLineChars="0"/>
        <w:jc w:val="center"/>
        <w:rPr>
          <w:rFonts w:hint="eastAsia" w:ascii="Arial" w:hAnsi="Arial" w:eastAsia="黑体" w:cs="Times New Roman"/>
          <w:bCs/>
          <w:color w:val="auto"/>
          <w:kern w:val="2"/>
          <w:sz w:val="28"/>
          <w:szCs w:val="28"/>
          <w:highlight w:val="none"/>
          <w:lang w:val="en-US" w:eastAsia="zh-CN" w:bidi="ar-SA"/>
        </w:rPr>
      </w:pPr>
    </w:p>
    <w:p w14:paraId="54FC3861">
      <w:pPr>
        <w:widowControl w:val="0"/>
        <w:spacing w:after="120" w:line="360" w:lineRule="auto"/>
        <w:ind w:left="0" w:leftChars="0" w:firstLine="0" w:firstLineChars="0"/>
        <w:jc w:val="center"/>
        <w:rPr>
          <w:rFonts w:hint="eastAsia" w:ascii="宋体" w:hAnsi="宋体" w:eastAsia="宋体" w:cs="宋体"/>
          <w:b/>
          <w:bCs w:val="0"/>
          <w:color w:val="auto"/>
          <w:kern w:val="2"/>
          <w:sz w:val="28"/>
          <w:szCs w:val="28"/>
          <w:highlight w:val="none"/>
          <w:lang w:val="en-US" w:eastAsia="zh-CN" w:bidi="ar-SA"/>
        </w:rPr>
      </w:pPr>
      <w:r>
        <w:rPr>
          <w:rFonts w:hint="eastAsia" w:ascii="宋体" w:hAnsi="宋体" w:eastAsia="宋体" w:cs="宋体"/>
          <w:b/>
          <w:bCs w:val="0"/>
          <w:color w:val="auto"/>
          <w:kern w:val="2"/>
          <w:sz w:val="28"/>
          <w:szCs w:val="28"/>
          <w:highlight w:val="none"/>
          <w:lang w:val="en-US" w:eastAsia="zh-CN" w:bidi="ar-SA"/>
        </w:rPr>
        <w:t>ModbusTCP协议及云平台对接要求承诺函</w:t>
      </w:r>
    </w:p>
    <w:p w14:paraId="1B43C9B0">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hint="eastAsia" w:ascii="宋体" w:hAnsi="宋体" w:eastAsia="宋体" w:cs="Times New Roman"/>
          <w:b/>
          <w:bCs/>
          <w:color w:val="auto"/>
          <w:kern w:val="2"/>
          <w:sz w:val="21"/>
          <w:szCs w:val="21"/>
          <w:highlight w:val="none"/>
          <w:lang w:val="en-US" w:eastAsia="zh-CN"/>
        </w:rPr>
      </w:pPr>
      <w:r>
        <w:rPr>
          <w:rFonts w:hint="eastAsia" w:ascii="宋体" w:hAnsi="宋体" w:cs="Times New Roman"/>
          <w:b/>
          <w:bCs/>
          <w:color w:val="auto"/>
          <w:kern w:val="2"/>
          <w:sz w:val="21"/>
          <w:szCs w:val="21"/>
          <w:highlight w:val="none"/>
          <w:lang w:val="en-US" w:eastAsia="zh-CN"/>
        </w:rPr>
        <w:t>东莞市新有能源投资有限公司</w:t>
      </w:r>
      <w:r>
        <w:rPr>
          <w:rFonts w:hint="eastAsia" w:ascii="宋体" w:hAnsi="宋体" w:eastAsia="宋体" w:cs="Times New Roman"/>
          <w:b/>
          <w:bCs/>
          <w:color w:val="auto"/>
          <w:kern w:val="2"/>
          <w:sz w:val="21"/>
          <w:szCs w:val="21"/>
          <w:highlight w:val="none"/>
          <w:lang w:val="en-US" w:eastAsia="zh-CN"/>
        </w:rPr>
        <w:t>、</w:t>
      </w:r>
      <w:r>
        <w:rPr>
          <w:rFonts w:hint="eastAsia" w:ascii="宋体" w:hAnsi="宋体" w:cs="Times New Roman"/>
          <w:b/>
          <w:bCs/>
          <w:color w:val="auto"/>
          <w:kern w:val="2"/>
          <w:sz w:val="21"/>
          <w:szCs w:val="21"/>
          <w:highlight w:val="none"/>
          <w:lang w:val="en-US" w:eastAsia="zh-CN"/>
        </w:rPr>
        <w:t>广州宏达工程顾问集团有限公司</w:t>
      </w:r>
      <w:r>
        <w:rPr>
          <w:rFonts w:hint="eastAsia" w:ascii="宋体" w:hAnsi="宋体" w:eastAsia="宋体" w:cs="Times New Roman"/>
          <w:b/>
          <w:bCs/>
          <w:color w:val="auto"/>
          <w:kern w:val="2"/>
          <w:sz w:val="21"/>
          <w:szCs w:val="21"/>
          <w:highlight w:val="none"/>
          <w:lang w:val="en-US" w:eastAsia="zh-CN"/>
        </w:rPr>
        <w:t>：</w:t>
      </w:r>
    </w:p>
    <w:p w14:paraId="37FC6267">
      <w:pPr>
        <w:keepNext w:val="0"/>
        <w:keepLines w:val="0"/>
        <w:pageBreakBefore w:val="0"/>
        <w:widowControl w:val="0"/>
        <w:kinsoku/>
        <w:wordWrap/>
        <w:overflowPunct/>
        <w:topLinePunct w:val="0"/>
        <w:autoSpaceDE/>
        <w:autoSpaceDN/>
        <w:bidi w:val="0"/>
        <w:adjustRightInd/>
        <w:snapToGrid/>
        <w:spacing w:after="0" w:line="480" w:lineRule="auto"/>
        <w:ind w:firstLine="720" w:firstLineChars="0"/>
        <w:jc w:val="both"/>
        <w:textAlignment w:val="auto"/>
        <w:rPr>
          <w:rFonts w:hint="eastAsia" w:ascii="宋体" w:hAnsi="宋体" w:eastAsia="宋体" w:cs="Times New Roman"/>
          <w:color w:val="auto"/>
          <w:kern w:val="2"/>
          <w:sz w:val="21"/>
          <w:szCs w:val="21"/>
          <w:highlight w:val="none"/>
          <w:lang w:val="en-US" w:eastAsia="zh-CN"/>
        </w:rPr>
      </w:pPr>
      <w:r>
        <w:rPr>
          <w:rFonts w:hint="eastAsia" w:ascii="宋体" w:hAnsi="宋体" w:eastAsia="宋体" w:cs="Times New Roman"/>
          <w:color w:val="auto"/>
          <w:kern w:val="2"/>
          <w:sz w:val="21"/>
          <w:szCs w:val="21"/>
          <w:highlight w:val="none"/>
          <w:lang w:val="en-US" w:eastAsia="zh-CN"/>
        </w:rPr>
        <w:t>我方参加</w:t>
      </w:r>
      <w:r>
        <w:rPr>
          <w:rFonts w:hint="default" w:ascii="宋体" w:hAnsi="宋体" w:eastAsia="宋体" w:cs="Times New Roman"/>
          <w:color w:val="auto"/>
          <w:kern w:val="2"/>
          <w:sz w:val="21"/>
          <w:szCs w:val="21"/>
          <w:highlight w:val="none"/>
          <w:lang w:eastAsia="zh-CN"/>
        </w:rPr>
        <w:t>项目的招标</w:t>
      </w:r>
      <w:r>
        <w:rPr>
          <w:rFonts w:hint="eastAsia" w:ascii="宋体" w:hAnsi="宋体" w:eastAsia="宋体" w:cs="Times New Roman"/>
          <w:color w:val="auto"/>
          <w:kern w:val="2"/>
          <w:sz w:val="21"/>
          <w:szCs w:val="21"/>
          <w:highlight w:val="none"/>
          <w:lang w:eastAsia="zh-CN"/>
        </w:rPr>
        <w:t>（</w:t>
      </w:r>
      <w:r>
        <w:rPr>
          <w:rFonts w:hint="default" w:ascii="宋体" w:hAnsi="宋体" w:eastAsia="宋体" w:cs="Times New Roman"/>
          <w:color w:val="auto"/>
          <w:kern w:val="2"/>
          <w:sz w:val="21"/>
          <w:szCs w:val="21"/>
          <w:highlight w:val="none"/>
          <w:lang w:eastAsia="zh-CN"/>
        </w:rPr>
        <w:t>项目编号：</w:t>
      </w:r>
      <w:r>
        <w:rPr>
          <w:rFonts w:hint="eastAsia" w:ascii="宋体" w:hAnsi="宋体" w:eastAsia="宋体" w:cs="Times New Roman"/>
          <w:color w:val="auto"/>
          <w:kern w:val="2"/>
          <w:sz w:val="21"/>
          <w:szCs w:val="21"/>
          <w:highlight w:val="none"/>
          <w:lang w:val="en-US" w:eastAsia="zh-CN"/>
        </w:rPr>
        <w:t>）</w:t>
      </w:r>
      <w:r>
        <w:rPr>
          <w:rFonts w:hint="default" w:ascii="宋体" w:hAnsi="宋体" w:eastAsia="宋体" w:cs="Times New Roman"/>
          <w:color w:val="auto"/>
          <w:kern w:val="2"/>
          <w:sz w:val="21"/>
          <w:szCs w:val="21"/>
          <w:highlight w:val="none"/>
          <w:lang w:eastAsia="zh-CN"/>
        </w:rPr>
        <w:t>，我方在参与投标前已</w:t>
      </w:r>
      <w:r>
        <w:rPr>
          <w:rFonts w:hint="eastAsia" w:ascii="宋体" w:hAnsi="宋体" w:eastAsia="宋体" w:cs="Times New Roman"/>
          <w:color w:val="auto"/>
          <w:kern w:val="2"/>
          <w:sz w:val="21"/>
          <w:szCs w:val="21"/>
          <w:highlight w:val="none"/>
          <w:lang w:val="en-US" w:eastAsia="zh-CN"/>
        </w:rPr>
        <w:t>清楚了解</w:t>
      </w:r>
      <w:r>
        <w:rPr>
          <w:rFonts w:hint="default" w:ascii="宋体" w:hAnsi="宋体" w:eastAsia="宋体" w:cs="Times New Roman"/>
          <w:color w:val="auto"/>
          <w:kern w:val="2"/>
          <w:sz w:val="21"/>
          <w:szCs w:val="21"/>
          <w:highlight w:val="none"/>
          <w:lang w:eastAsia="zh-CN"/>
        </w:rPr>
        <w:t>招标文件的所有内容</w:t>
      </w:r>
      <w:r>
        <w:rPr>
          <w:rFonts w:hint="eastAsia" w:ascii="宋体" w:hAnsi="宋体" w:eastAsia="宋体" w:cs="Times New Roman"/>
          <w:color w:val="auto"/>
          <w:kern w:val="2"/>
          <w:sz w:val="21"/>
          <w:szCs w:val="21"/>
          <w:highlight w:val="none"/>
          <w:lang w:eastAsia="zh-CN"/>
        </w:rPr>
        <w:t>，</w:t>
      </w:r>
      <w:r>
        <w:rPr>
          <w:rFonts w:hint="eastAsia" w:ascii="宋体" w:hAnsi="宋体" w:eastAsia="宋体" w:cs="Times New Roman"/>
          <w:color w:val="auto"/>
          <w:kern w:val="2"/>
          <w:sz w:val="21"/>
          <w:szCs w:val="21"/>
          <w:highlight w:val="none"/>
          <w:lang w:val="en-US" w:eastAsia="zh-CN"/>
        </w:rPr>
        <w:t>并对ModbusTCP协议及云平台对接要求作出以下承诺：</w:t>
      </w:r>
    </w:p>
    <w:p w14:paraId="4A6A1320">
      <w:pPr>
        <w:keepNext w:val="0"/>
        <w:keepLines w:val="0"/>
        <w:pageBreakBefore w:val="0"/>
        <w:widowControl w:val="0"/>
        <w:kinsoku/>
        <w:wordWrap/>
        <w:overflowPunct/>
        <w:topLinePunct w:val="0"/>
        <w:autoSpaceDE/>
        <w:autoSpaceDN/>
        <w:bidi w:val="0"/>
        <w:adjustRightInd/>
        <w:snapToGrid/>
        <w:spacing w:after="0" w:line="480" w:lineRule="auto"/>
        <w:ind w:firstLine="720" w:firstLineChars="0"/>
        <w:jc w:val="both"/>
        <w:textAlignment w:val="auto"/>
        <w:rPr>
          <w:rFonts w:hint="eastAsia" w:ascii="宋体" w:hAnsi="宋体" w:eastAsia="宋体" w:cs="Times New Roman"/>
          <w:color w:val="auto"/>
          <w:kern w:val="2"/>
          <w:sz w:val="21"/>
          <w:szCs w:val="21"/>
          <w:highlight w:val="none"/>
          <w:lang w:eastAsia="zh-CN"/>
        </w:rPr>
      </w:pPr>
      <w:r>
        <w:rPr>
          <w:rFonts w:hint="eastAsia" w:ascii="宋体" w:hAnsi="宋体" w:eastAsia="宋体" w:cs="Times New Roman"/>
          <w:color w:val="auto"/>
          <w:kern w:val="2"/>
          <w:sz w:val="21"/>
          <w:szCs w:val="21"/>
          <w:highlight w:val="none"/>
          <w:lang w:val="en-US" w:eastAsia="zh-CN"/>
        </w:rPr>
        <w:t>我方</w:t>
      </w:r>
      <w:r>
        <w:rPr>
          <w:rFonts w:hint="eastAsia" w:ascii="宋体" w:hAnsi="宋体" w:eastAsia="宋体" w:cs="Times New Roman"/>
          <w:color w:val="auto"/>
          <w:kern w:val="2"/>
          <w:sz w:val="21"/>
          <w:szCs w:val="21"/>
          <w:highlight w:val="none"/>
          <w:lang w:eastAsia="zh-CN"/>
        </w:rPr>
        <w:t>无偏离响应并执行达到</w:t>
      </w:r>
      <w:r>
        <w:rPr>
          <w:rFonts w:hint="eastAsia" w:ascii="宋体" w:hAnsi="宋体" w:eastAsia="宋体" w:cs="Times New Roman"/>
          <w:color w:val="auto"/>
          <w:kern w:val="2"/>
          <w:sz w:val="21"/>
          <w:szCs w:val="21"/>
          <w:highlight w:val="none"/>
          <w:lang w:val="en-US" w:eastAsia="zh-CN"/>
        </w:rPr>
        <w:t>附件5</w:t>
      </w:r>
      <w:r>
        <w:rPr>
          <w:rFonts w:hint="eastAsia" w:ascii="宋体" w:hAnsi="宋体" w:eastAsia="宋体" w:cs="Times New Roman"/>
          <w:color w:val="auto"/>
          <w:kern w:val="2"/>
          <w:sz w:val="21"/>
          <w:szCs w:val="21"/>
          <w:highlight w:val="none"/>
          <w:lang w:eastAsia="zh-CN"/>
        </w:rPr>
        <w:t>《</w:t>
      </w:r>
      <w:r>
        <w:rPr>
          <w:rFonts w:hint="eastAsia" w:ascii="宋体" w:hAnsi="宋体" w:eastAsia="宋体" w:cs="Times New Roman"/>
          <w:color w:val="auto"/>
          <w:kern w:val="2"/>
          <w:sz w:val="21"/>
          <w:szCs w:val="21"/>
          <w:highlight w:val="none"/>
          <w:lang w:val="en-US" w:eastAsia="zh-CN"/>
        </w:rPr>
        <w:t>ModbusTCP规约点表》的要求，包含：地址规划、系统数据、PCS、电堆、电池簇、单体电压、单体温度、电表数据、空调数据、液冷数据、遥控遥调、PCS故障字解析表、BMS报警码解析表、空调故障字解析表、液冷故障字解析表。</w:t>
      </w:r>
    </w:p>
    <w:p w14:paraId="199E7ED0">
      <w:pPr>
        <w:keepNext w:val="0"/>
        <w:keepLines w:val="0"/>
        <w:pageBreakBefore w:val="0"/>
        <w:widowControl w:val="0"/>
        <w:kinsoku/>
        <w:wordWrap/>
        <w:overflowPunct/>
        <w:topLinePunct w:val="0"/>
        <w:autoSpaceDE/>
        <w:autoSpaceDN/>
        <w:bidi w:val="0"/>
        <w:adjustRightInd/>
        <w:snapToGrid/>
        <w:spacing w:after="0" w:line="480" w:lineRule="auto"/>
        <w:ind w:firstLine="720" w:firstLineChars="0"/>
        <w:jc w:val="both"/>
        <w:textAlignment w:val="auto"/>
        <w:rPr>
          <w:rFonts w:hint="default" w:ascii="宋体" w:hAnsi="宋体" w:eastAsia="宋体" w:cs="Times New Roman"/>
          <w:color w:val="auto"/>
          <w:kern w:val="2"/>
          <w:sz w:val="21"/>
          <w:szCs w:val="21"/>
          <w:highlight w:val="none"/>
          <w:lang w:val="en-US" w:eastAsia="zh-CN"/>
        </w:rPr>
      </w:pPr>
      <w:r>
        <w:rPr>
          <w:rFonts w:hint="eastAsia" w:ascii="宋体" w:hAnsi="宋体" w:eastAsia="宋体" w:cs="Times New Roman"/>
          <w:color w:val="auto"/>
          <w:kern w:val="2"/>
          <w:sz w:val="21"/>
          <w:szCs w:val="21"/>
          <w:highlight w:val="none"/>
          <w:lang w:val="en-US" w:eastAsia="zh-CN"/>
        </w:rPr>
        <w:t>特此承诺！</w:t>
      </w:r>
    </w:p>
    <w:p w14:paraId="66053E1C">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hint="eastAsia" w:ascii="Times New Roman" w:hAnsi="Times New Roman" w:eastAsia="宋体" w:cs="Times New Roman"/>
          <w:color w:val="auto"/>
          <w:sz w:val="21"/>
          <w:szCs w:val="21"/>
          <w:highlight w:val="none"/>
          <w:lang w:val="en-US" w:eastAsia="zh-CN"/>
        </w:rPr>
      </w:pPr>
    </w:p>
    <w:p w14:paraId="4784E5C0">
      <w:pPr>
        <w:keepNext w:val="0"/>
        <w:keepLines w:val="0"/>
        <w:pageBreakBefore w:val="0"/>
        <w:widowControl w:val="0"/>
        <w:kinsoku/>
        <w:wordWrap/>
        <w:overflowPunct/>
        <w:topLinePunct w:val="0"/>
        <w:autoSpaceDE/>
        <w:autoSpaceDN/>
        <w:bidi w:val="0"/>
        <w:adjustRightInd/>
        <w:snapToGrid/>
        <w:spacing w:after="0" w:line="480" w:lineRule="auto"/>
        <w:ind w:firstLine="4410" w:firstLineChars="2100"/>
        <w:jc w:val="both"/>
        <w:textAlignment w:val="auto"/>
        <w:rPr>
          <w:rFonts w:hint="eastAsia" w:ascii="宋体" w:hAnsi="宋体" w:eastAsia="宋体" w:cs="Times New Roman"/>
          <w:color w:val="auto"/>
          <w:kern w:val="2"/>
          <w:sz w:val="21"/>
          <w:szCs w:val="21"/>
          <w:highlight w:val="none"/>
          <w:u w:val="single"/>
          <w:lang w:eastAsia="zh-CN"/>
        </w:rPr>
      </w:pPr>
      <w:r>
        <w:rPr>
          <w:rFonts w:hint="eastAsia" w:ascii="宋体" w:hAnsi="宋体" w:eastAsia="宋体" w:cs="Times New Roman"/>
          <w:color w:val="auto"/>
          <w:kern w:val="2"/>
          <w:sz w:val="21"/>
          <w:szCs w:val="21"/>
          <w:highlight w:val="none"/>
          <w:lang w:val="en-US" w:eastAsia="zh-CN"/>
        </w:rPr>
        <w:t>承诺人</w:t>
      </w:r>
      <w:r>
        <w:rPr>
          <w:rFonts w:hint="eastAsia" w:ascii="Times New Roman" w:hAnsi="Times New Roman" w:eastAsia="宋体" w:cs="Times New Roman"/>
          <w:color w:val="auto"/>
          <w:spacing w:val="4"/>
          <w:kern w:val="2"/>
          <w:sz w:val="21"/>
          <w:szCs w:val="21"/>
          <w:highlight w:val="none"/>
        </w:rPr>
        <w:t>（</w:t>
      </w:r>
      <w:r>
        <w:rPr>
          <w:rFonts w:hint="eastAsia" w:ascii="宋体" w:hAnsi="宋体" w:eastAsia="宋体" w:cs="Times New Roman"/>
          <w:color w:val="auto"/>
          <w:kern w:val="2"/>
          <w:sz w:val="21"/>
          <w:szCs w:val="21"/>
          <w:highlight w:val="none"/>
        </w:rPr>
        <w:t>单位盖</w:t>
      </w:r>
      <w:r>
        <w:rPr>
          <w:rFonts w:hint="eastAsia" w:ascii="Times New Roman" w:hAnsi="Times New Roman" w:eastAsia="宋体" w:cs="Times New Roman"/>
          <w:color w:val="auto"/>
          <w:spacing w:val="4"/>
          <w:kern w:val="2"/>
          <w:sz w:val="21"/>
          <w:szCs w:val="21"/>
          <w:highlight w:val="none"/>
        </w:rPr>
        <w:t>公章）：</w:t>
      </w:r>
    </w:p>
    <w:p w14:paraId="35597851">
      <w:pPr>
        <w:keepNext w:val="0"/>
        <w:keepLines w:val="0"/>
        <w:pageBreakBefore w:val="0"/>
        <w:kinsoku/>
        <w:wordWrap/>
        <w:overflowPunct/>
        <w:topLinePunct w:val="0"/>
        <w:autoSpaceDE/>
        <w:autoSpaceDN/>
        <w:bidi w:val="0"/>
        <w:spacing w:after="200" w:line="480" w:lineRule="auto"/>
        <w:ind w:firstLine="6090" w:firstLineChars="2900"/>
        <w:textAlignment w:val="auto"/>
        <w:rPr>
          <w:rFonts w:hint="eastAsia" w:eastAsia="宋体"/>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日期：</w:t>
      </w:r>
    </w:p>
    <w:p w14:paraId="64E18FB2">
      <w:pPr>
        <w:spacing w:after="200" w:line="240" w:lineRule="auto"/>
        <w:rPr>
          <w:rFonts w:hint="default" w:eastAsia="微软雅黑"/>
          <w:color w:val="auto"/>
          <w:sz w:val="22"/>
          <w:highlight w:val="none"/>
          <w:lang w:val="en-US" w:eastAsia="zh-CN"/>
        </w:rPr>
      </w:pPr>
    </w:p>
    <w:p w14:paraId="7BBCAFC3">
      <w:pPr>
        <w:rPr>
          <w:rFonts w:hint="eastAsia" w:ascii="宋体" w:hAnsi="宋体"/>
          <w:color w:val="auto"/>
          <w:sz w:val="21"/>
          <w:szCs w:val="21"/>
          <w:highlight w:val="none"/>
        </w:rPr>
      </w:pPr>
      <w:r>
        <w:rPr>
          <w:rFonts w:hint="eastAsia" w:ascii="宋体" w:hAnsi="宋体"/>
          <w:color w:val="auto"/>
          <w:sz w:val="21"/>
          <w:szCs w:val="21"/>
          <w:highlight w:val="none"/>
        </w:rPr>
        <w:br w:type="page"/>
      </w:r>
    </w:p>
    <w:p w14:paraId="2B29242E">
      <w:pPr>
        <w:pStyle w:val="5"/>
        <w:widowControl w:val="0"/>
        <w:overflowPunct w:val="0"/>
        <w:spacing w:line="240" w:lineRule="auto"/>
        <w:rPr>
          <w:rFonts w:ascii="宋体" w:hAnsi="宋体"/>
          <w:color w:val="auto"/>
          <w:sz w:val="21"/>
          <w:szCs w:val="21"/>
          <w:highlight w:val="none"/>
        </w:rPr>
      </w:pPr>
      <w:bookmarkStart w:id="201" w:name="_Toc14063"/>
      <w:r>
        <w:rPr>
          <w:rFonts w:hint="eastAsia" w:ascii="宋体" w:hAnsi="宋体"/>
          <w:color w:val="auto"/>
          <w:sz w:val="21"/>
          <w:szCs w:val="21"/>
          <w:highlight w:val="none"/>
        </w:rPr>
        <w:t>附件12.商务需求条款偏离表格式</w:t>
      </w:r>
      <w:bookmarkEnd w:id="201"/>
    </w:p>
    <w:p w14:paraId="6FB45AA1">
      <w:pPr>
        <w:jc w:val="center"/>
        <w:rPr>
          <w:rFonts w:ascii="黑体" w:eastAsia="黑体"/>
          <w:color w:val="auto"/>
          <w:sz w:val="28"/>
          <w:szCs w:val="28"/>
          <w:highlight w:val="none"/>
        </w:rPr>
      </w:pPr>
    </w:p>
    <w:p w14:paraId="7BC74E19">
      <w:pPr>
        <w:jc w:val="center"/>
        <w:rPr>
          <w:rFonts w:ascii="黑体" w:eastAsia="黑体"/>
          <w:color w:val="auto"/>
          <w:sz w:val="28"/>
          <w:szCs w:val="28"/>
          <w:highlight w:val="none"/>
        </w:rPr>
      </w:pPr>
      <w:r>
        <w:rPr>
          <w:rFonts w:hint="eastAsia" w:ascii="黑体" w:eastAsia="黑体"/>
          <w:color w:val="auto"/>
          <w:sz w:val="28"/>
          <w:szCs w:val="28"/>
          <w:highlight w:val="none"/>
        </w:rPr>
        <w:t>商务需求条款偏离表</w:t>
      </w:r>
    </w:p>
    <w:tbl>
      <w:tblPr>
        <w:tblStyle w:val="3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0"/>
        <w:gridCol w:w="1911"/>
        <w:gridCol w:w="1604"/>
        <w:gridCol w:w="1873"/>
        <w:gridCol w:w="1337"/>
        <w:gridCol w:w="2043"/>
      </w:tblGrid>
      <w:tr w14:paraId="2EBC4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597" w:type="pct"/>
            <w:vAlign w:val="center"/>
          </w:tcPr>
          <w:p w14:paraId="14847A5C">
            <w:pPr>
              <w:jc w:val="center"/>
              <w:rPr>
                <w:rFonts w:ascii="宋体" w:hAnsi="宋体"/>
                <w:color w:val="auto"/>
                <w:szCs w:val="21"/>
                <w:highlight w:val="none"/>
              </w:rPr>
            </w:pPr>
            <w:r>
              <w:rPr>
                <w:rFonts w:hint="eastAsia" w:ascii="宋体" w:hAnsi="宋体"/>
                <w:color w:val="auto"/>
                <w:szCs w:val="21"/>
                <w:highlight w:val="none"/>
              </w:rPr>
              <w:t>序号</w:t>
            </w:r>
          </w:p>
        </w:tc>
        <w:tc>
          <w:tcPr>
            <w:tcW w:w="959" w:type="pct"/>
            <w:vAlign w:val="center"/>
          </w:tcPr>
          <w:p w14:paraId="297CACD3">
            <w:pPr>
              <w:jc w:val="center"/>
              <w:rPr>
                <w:rFonts w:ascii="宋体" w:hAnsi="宋体"/>
                <w:color w:val="auto"/>
                <w:szCs w:val="21"/>
                <w:highlight w:val="none"/>
              </w:rPr>
            </w:pPr>
            <w:r>
              <w:rPr>
                <w:rFonts w:hint="eastAsia" w:ascii="宋体" w:hAnsi="宋体"/>
                <w:color w:val="auto"/>
                <w:szCs w:val="21"/>
                <w:highlight w:val="none"/>
              </w:rPr>
              <w:t>服务项目名称</w:t>
            </w:r>
          </w:p>
        </w:tc>
        <w:tc>
          <w:tcPr>
            <w:tcW w:w="805" w:type="pct"/>
            <w:vAlign w:val="center"/>
          </w:tcPr>
          <w:p w14:paraId="650F0509">
            <w:pPr>
              <w:jc w:val="center"/>
              <w:rPr>
                <w:rFonts w:ascii="宋体" w:hAnsi="宋体"/>
                <w:color w:val="auto"/>
                <w:szCs w:val="21"/>
                <w:highlight w:val="none"/>
              </w:rPr>
            </w:pPr>
            <w:r>
              <w:rPr>
                <w:rFonts w:hint="eastAsia" w:ascii="宋体" w:hAnsi="宋体"/>
                <w:color w:val="auto"/>
                <w:szCs w:val="21"/>
                <w:highlight w:val="none"/>
              </w:rPr>
              <w:t>采购要求</w:t>
            </w:r>
          </w:p>
        </w:tc>
        <w:tc>
          <w:tcPr>
            <w:tcW w:w="940" w:type="pct"/>
            <w:vAlign w:val="center"/>
          </w:tcPr>
          <w:p w14:paraId="50184F4A">
            <w:pPr>
              <w:jc w:val="center"/>
              <w:rPr>
                <w:rFonts w:ascii="宋体" w:hAnsi="宋体"/>
                <w:color w:val="auto"/>
                <w:szCs w:val="21"/>
                <w:highlight w:val="none"/>
              </w:rPr>
            </w:pPr>
            <w:r>
              <w:rPr>
                <w:rFonts w:hint="eastAsia" w:ascii="宋体" w:hAnsi="宋体"/>
                <w:color w:val="auto"/>
                <w:szCs w:val="21"/>
                <w:highlight w:val="none"/>
              </w:rPr>
              <w:t>投标实际响应</w:t>
            </w:r>
          </w:p>
        </w:tc>
        <w:tc>
          <w:tcPr>
            <w:tcW w:w="671" w:type="pct"/>
            <w:vAlign w:val="center"/>
          </w:tcPr>
          <w:p w14:paraId="011E0F9F">
            <w:pPr>
              <w:jc w:val="center"/>
              <w:rPr>
                <w:rFonts w:ascii="宋体" w:hAnsi="宋体"/>
                <w:color w:val="auto"/>
                <w:szCs w:val="21"/>
                <w:highlight w:val="none"/>
              </w:rPr>
            </w:pPr>
            <w:r>
              <w:rPr>
                <w:rFonts w:hint="eastAsia" w:ascii="宋体" w:hAnsi="宋体"/>
                <w:color w:val="auto"/>
                <w:szCs w:val="21"/>
                <w:highlight w:val="none"/>
              </w:rPr>
              <w:t>是否偏离</w:t>
            </w:r>
          </w:p>
        </w:tc>
        <w:tc>
          <w:tcPr>
            <w:tcW w:w="1025" w:type="pct"/>
            <w:vAlign w:val="center"/>
          </w:tcPr>
          <w:p w14:paraId="4FD8A8B4">
            <w:pPr>
              <w:jc w:val="center"/>
              <w:rPr>
                <w:rFonts w:ascii="宋体" w:hAnsi="宋体"/>
                <w:color w:val="auto"/>
                <w:szCs w:val="21"/>
                <w:highlight w:val="none"/>
              </w:rPr>
            </w:pPr>
            <w:r>
              <w:rPr>
                <w:rFonts w:hint="eastAsia" w:ascii="宋体" w:hAnsi="宋体"/>
                <w:color w:val="auto"/>
                <w:szCs w:val="21"/>
                <w:highlight w:val="none"/>
              </w:rPr>
              <w:t>说明</w:t>
            </w:r>
          </w:p>
        </w:tc>
      </w:tr>
      <w:tr w14:paraId="28EF2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pct"/>
            <w:vAlign w:val="center"/>
          </w:tcPr>
          <w:p w14:paraId="33E72D46">
            <w:pPr>
              <w:jc w:val="center"/>
              <w:rPr>
                <w:rFonts w:ascii="宋体" w:hAnsi="宋体"/>
                <w:color w:val="auto"/>
                <w:szCs w:val="21"/>
                <w:highlight w:val="none"/>
              </w:rPr>
            </w:pPr>
          </w:p>
        </w:tc>
        <w:tc>
          <w:tcPr>
            <w:tcW w:w="959" w:type="pct"/>
            <w:vAlign w:val="center"/>
          </w:tcPr>
          <w:p w14:paraId="4463ED73">
            <w:pPr>
              <w:jc w:val="center"/>
              <w:rPr>
                <w:rFonts w:ascii="宋体" w:hAnsi="宋体"/>
                <w:color w:val="auto"/>
                <w:szCs w:val="21"/>
                <w:highlight w:val="none"/>
              </w:rPr>
            </w:pPr>
          </w:p>
        </w:tc>
        <w:tc>
          <w:tcPr>
            <w:tcW w:w="805" w:type="pct"/>
            <w:vAlign w:val="center"/>
          </w:tcPr>
          <w:p w14:paraId="7E847B0A">
            <w:pPr>
              <w:jc w:val="center"/>
              <w:rPr>
                <w:rFonts w:ascii="宋体" w:hAnsi="宋体"/>
                <w:color w:val="auto"/>
                <w:szCs w:val="21"/>
                <w:highlight w:val="none"/>
              </w:rPr>
            </w:pPr>
          </w:p>
        </w:tc>
        <w:tc>
          <w:tcPr>
            <w:tcW w:w="940" w:type="pct"/>
            <w:vAlign w:val="center"/>
          </w:tcPr>
          <w:p w14:paraId="0C7BB2E5">
            <w:pPr>
              <w:jc w:val="center"/>
              <w:rPr>
                <w:rFonts w:ascii="宋体" w:hAnsi="宋体"/>
                <w:color w:val="auto"/>
                <w:szCs w:val="21"/>
                <w:highlight w:val="none"/>
              </w:rPr>
            </w:pPr>
          </w:p>
        </w:tc>
        <w:tc>
          <w:tcPr>
            <w:tcW w:w="671" w:type="pct"/>
            <w:vAlign w:val="center"/>
          </w:tcPr>
          <w:p w14:paraId="03DDB19C">
            <w:pPr>
              <w:jc w:val="center"/>
              <w:rPr>
                <w:rFonts w:ascii="宋体" w:hAnsi="宋体"/>
                <w:color w:val="auto"/>
                <w:szCs w:val="21"/>
                <w:highlight w:val="none"/>
              </w:rPr>
            </w:pPr>
          </w:p>
        </w:tc>
        <w:tc>
          <w:tcPr>
            <w:tcW w:w="1025" w:type="pct"/>
            <w:vAlign w:val="center"/>
          </w:tcPr>
          <w:p w14:paraId="22FFDC29">
            <w:pPr>
              <w:jc w:val="center"/>
              <w:rPr>
                <w:rFonts w:ascii="宋体" w:hAnsi="宋体"/>
                <w:color w:val="auto"/>
                <w:szCs w:val="21"/>
                <w:highlight w:val="none"/>
              </w:rPr>
            </w:pPr>
          </w:p>
        </w:tc>
      </w:tr>
      <w:tr w14:paraId="4CBB9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pct"/>
            <w:vAlign w:val="center"/>
          </w:tcPr>
          <w:p w14:paraId="7E3053EA">
            <w:pPr>
              <w:jc w:val="center"/>
              <w:rPr>
                <w:rFonts w:ascii="宋体" w:hAnsi="宋体"/>
                <w:color w:val="auto"/>
                <w:szCs w:val="21"/>
                <w:highlight w:val="none"/>
              </w:rPr>
            </w:pPr>
          </w:p>
        </w:tc>
        <w:tc>
          <w:tcPr>
            <w:tcW w:w="959" w:type="pct"/>
            <w:vAlign w:val="center"/>
          </w:tcPr>
          <w:p w14:paraId="1B67E264">
            <w:pPr>
              <w:jc w:val="center"/>
              <w:rPr>
                <w:rFonts w:ascii="宋体" w:hAnsi="宋体"/>
                <w:color w:val="auto"/>
                <w:szCs w:val="21"/>
                <w:highlight w:val="none"/>
              </w:rPr>
            </w:pPr>
          </w:p>
        </w:tc>
        <w:tc>
          <w:tcPr>
            <w:tcW w:w="805" w:type="pct"/>
            <w:vAlign w:val="center"/>
          </w:tcPr>
          <w:p w14:paraId="5A1810D9">
            <w:pPr>
              <w:jc w:val="center"/>
              <w:rPr>
                <w:rFonts w:ascii="宋体" w:hAnsi="宋体"/>
                <w:color w:val="auto"/>
                <w:szCs w:val="21"/>
                <w:highlight w:val="none"/>
              </w:rPr>
            </w:pPr>
          </w:p>
        </w:tc>
        <w:tc>
          <w:tcPr>
            <w:tcW w:w="940" w:type="pct"/>
            <w:vAlign w:val="center"/>
          </w:tcPr>
          <w:p w14:paraId="3D589719">
            <w:pPr>
              <w:jc w:val="center"/>
              <w:rPr>
                <w:rFonts w:ascii="宋体" w:hAnsi="宋体"/>
                <w:color w:val="auto"/>
                <w:szCs w:val="21"/>
                <w:highlight w:val="none"/>
              </w:rPr>
            </w:pPr>
          </w:p>
        </w:tc>
        <w:tc>
          <w:tcPr>
            <w:tcW w:w="671" w:type="pct"/>
            <w:vAlign w:val="center"/>
          </w:tcPr>
          <w:p w14:paraId="1A6786B5">
            <w:pPr>
              <w:jc w:val="center"/>
              <w:rPr>
                <w:rFonts w:ascii="宋体" w:hAnsi="宋体"/>
                <w:color w:val="auto"/>
                <w:szCs w:val="21"/>
                <w:highlight w:val="none"/>
              </w:rPr>
            </w:pPr>
          </w:p>
        </w:tc>
        <w:tc>
          <w:tcPr>
            <w:tcW w:w="1025" w:type="pct"/>
            <w:vAlign w:val="center"/>
          </w:tcPr>
          <w:p w14:paraId="4297DA1D">
            <w:pPr>
              <w:jc w:val="center"/>
              <w:rPr>
                <w:rFonts w:ascii="宋体" w:hAnsi="宋体"/>
                <w:color w:val="auto"/>
                <w:szCs w:val="21"/>
                <w:highlight w:val="none"/>
              </w:rPr>
            </w:pPr>
          </w:p>
        </w:tc>
      </w:tr>
      <w:tr w14:paraId="679C1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pct"/>
            <w:vAlign w:val="center"/>
          </w:tcPr>
          <w:p w14:paraId="0547B572">
            <w:pPr>
              <w:jc w:val="center"/>
              <w:rPr>
                <w:rFonts w:ascii="宋体" w:hAnsi="宋体"/>
                <w:color w:val="auto"/>
                <w:szCs w:val="21"/>
                <w:highlight w:val="none"/>
              </w:rPr>
            </w:pPr>
          </w:p>
        </w:tc>
        <w:tc>
          <w:tcPr>
            <w:tcW w:w="959" w:type="pct"/>
            <w:vAlign w:val="center"/>
          </w:tcPr>
          <w:p w14:paraId="4E78AC4B">
            <w:pPr>
              <w:jc w:val="center"/>
              <w:rPr>
                <w:rFonts w:ascii="宋体" w:hAnsi="宋体"/>
                <w:color w:val="auto"/>
                <w:szCs w:val="21"/>
                <w:highlight w:val="none"/>
              </w:rPr>
            </w:pPr>
          </w:p>
        </w:tc>
        <w:tc>
          <w:tcPr>
            <w:tcW w:w="805" w:type="pct"/>
            <w:vAlign w:val="center"/>
          </w:tcPr>
          <w:p w14:paraId="47D7B3C2">
            <w:pPr>
              <w:jc w:val="center"/>
              <w:rPr>
                <w:rFonts w:ascii="宋体" w:hAnsi="宋体"/>
                <w:color w:val="auto"/>
                <w:szCs w:val="21"/>
                <w:highlight w:val="none"/>
              </w:rPr>
            </w:pPr>
          </w:p>
        </w:tc>
        <w:tc>
          <w:tcPr>
            <w:tcW w:w="940" w:type="pct"/>
            <w:vAlign w:val="center"/>
          </w:tcPr>
          <w:p w14:paraId="4AAFD726">
            <w:pPr>
              <w:jc w:val="center"/>
              <w:rPr>
                <w:rFonts w:ascii="宋体" w:hAnsi="宋体"/>
                <w:color w:val="auto"/>
                <w:szCs w:val="21"/>
                <w:highlight w:val="none"/>
              </w:rPr>
            </w:pPr>
          </w:p>
        </w:tc>
        <w:tc>
          <w:tcPr>
            <w:tcW w:w="671" w:type="pct"/>
            <w:vAlign w:val="center"/>
          </w:tcPr>
          <w:p w14:paraId="6C87450F">
            <w:pPr>
              <w:jc w:val="center"/>
              <w:rPr>
                <w:rFonts w:ascii="宋体" w:hAnsi="宋体"/>
                <w:color w:val="auto"/>
                <w:szCs w:val="21"/>
                <w:highlight w:val="none"/>
              </w:rPr>
            </w:pPr>
          </w:p>
        </w:tc>
        <w:tc>
          <w:tcPr>
            <w:tcW w:w="1025" w:type="pct"/>
            <w:vAlign w:val="center"/>
          </w:tcPr>
          <w:p w14:paraId="292A1339">
            <w:pPr>
              <w:jc w:val="center"/>
              <w:rPr>
                <w:rFonts w:ascii="宋体" w:hAnsi="宋体"/>
                <w:color w:val="auto"/>
                <w:szCs w:val="21"/>
                <w:highlight w:val="none"/>
              </w:rPr>
            </w:pPr>
          </w:p>
        </w:tc>
      </w:tr>
      <w:tr w14:paraId="1B4F6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pct"/>
            <w:vAlign w:val="center"/>
          </w:tcPr>
          <w:p w14:paraId="3073E3A5">
            <w:pPr>
              <w:jc w:val="center"/>
              <w:rPr>
                <w:rFonts w:ascii="宋体" w:hAnsi="宋体"/>
                <w:color w:val="auto"/>
                <w:szCs w:val="21"/>
                <w:highlight w:val="none"/>
              </w:rPr>
            </w:pPr>
          </w:p>
        </w:tc>
        <w:tc>
          <w:tcPr>
            <w:tcW w:w="959" w:type="pct"/>
            <w:vAlign w:val="center"/>
          </w:tcPr>
          <w:p w14:paraId="5AD69D32">
            <w:pPr>
              <w:jc w:val="center"/>
              <w:rPr>
                <w:rFonts w:ascii="宋体" w:hAnsi="宋体"/>
                <w:color w:val="auto"/>
                <w:szCs w:val="21"/>
                <w:highlight w:val="none"/>
              </w:rPr>
            </w:pPr>
          </w:p>
        </w:tc>
        <w:tc>
          <w:tcPr>
            <w:tcW w:w="805" w:type="pct"/>
            <w:vAlign w:val="center"/>
          </w:tcPr>
          <w:p w14:paraId="76E912E7">
            <w:pPr>
              <w:jc w:val="center"/>
              <w:rPr>
                <w:rFonts w:ascii="宋体" w:hAnsi="宋体"/>
                <w:color w:val="auto"/>
                <w:szCs w:val="21"/>
                <w:highlight w:val="none"/>
              </w:rPr>
            </w:pPr>
          </w:p>
        </w:tc>
        <w:tc>
          <w:tcPr>
            <w:tcW w:w="940" w:type="pct"/>
            <w:vAlign w:val="center"/>
          </w:tcPr>
          <w:p w14:paraId="51517720">
            <w:pPr>
              <w:jc w:val="center"/>
              <w:rPr>
                <w:rFonts w:ascii="宋体" w:hAnsi="宋体"/>
                <w:color w:val="auto"/>
                <w:szCs w:val="21"/>
                <w:highlight w:val="none"/>
              </w:rPr>
            </w:pPr>
          </w:p>
        </w:tc>
        <w:tc>
          <w:tcPr>
            <w:tcW w:w="671" w:type="pct"/>
            <w:vAlign w:val="center"/>
          </w:tcPr>
          <w:p w14:paraId="2944EB26">
            <w:pPr>
              <w:jc w:val="center"/>
              <w:rPr>
                <w:rFonts w:ascii="宋体" w:hAnsi="宋体"/>
                <w:color w:val="auto"/>
                <w:szCs w:val="21"/>
                <w:highlight w:val="none"/>
              </w:rPr>
            </w:pPr>
          </w:p>
        </w:tc>
        <w:tc>
          <w:tcPr>
            <w:tcW w:w="1025" w:type="pct"/>
            <w:vAlign w:val="center"/>
          </w:tcPr>
          <w:p w14:paraId="308747F6">
            <w:pPr>
              <w:jc w:val="center"/>
              <w:rPr>
                <w:rFonts w:ascii="宋体" w:hAnsi="宋体"/>
                <w:color w:val="auto"/>
                <w:szCs w:val="21"/>
                <w:highlight w:val="none"/>
              </w:rPr>
            </w:pPr>
          </w:p>
        </w:tc>
      </w:tr>
      <w:tr w14:paraId="1FF47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pct"/>
            <w:vAlign w:val="center"/>
          </w:tcPr>
          <w:p w14:paraId="657EE534">
            <w:pPr>
              <w:jc w:val="center"/>
              <w:rPr>
                <w:rFonts w:ascii="宋体" w:hAnsi="宋体"/>
                <w:color w:val="auto"/>
                <w:szCs w:val="21"/>
                <w:highlight w:val="none"/>
              </w:rPr>
            </w:pPr>
          </w:p>
        </w:tc>
        <w:tc>
          <w:tcPr>
            <w:tcW w:w="959" w:type="pct"/>
            <w:vAlign w:val="center"/>
          </w:tcPr>
          <w:p w14:paraId="4C7822BC">
            <w:pPr>
              <w:jc w:val="center"/>
              <w:rPr>
                <w:rFonts w:ascii="宋体" w:hAnsi="宋体"/>
                <w:color w:val="auto"/>
                <w:szCs w:val="21"/>
                <w:highlight w:val="none"/>
              </w:rPr>
            </w:pPr>
          </w:p>
        </w:tc>
        <w:tc>
          <w:tcPr>
            <w:tcW w:w="805" w:type="pct"/>
            <w:vAlign w:val="center"/>
          </w:tcPr>
          <w:p w14:paraId="50FCAB8C">
            <w:pPr>
              <w:jc w:val="center"/>
              <w:rPr>
                <w:rFonts w:ascii="宋体" w:hAnsi="宋体"/>
                <w:color w:val="auto"/>
                <w:szCs w:val="21"/>
                <w:highlight w:val="none"/>
              </w:rPr>
            </w:pPr>
          </w:p>
        </w:tc>
        <w:tc>
          <w:tcPr>
            <w:tcW w:w="940" w:type="pct"/>
            <w:vAlign w:val="center"/>
          </w:tcPr>
          <w:p w14:paraId="50D477C7">
            <w:pPr>
              <w:jc w:val="center"/>
              <w:rPr>
                <w:rFonts w:ascii="宋体" w:hAnsi="宋体"/>
                <w:color w:val="auto"/>
                <w:szCs w:val="21"/>
                <w:highlight w:val="none"/>
              </w:rPr>
            </w:pPr>
          </w:p>
        </w:tc>
        <w:tc>
          <w:tcPr>
            <w:tcW w:w="671" w:type="pct"/>
            <w:vAlign w:val="center"/>
          </w:tcPr>
          <w:p w14:paraId="7132029D">
            <w:pPr>
              <w:jc w:val="center"/>
              <w:rPr>
                <w:rFonts w:ascii="宋体" w:hAnsi="宋体"/>
                <w:color w:val="auto"/>
                <w:szCs w:val="21"/>
                <w:highlight w:val="none"/>
              </w:rPr>
            </w:pPr>
          </w:p>
        </w:tc>
        <w:tc>
          <w:tcPr>
            <w:tcW w:w="1025" w:type="pct"/>
            <w:vAlign w:val="center"/>
          </w:tcPr>
          <w:p w14:paraId="15ABB10F">
            <w:pPr>
              <w:jc w:val="center"/>
              <w:rPr>
                <w:rFonts w:ascii="宋体" w:hAnsi="宋体"/>
                <w:color w:val="auto"/>
                <w:szCs w:val="21"/>
                <w:highlight w:val="none"/>
              </w:rPr>
            </w:pPr>
          </w:p>
        </w:tc>
      </w:tr>
      <w:tr w14:paraId="6CA87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pct"/>
            <w:vAlign w:val="center"/>
          </w:tcPr>
          <w:p w14:paraId="70C20B20">
            <w:pPr>
              <w:jc w:val="center"/>
              <w:rPr>
                <w:rFonts w:ascii="宋体" w:hAnsi="宋体"/>
                <w:color w:val="auto"/>
                <w:szCs w:val="21"/>
                <w:highlight w:val="none"/>
              </w:rPr>
            </w:pPr>
          </w:p>
        </w:tc>
        <w:tc>
          <w:tcPr>
            <w:tcW w:w="959" w:type="pct"/>
            <w:vAlign w:val="center"/>
          </w:tcPr>
          <w:p w14:paraId="540A5CAA">
            <w:pPr>
              <w:jc w:val="center"/>
              <w:rPr>
                <w:rFonts w:ascii="宋体" w:hAnsi="宋体"/>
                <w:color w:val="auto"/>
                <w:szCs w:val="21"/>
                <w:highlight w:val="none"/>
              </w:rPr>
            </w:pPr>
          </w:p>
        </w:tc>
        <w:tc>
          <w:tcPr>
            <w:tcW w:w="805" w:type="pct"/>
            <w:vAlign w:val="center"/>
          </w:tcPr>
          <w:p w14:paraId="667D8470">
            <w:pPr>
              <w:jc w:val="center"/>
              <w:rPr>
                <w:rFonts w:ascii="宋体" w:hAnsi="宋体"/>
                <w:color w:val="auto"/>
                <w:szCs w:val="21"/>
                <w:highlight w:val="none"/>
              </w:rPr>
            </w:pPr>
          </w:p>
        </w:tc>
        <w:tc>
          <w:tcPr>
            <w:tcW w:w="940" w:type="pct"/>
            <w:vAlign w:val="center"/>
          </w:tcPr>
          <w:p w14:paraId="6A8DD346">
            <w:pPr>
              <w:jc w:val="center"/>
              <w:rPr>
                <w:rFonts w:ascii="宋体" w:hAnsi="宋体"/>
                <w:color w:val="auto"/>
                <w:szCs w:val="21"/>
                <w:highlight w:val="none"/>
              </w:rPr>
            </w:pPr>
          </w:p>
        </w:tc>
        <w:tc>
          <w:tcPr>
            <w:tcW w:w="671" w:type="pct"/>
            <w:vAlign w:val="center"/>
          </w:tcPr>
          <w:p w14:paraId="02356C26">
            <w:pPr>
              <w:jc w:val="center"/>
              <w:rPr>
                <w:rFonts w:ascii="宋体" w:hAnsi="宋体"/>
                <w:color w:val="auto"/>
                <w:szCs w:val="21"/>
                <w:highlight w:val="none"/>
              </w:rPr>
            </w:pPr>
          </w:p>
        </w:tc>
        <w:tc>
          <w:tcPr>
            <w:tcW w:w="1025" w:type="pct"/>
            <w:vAlign w:val="center"/>
          </w:tcPr>
          <w:p w14:paraId="455A01D3">
            <w:pPr>
              <w:jc w:val="center"/>
              <w:rPr>
                <w:rFonts w:ascii="宋体" w:hAnsi="宋体"/>
                <w:color w:val="auto"/>
                <w:szCs w:val="21"/>
                <w:highlight w:val="none"/>
              </w:rPr>
            </w:pPr>
          </w:p>
        </w:tc>
      </w:tr>
      <w:tr w14:paraId="4DDAC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pct"/>
            <w:vAlign w:val="center"/>
          </w:tcPr>
          <w:p w14:paraId="65907D46">
            <w:pPr>
              <w:jc w:val="center"/>
              <w:rPr>
                <w:rFonts w:ascii="宋体" w:hAnsi="宋体"/>
                <w:color w:val="auto"/>
                <w:szCs w:val="21"/>
                <w:highlight w:val="none"/>
              </w:rPr>
            </w:pPr>
          </w:p>
        </w:tc>
        <w:tc>
          <w:tcPr>
            <w:tcW w:w="959" w:type="pct"/>
            <w:vAlign w:val="center"/>
          </w:tcPr>
          <w:p w14:paraId="534E2B4D">
            <w:pPr>
              <w:jc w:val="center"/>
              <w:rPr>
                <w:rFonts w:ascii="宋体" w:hAnsi="宋体"/>
                <w:color w:val="auto"/>
                <w:szCs w:val="21"/>
                <w:highlight w:val="none"/>
              </w:rPr>
            </w:pPr>
          </w:p>
        </w:tc>
        <w:tc>
          <w:tcPr>
            <w:tcW w:w="805" w:type="pct"/>
            <w:vAlign w:val="center"/>
          </w:tcPr>
          <w:p w14:paraId="20FF53C4">
            <w:pPr>
              <w:jc w:val="center"/>
              <w:rPr>
                <w:rFonts w:ascii="宋体" w:hAnsi="宋体"/>
                <w:color w:val="auto"/>
                <w:szCs w:val="21"/>
                <w:highlight w:val="none"/>
              </w:rPr>
            </w:pPr>
          </w:p>
        </w:tc>
        <w:tc>
          <w:tcPr>
            <w:tcW w:w="940" w:type="pct"/>
            <w:vAlign w:val="center"/>
          </w:tcPr>
          <w:p w14:paraId="02846043">
            <w:pPr>
              <w:jc w:val="center"/>
              <w:rPr>
                <w:rFonts w:ascii="宋体" w:hAnsi="宋体"/>
                <w:color w:val="auto"/>
                <w:szCs w:val="21"/>
                <w:highlight w:val="none"/>
              </w:rPr>
            </w:pPr>
          </w:p>
        </w:tc>
        <w:tc>
          <w:tcPr>
            <w:tcW w:w="671" w:type="pct"/>
            <w:vAlign w:val="center"/>
          </w:tcPr>
          <w:p w14:paraId="3057BEDD">
            <w:pPr>
              <w:jc w:val="center"/>
              <w:rPr>
                <w:rFonts w:ascii="宋体" w:hAnsi="宋体"/>
                <w:color w:val="auto"/>
                <w:szCs w:val="21"/>
                <w:highlight w:val="none"/>
              </w:rPr>
            </w:pPr>
          </w:p>
        </w:tc>
        <w:tc>
          <w:tcPr>
            <w:tcW w:w="1025" w:type="pct"/>
            <w:vAlign w:val="center"/>
          </w:tcPr>
          <w:p w14:paraId="27744C7E">
            <w:pPr>
              <w:jc w:val="center"/>
              <w:rPr>
                <w:rFonts w:ascii="宋体" w:hAnsi="宋体"/>
                <w:color w:val="auto"/>
                <w:szCs w:val="21"/>
                <w:highlight w:val="none"/>
              </w:rPr>
            </w:pPr>
          </w:p>
        </w:tc>
      </w:tr>
      <w:tr w14:paraId="02039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pct"/>
            <w:vAlign w:val="center"/>
          </w:tcPr>
          <w:p w14:paraId="535ABB55">
            <w:pPr>
              <w:jc w:val="center"/>
              <w:rPr>
                <w:rFonts w:ascii="宋体" w:hAnsi="宋体"/>
                <w:color w:val="auto"/>
                <w:szCs w:val="21"/>
                <w:highlight w:val="none"/>
              </w:rPr>
            </w:pPr>
          </w:p>
        </w:tc>
        <w:tc>
          <w:tcPr>
            <w:tcW w:w="959" w:type="pct"/>
            <w:vAlign w:val="center"/>
          </w:tcPr>
          <w:p w14:paraId="3C3385CA">
            <w:pPr>
              <w:jc w:val="center"/>
              <w:rPr>
                <w:rFonts w:ascii="宋体" w:hAnsi="宋体"/>
                <w:color w:val="auto"/>
                <w:szCs w:val="21"/>
                <w:highlight w:val="none"/>
              </w:rPr>
            </w:pPr>
          </w:p>
        </w:tc>
        <w:tc>
          <w:tcPr>
            <w:tcW w:w="805" w:type="pct"/>
            <w:vAlign w:val="center"/>
          </w:tcPr>
          <w:p w14:paraId="2959FD1E">
            <w:pPr>
              <w:jc w:val="center"/>
              <w:rPr>
                <w:rFonts w:ascii="宋体" w:hAnsi="宋体"/>
                <w:color w:val="auto"/>
                <w:szCs w:val="21"/>
                <w:highlight w:val="none"/>
              </w:rPr>
            </w:pPr>
          </w:p>
        </w:tc>
        <w:tc>
          <w:tcPr>
            <w:tcW w:w="940" w:type="pct"/>
            <w:vAlign w:val="center"/>
          </w:tcPr>
          <w:p w14:paraId="4A4B46E0">
            <w:pPr>
              <w:jc w:val="center"/>
              <w:rPr>
                <w:rFonts w:ascii="宋体" w:hAnsi="宋体"/>
                <w:color w:val="auto"/>
                <w:szCs w:val="21"/>
                <w:highlight w:val="none"/>
              </w:rPr>
            </w:pPr>
          </w:p>
        </w:tc>
        <w:tc>
          <w:tcPr>
            <w:tcW w:w="671" w:type="pct"/>
            <w:vAlign w:val="center"/>
          </w:tcPr>
          <w:p w14:paraId="31F794BB">
            <w:pPr>
              <w:jc w:val="center"/>
              <w:rPr>
                <w:rFonts w:ascii="宋体" w:hAnsi="宋体"/>
                <w:color w:val="auto"/>
                <w:szCs w:val="21"/>
                <w:highlight w:val="none"/>
              </w:rPr>
            </w:pPr>
          </w:p>
        </w:tc>
        <w:tc>
          <w:tcPr>
            <w:tcW w:w="1025" w:type="pct"/>
            <w:vAlign w:val="center"/>
          </w:tcPr>
          <w:p w14:paraId="07C4BEBB">
            <w:pPr>
              <w:jc w:val="center"/>
              <w:rPr>
                <w:rFonts w:ascii="宋体" w:hAnsi="宋体"/>
                <w:color w:val="auto"/>
                <w:szCs w:val="21"/>
                <w:highlight w:val="none"/>
              </w:rPr>
            </w:pPr>
          </w:p>
        </w:tc>
      </w:tr>
      <w:tr w14:paraId="6662A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pct"/>
            <w:vAlign w:val="center"/>
          </w:tcPr>
          <w:p w14:paraId="58D13A29">
            <w:pPr>
              <w:jc w:val="center"/>
              <w:rPr>
                <w:rFonts w:ascii="宋体" w:hAnsi="宋体"/>
                <w:color w:val="auto"/>
                <w:szCs w:val="21"/>
                <w:highlight w:val="none"/>
              </w:rPr>
            </w:pPr>
          </w:p>
        </w:tc>
        <w:tc>
          <w:tcPr>
            <w:tcW w:w="959" w:type="pct"/>
            <w:vAlign w:val="center"/>
          </w:tcPr>
          <w:p w14:paraId="7BCC38CF">
            <w:pPr>
              <w:jc w:val="center"/>
              <w:rPr>
                <w:rFonts w:ascii="宋体" w:hAnsi="宋体"/>
                <w:color w:val="auto"/>
                <w:szCs w:val="21"/>
                <w:highlight w:val="none"/>
              </w:rPr>
            </w:pPr>
          </w:p>
        </w:tc>
        <w:tc>
          <w:tcPr>
            <w:tcW w:w="805" w:type="pct"/>
            <w:vAlign w:val="center"/>
          </w:tcPr>
          <w:p w14:paraId="0CFBAC9A">
            <w:pPr>
              <w:jc w:val="center"/>
              <w:rPr>
                <w:rFonts w:ascii="宋体" w:hAnsi="宋体"/>
                <w:color w:val="auto"/>
                <w:szCs w:val="21"/>
                <w:highlight w:val="none"/>
              </w:rPr>
            </w:pPr>
          </w:p>
        </w:tc>
        <w:tc>
          <w:tcPr>
            <w:tcW w:w="940" w:type="pct"/>
            <w:vAlign w:val="center"/>
          </w:tcPr>
          <w:p w14:paraId="4B743B32">
            <w:pPr>
              <w:jc w:val="center"/>
              <w:rPr>
                <w:rFonts w:ascii="宋体" w:hAnsi="宋体"/>
                <w:color w:val="auto"/>
                <w:szCs w:val="21"/>
                <w:highlight w:val="none"/>
              </w:rPr>
            </w:pPr>
          </w:p>
        </w:tc>
        <w:tc>
          <w:tcPr>
            <w:tcW w:w="671" w:type="pct"/>
            <w:vAlign w:val="center"/>
          </w:tcPr>
          <w:p w14:paraId="45509638">
            <w:pPr>
              <w:jc w:val="center"/>
              <w:rPr>
                <w:rFonts w:ascii="宋体" w:hAnsi="宋体"/>
                <w:color w:val="auto"/>
                <w:szCs w:val="21"/>
                <w:highlight w:val="none"/>
              </w:rPr>
            </w:pPr>
          </w:p>
        </w:tc>
        <w:tc>
          <w:tcPr>
            <w:tcW w:w="1025" w:type="pct"/>
            <w:vAlign w:val="center"/>
          </w:tcPr>
          <w:p w14:paraId="4FBC4F82">
            <w:pPr>
              <w:jc w:val="center"/>
              <w:rPr>
                <w:rFonts w:ascii="宋体" w:hAnsi="宋体"/>
                <w:color w:val="auto"/>
                <w:szCs w:val="21"/>
                <w:highlight w:val="none"/>
              </w:rPr>
            </w:pPr>
          </w:p>
        </w:tc>
      </w:tr>
      <w:tr w14:paraId="73896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7" w:type="pct"/>
            <w:vAlign w:val="center"/>
          </w:tcPr>
          <w:p w14:paraId="399653A8">
            <w:pPr>
              <w:jc w:val="center"/>
              <w:rPr>
                <w:rFonts w:ascii="宋体" w:hAnsi="宋体"/>
                <w:color w:val="auto"/>
                <w:szCs w:val="21"/>
                <w:highlight w:val="none"/>
              </w:rPr>
            </w:pPr>
          </w:p>
        </w:tc>
        <w:tc>
          <w:tcPr>
            <w:tcW w:w="959" w:type="pct"/>
            <w:vAlign w:val="center"/>
          </w:tcPr>
          <w:p w14:paraId="33238FEE">
            <w:pPr>
              <w:jc w:val="center"/>
              <w:rPr>
                <w:rFonts w:ascii="宋体" w:hAnsi="宋体"/>
                <w:color w:val="auto"/>
                <w:szCs w:val="21"/>
                <w:highlight w:val="none"/>
              </w:rPr>
            </w:pPr>
          </w:p>
        </w:tc>
        <w:tc>
          <w:tcPr>
            <w:tcW w:w="805" w:type="pct"/>
            <w:vAlign w:val="center"/>
          </w:tcPr>
          <w:p w14:paraId="5214716A">
            <w:pPr>
              <w:jc w:val="center"/>
              <w:rPr>
                <w:rFonts w:ascii="宋体" w:hAnsi="宋体"/>
                <w:color w:val="auto"/>
                <w:szCs w:val="21"/>
                <w:highlight w:val="none"/>
              </w:rPr>
            </w:pPr>
          </w:p>
        </w:tc>
        <w:tc>
          <w:tcPr>
            <w:tcW w:w="940" w:type="pct"/>
            <w:vAlign w:val="center"/>
          </w:tcPr>
          <w:p w14:paraId="7D3CB063">
            <w:pPr>
              <w:jc w:val="center"/>
              <w:rPr>
                <w:rFonts w:ascii="宋体" w:hAnsi="宋体"/>
                <w:color w:val="auto"/>
                <w:szCs w:val="21"/>
                <w:highlight w:val="none"/>
              </w:rPr>
            </w:pPr>
          </w:p>
        </w:tc>
        <w:tc>
          <w:tcPr>
            <w:tcW w:w="671" w:type="pct"/>
            <w:vAlign w:val="center"/>
          </w:tcPr>
          <w:p w14:paraId="4D4D4F5D">
            <w:pPr>
              <w:jc w:val="center"/>
              <w:rPr>
                <w:rFonts w:ascii="宋体" w:hAnsi="宋体"/>
                <w:color w:val="auto"/>
                <w:szCs w:val="21"/>
                <w:highlight w:val="none"/>
              </w:rPr>
            </w:pPr>
          </w:p>
        </w:tc>
        <w:tc>
          <w:tcPr>
            <w:tcW w:w="1025" w:type="pct"/>
            <w:vAlign w:val="center"/>
          </w:tcPr>
          <w:p w14:paraId="0FFB556D">
            <w:pPr>
              <w:jc w:val="center"/>
              <w:rPr>
                <w:rFonts w:ascii="宋体" w:hAnsi="宋体"/>
                <w:color w:val="auto"/>
                <w:szCs w:val="21"/>
                <w:highlight w:val="none"/>
              </w:rPr>
            </w:pPr>
          </w:p>
        </w:tc>
      </w:tr>
    </w:tbl>
    <w:p w14:paraId="4A95B7A4">
      <w:pPr>
        <w:rPr>
          <w:rFonts w:ascii="宋体" w:hAnsi="宋体"/>
          <w:color w:val="auto"/>
          <w:szCs w:val="21"/>
          <w:highlight w:val="none"/>
        </w:rPr>
      </w:pPr>
    </w:p>
    <w:p w14:paraId="20E5AB5B">
      <w:pPr>
        <w:rPr>
          <w:rFonts w:ascii="宋体" w:hAnsi="宋体"/>
          <w:color w:val="auto"/>
          <w:szCs w:val="21"/>
          <w:highlight w:val="none"/>
        </w:rPr>
      </w:pPr>
      <w:r>
        <w:rPr>
          <w:rFonts w:hint="eastAsia" w:ascii="宋体" w:hAnsi="宋体"/>
          <w:color w:val="auto"/>
          <w:szCs w:val="21"/>
          <w:highlight w:val="none"/>
        </w:rPr>
        <w:t>投标人代表签字：</w:t>
      </w:r>
    </w:p>
    <w:p w14:paraId="314ED76C">
      <w:pPr>
        <w:rPr>
          <w:rFonts w:ascii="宋体" w:hAnsi="宋体"/>
          <w:color w:val="auto"/>
          <w:szCs w:val="21"/>
          <w:highlight w:val="none"/>
        </w:rPr>
      </w:pPr>
      <w:r>
        <w:rPr>
          <w:rFonts w:hint="eastAsia" w:ascii="宋体" w:hAnsi="宋体"/>
          <w:color w:val="auto"/>
          <w:szCs w:val="21"/>
          <w:highlight w:val="none"/>
        </w:rPr>
        <w:t>投标人盖章：</w:t>
      </w:r>
    </w:p>
    <w:p w14:paraId="099FADF5">
      <w:pPr>
        <w:rPr>
          <w:rFonts w:ascii="宋体" w:hAnsi="宋体"/>
          <w:color w:val="auto"/>
          <w:szCs w:val="21"/>
          <w:highlight w:val="none"/>
        </w:rPr>
      </w:pPr>
    </w:p>
    <w:p w14:paraId="206BDE41">
      <w:pPr>
        <w:ind w:left="718" w:hanging="718" w:hangingChars="342"/>
        <w:rPr>
          <w:rFonts w:ascii="宋体" w:hAnsi="宋体"/>
          <w:color w:val="auto"/>
          <w:szCs w:val="21"/>
          <w:highlight w:val="none"/>
        </w:rPr>
      </w:pPr>
      <w:r>
        <w:rPr>
          <w:rFonts w:hint="eastAsia" w:ascii="宋体" w:hAnsi="宋体"/>
          <w:color w:val="auto"/>
          <w:szCs w:val="21"/>
          <w:highlight w:val="none"/>
        </w:rPr>
        <w:t>注：</w:t>
      </w:r>
    </w:p>
    <w:p w14:paraId="60762BF8">
      <w:pPr>
        <w:rPr>
          <w:rFonts w:ascii="宋体" w:hAnsi="宋体"/>
          <w:color w:val="auto"/>
          <w:szCs w:val="21"/>
          <w:highlight w:val="none"/>
        </w:rPr>
      </w:pPr>
      <w:r>
        <w:rPr>
          <w:rFonts w:hint="eastAsia" w:ascii="宋体" w:hAnsi="宋体"/>
          <w:color w:val="auto"/>
          <w:szCs w:val="21"/>
          <w:highlight w:val="none"/>
        </w:rPr>
        <w:t>1、投标人应对照采购文件商务需求书中商务要求，说明已对采购文件的商务内容做出了实质性的响应。</w:t>
      </w:r>
    </w:p>
    <w:p w14:paraId="2C73CCE0">
      <w:pPr>
        <w:rPr>
          <w:rFonts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w:t>
      </w:r>
      <w:r>
        <w:rPr>
          <w:rFonts w:hint="eastAsia" w:ascii="宋体" w:hAnsi="宋体"/>
          <w:color w:val="auto"/>
          <w:szCs w:val="21"/>
          <w:highlight w:val="none"/>
        </w:rPr>
        <w:t>商务</w:t>
      </w:r>
      <w:r>
        <w:rPr>
          <w:rFonts w:hint="eastAsia" w:hAnsi="宋体" w:cs="宋体"/>
          <w:color w:val="auto"/>
          <w:szCs w:val="21"/>
          <w:highlight w:val="none"/>
        </w:rPr>
        <w:t>需求书”的内容并对采购人所需的服务要求作全面响应，投标人必须承担完成“</w:t>
      </w:r>
      <w:r>
        <w:rPr>
          <w:rFonts w:hint="eastAsia" w:ascii="宋体" w:hAnsi="宋体"/>
          <w:color w:val="auto"/>
          <w:szCs w:val="21"/>
          <w:highlight w:val="none"/>
        </w:rPr>
        <w:t>商务</w:t>
      </w:r>
      <w:r>
        <w:rPr>
          <w:rFonts w:hint="eastAsia" w:hAnsi="宋体" w:cs="宋体"/>
          <w:color w:val="auto"/>
          <w:szCs w:val="21"/>
          <w:highlight w:val="none"/>
        </w:rPr>
        <w:t>需求书”所描述内容的义务</w:t>
      </w:r>
      <w:r>
        <w:rPr>
          <w:rFonts w:hint="eastAsia" w:ascii="宋体" w:hAnsi="宋体"/>
          <w:color w:val="auto"/>
          <w:szCs w:val="21"/>
          <w:highlight w:val="none"/>
        </w:rPr>
        <w:t>，因此对投标人投标产生负面影响的，投标人自行承担后果。</w:t>
      </w:r>
    </w:p>
    <w:p w14:paraId="2D382AFF">
      <w:pPr>
        <w:rPr>
          <w:rFonts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64FD4A66">
      <w:pPr>
        <w:rPr>
          <w:rFonts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64BE8B11">
      <w:pPr>
        <w:rPr>
          <w:rFonts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如投标人对用户需求书商务要求的条款全部响应的，也可以在表格下面用文字总括性的说明。</w:t>
      </w:r>
    </w:p>
    <w:p w14:paraId="743F2AFC">
      <w:pPr>
        <w:rPr>
          <w:rFonts w:ascii="宋体" w:hAnsi="宋体"/>
          <w:color w:val="auto"/>
          <w:szCs w:val="21"/>
          <w:highlight w:val="none"/>
        </w:rPr>
      </w:pPr>
      <w:r>
        <w:rPr>
          <w:rFonts w:hint="eastAsia" w:ascii="宋体" w:hAnsi="宋体"/>
          <w:color w:val="auto"/>
          <w:szCs w:val="21"/>
          <w:highlight w:val="none"/>
        </w:rPr>
        <w:br w:type="page"/>
      </w:r>
    </w:p>
    <w:p w14:paraId="66499F70">
      <w:pPr>
        <w:pStyle w:val="5"/>
        <w:widowControl w:val="0"/>
        <w:overflowPunct w:val="0"/>
        <w:spacing w:line="240" w:lineRule="auto"/>
        <w:rPr>
          <w:rFonts w:ascii="宋体" w:hAnsi="宋体"/>
          <w:color w:val="auto"/>
          <w:sz w:val="30"/>
          <w:szCs w:val="30"/>
          <w:highlight w:val="none"/>
        </w:rPr>
      </w:pPr>
      <w:bookmarkStart w:id="202" w:name="_Toc857"/>
      <w:r>
        <w:rPr>
          <w:rFonts w:hint="eastAsia" w:ascii="宋体" w:hAnsi="宋体"/>
          <w:color w:val="auto"/>
          <w:sz w:val="21"/>
          <w:szCs w:val="21"/>
          <w:highlight w:val="none"/>
        </w:rPr>
        <w:t>附件13.业绩表</w:t>
      </w:r>
      <w:bookmarkEnd w:id="202"/>
    </w:p>
    <w:p w14:paraId="2BC524B2">
      <w:pPr>
        <w:jc w:val="center"/>
        <w:rPr>
          <w:rFonts w:ascii="黑体" w:eastAsia="黑体"/>
          <w:color w:val="auto"/>
          <w:sz w:val="28"/>
          <w:szCs w:val="28"/>
          <w:highlight w:val="none"/>
        </w:rPr>
      </w:pPr>
      <w:r>
        <w:rPr>
          <w:rFonts w:hint="eastAsia" w:ascii="黑体" w:eastAsia="黑体"/>
          <w:color w:val="auto"/>
          <w:sz w:val="28"/>
          <w:szCs w:val="28"/>
          <w:highlight w:val="none"/>
        </w:rPr>
        <w:t>业绩表</w:t>
      </w:r>
    </w:p>
    <w:tbl>
      <w:tblPr>
        <w:tblStyle w:val="3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3"/>
        <w:gridCol w:w="1993"/>
        <w:gridCol w:w="1996"/>
        <w:gridCol w:w="1994"/>
        <w:gridCol w:w="1984"/>
      </w:tblGrid>
      <w:tr w14:paraId="03885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000" w:type="pct"/>
            <w:vAlign w:val="center"/>
          </w:tcPr>
          <w:p w14:paraId="275D96C1">
            <w:pPr>
              <w:adjustRightInd/>
              <w:snapToGrid/>
              <w:jc w:val="center"/>
              <w:rPr>
                <w:rFonts w:ascii="宋体" w:hAnsi="宋体"/>
                <w:color w:val="auto"/>
                <w:szCs w:val="21"/>
                <w:highlight w:val="none"/>
              </w:rPr>
            </w:pPr>
            <w:r>
              <w:rPr>
                <w:rFonts w:hint="eastAsia" w:ascii="宋体" w:hAnsi="宋体"/>
                <w:color w:val="auto"/>
                <w:szCs w:val="21"/>
                <w:highlight w:val="none"/>
              </w:rPr>
              <w:t>序号</w:t>
            </w:r>
          </w:p>
        </w:tc>
        <w:tc>
          <w:tcPr>
            <w:tcW w:w="1000" w:type="pct"/>
            <w:vAlign w:val="center"/>
          </w:tcPr>
          <w:p w14:paraId="564F2AF3">
            <w:pPr>
              <w:adjustRightInd/>
              <w:snapToGrid/>
              <w:jc w:val="center"/>
              <w:rPr>
                <w:rFonts w:ascii="宋体" w:hAnsi="宋体"/>
                <w:color w:val="auto"/>
                <w:szCs w:val="21"/>
                <w:highlight w:val="none"/>
              </w:rPr>
            </w:pPr>
            <w:r>
              <w:rPr>
                <w:rFonts w:hint="eastAsia" w:ascii="宋体" w:hAnsi="宋体"/>
                <w:color w:val="auto"/>
                <w:szCs w:val="21"/>
                <w:highlight w:val="none"/>
              </w:rPr>
              <w:t>项目名称</w:t>
            </w:r>
          </w:p>
        </w:tc>
        <w:tc>
          <w:tcPr>
            <w:tcW w:w="1001" w:type="pct"/>
            <w:vAlign w:val="center"/>
          </w:tcPr>
          <w:p w14:paraId="1982FFE7">
            <w:pPr>
              <w:adjustRightInd/>
              <w:snapToGrid/>
              <w:jc w:val="center"/>
              <w:rPr>
                <w:rFonts w:ascii="宋体" w:hAnsi="宋体"/>
                <w:color w:val="auto"/>
                <w:szCs w:val="21"/>
                <w:highlight w:val="none"/>
              </w:rPr>
            </w:pPr>
            <w:r>
              <w:rPr>
                <w:rFonts w:hint="eastAsia" w:ascii="宋体" w:hAnsi="宋体"/>
                <w:color w:val="auto"/>
                <w:szCs w:val="21"/>
                <w:highlight w:val="none"/>
              </w:rPr>
              <w:t>项目金额</w:t>
            </w:r>
          </w:p>
        </w:tc>
        <w:tc>
          <w:tcPr>
            <w:tcW w:w="1000" w:type="pct"/>
            <w:vAlign w:val="center"/>
          </w:tcPr>
          <w:p w14:paraId="3C2E0093">
            <w:pPr>
              <w:adjustRightInd/>
              <w:snapToGrid/>
              <w:jc w:val="center"/>
              <w:rPr>
                <w:rFonts w:ascii="宋体" w:hAnsi="宋体"/>
                <w:color w:val="auto"/>
                <w:szCs w:val="21"/>
                <w:highlight w:val="none"/>
              </w:rPr>
            </w:pPr>
            <w:r>
              <w:rPr>
                <w:rFonts w:hint="eastAsia" w:ascii="宋体" w:hAnsi="宋体"/>
                <w:color w:val="auto"/>
                <w:szCs w:val="21"/>
                <w:highlight w:val="none"/>
              </w:rPr>
              <w:t>项目合同签订时间</w:t>
            </w:r>
          </w:p>
        </w:tc>
        <w:tc>
          <w:tcPr>
            <w:tcW w:w="995" w:type="pct"/>
            <w:vAlign w:val="center"/>
          </w:tcPr>
          <w:p w14:paraId="797EB4E1">
            <w:pPr>
              <w:adjustRightInd/>
              <w:snapToGrid/>
              <w:jc w:val="center"/>
              <w:rPr>
                <w:rFonts w:ascii="宋体" w:hAnsi="宋体"/>
                <w:color w:val="auto"/>
                <w:szCs w:val="21"/>
                <w:highlight w:val="none"/>
              </w:rPr>
            </w:pPr>
            <w:r>
              <w:rPr>
                <w:rFonts w:hint="eastAsia" w:ascii="宋体" w:hAnsi="宋体"/>
                <w:color w:val="auto"/>
                <w:szCs w:val="21"/>
                <w:highlight w:val="none"/>
              </w:rPr>
              <w:t>备注</w:t>
            </w:r>
          </w:p>
        </w:tc>
      </w:tr>
      <w:tr w14:paraId="2088B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000" w:type="pct"/>
            <w:vAlign w:val="center"/>
          </w:tcPr>
          <w:p w14:paraId="34C3EF46">
            <w:pPr>
              <w:adjustRightInd/>
              <w:snapToGrid/>
              <w:jc w:val="center"/>
              <w:rPr>
                <w:rFonts w:ascii="宋体" w:hAnsi="宋体"/>
                <w:color w:val="auto"/>
                <w:szCs w:val="21"/>
                <w:highlight w:val="none"/>
              </w:rPr>
            </w:pPr>
          </w:p>
        </w:tc>
        <w:tc>
          <w:tcPr>
            <w:tcW w:w="1000" w:type="pct"/>
            <w:vAlign w:val="center"/>
          </w:tcPr>
          <w:p w14:paraId="0A5614CB">
            <w:pPr>
              <w:adjustRightInd/>
              <w:snapToGrid/>
              <w:jc w:val="center"/>
              <w:rPr>
                <w:rFonts w:ascii="宋体" w:hAnsi="宋体"/>
                <w:color w:val="auto"/>
                <w:szCs w:val="21"/>
                <w:highlight w:val="none"/>
              </w:rPr>
            </w:pPr>
          </w:p>
        </w:tc>
        <w:tc>
          <w:tcPr>
            <w:tcW w:w="1001" w:type="pct"/>
            <w:vAlign w:val="center"/>
          </w:tcPr>
          <w:p w14:paraId="520E8CFD">
            <w:pPr>
              <w:adjustRightInd/>
              <w:snapToGrid/>
              <w:jc w:val="center"/>
              <w:rPr>
                <w:rFonts w:ascii="宋体" w:hAnsi="宋体"/>
                <w:color w:val="auto"/>
                <w:szCs w:val="21"/>
                <w:highlight w:val="none"/>
              </w:rPr>
            </w:pPr>
          </w:p>
        </w:tc>
        <w:tc>
          <w:tcPr>
            <w:tcW w:w="1000" w:type="pct"/>
            <w:vAlign w:val="center"/>
          </w:tcPr>
          <w:p w14:paraId="75A15001">
            <w:pPr>
              <w:adjustRightInd/>
              <w:snapToGrid/>
              <w:jc w:val="center"/>
              <w:rPr>
                <w:rFonts w:ascii="宋体" w:hAnsi="宋体"/>
                <w:color w:val="auto"/>
                <w:szCs w:val="21"/>
                <w:highlight w:val="none"/>
              </w:rPr>
            </w:pPr>
          </w:p>
        </w:tc>
        <w:tc>
          <w:tcPr>
            <w:tcW w:w="995" w:type="pct"/>
            <w:vAlign w:val="center"/>
          </w:tcPr>
          <w:p w14:paraId="7EEB5DE7">
            <w:pPr>
              <w:adjustRightInd/>
              <w:snapToGrid/>
              <w:jc w:val="center"/>
              <w:rPr>
                <w:rFonts w:ascii="宋体" w:hAnsi="宋体"/>
                <w:color w:val="auto"/>
                <w:szCs w:val="21"/>
                <w:highlight w:val="none"/>
              </w:rPr>
            </w:pPr>
          </w:p>
        </w:tc>
      </w:tr>
      <w:tr w14:paraId="33CA9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000" w:type="pct"/>
          </w:tcPr>
          <w:p w14:paraId="45448B1E">
            <w:pPr>
              <w:adjustRightInd/>
              <w:snapToGrid/>
              <w:rPr>
                <w:rFonts w:ascii="宋体" w:hAnsi="宋体"/>
                <w:color w:val="auto"/>
                <w:szCs w:val="21"/>
                <w:highlight w:val="none"/>
              </w:rPr>
            </w:pPr>
          </w:p>
        </w:tc>
        <w:tc>
          <w:tcPr>
            <w:tcW w:w="1000" w:type="pct"/>
          </w:tcPr>
          <w:p w14:paraId="79A5485F">
            <w:pPr>
              <w:adjustRightInd/>
              <w:snapToGrid/>
              <w:rPr>
                <w:rFonts w:ascii="宋体" w:hAnsi="宋体"/>
                <w:color w:val="auto"/>
                <w:szCs w:val="21"/>
                <w:highlight w:val="none"/>
              </w:rPr>
            </w:pPr>
          </w:p>
        </w:tc>
        <w:tc>
          <w:tcPr>
            <w:tcW w:w="1001" w:type="pct"/>
          </w:tcPr>
          <w:p w14:paraId="4CBFD660">
            <w:pPr>
              <w:adjustRightInd/>
              <w:snapToGrid/>
              <w:rPr>
                <w:rFonts w:ascii="宋体" w:hAnsi="宋体"/>
                <w:color w:val="auto"/>
                <w:szCs w:val="21"/>
                <w:highlight w:val="none"/>
              </w:rPr>
            </w:pPr>
          </w:p>
        </w:tc>
        <w:tc>
          <w:tcPr>
            <w:tcW w:w="1000" w:type="pct"/>
          </w:tcPr>
          <w:p w14:paraId="42DAA62F">
            <w:pPr>
              <w:adjustRightInd/>
              <w:snapToGrid/>
              <w:rPr>
                <w:rFonts w:ascii="宋体" w:hAnsi="宋体"/>
                <w:color w:val="auto"/>
                <w:szCs w:val="21"/>
                <w:highlight w:val="none"/>
              </w:rPr>
            </w:pPr>
          </w:p>
        </w:tc>
        <w:tc>
          <w:tcPr>
            <w:tcW w:w="995" w:type="pct"/>
          </w:tcPr>
          <w:p w14:paraId="03BA5CA2">
            <w:pPr>
              <w:adjustRightInd/>
              <w:snapToGrid/>
              <w:rPr>
                <w:rFonts w:ascii="宋体" w:hAnsi="宋体"/>
                <w:color w:val="auto"/>
                <w:szCs w:val="21"/>
                <w:highlight w:val="none"/>
              </w:rPr>
            </w:pPr>
          </w:p>
        </w:tc>
      </w:tr>
      <w:tr w14:paraId="6F962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000" w:type="pct"/>
          </w:tcPr>
          <w:p w14:paraId="1F96CA30">
            <w:pPr>
              <w:adjustRightInd/>
              <w:snapToGrid/>
              <w:rPr>
                <w:rFonts w:ascii="宋体" w:hAnsi="宋体"/>
                <w:color w:val="auto"/>
                <w:szCs w:val="21"/>
                <w:highlight w:val="none"/>
              </w:rPr>
            </w:pPr>
          </w:p>
        </w:tc>
        <w:tc>
          <w:tcPr>
            <w:tcW w:w="1000" w:type="pct"/>
          </w:tcPr>
          <w:p w14:paraId="1CBBE6E4">
            <w:pPr>
              <w:adjustRightInd/>
              <w:snapToGrid/>
              <w:rPr>
                <w:rFonts w:ascii="宋体" w:hAnsi="宋体"/>
                <w:color w:val="auto"/>
                <w:szCs w:val="21"/>
                <w:highlight w:val="none"/>
              </w:rPr>
            </w:pPr>
          </w:p>
        </w:tc>
        <w:tc>
          <w:tcPr>
            <w:tcW w:w="1001" w:type="pct"/>
          </w:tcPr>
          <w:p w14:paraId="15DCBB32">
            <w:pPr>
              <w:adjustRightInd/>
              <w:snapToGrid/>
              <w:rPr>
                <w:rFonts w:ascii="宋体" w:hAnsi="宋体"/>
                <w:color w:val="auto"/>
                <w:szCs w:val="21"/>
                <w:highlight w:val="none"/>
              </w:rPr>
            </w:pPr>
          </w:p>
        </w:tc>
        <w:tc>
          <w:tcPr>
            <w:tcW w:w="1000" w:type="pct"/>
          </w:tcPr>
          <w:p w14:paraId="63CFBD3B">
            <w:pPr>
              <w:adjustRightInd/>
              <w:snapToGrid/>
              <w:rPr>
                <w:rFonts w:ascii="宋体" w:hAnsi="宋体"/>
                <w:color w:val="auto"/>
                <w:szCs w:val="21"/>
                <w:highlight w:val="none"/>
              </w:rPr>
            </w:pPr>
          </w:p>
        </w:tc>
        <w:tc>
          <w:tcPr>
            <w:tcW w:w="995" w:type="pct"/>
          </w:tcPr>
          <w:p w14:paraId="47AC2D58">
            <w:pPr>
              <w:adjustRightInd/>
              <w:snapToGrid/>
              <w:rPr>
                <w:rFonts w:ascii="宋体" w:hAnsi="宋体"/>
                <w:color w:val="auto"/>
                <w:szCs w:val="21"/>
                <w:highlight w:val="none"/>
              </w:rPr>
            </w:pPr>
          </w:p>
        </w:tc>
      </w:tr>
      <w:tr w14:paraId="36E07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000" w:type="pct"/>
          </w:tcPr>
          <w:p w14:paraId="7C39E13A">
            <w:pPr>
              <w:adjustRightInd/>
              <w:snapToGrid/>
              <w:rPr>
                <w:rFonts w:ascii="宋体" w:hAnsi="宋体"/>
                <w:color w:val="auto"/>
                <w:szCs w:val="21"/>
                <w:highlight w:val="none"/>
              </w:rPr>
            </w:pPr>
          </w:p>
        </w:tc>
        <w:tc>
          <w:tcPr>
            <w:tcW w:w="1000" w:type="pct"/>
          </w:tcPr>
          <w:p w14:paraId="6FAE74EF">
            <w:pPr>
              <w:adjustRightInd/>
              <w:snapToGrid/>
              <w:rPr>
                <w:rFonts w:ascii="宋体" w:hAnsi="宋体"/>
                <w:color w:val="auto"/>
                <w:szCs w:val="21"/>
                <w:highlight w:val="none"/>
              </w:rPr>
            </w:pPr>
          </w:p>
        </w:tc>
        <w:tc>
          <w:tcPr>
            <w:tcW w:w="1001" w:type="pct"/>
          </w:tcPr>
          <w:p w14:paraId="5A5ED127">
            <w:pPr>
              <w:adjustRightInd/>
              <w:snapToGrid/>
              <w:rPr>
                <w:rFonts w:ascii="宋体" w:hAnsi="宋体"/>
                <w:color w:val="auto"/>
                <w:szCs w:val="21"/>
                <w:highlight w:val="none"/>
              </w:rPr>
            </w:pPr>
          </w:p>
        </w:tc>
        <w:tc>
          <w:tcPr>
            <w:tcW w:w="1000" w:type="pct"/>
          </w:tcPr>
          <w:p w14:paraId="70FD7D8D">
            <w:pPr>
              <w:adjustRightInd/>
              <w:snapToGrid/>
              <w:rPr>
                <w:rFonts w:ascii="宋体" w:hAnsi="宋体"/>
                <w:color w:val="auto"/>
                <w:szCs w:val="21"/>
                <w:highlight w:val="none"/>
              </w:rPr>
            </w:pPr>
          </w:p>
        </w:tc>
        <w:tc>
          <w:tcPr>
            <w:tcW w:w="995" w:type="pct"/>
          </w:tcPr>
          <w:p w14:paraId="4C86BDD7">
            <w:pPr>
              <w:adjustRightInd/>
              <w:snapToGrid/>
              <w:rPr>
                <w:rFonts w:ascii="宋体" w:hAnsi="宋体"/>
                <w:color w:val="auto"/>
                <w:szCs w:val="21"/>
                <w:highlight w:val="none"/>
              </w:rPr>
            </w:pPr>
          </w:p>
        </w:tc>
      </w:tr>
      <w:tr w14:paraId="270C3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000" w:type="pct"/>
          </w:tcPr>
          <w:p w14:paraId="2137F09D">
            <w:pPr>
              <w:adjustRightInd/>
              <w:snapToGrid/>
              <w:rPr>
                <w:rFonts w:ascii="宋体" w:hAnsi="宋体"/>
                <w:color w:val="auto"/>
                <w:szCs w:val="21"/>
                <w:highlight w:val="none"/>
              </w:rPr>
            </w:pPr>
          </w:p>
        </w:tc>
        <w:tc>
          <w:tcPr>
            <w:tcW w:w="1000" w:type="pct"/>
          </w:tcPr>
          <w:p w14:paraId="461989ED">
            <w:pPr>
              <w:adjustRightInd/>
              <w:snapToGrid/>
              <w:rPr>
                <w:rFonts w:ascii="宋体" w:hAnsi="宋体"/>
                <w:color w:val="auto"/>
                <w:szCs w:val="21"/>
                <w:highlight w:val="none"/>
              </w:rPr>
            </w:pPr>
          </w:p>
        </w:tc>
        <w:tc>
          <w:tcPr>
            <w:tcW w:w="1001" w:type="pct"/>
          </w:tcPr>
          <w:p w14:paraId="67147889">
            <w:pPr>
              <w:adjustRightInd/>
              <w:snapToGrid/>
              <w:rPr>
                <w:rFonts w:ascii="宋体" w:hAnsi="宋体"/>
                <w:color w:val="auto"/>
                <w:szCs w:val="21"/>
                <w:highlight w:val="none"/>
              </w:rPr>
            </w:pPr>
          </w:p>
        </w:tc>
        <w:tc>
          <w:tcPr>
            <w:tcW w:w="1000" w:type="pct"/>
          </w:tcPr>
          <w:p w14:paraId="11A534A4">
            <w:pPr>
              <w:adjustRightInd/>
              <w:snapToGrid/>
              <w:rPr>
                <w:rFonts w:ascii="宋体" w:hAnsi="宋体"/>
                <w:color w:val="auto"/>
                <w:szCs w:val="21"/>
                <w:highlight w:val="none"/>
              </w:rPr>
            </w:pPr>
          </w:p>
        </w:tc>
        <w:tc>
          <w:tcPr>
            <w:tcW w:w="995" w:type="pct"/>
          </w:tcPr>
          <w:p w14:paraId="1F67E9E9">
            <w:pPr>
              <w:adjustRightInd/>
              <w:snapToGrid/>
              <w:rPr>
                <w:rFonts w:ascii="宋体" w:hAnsi="宋体"/>
                <w:color w:val="auto"/>
                <w:szCs w:val="21"/>
                <w:highlight w:val="none"/>
              </w:rPr>
            </w:pPr>
          </w:p>
        </w:tc>
      </w:tr>
      <w:tr w14:paraId="03606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000" w:type="pct"/>
          </w:tcPr>
          <w:p w14:paraId="42D43786">
            <w:pPr>
              <w:adjustRightInd/>
              <w:snapToGrid/>
              <w:rPr>
                <w:rFonts w:ascii="宋体" w:hAnsi="宋体"/>
                <w:color w:val="auto"/>
                <w:szCs w:val="21"/>
                <w:highlight w:val="none"/>
              </w:rPr>
            </w:pPr>
          </w:p>
        </w:tc>
        <w:tc>
          <w:tcPr>
            <w:tcW w:w="1000" w:type="pct"/>
          </w:tcPr>
          <w:p w14:paraId="6F293BCD">
            <w:pPr>
              <w:adjustRightInd/>
              <w:snapToGrid/>
              <w:rPr>
                <w:rFonts w:ascii="宋体" w:hAnsi="宋体"/>
                <w:color w:val="auto"/>
                <w:szCs w:val="21"/>
                <w:highlight w:val="none"/>
              </w:rPr>
            </w:pPr>
          </w:p>
        </w:tc>
        <w:tc>
          <w:tcPr>
            <w:tcW w:w="1001" w:type="pct"/>
          </w:tcPr>
          <w:p w14:paraId="02C73EF2">
            <w:pPr>
              <w:adjustRightInd/>
              <w:snapToGrid/>
              <w:rPr>
                <w:rFonts w:ascii="宋体" w:hAnsi="宋体"/>
                <w:color w:val="auto"/>
                <w:szCs w:val="21"/>
                <w:highlight w:val="none"/>
              </w:rPr>
            </w:pPr>
          </w:p>
        </w:tc>
        <w:tc>
          <w:tcPr>
            <w:tcW w:w="1000" w:type="pct"/>
          </w:tcPr>
          <w:p w14:paraId="7D56F79A">
            <w:pPr>
              <w:adjustRightInd/>
              <w:snapToGrid/>
              <w:rPr>
                <w:rFonts w:ascii="宋体" w:hAnsi="宋体"/>
                <w:color w:val="auto"/>
                <w:szCs w:val="21"/>
                <w:highlight w:val="none"/>
              </w:rPr>
            </w:pPr>
          </w:p>
        </w:tc>
        <w:tc>
          <w:tcPr>
            <w:tcW w:w="995" w:type="pct"/>
          </w:tcPr>
          <w:p w14:paraId="029FE423">
            <w:pPr>
              <w:adjustRightInd/>
              <w:snapToGrid/>
              <w:rPr>
                <w:rFonts w:ascii="宋体" w:hAnsi="宋体"/>
                <w:color w:val="auto"/>
                <w:szCs w:val="21"/>
                <w:highlight w:val="none"/>
              </w:rPr>
            </w:pPr>
          </w:p>
        </w:tc>
      </w:tr>
    </w:tbl>
    <w:p w14:paraId="5D1CD2C5">
      <w:pPr>
        <w:pStyle w:val="46"/>
        <w:rPr>
          <w:rFonts w:ascii="宋体" w:hAnsi="宋体"/>
          <w:color w:val="auto"/>
          <w:szCs w:val="21"/>
          <w:highlight w:val="none"/>
        </w:rPr>
      </w:pPr>
    </w:p>
    <w:p w14:paraId="65D24B3D">
      <w:pPr>
        <w:pStyle w:val="46"/>
        <w:rPr>
          <w:rFonts w:ascii="宋体" w:hAnsi="宋体"/>
          <w:color w:val="auto"/>
          <w:szCs w:val="21"/>
          <w:highlight w:val="none"/>
        </w:rPr>
      </w:pPr>
      <w:r>
        <w:rPr>
          <w:rFonts w:hint="eastAsia" w:ascii="宋体" w:hAnsi="宋体"/>
          <w:color w:val="auto"/>
          <w:szCs w:val="21"/>
          <w:highlight w:val="none"/>
        </w:rPr>
        <w:t>注：</w:t>
      </w:r>
    </w:p>
    <w:p w14:paraId="3B492706">
      <w:pPr>
        <w:pStyle w:val="46"/>
        <w:numPr>
          <w:ilvl w:val="0"/>
          <w:numId w:val="12"/>
        </w:numPr>
        <w:rPr>
          <w:rFonts w:ascii="宋体" w:hAnsi="宋体"/>
          <w:color w:val="auto"/>
          <w:szCs w:val="21"/>
          <w:highlight w:val="none"/>
        </w:rPr>
      </w:pPr>
      <w:r>
        <w:rPr>
          <w:rFonts w:hint="eastAsia" w:ascii="宋体" w:hAnsi="宋体"/>
          <w:color w:val="auto"/>
          <w:szCs w:val="21"/>
          <w:highlight w:val="none"/>
        </w:rPr>
        <w:t>该表格为参考格式，投标人可按实际情况自行制订。</w:t>
      </w:r>
    </w:p>
    <w:p w14:paraId="7142D362">
      <w:pPr>
        <w:pStyle w:val="46"/>
        <w:numPr>
          <w:ilvl w:val="0"/>
          <w:numId w:val="12"/>
        </w:numPr>
        <w:rPr>
          <w:rFonts w:ascii="宋体" w:hAnsi="宋体"/>
          <w:color w:val="auto"/>
          <w:szCs w:val="21"/>
          <w:highlight w:val="none"/>
        </w:rPr>
      </w:pPr>
      <w:r>
        <w:rPr>
          <w:rFonts w:hint="eastAsia" w:ascii="宋体" w:hAnsi="宋体"/>
          <w:color w:val="auto"/>
          <w:szCs w:val="21"/>
          <w:highlight w:val="none"/>
        </w:rPr>
        <w:t>业绩表所列出的材料应为真实准确的，并应提供相关证明材料复印件加盖公章。请勿提供虚假、过期材料，否则将依据相关规定严肃处理。</w:t>
      </w:r>
    </w:p>
    <w:p w14:paraId="69A75D5E">
      <w:pPr>
        <w:rPr>
          <w:rFonts w:ascii="宋体" w:hAnsi="宋体"/>
          <w:color w:val="auto"/>
          <w:szCs w:val="21"/>
          <w:highlight w:val="none"/>
        </w:rPr>
      </w:pPr>
      <w:r>
        <w:rPr>
          <w:rFonts w:hint="eastAsia" w:ascii="宋体" w:hAnsi="宋体"/>
          <w:color w:val="auto"/>
          <w:szCs w:val="21"/>
          <w:highlight w:val="none"/>
        </w:rPr>
        <w:br w:type="page"/>
      </w:r>
    </w:p>
    <w:p w14:paraId="460696EC">
      <w:pPr>
        <w:pStyle w:val="5"/>
        <w:widowControl w:val="0"/>
        <w:overflowPunct w:val="0"/>
        <w:spacing w:line="240" w:lineRule="auto"/>
        <w:rPr>
          <w:rFonts w:hint="eastAsia" w:ascii="Tahoma" w:hAnsi="宋体" w:eastAsia="宋体" w:cs="宋体"/>
          <w:b w:val="0"/>
          <w:bCs w:val="0"/>
          <w:color w:val="auto"/>
          <w:spacing w:val="2"/>
          <w:sz w:val="21"/>
          <w:szCs w:val="21"/>
          <w:highlight w:val="none"/>
          <w:u w:val="none"/>
          <w:lang w:val="en-US" w:eastAsia="zh-CN" w:bidi="ar-SA"/>
        </w:rPr>
      </w:pPr>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w:t>
      </w:r>
      <w:r>
        <w:rPr>
          <w:rFonts w:hint="eastAsia" w:ascii="宋体" w:hAnsi="宋体"/>
          <w:color w:val="auto"/>
          <w:sz w:val="21"/>
          <w:szCs w:val="21"/>
          <w:highlight w:val="none"/>
          <w:lang w:val="en-US" w:eastAsia="zh-CN"/>
        </w:rPr>
        <w:t>商务响应格式</w:t>
      </w:r>
    </w:p>
    <w:p w14:paraId="548F9E21">
      <w:pPr>
        <w:pStyle w:val="12"/>
        <w:rPr>
          <w:rFonts w:hint="eastAsia" w:ascii="Tahoma" w:hAnsi="宋体" w:eastAsia="宋体" w:cs="宋体"/>
          <w:b w:val="0"/>
          <w:bCs w:val="0"/>
          <w:color w:val="auto"/>
          <w:spacing w:val="2"/>
          <w:sz w:val="21"/>
          <w:szCs w:val="21"/>
          <w:highlight w:val="none"/>
          <w:u w:val="none"/>
          <w:lang w:val="en-US" w:eastAsia="zh-CN" w:bidi="ar-SA"/>
        </w:rPr>
      </w:pPr>
    </w:p>
    <w:p w14:paraId="216CE041">
      <w:pPr>
        <w:pStyle w:val="12"/>
        <w:ind w:left="120" w:leftChars="0" w:firstLine="517" w:firstLineChars="242"/>
        <w:rPr>
          <w:rFonts w:hint="eastAsia" w:ascii="Tahoma" w:hAnsi="宋体" w:eastAsia="宋体" w:cs="宋体"/>
          <w:b w:val="0"/>
          <w:bCs w:val="0"/>
          <w:color w:val="auto"/>
          <w:spacing w:val="2"/>
          <w:sz w:val="21"/>
          <w:szCs w:val="21"/>
          <w:highlight w:val="none"/>
          <w:u w:val="none"/>
          <w:lang w:val="en-US" w:eastAsia="zh-CN" w:bidi="ar-SA"/>
        </w:rPr>
      </w:pPr>
      <w:r>
        <w:rPr>
          <w:rFonts w:hint="eastAsia" w:ascii="Tahoma" w:hAnsi="宋体" w:eastAsia="宋体" w:cs="宋体"/>
          <w:b w:val="0"/>
          <w:bCs w:val="0"/>
          <w:color w:val="auto"/>
          <w:spacing w:val="2"/>
          <w:sz w:val="21"/>
          <w:szCs w:val="21"/>
          <w:highlight w:val="none"/>
          <w:u w:val="none"/>
          <w:lang w:val="en-US" w:eastAsia="zh-CN" w:bidi="ar-SA"/>
        </w:rPr>
        <w:t>1、体系认证</w:t>
      </w:r>
    </w:p>
    <w:p w14:paraId="0D959BF5">
      <w:pPr>
        <w:pStyle w:val="12"/>
        <w:ind w:left="120" w:leftChars="0" w:firstLine="517" w:firstLineChars="242"/>
        <w:rPr>
          <w:rFonts w:hint="eastAsia" w:ascii="Tahoma" w:hAnsi="宋体" w:eastAsia="宋体" w:cs="宋体"/>
          <w:b w:val="0"/>
          <w:bCs w:val="0"/>
          <w:color w:val="auto"/>
          <w:spacing w:val="2"/>
          <w:sz w:val="21"/>
          <w:szCs w:val="21"/>
          <w:highlight w:val="none"/>
          <w:u w:val="none"/>
          <w:lang w:val="en-US" w:eastAsia="zh-CN" w:bidi="ar-SA"/>
        </w:rPr>
      </w:pPr>
      <w:r>
        <w:rPr>
          <w:rFonts w:hint="eastAsia" w:ascii="Tahoma" w:hAnsi="宋体" w:eastAsia="宋体" w:cs="宋体"/>
          <w:b w:val="0"/>
          <w:bCs w:val="0"/>
          <w:color w:val="auto"/>
          <w:spacing w:val="2"/>
          <w:sz w:val="21"/>
          <w:szCs w:val="21"/>
          <w:highlight w:val="none"/>
          <w:u w:val="none"/>
          <w:lang w:val="en-US" w:eastAsia="zh-CN" w:bidi="ar-SA"/>
        </w:rPr>
        <w:t>2、财务状况</w:t>
      </w:r>
    </w:p>
    <w:p w14:paraId="07AC82AD">
      <w:pPr>
        <w:pStyle w:val="12"/>
        <w:ind w:left="120" w:leftChars="0" w:firstLine="517" w:firstLineChars="242"/>
        <w:rPr>
          <w:rFonts w:hint="eastAsia" w:ascii="Tahoma" w:hAnsi="宋体" w:eastAsia="宋体" w:cs="宋体"/>
          <w:b w:val="0"/>
          <w:bCs w:val="0"/>
          <w:color w:val="auto"/>
          <w:spacing w:val="2"/>
          <w:sz w:val="21"/>
          <w:szCs w:val="21"/>
          <w:highlight w:val="none"/>
          <w:u w:val="none"/>
          <w:lang w:val="en-US" w:eastAsia="zh-CN" w:bidi="ar-SA"/>
        </w:rPr>
      </w:pPr>
      <w:r>
        <w:rPr>
          <w:rFonts w:hint="eastAsia" w:ascii="Tahoma" w:hAnsi="宋体" w:eastAsia="宋体" w:cs="宋体"/>
          <w:b w:val="0"/>
          <w:bCs w:val="0"/>
          <w:color w:val="auto"/>
          <w:spacing w:val="2"/>
          <w:sz w:val="21"/>
          <w:szCs w:val="21"/>
          <w:highlight w:val="none"/>
          <w:u w:val="none"/>
          <w:lang w:val="en-US" w:eastAsia="zh-CN" w:bidi="ar-SA"/>
        </w:rPr>
        <w:t>3、人员要求</w:t>
      </w:r>
    </w:p>
    <w:p w14:paraId="679CB7A4">
      <w:pPr>
        <w:pStyle w:val="12"/>
        <w:ind w:left="120" w:leftChars="0" w:firstLine="517" w:firstLineChars="242"/>
        <w:rPr>
          <w:rFonts w:hint="eastAsia" w:ascii="Tahoma" w:hAnsi="宋体" w:eastAsia="宋体" w:cs="宋体"/>
          <w:b w:val="0"/>
          <w:bCs w:val="0"/>
          <w:color w:val="auto"/>
          <w:spacing w:val="2"/>
          <w:sz w:val="21"/>
          <w:szCs w:val="21"/>
          <w:highlight w:val="none"/>
          <w:u w:val="none"/>
          <w:lang w:val="en-US" w:eastAsia="zh-CN" w:bidi="ar-SA"/>
        </w:rPr>
      </w:pPr>
      <w:r>
        <w:rPr>
          <w:rFonts w:hint="eastAsia" w:ascii="Tahoma" w:hAnsi="宋体" w:eastAsia="宋体" w:cs="宋体"/>
          <w:b w:val="0"/>
          <w:bCs w:val="0"/>
          <w:color w:val="auto"/>
          <w:spacing w:val="2"/>
          <w:sz w:val="21"/>
          <w:szCs w:val="21"/>
          <w:highlight w:val="none"/>
          <w:u w:val="none"/>
          <w:lang w:val="en-US" w:eastAsia="zh-CN" w:bidi="ar-SA"/>
        </w:rPr>
        <w:t>4、企业信誉</w:t>
      </w:r>
    </w:p>
    <w:p w14:paraId="7866C1FC">
      <w:pPr>
        <w:pStyle w:val="12"/>
        <w:ind w:left="120" w:leftChars="0" w:firstLine="517" w:firstLineChars="242"/>
        <w:rPr>
          <w:rFonts w:hint="eastAsia" w:ascii="Tahoma" w:hAnsi="宋体" w:eastAsia="宋体" w:cs="宋体"/>
          <w:b w:val="0"/>
          <w:bCs w:val="0"/>
          <w:color w:val="auto"/>
          <w:spacing w:val="2"/>
          <w:sz w:val="21"/>
          <w:szCs w:val="21"/>
          <w:highlight w:val="none"/>
          <w:u w:val="none"/>
          <w:lang w:val="en-US" w:eastAsia="zh-CN" w:bidi="ar-SA"/>
        </w:rPr>
      </w:pPr>
      <w:r>
        <w:rPr>
          <w:rFonts w:hint="eastAsia" w:ascii="Tahoma" w:hAnsi="宋体" w:eastAsia="宋体" w:cs="宋体"/>
          <w:b w:val="0"/>
          <w:bCs w:val="0"/>
          <w:color w:val="auto"/>
          <w:spacing w:val="2"/>
          <w:sz w:val="21"/>
          <w:szCs w:val="21"/>
          <w:highlight w:val="none"/>
          <w:u w:val="none"/>
          <w:lang w:val="en-US" w:eastAsia="zh-CN" w:bidi="ar-SA"/>
        </w:rPr>
        <w:t>5、服务便利性</w:t>
      </w:r>
    </w:p>
    <w:p w14:paraId="07A46A87">
      <w:pPr>
        <w:pStyle w:val="12"/>
        <w:ind w:left="120" w:leftChars="0" w:firstLine="517" w:firstLineChars="242"/>
        <w:rPr>
          <w:rFonts w:hint="eastAsia" w:ascii="Tahoma" w:hAnsi="宋体" w:eastAsia="宋体" w:cs="宋体"/>
          <w:b w:val="0"/>
          <w:bCs w:val="0"/>
          <w:color w:val="auto"/>
          <w:spacing w:val="2"/>
          <w:sz w:val="21"/>
          <w:szCs w:val="21"/>
          <w:highlight w:val="none"/>
          <w:u w:val="none"/>
          <w:lang w:val="en-US" w:eastAsia="zh-CN" w:bidi="ar-SA"/>
        </w:rPr>
      </w:pPr>
    </w:p>
    <w:p w14:paraId="6DACEEA8">
      <w:pPr>
        <w:pStyle w:val="12"/>
        <w:ind w:left="120" w:leftChars="0" w:firstLine="517" w:firstLineChars="242"/>
        <w:jc w:val="center"/>
        <w:rPr>
          <w:rFonts w:hint="eastAsia" w:ascii="Tahoma" w:hAnsi="宋体" w:eastAsia="宋体" w:cs="宋体"/>
          <w:b w:val="0"/>
          <w:bCs w:val="0"/>
          <w:color w:val="auto"/>
          <w:spacing w:val="2"/>
          <w:sz w:val="21"/>
          <w:szCs w:val="21"/>
          <w:highlight w:val="none"/>
          <w:u w:val="none"/>
          <w:lang w:val="en-US" w:eastAsia="zh-CN" w:bidi="ar-SA"/>
        </w:rPr>
      </w:pPr>
      <w:r>
        <w:rPr>
          <w:rFonts w:hint="eastAsia" w:ascii="Tahoma" w:hAnsi="宋体" w:eastAsia="宋体" w:cs="宋体"/>
          <w:b w:val="0"/>
          <w:bCs w:val="0"/>
          <w:color w:val="auto"/>
          <w:spacing w:val="2"/>
          <w:sz w:val="21"/>
          <w:szCs w:val="21"/>
          <w:highlight w:val="none"/>
          <w:u w:val="none"/>
          <w:lang w:val="en-US" w:eastAsia="zh-CN" w:bidi="ar-SA"/>
        </w:rPr>
        <w:t>（由投标人自行编写）</w:t>
      </w:r>
    </w:p>
    <w:p w14:paraId="0F325B00">
      <w:pPr>
        <w:pStyle w:val="12"/>
        <w:ind w:left="120" w:leftChars="0" w:firstLine="580" w:firstLineChars="242"/>
        <w:rPr>
          <w:rFonts w:hint="eastAsia" w:ascii="宋体" w:hAnsi="宋体"/>
          <w:color w:val="auto"/>
          <w:szCs w:val="21"/>
          <w:highlight w:val="none"/>
          <w:lang w:eastAsia="zh-CN"/>
        </w:rPr>
      </w:pPr>
    </w:p>
    <w:p w14:paraId="21278344">
      <w:pPr>
        <w:pStyle w:val="12"/>
        <w:ind w:left="120" w:leftChars="0" w:firstLine="580" w:firstLineChars="242"/>
        <w:rPr>
          <w:rFonts w:hint="default" w:ascii="宋体" w:hAnsi="宋体"/>
          <w:color w:val="auto"/>
          <w:szCs w:val="21"/>
          <w:highlight w:val="none"/>
          <w:lang w:val="en-US" w:eastAsia="zh-CN"/>
        </w:rPr>
      </w:pPr>
    </w:p>
    <w:p w14:paraId="39620362">
      <w:pPr>
        <w:rPr>
          <w:color w:val="auto"/>
          <w:szCs w:val="21"/>
          <w:highlight w:val="none"/>
        </w:rPr>
      </w:pPr>
      <w:r>
        <w:rPr>
          <w:color w:val="auto"/>
          <w:szCs w:val="21"/>
          <w:highlight w:val="none"/>
        </w:rPr>
        <w:br w:type="page"/>
      </w:r>
    </w:p>
    <w:p w14:paraId="1244187D">
      <w:pPr>
        <w:rPr>
          <w:color w:val="auto"/>
          <w:szCs w:val="21"/>
          <w:highlight w:val="none"/>
        </w:rPr>
      </w:pPr>
    </w:p>
    <w:p w14:paraId="2F93D389">
      <w:pPr>
        <w:pStyle w:val="3"/>
        <w:spacing w:before="0" w:after="0" w:line="360" w:lineRule="auto"/>
        <w:jc w:val="center"/>
        <w:rPr>
          <w:color w:val="auto"/>
          <w:sz w:val="72"/>
          <w:szCs w:val="72"/>
          <w:highlight w:val="none"/>
        </w:rPr>
      </w:pPr>
      <w:bookmarkStart w:id="203" w:name="_Toc26073"/>
      <w:r>
        <w:rPr>
          <w:rFonts w:hint="eastAsia"/>
          <w:color w:val="auto"/>
          <w:sz w:val="72"/>
          <w:szCs w:val="72"/>
          <w:highlight w:val="none"/>
        </w:rPr>
        <w:t>技术文件</w:t>
      </w:r>
      <w:bookmarkEnd w:id="203"/>
    </w:p>
    <w:p w14:paraId="7DCB6B4E">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7157D2F5">
      <w:pPr>
        <w:rPr>
          <w:color w:val="auto"/>
          <w:highlight w:val="none"/>
        </w:rPr>
      </w:pPr>
    </w:p>
    <w:p w14:paraId="464033E2">
      <w:pPr>
        <w:pStyle w:val="12"/>
        <w:rPr>
          <w:color w:val="auto"/>
          <w:highlight w:val="none"/>
        </w:rPr>
      </w:pPr>
    </w:p>
    <w:p w14:paraId="19EAB4A3">
      <w:pPr>
        <w:ind w:firstLine="240"/>
        <w:rPr>
          <w:color w:val="auto"/>
          <w:highlight w:val="none"/>
        </w:rPr>
      </w:pPr>
    </w:p>
    <w:tbl>
      <w:tblPr>
        <w:tblStyle w:val="33"/>
        <w:tblW w:w="2341" w:type="pct"/>
        <w:tblInd w:w="26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64"/>
      </w:tblGrid>
      <w:tr w14:paraId="61524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nil"/>
              <w:left w:val="nil"/>
              <w:bottom w:val="nil"/>
              <w:right w:val="nil"/>
            </w:tcBorders>
          </w:tcPr>
          <w:p w14:paraId="3F84EDED">
            <w:pPr>
              <w:keepNext w:val="0"/>
              <w:keepLines w:val="0"/>
              <w:pageBreakBefore w:val="0"/>
              <w:widowControl/>
              <w:kinsoku/>
              <w:wordWrap/>
              <w:overflowPunct/>
              <w:topLinePunct w:val="0"/>
              <w:autoSpaceDE/>
              <w:autoSpaceDN/>
              <w:bidi w:val="0"/>
              <w:adjustRightInd w:val="0"/>
              <w:snapToGrid w:val="0"/>
              <w:textAlignment w:val="auto"/>
              <w:rPr>
                <w:rFonts w:ascii="宋体" w:hAnsi="宋体" w:cs="宋体"/>
                <w:b/>
                <w:bCs/>
                <w:color w:val="auto"/>
                <w:spacing w:val="-6"/>
                <w:sz w:val="32"/>
                <w:szCs w:val="32"/>
                <w:highlight w:val="none"/>
                <w:vertAlign w:val="baseline"/>
              </w:rPr>
            </w:pPr>
            <w:r>
              <w:rPr>
                <w:rFonts w:hint="eastAsia" w:ascii="宋体" w:hAnsi="宋体" w:cs="宋体"/>
                <w:b/>
                <w:bCs/>
                <w:color w:val="auto"/>
                <w:spacing w:val="53"/>
                <w:kern w:val="0"/>
                <w:sz w:val="32"/>
                <w:szCs w:val="32"/>
                <w:highlight w:val="none"/>
                <w:fitText w:val="1600" w:id="172688047"/>
              </w:rPr>
              <w:t>项目名</w:t>
            </w:r>
            <w:r>
              <w:rPr>
                <w:rFonts w:hint="eastAsia" w:ascii="宋体" w:hAnsi="宋体" w:cs="宋体"/>
                <w:b/>
                <w:bCs/>
                <w:color w:val="auto"/>
                <w:spacing w:val="1"/>
                <w:kern w:val="0"/>
                <w:sz w:val="32"/>
                <w:szCs w:val="32"/>
                <w:highlight w:val="none"/>
                <w:fitText w:val="1600" w:id="172688047"/>
              </w:rPr>
              <w:t>称</w:t>
            </w:r>
            <w:r>
              <w:rPr>
                <w:rFonts w:hint="eastAsia" w:ascii="宋体" w:hAnsi="宋体" w:cs="宋体"/>
                <w:b/>
                <w:bCs/>
                <w:color w:val="auto"/>
                <w:spacing w:val="-6"/>
                <w:sz w:val="32"/>
                <w:szCs w:val="32"/>
                <w:highlight w:val="none"/>
              </w:rPr>
              <w:t>：</w:t>
            </w:r>
          </w:p>
        </w:tc>
      </w:tr>
      <w:tr w14:paraId="3A35B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nil"/>
              <w:left w:val="nil"/>
              <w:bottom w:val="nil"/>
              <w:right w:val="nil"/>
            </w:tcBorders>
          </w:tcPr>
          <w:p w14:paraId="5D9A3401">
            <w:pPr>
              <w:keepNext w:val="0"/>
              <w:keepLines w:val="0"/>
              <w:pageBreakBefore w:val="0"/>
              <w:widowControl/>
              <w:kinsoku/>
              <w:wordWrap/>
              <w:overflowPunct/>
              <w:topLinePunct w:val="0"/>
              <w:autoSpaceDE/>
              <w:autoSpaceDN/>
              <w:bidi w:val="0"/>
              <w:adjustRightInd w:val="0"/>
              <w:snapToGrid w:val="0"/>
              <w:ind w:left="2564" w:hanging="2564" w:hangingChars="600"/>
              <w:textAlignment w:val="auto"/>
              <w:rPr>
                <w:rFonts w:ascii="宋体" w:hAnsi="宋体" w:cs="宋体"/>
                <w:b/>
                <w:bCs/>
                <w:color w:val="auto"/>
                <w:spacing w:val="-6"/>
                <w:sz w:val="32"/>
                <w:szCs w:val="32"/>
                <w:highlight w:val="none"/>
                <w:vertAlign w:val="baseline"/>
              </w:rPr>
            </w:pPr>
            <w:r>
              <w:rPr>
                <w:rFonts w:hint="eastAsia" w:ascii="宋体" w:hAnsi="宋体" w:cs="宋体"/>
                <w:b/>
                <w:bCs/>
                <w:color w:val="auto"/>
                <w:spacing w:val="53"/>
                <w:kern w:val="0"/>
                <w:sz w:val="32"/>
                <w:szCs w:val="32"/>
                <w:highlight w:val="none"/>
                <w:fitText w:val="1600" w:id="894332092"/>
              </w:rPr>
              <w:t>项目编</w:t>
            </w:r>
            <w:r>
              <w:rPr>
                <w:rFonts w:hint="eastAsia" w:ascii="宋体" w:hAnsi="宋体" w:cs="宋体"/>
                <w:b/>
                <w:bCs/>
                <w:color w:val="auto"/>
                <w:spacing w:val="1"/>
                <w:kern w:val="0"/>
                <w:sz w:val="32"/>
                <w:szCs w:val="32"/>
                <w:highlight w:val="none"/>
                <w:fitText w:val="1600" w:id="894332092"/>
              </w:rPr>
              <w:t>号</w:t>
            </w:r>
            <w:r>
              <w:rPr>
                <w:rFonts w:hint="eastAsia" w:ascii="宋体" w:hAnsi="宋体" w:cs="宋体"/>
                <w:b/>
                <w:bCs/>
                <w:color w:val="auto"/>
                <w:sz w:val="32"/>
                <w:szCs w:val="32"/>
                <w:highlight w:val="none"/>
              </w:rPr>
              <w:t>：</w:t>
            </w:r>
          </w:p>
        </w:tc>
      </w:tr>
      <w:tr w14:paraId="2CF34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nil"/>
              <w:left w:val="nil"/>
              <w:bottom w:val="nil"/>
              <w:right w:val="nil"/>
            </w:tcBorders>
          </w:tcPr>
          <w:p w14:paraId="3FCAEEDA">
            <w:pPr>
              <w:pStyle w:val="12"/>
              <w:keepNext w:val="0"/>
              <w:keepLines w:val="0"/>
              <w:pageBreakBefore w:val="0"/>
              <w:widowControl/>
              <w:kinsoku/>
              <w:wordWrap/>
              <w:overflowPunct/>
              <w:topLinePunct w:val="0"/>
              <w:autoSpaceDE/>
              <w:autoSpaceDN/>
              <w:bidi w:val="0"/>
              <w:adjustRightInd w:val="0"/>
              <w:snapToGrid w:val="0"/>
              <w:ind w:left="2564" w:hanging="3200" w:hangingChars="600"/>
              <w:textAlignment w:val="auto"/>
              <w:rPr>
                <w:rFonts w:ascii="宋体" w:hAnsi="宋体" w:cs="宋体"/>
                <w:b/>
                <w:bCs/>
                <w:color w:val="auto"/>
                <w:spacing w:val="-6"/>
                <w:sz w:val="32"/>
                <w:szCs w:val="32"/>
                <w:highlight w:val="none"/>
                <w:vertAlign w:val="baseline"/>
              </w:rPr>
            </w:pPr>
            <w:r>
              <w:rPr>
                <w:b/>
                <w:color w:val="auto"/>
                <w:spacing w:val="106"/>
                <w:sz w:val="32"/>
                <w:szCs w:val="32"/>
                <w:highlight w:val="none"/>
                <w:lang w:val="en-US" w:bidi="ar-SA"/>
              </w:rPr>
              <w:t>包组号（如有）：</w:t>
            </w:r>
          </w:p>
        </w:tc>
      </w:tr>
      <w:tr w14:paraId="35DE7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nil"/>
              <w:left w:val="nil"/>
              <w:bottom w:val="nil"/>
              <w:right w:val="nil"/>
            </w:tcBorders>
          </w:tcPr>
          <w:p w14:paraId="1E009148">
            <w:pPr>
              <w:keepNext w:val="0"/>
              <w:keepLines w:val="0"/>
              <w:pageBreakBefore w:val="0"/>
              <w:widowControl/>
              <w:kinsoku/>
              <w:wordWrap/>
              <w:overflowPunct/>
              <w:topLinePunct w:val="0"/>
              <w:autoSpaceDE/>
              <w:autoSpaceDN/>
              <w:bidi w:val="0"/>
              <w:adjustRightInd w:val="0"/>
              <w:snapToGrid w:val="0"/>
              <w:ind w:left="2564" w:hanging="1928" w:hangingChars="600"/>
              <w:textAlignment w:val="auto"/>
              <w:rPr>
                <w:rFonts w:ascii="宋体" w:hAnsi="宋体" w:cs="宋体"/>
                <w:b/>
                <w:bCs/>
                <w:color w:val="auto"/>
                <w:spacing w:val="-6"/>
                <w:sz w:val="32"/>
                <w:szCs w:val="32"/>
                <w:highlight w:val="none"/>
                <w:vertAlign w:val="baseline"/>
              </w:rPr>
            </w:pPr>
            <w:r>
              <w:rPr>
                <w:rFonts w:hint="eastAsia" w:ascii="宋体" w:hAnsi="宋体" w:cs="宋体"/>
                <w:b/>
                <w:color w:val="auto"/>
                <w:spacing w:val="0"/>
                <w:kern w:val="0"/>
                <w:sz w:val="32"/>
                <w:szCs w:val="32"/>
                <w:highlight w:val="none"/>
                <w:fitText w:val="1600" w:id="1337800916"/>
              </w:rPr>
              <w:t>投标人名称</w:t>
            </w:r>
            <w:r>
              <w:rPr>
                <w:rFonts w:hint="eastAsia" w:ascii="宋体" w:hAnsi="宋体" w:cs="宋体"/>
                <w:b/>
                <w:color w:val="auto"/>
                <w:sz w:val="32"/>
                <w:szCs w:val="32"/>
                <w:highlight w:val="none"/>
              </w:rPr>
              <w:t>：</w:t>
            </w:r>
          </w:p>
        </w:tc>
      </w:tr>
      <w:tr w14:paraId="25366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nil"/>
              <w:left w:val="nil"/>
              <w:bottom w:val="nil"/>
              <w:right w:val="nil"/>
            </w:tcBorders>
          </w:tcPr>
          <w:p w14:paraId="050DEB54">
            <w:pPr>
              <w:keepNext w:val="0"/>
              <w:keepLines w:val="0"/>
              <w:pageBreakBefore w:val="0"/>
              <w:widowControl/>
              <w:kinsoku/>
              <w:wordWrap/>
              <w:overflowPunct/>
              <w:topLinePunct w:val="0"/>
              <w:autoSpaceDE/>
              <w:autoSpaceDN/>
              <w:bidi w:val="0"/>
              <w:adjustRightInd w:val="0"/>
              <w:snapToGrid w:val="0"/>
              <w:ind w:left="2564" w:hanging="7688" w:hangingChars="600"/>
              <w:textAlignment w:val="auto"/>
              <w:rPr>
                <w:rFonts w:ascii="宋体" w:hAnsi="宋体" w:cs="宋体"/>
                <w:b/>
                <w:bCs/>
                <w:color w:val="auto"/>
                <w:spacing w:val="-6"/>
                <w:sz w:val="32"/>
                <w:szCs w:val="32"/>
                <w:highlight w:val="none"/>
                <w:vertAlign w:val="baseline"/>
              </w:rPr>
            </w:pPr>
            <w:r>
              <w:rPr>
                <w:rFonts w:hint="eastAsia" w:ascii="宋体" w:hAnsi="宋体" w:cs="宋体"/>
                <w:b/>
                <w:color w:val="auto"/>
                <w:spacing w:val="480"/>
                <w:kern w:val="0"/>
                <w:sz w:val="32"/>
                <w:szCs w:val="32"/>
                <w:highlight w:val="none"/>
                <w:fitText w:val="1600" w:id="1809464069"/>
              </w:rPr>
              <w:t>日</w:t>
            </w:r>
            <w:r>
              <w:rPr>
                <w:rFonts w:hint="eastAsia" w:ascii="宋体" w:hAnsi="宋体" w:cs="宋体"/>
                <w:b/>
                <w:color w:val="auto"/>
                <w:spacing w:val="0"/>
                <w:kern w:val="0"/>
                <w:sz w:val="32"/>
                <w:szCs w:val="32"/>
                <w:highlight w:val="none"/>
                <w:fitText w:val="1600" w:id="1809464069"/>
              </w:rPr>
              <w:t>期</w:t>
            </w:r>
            <w:r>
              <w:rPr>
                <w:rFonts w:hint="eastAsia" w:ascii="宋体" w:hAnsi="宋体" w:cs="宋体"/>
                <w:b/>
                <w:color w:val="auto"/>
                <w:sz w:val="32"/>
                <w:szCs w:val="32"/>
                <w:highlight w:val="none"/>
              </w:rPr>
              <w:t>：</w:t>
            </w:r>
          </w:p>
        </w:tc>
      </w:tr>
    </w:tbl>
    <w:p w14:paraId="5B7C2369">
      <w:pPr>
        <w:rPr>
          <w:rFonts w:ascii="宋体" w:hAnsi="宋体"/>
          <w:color w:val="auto"/>
          <w:szCs w:val="21"/>
          <w:highlight w:val="none"/>
        </w:rPr>
      </w:pPr>
      <w:r>
        <w:rPr>
          <w:rFonts w:hint="eastAsia" w:ascii="宋体" w:hAnsi="宋体"/>
          <w:color w:val="auto"/>
          <w:szCs w:val="21"/>
          <w:highlight w:val="none"/>
        </w:rPr>
        <w:br w:type="page"/>
      </w:r>
    </w:p>
    <w:p w14:paraId="07517FF2">
      <w:pPr>
        <w:pStyle w:val="5"/>
        <w:widowControl w:val="0"/>
        <w:overflowPunct w:val="0"/>
        <w:spacing w:line="240" w:lineRule="auto"/>
        <w:rPr>
          <w:rFonts w:ascii="宋体" w:hAnsi="宋体"/>
          <w:color w:val="auto"/>
          <w:sz w:val="21"/>
          <w:szCs w:val="21"/>
          <w:highlight w:val="none"/>
        </w:rPr>
      </w:pPr>
      <w:bookmarkStart w:id="204" w:name="_Toc27667"/>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5</w:t>
      </w:r>
      <w:r>
        <w:rPr>
          <w:rFonts w:hint="eastAsia" w:ascii="宋体" w:hAnsi="宋体"/>
          <w:color w:val="auto"/>
          <w:sz w:val="21"/>
          <w:szCs w:val="21"/>
          <w:highlight w:val="none"/>
        </w:rPr>
        <w:t>.技术规格偏离表格式</w:t>
      </w:r>
      <w:bookmarkEnd w:id="204"/>
    </w:p>
    <w:p w14:paraId="06D39130">
      <w:pPr>
        <w:jc w:val="center"/>
        <w:rPr>
          <w:rFonts w:ascii="黑体" w:eastAsia="黑体"/>
          <w:color w:val="auto"/>
          <w:sz w:val="28"/>
          <w:szCs w:val="28"/>
          <w:highlight w:val="none"/>
        </w:rPr>
      </w:pPr>
    </w:p>
    <w:p w14:paraId="4E54C731">
      <w:pPr>
        <w:jc w:val="center"/>
        <w:rPr>
          <w:rFonts w:ascii="黑体" w:eastAsia="黑体"/>
          <w:color w:val="auto"/>
          <w:sz w:val="28"/>
          <w:szCs w:val="28"/>
          <w:highlight w:val="none"/>
        </w:rPr>
      </w:pPr>
      <w:r>
        <w:rPr>
          <w:rFonts w:hint="eastAsia" w:ascii="黑体" w:eastAsia="黑体"/>
          <w:color w:val="auto"/>
          <w:sz w:val="28"/>
          <w:szCs w:val="28"/>
          <w:highlight w:val="none"/>
        </w:rPr>
        <w:t>技术规格偏离表</w:t>
      </w:r>
    </w:p>
    <w:tbl>
      <w:tblPr>
        <w:tblStyle w:val="3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8"/>
        <w:gridCol w:w="2224"/>
        <w:gridCol w:w="1601"/>
        <w:gridCol w:w="1904"/>
        <w:gridCol w:w="1447"/>
        <w:gridCol w:w="1804"/>
      </w:tblGrid>
      <w:tr w14:paraId="74143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491" w:type="pct"/>
            <w:vAlign w:val="center"/>
          </w:tcPr>
          <w:p w14:paraId="79121AB2">
            <w:pPr>
              <w:jc w:val="center"/>
              <w:rPr>
                <w:rFonts w:ascii="宋体" w:hAnsi="宋体"/>
                <w:color w:val="auto"/>
                <w:szCs w:val="21"/>
                <w:highlight w:val="none"/>
              </w:rPr>
            </w:pPr>
            <w:r>
              <w:rPr>
                <w:rFonts w:hint="eastAsia" w:ascii="宋体" w:hAnsi="宋体"/>
                <w:color w:val="auto"/>
                <w:szCs w:val="21"/>
                <w:highlight w:val="none"/>
              </w:rPr>
              <w:t>序号</w:t>
            </w:r>
          </w:p>
        </w:tc>
        <w:tc>
          <w:tcPr>
            <w:tcW w:w="1116" w:type="pct"/>
            <w:vAlign w:val="center"/>
          </w:tcPr>
          <w:p w14:paraId="15CB3B80">
            <w:pPr>
              <w:jc w:val="center"/>
              <w:rPr>
                <w:rFonts w:ascii="宋体" w:hAnsi="宋体"/>
                <w:color w:val="auto"/>
                <w:szCs w:val="21"/>
                <w:highlight w:val="none"/>
              </w:rPr>
            </w:pPr>
            <w:r>
              <w:rPr>
                <w:rFonts w:hint="eastAsia" w:ascii="宋体" w:hAnsi="宋体"/>
                <w:color w:val="auto"/>
                <w:szCs w:val="21"/>
                <w:highlight w:val="none"/>
              </w:rPr>
              <w:t>服务项目名称</w:t>
            </w:r>
          </w:p>
        </w:tc>
        <w:tc>
          <w:tcPr>
            <w:tcW w:w="803" w:type="pct"/>
            <w:vAlign w:val="center"/>
          </w:tcPr>
          <w:p w14:paraId="5EFF3422">
            <w:pPr>
              <w:jc w:val="center"/>
              <w:rPr>
                <w:rFonts w:ascii="宋体" w:hAnsi="宋体"/>
                <w:color w:val="auto"/>
                <w:szCs w:val="21"/>
                <w:highlight w:val="none"/>
              </w:rPr>
            </w:pPr>
            <w:r>
              <w:rPr>
                <w:rFonts w:hint="eastAsia" w:ascii="宋体" w:hAnsi="宋体"/>
                <w:color w:val="auto"/>
                <w:szCs w:val="21"/>
                <w:highlight w:val="none"/>
              </w:rPr>
              <w:t>采购要求</w:t>
            </w:r>
          </w:p>
        </w:tc>
        <w:tc>
          <w:tcPr>
            <w:tcW w:w="955" w:type="pct"/>
            <w:vAlign w:val="center"/>
          </w:tcPr>
          <w:p w14:paraId="1BD5BCAC">
            <w:pPr>
              <w:jc w:val="center"/>
              <w:rPr>
                <w:rFonts w:ascii="宋体" w:hAnsi="宋体"/>
                <w:color w:val="auto"/>
                <w:szCs w:val="21"/>
                <w:highlight w:val="none"/>
              </w:rPr>
            </w:pPr>
            <w:r>
              <w:rPr>
                <w:rFonts w:hint="eastAsia" w:ascii="宋体" w:hAnsi="宋体"/>
                <w:color w:val="auto"/>
                <w:szCs w:val="21"/>
                <w:highlight w:val="none"/>
              </w:rPr>
              <w:t>投标实际响应</w:t>
            </w:r>
          </w:p>
        </w:tc>
        <w:tc>
          <w:tcPr>
            <w:tcW w:w="726" w:type="pct"/>
            <w:vAlign w:val="center"/>
          </w:tcPr>
          <w:p w14:paraId="4057D7B5">
            <w:pPr>
              <w:jc w:val="center"/>
              <w:rPr>
                <w:rFonts w:ascii="宋体" w:hAnsi="宋体"/>
                <w:color w:val="auto"/>
                <w:szCs w:val="21"/>
                <w:highlight w:val="none"/>
              </w:rPr>
            </w:pPr>
            <w:r>
              <w:rPr>
                <w:rFonts w:hint="eastAsia" w:ascii="宋体" w:hAnsi="宋体"/>
                <w:color w:val="auto"/>
                <w:szCs w:val="21"/>
                <w:highlight w:val="none"/>
              </w:rPr>
              <w:t>是否偏离</w:t>
            </w:r>
          </w:p>
        </w:tc>
        <w:tc>
          <w:tcPr>
            <w:tcW w:w="905" w:type="pct"/>
            <w:vAlign w:val="center"/>
          </w:tcPr>
          <w:p w14:paraId="7159B3DF">
            <w:pPr>
              <w:jc w:val="center"/>
              <w:rPr>
                <w:rFonts w:ascii="宋体" w:hAnsi="宋体"/>
                <w:color w:val="auto"/>
                <w:szCs w:val="21"/>
                <w:highlight w:val="none"/>
              </w:rPr>
            </w:pPr>
            <w:r>
              <w:rPr>
                <w:rFonts w:hint="eastAsia" w:ascii="宋体" w:hAnsi="宋体"/>
                <w:color w:val="auto"/>
                <w:szCs w:val="21"/>
                <w:highlight w:val="none"/>
              </w:rPr>
              <w:t>说明</w:t>
            </w:r>
          </w:p>
        </w:tc>
      </w:tr>
      <w:tr w14:paraId="0B0A6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1" w:type="pct"/>
            <w:vAlign w:val="center"/>
          </w:tcPr>
          <w:p w14:paraId="0A505D76">
            <w:pPr>
              <w:jc w:val="center"/>
              <w:rPr>
                <w:rFonts w:ascii="宋体" w:hAnsi="宋体"/>
                <w:color w:val="auto"/>
                <w:szCs w:val="21"/>
                <w:highlight w:val="none"/>
              </w:rPr>
            </w:pPr>
          </w:p>
        </w:tc>
        <w:tc>
          <w:tcPr>
            <w:tcW w:w="1116" w:type="pct"/>
            <w:vAlign w:val="center"/>
          </w:tcPr>
          <w:p w14:paraId="108107BB">
            <w:pPr>
              <w:jc w:val="center"/>
              <w:rPr>
                <w:rFonts w:ascii="宋体" w:hAnsi="宋体"/>
                <w:color w:val="auto"/>
                <w:szCs w:val="21"/>
                <w:highlight w:val="none"/>
              </w:rPr>
            </w:pPr>
          </w:p>
        </w:tc>
        <w:tc>
          <w:tcPr>
            <w:tcW w:w="803" w:type="pct"/>
            <w:vAlign w:val="center"/>
          </w:tcPr>
          <w:p w14:paraId="423C3C05">
            <w:pPr>
              <w:jc w:val="center"/>
              <w:rPr>
                <w:rFonts w:ascii="宋体" w:hAnsi="宋体"/>
                <w:color w:val="auto"/>
                <w:szCs w:val="21"/>
                <w:highlight w:val="none"/>
              </w:rPr>
            </w:pPr>
          </w:p>
        </w:tc>
        <w:tc>
          <w:tcPr>
            <w:tcW w:w="955" w:type="pct"/>
            <w:vAlign w:val="center"/>
          </w:tcPr>
          <w:p w14:paraId="7ACE4ECA">
            <w:pPr>
              <w:jc w:val="center"/>
              <w:rPr>
                <w:rFonts w:ascii="宋体" w:hAnsi="宋体"/>
                <w:color w:val="auto"/>
                <w:szCs w:val="21"/>
                <w:highlight w:val="none"/>
              </w:rPr>
            </w:pPr>
          </w:p>
        </w:tc>
        <w:tc>
          <w:tcPr>
            <w:tcW w:w="726" w:type="pct"/>
            <w:vAlign w:val="center"/>
          </w:tcPr>
          <w:p w14:paraId="55815ECD">
            <w:pPr>
              <w:jc w:val="center"/>
              <w:rPr>
                <w:rFonts w:ascii="宋体" w:hAnsi="宋体"/>
                <w:color w:val="auto"/>
                <w:szCs w:val="21"/>
                <w:highlight w:val="none"/>
              </w:rPr>
            </w:pPr>
          </w:p>
        </w:tc>
        <w:tc>
          <w:tcPr>
            <w:tcW w:w="905" w:type="pct"/>
            <w:vAlign w:val="center"/>
          </w:tcPr>
          <w:p w14:paraId="25F6CD91">
            <w:pPr>
              <w:jc w:val="center"/>
              <w:rPr>
                <w:rFonts w:ascii="宋体" w:hAnsi="宋体"/>
                <w:color w:val="auto"/>
                <w:szCs w:val="21"/>
                <w:highlight w:val="none"/>
              </w:rPr>
            </w:pPr>
          </w:p>
        </w:tc>
      </w:tr>
      <w:tr w14:paraId="0DFD7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1" w:type="pct"/>
            <w:vAlign w:val="center"/>
          </w:tcPr>
          <w:p w14:paraId="7B906476">
            <w:pPr>
              <w:jc w:val="center"/>
              <w:rPr>
                <w:rFonts w:ascii="宋体" w:hAnsi="宋体"/>
                <w:color w:val="auto"/>
                <w:szCs w:val="21"/>
                <w:highlight w:val="none"/>
              </w:rPr>
            </w:pPr>
          </w:p>
        </w:tc>
        <w:tc>
          <w:tcPr>
            <w:tcW w:w="1116" w:type="pct"/>
            <w:vAlign w:val="center"/>
          </w:tcPr>
          <w:p w14:paraId="4599AB45">
            <w:pPr>
              <w:jc w:val="center"/>
              <w:rPr>
                <w:rFonts w:ascii="宋体" w:hAnsi="宋体"/>
                <w:color w:val="auto"/>
                <w:szCs w:val="21"/>
                <w:highlight w:val="none"/>
              </w:rPr>
            </w:pPr>
          </w:p>
        </w:tc>
        <w:tc>
          <w:tcPr>
            <w:tcW w:w="803" w:type="pct"/>
            <w:vAlign w:val="center"/>
          </w:tcPr>
          <w:p w14:paraId="7F18E691">
            <w:pPr>
              <w:jc w:val="center"/>
              <w:rPr>
                <w:rFonts w:ascii="宋体" w:hAnsi="宋体"/>
                <w:color w:val="auto"/>
                <w:szCs w:val="21"/>
                <w:highlight w:val="none"/>
              </w:rPr>
            </w:pPr>
          </w:p>
        </w:tc>
        <w:tc>
          <w:tcPr>
            <w:tcW w:w="955" w:type="pct"/>
            <w:vAlign w:val="center"/>
          </w:tcPr>
          <w:p w14:paraId="19C74A7B">
            <w:pPr>
              <w:jc w:val="center"/>
              <w:rPr>
                <w:rFonts w:ascii="宋体" w:hAnsi="宋体"/>
                <w:color w:val="auto"/>
                <w:szCs w:val="21"/>
                <w:highlight w:val="none"/>
              </w:rPr>
            </w:pPr>
          </w:p>
        </w:tc>
        <w:tc>
          <w:tcPr>
            <w:tcW w:w="726" w:type="pct"/>
            <w:vAlign w:val="center"/>
          </w:tcPr>
          <w:p w14:paraId="098888B3">
            <w:pPr>
              <w:jc w:val="center"/>
              <w:rPr>
                <w:rFonts w:ascii="宋体" w:hAnsi="宋体"/>
                <w:color w:val="auto"/>
                <w:szCs w:val="21"/>
                <w:highlight w:val="none"/>
              </w:rPr>
            </w:pPr>
          </w:p>
        </w:tc>
        <w:tc>
          <w:tcPr>
            <w:tcW w:w="905" w:type="pct"/>
            <w:vAlign w:val="center"/>
          </w:tcPr>
          <w:p w14:paraId="56CF113C">
            <w:pPr>
              <w:jc w:val="center"/>
              <w:rPr>
                <w:rFonts w:ascii="宋体" w:hAnsi="宋体"/>
                <w:color w:val="auto"/>
                <w:szCs w:val="21"/>
                <w:highlight w:val="none"/>
              </w:rPr>
            </w:pPr>
          </w:p>
        </w:tc>
      </w:tr>
      <w:tr w14:paraId="04C81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1" w:type="pct"/>
            <w:vAlign w:val="center"/>
          </w:tcPr>
          <w:p w14:paraId="41D7ABAE">
            <w:pPr>
              <w:jc w:val="center"/>
              <w:rPr>
                <w:rFonts w:ascii="宋体" w:hAnsi="宋体"/>
                <w:color w:val="auto"/>
                <w:szCs w:val="21"/>
                <w:highlight w:val="none"/>
              </w:rPr>
            </w:pPr>
          </w:p>
        </w:tc>
        <w:tc>
          <w:tcPr>
            <w:tcW w:w="1116" w:type="pct"/>
            <w:vAlign w:val="center"/>
          </w:tcPr>
          <w:p w14:paraId="620DE9E0">
            <w:pPr>
              <w:jc w:val="center"/>
              <w:rPr>
                <w:rFonts w:ascii="宋体" w:hAnsi="宋体"/>
                <w:color w:val="auto"/>
                <w:szCs w:val="21"/>
                <w:highlight w:val="none"/>
              </w:rPr>
            </w:pPr>
          </w:p>
        </w:tc>
        <w:tc>
          <w:tcPr>
            <w:tcW w:w="803" w:type="pct"/>
            <w:vAlign w:val="center"/>
          </w:tcPr>
          <w:p w14:paraId="28942C07">
            <w:pPr>
              <w:jc w:val="center"/>
              <w:rPr>
                <w:rFonts w:ascii="宋体" w:hAnsi="宋体"/>
                <w:color w:val="auto"/>
                <w:szCs w:val="21"/>
                <w:highlight w:val="none"/>
              </w:rPr>
            </w:pPr>
          </w:p>
        </w:tc>
        <w:tc>
          <w:tcPr>
            <w:tcW w:w="955" w:type="pct"/>
            <w:vAlign w:val="center"/>
          </w:tcPr>
          <w:p w14:paraId="4ECF127E">
            <w:pPr>
              <w:jc w:val="center"/>
              <w:rPr>
                <w:rFonts w:ascii="宋体" w:hAnsi="宋体"/>
                <w:color w:val="auto"/>
                <w:szCs w:val="21"/>
                <w:highlight w:val="none"/>
              </w:rPr>
            </w:pPr>
          </w:p>
        </w:tc>
        <w:tc>
          <w:tcPr>
            <w:tcW w:w="726" w:type="pct"/>
            <w:vAlign w:val="center"/>
          </w:tcPr>
          <w:p w14:paraId="6DE60FA8">
            <w:pPr>
              <w:jc w:val="center"/>
              <w:rPr>
                <w:rFonts w:ascii="宋体" w:hAnsi="宋体"/>
                <w:color w:val="auto"/>
                <w:szCs w:val="21"/>
                <w:highlight w:val="none"/>
              </w:rPr>
            </w:pPr>
          </w:p>
        </w:tc>
        <w:tc>
          <w:tcPr>
            <w:tcW w:w="905" w:type="pct"/>
            <w:vAlign w:val="center"/>
          </w:tcPr>
          <w:p w14:paraId="5023A086">
            <w:pPr>
              <w:jc w:val="center"/>
              <w:rPr>
                <w:rFonts w:ascii="宋体" w:hAnsi="宋体"/>
                <w:color w:val="auto"/>
                <w:szCs w:val="21"/>
                <w:highlight w:val="none"/>
              </w:rPr>
            </w:pPr>
          </w:p>
        </w:tc>
      </w:tr>
      <w:tr w14:paraId="7EE69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1" w:type="pct"/>
            <w:vAlign w:val="center"/>
          </w:tcPr>
          <w:p w14:paraId="4671B326">
            <w:pPr>
              <w:jc w:val="center"/>
              <w:rPr>
                <w:rFonts w:ascii="宋体" w:hAnsi="宋体"/>
                <w:color w:val="auto"/>
                <w:szCs w:val="21"/>
                <w:highlight w:val="none"/>
              </w:rPr>
            </w:pPr>
          </w:p>
        </w:tc>
        <w:tc>
          <w:tcPr>
            <w:tcW w:w="1116" w:type="pct"/>
            <w:vAlign w:val="center"/>
          </w:tcPr>
          <w:p w14:paraId="5D96C3E0">
            <w:pPr>
              <w:jc w:val="center"/>
              <w:rPr>
                <w:rFonts w:ascii="宋体" w:hAnsi="宋体"/>
                <w:color w:val="auto"/>
                <w:szCs w:val="21"/>
                <w:highlight w:val="none"/>
              </w:rPr>
            </w:pPr>
          </w:p>
        </w:tc>
        <w:tc>
          <w:tcPr>
            <w:tcW w:w="803" w:type="pct"/>
            <w:vAlign w:val="center"/>
          </w:tcPr>
          <w:p w14:paraId="1F16D1B6">
            <w:pPr>
              <w:jc w:val="center"/>
              <w:rPr>
                <w:rFonts w:ascii="宋体" w:hAnsi="宋体"/>
                <w:color w:val="auto"/>
                <w:szCs w:val="21"/>
                <w:highlight w:val="none"/>
              </w:rPr>
            </w:pPr>
          </w:p>
        </w:tc>
        <w:tc>
          <w:tcPr>
            <w:tcW w:w="955" w:type="pct"/>
            <w:vAlign w:val="center"/>
          </w:tcPr>
          <w:p w14:paraId="383F3588">
            <w:pPr>
              <w:jc w:val="center"/>
              <w:rPr>
                <w:rFonts w:ascii="宋体" w:hAnsi="宋体"/>
                <w:color w:val="auto"/>
                <w:szCs w:val="21"/>
                <w:highlight w:val="none"/>
              </w:rPr>
            </w:pPr>
          </w:p>
        </w:tc>
        <w:tc>
          <w:tcPr>
            <w:tcW w:w="726" w:type="pct"/>
            <w:vAlign w:val="center"/>
          </w:tcPr>
          <w:p w14:paraId="332FDC3C">
            <w:pPr>
              <w:jc w:val="center"/>
              <w:rPr>
                <w:rFonts w:ascii="宋体" w:hAnsi="宋体"/>
                <w:color w:val="auto"/>
                <w:szCs w:val="21"/>
                <w:highlight w:val="none"/>
              </w:rPr>
            </w:pPr>
          </w:p>
        </w:tc>
        <w:tc>
          <w:tcPr>
            <w:tcW w:w="905" w:type="pct"/>
            <w:vAlign w:val="center"/>
          </w:tcPr>
          <w:p w14:paraId="1E10C081">
            <w:pPr>
              <w:jc w:val="center"/>
              <w:rPr>
                <w:rFonts w:ascii="宋体" w:hAnsi="宋体"/>
                <w:color w:val="auto"/>
                <w:szCs w:val="21"/>
                <w:highlight w:val="none"/>
              </w:rPr>
            </w:pPr>
          </w:p>
        </w:tc>
      </w:tr>
      <w:tr w14:paraId="0EF74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1" w:type="pct"/>
            <w:vAlign w:val="center"/>
          </w:tcPr>
          <w:p w14:paraId="1385019A">
            <w:pPr>
              <w:jc w:val="center"/>
              <w:rPr>
                <w:rFonts w:ascii="宋体" w:hAnsi="宋体"/>
                <w:color w:val="auto"/>
                <w:szCs w:val="21"/>
                <w:highlight w:val="none"/>
              </w:rPr>
            </w:pPr>
          </w:p>
        </w:tc>
        <w:tc>
          <w:tcPr>
            <w:tcW w:w="1116" w:type="pct"/>
            <w:vAlign w:val="center"/>
          </w:tcPr>
          <w:p w14:paraId="3E867272">
            <w:pPr>
              <w:jc w:val="center"/>
              <w:rPr>
                <w:rFonts w:ascii="宋体" w:hAnsi="宋体"/>
                <w:color w:val="auto"/>
                <w:szCs w:val="21"/>
                <w:highlight w:val="none"/>
              </w:rPr>
            </w:pPr>
          </w:p>
        </w:tc>
        <w:tc>
          <w:tcPr>
            <w:tcW w:w="803" w:type="pct"/>
            <w:vAlign w:val="center"/>
          </w:tcPr>
          <w:p w14:paraId="68F3470C">
            <w:pPr>
              <w:jc w:val="center"/>
              <w:rPr>
                <w:rFonts w:ascii="宋体" w:hAnsi="宋体"/>
                <w:color w:val="auto"/>
                <w:szCs w:val="21"/>
                <w:highlight w:val="none"/>
              </w:rPr>
            </w:pPr>
          </w:p>
        </w:tc>
        <w:tc>
          <w:tcPr>
            <w:tcW w:w="955" w:type="pct"/>
            <w:vAlign w:val="center"/>
          </w:tcPr>
          <w:p w14:paraId="06BC1AE8">
            <w:pPr>
              <w:jc w:val="center"/>
              <w:rPr>
                <w:rFonts w:ascii="宋体" w:hAnsi="宋体"/>
                <w:color w:val="auto"/>
                <w:szCs w:val="21"/>
                <w:highlight w:val="none"/>
              </w:rPr>
            </w:pPr>
          </w:p>
        </w:tc>
        <w:tc>
          <w:tcPr>
            <w:tcW w:w="726" w:type="pct"/>
            <w:vAlign w:val="center"/>
          </w:tcPr>
          <w:p w14:paraId="2132EFE5">
            <w:pPr>
              <w:jc w:val="center"/>
              <w:rPr>
                <w:rFonts w:ascii="宋体" w:hAnsi="宋体"/>
                <w:color w:val="auto"/>
                <w:szCs w:val="21"/>
                <w:highlight w:val="none"/>
              </w:rPr>
            </w:pPr>
          </w:p>
        </w:tc>
        <w:tc>
          <w:tcPr>
            <w:tcW w:w="905" w:type="pct"/>
            <w:vAlign w:val="center"/>
          </w:tcPr>
          <w:p w14:paraId="3E2F6FC1">
            <w:pPr>
              <w:jc w:val="center"/>
              <w:rPr>
                <w:rFonts w:ascii="宋体" w:hAnsi="宋体"/>
                <w:color w:val="auto"/>
                <w:szCs w:val="21"/>
                <w:highlight w:val="none"/>
              </w:rPr>
            </w:pPr>
          </w:p>
        </w:tc>
      </w:tr>
      <w:tr w14:paraId="3EBF6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1" w:type="pct"/>
            <w:vAlign w:val="center"/>
          </w:tcPr>
          <w:p w14:paraId="0D2A940F">
            <w:pPr>
              <w:jc w:val="center"/>
              <w:rPr>
                <w:rFonts w:ascii="宋体" w:hAnsi="宋体"/>
                <w:color w:val="auto"/>
                <w:szCs w:val="21"/>
                <w:highlight w:val="none"/>
              </w:rPr>
            </w:pPr>
          </w:p>
        </w:tc>
        <w:tc>
          <w:tcPr>
            <w:tcW w:w="1116" w:type="pct"/>
            <w:vAlign w:val="center"/>
          </w:tcPr>
          <w:p w14:paraId="62BCBA96">
            <w:pPr>
              <w:jc w:val="center"/>
              <w:rPr>
                <w:rFonts w:ascii="宋体" w:hAnsi="宋体"/>
                <w:color w:val="auto"/>
                <w:szCs w:val="21"/>
                <w:highlight w:val="none"/>
              </w:rPr>
            </w:pPr>
          </w:p>
        </w:tc>
        <w:tc>
          <w:tcPr>
            <w:tcW w:w="803" w:type="pct"/>
            <w:vAlign w:val="center"/>
          </w:tcPr>
          <w:p w14:paraId="6C193E8F">
            <w:pPr>
              <w:jc w:val="center"/>
              <w:rPr>
                <w:rFonts w:ascii="宋体" w:hAnsi="宋体"/>
                <w:color w:val="auto"/>
                <w:szCs w:val="21"/>
                <w:highlight w:val="none"/>
              </w:rPr>
            </w:pPr>
          </w:p>
        </w:tc>
        <w:tc>
          <w:tcPr>
            <w:tcW w:w="955" w:type="pct"/>
            <w:vAlign w:val="center"/>
          </w:tcPr>
          <w:p w14:paraId="033E41FC">
            <w:pPr>
              <w:jc w:val="center"/>
              <w:rPr>
                <w:rFonts w:ascii="宋体" w:hAnsi="宋体"/>
                <w:color w:val="auto"/>
                <w:szCs w:val="21"/>
                <w:highlight w:val="none"/>
              </w:rPr>
            </w:pPr>
          </w:p>
        </w:tc>
        <w:tc>
          <w:tcPr>
            <w:tcW w:w="726" w:type="pct"/>
            <w:vAlign w:val="center"/>
          </w:tcPr>
          <w:p w14:paraId="2A7AEA9B">
            <w:pPr>
              <w:jc w:val="center"/>
              <w:rPr>
                <w:rFonts w:ascii="宋体" w:hAnsi="宋体"/>
                <w:color w:val="auto"/>
                <w:szCs w:val="21"/>
                <w:highlight w:val="none"/>
              </w:rPr>
            </w:pPr>
          </w:p>
        </w:tc>
        <w:tc>
          <w:tcPr>
            <w:tcW w:w="905" w:type="pct"/>
            <w:vAlign w:val="center"/>
          </w:tcPr>
          <w:p w14:paraId="42710953">
            <w:pPr>
              <w:jc w:val="center"/>
              <w:rPr>
                <w:rFonts w:ascii="宋体" w:hAnsi="宋体"/>
                <w:color w:val="auto"/>
                <w:szCs w:val="21"/>
                <w:highlight w:val="none"/>
              </w:rPr>
            </w:pPr>
          </w:p>
        </w:tc>
      </w:tr>
      <w:tr w14:paraId="667F2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1" w:type="pct"/>
            <w:vAlign w:val="center"/>
          </w:tcPr>
          <w:p w14:paraId="7C8223F4">
            <w:pPr>
              <w:jc w:val="center"/>
              <w:rPr>
                <w:rFonts w:ascii="宋体" w:hAnsi="宋体"/>
                <w:color w:val="auto"/>
                <w:szCs w:val="21"/>
                <w:highlight w:val="none"/>
              </w:rPr>
            </w:pPr>
          </w:p>
        </w:tc>
        <w:tc>
          <w:tcPr>
            <w:tcW w:w="1116" w:type="pct"/>
            <w:vAlign w:val="center"/>
          </w:tcPr>
          <w:p w14:paraId="2EC46F73">
            <w:pPr>
              <w:jc w:val="center"/>
              <w:rPr>
                <w:rFonts w:ascii="宋体" w:hAnsi="宋体"/>
                <w:color w:val="auto"/>
                <w:szCs w:val="21"/>
                <w:highlight w:val="none"/>
              </w:rPr>
            </w:pPr>
          </w:p>
        </w:tc>
        <w:tc>
          <w:tcPr>
            <w:tcW w:w="803" w:type="pct"/>
            <w:vAlign w:val="center"/>
          </w:tcPr>
          <w:p w14:paraId="51AF8FAB">
            <w:pPr>
              <w:jc w:val="center"/>
              <w:rPr>
                <w:rFonts w:ascii="宋体" w:hAnsi="宋体"/>
                <w:color w:val="auto"/>
                <w:szCs w:val="21"/>
                <w:highlight w:val="none"/>
              </w:rPr>
            </w:pPr>
          </w:p>
        </w:tc>
        <w:tc>
          <w:tcPr>
            <w:tcW w:w="955" w:type="pct"/>
            <w:vAlign w:val="center"/>
          </w:tcPr>
          <w:p w14:paraId="342DC745">
            <w:pPr>
              <w:jc w:val="center"/>
              <w:rPr>
                <w:rFonts w:ascii="宋体" w:hAnsi="宋体"/>
                <w:color w:val="auto"/>
                <w:szCs w:val="21"/>
                <w:highlight w:val="none"/>
              </w:rPr>
            </w:pPr>
          </w:p>
        </w:tc>
        <w:tc>
          <w:tcPr>
            <w:tcW w:w="726" w:type="pct"/>
            <w:vAlign w:val="center"/>
          </w:tcPr>
          <w:p w14:paraId="726FAF6B">
            <w:pPr>
              <w:jc w:val="center"/>
              <w:rPr>
                <w:rFonts w:ascii="宋体" w:hAnsi="宋体"/>
                <w:color w:val="auto"/>
                <w:szCs w:val="21"/>
                <w:highlight w:val="none"/>
              </w:rPr>
            </w:pPr>
          </w:p>
        </w:tc>
        <w:tc>
          <w:tcPr>
            <w:tcW w:w="905" w:type="pct"/>
            <w:vAlign w:val="center"/>
          </w:tcPr>
          <w:p w14:paraId="719CBC33">
            <w:pPr>
              <w:jc w:val="center"/>
              <w:rPr>
                <w:rFonts w:ascii="宋体" w:hAnsi="宋体"/>
                <w:color w:val="auto"/>
                <w:szCs w:val="21"/>
                <w:highlight w:val="none"/>
              </w:rPr>
            </w:pPr>
          </w:p>
        </w:tc>
      </w:tr>
      <w:tr w14:paraId="33DA5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1" w:type="pct"/>
            <w:vAlign w:val="center"/>
          </w:tcPr>
          <w:p w14:paraId="2C69A56C">
            <w:pPr>
              <w:jc w:val="center"/>
              <w:rPr>
                <w:rFonts w:ascii="宋体" w:hAnsi="宋体"/>
                <w:color w:val="auto"/>
                <w:szCs w:val="21"/>
                <w:highlight w:val="none"/>
              </w:rPr>
            </w:pPr>
          </w:p>
        </w:tc>
        <w:tc>
          <w:tcPr>
            <w:tcW w:w="1116" w:type="pct"/>
            <w:vAlign w:val="center"/>
          </w:tcPr>
          <w:p w14:paraId="4734E6F6">
            <w:pPr>
              <w:jc w:val="center"/>
              <w:rPr>
                <w:rFonts w:ascii="宋体" w:hAnsi="宋体"/>
                <w:color w:val="auto"/>
                <w:szCs w:val="21"/>
                <w:highlight w:val="none"/>
              </w:rPr>
            </w:pPr>
          </w:p>
        </w:tc>
        <w:tc>
          <w:tcPr>
            <w:tcW w:w="803" w:type="pct"/>
            <w:vAlign w:val="center"/>
          </w:tcPr>
          <w:p w14:paraId="34E75EF0">
            <w:pPr>
              <w:jc w:val="center"/>
              <w:rPr>
                <w:rFonts w:ascii="宋体" w:hAnsi="宋体"/>
                <w:color w:val="auto"/>
                <w:szCs w:val="21"/>
                <w:highlight w:val="none"/>
              </w:rPr>
            </w:pPr>
          </w:p>
        </w:tc>
        <w:tc>
          <w:tcPr>
            <w:tcW w:w="955" w:type="pct"/>
            <w:vAlign w:val="center"/>
          </w:tcPr>
          <w:p w14:paraId="2ACDEC22">
            <w:pPr>
              <w:jc w:val="center"/>
              <w:rPr>
                <w:rFonts w:ascii="宋体" w:hAnsi="宋体"/>
                <w:color w:val="auto"/>
                <w:szCs w:val="21"/>
                <w:highlight w:val="none"/>
              </w:rPr>
            </w:pPr>
          </w:p>
        </w:tc>
        <w:tc>
          <w:tcPr>
            <w:tcW w:w="726" w:type="pct"/>
            <w:vAlign w:val="center"/>
          </w:tcPr>
          <w:p w14:paraId="468F0BA2">
            <w:pPr>
              <w:jc w:val="center"/>
              <w:rPr>
                <w:rFonts w:ascii="宋体" w:hAnsi="宋体"/>
                <w:color w:val="auto"/>
                <w:szCs w:val="21"/>
                <w:highlight w:val="none"/>
              </w:rPr>
            </w:pPr>
          </w:p>
        </w:tc>
        <w:tc>
          <w:tcPr>
            <w:tcW w:w="905" w:type="pct"/>
            <w:vAlign w:val="center"/>
          </w:tcPr>
          <w:p w14:paraId="484C286B">
            <w:pPr>
              <w:jc w:val="center"/>
              <w:rPr>
                <w:rFonts w:ascii="宋体" w:hAnsi="宋体"/>
                <w:color w:val="auto"/>
                <w:szCs w:val="21"/>
                <w:highlight w:val="none"/>
              </w:rPr>
            </w:pPr>
          </w:p>
        </w:tc>
      </w:tr>
      <w:tr w14:paraId="0E175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1" w:type="pct"/>
            <w:vAlign w:val="center"/>
          </w:tcPr>
          <w:p w14:paraId="47428F46">
            <w:pPr>
              <w:jc w:val="center"/>
              <w:rPr>
                <w:rFonts w:ascii="宋体" w:hAnsi="宋体"/>
                <w:color w:val="auto"/>
                <w:szCs w:val="21"/>
                <w:highlight w:val="none"/>
              </w:rPr>
            </w:pPr>
          </w:p>
        </w:tc>
        <w:tc>
          <w:tcPr>
            <w:tcW w:w="1116" w:type="pct"/>
            <w:vAlign w:val="center"/>
          </w:tcPr>
          <w:p w14:paraId="27304A04">
            <w:pPr>
              <w:jc w:val="center"/>
              <w:rPr>
                <w:rFonts w:ascii="宋体" w:hAnsi="宋体"/>
                <w:color w:val="auto"/>
                <w:szCs w:val="21"/>
                <w:highlight w:val="none"/>
              </w:rPr>
            </w:pPr>
          </w:p>
        </w:tc>
        <w:tc>
          <w:tcPr>
            <w:tcW w:w="803" w:type="pct"/>
            <w:vAlign w:val="center"/>
          </w:tcPr>
          <w:p w14:paraId="3BE4B62D">
            <w:pPr>
              <w:jc w:val="center"/>
              <w:rPr>
                <w:rFonts w:ascii="宋体" w:hAnsi="宋体"/>
                <w:color w:val="auto"/>
                <w:szCs w:val="21"/>
                <w:highlight w:val="none"/>
              </w:rPr>
            </w:pPr>
          </w:p>
        </w:tc>
        <w:tc>
          <w:tcPr>
            <w:tcW w:w="955" w:type="pct"/>
            <w:vAlign w:val="center"/>
          </w:tcPr>
          <w:p w14:paraId="12C2D85A">
            <w:pPr>
              <w:jc w:val="center"/>
              <w:rPr>
                <w:rFonts w:ascii="宋体" w:hAnsi="宋体"/>
                <w:color w:val="auto"/>
                <w:szCs w:val="21"/>
                <w:highlight w:val="none"/>
              </w:rPr>
            </w:pPr>
          </w:p>
        </w:tc>
        <w:tc>
          <w:tcPr>
            <w:tcW w:w="726" w:type="pct"/>
            <w:vAlign w:val="center"/>
          </w:tcPr>
          <w:p w14:paraId="66202661">
            <w:pPr>
              <w:jc w:val="center"/>
              <w:rPr>
                <w:rFonts w:ascii="宋体" w:hAnsi="宋体"/>
                <w:color w:val="auto"/>
                <w:szCs w:val="21"/>
                <w:highlight w:val="none"/>
              </w:rPr>
            </w:pPr>
          </w:p>
        </w:tc>
        <w:tc>
          <w:tcPr>
            <w:tcW w:w="905" w:type="pct"/>
            <w:vAlign w:val="center"/>
          </w:tcPr>
          <w:p w14:paraId="1F2F05AF">
            <w:pPr>
              <w:jc w:val="center"/>
              <w:rPr>
                <w:rFonts w:ascii="宋体" w:hAnsi="宋体"/>
                <w:color w:val="auto"/>
                <w:szCs w:val="21"/>
                <w:highlight w:val="none"/>
              </w:rPr>
            </w:pPr>
          </w:p>
        </w:tc>
      </w:tr>
      <w:tr w14:paraId="1A290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1" w:type="pct"/>
            <w:vAlign w:val="center"/>
          </w:tcPr>
          <w:p w14:paraId="1DACB0DF">
            <w:pPr>
              <w:jc w:val="center"/>
              <w:rPr>
                <w:rFonts w:ascii="宋体" w:hAnsi="宋体"/>
                <w:color w:val="auto"/>
                <w:szCs w:val="21"/>
                <w:highlight w:val="none"/>
              </w:rPr>
            </w:pPr>
          </w:p>
        </w:tc>
        <w:tc>
          <w:tcPr>
            <w:tcW w:w="1116" w:type="pct"/>
            <w:vAlign w:val="center"/>
          </w:tcPr>
          <w:p w14:paraId="7B6E5138">
            <w:pPr>
              <w:jc w:val="center"/>
              <w:rPr>
                <w:rFonts w:ascii="宋体" w:hAnsi="宋体"/>
                <w:color w:val="auto"/>
                <w:szCs w:val="21"/>
                <w:highlight w:val="none"/>
              </w:rPr>
            </w:pPr>
          </w:p>
        </w:tc>
        <w:tc>
          <w:tcPr>
            <w:tcW w:w="803" w:type="pct"/>
            <w:vAlign w:val="center"/>
          </w:tcPr>
          <w:p w14:paraId="04D6919D">
            <w:pPr>
              <w:jc w:val="center"/>
              <w:rPr>
                <w:rFonts w:ascii="宋体" w:hAnsi="宋体"/>
                <w:color w:val="auto"/>
                <w:szCs w:val="21"/>
                <w:highlight w:val="none"/>
              </w:rPr>
            </w:pPr>
          </w:p>
        </w:tc>
        <w:tc>
          <w:tcPr>
            <w:tcW w:w="955" w:type="pct"/>
            <w:vAlign w:val="center"/>
          </w:tcPr>
          <w:p w14:paraId="57D5C58A">
            <w:pPr>
              <w:jc w:val="center"/>
              <w:rPr>
                <w:rFonts w:ascii="宋体" w:hAnsi="宋体"/>
                <w:color w:val="auto"/>
                <w:szCs w:val="21"/>
                <w:highlight w:val="none"/>
              </w:rPr>
            </w:pPr>
          </w:p>
        </w:tc>
        <w:tc>
          <w:tcPr>
            <w:tcW w:w="726" w:type="pct"/>
            <w:vAlign w:val="center"/>
          </w:tcPr>
          <w:p w14:paraId="29F27D73">
            <w:pPr>
              <w:jc w:val="center"/>
              <w:rPr>
                <w:rFonts w:ascii="宋体" w:hAnsi="宋体"/>
                <w:color w:val="auto"/>
                <w:szCs w:val="21"/>
                <w:highlight w:val="none"/>
              </w:rPr>
            </w:pPr>
          </w:p>
        </w:tc>
        <w:tc>
          <w:tcPr>
            <w:tcW w:w="905" w:type="pct"/>
            <w:vAlign w:val="center"/>
          </w:tcPr>
          <w:p w14:paraId="0F4D13E9">
            <w:pPr>
              <w:jc w:val="center"/>
              <w:rPr>
                <w:rFonts w:ascii="宋体" w:hAnsi="宋体"/>
                <w:color w:val="auto"/>
                <w:szCs w:val="21"/>
                <w:highlight w:val="none"/>
              </w:rPr>
            </w:pPr>
          </w:p>
        </w:tc>
      </w:tr>
    </w:tbl>
    <w:p w14:paraId="4A0B5B51">
      <w:pPr>
        <w:rPr>
          <w:rFonts w:ascii="宋体" w:hAnsi="宋体"/>
          <w:color w:val="auto"/>
          <w:szCs w:val="21"/>
          <w:highlight w:val="none"/>
        </w:rPr>
      </w:pPr>
    </w:p>
    <w:p w14:paraId="3A3C3410">
      <w:pPr>
        <w:rPr>
          <w:rFonts w:ascii="宋体" w:hAnsi="宋体"/>
          <w:color w:val="auto"/>
          <w:szCs w:val="21"/>
          <w:highlight w:val="none"/>
        </w:rPr>
      </w:pPr>
      <w:r>
        <w:rPr>
          <w:rFonts w:hint="eastAsia" w:ascii="宋体" w:hAnsi="宋体"/>
          <w:color w:val="auto"/>
          <w:szCs w:val="21"/>
          <w:highlight w:val="none"/>
        </w:rPr>
        <w:t>投标人代表签字：</w:t>
      </w:r>
    </w:p>
    <w:p w14:paraId="2B68E342">
      <w:pPr>
        <w:rPr>
          <w:rFonts w:ascii="宋体" w:hAnsi="宋体"/>
          <w:color w:val="auto"/>
          <w:szCs w:val="21"/>
          <w:highlight w:val="none"/>
        </w:rPr>
      </w:pPr>
      <w:r>
        <w:rPr>
          <w:rFonts w:hint="eastAsia" w:ascii="宋体" w:hAnsi="宋体"/>
          <w:color w:val="auto"/>
          <w:szCs w:val="21"/>
          <w:highlight w:val="none"/>
        </w:rPr>
        <w:t>投标人盖章：</w:t>
      </w:r>
    </w:p>
    <w:p w14:paraId="29EE132D">
      <w:pPr>
        <w:ind w:firstLine="178" w:firstLineChars="85"/>
        <w:rPr>
          <w:rFonts w:ascii="宋体" w:hAnsi="宋体"/>
          <w:color w:val="auto"/>
          <w:szCs w:val="21"/>
          <w:highlight w:val="none"/>
        </w:rPr>
      </w:pPr>
    </w:p>
    <w:p w14:paraId="60D05E8B">
      <w:pPr>
        <w:rPr>
          <w:rFonts w:ascii="宋体" w:hAnsi="宋体"/>
          <w:color w:val="auto"/>
          <w:szCs w:val="21"/>
          <w:highlight w:val="none"/>
        </w:rPr>
      </w:pPr>
      <w:r>
        <w:rPr>
          <w:rFonts w:hint="eastAsia" w:ascii="宋体" w:hAnsi="宋体"/>
          <w:color w:val="auto"/>
          <w:szCs w:val="21"/>
          <w:highlight w:val="none"/>
        </w:rPr>
        <w:t>注：</w:t>
      </w:r>
    </w:p>
    <w:p w14:paraId="0D92E4AF">
      <w:pPr>
        <w:rPr>
          <w:rFonts w:ascii="宋体" w:hAnsi="宋体"/>
          <w:color w:val="auto"/>
          <w:szCs w:val="21"/>
          <w:highlight w:val="none"/>
        </w:rPr>
      </w:pPr>
      <w:r>
        <w:rPr>
          <w:rFonts w:hint="eastAsia" w:ascii="宋体" w:hAnsi="宋体"/>
          <w:color w:val="auto"/>
          <w:szCs w:val="21"/>
          <w:highlight w:val="none"/>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77A9A9E1">
      <w:pPr>
        <w:rPr>
          <w:rFonts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，投标人都被认为已清楚了解采购文件“技术需求书”的内容并对采购人所需的服务要求作全面响应，投标人必须承担完成“技术需求书”所描述内容的义务</w:t>
      </w:r>
      <w:r>
        <w:rPr>
          <w:rFonts w:hint="eastAsia" w:ascii="宋体" w:hAnsi="宋体"/>
          <w:color w:val="auto"/>
          <w:szCs w:val="21"/>
          <w:highlight w:val="none"/>
        </w:rPr>
        <w:t>，因此对投标人投标产生负面影响的，投标人自行承担后果。</w:t>
      </w:r>
    </w:p>
    <w:p w14:paraId="0EB03E04">
      <w:pPr>
        <w:rPr>
          <w:rFonts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1325E71C">
      <w:pPr>
        <w:rPr>
          <w:rFonts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7C721A11">
      <w:pPr>
        <w:rPr>
          <w:rFonts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如投标人对用户需求书商务要求的条款全部响应的，也可以在表格下面用文字总括性的说明。</w:t>
      </w:r>
    </w:p>
    <w:p w14:paraId="6B7C47CE">
      <w:pPr>
        <w:adjustRightInd/>
        <w:snapToGrid/>
        <w:spacing w:line="276" w:lineRule="auto"/>
        <w:rPr>
          <w:color w:val="auto"/>
          <w:highlight w:val="none"/>
        </w:rPr>
      </w:pPr>
    </w:p>
    <w:p w14:paraId="3906BDE8">
      <w:pPr>
        <w:adjustRightInd/>
        <w:snapToGrid/>
        <w:spacing w:line="276" w:lineRule="auto"/>
        <w:rPr>
          <w:color w:val="auto"/>
          <w:highlight w:val="none"/>
        </w:rPr>
      </w:pPr>
    </w:p>
    <w:p w14:paraId="692BF10F">
      <w:pPr>
        <w:rPr>
          <w:rFonts w:ascii="宋体" w:hAnsi="宋体"/>
          <w:color w:val="auto"/>
          <w:szCs w:val="21"/>
          <w:highlight w:val="none"/>
        </w:rPr>
      </w:pPr>
      <w:bookmarkStart w:id="205" w:name="_Toc17691"/>
      <w:r>
        <w:rPr>
          <w:rFonts w:hint="eastAsia" w:ascii="宋体" w:hAnsi="宋体"/>
          <w:color w:val="auto"/>
          <w:szCs w:val="21"/>
          <w:highlight w:val="none"/>
        </w:rPr>
        <w:br w:type="page"/>
      </w:r>
    </w:p>
    <w:bookmarkEnd w:id="205"/>
    <w:p w14:paraId="52A6FEF3">
      <w:pPr>
        <w:pStyle w:val="5"/>
        <w:widowControl w:val="0"/>
        <w:overflowPunct w:val="0"/>
        <w:spacing w:line="240" w:lineRule="auto"/>
        <w:rPr>
          <w:rFonts w:ascii="宋体" w:hAnsi="宋体"/>
          <w:color w:val="auto"/>
          <w:sz w:val="21"/>
          <w:szCs w:val="21"/>
          <w:highlight w:val="none"/>
        </w:rPr>
      </w:pPr>
      <w:bookmarkStart w:id="206" w:name="_Toc357"/>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6</w:t>
      </w:r>
      <w:r>
        <w:rPr>
          <w:rFonts w:hint="eastAsia" w:ascii="宋体" w:hAnsi="宋体"/>
          <w:color w:val="auto"/>
          <w:sz w:val="21"/>
          <w:szCs w:val="21"/>
          <w:highlight w:val="none"/>
        </w:rPr>
        <w:t>.项目实施方案格式</w:t>
      </w:r>
      <w:bookmarkEnd w:id="206"/>
    </w:p>
    <w:p w14:paraId="02CC3ACC">
      <w:pPr>
        <w:jc w:val="center"/>
        <w:rPr>
          <w:rFonts w:ascii="黑体" w:eastAsia="黑体"/>
          <w:color w:val="auto"/>
          <w:sz w:val="32"/>
          <w:szCs w:val="32"/>
          <w:highlight w:val="none"/>
        </w:rPr>
      </w:pPr>
    </w:p>
    <w:p w14:paraId="5E84486C">
      <w:pPr>
        <w:jc w:val="center"/>
        <w:rPr>
          <w:rFonts w:ascii="黑体" w:eastAsia="黑体"/>
          <w:color w:val="auto"/>
          <w:sz w:val="32"/>
          <w:szCs w:val="32"/>
          <w:highlight w:val="none"/>
        </w:rPr>
      </w:pPr>
      <w:r>
        <w:rPr>
          <w:rFonts w:hint="eastAsia" w:ascii="黑体" w:eastAsia="黑体"/>
          <w:color w:val="auto"/>
          <w:sz w:val="32"/>
          <w:szCs w:val="32"/>
          <w:highlight w:val="none"/>
        </w:rPr>
        <w:t>项目实施方案</w:t>
      </w:r>
    </w:p>
    <w:p w14:paraId="6AD6BF48">
      <w:pPr>
        <w:jc w:val="center"/>
        <w:rPr>
          <w:rFonts w:ascii="黑体" w:eastAsia="黑体"/>
          <w:color w:val="auto"/>
          <w:sz w:val="32"/>
          <w:szCs w:val="32"/>
          <w:highlight w:val="none"/>
        </w:rPr>
      </w:pPr>
    </w:p>
    <w:p w14:paraId="48E1B78B">
      <w:pPr>
        <w:keepNext w:val="0"/>
        <w:keepLines w:val="0"/>
        <w:pageBreakBefore w:val="0"/>
        <w:widowControl w:val="0"/>
        <w:numPr>
          <w:ilvl w:val="3"/>
          <w:numId w:val="0"/>
        </w:numPr>
        <w:tabs>
          <w:tab w:val="left" w:pos="630"/>
        </w:tabs>
        <w:kinsoku/>
        <w:wordWrap/>
        <w:overflowPunct/>
        <w:topLinePunct w:val="0"/>
        <w:autoSpaceDE/>
        <w:autoSpaceDN/>
        <w:bidi w:val="0"/>
        <w:adjustRightInd/>
        <w:snapToGrid/>
        <w:spacing w:after="0" w:line="480" w:lineRule="auto"/>
        <w:ind w:left="0" w:leftChars="0" w:firstLine="420" w:firstLineChars="200"/>
        <w:jc w:val="both"/>
        <w:textAlignment w:val="auto"/>
        <w:rPr>
          <w:rFonts w:ascii="宋体" w:hAnsi="宋体" w:eastAsia="宋体" w:cs="宋体"/>
          <w:color w:val="auto"/>
          <w:kern w:val="2"/>
          <w:sz w:val="21"/>
          <w:szCs w:val="21"/>
          <w:highlight w:val="none"/>
        </w:rPr>
      </w:pPr>
      <w:r>
        <w:rPr>
          <w:rFonts w:ascii="宋体" w:hAnsi="宋体" w:eastAsia="宋体" w:cs="宋体"/>
          <w:b w:val="0"/>
          <w:color w:val="auto"/>
          <w:kern w:val="2"/>
          <w:sz w:val="21"/>
          <w:szCs w:val="21"/>
          <w:highlight w:val="none"/>
          <w:lang w:val="en-US" w:eastAsia="zh-CN" w:bidi="ar-SA"/>
        </w:rPr>
        <w:t>1.</w:t>
      </w:r>
      <w:r>
        <w:rPr>
          <w:rFonts w:hint="eastAsia" w:hAnsi="宋体" w:cs="宋体"/>
          <w:b w:val="0"/>
          <w:bCs w:val="0"/>
          <w:color w:val="auto"/>
          <w:spacing w:val="2"/>
          <w:szCs w:val="21"/>
          <w:highlight w:val="none"/>
          <w:u w:val="none"/>
        </w:rPr>
        <w:t>项目实施（</w:t>
      </w:r>
      <w:r>
        <w:rPr>
          <w:rFonts w:hint="eastAsia" w:hAnsi="宋体" w:cs="宋体"/>
          <w:b w:val="0"/>
          <w:bCs w:val="0"/>
          <w:color w:val="auto"/>
          <w:spacing w:val="2"/>
          <w:szCs w:val="21"/>
          <w:highlight w:val="none"/>
          <w:u w:val="none"/>
          <w:lang w:eastAsia="zh-CN"/>
        </w:rPr>
        <w:t>设计、</w:t>
      </w:r>
      <w:r>
        <w:rPr>
          <w:rFonts w:hint="eastAsia" w:hAnsi="宋体" w:cs="宋体"/>
          <w:b w:val="0"/>
          <w:bCs w:val="0"/>
          <w:color w:val="auto"/>
          <w:spacing w:val="2"/>
          <w:szCs w:val="21"/>
          <w:highlight w:val="none"/>
          <w:u w:val="none"/>
        </w:rPr>
        <w:t>供货、安装）方案及进度计划</w:t>
      </w:r>
    </w:p>
    <w:p w14:paraId="3B306EE2">
      <w:pPr>
        <w:keepNext w:val="0"/>
        <w:keepLines w:val="0"/>
        <w:pageBreakBefore w:val="0"/>
        <w:widowControl w:val="0"/>
        <w:numPr>
          <w:ilvl w:val="3"/>
          <w:numId w:val="0"/>
        </w:numPr>
        <w:tabs>
          <w:tab w:val="left" w:pos="630"/>
        </w:tabs>
        <w:kinsoku/>
        <w:wordWrap/>
        <w:overflowPunct/>
        <w:topLinePunct w:val="0"/>
        <w:autoSpaceDE/>
        <w:autoSpaceDN/>
        <w:bidi w:val="0"/>
        <w:adjustRightInd/>
        <w:snapToGrid/>
        <w:spacing w:after="0" w:line="480" w:lineRule="auto"/>
        <w:ind w:left="0" w:leftChars="0" w:firstLine="420" w:firstLineChars="200"/>
        <w:jc w:val="both"/>
        <w:textAlignment w:val="auto"/>
        <w:rPr>
          <w:rFonts w:ascii="宋体" w:hAnsi="宋体" w:eastAsia="宋体" w:cs="宋体"/>
          <w:color w:val="auto"/>
          <w:kern w:val="2"/>
          <w:sz w:val="21"/>
          <w:szCs w:val="21"/>
          <w:highlight w:val="none"/>
        </w:rPr>
      </w:pPr>
      <w:r>
        <w:rPr>
          <w:rFonts w:ascii="宋体" w:hAnsi="宋体" w:eastAsia="宋体" w:cs="宋体"/>
          <w:b w:val="0"/>
          <w:color w:val="auto"/>
          <w:kern w:val="2"/>
          <w:sz w:val="21"/>
          <w:szCs w:val="21"/>
          <w:highlight w:val="none"/>
          <w:lang w:val="en-US" w:eastAsia="zh-CN" w:bidi="ar-SA"/>
        </w:rPr>
        <w:t>2.</w:t>
      </w:r>
      <w:r>
        <w:rPr>
          <w:rFonts w:hint="eastAsia" w:hAnsi="宋体" w:cs="宋体"/>
          <w:b w:val="0"/>
          <w:bCs w:val="0"/>
          <w:color w:val="auto"/>
          <w:spacing w:val="2"/>
          <w:szCs w:val="21"/>
          <w:highlight w:val="none"/>
          <w:u w:val="none"/>
          <w:lang w:eastAsia="zh-CN"/>
        </w:rPr>
        <w:t>产品性能</w:t>
      </w:r>
    </w:p>
    <w:p w14:paraId="171FCDDE">
      <w:pPr>
        <w:keepNext w:val="0"/>
        <w:keepLines w:val="0"/>
        <w:pageBreakBefore w:val="0"/>
        <w:widowControl w:val="0"/>
        <w:numPr>
          <w:ilvl w:val="3"/>
          <w:numId w:val="0"/>
        </w:numPr>
        <w:tabs>
          <w:tab w:val="left" w:pos="630"/>
        </w:tabs>
        <w:kinsoku/>
        <w:wordWrap/>
        <w:overflowPunct/>
        <w:topLinePunct w:val="0"/>
        <w:autoSpaceDE/>
        <w:autoSpaceDN/>
        <w:bidi w:val="0"/>
        <w:adjustRightInd/>
        <w:snapToGrid/>
        <w:spacing w:after="0" w:line="480" w:lineRule="auto"/>
        <w:ind w:left="0" w:leftChars="0" w:firstLine="420" w:firstLineChars="200"/>
        <w:jc w:val="both"/>
        <w:textAlignment w:val="auto"/>
        <w:rPr>
          <w:rFonts w:ascii="宋体" w:hAnsi="宋体" w:eastAsia="宋体" w:cs="宋体"/>
          <w:color w:val="auto"/>
          <w:kern w:val="2"/>
          <w:sz w:val="21"/>
          <w:szCs w:val="21"/>
          <w:highlight w:val="none"/>
        </w:rPr>
      </w:pPr>
      <w:r>
        <w:rPr>
          <w:rFonts w:ascii="宋体" w:hAnsi="宋体" w:eastAsia="宋体" w:cs="宋体"/>
          <w:b w:val="0"/>
          <w:color w:val="auto"/>
          <w:kern w:val="2"/>
          <w:sz w:val="21"/>
          <w:szCs w:val="21"/>
          <w:highlight w:val="none"/>
          <w:lang w:val="en-US" w:eastAsia="zh-CN" w:bidi="ar-SA"/>
        </w:rPr>
        <w:t>3.</w:t>
      </w:r>
      <w:r>
        <w:rPr>
          <w:rFonts w:hint="eastAsia" w:hAnsi="宋体" w:cs="宋体"/>
          <w:b w:val="0"/>
          <w:bCs w:val="0"/>
          <w:color w:val="auto"/>
          <w:szCs w:val="21"/>
          <w:highlight w:val="none"/>
          <w:u w:val="none"/>
          <w:lang w:bidi="ar"/>
        </w:rPr>
        <w:t>质量保证措施</w:t>
      </w:r>
    </w:p>
    <w:p w14:paraId="407200BF">
      <w:pPr>
        <w:keepNext w:val="0"/>
        <w:keepLines w:val="0"/>
        <w:pageBreakBefore w:val="0"/>
        <w:widowControl w:val="0"/>
        <w:numPr>
          <w:ilvl w:val="3"/>
          <w:numId w:val="0"/>
        </w:numPr>
        <w:tabs>
          <w:tab w:val="left" w:pos="630"/>
        </w:tabs>
        <w:kinsoku/>
        <w:wordWrap/>
        <w:overflowPunct/>
        <w:topLinePunct w:val="0"/>
        <w:autoSpaceDE/>
        <w:autoSpaceDN/>
        <w:bidi w:val="0"/>
        <w:adjustRightInd/>
        <w:snapToGrid/>
        <w:spacing w:after="0" w:line="480" w:lineRule="auto"/>
        <w:ind w:left="0" w:leftChars="0" w:firstLine="420" w:firstLineChars="200"/>
        <w:jc w:val="both"/>
        <w:textAlignment w:val="auto"/>
        <w:rPr>
          <w:rFonts w:ascii="宋体" w:hAnsi="宋体" w:eastAsia="宋体" w:cs="Times New Roman"/>
          <w:color w:val="auto"/>
          <w:kern w:val="2"/>
          <w:sz w:val="24"/>
          <w:szCs w:val="20"/>
          <w:highlight w:val="none"/>
        </w:rPr>
      </w:pPr>
      <w:r>
        <w:rPr>
          <w:rFonts w:ascii="宋体" w:hAnsi="宋体" w:eastAsia="宋体" w:cs="Times New Roman"/>
          <w:b w:val="0"/>
          <w:color w:val="auto"/>
          <w:kern w:val="2"/>
          <w:sz w:val="21"/>
          <w:szCs w:val="21"/>
          <w:highlight w:val="none"/>
          <w:lang w:val="en-US" w:eastAsia="zh-CN" w:bidi="ar-SA"/>
        </w:rPr>
        <w:t>4.</w:t>
      </w:r>
      <w:r>
        <w:rPr>
          <w:rFonts w:hint="eastAsia" w:hAnsi="宋体" w:cs="宋体"/>
          <w:b w:val="0"/>
          <w:bCs w:val="0"/>
          <w:color w:val="auto"/>
          <w:spacing w:val="2"/>
          <w:szCs w:val="21"/>
          <w:highlight w:val="none"/>
          <w:u w:val="none"/>
        </w:rPr>
        <w:t>售后服务</w:t>
      </w:r>
    </w:p>
    <w:p w14:paraId="3C179AA7">
      <w:pPr>
        <w:keepNext w:val="0"/>
        <w:keepLines w:val="0"/>
        <w:pageBreakBefore w:val="0"/>
        <w:widowControl w:val="0"/>
        <w:numPr>
          <w:ilvl w:val="3"/>
          <w:numId w:val="0"/>
        </w:numPr>
        <w:tabs>
          <w:tab w:val="left" w:pos="630"/>
        </w:tabs>
        <w:kinsoku/>
        <w:wordWrap/>
        <w:overflowPunct/>
        <w:topLinePunct w:val="0"/>
        <w:autoSpaceDE/>
        <w:autoSpaceDN/>
        <w:bidi w:val="0"/>
        <w:adjustRightInd/>
        <w:snapToGrid/>
        <w:spacing w:after="0" w:line="480" w:lineRule="auto"/>
        <w:ind w:left="0" w:leftChars="0" w:firstLine="420" w:firstLineChars="200"/>
        <w:jc w:val="both"/>
        <w:textAlignment w:val="auto"/>
        <w:rPr>
          <w:rFonts w:eastAsia="微软雅黑"/>
          <w:color w:val="auto"/>
          <w:sz w:val="22"/>
          <w:highlight w:val="none"/>
        </w:rPr>
      </w:pPr>
      <w:r>
        <w:rPr>
          <w:rFonts w:hint="eastAsia" w:ascii="宋体" w:hAnsi="宋体" w:cstheme="minorBidi"/>
          <w:b w:val="0"/>
          <w:color w:val="auto"/>
          <w:sz w:val="21"/>
          <w:szCs w:val="21"/>
          <w:highlight w:val="none"/>
          <w:lang w:val="en-US" w:eastAsia="zh-CN" w:bidi="ar-SA"/>
        </w:rPr>
        <w:t>5</w:t>
      </w:r>
      <w:r>
        <w:rPr>
          <w:rFonts w:ascii="宋体" w:hAnsi="宋体" w:eastAsia="宋体" w:cstheme="minorBidi"/>
          <w:b w:val="0"/>
          <w:color w:val="auto"/>
          <w:sz w:val="21"/>
          <w:szCs w:val="21"/>
          <w:highlight w:val="none"/>
          <w:lang w:val="en-US" w:eastAsia="zh-CN" w:bidi="ar-SA"/>
        </w:rPr>
        <w:t>.</w:t>
      </w:r>
      <w:r>
        <w:rPr>
          <w:rFonts w:hint="eastAsia" w:ascii="宋体" w:hAnsi="宋体" w:eastAsia="宋体" w:cs="Times New Roman"/>
          <w:color w:val="auto"/>
          <w:kern w:val="2"/>
          <w:sz w:val="21"/>
          <w:szCs w:val="20"/>
          <w:highlight w:val="none"/>
        </w:rPr>
        <w:t>投标人认为对投标有利的其他资料</w:t>
      </w:r>
    </w:p>
    <w:p w14:paraId="1A892898">
      <w:pPr>
        <w:rPr>
          <w:rFonts w:hint="eastAsia" w:ascii="宋体" w:hAnsi="宋体"/>
          <w:color w:val="auto"/>
          <w:szCs w:val="21"/>
          <w:highlight w:val="none"/>
        </w:rPr>
      </w:pPr>
    </w:p>
    <w:p w14:paraId="4F8BBC83">
      <w:pPr>
        <w:jc w:val="center"/>
        <w:rPr>
          <w:rFonts w:ascii="宋体" w:hAnsi="宋体" w:cs="Times New Roman"/>
          <w:color w:val="auto"/>
          <w:szCs w:val="21"/>
          <w:highlight w:val="none"/>
        </w:rPr>
      </w:pPr>
      <w:r>
        <w:rPr>
          <w:rFonts w:hint="eastAsia" w:ascii="宋体" w:hAnsi="宋体"/>
          <w:color w:val="auto"/>
          <w:szCs w:val="21"/>
          <w:highlight w:val="none"/>
          <w:lang w:eastAsia="zh-CN"/>
        </w:rPr>
        <w:t>（由投标人自行编写）</w:t>
      </w:r>
    </w:p>
    <w:p w14:paraId="1E4F9BE1">
      <w:pPr>
        <w:jc w:val="center"/>
        <w:rPr>
          <w:rFonts w:ascii="宋体" w:hAnsi="宋体" w:cs="Times New Roman"/>
          <w:color w:val="auto"/>
          <w:szCs w:val="21"/>
          <w:highlight w:val="none"/>
        </w:rPr>
      </w:pPr>
    </w:p>
    <w:p w14:paraId="371EC82C">
      <w:pPr>
        <w:ind w:left="718" w:leftChars="200" w:hanging="298" w:hangingChars="142"/>
        <w:rPr>
          <w:rFonts w:ascii="宋体" w:hAnsi="宋体"/>
          <w:color w:val="auto"/>
          <w:szCs w:val="21"/>
          <w:highlight w:val="none"/>
        </w:rPr>
      </w:pPr>
    </w:p>
    <w:p w14:paraId="4EC80415">
      <w:pPr>
        <w:ind w:left="718" w:leftChars="200" w:hanging="298" w:hangingChars="142"/>
        <w:rPr>
          <w:rFonts w:ascii="宋体" w:hAnsi="宋体"/>
          <w:color w:val="auto"/>
          <w:szCs w:val="21"/>
          <w:highlight w:val="none"/>
        </w:rPr>
      </w:pPr>
    </w:p>
    <w:p w14:paraId="76125DB7">
      <w:pPr>
        <w:ind w:left="718" w:leftChars="200" w:hanging="298" w:hangingChars="142"/>
        <w:rPr>
          <w:rFonts w:ascii="宋体" w:hAnsi="宋体"/>
          <w:color w:val="auto"/>
          <w:szCs w:val="21"/>
          <w:highlight w:val="none"/>
        </w:rPr>
      </w:pPr>
      <w:r>
        <w:rPr>
          <w:rFonts w:hint="eastAsia" w:ascii="宋体" w:hAnsi="宋体"/>
          <w:color w:val="auto"/>
          <w:szCs w:val="21"/>
          <w:highlight w:val="none"/>
        </w:rPr>
        <w:br w:type="page"/>
      </w:r>
    </w:p>
    <w:p w14:paraId="5D258FF1">
      <w:pPr>
        <w:pStyle w:val="5"/>
        <w:widowControl w:val="0"/>
        <w:overflowPunct w:val="0"/>
        <w:spacing w:line="240" w:lineRule="auto"/>
        <w:rPr>
          <w:rFonts w:ascii="宋体" w:hAnsi="宋体"/>
          <w:color w:val="auto"/>
          <w:sz w:val="21"/>
          <w:szCs w:val="21"/>
          <w:highlight w:val="none"/>
        </w:rPr>
      </w:pPr>
      <w:bookmarkStart w:id="207" w:name="_Toc30173"/>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7</w:t>
      </w:r>
      <w:r>
        <w:rPr>
          <w:rFonts w:hint="eastAsia" w:ascii="宋体" w:hAnsi="宋体"/>
          <w:color w:val="auto"/>
          <w:sz w:val="21"/>
          <w:szCs w:val="21"/>
          <w:highlight w:val="none"/>
        </w:rPr>
        <w:t>.实施本项目的有关人员资料表格式</w:t>
      </w:r>
      <w:bookmarkEnd w:id="207"/>
    </w:p>
    <w:p w14:paraId="13D97120">
      <w:pPr>
        <w:jc w:val="center"/>
        <w:rPr>
          <w:rFonts w:ascii="宋体" w:hAnsi="宋体"/>
          <w:color w:val="auto"/>
          <w:szCs w:val="21"/>
          <w:highlight w:val="none"/>
        </w:rPr>
      </w:pPr>
    </w:p>
    <w:p w14:paraId="2D1E1CA1">
      <w:pPr>
        <w:jc w:val="center"/>
        <w:rPr>
          <w:rFonts w:ascii="黑体" w:eastAsia="黑体"/>
          <w:color w:val="auto"/>
          <w:sz w:val="32"/>
          <w:szCs w:val="32"/>
          <w:highlight w:val="none"/>
        </w:rPr>
      </w:pPr>
      <w:r>
        <w:rPr>
          <w:rFonts w:hint="eastAsia" w:ascii="黑体" w:eastAsia="黑体"/>
          <w:color w:val="auto"/>
          <w:sz w:val="32"/>
          <w:szCs w:val="32"/>
          <w:highlight w:val="none"/>
        </w:rPr>
        <w:t>实施本项目的有关人员资料表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0"/>
        <w:gridCol w:w="821"/>
        <w:gridCol w:w="2176"/>
        <w:gridCol w:w="821"/>
        <w:gridCol w:w="821"/>
        <w:gridCol w:w="1361"/>
        <w:gridCol w:w="956"/>
        <w:gridCol w:w="1361"/>
        <w:gridCol w:w="821"/>
      </w:tblGrid>
      <w:tr w14:paraId="518BD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2" w:type="pct"/>
            <w:vAlign w:val="center"/>
          </w:tcPr>
          <w:p w14:paraId="096184C6">
            <w:pPr>
              <w:jc w:val="center"/>
              <w:rPr>
                <w:rFonts w:ascii="宋体" w:hAnsi="宋体"/>
                <w:color w:val="auto"/>
                <w:szCs w:val="21"/>
                <w:highlight w:val="none"/>
              </w:rPr>
            </w:pPr>
            <w:r>
              <w:rPr>
                <w:rFonts w:hint="eastAsia" w:ascii="宋体" w:hAnsi="宋体"/>
                <w:color w:val="auto"/>
                <w:szCs w:val="21"/>
                <w:highlight w:val="none"/>
              </w:rPr>
              <w:t>序号</w:t>
            </w:r>
          </w:p>
        </w:tc>
        <w:tc>
          <w:tcPr>
            <w:tcW w:w="412" w:type="pct"/>
            <w:vAlign w:val="center"/>
          </w:tcPr>
          <w:p w14:paraId="6676F294">
            <w:pPr>
              <w:jc w:val="center"/>
              <w:rPr>
                <w:rFonts w:ascii="宋体" w:hAnsi="宋体"/>
                <w:color w:val="auto"/>
                <w:szCs w:val="21"/>
                <w:highlight w:val="none"/>
              </w:rPr>
            </w:pPr>
            <w:r>
              <w:rPr>
                <w:rFonts w:hint="eastAsia" w:ascii="宋体" w:hAnsi="宋体"/>
                <w:color w:val="auto"/>
                <w:szCs w:val="21"/>
                <w:highlight w:val="none"/>
              </w:rPr>
              <w:t>姓名</w:t>
            </w:r>
          </w:p>
        </w:tc>
        <w:tc>
          <w:tcPr>
            <w:tcW w:w="1092" w:type="pct"/>
            <w:vAlign w:val="center"/>
          </w:tcPr>
          <w:p w14:paraId="4285B97C">
            <w:pPr>
              <w:jc w:val="center"/>
              <w:rPr>
                <w:rFonts w:ascii="宋体" w:hAnsi="宋体"/>
                <w:color w:val="auto"/>
                <w:szCs w:val="21"/>
                <w:highlight w:val="none"/>
              </w:rPr>
            </w:pPr>
            <w:r>
              <w:rPr>
                <w:rFonts w:hint="eastAsia" w:ascii="宋体" w:hAnsi="宋体"/>
                <w:color w:val="auto"/>
                <w:szCs w:val="21"/>
                <w:highlight w:val="none"/>
              </w:rPr>
              <w:t>本项目拟任岗位</w:t>
            </w:r>
          </w:p>
        </w:tc>
        <w:tc>
          <w:tcPr>
            <w:tcW w:w="412" w:type="pct"/>
            <w:vAlign w:val="center"/>
          </w:tcPr>
          <w:p w14:paraId="62B59393">
            <w:pPr>
              <w:jc w:val="center"/>
              <w:rPr>
                <w:rFonts w:ascii="宋体" w:hAnsi="宋体"/>
                <w:color w:val="auto"/>
                <w:szCs w:val="21"/>
                <w:highlight w:val="none"/>
              </w:rPr>
            </w:pPr>
            <w:r>
              <w:rPr>
                <w:rFonts w:hint="eastAsia" w:ascii="宋体" w:hAnsi="宋体"/>
                <w:color w:val="auto"/>
                <w:szCs w:val="21"/>
                <w:highlight w:val="none"/>
              </w:rPr>
              <w:t>性别</w:t>
            </w:r>
          </w:p>
        </w:tc>
        <w:tc>
          <w:tcPr>
            <w:tcW w:w="412" w:type="pct"/>
            <w:vAlign w:val="center"/>
          </w:tcPr>
          <w:p w14:paraId="2B7EB39F">
            <w:pPr>
              <w:jc w:val="center"/>
              <w:rPr>
                <w:rFonts w:ascii="宋体" w:hAnsi="宋体"/>
                <w:color w:val="auto"/>
                <w:szCs w:val="21"/>
                <w:highlight w:val="none"/>
              </w:rPr>
            </w:pPr>
            <w:r>
              <w:rPr>
                <w:rFonts w:hint="eastAsia" w:ascii="宋体" w:hAnsi="宋体"/>
                <w:color w:val="auto"/>
                <w:szCs w:val="21"/>
                <w:highlight w:val="none"/>
              </w:rPr>
              <w:t>年龄</w:t>
            </w:r>
          </w:p>
        </w:tc>
        <w:tc>
          <w:tcPr>
            <w:tcW w:w="683" w:type="pct"/>
            <w:vAlign w:val="center"/>
          </w:tcPr>
          <w:p w14:paraId="67122B0E">
            <w:pPr>
              <w:jc w:val="center"/>
              <w:rPr>
                <w:rFonts w:ascii="宋体" w:hAnsi="宋体"/>
                <w:color w:val="auto"/>
                <w:szCs w:val="21"/>
                <w:highlight w:val="none"/>
              </w:rPr>
            </w:pPr>
            <w:r>
              <w:rPr>
                <w:rFonts w:hint="eastAsia" w:ascii="宋体" w:hAnsi="宋体"/>
                <w:color w:val="auto"/>
                <w:szCs w:val="21"/>
                <w:highlight w:val="none"/>
              </w:rPr>
              <w:t>技术职称</w:t>
            </w:r>
          </w:p>
        </w:tc>
        <w:tc>
          <w:tcPr>
            <w:tcW w:w="480" w:type="pct"/>
            <w:vAlign w:val="center"/>
          </w:tcPr>
          <w:p w14:paraId="21F42E1B">
            <w:pPr>
              <w:jc w:val="center"/>
              <w:rPr>
                <w:rFonts w:ascii="宋体" w:hAnsi="宋体"/>
                <w:color w:val="auto"/>
                <w:szCs w:val="21"/>
                <w:highlight w:val="none"/>
              </w:rPr>
            </w:pPr>
            <w:r>
              <w:rPr>
                <w:rFonts w:hint="eastAsia" w:ascii="宋体" w:hAnsi="宋体"/>
                <w:color w:val="auto"/>
                <w:szCs w:val="21"/>
                <w:highlight w:val="none"/>
              </w:rPr>
              <w:t>专业</w:t>
            </w:r>
          </w:p>
        </w:tc>
        <w:tc>
          <w:tcPr>
            <w:tcW w:w="683" w:type="pct"/>
            <w:vAlign w:val="center"/>
          </w:tcPr>
          <w:p w14:paraId="38EC77C6">
            <w:pPr>
              <w:jc w:val="center"/>
              <w:rPr>
                <w:rFonts w:ascii="宋体" w:hAnsi="宋体"/>
                <w:color w:val="auto"/>
                <w:szCs w:val="21"/>
                <w:highlight w:val="none"/>
              </w:rPr>
            </w:pPr>
            <w:r>
              <w:rPr>
                <w:rFonts w:hint="eastAsia" w:ascii="宋体" w:hAnsi="宋体"/>
                <w:color w:val="auto"/>
                <w:szCs w:val="21"/>
                <w:highlight w:val="none"/>
              </w:rPr>
              <w:t>资质证书</w:t>
            </w:r>
          </w:p>
        </w:tc>
        <w:tc>
          <w:tcPr>
            <w:tcW w:w="412" w:type="pct"/>
            <w:tcBorders>
              <w:right w:val="single" w:color="auto" w:sz="6" w:space="0"/>
            </w:tcBorders>
            <w:vAlign w:val="center"/>
          </w:tcPr>
          <w:p w14:paraId="4A50CC6D">
            <w:pPr>
              <w:jc w:val="center"/>
              <w:rPr>
                <w:rFonts w:ascii="宋体" w:hAnsi="宋体"/>
                <w:color w:val="auto"/>
                <w:szCs w:val="21"/>
                <w:highlight w:val="none"/>
              </w:rPr>
            </w:pPr>
            <w:r>
              <w:rPr>
                <w:rFonts w:hint="eastAsia" w:ascii="宋体" w:hAnsi="宋体"/>
                <w:color w:val="auto"/>
                <w:szCs w:val="21"/>
                <w:highlight w:val="none"/>
              </w:rPr>
              <w:t>备注</w:t>
            </w:r>
          </w:p>
        </w:tc>
      </w:tr>
      <w:tr w14:paraId="58FC6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48B81948">
            <w:pPr>
              <w:spacing w:line="288" w:lineRule="auto"/>
              <w:jc w:val="center"/>
              <w:rPr>
                <w:rFonts w:ascii="宋体" w:hAnsi="宋体"/>
                <w:color w:val="auto"/>
                <w:szCs w:val="21"/>
                <w:highlight w:val="none"/>
              </w:rPr>
            </w:pPr>
          </w:p>
        </w:tc>
        <w:tc>
          <w:tcPr>
            <w:tcW w:w="412" w:type="pct"/>
            <w:vAlign w:val="center"/>
          </w:tcPr>
          <w:p w14:paraId="48786E36">
            <w:pPr>
              <w:spacing w:line="288" w:lineRule="auto"/>
              <w:jc w:val="center"/>
              <w:rPr>
                <w:rFonts w:ascii="宋体" w:hAnsi="宋体"/>
                <w:color w:val="auto"/>
                <w:szCs w:val="21"/>
                <w:highlight w:val="none"/>
              </w:rPr>
            </w:pPr>
          </w:p>
        </w:tc>
        <w:tc>
          <w:tcPr>
            <w:tcW w:w="1092" w:type="pct"/>
            <w:vAlign w:val="center"/>
          </w:tcPr>
          <w:p w14:paraId="71DC3821">
            <w:pPr>
              <w:spacing w:line="288" w:lineRule="auto"/>
              <w:jc w:val="center"/>
              <w:rPr>
                <w:rFonts w:ascii="宋体" w:hAnsi="宋体"/>
                <w:color w:val="auto"/>
                <w:szCs w:val="21"/>
                <w:highlight w:val="none"/>
              </w:rPr>
            </w:pPr>
          </w:p>
        </w:tc>
        <w:tc>
          <w:tcPr>
            <w:tcW w:w="412" w:type="pct"/>
            <w:vAlign w:val="center"/>
          </w:tcPr>
          <w:p w14:paraId="4A08CB6C">
            <w:pPr>
              <w:spacing w:line="288" w:lineRule="auto"/>
              <w:jc w:val="center"/>
              <w:rPr>
                <w:rFonts w:ascii="宋体" w:hAnsi="宋体"/>
                <w:color w:val="auto"/>
                <w:szCs w:val="21"/>
                <w:highlight w:val="none"/>
              </w:rPr>
            </w:pPr>
          </w:p>
        </w:tc>
        <w:tc>
          <w:tcPr>
            <w:tcW w:w="412" w:type="pct"/>
            <w:vAlign w:val="center"/>
          </w:tcPr>
          <w:p w14:paraId="4D6B81ED">
            <w:pPr>
              <w:spacing w:line="288" w:lineRule="auto"/>
              <w:jc w:val="center"/>
              <w:rPr>
                <w:rFonts w:ascii="宋体" w:hAnsi="宋体"/>
                <w:color w:val="auto"/>
                <w:szCs w:val="21"/>
                <w:highlight w:val="none"/>
              </w:rPr>
            </w:pPr>
          </w:p>
        </w:tc>
        <w:tc>
          <w:tcPr>
            <w:tcW w:w="683" w:type="pct"/>
            <w:vAlign w:val="center"/>
          </w:tcPr>
          <w:p w14:paraId="1E97A701">
            <w:pPr>
              <w:spacing w:line="288" w:lineRule="auto"/>
              <w:jc w:val="center"/>
              <w:rPr>
                <w:rFonts w:ascii="宋体" w:hAnsi="宋体"/>
                <w:color w:val="auto"/>
                <w:szCs w:val="21"/>
                <w:highlight w:val="none"/>
              </w:rPr>
            </w:pPr>
          </w:p>
        </w:tc>
        <w:tc>
          <w:tcPr>
            <w:tcW w:w="480" w:type="pct"/>
            <w:vAlign w:val="center"/>
          </w:tcPr>
          <w:p w14:paraId="12761F37">
            <w:pPr>
              <w:spacing w:line="288" w:lineRule="auto"/>
              <w:jc w:val="center"/>
              <w:rPr>
                <w:rFonts w:ascii="宋体" w:hAnsi="宋体"/>
                <w:color w:val="auto"/>
                <w:szCs w:val="21"/>
                <w:highlight w:val="none"/>
              </w:rPr>
            </w:pPr>
          </w:p>
        </w:tc>
        <w:tc>
          <w:tcPr>
            <w:tcW w:w="683" w:type="pct"/>
            <w:vAlign w:val="center"/>
          </w:tcPr>
          <w:p w14:paraId="1D828309">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537DD01B">
            <w:pPr>
              <w:spacing w:line="288" w:lineRule="auto"/>
              <w:jc w:val="center"/>
              <w:rPr>
                <w:rFonts w:ascii="宋体" w:hAnsi="宋体"/>
                <w:color w:val="auto"/>
                <w:szCs w:val="21"/>
                <w:highlight w:val="none"/>
              </w:rPr>
            </w:pPr>
          </w:p>
        </w:tc>
      </w:tr>
      <w:tr w14:paraId="35DD3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1EAD4DE4">
            <w:pPr>
              <w:spacing w:line="288" w:lineRule="auto"/>
              <w:jc w:val="center"/>
              <w:rPr>
                <w:rFonts w:ascii="宋体" w:hAnsi="宋体"/>
                <w:color w:val="auto"/>
                <w:szCs w:val="21"/>
                <w:highlight w:val="none"/>
              </w:rPr>
            </w:pPr>
          </w:p>
        </w:tc>
        <w:tc>
          <w:tcPr>
            <w:tcW w:w="412" w:type="pct"/>
            <w:vAlign w:val="center"/>
          </w:tcPr>
          <w:p w14:paraId="4B1F8299">
            <w:pPr>
              <w:spacing w:line="288" w:lineRule="auto"/>
              <w:jc w:val="center"/>
              <w:rPr>
                <w:rFonts w:ascii="宋体" w:hAnsi="宋体"/>
                <w:color w:val="auto"/>
                <w:szCs w:val="21"/>
                <w:highlight w:val="none"/>
              </w:rPr>
            </w:pPr>
          </w:p>
        </w:tc>
        <w:tc>
          <w:tcPr>
            <w:tcW w:w="1092" w:type="pct"/>
            <w:vAlign w:val="center"/>
          </w:tcPr>
          <w:p w14:paraId="01622333">
            <w:pPr>
              <w:spacing w:line="288" w:lineRule="auto"/>
              <w:jc w:val="center"/>
              <w:rPr>
                <w:rFonts w:ascii="宋体" w:hAnsi="宋体"/>
                <w:color w:val="auto"/>
                <w:szCs w:val="21"/>
                <w:highlight w:val="none"/>
              </w:rPr>
            </w:pPr>
          </w:p>
        </w:tc>
        <w:tc>
          <w:tcPr>
            <w:tcW w:w="412" w:type="pct"/>
            <w:vAlign w:val="center"/>
          </w:tcPr>
          <w:p w14:paraId="55ADFFDB">
            <w:pPr>
              <w:spacing w:line="288" w:lineRule="auto"/>
              <w:jc w:val="center"/>
              <w:rPr>
                <w:rFonts w:ascii="宋体" w:hAnsi="宋体"/>
                <w:color w:val="auto"/>
                <w:szCs w:val="21"/>
                <w:highlight w:val="none"/>
              </w:rPr>
            </w:pPr>
          </w:p>
        </w:tc>
        <w:tc>
          <w:tcPr>
            <w:tcW w:w="412" w:type="pct"/>
            <w:vAlign w:val="center"/>
          </w:tcPr>
          <w:p w14:paraId="0E401C02">
            <w:pPr>
              <w:spacing w:line="288" w:lineRule="auto"/>
              <w:jc w:val="center"/>
              <w:rPr>
                <w:rFonts w:ascii="宋体" w:hAnsi="宋体"/>
                <w:color w:val="auto"/>
                <w:szCs w:val="21"/>
                <w:highlight w:val="none"/>
              </w:rPr>
            </w:pPr>
          </w:p>
        </w:tc>
        <w:tc>
          <w:tcPr>
            <w:tcW w:w="683" w:type="pct"/>
            <w:vAlign w:val="center"/>
          </w:tcPr>
          <w:p w14:paraId="7CFEAF88">
            <w:pPr>
              <w:spacing w:line="288" w:lineRule="auto"/>
              <w:jc w:val="center"/>
              <w:rPr>
                <w:rFonts w:ascii="宋体" w:hAnsi="宋体"/>
                <w:color w:val="auto"/>
                <w:szCs w:val="21"/>
                <w:highlight w:val="none"/>
              </w:rPr>
            </w:pPr>
          </w:p>
        </w:tc>
        <w:tc>
          <w:tcPr>
            <w:tcW w:w="480" w:type="pct"/>
            <w:vAlign w:val="center"/>
          </w:tcPr>
          <w:p w14:paraId="7B29B8AD">
            <w:pPr>
              <w:spacing w:line="288" w:lineRule="auto"/>
              <w:jc w:val="center"/>
              <w:rPr>
                <w:rFonts w:ascii="宋体" w:hAnsi="宋体"/>
                <w:color w:val="auto"/>
                <w:szCs w:val="21"/>
                <w:highlight w:val="none"/>
              </w:rPr>
            </w:pPr>
          </w:p>
        </w:tc>
        <w:tc>
          <w:tcPr>
            <w:tcW w:w="683" w:type="pct"/>
            <w:vAlign w:val="center"/>
          </w:tcPr>
          <w:p w14:paraId="6C4DDD17">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2BD43F80">
            <w:pPr>
              <w:spacing w:line="288" w:lineRule="auto"/>
              <w:jc w:val="center"/>
              <w:rPr>
                <w:rFonts w:ascii="宋体" w:hAnsi="宋体"/>
                <w:color w:val="auto"/>
                <w:szCs w:val="21"/>
                <w:highlight w:val="none"/>
              </w:rPr>
            </w:pPr>
          </w:p>
        </w:tc>
      </w:tr>
      <w:tr w14:paraId="0CF5B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3D044932">
            <w:pPr>
              <w:spacing w:line="288" w:lineRule="auto"/>
              <w:jc w:val="center"/>
              <w:rPr>
                <w:rFonts w:ascii="宋体" w:hAnsi="宋体"/>
                <w:color w:val="auto"/>
                <w:szCs w:val="21"/>
                <w:highlight w:val="none"/>
              </w:rPr>
            </w:pPr>
          </w:p>
        </w:tc>
        <w:tc>
          <w:tcPr>
            <w:tcW w:w="412" w:type="pct"/>
            <w:vAlign w:val="center"/>
          </w:tcPr>
          <w:p w14:paraId="7368D3B5">
            <w:pPr>
              <w:spacing w:line="288" w:lineRule="auto"/>
              <w:jc w:val="center"/>
              <w:rPr>
                <w:rFonts w:ascii="宋体" w:hAnsi="宋体"/>
                <w:color w:val="auto"/>
                <w:szCs w:val="21"/>
                <w:highlight w:val="none"/>
              </w:rPr>
            </w:pPr>
          </w:p>
        </w:tc>
        <w:tc>
          <w:tcPr>
            <w:tcW w:w="1092" w:type="pct"/>
            <w:vAlign w:val="center"/>
          </w:tcPr>
          <w:p w14:paraId="40E8003F">
            <w:pPr>
              <w:spacing w:line="288" w:lineRule="auto"/>
              <w:jc w:val="center"/>
              <w:rPr>
                <w:rFonts w:ascii="宋体" w:hAnsi="宋体"/>
                <w:color w:val="auto"/>
                <w:szCs w:val="21"/>
                <w:highlight w:val="none"/>
              </w:rPr>
            </w:pPr>
          </w:p>
        </w:tc>
        <w:tc>
          <w:tcPr>
            <w:tcW w:w="412" w:type="pct"/>
            <w:vAlign w:val="center"/>
          </w:tcPr>
          <w:p w14:paraId="39084693">
            <w:pPr>
              <w:spacing w:line="288" w:lineRule="auto"/>
              <w:jc w:val="center"/>
              <w:rPr>
                <w:rFonts w:ascii="宋体" w:hAnsi="宋体"/>
                <w:color w:val="auto"/>
                <w:szCs w:val="21"/>
                <w:highlight w:val="none"/>
              </w:rPr>
            </w:pPr>
          </w:p>
        </w:tc>
        <w:tc>
          <w:tcPr>
            <w:tcW w:w="412" w:type="pct"/>
            <w:vAlign w:val="center"/>
          </w:tcPr>
          <w:p w14:paraId="41A1EC7F">
            <w:pPr>
              <w:spacing w:line="288" w:lineRule="auto"/>
              <w:jc w:val="center"/>
              <w:rPr>
                <w:rFonts w:ascii="宋体" w:hAnsi="宋体"/>
                <w:color w:val="auto"/>
                <w:szCs w:val="21"/>
                <w:highlight w:val="none"/>
              </w:rPr>
            </w:pPr>
          </w:p>
        </w:tc>
        <w:tc>
          <w:tcPr>
            <w:tcW w:w="683" w:type="pct"/>
            <w:vAlign w:val="center"/>
          </w:tcPr>
          <w:p w14:paraId="76721CAD">
            <w:pPr>
              <w:spacing w:line="288" w:lineRule="auto"/>
              <w:jc w:val="center"/>
              <w:rPr>
                <w:rFonts w:ascii="宋体" w:hAnsi="宋体"/>
                <w:color w:val="auto"/>
                <w:szCs w:val="21"/>
                <w:highlight w:val="none"/>
              </w:rPr>
            </w:pPr>
          </w:p>
        </w:tc>
        <w:tc>
          <w:tcPr>
            <w:tcW w:w="480" w:type="pct"/>
            <w:vAlign w:val="center"/>
          </w:tcPr>
          <w:p w14:paraId="2031D4D9">
            <w:pPr>
              <w:spacing w:line="288" w:lineRule="auto"/>
              <w:jc w:val="center"/>
              <w:rPr>
                <w:rFonts w:ascii="宋体" w:hAnsi="宋体"/>
                <w:color w:val="auto"/>
                <w:szCs w:val="21"/>
                <w:highlight w:val="none"/>
              </w:rPr>
            </w:pPr>
          </w:p>
        </w:tc>
        <w:tc>
          <w:tcPr>
            <w:tcW w:w="683" w:type="pct"/>
            <w:vAlign w:val="center"/>
          </w:tcPr>
          <w:p w14:paraId="4505D083">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6F472CCF">
            <w:pPr>
              <w:spacing w:line="288" w:lineRule="auto"/>
              <w:jc w:val="center"/>
              <w:rPr>
                <w:rFonts w:ascii="宋体" w:hAnsi="宋体"/>
                <w:color w:val="auto"/>
                <w:szCs w:val="21"/>
                <w:highlight w:val="none"/>
              </w:rPr>
            </w:pPr>
          </w:p>
        </w:tc>
      </w:tr>
      <w:tr w14:paraId="22CD2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371B0F67">
            <w:pPr>
              <w:spacing w:line="288" w:lineRule="auto"/>
              <w:jc w:val="center"/>
              <w:rPr>
                <w:rFonts w:ascii="宋体" w:hAnsi="宋体"/>
                <w:color w:val="auto"/>
                <w:szCs w:val="21"/>
                <w:highlight w:val="none"/>
              </w:rPr>
            </w:pPr>
          </w:p>
        </w:tc>
        <w:tc>
          <w:tcPr>
            <w:tcW w:w="412" w:type="pct"/>
            <w:vAlign w:val="center"/>
          </w:tcPr>
          <w:p w14:paraId="54F95168">
            <w:pPr>
              <w:spacing w:line="288" w:lineRule="auto"/>
              <w:jc w:val="center"/>
              <w:rPr>
                <w:rFonts w:ascii="宋体" w:hAnsi="宋体"/>
                <w:color w:val="auto"/>
                <w:szCs w:val="21"/>
                <w:highlight w:val="none"/>
              </w:rPr>
            </w:pPr>
          </w:p>
        </w:tc>
        <w:tc>
          <w:tcPr>
            <w:tcW w:w="1092" w:type="pct"/>
            <w:vAlign w:val="center"/>
          </w:tcPr>
          <w:p w14:paraId="23E7A5F9">
            <w:pPr>
              <w:spacing w:line="288" w:lineRule="auto"/>
              <w:jc w:val="center"/>
              <w:rPr>
                <w:rFonts w:ascii="宋体" w:hAnsi="宋体"/>
                <w:color w:val="auto"/>
                <w:szCs w:val="21"/>
                <w:highlight w:val="none"/>
              </w:rPr>
            </w:pPr>
          </w:p>
        </w:tc>
        <w:tc>
          <w:tcPr>
            <w:tcW w:w="412" w:type="pct"/>
            <w:vAlign w:val="center"/>
          </w:tcPr>
          <w:p w14:paraId="62A2E2AE">
            <w:pPr>
              <w:spacing w:line="288" w:lineRule="auto"/>
              <w:jc w:val="center"/>
              <w:rPr>
                <w:rFonts w:ascii="宋体" w:hAnsi="宋体"/>
                <w:color w:val="auto"/>
                <w:szCs w:val="21"/>
                <w:highlight w:val="none"/>
              </w:rPr>
            </w:pPr>
          </w:p>
        </w:tc>
        <w:tc>
          <w:tcPr>
            <w:tcW w:w="412" w:type="pct"/>
            <w:vAlign w:val="center"/>
          </w:tcPr>
          <w:p w14:paraId="1B62FA9D">
            <w:pPr>
              <w:spacing w:line="288" w:lineRule="auto"/>
              <w:jc w:val="center"/>
              <w:rPr>
                <w:rFonts w:ascii="宋体" w:hAnsi="宋体"/>
                <w:color w:val="auto"/>
                <w:szCs w:val="21"/>
                <w:highlight w:val="none"/>
              </w:rPr>
            </w:pPr>
          </w:p>
        </w:tc>
        <w:tc>
          <w:tcPr>
            <w:tcW w:w="683" w:type="pct"/>
            <w:vAlign w:val="center"/>
          </w:tcPr>
          <w:p w14:paraId="5303D9C0">
            <w:pPr>
              <w:spacing w:line="288" w:lineRule="auto"/>
              <w:jc w:val="center"/>
              <w:rPr>
                <w:rFonts w:ascii="宋体" w:hAnsi="宋体"/>
                <w:color w:val="auto"/>
                <w:szCs w:val="21"/>
                <w:highlight w:val="none"/>
              </w:rPr>
            </w:pPr>
          </w:p>
        </w:tc>
        <w:tc>
          <w:tcPr>
            <w:tcW w:w="480" w:type="pct"/>
            <w:vAlign w:val="center"/>
          </w:tcPr>
          <w:p w14:paraId="3DCC25C4">
            <w:pPr>
              <w:spacing w:line="288" w:lineRule="auto"/>
              <w:jc w:val="center"/>
              <w:rPr>
                <w:rFonts w:ascii="宋体" w:hAnsi="宋体"/>
                <w:color w:val="auto"/>
                <w:szCs w:val="21"/>
                <w:highlight w:val="none"/>
              </w:rPr>
            </w:pPr>
          </w:p>
        </w:tc>
        <w:tc>
          <w:tcPr>
            <w:tcW w:w="683" w:type="pct"/>
            <w:vAlign w:val="center"/>
          </w:tcPr>
          <w:p w14:paraId="08189F09">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5721A418">
            <w:pPr>
              <w:spacing w:line="288" w:lineRule="auto"/>
              <w:jc w:val="center"/>
              <w:rPr>
                <w:rFonts w:ascii="宋体" w:hAnsi="宋体"/>
                <w:color w:val="auto"/>
                <w:szCs w:val="21"/>
                <w:highlight w:val="none"/>
              </w:rPr>
            </w:pPr>
          </w:p>
        </w:tc>
      </w:tr>
      <w:tr w14:paraId="0F38F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1A329D54">
            <w:pPr>
              <w:spacing w:line="288" w:lineRule="auto"/>
              <w:jc w:val="center"/>
              <w:rPr>
                <w:rFonts w:ascii="宋体" w:hAnsi="宋体"/>
                <w:color w:val="auto"/>
                <w:szCs w:val="21"/>
                <w:highlight w:val="none"/>
              </w:rPr>
            </w:pPr>
          </w:p>
        </w:tc>
        <w:tc>
          <w:tcPr>
            <w:tcW w:w="412" w:type="pct"/>
            <w:vAlign w:val="center"/>
          </w:tcPr>
          <w:p w14:paraId="20D7483E">
            <w:pPr>
              <w:spacing w:line="288" w:lineRule="auto"/>
              <w:jc w:val="center"/>
              <w:rPr>
                <w:rFonts w:ascii="宋体" w:hAnsi="宋体"/>
                <w:color w:val="auto"/>
                <w:szCs w:val="21"/>
                <w:highlight w:val="none"/>
              </w:rPr>
            </w:pPr>
          </w:p>
        </w:tc>
        <w:tc>
          <w:tcPr>
            <w:tcW w:w="1092" w:type="pct"/>
            <w:vAlign w:val="center"/>
          </w:tcPr>
          <w:p w14:paraId="2C3813CD">
            <w:pPr>
              <w:spacing w:line="288" w:lineRule="auto"/>
              <w:jc w:val="center"/>
              <w:rPr>
                <w:rFonts w:ascii="宋体" w:hAnsi="宋体"/>
                <w:color w:val="auto"/>
                <w:szCs w:val="21"/>
                <w:highlight w:val="none"/>
              </w:rPr>
            </w:pPr>
          </w:p>
        </w:tc>
        <w:tc>
          <w:tcPr>
            <w:tcW w:w="412" w:type="pct"/>
            <w:vAlign w:val="center"/>
          </w:tcPr>
          <w:p w14:paraId="31A58E9E">
            <w:pPr>
              <w:spacing w:line="288" w:lineRule="auto"/>
              <w:jc w:val="center"/>
              <w:rPr>
                <w:rFonts w:ascii="宋体" w:hAnsi="宋体"/>
                <w:color w:val="auto"/>
                <w:szCs w:val="21"/>
                <w:highlight w:val="none"/>
              </w:rPr>
            </w:pPr>
          </w:p>
        </w:tc>
        <w:tc>
          <w:tcPr>
            <w:tcW w:w="412" w:type="pct"/>
            <w:vAlign w:val="center"/>
          </w:tcPr>
          <w:p w14:paraId="2AC33794">
            <w:pPr>
              <w:spacing w:line="288" w:lineRule="auto"/>
              <w:jc w:val="center"/>
              <w:rPr>
                <w:rFonts w:ascii="宋体" w:hAnsi="宋体"/>
                <w:color w:val="auto"/>
                <w:szCs w:val="21"/>
                <w:highlight w:val="none"/>
              </w:rPr>
            </w:pPr>
          </w:p>
        </w:tc>
        <w:tc>
          <w:tcPr>
            <w:tcW w:w="683" w:type="pct"/>
            <w:vAlign w:val="center"/>
          </w:tcPr>
          <w:p w14:paraId="3F77FF53">
            <w:pPr>
              <w:spacing w:line="288" w:lineRule="auto"/>
              <w:jc w:val="center"/>
              <w:rPr>
                <w:rFonts w:ascii="宋体" w:hAnsi="宋体"/>
                <w:color w:val="auto"/>
                <w:szCs w:val="21"/>
                <w:highlight w:val="none"/>
              </w:rPr>
            </w:pPr>
          </w:p>
        </w:tc>
        <w:tc>
          <w:tcPr>
            <w:tcW w:w="480" w:type="pct"/>
            <w:vAlign w:val="center"/>
          </w:tcPr>
          <w:p w14:paraId="02FE1C9C">
            <w:pPr>
              <w:spacing w:line="288" w:lineRule="auto"/>
              <w:jc w:val="center"/>
              <w:rPr>
                <w:rFonts w:ascii="宋体" w:hAnsi="宋体"/>
                <w:color w:val="auto"/>
                <w:szCs w:val="21"/>
                <w:highlight w:val="none"/>
              </w:rPr>
            </w:pPr>
          </w:p>
        </w:tc>
        <w:tc>
          <w:tcPr>
            <w:tcW w:w="683" w:type="pct"/>
            <w:vAlign w:val="center"/>
          </w:tcPr>
          <w:p w14:paraId="2D371D79">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217129C6">
            <w:pPr>
              <w:spacing w:line="288" w:lineRule="auto"/>
              <w:jc w:val="center"/>
              <w:rPr>
                <w:rFonts w:ascii="宋体" w:hAnsi="宋体"/>
                <w:color w:val="auto"/>
                <w:szCs w:val="21"/>
                <w:highlight w:val="none"/>
              </w:rPr>
            </w:pPr>
          </w:p>
        </w:tc>
      </w:tr>
      <w:tr w14:paraId="77F48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1896777F">
            <w:pPr>
              <w:spacing w:line="288" w:lineRule="auto"/>
              <w:jc w:val="center"/>
              <w:rPr>
                <w:rFonts w:ascii="宋体" w:hAnsi="宋体"/>
                <w:color w:val="auto"/>
                <w:szCs w:val="21"/>
                <w:highlight w:val="none"/>
              </w:rPr>
            </w:pPr>
          </w:p>
        </w:tc>
        <w:tc>
          <w:tcPr>
            <w:tcW w:w="412" w:type="pct"/>
            <w:vAlign w:val="center"/>
          </w:tcPr>
          <w:p w14:paraId="3FBCEAF4">
            <w:pPr>
              <w:spacing w:line="288" w:lineRule="auto"/>
              <w:jc w:val="center"/>
              <w:rPr>
                <w:rFonts w:ascii="宋体" w:hAnsi="宋体"/>
                <w:color w:val="auto"/>
                <w:szCs w:val="21"/>
                <w:highlight w:val="none"/>
              </w:rPr>
            </w:pPr>
          </w:p>
        </w:tc>
        <w:tc>
          <w:tcPr>
            <w:tcW w:w="1092" w:type="pct"/>
            <w:vAlign w:val="center"/>
          </w:tcPr>
          <w:p w14:paraId="2171793E">
            <w:pPr>
              <w:spacing w:line="288" w:lineRule="auto"/>
              <w:jc w:val="center"/>
              <w:rPr>
                <w:rFonts w:ascii="宋体" w:hAnsi="宋体"/>
                <w:color w:val="auto"/>
                <w:szCs w:val="21"/>
                <w:highlight w:val="none"/>
              </w:rPr>
            </w:pPr>
          </w:p>
        </w:tc>
        <w:tc>
          <w:tcPr>
            <w:tcW w:w="412" w:type="pct"/>
            <w:vAlign w:val="center"/>
          </w:tcPr>
          <w:p w14:paraId="5BD8E004">
            <w:pPr>
              <w:spacing w:line="288" w:lineRule="auto"/>
              <w:jc w:val="center"/>
              <w:rPr>
                <w:rFonts w:ascii="宋体" w:hAnsi="宋体"/>
                <w:color w:val="auto"/>
                <w:szCs w:val="21"/>
                <w:highlight w:val="none"/>
              </w:rPr>
            </w:pPr>
          </w:p>
        </w:tc>
        <w:tc>
          <w:tcPr>
            <w:tcW w:w="412" w:type="pct"/>
            <w:vAlign w:val="center"/>
          </w:tcPr>
          <w:p w14:paraId="7ED13A40">
            <w:pPr>
              <w:spacing w:line="288" w:lineRule="auto"/>
              <w:jc w:val="center"/>
              <w:rPr>
                <w:rFonts w:ascii="宋体" w:hAnsi="宋体"/>
                <w:color w:val="auto"/>
                <w:szCs w:val="21"/>
                <w:highlight w:val="none"/>
              </w:rPr>
            </w:pPr>
          </w:p>
        </w:tc>
        <w:tc>
          <w:tcPr>
            <w:tcW w:w="683" w:type="pct"/>
            <w:vAlign w:val="center"/>
          </w:tcPr>
          <w:p w14:paraId="2433930A">
            <w:pPr>
              <w:spacing w:line="288" w:lineRule="auto"/>
              <w:jc w:val="center"/>
              <w:rPr>
                <w:rFonts w:ascii="宋体" w:hAnsi="宋体"/>
                <w:color w:val="auto"/>
                <w:szCs w:val="21"/>
                <w:highlight w:val="none"/>
              </w:rPr>
            </w:pPr>
          </w:p>
        </w:tc>
        <w:tc>
          <w:tcPr>
            <w:tcW w:w="480" w:type="pct"/>
            <w:vAlign w:val="center"/>
          </w:tcPr>
          <w:p w14:paraId="4815BD71">
            <w:pPr>
              <w:spacing w:line="288" w:lineRule="auto"/>
              <w:jc w:val="center"/>
              <w:rPr>
                <w:rFonts w:ascii="宋体" w:hAnsi="宋体"/>
                <w:color w:val="auto"/>
                <w:szCs w:val="21"/>
                <w:highlight w:val="none"/>
              </w:rPr>
            </w:pPr>
          </w:p>
        </w:tc>
        <w:tc>
          <w:tcPr>
            <w:tcW w:w="683" w:type="pct"/>
            <w:vAlign w:val="center"/>
          </w:tcPr>
          <w:p w14:paraId="78F8E877">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30C4E3AB">
            <w:pPr>
              <w:spacing w:line="288" w:lineRule="auto"/>
              <w:jc w:val="center"/>
              <w:rPr>
                <w:rFonts w:ascii="宋体" w:hAnsi="宋体"/>
                <w:color w:val="auto"/>
                <w:szCs w:val="21"/>
                <w:highlight w:val="none"/>
              </w:rPr>
            </w:pPr>
          </w:p>
        </w:tc>
      </w:tr>
      <w:tr w14:paraId="4A63D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661F40B4">
            <w:pPr>
              <w:spacing w:line="288" w:lineRule="auto"/>
              <w:jc w:val="center"/>
              <w:rPr>
                <w:rFonts w:ascii="宋体" w:hAnsi="宋体"/>
                <w:color w:val="auto"/>
                <w:szCs w:val="21"/>
                <w:highlight w:val="none"/>
              </w:rPr>
            </w:pPr>
          </w:p>
        </w:tc>
        <w:tc>
          <w:tcPr>
            <w:tcW w:w="412" w:type="pct"/>
            <w:vAlign w:val="center"/>
          </w:tcPr>
          <w:p w14:paraId="1F34C79A">
            <w:pPr>
              <w:spacing w:line="288" w:lineRule="auto"/>
              <w:jc w:val="center"/>
              <w:rPr>
                <w:rFonts w:ascii="宋体" w:hAnsi="宋体"/>
                <w:color w:val="auto"/>
                <w:szCs w:val="21"/>
                <w:highlight w:val="none"/>
              </w:rPr>
            </w:pPr>
          </w:p>
        </w:tc>
        <w:tc>
          <w:tcPr>
            <w:tcW w:w="1092" w:type="pct"/>
            <w:vAlign w:val="center"/>
          </w:tcPr>
          <w:p w14:paraId="20DFC189">
            <w:pPr>
              <w:spacing w:line="288" w:lineRule="auto"/>
              <w:jc w:val="center"/>
              <w:rPr>
                <w:rFonts w:ascii="宋体" w:hAnsi="宋体"/>
                <w:color w:val="auto"/>
                <w:szCs w:val="21"/>
                <w:highlight w:val="none"/>
              </w:rPr>
            </w:pPr>
          </w:p>
        </w:tc>
        <w:tc>
          <w:tcPr>
            <w:tcW w:w="412" w:type="pct"/>
            <w:vAlign w:val="center"/>
          </w:tcPr>
          <w:p w14:paraId="3ABB20BC">
            <w:pPr>
              <w:spacing w:line="288" w:lineRule="auto"/>
              <w:jc w:val="center"/>
              <w:rPr>
                <w:rFonts w:ascii="宋体" w:hAnsi="宋体"/>
                <w:color w:val="auto"/>
                <w:szCs w:val="21"/>
                <w:highlight w:val="none"/>
              </w:rPr>
            </w:pPr>
          </w:p>
        </w:tc>
        <w:tc>
          <w:tcPr>
            <w:tcW w:w="412" w:type="pct"/>
            <w:vAlign w:val="center"/>
          </w:tcPr>
          <w:p w14:paraId="0DA1E34B">
            <w:pPr>
              <w:spacing w:line="288" w:lineRule="auto"/>
              <w:jc w:val="center"/>
              <w:rPr>
                <w:rFonts w:ascii="宋体" w:hAnsi="宋体"/>
                <w:color w:val="auto"/>
                <w:szCs w:val="21"/>
                <w:highlight w:val="none"/>
              </w:rPr>
            </w:pPr>
          </w:p>
        </w:tc>
        <w:tc>
          <w:tcPr>
            <w:tcW w:w="683" w:type="pct"/>
            <w:vAlign w:val="center"/>
          </w:tcPr>
          <w:p w14:paraId="0205E3A2">
            <w:pPr>
              <w:spacing w:line="288" w:lineRule="auto"/>
              <w:jc w:val="center"/>
              <w:rPr>
                <w:rFonts w:ascii="宋体" w:hAnsi="宋体"/>
                <w:color w:val="auto"/>
                <w:szCs w:val="21"/>
                <w:highlight w:val="none"/>
              </w:rPr>
            </w:pPr>
          </w:p>
        </w:tc>
        <w:tc>
          <w:tcPr>
            <w:tcW w:w="480" w:type="pct"/>
            <w:vAlign w:val="center"/>
          </w:tcPr>
          <w:p w14:paraId="7CB473A3">
            <w:pPr>
              <w:spacing w:line="288" w:lineRule="auto"/>
              <w:jc w:val="center"/>
              <w:rPr>
                <w:rFonts w:ascii="宋体" w:hAnsi="宋体"/>
                <w:color w:val="auto"/>
                <w:szCs w:val="21"/>
                <w:highlight w:val="none"/>
              </w:rPr>
            </w:pPr>
          </w:p>
        </w:tc>
        <w:tc>
          <w:tcPr>
            <w:tcW w:w="683" w:type="pct"/>
            <w:vAlign w:val="center"/>
          </w:tcPr>
          <w:p w14:paraId="0C9D4B1B">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4F0B7579">
            <w:pPr>
              <w:spacing w:line="288" w:lineRule="auto"/>
              <w:jc w:val="center"/>
              <w:rPr>
                <w:rFonts w:ascii="宋体" w:hAnsi="宋体"/>
                <w:color w:val="auto"/>
                <w:szCs w:val="21"/>
                <w:highlight w:val="none"/>
              </w:rPr>
            </w:pPr>
          </w:p>
        </w:tc>
      </w:tr>
      <w:tr w14:paraId="5C469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219AB5AD">
            <w:pPr>
              <w:spacing w:line="288" w:lineRule="auto"/>
              <w:jc w:val="center"/>
              <w:rPr>
                <w:rFonts w:ascii="宋体" w:hAnsi="宋体"/>
                <w:color w:val="auto"/>
                <w:szCs w:val="21"/>
                <w:highlight w:val="none"/>
              </w:rPr>
            </w:pPr>
          </w:p>
        </w:tc>
        <w:tc>
          <w:tcPr>
            <w:tcW w:w="412" w:type="pct"/>
            <w:vAlign w:val="center"/>
          </w:tcPr>
          <w:p w14:paraId="3A3D4840">
            <w:pPr>
              <w:spacing w:line="288" w:lineRule="auto"/>
              <w:jc w:val="center"/>
              <w:rPr>
                <w:rFonts w:ascii="宋体" w:hAnsi="宋体"/>
                <w:color w:val="auto"/>
                <w:szCs w:val="21"/>
                <w:highlight w:val="none"/>
              </w:rPr>
            </w:pPr>
          </w:p>
        </w:tc>
        <w:tc>
          <w:tcPr>
            <w:tcW w:w="1092" w:type="pct"/>
            <w:vAlign w:val="center"/>
          </w:tcPr>
          <w:p w14:paraId="3EA5442B">
            <w:pPr>
              <w:spacing w:line="288" w:lineRule="auto"/>
              <w:jc w:val="center"/>
              <w:rPr>
                <w:rFonts w:ascii="宋体" w:hAnsi="宋体"/>
                <w:color w:val="auto"/>
                <w:szCs w:val="21"/>
                <w:highlight w:val="none"/>
              </w:rPr>
            </w:pPr>
          </w:p>
        </w:tc>
        <w:tc>
          <w:tcPr>
            <w:tcW w:w="412" w:type="pct"/>
            <w:vAlign w:val="center"/>
          </w:tcPr>
          <w:p w14:paraId="6B5D47D0">
            <w:pPr>
              <w:spacing w:line="288" w:lineRule="auto"/>
              <w:jc w:val="center"/>
              <w:rPr>
                <w:rFonts w:ascii="宋体" w:hAnsi="宋体"/>
                <w:color w:val="auto"/>
                <w:szCs w:val="21"/>
                <w:highlight w:val="none"/>
              </w:rPr>
            </w:pPr>
          </w:p>
        </w:tc>
        <w:tc>
          <w:tcPr>
            <w:tcW w:w="412" w:type="pct"/>
            <w:vAlign w:val="center"/>
          </w:tcPr>
          <w:p w14:paraId="33CE6E14">
            <w:pPr>
              <w:spacing w:line="288" w:lineRule="auto"/>
              <w:jc w:val="center"/>
              <w:rPr>
                <w:rFonts w:ascii="宋体" w:hAnsi="宋体"/>
                <w:color w:val="auto"/>
                <w:szCs w:val="21"/>
                <w:highlight w:val="none"/>
              </w:rPr>
            </w:pPr>
          </w:p>
        </w:tc>
        <w:tc>
          <w:tcPr>
            <w:tcW w:w="683" w:type="pct"/>
            <w:vAlign w:val="center"/>
          </w:tcPr>
          <w:p w14:paraId="4F4E1EEA">
            <w:pPr>
              <w:spacing w:line="288" w:lineRule="auto"/>
              <w:jc w:val="center"/>
              <w:rPr>
                <w:rFonts w:ascii="宋体" w:hAnsi="宋体"/>
                <w:color w:val="auto"/>
                <w:szCs w:val="21"/>
                <w:highlight w:val="none"/>
              </w:rPr>
            </w:pPr>
          </w:p>
        </w:tc>
        <w:tc>
          <w:tcPr>
            <w:tcW w:w="480" w:type="pct"/>
            <w:vAlign w:val="center"/>
          </w:tcPr>
          <w:p w14:paraId="0CA0CC99">
            <w:pPr>
              <w:spacing w:line="288" w:lineRule="auto"/>
              <w:jc w:val="center"/>
              <w:rPr>
                <w:rFonts w:ascii="宋体" w:hAnsi="宋体"/>
                <w:color w:val="auto"/>
                <w:szCs w:val="21"/>
                <w:highlight w:val="none"/>
              </w:rPr>
            </w:pPr>
          </w:p>
        </w:tc>
        <w:tc>
          <w:tcPr>
            <w:tcW w:w="683" w:type="pct"/>
            <w:vAlign w:val="center"/>
          </w:tcPr>
          <w:p w14:paraId="27680FC8">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3FE1D32E">
            <w:pPr>
              <w:spacing w:line="288" w:lineRule="auto"/>
              <w:jc w:val="center"/>
              <w:rPr>
                <w:rFonts w:ascii="宋体" w:hAnsi="宋体"/>
                <w:color w:val="auto"/>
                <w:szCs w:val="21"/>
                <w:highlight w:val="none"/>
              </w:rPr>
            </w:pPr>
          </w:p>
        </w:tc>
      </w:tr>
      <w:tr w14:paraId="76755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04F0CAA5">
            <w:pPr>
              <w:spacing w:line="288" w:lineRule="auto"/>
              <w:jc w:val="center"/>
              <w:rPr>
                <w:rFonts w:ascii="宋体" w:hAnsi="宋体"/>
                <w:color w:val="auto"/>
                <w:szCs w:val="21"/>
                <w:highlight w:val="none"/>
              </w:rPr>
            </w:pPr>
          </w:p>
        </w:tc>
        <w:tc>
          <w:tcPr>
            <w:tcW w:w="412" w:type="pct"/>
            <w:vAlign w:val="center"/>
          </w:tcPr>
          <w:p w14:paraId="25C95681">
            <w:pPr>
              <w:spacing w:line="288" w:lineRule="auto"/>
              <w:jc w:val="center"/>
              <w:rPr>
                <w:rFonts w:ascii="宋体" w:hAnsi="宋体"/>
                <w:color w:val="auto"/>
                <w:szCs w:val="21"/>
                <w:highlight w:val="none"/>
              </w:rPr>
            </w:pPr>
          </w:p>
        </w:tc>
        <w:tc>
          <w:tcPr>
            <w:tcW w:w="1092" w:type="pct"/>
            <w:vAlign w:val="center"/>
          </w:tcPr>
          <w:p w14:paraId="1BED8D50">
            <w:pPr>
              <w:spacing w:line="288" w:lineRule="auto"/>
              <w:jc w:val="center"/>
              <w:rPr>
                <w:rFonts w:ascii="宋体" w:hAnsi="宋体"/>
                <w:color w:val="auto"/>
                <w:szCs w:val="21"/>
                <w:highlight w:val="none"/>
              </w:rPr>
            </w:pPr>
          </w:p>
        </w:tc>
        <w:tc>
          <w:tcPr>
            <w:tcW w:w="412" w:type="pct"/>
            <w:vAlign w:val="center"/>
          </w:tcPr>
          <w:p w14:paraId="5F7FD457">
            <w:pPr>
              <w:spacing w:line="288" w:lineRule="auto"/>
              <w:jc w:val="center"/>
              <w:rPr>
                <w:rFonts w:ascii="宋体" w:hAnsi="宋体"/>
                <w:color w:val="auto"/>
                <w:szCs w:val="21"/>
                <w:highlight w:val="none"/>
              </w:rPr>
            </w:pPr>
          </w:p>
        </w:tc>
        <w:tc>
          <w:tcPr>
            <w:tcW w:w="412" w:type="pct"/>
            <w:vAlign w:val="center"/>
          </w:tcPr>
          <w:p w14:paraId="3FAA3F25">
            <w:pPr>
              <w:spacing w:line="288" w:lineRule="auto"/>
              <w:jc w:val="center"/>
              <w:rPr>
                <w:rFonts w:ascii="宋体" w:hAnsi="宋体"/>
                <w:color w:val="auto"/>
                <w:szCs w:val="21"/>
                <w:highlight w:val="none"/>
              </w:rPr>
            </w:pPr>
          </w:p>
        </w:tc>
        <w:tc>
          <w:tcPr>
            <w:tcW w:w="683" w:type="pct"/>
            <w:vAlign w:val="center"/>
          </w:tcPr>
          <w:p w14:paraId="79FC2DE3">
            <w:pPr>
              <w:spacing w:line="288" w:lineRule="auto"/>
              <w:jc w:val="center"/>
              <w:rPr>
                <w:rFonts w:ascii="宋体" w:hAnsi="宋体"/>
                <w:color w:val="auto"/>
                <w:szCs w:val="21"/>
                <w:highlight w:val="none"/>
              </w:rPr>
            </w:pPr>
          </w:p>
        </w:tc>
        <w:tc>
          <w:tcPr>
            <w:tcW w:w="480" w:type="pct"/>
            <w:vAlign w:val="center"/>
          </w:tcPr>
          <w:p w14:paraId="3C24A3C9">
            <w:pPr>
              <w:spacing w:line="288" w:lineRule="auto"/>
              <w:jc w:val="center"/>
              <w:rPr>
                <w:rFonts w:ascii="宋体" w:hAnsi="宋体"/>
                <w:color w:val="auto"/>
                <w:szCs w:val="21"/>
                <w:highlight w:val="none"/>
              </w:rPr>
            </w:pPr>
          </w:p>
        </w:tc>
        <w:tc>
          <w:tcPr>
            <w:tcW w:w="683" w:type="pct"/>
            <w:vAlign w:val="center"/>
          </w:tcPr>
          <w:p w14:paraId="66766377">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148087A2">
            <w:pPr>
              <w:spacing w:line="288" w:lineRule="auto"/>
              <w:jc w:val="center"/>
              <w:rPr>
                <w:rFonts w:ascii="宋体" w:hAnsi="宋体"/>
                <w:color w:val="auto"/>
                <w:szCs w:val="21"/>
                <w:highlight w:val="none"/>
              </w:rPr>
            </w:pPr>
          </w:p>
        </w:tc>
      </w:tr>
      <w:tr w14:paraId="2A883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4298C00D">
            <w:pPr>
              <w:spacing w:line="288" w:lineRule="auto"/>
              <w:jc w:val="center"/>
              <w:rPr>
                <w:rFonts w:ascii="宋体" w:hAnsi="宋体"/>
                <w:color w:val="auto"/>
                <w:szCs w:val="21"/>
                <w:highlight w:val="none"/>
              </w:rPr>
            </w:pPr>
          </w:p>
        </w:tc>
        <w:tc>
          <w:tcPr>
            <w:tcW w:w="412" w:type="pct"/>
            <w:vAlign w:val="center"/>
          </w:tcPr>
          <w:p w14:paraId="6069E877">
            <w:pPr>
              <w:spacing w:line="288" w:lineRule="auto"/>
              <w:jc w:val="center"/>
              <w:rPr>
                <w:rFonts w:ascii="宋体" w:hAnsi="宋体"/>
                <w:color w:val="auto"/>
                <w:szCs w:val="21"/>
                <w:highlight w:val="none"/>
              </w:rPr>
            </w:pPr>
          </w:p>
        </w:tc>
        <w:tc>
          <w:tcPr>
            <w:tcW w:w="1092" w:type="pct"/>
            <w:vAlign w:val="center"/>
          </w:tcPr>
          <w:p w14:paraId="04B15548">
            <w:pPr>
              <w:spacing w:line="288" w:lineRule="auto"/>
              <w:jc w:val="center"/>
              <w:rPr>
                <w:rFonts w:ascii="宋体" w:hAnsi="宋体"/>
                <w:color w:val="auto"/>
                <w:szCs w:val="21"/>
                <w:highlight w:val="none"/>
              </w:rPr>
            </w:pPr>
          </w:p>
        </w:tc>
        <w:tc>
          <w:tcPr>
            <w:tcW w:w="412" w:type="pct"/>
            <w:vAlign w:val="center"/>
          </w:tcPr>
          <w:p w14:paraId="494E59B2">
            <w:pPr>
              <w:spacing w:line="288" w:lineRule="auto"/>
              <w:jc w:val="center"/>
              <w:rPr>
                <w:rFonts w:ascii="宋体" w:hAnsi="宋体"/>
                <w:color w:val="auto"/>
                <w:szCs w:val="21"/>
                <w:highlight w:val="none"/>
              </w:rPr>
            </w:pPr>
          </w:p>
        </w:tc>
        <w:tc>
          <w:tcPr>
            <w:tcW w:w="412" w:type="pct"/>
            <w:vAlign w:val="center"/>
          </w:tcPr>
          <w:p w14:paraId="063F7C77">
            <w:pPr>
              <w:spacing w:line="288" w:lineRule="auto"/>
              <w:jc w:val="center"/>
              <w:rPr>
                <w:rFonts w:ascii="宋体" w:hAnsi="宋体"/>
                <w:color w:val="auto"/>
                <w:szCs w:val="21"/>
                <w:highlight w:val="none"/>
              </w:rPr>
            </w:pPr>
          </w:p>
        </w:tc>
        <w:tc>
          <w:tcPr>
            <w:tcW w:w="683" w:type="pct"/>
            <w:vAlign w:val="center"/>
          </w:tcPr>
          <w:p w14:paraId="597ED770">
            <w:pPr>
              <w:spacing w:line="288" w:lineRule="auto"/>
              <w:jc w:val="center"/>
              <w:rPr>
                <w:rFonts w:ascii="宋体" w:hAnsi="宋体"/>
                <w:color w:val="auto"/>
                <w:szCs w:val="21"/>
                <w:highlight w:val="none"/>
              </w:rPr>
            </w:pPr>
          </w:p>
        </w:tc>
        <w:tc>
          <w:tcPr>
            <w:tcW w:w="480" w:type="pct"/>
            <w:vAlign w:val="center"/>
          </w:tcPr>
          <w:p w14:paraId="232AB4D5">
            <w:pPr>
              <w:spacing w:line="288" w:lineRule="auto"/>
              <w:jc w:val="center"/>
              <w:rPr>
                <w:rFonts w:ascii="宋体" w:hAnsi="宋体"/>
                <w:color w:val="auto"/>
                <w:szCs w:val="21"/>
                <w:highlight w:val="none"/>
              </w:rPr>
            </w:pPr>
          </w:p>
        </w:tc>
        <w:tc>
          <w:tcPr>
            <w:tcW w:w="683" w:type="pct"/>
            <w:vAlign w:val="center"/>
          </w:tcPr>
          <w:p w14:paraId="66EA06C7">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25FC877D">
            <w:pPr>
              <w:spacing w:line="288" w:lineRule="auto"/>
              <w:jc w:val="center"/>
              <w:rPr>
                <w:rFonts w:ascii="宋体" w:hAnsi="宋体"/>
                <w:color w:val="auto"/>
                <w:szCs w:val="21"/>
                <w:highlight w:val="none"/>
              </w:rPr>
            </w:pPr>
          </w:p>
        </w:tc>
      </w:tr>
    </w:tbl>
    <w:p w14:paraId="28E4386C">
      <w:pPr>
        <w:ind w:firstLine="178" w:firstLineChars="85"/>
        <w:rPr>
          <w:rFonts w:ascii="宋体" w:hAnsi="宋体"/>
          <w:color w:val="auto"/>
          <w:szCs w:val="21"/>
          <w:highlight w:val="none"/>
        </w:rPr>
      </w:pPr>
    </w:p>
    <w:p w14:paraId="009B23DC">
      <w:pPr>
        <w:ind w:firstLine="178" w:firstLineChars="85"/>
        <w:rPr>
          <w:rFonts w:ascii="宋体" w:hAnsi="宋体"/>
          <w:color w:val="auto"/>
          <w:szCs w:val="21"/>
          <w:highlight w:val="none"/>
        </w:rPr>
      </w:pPr>
      <w:r>
        <w:rPr>
          <w:rFonts w:hint="eastAsia" w:ascii="宋体" w:hAnsi="宋体"/>
          <w:color w:val="auto"/>
          <w:szCs w:val="21"/>
          <w:highlight w:val="none"/>
        </w:rPr>
        <w:t>附有关证明文件（复印件加盖公章）</w:t>
      </w:r>
    </w:p>
    <w:p w14:paraId="1D6030C5">
      <w:pPr>
        <w:ind w:firstLine="178" w:firstLineChars="85"/>
        <w:rPr>
          <w:rFonts w:ascii="宋体" w:hAnsi="宋体"/>
          <w:color w:val="auto"/>
          <w:szCs w:val="21"/>
          <w:highlight w:val="none"/>
        </w:rPr>
      </w:pPr>
      <w:r>
        <w:rPr>
          <w:rFonts w:hint="eastAsia" w:ascii="宋体" w:hAnsi="宋体"/>
          <w:color w:val="auto"/>
          <w:szCs w:val="21"/>
          <w:highlight w:val="none"/>
        </w:rPr>
        <w:t>投标人代表签字：</w:t>
      </w:r>
    </w:p>
    <w:p w14:paraId="7A74F78C">
      <w:pPr>
        <w:ind w:firstLine="178" w:firstLineChars="85"/>
        <w:rPr>
          <w:rFonts w:ascii="宋体" w:hAnsi="宋体"/>
          <w:color w:val="auto"/>
          <w:szCs w:val="21"/>
          <w:highlight w:val="none"/>
        </w:rPr>
      </w:pPr>
      <w:r>
        <w:rPr>
          <w:rFonts w:hint="eastAsia" w:ascii="宋体" w:hAnsi="宋体"/>
          <w:color w:val="auto"/>
          <w:szCs w:val="21"/>
          <w:highlight w:val="none"/>
        </w:rPr>
        <w:t>投标人盖章：</w:t>
      </w:r>
    </w:p>
    <w:p w14:paraId="05EEE8B2">
      <w:pPr>
        <w:rPr>
          <w:rFonts w:ascii="宋体" w:hAnsi="宋体"/>
          <w:color w:val="auto"/>
          <w:szCs w:val="21"/>
          <w:highlight w:val="none"/>
        </w:rPr>
      </w:pPr>
      <w:r>
        <w:rPr>
          <w:rFonts w:hint="eastAsia" w:ascii="宋体" w:hAnsi="宋体"/>
          <w:color w:val="auto"/>
          <w:szCs w:val="21"/>
          <w:highlight w:val="none"/>
        </w:rPr>
        <w:t>注：</w:t>
      </w:r>
    </w:p>
    <w:p w14:paraId="2D325F65">
      <w:pPr>
        <w:pStyle w:val="46"/>
        <w:numPr>
          <w:ilvl w:val="0"/>
          <w:numId w:val="13"/>
        </w:numPr>
        <w:ind w:firstLineChars="0"/>
        <w:rPr>
          <w:rFonts w:ascii="宋体" w:hAnsi="宋体"/>
          <w:color w:val="auto"/>
          <w:szCs w:val="21"/>
          <w:highlight w:val="none"/>
        </w:rPr>
      </w:pPr>
      <w:r>
        <w:rPr>
          <w:rFonts w:hint="eastAsia" w:ascii="宋体" w:hAnsi="宋体"/>
          <w:color w:val="auto"/>
          <w:szCs w:val="21"/>
          <w:highlight w:val="none"/>
        </w:rPr>
        <w:t>投标人可按项目的实际需要提供本表格。</w:t>
      </w:r>
    </w:p>
    <w:p w14:paraId="5E937E28">
      <w:pPr>
        <w:pStyle w:val="46"/>
        <w:numPr>
          <w:ilvl w:val="0"/>
          <w:numId w:val="13"/>
        </w:numPr>
        <w:ind w:firstLineChars="0"/>
        <w:rPr>
          <w:rFonts w:ascii="宋体" w:hAnsi="宋体" w:cs="Times New Roman"/>
          <w:color w:val="auto"/>
          <w:szCs w:val="21"/>
          <w:highlight w:val="none"/>
        </w:rPr>
      </w:pPr>
      <w:r>
        <w:rPr>
          <w:rFonts w:hint="eastAsia" w:ascii="宋体" w:hAnsi="宋体"/>
          <w:color w:val="auto"/>
          <w:szCs w:val="21"/>
          <w:highlight w:val="none"/>
        </w:rPr>
        <w:t>该表格为参考格式，投标人可按实际情况自行制订。</w:t>
      </w:r>
    </w:p>
    <w:p w14:paraId="1CB8388C">
      <w:pPr>
        <w:rPr>
          <w:rFonts w:ascii="宋体" w:hAnsi="宋体" w:cs="Times New Roman"/>
          <w:color w:val="auto"/>
          <w:szCs w:val="21"/>
          <w:highlight w:val="none"/>
        </w:rPr>
      </w:pPr>
      <w:r>
        <w:rPr>
          <w:rFonts w:hint="eastAsia" w:ascii="宋体" w:hAnsi="宋体"/>
          <w:color w:val="auto"/>
          <w:szCs w:val="21"/>
          <w:highlight w:val="none"/>
        </w:rPr>
        <w:t>3、投标人若未提供或未填写完整则视为完全响应采购文件的人员要求，因此对投标人投标产生负面影响的，投标人自行承担后果。</w:t>
      </w:r>
    </w:p>
    <w:p w14:paraId="7E558991">
      <w:pPr>
        <w:pStyle w:val="46"/>
        <w:numPr>
          <w:ilvl w:val="0"/>
          <w:numId w:val="13"/>
        </w:numPr>
        <w:ind w:firstLineChars="0"/>
        <w:rPr>
          <w:rFonts w:ascii="宋体" w:hAnsi="宋体" w:cs="Times New Roman"/>
          <w:color w:val="auto"/>
          <w:szCs w:val="21"/>
          <w:highlight w:val="none"/>
        </w:rPr>
      </w:pPr>
      <w:r>
        <w:rPr>
          <w:rFonts w:hint="eastAsia" w:ascii="宋体" w:hAnsi="宋体"/>
          <w:color w:val="auto"/>
          <w:szCs w:val="21"/>
          <w:highlight w:val="none"/>
        </w:rPr>
        <w:br w:type="page"/>
      </w:r>
    </w:p>
    <w:p w14:paraId="49DEA6E6">
      <w:pPr>
        <w:pStyle w:val="5"/>
        <w:widowControl w:val="0"/>
        <w:overflowPunct w:val="0"/>
        <w:spacing w:line="240" w:lineRule="auto"/>
        <w:rPr>
          <w:color w:val="auto"/>
          <w:highlight w:val="none"/>
        </w:rPr>
      </w:pPr>
      <w:bookmarkStart w:id="208" w:name="_Toc13786"/>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18</w:t>
      </w:r>
      <w:r>
        <w:rPr>
          <w:rFonts w:hint="eastAsia" w:ascii="宋体" w:hAnsi="宋体"/>
          <w:color w:val="auto"/>
          <w:sz w:val="21"/>
          <w:szCs w:val="21"/>
          <w:highlight w:val="none"/>
        </w:rPr>
        <w:t>.投标保证金汇入情况说明格式</w:t>
      </w:r>
      <w:bookmarkEnd w:id="208"/>
    </w:p>
    <w:p w14:paraId="10ED7F22">
      <w:pPr>
        <w:rPr>
          <w:color w:val="auto"/>
          <w:highlight w:val="none"/>
        </w:rPr>
      </w:pPr>
    </w:p>
    <w:p w14:paraId="228A40FF">
      <w:pPr>
        <w:jc w:val="center"/>
        <w:rPr>
          <w:rFonts w:hint="eastAsia" w:ascii="黑体" w:eastAsia="黑体"/>
          <w:color w:val="auto"/>
          <w:sz w:val="28"/>
          <w:szCs w:val="28"/>
          <w:highlight w:val="none"/>
          <w:lang w:eastAsia="zh-CN"/>
        </w:rPr>
      </w:pPr>
      <w:r>
        <w:rPr>
          <w:rFonts w:hint="eastAsia" w:ascii="黑体" w:eastAsia="黑体"/>
          <w:color w:val="auto"/>
          <w:sz w:val="28"/>
          <w:szCs w:val="28"/>
          <w:highlight w:val="none"/>
        </w:rPr>
        <w:t>投标保证金汇入情况说明</w:t>
      </w:r>
      <w:r>
        <w:rPr>
          <w:rFonts w:hint="eastAsia" w:ascii="黑体" w:eastAsia="黑体"/>
          <w:color w:val="auto"/>
          <w:sz w:val="28"/>
          <w:szCs w:val="28"/>
          <w:highlight w:val="none"/>
          <w:lang w:eastAsia="zh-CN"/>
        </w:rPr>
        <w:t>（如需）</w:t>
      </w:r>
    </w:p>
    <w:p w14:paraId="77E8A2B2">
      <w:pPr>
        <w:spacing w:line="480" w:lineRule="auto"/>
        <w:rPr>
          <w:rFonts w:ascii="宋体" w:hAnsi="宋体"/>
          <w:color w:val="auto"/>
          <w:szCs w:val="21"/>
          <w:highlight w:val="none"/>
        </w:rPr>
      </w:pPr>
      <w:r>
        <w:rPr>
          <w:rFonts w:hint="eastAsia" w:ascii="宋体" w:hAnsi="宋体"/>
          <w:color w:val="auto"/>
          <w:szCs w:val="21"/>
          <w:highlight w:val="none"/>
        </w:rPr>
        <w:t>致：x</w:t>
      </w:r>
      <w:r>
        <w:rPr>
          <w:rFonts w:ascii="宋体" w:hAnsi="宋体"/>
          <w:color w:val="auto"/>
          <w:szCs w:val="21"/>
          <w:highlight w:val="none"/>
        </w:rPr>
        <w:t>xxxxx</w:t>
      </w:r>
      <w:r>
        <w:rPr>
          <w:rFonts w:hint="eastAsia" w:ascii="宋体" w:hAnsi="宋体"/>
          <w:color w:val="auto"/>
          <w:szCs w:val="21"/>
          <w:highlight w:val="none"/>
        </w:rPr>
        <w:t>公司：</w:t>
      </w:r>
    </w:p>
    <w:p w14:paraId="2BFA9DE2">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本单位已按项目（采购项目编号：）的采购文件要求，于年月日前以</w:t>
      </w:r>
      <w:r>
        <w:rPr>
          <w:rFonts w:hint="eastAsia" w:ascii="宋体" w:hAnsi="宋体"/>
          <w:color w:val="auto"/>
          <w:szCs w:val="21"/>
          <w:highlight w:val="none"/>
          <w:u w:val="single"/>
        </w:rPr>
        <w:t>（付款形式）</w:t>
      </w:r>
      <w:r>
        <w:rPr>
          <w:rFonts w:hint="eastAsia" w:ascii="宋体" w:hAnsi="宋体"/>
          <w:color w:val="auto"/>
          <w:szCs w:val="21"/>
          <w:highlight w:val="none"/>
        </w:rPr>
        <w:t>方式汇入指定账户（账户名称：，帐号：,开户银行：）。</w:t>
      </w:r>
    </w:p>
    <w:p w14:paraId="6B9D6961">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本单位投标保证金的汇款情况：（详见附件－投标保证金进帐单）</w:t>
      </w:r>
    </w:p>
    <w:p w14:paraId="601DB8C0">
      <w:pPr>
        <w:spacing w:line="48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汇出时间：年月日</w:t>
      </w:r>
      <w:r>
        <w:rPr>
          <w:rFonts w:hint="eastAsia" w:ascii="宋体" w:hAnsi="宋体"/>
          <w:color w:val="auto"/>
          <w:szCs w:val="21"/>
          <w:highlight w:val="none"/>
          <w:lang w:eastAsia="zh-CN"/>
        </w:rPr>
        <w:t>；</w:t>
      </w:r>
    </w:p>
    <w:p w14:paraId="3E33B093">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汇款金额：（大写）人民币元（小写：￥元），</w:t>
      </w:r>
    </w:p>
    <w:p w14:paraId="1EA6F634">
      <w:pPr>
        <w:spacing w:line="48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汇款账户名称：</w:t>
      </w:r>
      <w:r>
        <w:rPr>
          <w:rFonts w:hint="eastAsia" w:ascii="宋体" w:hAnsi="宋体"/>
          <w:color w:val="auto"/>
          <w:szCs w:val="21"/>
          <w:highlight w:val="none"/>
          <w:u w:val="single"/>
        </w:rPr>
        <w:t>（必须是投标时使用的账户名）</w:t>
      </w:r>
    </w:p>
    <w:p w14:paraId="0F1BF302">
      <w:pPr>
        <w:spacing w:line="48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帐号：</w:t>
      </w:r>
      <w:r>
        <w:rPr>
          <w:rFonts w:hint="eastAsia" w:ascii="宋体" w:hAnsi="宋体"/>
          <w:color w:val="auto"/>
          <w:szCs w:val="21"/>
          <w:highlight w:val="none"/>
          <w:u w:val="single"/>
        </w:rPr>
        <w:t>（必须是投标时使用的帐号）</w:t>
      </w:r>
    </w:p>
    <w:p w14:paraId="232AB001">
      <w:pPr>
        <w:spacing w:line="480" w:lineRule="auto"/>
        <w:ind w:firstLine="420" w:firstLineChars="200"/>
        <w:rPr>
          <w:rFonts w:ascii="宋体" w:hAnsi="宋体"/>
          <w:color w:val="auto"/>
          <w:szCs w:val="21"/>
          <w:highlight w:val="none"/>
          <w:u w:val="single"/>
        </w:rPr>
      </w:pPr>
      <w:r>
        <w:rPr>
          <w:rFonts w:hint="eastAsia" w:ascii="宋体" w:hAnsi="宋体"/>
          <w:color w:val="auto"/>
          <w:szCs w:val="21"/>
          <w:highlight w:val="none"/>
        </w:rPr>
        <w:t>开户银行：</w:t>
      </w:r>
      <w:r>
        <w:rPr>
          <w:rFonts w:hint="eastAsia" w:ascii="宋体" w:hAnsi="宋体"/>
          <w:color w:val="auto"/>
          <w:szCs w:val="21"/>
          <w:highlight w:val="none"/>
          <w:u w:val="single"/>
        </w:rPr>
        <w:t>（XX银行XX分行XX支行）</w:t>
      </w:r>
    </w:p>
    <w:p w14:paraId="6242ECAF">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本单位谨承诺上述资料是正确、真实的，如因上述证明与事实不符导致的一切损失，本单位保证承担赔偿等一切法律责任。</w:t>
      </w:r>
    </w:p>
    <w:p w14:paraId="369F0C1F">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投标保证金退回时，请按上述资料退回。</w:t>
      </w:r>
    </w:p>
    <w:p w14:paraId="6594A588">
      <w:pPr>
        <w:spacing w:line="480" w:lineRule="auto"/>
        <w:ind w:right="844" w:rightChars="402"/>
        <w:jc w:val="right"/>
        <w:rPr>
          <w:rFonts w:ascii="宋体" w:hAnsi="宋体"/>
          <w:color w:val="auto"/>
          <w:szCs w:val="21"/>
          <w:highlight w:val="none"/>
        </w:rPr>
      </w:pPr>
      <w:r>
        <w:rPr>
          <w:rFonts w:hint="eastAsia" w:ascii="宋体" w:hAnsi="宋体"/>
          <w:color w:val="auto"/>
          <w:szCs w:val="21"/>
          <w:highlight w:val="none"/>
        </w:rPr>
        <w:t>（单位公章）</w:t>
      </w:r>
    </w:p>
    <w:p w14:paraId="3E4EAA62">
      <w:pPr>
        <w:spacing w:line="480" w:lineRule="auto"/>
        <w:ind w:right="628" w:rightChars="299"/>
        <w:jc w:val="right"/>
        <w:rPr>
          <w:rFonts w:ascii="宋体" w:hAnsi="宋体"/>
          <w:color w:val="auto"/>
          <w:szCs w:val="21"/>
          <w:highlight w:val="none"/>
        </w:rPr>
      </w:pPr>
      <w:r>
        <w:rPr>
          <w:rFonts w:hint="eastAsia" w:ascii="宋体" w:hAnsi="宋体"/>
          <w:color w:val="auto"/>
          <w:szCs w:val="21"/>
          <w:highlight w:val="none"/>
        </w:rPr>
        <w:t>年月日</w:t>
      </w:r>
    </w:p>
    <w:p w14:paraId="1916DFE8">
      <w:pPr>
        <w:spacing w:line="480" w:lineRule="auto"/>
        <w:rPr>
          <w:rFonts w:ascii="宋体" w:hAnsi="宋体"/>
          <w:color w:val="auto"/>
          <w:szCs w:val="21"/>
          <w:highlight w:val="none"/>
        </w:rPr>
      </w:pPr>
      <w:r>
        <w:rPr>
          <w:rFonts w:hint="eastAsia" w:ascii="宋体" w:hAnsi="宋体"/>
          <w:color w:val="auto"/>
          <w:szCs w:val="21"/>
          <w:highlight w:val="none"/>
        </w:rPr>
        <w:t>单位名称：</w:t>
      </w:r>
    </w:p>
    <w:p w14:paraId="1B4FC2F4">
      <w:pPr>
        <w:spacing w:line="480" w:lineRule="auto"/>
        <w:rPr>
          <w:rFonts w:ascii="宋体" w:hAnsi="宋体"/>
          <w:color w:val="auto"/>
          <w:szCs w:val="21"/>
          <w:highlight w:val="none"/>
        </w:rPr>
      </w:pPr>
      <w:r>
        <w:rPr>
          <w:rFonts w:hint="eastAsia" w:ascii="宋体" w:hAnsi="宋体"/>
          <w:color w:val="auto"/>
          <w:szCs w:val="21"/>
          <w:highlight w:val="none"/>
        </w:rPr>
        <w:t>单位地址：</w:t>
      </w:r>
    </w:p>
    <w:p w14:paraId="4B0FD374">
      <w:pPr>
        <w:spacing w:line="480" w:lineRule="auto"/>
        <w:rPr>
          <w:rFonts w:ascii="宋体" w:hAnsi="宋体"/>
          <w:color w:val="auto"/>
          <w:szCs w:val="21"/>
          <w:highlight w:val="none"/>
        </w:rPr>
      </w:pPr>
      <w:r>
        <w:rPr>
          <w:rFonts w:hint="eastAsia" w:ascii="宋体" w:hAnsi="宋体"/>
          <w:color w:val="auto"/>
          <w:szCs w:val="21"/>
          <w:highlight w:val="none"/>
        </w:rPr>
        <w:t>联系人：</w:t>
      </w:r>
    </w:p>
    <w:p w14:paraId="231D6E01">
      <w:pPr>
        <w:spacing w:line="480" w:lineRule="auto"/>
        <w:rPr>
          <w:rFonts w:ascii="宋体" w:hAnsi="宋体"/>
          <w:color w:val="auto"/>
          <w:szCs w:val="21"/>
          <w:highlight w:val="none"/>
        </w:rPr>
      </w:pPr>
      <w:r>
        <w:rPr>
          <w:rFonts w:hint="eastAsia" w:ascii="宋体" w:hAnsi="宋体"/>
          <w:color w:val="auto"/>
          <w:szCs w:val="21"/>
          <w:highlight w:val="none"/>
        </w:rPr>
        <w:t>单位电话：联系人手机：</w:t>
      </w:r>
    </w:p>
    <w:p w14:paraId="1527E599">
      <w:pPr>
        <w:rPr>
          <w:rFonts w:ascii="宋体" w:hAnsi="宋体"/>
          <w:color w:val="auto"/>
          <w:szCs w:val="21"/>
          <w:highlight w:val="none"/>
        </w:rPr>
      </w:pPr>
    </w:p>
    <w:p w14:paraId="6E45236A">
      <w:pP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br w:type="page"/>
      </w:r>
    </w:p>
    <w:p w14:paraId="447126BF">
      <w:pP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t>附：我方投标保证金汇款凭证</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62"/>
      </w:tblGrid>
      <w:tr w14:paraId="13BD9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5000" w:type="pct"/>
            <w:vAlign w:val="center"/>
          </w:tcPr>
          <w:p w14:paraId="764B3093">
            <w:pPr>
              <w:tabs>
                <w:tab w:val="left" w:pos="3885"/>
              </w:tabs>
              <w:jc w:val="center"/>
              <w:rPr>
                <w:rFonts w:ascii="宋体" w:hAnsi="宋体"/>
                <w:color w:val="auto"/>
                <w:szCs w:val="21"/>
                <w:highlight w:val="none"/>
              </w:rPr>
            </w:pPr>
            <w:r>
              <w:rPr>
                <w:rFonts w:hint="eastAsia" w:ascii="宋体" w:hAnsi="宋体"/>
                <w:color w:val="auto"/>
                <w:szCs w:val="21"/>
                <w:highlight w:val="none"/>
              </w:rPr>
              <w:t>（粘贴汇款单或转账</w:t>
            </w:r>
            <w:r>
              <w:rPr>
                <w:rFonts w:ascii="宋体" w:hAnsi="宋体"/>
                <w:color w:val="auto"/>
                <w:szCs w:val="21"/>
                <w:highlight w:val="none"/>
              </w:rPr>
              <w:t>凭证</w:t>
            </w:r>
            <w:r>
              <w:rPr>
                <w:rFonts w:hint="eastAsia" w:ascii="宋体" w:hAnsi="宋体"/>
                <w:color w:val="auto"/>
                <w:szCs w:val="21"/>
                <w:highlight w:val="none"/>
              </w:rPr>
              <w:t>复印件，并在骑缝上加盖投标人公章，或是直接把转账</w:t>
            </w:r>
            <w:r>
              <w:rPr>
                <w:rFonts w:ascii="宋体" w:hAnsi="宋体"/>
                <w:color w:val="auto"/>
                <w:szCs w:val="21"/>
                <w:highlight w:val="none"/>
              </w:rPr>
              <w:t>凭证</w:t>
            </w:r>
            <w:r>
              <w:rPr>
                <w:rFonts w:hint="eastAsia" w:ascii="宋体" w:hAnsi="宋体"/>
                <w:color w:val="auto"/>
                <w:szCs w:val="21"/>
                <w:highlight w:val="none"/>
              </w:rPr>
              <w:t>复印到此张纸上）</w:t>
            </w:r>
          </w:p>
        </w:tc>
      </w:tr>
    </w:tbl>
    <w:p w14:paraId="1C8AF6E6">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注：此表既要装订在投标文件中，又要按投标人须知的规定与开标一览表、投标保证金汇款底单复印件及授权委托书一同密封装入唱标信封，唱标信封单独提交。</w:t>
      </w:r>
    </w:p>
    <w:p w14:paraId="0AC1BFE0">
      <w:pPr>
        <w:rPr>
          <w:rFonts w:ascii="宋体" w:hAnsi="宋体"/>
          <w:color w:val="auto"/>
          <w:szCs w:val="21"/>
          <w:highlight w:val="none"/>
        </w:rPr>
      </w:pPr>
    </w:p>
    <w:p w14:paraId="1473C878">
      <w:pPr>
        <w:rPr>
          <w:rFonts w:ascii="宋体" w:hAnsi="宋体"/>
          <w:color w:val="auto"/>
          <w:szCs w:val="21"/>
          <w:highlight w:val="none"/>
        </w:rPr>
      </w:pPr>
    </w:p>
    <w:p w14:paraId="784B55D2">
      <w:pPr>
        <w:rPr>
          <w:rFonts w:ascii="宋体" w:hAnsi="宋体"/>
          <w:color w:val="auto"/>
          <w:szCs w:val="21"/>
          <w:highlight w:val="none"/>
        </w:rPr>
      </w:pPr>
    </w:p>
    <w:p w14:paraId="1334D3A3">
      <w:pPr>
        <w:rPr>
          <w:rFonts w:ascii="宋体" w:hAnsi="宋体"/>
          <w:color w:val="auto"/>
          <w:szCs w:val="21"/>
          <w:highlight w:val="none"/>
        </w:rPr>
      </w:pPr>
    </w:p>
    <w:p w14:paraId="13BB40C0">
      <w:pPr>
        <w:rPr>
          <w:rFonts w:ascii="宋体" w:hAnsi="宋体"/>
          <w:color w:val="auto"/>
          <w:szCs w:val="21"/>
          <w:highlight w:val="none"/>
        </w:rPr>
      </w:pPr>
    </w:p>
    <w:p w14:paraId="3CF55F68">
      <w:pPr>
        <w:rPr>
          <w:rFonts w:ascii="宋体" w:hAnsi="宋体"/>
          <w:color w:val="auto"/>
          <w:szCs w:val="21"/>
          <w:highlight w:val="none"/>
        </w:rPr>
      </w:pPr>
    </w:p>
    <w:p w14:paraId="6274E021">
      <w:pPr>
        <w:rPr>
          <w:rFonts w:ascii="宋体" w:hAnsi="宋体"/>
          <w:color w:val="auto"/>
          <w:szCs w:val="21"/>
          <w:highlight w:val="none"/>
        </w:rPr>
      </w:pPr>
    </w:p>
    <w:p w14:paraId="1AA3C05B">
      <w:pPr>
        <w:rPr>
          <w:rFonts w:ascii="宋体" w:hAnsi="宋体"/>
          <w:color w:val="auto"/>
          <w:szCs w:val="21"/>
          <w:highlight w:val="none"/>
        </w:rPr>
      </w:pPr>
    </w:p>
    <w:p w14:paraId="6D88811D">
      <w:pPr>
        <w:rPr>
          <w:rFonts w:ascii="宋体" w:hAnsi="宋体"/>
          <w:color w:val="auto"/>
          <w:szCs w:val="21"/>
          <w:highlight w:val="none"/>
        </w:rPr>
      </w:pPr>
    </w:p>
    <w:p w14:paraId="78B3A632">
      <w:pPr>
        <w:rPr>
          <w:rFonts w:ascii="宋体" w:hAnsi="宋体"/>
          <w:color w:val="auto"/>
          <w:szCs w:val="21"/>
          <w:highlight w:val="none"/>
        </w:rPr>
      </w:pPr>
    </w:p>
    <w:p w14:paraId="667EB7AF">
      <w:pPr>
        <w:rPr>
          <w:rFonts w:ascii="宋体" w:hAnsi="宋体"/>
          <w:color w:val="auto"/>
          <w:szCs w:val="21"/>
          <w:highlight w:val="none"/>
        </w:rPr>
      </w:pPr>
    </w:p>
    <w:p w14:paraId="545CA19A">
      <w:pPr>
        <w:rPr>
          <w:rFonts w:ascii="宋体" w:hAnsi="宋体"/>
          <w:color w:val="auto"/>
          <w:szCs w:val="21"/>
          <w:highlight w:val="none"/>
        </w:rPr>
      </w:pPr>
    </w:p>
    <w:p w14:paraId="4838EA97">
      <w:pPr>
        <w:rPr>
          <w:rFonts w:ascii="宋体" w:hAnsi="宋体"/>
          <w:color w:val="auto"/>
          <w:szCs w:val="21"/>
          <w:highlight w:val="none"/>
        </w:rPr>
      </w:pPr>
    </w:p>
    <w:p w14:paraId="7DB5EAED">
      <w:pPr>
        <w:rPr>
          <w:rFonts w:ascii="宋体" w:hAnsi="宋体"/>
          <w:color w:val="auto"/>
          <w:szCs w:val="21"/>
          <w:highlight w:val="none"/>
        </w:rPr>
      </w:pPr>
    </w:p>
    <w:p w14:paraId="6FB93079">
      <w:pPr>
        <w:rPr>
          <w:rFonts w:ascii="宋体" w:hAnsi="宋体"/>
          <w:color w:val="auto"/>
          <w:szCs w:val="21"/>
          <w:highlight w:val="none"/>
        </w:rPr>
      </w:pPr>
    </w:p>
    <w:p w14:paraId="016FEFF0">
      <w:pPr>
        <w:rPr>
          <w:rFonts w:ascii="宋体" w:hAnsi="宋体"/>
          <w:color w:val="auto"/>
          <w:szCs w:val="21"/>
          <w:highlight w:val="none"/>
        </w:rPr>
      </w:pPr>
    </w:p>
    <w:p w14:paraId="4F178E72">
      <w:pPr>
        <w:rPr>
          <w:rFonts w:ascii="宋体" w:hAnsi="宋体"/>
          <w:color w:val="auto"/>
          <w:szCs w:val="21"/>
          <w:highlight w:val="none"/>
        </w:rPr>
      </w:pPr>
    </w:p>
    <w:p w14:paraId="051D2F9E">
      <w:pPr>
        <w:rPr>
          <w:rFonts w:ascii="宋体" w:hAnsi="宋体"/>
          <w:color w:val="auto"/>
          <w:szCs w:val="21"/>
          <w:highlight w:val="none"/>
        </w:rPr>
      </w:pPr>
    </w:p>
    <w:p w14:paraId="5DE41FAA">
      <w:pPr>
        <w:rPr>
          <w:rFonts w:ascii="宋体" w:hAnsi="宋体"/>
          <w:color w:val="auto"/>
          <w:szCs w:val="21"/>
          <w:highlight w:val="none"/>
        </w:rPr>
      </w:pPr>
    </w:p>
    <w:p w14:paraId="5D0D7719">
      <w:pPr>
        <w:rPr>
          <w:rFonts w:ascii="宋体" w:hAnsi="宋体"/>
          <w:color w:val="auto"/>
          <w:szCs w:val="21"/>
          <w:highlight w:val="none"/>
        </w:rPr>
      </w:pPr>
    </w:p>
    <w:p w14:paraId="0512F10F">
      <w:pPr>
        <w:rPr>
          <w:rFonts w:ascii="宋体" w:hAnsi="宋体"/>
          <w:color w:val="auto"/>
          <w:szCs w:val="21"/>
          <w:highlight w:val="none"/>
        </w:rPr>
      </w:pPr>
    </w:p>
    <w:p w14:paraId="71C5EB38">
      <w:pPr>
        <w:pStyle w:val="5"/>
        <w:numPr>
          <w:ilvl w:val="255"/>
          <w:numId w:val="0"/>
        </w:numPr>
        <w:tabs>
          <w:tab w:val="left" w:pos="720"/>
          <w:tab w:val="left" w:pos="3840"/>
        </w:tabs>
        <w:ind w:left="283"/>
        <w:jc w:val="both"/>
        <w:rPr>
          <w:rFonts w:ascii="宋体" w:hAnsi="宋体"/>
          <w:color w:val="auto"/>
          <w:sz w:val="21"/>
          <w:szCs w:val="21"/>
          <w:highlight w:val="none"/>
        </w:rPr>
      </w:pPr>
      <w:bookmarkStart w:id="209" w:name="_Toc18296"/>
      <w:bookmarkStart w:id="210" w:name="_Toc1562"/>
      <w:bookmarkStart w:id="211" w:name="_Toc11687"/>
      <w:bookmarkStart w:id="212" w:name="_Toc19947"/>
      <w:bookmarkStart w:id="213" w:name="_Toc28623"/>
      <w:bookmarkStart w:id="214" w:name="_Toc17028"/>
      <w:bookmarkStart w:id="215" w:name="_Toc29855"/>
      <w:bookmarkStart w:id="216" w:name="_Toc14605"/>
      <w:bookmarkStart w:id="217" w:name="_Toc25861"/>
      <w:bookmarkStart w:id="218" w:name="_Toc2144"/>
      <w:bookmarkStart w:id="219" w:name="_Toc4866"/>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9</w:t>
      </w:r>
      <w:r>
        <w:rPr>
          <w:rFonts w:hint="eastAsia" w:ascii="宋体" w:hAnsi="宋体"/>
          <w:color w:val="auto"/>
          <w:sz w:val="21"/>
          <w:szCs w:val="21"/>
          <w:highlight w:val="none"/>
        </w:rPr>
        <w:t>.不可撤销履约保函</w:t>
      </w:r>
      <w:bookmarkEnd w:id="209"/>
      <w:bookmarkEnd w:id="210"/>
      <w:bookmarkEnd w:id="211"/>
      <w:bookmarkEnd w:id="212"/>
      <w:bookmarkEnd w:id="213"/>
      <w:bookmarkEnd w:id="214"/>
      <w:bookmarkEnd w:id="215"/>
      <w:bookmarkEnd w:id="216"/>
      <w:bookmarkEnd w:id="217"/>
      <w:bookmarkEnd w:id="218"/>
      <w:bookmarkEnd w:id="219"/>
    </w:p>
    <w:p w14:paraId="58764CA4">
      <w:pPr>
        <w:jc w:val="center"/>
        <w:rPr>
          <w:rFonts w:ascii="宋体" w:hAnsi="宋体"/>
          <w:color w:val="auto"/>
          <w:highlight w:val="none"/>
        </w:rPr>
      </w:pPr>
      <w:r>
        <w:rPr>
          <w:rFonts w:hint="eastAsia" w:ascii="宋体" w:hAnsi="宋体"/>
          <w:color w:val="auto"/>
          <w:highlight w:val="none"/>
        </w:rPr>
        <w:t>银行编号：</w:t>
      </w:r>
    </w:p>
    <w:p w14:paraId="6E140352">
      <w:pPr>
        <w:rPr>
          <w:rFonts w:ascii="宋体" w:hAnsi="宋体"/>
          <w:color w:val="auto"/>
          <w:highlight w:val="none"/>
        </w:rPr>
      </w:pPr>
      <w:r>
        <w:rPr>
          <w:rFonts w:ascii="宋体" w:hAnsi="宋体"/>
          <w:color w:val="auto"/>
          <w:highlight w:val="none"/>
        </w:rPr>
        <w:t>致：</w:t>
      </w:r>
      <w:r>
        <w:rPr>
          <w:rFonts w:hint="eastAsia" w:ascii="宋体" w:hAnsi="宋体"/>
          <w:color w:val="auto"/>
          <w:highlight w:val="none"/>
        </w:rPr>
        <w:t>（</w:t>
      </w:r>
      <w:r>
        <w:rPr>
          <w:rFonts w:hint="eastAsia"/>
          <w:color w:val="auto"/>
          <w:highlight w:val="none"/>
        </w:rPr>
        <w:t>甲方</w:t>
      </w:r>
      <w:r>
        <w:rPr>
          <w:rFonts w:hint="eastAsia" w:ascii="宋体" w:hAnsi="宋体"/>
          <w:color w:val="auto"/>
          <w:highlight w:val="none"/>
        </w:rPr>
        <w:t>）</w:t>
      </w:r>
    </w:p>
    <w:p w14:paraId="516D4A4A">
      <w:pPr>
        <w:ind w:firstLine="420" w:firstLineChars="200"/>
        <w:rPr>
          <w:rFonts w:ascii="宋体" w:hAnsi="宋体"/>
          <w:color w:val="auto"/>
          <w:highlight w:val="none"/>
        </w:rPr>
      </w:pPr>
      <w:r>
        <w:rPr>
          <w:rFonts w:hint="eastAsia" w:ascii="宋体" w:hAnsi="宋体"/>
          <w:color w:val="auto"/>
          <w:highlight w:val="none"/>
        </w:rPr>
        <w:t>鉴于</w:t>
      </w:r>
      <w:r>
        <w:rPr>
          <w:rFonts w:hint="eastAsia" w:ascii="宋体" w:hAnsi="宋体"/>
          <w:color w:val="auto"/>
          <w:highlight w:val="none"/>
          <w:u w:val="single"/>
        </w:rPr>
        <w:t>（地址：，下称“乙方”）</w:t>
      </w:r>
      <w:r>
        <w:rPr>
          <w:rFonts w:hint="eastAsia" w:ascii="宋体" w:hAnsi="宋体"/>
          <w:color w:val="auto"/>
          <w:highlight w:val="none"/>
        </w:rPr>
        <w:t>已保证按</w:t>
      </w:r>
      <w:r>
        <w:rPr>
          <w:rFonts w:hint="eastAsia" w:ascii="宋体" w:hAnsi="宋体"/>
          <w:color w:val="auto"/>
          <w:highlight w:val="none"/>
          <w:u w:val="single"/>
        </w:rPr>
        <w:t>承包合同书（合同编号：）</w:t>
      </w:r>
      <w:r>
        <w:rPr>
          <w:rFonts w:hint="eastAsia" w:ascii="宋体" w:hAnsi="宋体"/>
          <w:color w:val="auto"/>
          <w:highlight w:val="none"/>
        </w:rPr>
        <w:t>中规定的义务履行合同。</w:t>
      </w:r>
    </w:p>
    <w:p w14:paraId="6EF4E9C1">
      <w:pPr>
        <w:ind w:firstLine="420" w:firstLineChars="200"/>
        <w:rPr>
          <w:rFonts w:ascii="宋体" w:hAnsi="宋体"/>
          <w:color w:val="auto"/>
          <w:highlight w:val="none"/>
        </w:rPr>
      </w:pPr>
      <w:r>
        <w:rPr>
          <w:rFonts w:hint="eastAsia" w:ascii="宋体" w:hAnsi="宋体"/>
          <w:color w:val="auto"/>
          <w:highlight w:val="none"/>
        </w:rPr>
        <w:t>根据上述合同约定，乙方应向</w:t>
      </w:r>
      <w:r>
        <w:rPr>
          <w:rFonts w:hint="eastAsia"/>
          <w:color w:val="auto"/>
          <w:highlight w:val="none"/>
        </w:rPr>
        <w:t>甲方</w:t>
      </w:r>
      <w:r>
        <w:rPr>
          <w:rFonts w:hint="eastAsia" w:ascii="宋体" w:hAnsi="宋体"/>
          <w:color w:val="auto"/>
          <w:highlight w:val="none"/>
        </w:rPr>
        <w:t>提供一份金额为合同总价的10%即</w:t>
      </w:r>
      <w:r>
        <w:rPr>
          <w:rFonts w:hint="eastAsia" w:ascii="宋体" w:hAnsi="宋体"/>
          <w:color w:val="auto"/>
          <w:highlight w:val="none"/>
          <w:u w:val="single"/>
        </w:rPr>
        <w:t>人民币（RMB元）</w:t>
      </w:r>
      <w:r>
        <w:rPr>
          <w:rFonts w:hint="eastAsia" w:ascii="宋体" w:hAnsi="宋体"/>
          <w:color w:val="auto"/>
          <w:highlight w:val="none"/>
        </w:rPr>
        <w:t>的</w:t>
      </w:r>
      <w:r>
        <w:rPr>
          <w:rFonts w:hint="eastAsia" w:ascii="宋体" w:hAnsi="宋体"/>
          <w:bCs/>
          <w:color w:val="auto"/>
          <w:highlight w:val="none"/>
        </w:rPr>
        <w:t>不可撤销</w:t>
      </w:r>
      <w:r>
        <w:rPr>
          <w:rFonts w:hint="eastAsia" w:ascii="宋体" w:hAnsi="宋体"/>
          <w:color w:val="auto"/>
          <w:highlight w:val="none"/>
        </w:rPr>
        <w:t>银行履约保函，作为乙方履行上述合同的担保。</w:t>
      </w:r>
    </w:p>
    <w:p w14:paraId="4525B4EC">
      <w:pPr>
        <w:ind w:firstLine="420" w:firstLineChars="200"/>
        <w:rPr>
          <w:rFonts w:ascii="宋体" w:hAnsi="宋体"/>
          <w:color w:val="auto"/>
          <w:highlight w:val="none"/>
        </w:rPr>
      </w:pPr>
      <w:r>
        <w:rPr>
          <w:rFonts w:hint="eastAsia" w:ascii="宋体" w:hAnsi="宋体"/>
          <w:color w:val="auto"/>
          <w:highlight w:val="none"/>
        </w:rPr>
        <w:t>我方</w:t>
      </w:r>
      <w:r>
        <w:rPr>
          <w:rFonts w:hint="eastAsia" w:ascii="宋体" w:hAnsi="宋体"/>
          <w:color w:val="auto"/>
          <w:highlight w:val="none"/>
          <w:u w:val="single"/>
        </w:rPr>
        <w:t>（银行名称）</w:t>
      </w:r>
      <w:r>
        <w:rPr>
          <w:rFonts w:hint="eastAsia" w:ascii="宋体" w:hAnsi="宋体"/>
          <w:color w:val="auto"/>
          <w:highlight w:val="none"/>
        </w:rPr>
        <w:t>，受乙方的委托，不仅作为连带责任保证人而且作为主要的责任人，无条件和不可撤销地同意在</w:t>
      </w:r>
      <w:r>
        <w:rPr>
          <w:rFonts w:hint="eastAsia"/>
          <w:color w:val="auto"/>
          <w:highlight w:val="none"/>
        </w:rPr>
        <w:t>甲方</w:t>
      </w:r>
      <w:r>
        <w:rPr>
          <w:rFonts w:hint="eastAsia" w:ascii="宋体" w:hAnsi="宋体"/>
          <w:color w:val="auto"/>
          <w:highlight w:val="none"/>
        </w:rPr>
        <w:t>提出因乙方没有履行上述合同规定，而要求扣划保证金的书面要求后，7个工作日内为</w:t>
      </w:r>
      <w:r>
        <w:rPr>
          <w:rFonts w:hint="eastAsia"/>
          <w:color w:val="auto"/>
          <w:highlight w:val="none"/>
        </w:rPr>
        <w:t>甲方</w:t>
      </w:r>
      <w:r>
        <w:rPr>
          <w:rFonts w:hint="eastAsia" w:ascii="宋体" w:hAnsi="宋体"/>
          <w:color w:val="auto"/>
          <w:highlight w:val="none"/>
        </w:rPr>
        <w:t>扣划金额不超过</w:t>
      </w:r>
      <w:r>
        <w:rPr>
          <w:rFonts w:hint="eastAsia" w:ascii="宋体" w:hAnsi="宋体"/>
          <w:color w:val="auto"/>
          <w:highlight w:val="none"/>
          <w:u w:val="single"/>
        </w:rPr>
        <w:t>人民币（RMB元）</w:t>
      </w:r>
      <w:r>
        <w:rPr>
          <w:rFonts w:hint="eastAsia" w:ascii="宋体" w:hAnsi="宋体"/>
          <w:color w:val="auto"/>
          <w:highlight w:val="none"/>
        </w:rPr>
        <w:t>的保证金。</w:t>
      </w:r>
    </w:p>
    <w:p w14:paraId="63F5748E">
      <w:pPr>
        <w:ind w:firstLine="420" w:firstLineChars="200"/>
        <w:rPr>
          <w:color w:val="auto"/>
          <w:highlight w:val="none"/>
        </w:rPr>
      </w:pPr>
      <w:r>
        <w:rPr>
          <w:rFonts w:hint="eastAsia" w:ascii="宋体" w:hAnsi="宋体"/>
          <w:color w:val="auto"/>
          <w:highlight w:val="none"/>
        </w:rPr>
        <w:t>我</w:t>
      </w:r>
      <w:r>
        <w:rPr>
          <w:rFonts w:hint="eastAsia"/>
          <w:color w:val="auto"/>
          <w:highlight w:val="none"/>
        </w:rPr>
        <w:t>方还同意，任何甲方与乙方之间可能对合同条款的修改、规范或其他合同文件的变动补充，都不能免除我方按本保函所承担的责任。因此，有关上述变动、补充和修改无须通知我方。</w:t>
      </w:r>
    </w:p>
    <w:p w14:paraId="5FBEE8DD">
      <w:pPr>
        <w:ind w:firstLine="420" w:firstLineChars="200"/>
        <w:rPr>
          <w:color w:val="auto"/>
          <w:highlight w:val="none"/>
        </w:rPr>
      </w:pPr>
      <w:r>
        <w:rPr>
          <w:rFonts w:hint="eastAsia"/>
          <w:color w:val="auto"/>
          <w:highlight w:val="none"/>
        </w:rPr>
        <w:t>本保函从上述合同签订之日起至项目服务期结束验收合格并完成结算后，双方签字之日起7天内保持有效。</w:t>
      </w:r>
    </w:p>
    <w:p w14:paraId="761A45B1">
      <w:pPr>
        <w:ind w:firstLine="2824" w:firstLineChars="1345"/>
        <w:rPr>
          <w:rFonts w:ascii="宋体" w:hAnsi="宋体"/>
          <w:color w:val="auto"/>
          <w:highlight w:val="none"/>
        </w:rPr>
      </w:pPr>
    </w:p>
    <w:p w14:paraId="411DC605">
      <w:pPr>
        <w:ind w:firstLine="5040" w:firstLineChars="2400"/>
        <w:rPr>
          <w:rFonts w:hint="eastAsia" w:ascii="宋体" w:hAnsi="宋体" w:eastAsia="宋体"/>
          <w:color w:val="auto"/>
          <w:highlight w:val="none"/>
          <w:lang w:eastAsia="zh-CN"/>
        </w:rPr>
      </w:pPr>
      <w:r>
        <w:rPr>
          <w:rFonts w:hint="eastAsia" w:ascii="宋体" w:hAnsi="宋体"/>
          <w:color w:val="auto"/>
          <w:highlight w:val="none"/>
        </w:rPr>
        <w:t>保证人：（盖章）</w:t>
      </w:r>
    </w:p>
    <w:p w14:paraId="0085B9E1">
      <w:pPr>
        <w:ind w:firstLine="5040" w:firstLineChars="2400"/>
        <w:rPr>
          <w:rFonts w:hint="eastAsia" w:ascii="宋体" w:hAnsi="宋体" w:eastAsia="宋体"/>
          <w:color w:val="auto"/>
          <w:highlight w:val="none"/>
          <w:lang w:eastAsia="zh-CN"/>
        </w:rPr>
      </w:pPr>
      <w:r>
        <w:rPr>
          <w:rFonts w:hint="eastAsia" w:ascii="宋体" w:hAnsi="宋体"/>
          <w:color w:val="auto"/>
          <w:highlight w:val="none"/>
        </w:rPr>
        <w:t>负责人：（签字）</w:t>
      </w:r>
    </w:p>
    <w:p w14:paraId="587CC331">
      <w:pPr>
        <w:ind w:firstLine="5040" w:firstLineChars="2400"/>
        <w:rPr>
          <w:rFonts w:hint="eastAsia" w:ascii="宋体" w:hAnsi="宋体" w:eastAsia="宋体"/>
          <w:color w:val="auto"/>
          <w:highlight w:val="none"/>
          <w:lang w:eastAsia="zh-CN"/>
        </w:rPr>
      </w:pPr>
      <w:r>
        <w:rPr>
          <w:rFonts w:hint="eastAsia" w:ascii="宋体" w:hAnsi="宋体"/>
          <w:color w:val="auto"/>
          <w:highlight w:val="none"/>
        </w:rPr>
        <w:t>联系人：</w:t>
      </w:r>
    </w:p>
    <w:p w14:paraId="21232EFB">
      <w:pPr>
        <w:ind w:firstLine="5040" w:firstLineChars="2400"/>
        <w:rPr>
          <w:rFonts w:hint="eastAsia" w:ascii="宋体" w:hAnsi="宋体" w:eastAsia="宋体"/>
          <w:color w:val="auto"/>
          <w:highlight w:val="none"/>
          <w:lang w:eastAsia="zh-CN"/>
        </w:rPr>
      </w:pPr>
      <w:r>
        <w:rPr>
          <w:rFonts w:hint="eastAsia" w:ascii="宋体" w:hAnsi="宋体"/>
          <w:color w:val="auto"/>
          <w:highlight w:val="none"/>
        </w:rPr>
        <w:t>联系电话：</w:t>
      </w:r>
    </w:p>
    <w:p w14:paraId="07D82383">
      <w:pPr>
        <w:ind w:firstLine="5040" w:firstLineChars="2400"/>
        <w:rPr>
          <w:rFonts w:hint="eastAsia" w:ascii="宋体" w:hAnsi="宋体" w:eastAsia="宋体"/>
          <w:color w:val="auto"/>
          <w:highlight w:val="none"/>
          <w:lang w:eastAsia="zh-CN"/>
        </w:rPr>
      </w:pPr>
      <w:r>
        <w:rPr>
          <w:rFonts w:hint="eastAsia" w:ascii="宋体" w:hAnsi="宋体"/>
          <w:color w:val="auto"/>
          <w:highlight w:val="none"/>
        </w:rPr>
        <w:t>日期：</w:t>
      </w:r>
    </w:p>
    <w:p w14:paraId="68248A4C">
      <w:pPr>
        <w:pStyle w:val="13"/>
        <w:rPr>
          <w:color w:val="auto"/>
          <w:szCs w:val="24"/>
          <w:highlight w:val="none"/>
        </w:rPr>
      </w:pPr>
      <w:r>
        <w:rPr>
          <w:rFonts w:hint="eastAsia"/>
          <w:color w:val="auto"/>
          <w:szCs w:val="24"/>
          <w:highlight w:val="none"/>
        </w:rPr>
        <w:t>说明：投标人在投标时不需提交正式保函，在投标文件中盖投标人公章确认保函格式即可，乙方</w:t>
      </w:r>
      <w:r>
        <w:rPr>
          <w:rFonts w:hint="eastAsia"/>
          <w:color w:val="auto"/>
          <w:highlight w:val="none"/>
        </w:rPr>
        <w:t>在签订合同时</w:t>
      </w:r>
      <w:r>
        <w:rPr>
          <w:rFonts w:hint="eastAsia"/>
          <w:color w:val="auto"/>
          <w:szCs w:val="24"/>
          <w:highlight w:val="none"/>
        </w:rPr>
        <w:t>提交正式保函。</w:t>
      </w:r>
    </w:p>
    <w:p w14:paraId="38D56586">
      <w:pPr>
        <w:rPr>
          <w:rFonts w:ascii="宋体" w:hAnsi="宋体"/>
          <w:color w:val="auto"/>
          <w:szCs w:val="21"/>
          <w:highlight w:val="none"/>
        </w:rPr>
      </w:pPr>
    </w:p>
    <w:p w14:paraId="1FB6AD50">
      <w:pPr>
        <w:rPr>
          <w:rFonts w:ascii="宋体" w:hAnsi="宋体"/>
          <w:color w:val="auto"/>
          <w:szCs w:val="21"/>
          <w:highlight w:val="none"/>
        </w:rPr>
        <w:sectPr>
          <w:headerReference r:id="rId15" w:type="first"/>
          <w:footerReference r:id="rId17" w:type="first"/>
          <w:headerReference r:id="rId14" w:type="default"/>
          <w:footerReference r:id="rId16" w:type="default"/>
          <w:pgSz w:w="11906" w:h="16838"/>
          <w:pgMar w:top="1440" w:right="1080" w:bottom="1440" w:left="1080" w:header="708" w:footer="708" w:gutter="0"/>
          <w:pgNumType w:fmt="decimal"/>
          <w:cols w:space="708" w:num="1"/>
          <w:titlePg/>
          <w:docGrid w:type="lines" w:linePitch="360" w:charSpace="0"/>
        </w:sectPr>
      </w:pPr>
    </w:p>
    <w:p w14:paraId="25D7099E">
      <w:pPr>
        <w:pStyle w:val="5"/>
        <w:numPr>
          <w:ilvl w:val="255"/>
          <w:numId w:val="0"/>
        </w:numPr>
        <w:tabs>
          <w:tab w:val="left" w:pos="720"/>
          <w:tab w:val="left" w:pos="3840"/>
        </w:tabs>
        <w:ind w:left="283"/>
        <w:jc w:val="both"/>
        <w:rPr>
          <w:rFonts w:ascii="宋体" w:hAnsi="宋体"/>
          <w:color w:val="auto"/>
          <w:sz w:val="21"/>
          <w:szCs w:val="21"/>
          <w:highlight w:val="none"/>
        </w:rPr>
      </w:pPr>
      <w:bookmarkStart w:id="220" w:name="_Toc12062"/>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20</w:t>
      </w:r>
      <w:r>
        <w:rPr>
          <w:rFonts w:hint="eastAsia" w:ascii="宋体" w:hAnsi="宋体"/>
          <w:color w:val="auto"/>
          <w:sz w:val="21"/>
          <w:szCs w:val="21"/>
          <w:highlight w:val="none"/>
        </w:rPr>
        <w:t>.预付款保函（适用于预付款支付）</w:t>
      </w:r>
      <w:bookmarkEnd w:id="220"/>
    </w:p>
    <w:p w14:paraId="345E35A4">
      <w:pPr>
        <w:pStyle w:val="13"/>
        <w:rPr>
          <w:color w:val="auto"/>
          <w:szCs w:val="24"/>
          <w:highlight w:val="none"/>
        </w:rPr>
      </w:pPr>
    </w:p>
    <w:p w14:paraId="23462EAE">
      <w:pPr>
        <w:jc w:val="center"/>
        <w:rPr>
          <w:rFonts w:ascii="黑体" w:eastAsia="黑体"/>
          <w:color w:val="auto"/>
          <w:sz w:val="28"/>
          <w:szCs w:val="28"/>
          <w:highlight w:val="none"/>
        </w:rPr>
      </w:pPr>
      <w:bookmarkStart w:id="221" w:name="_Toc31418"/>
      <w:bookmarkStart w:id="222" w:name="_Toc7374"/>
      <w:bookmarkStart w:id="223" w:name="_Toc29054"/>
      <w:bookmarkStart w:id="224" w:name="_Toc6877"/>
      <w:bookmarkStart w:id="225" w:name="_Toc25494"/>
      <w:bookmarkStart w:id="226" w:name="_Toc10315"/>
      <w:bookmarkStart w:id="227" w:name="_Toc29728"/>
      <w:bookmarkStart w:id="228" w:name="_Toc1039"/>
      <w:bookmarkStart w:id="229" w:name="_Toc27545"/>
      <w:bookmarkStart w:id="230" w:name="_Toc5034"/>
      <w:bookmarkStart w:id="231" w:name="_Toc20669"/>
      <w:bookmarkStart w:id="232" w:name="_Toc3295"/>
      <w:r>
        <w:rPr>
          <w:rFonts w:hint="eastAsia" w:ascii="黑体" w:eastAsia="黑体"/>
          <w:color w:val="auto"/>
          <w:sz w:val="28"/>
          <w:szCs w:val="28"/>
          <w:highlight w:val="none"/>
        </w:rPr>
        <w:t>不可撤销预付款保函</w:t>
      </w:r>
      <w:bookmarkEnd w:id="221"/>
      <w:bookmarkEnd w:id="222"/>
      <w:bookmarkEnd w:id="223"/>
      <w:bookmarkEnd w:id="224"/>
      <w:bookmarkEnd w:id="225"/>
      <w:bookmarkEnd w:id="226"/>
      <w:bookmarkEnd w:id="227"/>
      <w:bookmarkEnd w:id="228"/>
      <w:bookmarkEnd w:id="229"/>
      <w:bookmarkEnd w:id="230"/>
      <w:bookmarkEnd w:id="231"/>
      <w:bookmarkEnd w:id="232"/>
    </w:p>
    <w:p w14:paraId="04BC7EB3">
      <w:pPr>
        <w:ind w:firstLine="6300"/>
        <w:rPr>
          <w:rFonts w:hint="eastAsia" w:eastAsia="宋体"/>
          <w:color w:val="auto"/>
          <w:szCs w:val="21"/>
          <w:highlight w:val="none"/>
          <w:u w:val="single"/>
          <w:lang w:eastAsia="zh-CN"/>
        </w:rPr>
      </w:pPr>
      <w:r>
        <w:rPr>
          <w:rFonts w:hint="eastAsia"/>
          <w:color w:val="auto"/>
          <w:szCs w:val="21"/>
          <w:highlight w:val="none"/>
        </w:rPr>
        <w:t>银行编号：</w:t>
      </w:r>
    </w:p>
    <w:p w14:paraId="529941E5">
      <w:pPr>
        <w:ind w:firstLine="6300"/>
        <w:rPr>
          <w:color w:val="auto"/>
          <w:szCs w:val="21"/>
          <w:highlight w:val="none"/>
        </w:rPr>
      </w:pPr>
    </w:p>
    <w:p w14:paraId="3C18AD7B">
      <w:pPr>
        <w:rPr>
          <w:rFonts w:ascii="宋体" w:hAnsi="宋体"/>
          <w:color w:val="auto"/>
          <w:szCs w:val="21"/>
          <w:highlight w:val="none"/>
        </w:rPr>
      </w:pPr>
      <w:r>
        <w:rPr>
          <w:rFonts w:hint="eastAsia" w:ascii="宋体" w:hAnsi="宋体"/>
          <w:color w:val="auto"/>
          <w:szCs w:val="21"/>
          <w:highlight w:val="none"/>
        </w:rPr>
        <w:t>致：（下称“采购人”）</w:t>
      </w:r>
    </w:p>
    <w:p w14:paraId="70F13508">
      <w:pPr>
        <w:ind w:firstLine="437"/>
        <w:rPr>
          <w:rFonts w:ascii="宋体" w:hAnsi="宋体"/>
          <w:color w:val="auto"/>
          <w:szCs w:val="21"/>
          <w:highlight w:val="none"/>
        </w:rPr>
      </w:pPr>
      <w:r>
        <w:rPr>
          <w:rFonts w:hint="eastAsia" w:ascii="宋体" w:hAnsi="宋体"/>
          <w:color w:val="auto"/>
          <w:szCs w:val="21"/>
          <w:highlight w:val="none"/>
        </w:rPr>
        <w:t>鉴于</w:t>
      </w:r>
      <w:r>
        <w:rPr>
          <w:rFonts w:hint="eastAsia" w:ascii="宋体" w:hAnsi="宋体"/>
          <w:color w:val="auto"/>
          <w:szCs w:val="24"/>
          <w:highlight w:val="none"/>
          <w:u w:val="single"/>
        </w:rPr>
        <w:t>（地址：，下称“中标人”）</w:t>
      </w:r>
      <w:r>
        <w:rPr>
          <w:rFonts w:hint="eastAsia" w:ascii="宋体" w:hAnsi="宋体"/>
          <w:color w:val="auto"/>
          <w:szCs w:val="21"/>
          <w:highlight w:val="none"/>
        </w:rPr>
        <w:t>，已保证按</w:t>
      </w:r>
      <w:r>
        <w:rPr>
          <w:rFonts w:hint="eastAsia" w:ascii="宋体" w:hAnsi="宋体"/>
          <w:color w:val="auto"/>
          <w:szCs w:val="21"/>
          <w:highlight w:val="none"/>
          <w:u w:val="single"/>
        </w:rPr>
        <w:t>承包合同书（合同编号：）</w:t>
      </w:r>
      <w:r>
        <w:rPr>
          <w:rFonts w:hint="eastAsia" w:ascii="宋体" w:hAnsi="宋体"/>
          <w:color w:val="auto"/>
          <w:szCs w:val="21"/>
          <w:highlight w:val="none"/>
        </w:rPr>
        <w:t>中规定的义务履行合同。</w:t>
      </w:r>
    </w:p>
    <w:p w14:paraId="02A3BA33">
      <w:pPr>
        <w:ind w:firstLine="437"/>
        <w:rPr>
          <w:rFonts w:ascii="宋体" w:hAnsi="宋体"/>
          <w:color w:val="auto"/>
          <w:szCs w:val="21"/>
          <w:highlight w:val="none"/>
        </w:rPr>
      </w:pPr>
      <w:r>
        <w:rPr>
          <w:rFonts w:hint="eastAsia" w:ascii="宋体" w:hAnsi="宋体"/>
          <w:color w:val="auto"/>
          <w:szCs w:val="24"/>
          <w:highlight w:val="none"/>
        </w:rPr>
        <w:t>根据上述合同（招标文件）规定，中标人应向采购人提供一份金额为合同总价的%即人民币</w:t>
      </w:r>
      <w:r>
        <w:rPr>
          <w:rFonts w:hint="eastAsia" w:ascii="宋体" w:hAnsi="宋体"/>
          <w:color w:val="auto"/>
          <w:szCs w:val="21"/>
          <w:highlight w:val="none"/>
          <w:u w:val="single"/>
        </w:rPr>
        <w:t>（RMB元）</w:t>
      </w:r>
      <w:r>
        <w:rPr>
          <w:rFonts w:hint="eastAsia" w:ascii="宋体" w:hAnsi="宋体"/>
          <w:color w:val="auto"/>
          <w:szCs w:val="21"/>
          <w:highlight w:val="none"/>
        </w:rPr>
        <w:t>的不可撤销银行预付款保函，以保证中标人履行合同的相关条款。</w:t>
      </w:r>
    </w:p>
    <w:p w14:paraId="2FCACC0C">
      <w:pPr>
        <w:ind w:firstLine="437"/>
        <w:rPr>
          <w:rFonts w:ascii="宋体" w:hAnsi="宋体"/>
          <w:color w:val="auto"/>
          <w:szCs w:val="21"/>
          <w:highlight w:val="none"/>
        </w:rPr>
      </w:pPr>
      <w:r>
        <w:rPr>
          <w:rFonts w:hint="eastAsia" w:ascii="宋体" w:hAnsi="宋体"/>
          <w:color w:val="auto"/>
          <w:szCs w:val="21"/>
          <w:highlight w:val="none"/>
        </w:rPr>
        <w:t>我方</w:t>
      </w:r>
      <w:r>
        <w:rPr>
          <w:rFonts w:hint="eastAsia" w:ascii="宋体" w:hAnsi="宋体"/>
          <w:color w:val="auto"/>
          <w:szCs w:val="21"/>
          <w:highlight w:val="none"/>
          <w:u w:val="single"/>
        </w:rPr>
        <w:t>（银行名称）</w:t>
      </w:r>
      <w:r>
        <w:rPr>
          <w:rFonts w:hint="eastAsia" w:ascii="宋体" w:hAnsi="宋体"/>
          <w:color w:val="auto"/>
          <w:szCs w:val="21"/>
          <w:highlight w:val="none"/>
        </w:rPr>
        <w:t>，受中标人的委托，作为连带责任保证人，无条件和不可撤销地同意在采购人提出因中标人没有履行上述合同规定，而要求收回上述金额内任何付款的书面要求后，于7个工作日内为采购人予以支付并保证到达采购人账户，以保证在中标人没有履行或部分履行合同条款的责任时，采购人可以向中标人收回全部或部分预付款。</w:t>
      </w:r>
    </w:p>
    <w:p w14:paraId="14AC015D">
      <w:pPr>
        <w:ind w:firstLine="437"/>
        <w:rPr>
          <w:rFonts w:ascii="宋体" w:hAnsi="宋体"/>
          <w:color w:val="auto"/>
          <w:szCs w:val="21"/>
          <w:highlight w:val="none"/>
        </w:rPr>
      </w:pPr>
      <w:r>
        <w:rPr>
          <w:rFonts w:hint="eastAsia" w:ascii="宋体" w:hAnsi="宋体"/>
          <w:color w:val="auto"/>
          <w:szCs w:val="21"/>
          <w:highlight w:val="none"/>
        </w:rPr>
        <w:t>我方还同意，任何采购人与中标人之间可能对合同条款的修改、规范或其他合同文件的变动补充，都不能免除我方按本保函所承担的责任。因此，有关上述变动、补充和修改无须通知我方。</w:t>
      </w:r>
    </w:p>
    <w:p w14:paraId="1D422393">
      <w:pPr>
        <w:ind w:firstLine="437"/>
        <w:rPr>
          <w:rFonts w:ascii="宋体" w:hAnsi="宋体"/>
          <w:color w:val="auto"/>
          <w:szCs w:val="21"/>
          <w:highlight w:val="none"/>
        </w:rPr>
      </w:pPr>
      <w:r>
        <w:rPr>
          <w:rFonts w:hint="eastAsia" w:ascii="宋体" w:hAnsi="宋体"/>
          <w:color w:val="auto"/>
          <w:szCs w:val="21"/>
          <w:highlight w:val="none"/>
        </w:rPr>
        <w:t>本保函有效期从保函开立之日起至采购人向中标人抵扣完所有预付款之日止。</w:t>
      </w:r>
    </w:p>
    <w:p w14:paraId="63FA9C5C">
      <w:pPr>
        <w:rPr>
          <w:rFonts w:ascii="宋体" w:hAnsi="宋体"/>
          <w:color w:val="auto"/>
          <w:szCs w:val="21"/>
          <w:highlight w:val="none"/>
        </w:rPr>
      </w:pPr>
    </w:p>
    <w:p w14:paraId="006BBDBD">
      <w:pPr>
        <w:ind w:firstLine="437"/>
        <w:rPr>
          <w:rFonts w:ascii="宋体" w:hAnsi="宋体"/>
          <w:color w:val="auto"/>
          <w:szCs w:val="21"/>
          <w:highlight w:val="none"/>
        </w:rPr>
      </w:pPr>
    </w:p>
    <w:p w14:paraId="4AF46FBA">
      <w:pPr>
        <w:ind w:firstLine="4860"/>
        <w:rPr>
          <w:rFonts w:hint="eastAsia" w:ascii="宋体" w:hAnsi="宋体" w:eastAsia="宋体"/>
          <w:color w:val="auto"/>
          <w:szCs w:val="21"/>
          <w:highlight w:val="none"/>
          <w:lang w:eastAsia="zh-CN"/>
        </w:rPr>
      </w:pPr>
      <w:r>
        <w:rPr>
          <w:rFonts w:hint="eastAsia" w:ascii="宋体" w:hAnsi="宋体"/>
          <w:color w:val="auto"/>
          <w:szCs w:val="21"/>
          <w:highlight w:val="none"/>
        </w:rPr>
        <w:t>保证人：（公章）</w:t>
      </w:r>
    </w:p>
    <w:p w14:paraId="53988DEB">
      <w:pPr>
        <w:ind w:firstLine="4860"/>
        <w:rPr>
          <w:rFonts w:hint="eastAsia" w:ascii="宋体" w:hAnsi="宋体" w:eastAsia="宋体"/>
          <w:color w:val="auto"/>
          <w:szCs w:val="21"/>
          <w:highlight w:val="none"/>
          <w:u w:val="single"/>
          <w:lang w:eastAsia="zh-CN"/>
        </w:rPr>
      </w:pPr>
      <w:r>
        <w:rPr>
          <w:rFonts w:hint="eastAsia" w:ascii="宋体" w:hAnsi="宋体"/>
          <w:color w:val="auto"/>
          <w:szCs w:val="21"/>
          <w:highlight w:val="none"/>
        </w:rPr>
        <w:t>负责人：（签字）</w:t>
      </w:r>
    </w:p>
    <w:p w14:paraId="18BE28ED">
      <w:pPr>
        <w:ind w:firstLine="4860"/>
        <w:rPr>
          <w:rFonts w:hint="eastAsia" w:ascii="宋体" w:hAnsi="宋体" w:eastAsia="宋体"/>
          <w:color w:val="auto"/>
          <w:szCs w:val="21"/>
          <w:highlight w:val="none"/>
          <w:u w:val="single"/>
          <w:lang w:eastAsia="zh-CN"/>
        </w:rPr>
      </w:pPr>
      <w:r>
        <w:rPr>
          <w:rFonts w:hint="eastAsia" w:ascii="宋体" w:hAnsi="宋体"/>
          <w:color w:val="auto"/>
          <w:szCs w:val="21"/>
          <w:highlight w:val="none"/>
        </w:rPr>
        <w:t>联系电话：</w:t>
      </w:r>
    </w:p>
    <w:p w14:paraId="7B7076E1">
      <w:pPr>
        <w:ind w:firstLine="4860"/>
        <w:rPr>
          <w:rFonts w:hint="eastAsia" w:ascii="宋体" w:hAnsi="宋体" w:eastAsia="宋体"/>
          <w:color w:val="auto"/>
          <w:szCs w:val="21"/>
          <w:highlight w:val="none"/>
          <w:lang w:eastAsia="zh-CN"/>
        </w:rPr>
      </w:pPr>
      <w:r>
        <w:rPr>
          <w:rFonts w:hint="eastAsia" w:ascii="宋体" w:hAnsi="宋体"/>
          <w:color w:val="auto"/>
          <w:szCs w:val="21"/>
          <w:highlight w:val="none"/>
        </w:rPr>
        <w:t>地址：</w:t>
      </w:r>
    </w:p>
    <w:p w14:paraId="77460D37">
      <w:pPr>
        <w:ind w:firstLine="4860"/>
        <w:rPr>
          <w:rFonts w:hint="eastAsia" w:ascii="宋体" w:hAnsi="宋体" w:eastAsia="宋体"/>
          <w:color w:val="auto"/>
          <w:szCs w:val="21"/>
          <w:highlight w:val="none"/>
          <w:u w:val="single"/>
          <w:lang w:eastAsia="zh-CN"/>
        </w:rPr>
      </w:pPr>
      <w:r>
        <w:rPr>
          <w:rFonts w:hint="eastAsia" w:ascii="宋体" w:hAnsi="宋体"/>
          <w:color w:val="auto"/>
          <w:szCs w:val="21"/>
          <w:highlight w:val="none"/>
        </w:rPr>
        <w:t>日期：</w:t>
      </w:r>
    </w:p>
    <w:p w14:paraId="6BE122E6">
      <w:pPr>
        <w:pStyle w:val="13"/>
        <w:rPr>
          <w:color w:val="auto"/>
          <w:szCs w:val="21"/>
          <w:highlight w:val="none"/>
        </w:rPr>
      </w:pPr>
    </w:p>
    <w:p w14:paraId="0133FB15">
      <w:pPr>
        <w:pStyle w:val="13"/>
        <w:rPr>
          <w:color w:val="auto"/>
          <w:szCs w:val="21"/>
          <w:highlight w:val="none"/>
        </w:rPr>
      </w:pPr>
    </w:p>
    <w:p w14:paraId="3800D3BC">
      <w:pPr>
        <w:ind w:firstLine="413" w:firstLineChars="196"/>
        <w:rPr>
          <w:rFonts w:ascii="宋体" w:hAnsi="宋体"/>
          <w:b/>
          <w:color w:val="auto"/>
          <w:szCs w:val="21"/>
          <w:highlight w:val="none"/>
        </w:rPr>
      </w:pPr>
      <w:r>
        <w:rPr>
          <w:rFonts w:hint="eastAsia" w:ascii="宋体" w:hAnsi="宋体"/>
          <w:b/>
          <w:color w:val="auto"/>
          <w:szCs w:val="21"/>
          <w:highlight w:val="none"/>
        </w:rPr>
        <w:t>说明：投标人在投标文件中盖投标人公章确认保函内容即可，如中标再由银行出具保函。</w:t>
      </w:r>
    </w:p>
    <w:p w14:paraId="6E1E196F">
      <w:pPr>
        <w:rPr>
          <w:rFonts w:ascii="宋体" w:hAnsi="宋体"/>
          <w:color w:val="auto"/>
          <w:szCs w:val="21"/>
          <w:highlight w:val="none"/>
        </w:rPr>
        <w:sectPr>
          <w:pgSz w:w="11906" w:h="16838"/>
          <w:pgMar w:top="1440" w:right="1080" w:bottom="1440" w:left="1080" w:header="708" w:footer="708" w:gutter="0"/>
          <w:pgNumType w:fmt="decimal"/>
          <w:cols w:space="708" w:num="1"/>
          <w:titlePg/>
          <w:docGrid w:type="lines" w:linePitch="360" w:charSpace="0"/>
        </w:sectPr>
      </w:pPr>
    </w:p>
    <w:p w14:paraId="18F08946">
      <w:pPr>
        <w:pStyle w:val="12"/>
        <w:rPr>
          <w:color w:val="auto"/>
          <w:highlight w:val="none"/>
        </w:rPr>
      </w:pPr>
      <w:bookmarkStart w:id="233" w:name="_Toc1968"/>
    </w:p>
    <w:p w14:paraId="052EFDA7">
      <w:pPr>
        <w:jc w:val="center"/>
        <w:outlineLvl w:val="1"/>
        <w:rPr>
          <w:rFonts w:eastAsia="黑体"/>
          <w:color w:val="auto"/>
          <w:sz w:val="72"/>
          <w:szCs w:val="72"/>
          <w:highlight w:val="none"/>
        </w:rPr>
      </w:pPr>
      <w:bookmarkStart w:id="234" w:name="_Toc32660"/>
      <w:r>
        <w:rPr>
          <w:rFonts w:hint="eastAsia" w:eastAsia="黑体"/>
          <w:color w:val="auto"/>
          <w:sz w:val="72"/>
          <w:szCs w:val="72"/>
          <w:highlight w:val="none"/>
        </w:rPr>
        <w:t>唱标信封</w:t>
      </w:r>
      <w:bookmarkEnd w:id="234"/>
    </w:p>
    <w:p w14:paraId="4CAC8B24">
      <w:pPr>
        <w:jc w:val="center"/>
        <w:rPr>
          <w:rFonts w:ascii="黑体" w:eastAsia="黑体"/>
          <w:color w:val="auto"/>
          <w:sz w:val="52"/>
          <w:szCs w:val="52"/>
          <w:highlight w:val="none"/>
        </w:rPr>
      </w:pPr>
      <w:r>
        <w:rPr>
          <w:rFonts w:hint="eastAsia" w:ascii="黑体" w:eastAsia="黑体"/>
          <w:color w:val="auto"/>
          <w:sz w:val="52"/>
          <w:szCs w:val="52"/>
          <w:highlight w:val="none"/>
        </w:rPr>
        <w:t>（单独装订成册，单独封装）</w:t>
      </w:r>
    </w:p>
    <w:p w14:paraId="751A563F">
      <w:pPr>
        <w:rPr>
          <w:color w:val="auto"/>
          <w:highlight w:val="none"/>
        </w:rPr>
      </w:pPr>
    </w:p>
    <w:p w14:paraId="1E0316DC">
      <w:pPr>
        <w:pStyle w:val="12"/>
        <w:rPr>
          <w:color w:val="auto"/>
          <w:highlight w:val="none"/>
        </w:rPr>
      </w:pPr>
    </w:p>
    <w:p w14:paraId="2A9D313D">
      <w:pPr>
        <w:ind w:firstLine="240"/>
        <w:rPr>
          <w:color w:val="auto"/>
          <w:highlight w:val="none"/>
        </w:rPr>
      </w:pPr>
    </w:p>
    <w:p w14:paraId="044C2462">
      <w:pPr>
        <w:ind w:firstLine="240"/>
        <w:rPr>
          <w:color w:val="auto"/>
          <w:highlight w:val="none"/>
        </w:rPr>
      </w:pPr>
    </w:p>
    <w:p w14:paraId="5FC01EAF">
      <w:pPr>
        <w:rPr>
          <w:rFonts w:ascii="宋体" w:hAnsi="宋体" w:cs="宋体"/>
          <w:b/>
          <w:color w:val="auto"/>
          <w:spacing w:val="-6"/>
          <w:sz w:val="32"/>
          <w:szCs w:val="32"/>
          <w:highlight w:val="none"/>
        </w:rPr>
      </w:pPr>
      <w:r>
        <w:rPr>
          <w:rFonts w:hint="eastAsia" w:ascii="宋体" w:hAnsi="宋体" w:cs="宋体"/>
          <w:b/>
          <w:color w:val="auto"/>
          <w:spacing w:val="106"/>
          <w:sz w:val="32"/>
          <w:szCs w:val="32"/>
          <w:highlight w:val="none"/>
        </w:rPr>
        <w:t>项目名</w:t>
      </w:r>
      <w:r>
        <w:rPr>
          <w:rFonts w:hint="eastAsia" w:ascii="宋体" w:hAnsi="宋体" w:cs="宋体"/>
          <w:b/>
          <w:color w:val="auto"/>
          <w:spacing w:val="2"/>
          <w:sz w:val="32"/>
          <w:szCs w:val="32"/>
          <w:highlight w:val="none"/>
        </w:rPr>
        <w:t>称</w:t>
      </w:r>
      <w:r>
        <w:rPr>
          <w:rFonts w:hint="eastAsia" w:ascii="宋体" w:hAnsi="宋体" w:cs="宋体"/>
          <w:b/>
          <w:color w:val="auto"/>
          <w:spacing w:val="-6"/>
          <w:sz w:val="32"/>
          <w:szCs w:val="32"/>
          <w:highlight w:val="none"/>
        </w:rPr>
        <w:t>：</w:t>
      </w:r>
    </w:p>
    <w:p w14:paraId="2D64A464">
      <w:pPr>
        <w:rPr>
          <w:rFonts w:ascii="宋体" w:hAnsi="宋体" w:cs="宋体"/>
          <w:b/>
          <w:color w:val="auto"/>
          <w:sz w:val="32"/>
          <w:szCs w:val="32"/>
          <w:highlight w:val="none"/>
        </w:rPr>
      </w:pPr>
      <w:r>
        <w:rPr>
          <w:rFonts w:hint="eastAsia" w:ascii="宋体" w:hAnsi="宋体" w:cs="宋体"/>
          <w:b/>
          <w:color w:val="auto"/>
          <w:spacing w:val="106"/>
          <w:sz w:val="32"/>
          <w:szCs w:val="32"/>
          <w:highlight w:val="none"/>
        </w:rPr>
        <w:t>项目编</w:t>
      </w:r>
      <w:r>
        <w:rPr>
          <w:rFonts w:hint="eastAsia" w:ascii="宋体" w:hAnsi="宋体" w:cs="宋体"/>
          <w:b/>
          <w:color w:val="auto"/>
          <w:spacing w:val="2"/>
          <w:sz w:val="32"/>
          <w:szCs w:val="32"/>
          <w:highlight w:val="none"/>
        </w:rPr>
        <w:t>号</w:t>
      </w:r>
      <w:r>
        <w:rPr>
          <w:rFonts w:hint="eastAsia" w:ascii="宋体" w:hAnsi="宋体" w:cs="宋体"/>
          <w:b/>
          <w:color w:val="auto"/>
          <w:sz w:val="32"/>
          <w:szCs w:val="32"/>
          <w:highlight w:val="none"/>
        </w:rPr>
        <w:t>：</w:t>
      </w:r>
    </w:p>
    <w:p w14:paraId="44E6DACC">
      <w:pPr>
        <w:pStyle w:val="12"/>
        <w:ind w:left="0"/>
        <w:rPr>
          <w:b/>
          <w:color w:val="auto"/>
          <w:spacing w:val="106"/>
          <w:sz w:val="32"/>
          <w:szCs w:val="32"/>
          <w:highlight w:val="none"/>
          <w:lang w:val="en-US" w:bidi="ar-SA"/>
        </w:rPr>
      </w:pPr>
      <w:r>
        <w:rPr>
          <w:rFonts w:hint="eastAsia"/>
          <w:b/>
          <w:color w:val="auto"/>
          <w:spacing w:val="106"/>
          <w:sz w:val="32"/>
          <w:szCs w:val="32"/>
          <w:highlight w:val="none"/>
          <w:lang w:val="en-US" w:bidi="ar-SA"/>
        </w:rPr>
        <w:t>包组号（如有）：</w:t>
      </w:r>
    </w:p>
    <w:p w14:paraId="4605BE5E">
      <w:pPr>
        <w:rPr>
          <w:rFonts w:ascii="宋体" w:hAnsi="宋体" w:cs="宋体"/>
          <w:b/>
          <w:color w:val="auto"/>
          <w:sz w:val="32"/>
          <w:szCs w:val="32"/>
          <w:highlight w:val="none"/>
        </w:rPr>
      </w:pPr>
      <w:r>
        <w:rPr>
          <w:rFonts w:hint="eastAsia" w:ascii="宋体" w:hAnsi="宋体" w:cs="宋体"/>
          <w:b/>
          <w:color w:val="auto"/>
          <w:sz w:val="32"/>
          <w:szCs w:val="32"/>
          <w:highlight w:val="none"/>
        </w:rPr>
        <w:t>投标人名称：</w:t>
      </w:r>
    </w:p>
    <w:p w14:paraId="2C3C97AF">
      <w:pPr>
        <w:rPr>
          <w:rFonts w:ascii="宋体" w:hAnsi="宋体" w:cs="宋体"/>
          <w:b/>
          <w:color w:val="auto"/>
          <w:sz w:val="32"/>
          <w:szCs w:val="32"/>
          <w:highlight w:val="none"/>
        </w:rPr>
      </w:pPr>
      <w:r>
        <w:rPr>
          <w:rFonts w:hint="eastAsia" w:ascii="宋体" w:hAnsi="宋体" w:cs="宋体"/>
          <w:b/>
          <w:color w:val="auto"/>
          <w:spacing w:val="64"/>
          <w:sz w:val="32"/>
          <w:szCs w:val="32"/>
          <w:highlight w:val="none"/>
        </w:rPr>
        <w:t>日</w:t>
      </w:r>
      <w:r>
        <w:rPr>
          <w:rFonts w:hint="eastAsia" w:ascii="宋体" w:hAnsi="宋体" w:cs="宋体"/>
          <w:b/>
          <w:color w:val="auto"/>
          <w:sz w:val="32"/>
          <w:szCs w:val="32"/>
          <w:highlight w:val="none"/>
        </w:rPr>
        <w:t>期：</w:t>
      </w:r>
    </w:p>
    <w:p w14:paraId="47AD23E4">
      <w:pPr>
        <w:rPr>
          <w:rFonts w:ascii="宋体" w:hAnsi="宋体"/>
          <w:color w:val="auto"/>
          <w:szCs w:val="21"/>
          <w:highlight w:val="none"/>
        </w:rPr>
      </w:pPr>
      <w:r>
        <w:rPr>
          <w:rFonts w:hint="eastAsia" w:ascii="宋体" w:hAnsi="宋体"/>
          <w:color w:val="auto"/>
          <w:szCs w:val="21"/>
          <w:highlight w:val="none"/>
        </w:rPr>
        <w:br w:type="page"/>
      </w:r>
    </w:p>
    <w:p w14:paraId="2325D4D2">
      <w:pPr>
        <w:outlineLvl w:val="1"/>
        <w:rPr>
          <w:color w:val="auto"/>
          <w:sz w:val="72"/>
          <w:szCs w:val="72"/>
          <w:highlight w:val="none"/>
        </w:rPr>
        <w:sectPr>
          <w:pgSz w:w="11906" w:h="16838"/>
          <w:pgMar w:top="1440" w:right="1080" w:bottom="1440" w:left="1080" w:header="708" w:footer="708" w:gutter="0"/>
          <w:pgNumType w:fmt="decimal"/>
          <w:cols w:space="708" w:num="1"/>
          <w:titlePg/>
          <w:docGrid w:type="lines" w:linePitch="360" w:charSpace="0"/>
        </w:sectPr>
      </w:pPr>
    </w:p>
    <w:bookmarkEnd w:id="233"/>
    <w:p w14:paraId="73B00BF9">
      <w:pPr>
        <w:pStyle w:val="5"/>
        <w:numPr>
          <w:ilvl w:val="255"/>
          <w:numId w:val="0"/>
        </w:numPr>
        <w:tabs>
          <w:tab w:val="left" w:pos="720"/>
          <w:tab w:val="left" w:pos="3840"/>
        </w:tabs>
        <w:ind w:left="283"/>
        <w:jc w:val="both"/>
        <w:rPr>
          <w:rFonts w:ascii="宋体" w:hAnsi="宋体"/>
          <w:color w:val="auto"/>
          <w:sz w:val="21"/>
          <w:szCs w:val="21"/>
          <w:highlight w:val="none"/>
        </w:rPr>
      </w:pPr>
      <w:bookmarkStart w:id="235" w:name="_Toc8535"/>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21</w:t>
      </w:r>
      <w:r>
        <w:rPr>
          <w:rFonts w:hint="eastAsia" w:ascii="宋体" w:hAnsi="宋体"/>
          <w:color w:val="auto"/>
          <w:sz w:val="21"/>
          <w:szCs w:val="21"/>
          <w:highlight w:val="none"/>
        </w:rPr>
        <w:t>.唱标信封内装（内容务必与投标文件正本一致）</w:t>
      </w:r>
      <w:bookmarkEnd w:id="235"/>
    </w:p>
    <w:p w14:paraId="489EE2F0">
      <w:pPr>
        <w:numPr>
          <w:ilvl w:val="0"/>
          <w:numId w:val="0"/>
        </w:numPr>
        <w:ind w:left="0" w:leftChars="0" w:firstLine="420" w:firstLineChars="200"/>
        <w:rPr>
          <w:rFonts w:hint="eastAsia" w:hAnsi="宋体" w:eastAsia="宋体"/>
          <w:color w:val="auto"/>
          <w:szCs w:val="21"/>
          <w:highlight w:val="none"/>
          <w:lang w:eastAsia="zh-CN"/>
        </w:rPr>
      </w:pPr>
      <w:r>
        <w:rPr>
          <w:rFonts w:hint="eastAsia" w:ascii="Tahoma" w:hAnsi="宋体" w:eastAsia="宋体" w:cstheme="minorBidi"/>
          <w:color w:val="auto"/>
          <w:sz w:val="21"/>
          <w:szCs w:val="21"/>
          <w:highlight w:val="none"/>
          <w:lang w:val="en-US" w:eastAsia="zh-CN" w:bidi="ar-SA"/>
        </w:rPr>
        <w:t>一、</w:t>
      </w:r>
      <w:r>
        <w:rPr>
          <w:rFonts w:hint="eastAsia" w:hAnsi="宋体"/>
          <w:color w:val="auto"/>
          <w:szCs w:val="21"/>
          <w:highlight w:val="none"/>
        </w:rPr>
        <w:t>开标一览表加盖公章</w:t>
      </w:r>
      <w:r>
        <w:rPr>
          <w:rFonts w:hint="eastAsia" w:hAnsi="宋体"/>
          <w:color w:val="auto"/>
          <w:szCs w:val="21"/>
          <w:highlight w:val="none"/>
          <w:lang w:eastAsia="zh-CN"/>
        </w:rPr>
        <w:t>；</w:t>
      </w:r>
    </w:p>
    <w:p w14:paraId="203C6D9A">
      <w:pPr>
        <w:numPr>
          <w:ilvl w:val="0"/>
          <w:numId w:val="0"/>
        </w:numPr>
        <w:ind w:left="0" w:leftChars="0" w:firstLine="420" w:firstLineChars="200"/>
        <w:rPr>
          <w:rFonts w:hint="eastAsia" w:hAnsi="宋体" w:eastAsia="宋体"/>
          <w:color w:val="auto"/>
          <w:szCs w:val="21"/>
          <w:highlight w:val="none"/>
          <w:lang w:eastAsia="zh-CN"/>
        </w:rPr>
      </w:pPr>
      <w:r>
        <w:rPr>
          <w:rFonts w:hint="eastAsia" w:ascii="Tahoma" w:hAnsi="宋体" w:eastAsia="宋体" w:cstheme="minorBidi"/>
          <w:color w:val="auto"/>
          <w:sz w:val="21"/>
          <w:szCs w:val="21"/>
          <w:highlight w:val="none"/>
          <w:lang w:val="en-US" w:eastAsia="zh-CN" w:bidi="ar-SA"/>
        </w:rPr>
        <w:t>二、</w:t>
      </w:r>
      <w:r>
        <w:rPr>
          <w:rFonts w:hint="eastAsia" w:hAnsi="宋体"/>
          <w:color w:val="auto"/>
          <w:szCs w:val="21"/>
          <w:highlight w:val="none"/>
        </w:rPr>
        <w:t>法定代表人证明书加盖公章</w:t>
      </w:r>
      <w:r>
        <w:rPr>
          <w:rFonts w:hint="eastAsia" w:hAnsi="宋体"/>
          <w:color w:val="auto"/>
          <w:szCs w:val="21"/>
          <w:highlight w:val="none"/>
          <w:lang w:eastAsia="zh-CN"/>
        </w:rPr>
        <w:t>；</w:t>
      </w:r>
    </w:p>
    <w:p w14:paraId="6A31EBDE">
      <w:pPr>
        <w:numPr>
          <w:ilvl w:val="0"/>
          <w:numId w:val="0"/>
        </w:numPr>
        <w:ind w:left="0" w:leftChars="0" w:firstLine="420" w:firstLineChars="200"/>
        <w:rPr>
          <w:rFonts w:hint="eastAsia" w:hAnsi="宋体" w:eastAsia="宋体"/>
          <w:color w:val="auto"/>
          <w:szCs w:val="21"/>
          <w:highlight w:val="none"/>
          <w:lang w:eastAsia="zh-CN"/>
        </w:rPr>
      </w:pPr>
      <w:r>
        <w:rPr>
          <w:rFonts w:hint="eastAsia" w:ascii="Tahoma" w:hAnsi="宋体" w:eastAsia="宋体" w:cstheme="minorBidi"/>
          <w:color w:val="auto"/>
          <w:sz w:val="21"/>
          <w:szCs w:val="21"/>
          <w:highlight w:val="none"/>
          <w:lang w:val="en-US" w:eastAsia="zh-CN" w:bidi="ar-SA"/>
        </w:rPr>
        <w:t>三、</w:t>
      </w:r>
      <w:r>
        <w:rPr>
          <w:rFonts w:hint="eastAsia" w:hAnsi="宋体"/>
          <w:color w:val="auto"/>
          <w:szCs w:val="21"/>
          <w:highlight w:val="none"/>
        </w:rPr>
        <w:t>法定代表人授权委托书加盖公章（法定代表人投标的除外）</w:t>
      </w:r>
      <w:r>
        <w:rPr>
          <w:rFonts w:hint="eastAsia" w:hAnsi="宋体"/>
          <w:color w:val="auto"/>
          <w:szCs w:val="21"/>
          <w:highlight w:val="none"/>
          <w:lang w:eastAsia="zh-CN"/>
        </w:rPr>
        <w:t>；</w:t>
      </w:r>
    </w:p>
    <w:p w14:paraId="11F0DFCC">
      <w:pPr>
        <w:numPr>
          <w:ilvl w:val="0"/>
          <w:numId w:val="0"/>
        </w:numPr>
        <w:ind w:left="0" w:leftChars="0" w:firstLine="420" w:firstLineChars="200"/>
        <w:rPr>
          <w:rFonts w:hint="eastAsia" w:hAnsi="宋体" w:eastAsia="宋体"/>
          <w:color w:val="auto"/>
          <w:szCs w:val="21"/>
          <w:highlight w:val="none"/>
          <w:lang w:eastAsia="zh-CN"/>
        </w:rPr>
      </w:pPr>
      <w:r>
        <w:rPr>
          <w:rFonts w:hint="eastAsia" w:ascii="Tahoma" w:hAnsi="宋体" w:eastAsia="宋体" w:cstheme="minorBidi"/>
          <w:color w:val="auto"/>
          <w:sz w:val="21"/>
          <w:szCs w:val="21"/>
          <w:highlight w:val="none"/>
          <w:lang w:val="en-US" w:eastAsia="zh-CN" w:bidi="ar-SA"/>
        </w:rPr>
        <w:t>四、</w:t>
      </w:r>
      <w:r>
        <w:rPr>
          <w:rFonts w:hint="eastAsia" w:hAnsi="宋体"/>
          <w:color w:val="auto"/>
          <w:szCs w:val="21"/>
          <w:highlight w:val="none"/>
        </w:rPr>
        <w:t>投标保证金汇入情况说明（含银行汇款凭证）或投标保函加盖公章</w:t>
      </w:r>
      <w:r>
        <w:rPr>
          <w:rFonts w:hint="eastAsia" w:hAnsi="宋体"/>
          <w:color w:val="auto"/>
          <w:szCs w:val="21"/>
          <w:highlight w:val="none"/>
          <w:lang w:eastAsia="zh-CN"/>
        </w:rPr>
        <w:t>；</w:t>
      </w:r>
    </w:p>
    <w:p w14:paraId="5CBD0E8E">
      <w:pPr>
        <w:numPr>
          <w:ilvl w:val="0"/>
          <w:numId w:val="0"/>
        </w:numPr>
        <w:ind w:left="0" w:leftChars="0" w:firstLine="420" w:firstLineChars="200"/>
        <w:rPr>
          <w:rFonts w:hAnsi="宋体"/>
          <w:color w:val="auto"/>
          <w:szCs w:val="21"/>
          <w:highlight w:val="none"/>
        </w:rPr>
      </w:pPr>
      <w:r>
        <w:rPr>
          <w:rFonts w:hint="eastAsia" w:ascii="Tahoma" w:hAnsi="宋体" w:eastAsia="宋体" w:cstheme="minorBidi"/>
          <w:color w:val="auto"/>
          <w:sz w:val="21"/>
          <w:szCs w:val="21"/>
          <w:highlight w:val="none"/>
          <w:lang w:val="en-US" w:eastAsia="zh-CN" w:bidi="ar-SA"/>
        </w:rPr>
        <w:t>五、</w:t>
      </w:r>
      <w:r>
        <w:rPr>
          <w:rFonts w:hint="eastAsia" w:hAnsi="宋体"/>
          <w:color w:val="auto"/>
          <w:szCs w:val="21"/>
          <w:highlight w:val="none"/>
        </w:rPr>
        <w:t>投标文件电子文件（U盘，须含盖章版PDF投标文件和WORD版投标文件各一版，文字采用WORD文档，计算表格采用EXCEL文档。）</w:t>
      </w:r>
    </w:p>
    <w:p w14:paraId="5D12C175">
      <w:pPr>
        <w:rPr>
          <w:rFonts w:ascii="宋体" w:hAnsi="宋体" w:cs="宋体"/>
          <w:color w:val="auto"/>
          <w:szCs w:val="21"/>
          <w:highlight w:val="none"/>
        </w:rPr>
      </w:pPr>
    </w:p>
    <w:p w14:paraId="2A7E548D">
      <w:pPr>
        <w:pStyle w:val="12"/>
        <w:rPr>
          <w:color w:val="auto"/>
          <w:highlight w:val="none"/>
        </w:rPr>
      </w:pPr>
    </w:p>
    <w:sectPr>
      <w:pgSz w:w="11906" w:h="16838"/>
      <w:pgMar w:top="1440" w:right="1080" w:bottom="1440" w:left="1080" w:header="708" w:footer="708" w:gutter="0"/>
      <w:pgNumType w:fmt="decimal"/>
      <w:cols w:space="708" w:num="1"/>
      <w:titlePg/>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书宋简体">
    <w:altName w:val="宋体"/>
    <w:panose1 w:val="00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E-F1">
    <w:altName w:val="Malgun Gothic"/>
    <w:panose1 w:val="00000000000000000000"/>
    <w:charset w:val="81"/>
    <w:family w:val="roman"/>
    <w:pitch w:val="default"/>
    <w:sig w:usb0="00000000" w:usb1="00000000"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PMingLiU">
    <w:altName w:val="PMingLiU-ExtB"/>
    <w:panose1 w:val="02020500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A2AD5F">
    <w:pPr>
      <w:pStyle w:val="2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D4F20A">
                          <w:pPr>
                            <w:pStyle w:val="2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5D4F20A">
                    <w:pPr>
                      <w:pStyle w:val="20"/>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1AAFD8">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7D282C">
                          <w:pPr>
                            <w:pStyle w:val="2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37D282C">
                    <w:pPr>
                      <w:pStyle w:val="20"/>
                    </w:pPr>
                    <w:r>
                      <w:fldChar w:fldCharType="begin"/>
                    </w:r>
                    <w:r>
                      <w:instrText xml:space="preserve"> PAGE  \* MERGEFORMAT </w:instrText>
                    </w:r>
                    <w:r>
                      <w:fldChar w:fldCharType="separate"/>
                    </w:r>
                    <w:r>
                      <w:t>1</w:t>
                    </w:r>
                    <w:r>
                      <w:fldChar w:fldCharType="end"/>
                    </w:r>
                  </w:p>
                </w:txbxContent>
              </v:textbox>
            </v:shape>
          </w:pict>
        </mc:Fallback>
      </mc:AlternateContent>
    </w:r>
    <w:sdt>
      <w:sdtPr>
        <w:rPr>
          <w:rFonts w:ascii="Times New Roman" w:hAnsi="Times New Roman" w:eastAsia="微软雅黑" w:cstheme="minorBidi"/>
          <w:kern w:val="2"/>
          <w:sz w:val="18"/>
          <w:szCs w:val="18"/>
          <w:lang w:val="en-US" w:eastAsia="zh-CN" w:bidi="ar-SA"/>
        </w:rPr>
        <w:id w:val="147478195"/>
      </w:sdtPr>
      <w:sdtEndPr>
        <w:rPr>
          <w:rFonts w:ascii="Times New Roman" w:hAnsi="Times New Roman" w:eastAsia="微软雅黑" w:cstheme="minorBidi"/>
          <w:kern w:val="2"/>
          <w:sz w:val="18"/>
          <w:szCs w:val="18"/>
          <w:lang w:val="en-US" w:eastAsia="zh-CN" w:bidi="ar-SA"/>
        </w:rPr>
      </w:sdtEndPr>
      <w:sdtContent/>
    </w:sdt>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A32E5A">
    <w:pPr>
      <w:widowControl w:val="0"/>
      <w:tabs>
        <w:tab w:val="center" w:pos="4320"/>
        <w:tab w:val="right" w:pos="8640"/>
      </w:tabs>
      <w:adjustRightInd/>
      <w:snapToGrid w:val="0"/>
      <w:spacing w:after="0"/>
      <w:jc w:val="center"/>
      <w:rPr>
        <w:rFonts w:ascii="Times New Roman" w:hAnsi="Times New Roman" w:eastAsia="微软雅黑" w:cstheme="minorBidi"/>
        <w:kern w:val="2"/>
        <w:sz w:val="18"/>
        <w:szCs w:val="18"/>
        <w:lang w:val="en-US" w:eastAsia="zh-CN" w:bidi="ar-SA"/>
      </w:rPr>
    </w:pPr>
  </w:p>
  <w:p w14:paraId="6C6F5838">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85EBE4">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29AFC6">
                          <w:pPr>
                            <w:pStyle w:val="20"/>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6B29AFC6">
                    <w:pPr>
                      <w:pStyle w:val="20"/>
                    </w:pPr>
                    <w:r>
                      <w:fldChar w:fldCharType="begin"/>
                    </w:r>
                    <w:r>
                      <w:instrText xml:space="preserve"> PAGE  \* MERGEFORMAT </w:instrText>
                    </w:r>
                    <w:r>
                      <w:fldChar w:fldCharType="separate"/>
                    </w:r>
                    <w:r>
                      <w:t>44</w:t>
                    </w:r>
                    <w:r>
                      <w:fldChar w:fldCharType="end"/>
                    </w:r>
                  </w:p>
                </w:txbxContent>
              </v:textbox>
            </v:shape>
          </w:pict>
        </mc:Fallback>
      </mc:AlternateContent>
    </w:r>
    <w:sdt>
      <w:sdtPr>
        <w:rPr>
          <w:rFonts w:ascii="Times New Roman" w:hAnsi="Times New Roman" w:eastAsia="微软雅黑" w:cstheme="minorBidi"/>
          <w:kern w:val="2"/>
          <w:sz w:val="18"/>
          <w:szCs w:val="18"/>
          <w:lang w:val="en-US" w:eastAsia="zh-CN" w:bidi="ar-SA"/>
        </w:rPr>
        <w:id w:val="147483489"/>
      </w:sdtPr>
      <w:sdtEndPr>
        <w:rPr>
          <w:rFonts w:ascii="Times New Roman" w:hAnsi="Times New Roman" w:eastAsia="微软雅黑" w:cstheme="minorBidi"/>
          <w:kern w:val="2"/>
          <w:sz w:val="18"/>
          <w:szCs w:val="18"/>
          <w:lang w:val="en-US" w:eastAsia="zh-CN" w:bidi="ar-SA"/>
        </w:rPr>
      </w:sdtEndPr>
      <w:sdtContent/>
    </w:sdt>
  </w:p>
  <w:p w14:paraId="122272EE">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62635">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545C71">
                          <w:pPr>
                            <w:pStyle w:val="20"/>
                          </w:pP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5545C71">
                    <w:pPr>
                      <w:pStyle w:val="20"/>
                    </w:pPr>
                    <w:r>
                      <w:fldChar w:fldCharType="begin"/>
                    </w:r>
                    <w:r>
                      <w:instrText xml:space="preserve"> PAGE  \* MERGEFORMAT </w:instrText>
                    </w:r>
                    <w:r>
                      <w:fldChar w:fldCharType="separate"/>
                    </w:r>
                    <w:r>
                      <w:t>51</w:t>
                    </w:r>
                    <w:r>
                      <w:fldChar w:fldCharType="end"/>
                    </w:r>
                  </w:p>
                </w:txbxContent>
              </v:textbox>
            </v:shape>
          </w:pict>
        </mc:Fallback>
      </mc:AlternateContent>
    </w:r>
    <w:sdt>
      <w:sdtPr>
        <w:rPr>
          <w:rFonts w:ascii="Times New Roman" w:hAnsi="Times New Roman" w:eastAsia="微软雅黑" w:cstheme="minorBidi"/>
          <w:kern w:val="2"/>
          <w:sz w:val="18"/>
          <w:szCs w:val="18"/>
          <w:lang w:val="en-US" w:eastAsia="zh-CN" w:bidi="ar-SA"/>
        </w:rPr>
        <w:id w:val="147452899"/>
      </w:sdtPr>
      <w:sdtEndPr>
        <w:rPr>
          <w:rFonts w:ascii="Times New Roman" w:hAnsi="Times New Roman" w:eastAsia="微软雅黑" w:cstheme="minorBidi"/>
          <w:kern w:val="2"/>
          <w:sz w:val="18"/>
          <w:szCs w:val="18"/>
          <w:lang w:val="en-US" w:eastAsia="zh-CN" w:bidi="ar-SA"/>
        </w:rPr>
      </w:sdtEndPr>
      <w:sdtContent/>
    </w:sdt>
  </w:p>
  <w:p w14:paraId="1B6CCB10">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15035">
    <w:pPr>
      <w:widowControl w:val="0"/>
      <w:tabs>
        <w:tab w:val="center" w:pos="4320"/>
        <w:tab w:val="right" w:pos="8640"/>
      </w:tabs>
      <w:adjustRightInd/>
      <w:snapToGrid w:val="0"/>
      <w:spacing w:after="0"/>
      <w:jc w:val="center"/>
      <w:rPr>
        <w:rFonts w:ascii="Times New Roman" w:hAnsi="Times New Roman" w:eastAsia="微软雅黑" w:cstheme="minorBidi"/>
        <w:kern w:val="2"/>
        <w:sz w:val="18"/>
        <w:szCs w:val="18"/>
        <w:lang w:val="en-US" w:eastAsia="zh-CN" w:bidi="ar-SA"/>
      </w:rPr>
    </w:pPr>
    <w:r>
      <w:rPr>
        <w:rFonts w:ascii="Times New Roman" w:hAnsi="Times New Roman" w:eastAsia="微软雅黑" w:cstheme="minorBidi"/>
        <w:kern w:val="2"/>
        <w:sz w:val="21"/>
        <w:szCs w:val="18"/>
        <w:lang w:val="en-US"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8B7A507">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r>
                            <w:rPr>
                              <w:rFonts w:ascii="Times New Roman" w:hAnsi="Times New Roman" w:eastAsia="微软雅黑" w:cstheme="minorBidi"/>
                              <w:kern w:val="2"/>
                              <w:sz w:val="18"/>
                              <w:szCs w:val="18"/>
                              <w:lang w:val="en-US" w:eastAsia="zh-CN" w:bidi="ar-SA"/>
                            </w:rPr>
                            <w:fldChar w:fldCharType="begin"/>
                          </w:r>
                          <w:r>
                            <w:rPr>
                              <w:rFonts w:ascii="Times New Roman" w:hAnsi="Times New Roman" w:eastAsia="微软雅黑" w:cstheme="minorBidi"/>
                              <w:kern w:val="2"/>
                              <w:sz w:val="18"/>
                              <w:szCs w:val="18"/>
                              <w:lang w:val="en-US" w:eastAsia="zh-CN" w:bidi="ar-SA"/>
                            </w:rPr>
                            <w:instrText xml:space="preserve"> PAGE  \* MERGEFORMAT </w:instrText>
                          </w:r>
                          <w:r>
                            <w:rPr>
                              <w:rFonts w:ascii="Times New Roman" w:hAnsi="Times New Roman" w:eastAsia="微软雅黑" w:cstheme="minorBidi"/>
                              <w:kern w:val="2"/>
                              <w:sz w:val="18"/>
                              <w:szCs w:val="18"/>
                              <w:lang w:val="en-US" w:eastAsia="zh-CN" w:bidi="ar-SA"/>
                            </w:rPr>
                            <w:fldChar w:fldCharType="separate"/>
                          </w:r>
                          <w:r>
                            <w:rPr>
                              <w:rFonts w:ascii="Times New Roman" w:hAnsi="Times New Roman" w:eastAsia="微软雅黑" w:cstheme="minorBidi"/>
                              <w:kern w:val="2"/>
                              <w:sz w:val="18"/>
                              <w:szCs w:val="18"/>
                              <w:lang w:val="en-US" w:eastAsia="zh-CN" w:bidi="ar-SA"/>
                            </w:rPr>
                            <w:t>15</w:t>
                          </w:r>
                          <w:r>
                            <w:rPr>
                              <w:rFonts w:ascii="Times New Roman" w:hAnsi="Times New Roman" w:eastAsia="微软雅黑" w:cstheme="minorBidi"/>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W1u+M4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fou2YKHb98/3b5&#10;8evy8yvBHQRqrJ8jbmcRGdq3psXYDPcel5F3WzoVf8GIwA95z1d5RRsIj49m09lsDBeHbzgAP3t8&#10;bp0P74RRJBo5dehfkpWdtj50oUNIzKbNppYy9VBq0uT05vWbcXpw9QBc6hgr0jT0MJFSV3q0Qrtv&#10;e557U5xB05luUrzlmxqlbJkPD8xhNFA+lifc41NKg5SmtyipjPvyr/sYj47BS0mDUcupxmZRIt9r&#10;dBKAYTDcYOwHQx/VncHsTrCUlicTD1yQg1k6oz5jo1YxB1xMc2TKaRjMu9CNOzaSi9UqBR2tqw9V&#10;9wBzaFnY6p3lMU2UytvVMUDapHgUqFMFnYoHTGLqWb81cdT/PKeox3+K5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pbW74zgCAABxBAAADgAAAAAAAAABACAAAAAfAQAAZHJzL2Uyb0RvYy54&#10;bWxQSwUGAAAAAAYABgBZAQAAyQUAAAAA&#10;">
              <v:fill on="f" focussize="0,0"/>
              <v:stroke on="f" weight="0.5pt"/>
              <v:imagedata o:title=""/>
              <o:lock v:ext="edit" aspectratio="f"/>
              <v:textbox inset="0mm,0mm,0mm,0mm" style="mso-fit-shape-to-text:t;">
                <w:txbxContent>
                  <w:p w14:paraId="78B7A507">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r>
                      <w:rPr>
                        <w:rFonts w:ascii="Times New Roman" w:hAnsi="Times New Roman" w:eastAsia="微软雅黑" w:cstheme="minorBidi"/>
                        <w:kern w:val="2"/>
                        <w:sz w:val="18"/>
                        <w:szCs w:val="18"/>
                        <w:lang w:val="en-US" w:eastAsia="zh-CN" w:bidi="ar-SA"/>
                      </w:rPr>
                      <w:fldChar w:fldCharType="begin"/>
                    </w:r>
                    <w:r>
                      <w:rPr>
                        <w:rFonts w:ascii="Times New Roman" w:hAnsi="Times New Roman" w:eastAsia="微软雅黑" w:cstheme="minorBidi"/>
                        <w:kern w:val="2"/>
                        <w:sz w:val="18"/>
                        <w:szCs w:val="18"/>
                        <w:lang w:val="en-US" w:eastAsia="zh-CN" w:bidi="ar-SA"/>
                      </w:rPr>
                      <w:instrText xml:space="preserve"> PAGE  \* MERGEFORMAT </w:instrText>
                    </w:r>
                    <w:r>
                      <w:rPr>
                        <w:rFonts w:ascii="Times New Roman" w:hAnsi="Times New Roman" w:eastAsia="微软雅黑" w:cstheme="minorBidi"/>
                        <w:kern w:val="2"/>
                        <w:sz w:val="18"/>
                        <w:szCs w:val="18"/>
                        <w:lang w:val="en-US" w:eastAsia="zh-CN" w:bidi="ar-SA"/>
                      </w:rPr>
                      <w:fldChar w:fldCharType="separate"/>
                    </w:r>
                    <w:r>
                      <w:rPr>
                        <w:rFonts w:ascii="Times New Roman" w:hAnsi="Times New Roman" w:eastAsia="微软雅黑" w:cstheme="minorBidi"/>
                        <w:kern w:val="2"/>
                        <w:sz w:val="18"/>
                        <w:szCs w:val="18"/>
                        <w:lang w:val="en-US" w:eastAsia="zh-CN" w:bidi="ar-SA"/>
                      </w:rPr>
                      <w:t>15</w:t>
                    </w:r>
                    <w:r>
                      <w:rPr>
                        <w:rFonts w:ascii="Times New Roman" w:hAnsi="Times New Roman" w:eastAsia="微软雅黑" w:cstheme="minorBidi"/>
                        <w:kern w:val="2"/>
                        <w:sz w:val="18"/>
                        <w:szCs w:val="18"/>
                        <w:lang w:val="en-US" w:eastAsia="zh-CN" w:bidi="ar-SA"/>
                      </w:rPr>
                      <w:fldChar w:fldCharType="end"/>
                    </w:r>
                  </w:p>
                </w:txbxContent>
              </v:textbox>
            </v:shape>
          </w:pict>
        </mc:Fallback>
      </mc:AlternateContent>
    </w:r>
  </w:p>
  <w:p w14:paraId="1055139F">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E48ABD">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2F85DF">
                          <w:pPr>
                            <w:pStyle w:val="20"/>
                          </w:pP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C2F85DF">
                    <w:pPr>
                      <w:pStyle w:val="20"/>
                    </w:pPr>
                    <w:r>
                      <w:fldChar w:fldCharType="begin"/>
                    </w:r>
                    <w:r>
                      <w:instrText xml:space="preserve"> PAGE  \* MERGEFORMAT </w:instrText>
                    </w:r>
                    <w:r>
                      <w:fldChar w:fldCharType="separate"/>
                    </w:r>
                    <w:r>
                      <w:t>53</w:t>
                    </w:r>
                    <w:r>
                      <w:fldChar w:fldCharType="end"/>
                    </w:r>
                  </w:p>
                </w:txbxContent>
              </v:textbox>
            </v:shape>
          </w:pict>
        </mc:Fallback>
      </mc:AlternateContent>
    </w:r>
    <w:sdt>
      <w:sdtPr>
        <w:rPr>
          <w:rFonts w:ascii="Times New Roman" w:hAnsi="Times New Roman" w:eastAsia="微软雅黑" w:cstheme="minorBidi"/>
          <w:kern w:val="2"/>
          <w:sz w:val="18"/>
          <w:szCs w:val="18"/>
          <w:lang w:val="en-US" w:eastAsia="zh-CN" w:bidi="ar-SA"/>
        </w:rPr>
        <w:id w:val="147476040"/>
      </w:sdtPr>
      <w:sdtEndPr>
        <w:rPr>
          <w:rFonts w:ascii="Times New Roman" w:hAnsi="Times New Roman" w:eastAsia="微软雅黑" w:cstheme="minorBidi"/>
          <w:kern w:val="2"/>
          <w:sz w:val="18"/>
          <w:szCs w:val="18"/>
          <w:lang w:val="en-US" w:eastAsia="zh-CN" w:bidi="ar-SA"/>
        </w:rPr>
      </w:sdtEndPr>
      <w:sdtContent/>
    </w:sdt>
  </w:p>
  <w:p w14:paraId="113AB19B">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23A964">
    <w:pPr>
      <w:widowControl w:val="0"/>
      <w:tabs>
        <w:tab w:val="center" w:pos="4320"/>
        <w:tab w:val="right" w:pos="8640"/>
      </w:tabs>
      <w:adjustRightInd/>
      <w:snapToGrid w:val="0"/>
      <w:spacing w:after="0"/>
      <w:jc w:val="center"/>
      <w:rPr>
        <w:rFonts w:ascii="Times New Roman" w:hAnsi="Times New Roman" w:eastAsia="微软雅黑" w:cstheme="minorBidi"/>
        <w:kern w:val="2"/>
        <w:sz w:val="18"/>
        <w:szCs w:val="18"/>
        <w:lang w:val="en-US" w:eastAsia="zh-CN" w:bidi="ar-SA"/>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D24704">
                          <w:pPr>
                            <w:pStyle w:val="20"/>
                          </w:pP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3ED24704">
                    <w:pPr>
                      <w:pStyle w:val="20"/>
                    </w:pPr>
                    <w:r>
                      <w:fldChar w:fldCharType="begin"/>
                    </w:r>
                    <w:r>
                      <w:instrText xml:space="preserve"> PAGE  \* MERGEFORMAT </w:instrText>
                    </w:r>
                    <w:r>
                      <w:fldChar w:fldCharType="separate"/>
                    </w:r>
                    <w:r>
                      <w:t>52</w:t>
                    </w:r>
                    <w:r>
                      <w:fldChar w:fldCharType="end"/>
                    </w:r>
                  </w:p>
                </w:txbxContent>
              </v:textbox>
            </v:shape>
          </w:pict>
        </mc:Fallback>
      </mc:AlternateContent>
    </w:r>
  </w:p>
  <w:p w14:paraId="0BA3D94C">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3961DC">
    <w:pPr>
      <w:pStyle w:val="20"/>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CD4A02">
                          <w:pPr>
                            <w:pStyle w:val="20"/>
                          </w:pPr>
                          <w:r>
                            <w:fldChar w:fldCharType="begin"/>
                          </w:r>
                          <w:r>
                            <w:instrText xml:space="preserve"> PAGE  \* MERGEFORMAT </w:instrText>
                          </w:r>
                          <w:r>
                            <w:fldChar w:fldCharType="separate"/>
                          </w:r>
                          <w:r>
                            <w:t>56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2DCD4A02">
                    <w:pPr>
                      <w:pStyle w:val="20"/>
                    </w:pPr>
                    <w:r>
                      <w:fldChar w:fldCharType="begin"/>
                    </w:r>
                    <w:r>
                      <w:instrText xml:space="preserve"> PAGE  \* MERGEFORMAT </w:instrText>
                    </w:r>
                    <w:r>
                      <w:fldChar w:fldCharType="separate"/>
                    </w:r>
                    <w:r>
                      <w:t>56</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93CEC">
    <w:pPr>
      <w:pStyle w:val="20"/>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4272D7">
                          <w:pPr>
                            <w:pStyle w:val="20"/>
                          </w:pPr>
                          <w:r>
                            <w:fldChar w:fldCharType="begin"/>
                          </w:r>
                          <w:r>
                            <w:instrText xml:space="preserve"> PAGE  \* MERGEFORMAT </w:instrText>
                          </w:r>
                          <w:r>
                            <w:fldChar w:fldCharType="separate"/>
                          </w:r>
                          <w:r>
                            <w:t>55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494272D7">
                    <w:pPr>
                      <w:pStyle w:val="20"/>
                    </w:pPr>
                    <w:r>
                      <w:fldChar w:fldCharType="begin"/>
                    </w:r>
                    <w:r>
                      <w:instrText xml:space="preserve"> PAGE  \* MERGEFORMAT </w:instrText>
                    </w:r>
                    <w:r>
                      <w:fldChar w:fldCharType="separate"/>
                    </w:r>
                    <w:r>
                      <w:t>55</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BDE858">
    <w:pPr>
      <w:pStyle w:val="22"/>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D6E1F">
    <w:pPr>
      <w:pStyle w:val="22"/>
      <w:pBdr>
        <w:bottom w:val="none" w:color="auto" w:sz="0" w:space="1"/>
      </w:pBdr>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1E577B">
    <w:pPr>
      <w:pStyle w:val="2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0C88E0"/>
    <w:multiLevelType w:val="singleLevel"/>
    <w:tmpl w:val="9C0C88E0"/>
    <w:lvl w:ilvl="0" w:tentative="0">
      <w:start w:val="1"/>
      <w:numFmt w:val="decimal"/>
      <w:suff w:val="nothing"/>
      <w:lvlText w:val="%1、"/>
      <w:lvlJc w:val="left"/>
    </w:lvl>
  </w:abstractNum>
  <w:abstractNum w:abstractNumId="1">
    <w:nsid w:val="C9555E15"/>
    <w:multiLevelType w:val="singleLevel"/>
    <w:tmpl w:val="C9555E15"/>
    <w:lvl w:ilvl="0" w:tentative="0">
      <w:start w:val="1"/>
      <w:numFmt w:val="decimal"/>
      <w:lvlText w:val="(%1)"/>
      <w:lvlJc w:val="left"/>
      <w:pPr>
        <w:ind w:left="425" w:hanging="425"/>
      </w:pPr>
      <w:rPr>
        <w:rFonts w:hint="default"/>
      </w:rPr>
    </w:lvl>
  </w:abstractNum>
  <w:abstractNum w:abstractNumId="2">
    <w:nsid w:val="CA4B271C"/>
    <w:multiLevelType w:val="singleLevel"/>
    <w:tmpl w:val="CA4B271C"/>
    <w:lvl w:ilvl="0" w:tentative="0">
      <w:start w:val="1"/>
      <w:numFmt w:val="chineseCounting"/>
      <w:suff w:val="nothing"/>
      <w:lvlText w:val="（%1）"/>
      <w:lvlJc w:val="left"/>
      <w:rPr>
        <w:rFonts w:hint="eastAsia"/>
      </w:rPr>
    </w:lvl>
  </w:abstractNum>
  <w:abstractNum w:abstractNumId="3">
    <w:nsid w:val="CFF174A5"/>
    <w:multiLevelType w:val="singleLevel"/>
    <w:tmpl w:val="CFF174A5"/>
    <w:lvl w:ilvl="0" w:tentative="0">
      <w:start w:val="1"/>
      <w:numFmt w:val="decimal"/>
      <w:suff w:val="nothing"/>
      <w:lvlText w:val="%1、"/>
      <w:lvlJc w:val="left"/>
    </w:lvl>
  </w:abstractNum>
  <w:abstractNum w:abstractNumId="4">
    <w:nsid w:val="D0047B7E"/>
    <w:multiLevelType w:val="singleLevel"/>
    <w:tmpl w:val="D0047B7E"/>
    <w:lvl w:ilvl="0" w:tentative="0">
      <w:start w:val="1"/>
      <w:numFmt w:val="decimal"/>
      <w:suff w:val="nothing"/>
      <w:lvlText w:val="%1、"/>
      <w:lvlJc w:val="left"/>
    </w:lvl>
  </w:abstractNum>
  <w:abstractNum w:abstractNumId="5">
    <w:nsid w:val="EB9932A6"/>
    <w:multiLevelType w:val="singleLevel"/>
    <w:tmpl w:val="EB9932A6"/>
    <w:lvl w:ilvl="0" w:tentative="0">
      <w:start w:val="1"/>
      <w:numFmt w:val="chineseCounting"/>
      <w:suff w:val="space"/>
      <w:lvlText w:val="第%1章"/>
      <w:lvlJc w:val="left"/>
      <w:rPr>
        <w:rFonts w:hint="eastAsia"/>
      </w:rPr>
    </w:lvl>
  </w:abstractNum>
  <w:abstractNum w:abstractNumId="6">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8">
    <w:nsid w:val="20D2348B"/>
    <w:multiLevelType w:val="singleLevel"/>
    <w:tmpl w:val="20D2348B"/>
    <w:lvl w:ilvl="0" w:tentative="0">
      <w:start w:val="1"/>
      <w:numFmt w:val="chineseCounting"/>
      <w:suff w:val="nothing"/>
      <w:lvlText w:val="（%1）"/>
      <w:lvlJc w:val="left"/>
      <w:rPr>
        <w:rFonts w:hint="eastAsia"/>
      </w:rPr>
    </w:lvl>
  </w:abstractNum>
  <w:abstractNum w:abstractNumId="9">
    <w:nsid w:val="3F88662E"/>
    <w:multiLevelType w:val="singleLevel"/>
    <w:tmpl w:val="3F88662E"/>
    <w:lvl w:ilvl="0" w:tentative="0">
      <w:start w:val="1"/>
      <w:numFmt w:val="decimal"/>
      <w:suff w:val="space"/>
      <w:lvlText w:val="%1)"/>
      <w:lvlJc w:val="left"/>
    </w:lvl>
  </w:abstractNum>
  <w:abstractNum w:abstractNumId="10">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5D1539A1"/>
    <w:multiLevelType w:val="multilevel"/>
    <w:tmpl w:val="5D1539A1"/>
    <w:lvl w:ilvl="0" w:tentative="0">
      <w:start w:val="1"/>
      <w:numFmt w:val="decimal"/>
      <w:lvlText w:val="（%1）"/>
      <w:lvlJc w:val="left"/>
      <w:pPr>
        <w:ind w:left="1287" w:hanging="7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num w:numId="1">
    <w:abstractNumId w:val="5"/>
  </w:num>
  <w:num w:numId="2">
    <w:abstractNumId w:val="10"/>
  </w:num>
  <w:num w:numId="3">
    <w:abstractNumId w:val="12"/>
  </w:num>
  <w:num w:numId="4">
    <w:abstractNumId w:val="9"/>
  </w:num>
  <w:num w:numId="5">
    <w:abstractNumId w:val="7"/>
  </w:num>
  <w:num w:numId="6">
    <w:abstractNumId w:val="1"/>
  </w:num>
  <w:num w:numId="7">
    <w:abstractNumId w:val="2"/>
  </w:num>
  <w:num w:numId="8">
    <w:abstractNumId w:val="0"/>
  </w:num>
  <w:num w:numId="9">
    <w:abstractNumId w:val="3"/>
  </w:num>
  <w:num w:numId="10">
    <w:abstractNumId w:val="6"/>
  </w:num>
  <w:num w:numId="11">
    <w:abstractNumId w:val="8"/>
  </w:num>
  <w:num w:numId="12">
    <w:abstractNumId w:val="4"/>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documentProtection w:enforcement="0"/>
  <w:defaultTabStop w:val="422"/>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UxYjJlZTM4NmI1MmJiYTgxOGEyNzA4MjZjMWVhOGYifQ=="/>
    <w:docVar w:name="KSO_WPS_MARK_KEY" w:val="805e0c70-6e7b-4ee2-a326-fad0db9c6647"/>
  </w:docVars>
  <w:rsids>
    <w:rsidRoot w:val="00172A27"/>
    <w:rsid w:val="00005A66"/>
    <w:rsid w:val="00006462"/>
    <w:rsid w:val="000300E4"/>
    <w:rsid w:val="0003307E"/>
    <w:rsid w:val="000336BA"/>
    <w:rsid w:val="000359A1"/>
    <w:rsid w:val="0005185D"/>
    <w:rsid w:val="0007500F"/>
    <w:rsid w:val="0008282E"/>
    <w:rsid w:val="00084F6D"/>
    <w:rsid w:val="00091E24"/>
    <w:rsid w:val="00093A13"/>
    <w:rsid w:val="000A363F"/>
    <w:rsid w:val="000A42A8"/>
    <w:rsid w:val="000A5063"/>
    <w:rsid w:val="000A5DBD"/>
    <w:rsid w:val="000C4524"/>
    <w:rsid w:val="000D44A6"/>
    <w:rsid w:val="000E2CB7"/>
    <w:rsid w:val="000F0E98"/>
    <w:rsid w:val="000F1444"/>
    <w:rsid w:val="001049A5"/>
    <w:rsid w:val="001120E0"/>
    <w:rsid w:val="00121ADA"/>
    <w:rsid w:val="001242F3"/>
    <w:rsid w:val="001332BB"/>
    <w:rsid w:val="00134CAD"/>
    <w:rsid w:val="001368B7"/>
    <w:rsid w:val="0013730B"/>
    <w:rsid w:val="00137853"/>
    <w:rsid w:val="00137E1C"/>
    <w:rsid w:val="00147012"/>
    <w:rsid w:val="00172A27"/>
    <w:rsid w:val="00173126"/>
    <w:rsid w:val="00173905"/>
    <w:rsid w:val="00173E04"/>
    <w:rsid w:val="00175D29"/>
    <w:rsid w:val="001833A1"/>
    <w:rsid w:val="001844F4"/>
    <w:rsid w:val="00185039"/>
    <w:rsid w:val="001852D7"/>
    <w:rsid w:val="00185C73"/>
    <w:rsid w:val="001A06D8"/>
    <w:rsid w:val="001A2D42"/>
    <w:rsid w:val="001A2EF7"/>
    <w:rsid w:val="001B1F14"/>
    <w:rsid w:val="001B41CF"/>
    <w:rsid w:val="001B5860"/>
    <w:rsid w:val="001C1135"/>
    <w:rsid w:val="001C15AE"/>
    <w:rsid w:val="001C4661"/>
    <w:rsid w:val="001C5689"/>
    <w:rsid w:val="001C6E4B"/>
    <w:rsid w:val="001F0070"/>
    <w:rsid w:val="001F4B02"/>
    <w:rsid w:val="001F6BC7"/>
    <w:rsid w:val="002065A7"/>
    <w:rsid w:val="0021149E"/>
    <w:rsid w:val="00213021"/>
    <w:rsid w:val="00216BE9"/>
    <w:rsid w:val="00221E7A"/>
    <w:rsid w:val="0022503E"/>
    <w:rsid w:val="00225BB4"/>
    <w:rsid w:val="00226313"/>
    <w:rsid w:val="002373BB"/>
    <w:rsid w:val="00240F5F"/>
    <w:rsid w:val="00247224"/>
    <w:rsid w:val="00247AE0"/>
    <w:rsid w:val="00260AC1"/>
    <w:rsid w:val="0026312D"/>
    <w:rsid w:val="0027078E"/>
    <w:rsid w:val="0028395F"/>
    <w:rsid w:val="00284156"/>
    <w:rsid w:val="00285643"/>
    <w:rsid w:val="002867A1"/>
    <w:rsid w:val="002901F8"/>
    <w:rsid w:val="002920A4"/>
    <w:rsid w:val="002B4087"/>
    <w:rsid w:val="002B5F6C"/>
    <w:rsid w:val="002C6C78"/>
    <w:rsid w:val="002D1594"/>
    <w:rsid w:val="002D3F9C"/>
    <w:rsid w:val="002D503C"/>
    <w:rsid w:val="002D7E27"/>
    <w:rsid w:val="002E17E5"/>
    <w:rsid w:val="002E6B7E"/>
    <w:rsid w:val="002F0FC9"/>
    <w:rsid w:val="0030669E"/>
    <w:rsid w:val="003101A3"/>
    <w:rsid w:val="00316281"/>
    <w:rsid w:val="00320CEA"/>
    <w:rsid w:val="00323B43"/>
    <w:rsid w:val="00326831"/>
    <w:rsid w:val="003274CE"/>
    <w:rsid w:val="003361E9"/>
    <w:rsid w:val="003430F6"/>
    <w:rsid w:val="00353842"/>
    <w:rsid w:val="0035595E"/>
    <w:rsid w:val="00381C26"/>
    <w:rsid w:val="0038564C"/>
    <w:rsid w:val="00387CE4"/>
    <w:rsid w:val="00393B1D"/>
    <w:rsid w:val="003A1D97"/>
    <w:rsid w:val="003C18EB"/>
    <w:rsid w:val="003C1E4E"/>
    <w:rsid w:val="003C32D3"/>
    <w:rsid w:val="003C3B19"/>
    <w:rsid w:val="003C412B"/>
    <w:rsid w:val="003C415C"/>
    <w:rsid w:val="003D36FB"/>
    <w:rsid w:val="003D37D8"/>
    <w:rsid w:val="003D5F77"/>
    <w:rsid w:val="003E0802"/>
    <w:rsid w:val="003E18E7"/>
    <w:rsid w:val="003E2B8C"/>
    <w:rsid w:val="003F46B4"/>
    <w:rsid w:val="003F4822"/>
    <w:rsid w:val="00401C64"/>
    <w:rsid w:val="00401CC0"/>
    <w:rsid w:val="00410AB5"/>
    <w:rsid w:val="00410F11"/>
    <w:rsid w:val="00411067"/>
    <w:rsid w:val="004203B9"/>
    <w:rsid w:val="004322A2"/>
    <w:rsid w:val="004358AB"/>
    <w:rsid w:val="00451EB4"/>
    <w:rsid w:val="00460B31"/>
    <w:rsid w:val="00462105"/>
    <w:rsid w:val="00475A80"/>
    <w:rsid w:val="00475BB4"/>
    <w:rsid w:val="00490B9E"/>
    <w:rsid w:val="00497577"/>
    <w:rsid w:val="004A05D7"/>
    <w:rsid w:val="004A2B28"/>
    <w:rsid w:val="004A69F1"/>
    <w:rsid w:val="004B3550"/>
    <w:rsid w:val="004B3F06"/>
    <w:rsid w:val="004C7FD6"/>
    <w:rsid w:val="004D08C0"/>
    <w:rsid w:val="004D1669"/>
    <w:rsid w:val="004D1736"/>
    <w:rsid w:val="004D51A2"/>
    <w:rsid w:val="004D5AFB"/>
    <w:rsid w:val="004E04FD"/>
    <w:rsid w:val="004F1BB7"/>
    <w:rsid w:val="0050759C"/>
    <w:rsid w:val="00510827"/>
    <w:rsid w:val="005267F1"/>
    <w:rsid w:val="005269A9"/>
    <w:rsid w:val="00532034"/>
    <w:rsid w:val="00545D9A"/>
    <w:rsid w:val="00546A42"/>
    <w:rsid w:val="0055408D"/>
    <w:rsid w:val="0057492D"/>
    <w:rsid w:val="0058523E"/>
    <w:rsid w:val="00590819"/>
    <w:rsid w:val="00593D68"/>
    <w:rsid w:val="005A208B"/>
    <w:rsid w:val="005A555E"/>
    <w:rsid w:val="005A7612"/>
    <w:rsid w:val="005B58A6"/>
    <w:rsid w:val="005C57E1"/>
    <w:rsid w:val="005C702E"/>
    <w:rsid w:val="005D01B8"/>
    <w:rsid w:val="005D066B"/>
    <w:rsid w:val="005D2D85"/>
    <w:rsid w:val="005D52E7"/>
    <w:rsid w:val="005F021D"/>
    <w:rsid w:val="005F20A4"/>
    <w:rsid w:val="005F4EAE"/>
    <w:rsid w:val="005F573A"/>
    <w:rsid w:val="005F660B"/>
    <w:rsid w:val="005F7EB1"/>
    <w:rsid w:val="00604B81"/>
    <w:rsid w:val="0061246F"/>
    <w:rsid w:val="00613417"/>
    <w:rsid w:val="00613B25"/>
    <w:rsid w:val="0061545F"/>
    <w:rsid w:val="006175DE"/>
    <w:rsid w:val="006215AC"/>
    <w:rsid w:val="00621821"/>
    <w:rsid w:val="00622362"/>
    <w:rsid w:val="00622497"/>
    <w:rsid w:val="006276AD"/>
    <w:rsid w:val="006347A6"/>
    <w:rsid w:val="006378D4"/>
    <w:rsid w:val="00641E8C"/>
    <w:rsid w:val="0064416A"/>
    <w:rsid w:val="006476E3"/>
    <w:rsid w:val="00650DDC"/>
    <w:rsid w:val="00652983"/>
    <w:rsid w:val="0065365D"/>
    <w:rsid w:val="006546D0"/>
    <w:rsid w:val="006576FD"/>
    <w:rsid w:val="00664F6B"/>
    <w:rsid w:val="006731D2"/>
    <w:rsid w:val="00680EB0"/>
    <w:rsid w:val="00681EFD"/>
    <w:rsid w:val="00682986"/>
    <w:rsid w:val="00691701"/>
    <w:rsid w:val="00691AE0"/>
    <w:rsid w:val="0069491E"/>
    <w:rsid w:val="006A590C"/>
    <w:rsid w:val="006B004E"/>
    <w:rsid w:val="006B3E6C"/>
    <w:rsid w:val="006B4832"/>
    <w:rsid w:val="006B7878"/>
    <w:rsid w:val="006C14BD"/>
    <w:rsid w:val="006C28E5"/>
    <w:rsid w:val="006C67A9"/>
    <w:rsid w:val="006D393E"/>
    <w:rsid w:val="006D43C5"/>
    <w:rsid w:val="006D4AD8"/>
    <w:rsid w:val="006E0B58"/>
    <w:rsid w:val="006E0C4B"/>
    <w:rsid w:val="00704F7B"/>
    <w:rsid w:val="007110BA"/>
    <w:rsid w:val="00711465"/>
    <w:rsid w:val="00716E96"/>
    <w:rsid w:val="00723B11"/>
    <w:rsid w:val="007343A7"/>
    <w:rsid w:val="00734BB2"/>
    <w:rsid w:val="00737823"/>
    <w:rsid w:val="0075028E"/>
    <w:rsid w:val="007528A6"/>
    <w:rsid w:val="007608B9"/>
    <w:rsid w:val="007724B4"/>
    <w:rsid w:val="0077462B"/>
    <w:rsid w:val="007902ED"/>
    <w:rsid w:val="007916E7"/>
    <w:rsid w:val="00797C5D"/>
    <w:rsid w:val="00797D2F"/>
    <w:rsid w:val="007A34B9"/>
    <w:rsid w:val="007A3EF1"/>
    <w:rsid w:val="007A4DB3"/>
    <w:rsid w:val="007A6F47"/>
    <w:rsid w:val="007A7779"/>
    <w:rsid w:val="007C4F46"/>
    <w:rsid w:val="007C7297"/>
    <w:rsid w:val="007D1B4F"/>
    <w:rsid w:val="007D2F9E"/>
    <w:rsid w:val="007D3175"/>
    <w:rsid w:val="007D48BF"/>
    <w:rsid w:val="007D5C45"/>
    <w:rsid w:val="007E2543"/>
    <w:rsid w:val="007E4A26"/>
    <w:rsid w:val="007E7A17"/>
    <w:rsid w:val="007F01B0"/>
    <w:rsid w:val="007F259D"/>
    <w:rsid w:val="007F2CD8"/>
    <w:rsid w:val="007F4DC5"/>
    <w:rsid w:val="00806380"/>
    <w:rsid w:val="0081104F"/>
    <w:rsid w:val="0081319A"/>
    <w:rsid w:val="00822299"/>
    <w:rsid w:val="0083486A"/>
    <w:rsid w:val="00837E35"/>
    <w:rsid w:val="00841378"/>
    <w:rsid w:val="00842B87"/>
    <w:rsid w:val="00845BEB"/>
    <w:rsid w:val="008472E6"/>
    <w:rsid w:val="008518B4"/>
    <w:rsid w:val="00853463"/>
    <w:rsid w:val="008548BD"/>
    <w:rsid w:val="0086026F"/>
    <w:rsid w:val="008640F5"/>
    <w:rsid w:val="0087704E"/>
    <w:rsid w:val="008907DA"/>
    <w:rsid w:val="008A0587"/>
    <w:rsid w:val="008A7273"/>
    <w:rsid w:val="008B55B9"/>
    <w:rsid w:val="008B7726"/>
    <w:rsid w:val="008C05BA"/>
    <w:rsid w:val="008D429E"/>
    <w:rsid w:val="008D5A10"/>
    <w:rsid w:val="008E319F"/>
    <w:rsid w:val="008E619C"/>
    <w:rsid w:val="008F6E0E"/>
    <w:rsid w:val="00906F49"/>
    <w:rsid w:val="00907417"/>
    <w:rsid w:val="00914604"/>
    <w:rsid w:val="00916A34"/>
    <w:rsid w:val="0092092D"/>
    <w:rsid w:val="00923533"/>
    <w:rsid w:val="00930A38"/>
    <w:rsid w:val="00934170"/>
    <w:rsid w:val="00942948"/>
    <w:rsid w:val="009474B5"/>
    <w:rsid w:val="00953E98"/>
    <w:rsid w:val="00960F22"/>
    <w:rsid w:val="00972D86"/>
    <w:rsid w:val="009736BF"/>
    <w:rsid w:val="0097392B"/>
    <w:rsid w:val="00976066"/>
    <w:rsid w:val="00980A66"/>
    <w:rsid w:val="009904F7"/>
    <w:rsid w:val="009910F6"/>
    <w:rsid w:val="009A07B1"/>
    <w:rsid w:val="009A6B4A"/>
    <w:rsid w:val="009A7058"/>
    <w:rsid w:val="009C19DE"/>
    <w:rsid w:val="009C23A6"/>
    <w:rsid w:val="009C5206"/>
    <w:rsid w:val="009C6AD9"/>
    <w:rsid w:val="009E398C"/>
    <w:rsid w:val="009E6F05"/>
    <w:rsid w:val="009F644E"/>
    <w:rsid w:val="009F6A05"/>
    <w:rsid w:val="00A01BE2"/>
    <w:rsid w:val="00A10906"/>
    <w:rsid w:val="00A12E66"/>
    <w:rsid w:val="00A13E78"/>
    <w:rsid w:val="00A14EEF"/>
    <w:rsid w:val="00A23304"/>
    <w:rsid w:val="00A275C2"/>
    <w:rsid w:val="00A3295D"/>
    <w:rsid w:val="00A4012F"/>
    <w:rsid w:val="00A4190E"/>
    <w:rsid w:val="00A42E91"/>
    <w:rsid w:val="00A50383"/>
    <w:rsid w:val="00A61230"/>
    <w:rsid w:val="00A668C8"/>
    <w:rsid w:val="00A74ED3"/>
    <w:rsid w:val="00A813C5"/>
    <w:rsid w:val="00A824E6"/>
    <w:rsid w:val="00A832CD"/>
    <w:rsid w:val="00A858DC"/>
    <w:rsid w:val="00A94D14"/>
    <w:rsid w:val="00AA0EAD"/>
    <w:rsid w:val="00AB19CE"/>
    <w:rsid w:val="00AB2133"/>
    <w:rsid w:val="00AB3969"/>
    <w:rsid w:val="00AC0E7A"/>
    <w:rsid w:val="00AC187B"/>
    <w:rsid w:val="00AE310E"/>
    <w:rsid w:val="00AE4FC5"/>
    <w:rsid w:val="00AF1B1B"/>
    <w:rsid w:val="00AF5F1F"/>
    <w:rsid w:val="00B027A4"/>
    <w:rsid w:val="00B04202"/>
    <w:rsid w:val="00B236B3"/>
    <w:rsid w:val="00B26806"/>
    <w:rsid w:val="00B31B24"/>
    <w:rsid w:val="00B4287F"/>
    <w:rsid w:val="00B4315F"/>
    <w:rsid w:val="00B43306"/>
    <w:rsid w:val="00B60DAB"/>
    <w:rsid w:val="00B61CB1"/>
    <w:rsid w:val="00B63189"/>
    <w:rsid w:val="00B67B5C"/>
    <w:rsid w:val="00B7194E"/>
    <w:rsid w:val="00B73575"/>
    <w:rsid w:val="00B7380A"/>
    <w:rsid w:val="00B763B0"/>
    <w:rsid w:val="00B91005"/>
    <w:rsid w:val="00B92951"/>
    <w:rsid w:val="00B93045"/>
    <w:rsid w:val="00B93169"/>
    <w:rsid w:val="00B950B6"/>
    <w:rsid w:val="00BA4130"/>
    <w:rsid w:val="00BB2CAF"/>
    <w:rsid w:val="00BB79B5"/>
    <w:rsid w:val="00BC3E74"/>
    <w:rsid w:val="00BD630F"/>
    <w:rsid w:val="00BD7C1B"/>
    <w:rsid w:val="00BE0825"/>
    <w:rsid w:val="00BE2EE6"/>
    <w:rsid w:val="00BF17FD"/>
    <w:rsid w:val="00BF2820"/>
    <w:rsid w:val="00BF41D4"/>
    <w:rsid w:val="00BF5AFB"/>
    <w:rsid w:val="00C16734"/>
    <w:rsid w:val="00C17B47"/>
    <w:rsid w:val="00C25C77"/>
    <w:rsid w:val="00C303E7"/>
    <w:rsid w:val="00C319C2"/>
    <w:rsid w:val="00C53CE5"/>
    <w:rsid w:val="00C612F8"/>
    <w:rsid w:val="00C62E44"/>
    <w:rsid w:val="00C63BD8"/>
    <w:rsid w:val="00C65954"/>
    <w:rsid w:val="00C7126B"/>
    <w:rsid w:val="00C72C24"/>
    <w:rsid w:val="00C73468"/>
    <w:rsid w:val="00C74986"/>
    <w:rsid w:val="00C80EC4"/>
    <w:rsid w:val="00C8568E"/>
    <w:rsid w:val="00CA32B5"/>
    <w:rsid w:val="00CB57AD"/>
    <w:rsid w:val="00CC009D"/>
    <w:rsid w:val="00CC584A"/>
    <w:rsid w:val="00CC5E4E"/>
    <w:rsid w:val="00CD0EAB"/>
    <w:rsid w:val="00CE2AF3"/>
    <w:rsid w:val="00CE621D"/>
    <w:rsid w:val="00CE66E8"/>
    <w:rsid w:val="00D05388"/>
    <w:rsid w:val="00D114CD"/>
    <w:rsid w:val="00D14476"/>
    <w:rsid w:val="00D232FF"/>
    <w:rsid w:val="00D279AA"/>
    <w:rsid w:val="00D31215"/>
    <w:rsid w:val="00D31646"/>
    <w:rsid w:val="00D34544"/>
    <w:rsid w:val="00D34841"/>
    <w:rsid w:val="00D4444E"/>
    <w:rsid w:val="00D44A97"/>
    <w:rsid w:val="00D45C0C"/>
    <w:rsid w:val="00D508A5"/>
    <w:rsid w:val="00D5104B"/>
    <w:rsid w:val="00D555D8"/>
    <w:rsid w:val="00D60778"/>
    <w:rsid w:val="00D63EB2"/>
    <w:rsid w:val="00D64D28"/>
    <w:rsid w:val="00D6604D"/>
    <w:rsid w:val="00D677F1"/>
    <w:rsid w:val="00D74601"/>
    <w:rsid w:val="00D83E46"/>
    <w:rsid w:val="00D847B6"/>
    <w:rsid w:val="00D93958"/>
    <w:rsid w:val="00D951D3"/>
    <w:rsid w:val="00DA1DB9"/>
    <w:rsid w:val="00DA6169"/>
    <w:rsid w:val="00DA7B28"/>
    <w:rsid w:val="00DB5480"/>
    <w:rsid w:val="00DB6317"/>
    <w:rsid w:val="00DC2FC5"/>
    <w:rsid w:val="00DC5AD9"/>
    <w:rsid w:val="00DC691F"/>
    <w:rsid w:val="00DD02DE"/>
    <w:rsid w:val="00DD07B7"/>
    <w:rsid w:val="00DD113C"/>
    <w:rsid w:val="00DD324C"/>
    <w:rsid w:val="00DE0BEB"/>
    <w:rsid w:val="00DE4856"/>
    <w:rsid w:val="00DF485B"/>
    <w:rsid w:val="00E0295D"/>
    <w:rsid w:val="00E042BC"/>
    <w:rsid w:val="00E132FE"/>
    <w:rsid w:val="00E21B77"/>
    <w:rsid w:val="00E23352"/>
    <w:rsid w:val="00E40CAD"/>
    <w:rsid w:val="00E40DC7"/>
    <w:rsid w:val="00E4215F"/>
    <w:rsid w:val="00E61D2E"/>
    <w:rsid w:val="00E62B7F"/>
    <w:rsid w:val="00E7066D"/>
    <w:rsid w:val="00E726BC"/>
    <w:rsid w:val="00E72821"/>
    <w:rsid w:val="00E75C82"/>
    <w:rsid w:val="00E81DDC"/>
    <w:rsid w:val="00E81F67"/>
    <w:rsid w:val="00E83650"/>
    <w:rsid w:val="00E83A31"/>
    <w:rsid w:val="00E865C2"/>
    <w:rsid w:val="00E93BF5"/>
    <w:rsid w:val="00E97CC0"/>
    <w:rsid w:val="00EA22B8"/>
    <w:rsid w:val="00EA2524"/>
    <w:rsid w:val="00EA33E7"/>
    <w:rsid w:val="00EC092D"/>
    <w:rsid w:val="00EC0DF8"/>
    <w:rsid w:val="00EC7F91"/>
    <w:rsid w:val="00ED378B"/>
    <w:rsid w:val="00EE08F9"/>
    <w:rsid w:val="00EE70B3"/>
    <w:rsid w:val="00EF24AA"/>
    <w:rsid w:val="00EF728A"/>
    <w:rsid w:val="00EF7D0D"/>
    <w:rsid w:val="00F00FF7"/>
    <w:rsid w:val="00F02093"/>
    <w:rsid w:val="00F068E3"/>
    <w:rsid w:val="00F10B5F"/>
    <w:rsid w:val="00F218C1"/>
    <w:rsid w:val="00F321EB"/>
    <w:rsid w:val="00F32B00"/>
    <w:rsid w:val="00F346CF"/>
    <w:rsid w:val="00F3610C"/>
    <w:rsid w:val="00F36839"/>
    <w:rsid w:val="00F46721"/>
    <w:rsid w:val="00F52A5F"/>
    <w:rsid w:val="00F55954"/>
    <w:rsid w:val="00F57308"/>
    <w:rsid w:val="00F61962"/>
    <w:rsid w:val="00F62865"/>
    <w:rsid w:val="00F64022"/>
    <w:rsid w:val="00F64660"/>
    <w:rsid w:val="00F74FF3"/>
    <w:rsid w:val="00F97062"/>
    <w:rsid w:val="00F9745D"/>
    <w:rsid w:val="00FA07A9"/>
    <w:rsid w:val="00FA54B2"/>
    <w:rsid w:val="00FC0FCB"/>
    <w:rsid w:val="00FC529F"/>
    <w:rsid w:val="00FC66E1"/>
    <w:rsid w:val="00FC7B53"/>
    <w:rsid w:val="00FD48CC"/>
    <w:rsid w:val="00FE62D1"/>
    <w:rsid w:val="00FE7B94"/>
    <w:rsid w:val="00FF0736"/>
    <w:rsid w:val="00FF2515"/>
    <w:rsid w:val="00FF26BF"/>
    <w:rsid w:val="013C51B0"/>
    <w:rsid w:val="013C78D5"/>
    <w:rsid w:val="01651C23"/>
    <w:rsid w:val="016813CE"/>
    <w:rsid w:val="018023CE"/>
    <w:rsid w:val="01881AD6"/>
    <w:rsid w:val="019127B6"/>
    <w:rsid w:val="01944FA6"/>
    <w:rsid w:val="019978BC"/>
    <w:rsid w:val="01B71A01"/>
    <w:rsid w:val="01DC03CE"/>
    <w:rsid w:val="01E36F4E"/>
    <w:rsid w:val="01F425B5"/>
    <w:rsid w:val="0205540C"/>
    <w:rsid w:val="0208150E"/>
    <w:rsid w:val="02287D63"/>
    <w:rsid w:val="024179E7"/>
    <w:rsid w:val="0246437B"/>
    <w:rsid w:val="02985CD5"/>
    <w:rsid w:val="02A2206C"/>
    <w:rsid w:val="02A741FD"/>
    <w:rsid w:val="02C16E5D"/>
    <w:rsid w:val="02D92666"/>
    <w:rsid w:val="02D964CF"/>
    <w:rsid w:val="02DE5ECF"/>
    <w:rsid w:val="03012046"/>
    <w:rsid w:val="03184623"/>
    <w:rsid w:val="032E6AB8"/>
    <w:rsid w:val="03707410"/>
    <w:rsid w:val="039170C0"/>
    <w:rsid w:val="039240A3"/>
    <w:rsid w:val="03A0770F"/>
    <w:rsid w:val="03A27726"/>
    <w:rsid w:val="03A448B8"/>
    <w:rsid w:val="03AF0EFF"/>
    <w:rsid w:val="03B34A78"/>
    <w:rsid w:val="03C01631"/>
    <w:rsid w:val="03C656A9"/>
    <w:rsid w:val="03F33148"/>
    <w:rsid w:val="04035C87"/>
    <w:rsid w:val="042F3419"/>
    <w:rsid w:val="04491596"/>
    <w:rsid w:val="046E676F"/>
    <w:rsid w:val="047B4012"/>
    <w:rsid w:val="04822497"/>
    <w:rsid w:val="0486237A"/>
    <w:rsid w:val="04974587"/>
    <w:rsid w:val="049A0C65"/>
    <w:rsid w:val="04A07C4B"/>
    <w:rsid w:val="04AF5F57"/>
    <w:rsid w:val="04DF1036"/>
    <w:rsid w:val="04E06CF0"/>
    <w:rsid w:val="04E24985"/>
    <w:rsid w:val="04FF1D33"/>
    <w:rsid w:val="050B36F1"/>
    <w:rsid w:val="050C01DF"/>
    <w:rsid w:val="0524373D"/>
    <w:rsid w:val="05316537"/>
    <w:rsid w:val="053A5A77"/>
    <w:rsid w:val="0599183C"/>
    <w:rsid w:val="05A97DEC"/>
    <w:rsid w:val="05B23978"/>
    <w:rsid w:val="05C81981"/>
    <w:rsid w:val="05D21FF4"/>
    <w:rsid w:val="05FC20B9"/>
    <w:rsid w:val="060043AE"/>
    <w:rsid w:val="060C3203"/>
    <w:rsid w:val="06281344"/>
    <w:rsid w:val="062D4EC8"/>
    <w:rsid w:val="069B4E4A"/>
    <w:rsid w:val="06A26008"/>
    <w:rsid w:val="06BC41F2"/>
    <w:rsid w:val="06F415CC"/>
    <w:rsid w:val="070E26CD"/>
    <w:rsid w:val="07197D08"/>
    <w:rsid w:val="071E5C55"/>
    <w:rsid w:val="073234DB"/>
    <w:rsid w:val="075C1FE5"/>
    <w:rsid w:val="077005AB"/>
    <w:rsid w:val="07752EE4"/>
    <w:rsid w:val="078F4581"/>
    <w:rsid w:val="07945D28"/>
    <w:rsid w:val="07A715F3"/>
    <w:rsid w:val="07B74F40"/>
    <w:rsid w:val="07BF027F"/>
    <w:rsid w:val="07F06C60"/>
    <w:rsid w:val="08031A31"/>
    <w:rsid w:val="080E2872"/>
    <w:rsid w:val="0838325B"/>
    <w:rsid w:val="08420CAE"/>
    <w:rsid w:val="089A5AE8"/>
    <w:rsid w:val="09061A75"/>
    <w:rsid w:val="09182241"/>
    <w:rsid w:val="09325D4D"/>
    <w:rsid w:val="095F1030"/>
    <w:rsid w:val="09855177"/>
    <w:rsid w:val="09A17D47"/>
    <w:rsid w:val="09EE5125"/>
    <w:rsid w:val="0A3D7585"/>
    <w:rsid w:val="0A462748"/>
    <w:rsid w:val="0A4D0C81"/>
    <w:rsid w:val="0A723E95"/>
    <w:rsid w:val="0A733243"/>
    <w:rsid w:val="0A9D666F"/>
    <w:rsid w:val="0AA534D5"/>
    <w:rsid w:val="0AA650EB"/>
    <w:rsid w:val="0AA7129C"/>
    <w:rsid w:val="0AED147A"/>
    <w:rsid w:val="0AF47339"/>
    <w:rsid w:val="0B121934"/>
    <w:rsid w:val="0B1F4D52"/>
    <w:rsid w:val="0B22594B"/>
    <w:rsid w:val="0B27506F"/>
    <w:rsid w:val="0B2F47FB"/>
    <w:rsid w:val="0B3061AD"/>
    <w:rsid w:val="0B9610F4"/>
    <w:rsid w:val="0BBF77A4"/>
    <w:rsid w:val="0BD16C8D"/>
    <w:rsid w:val="0BDF26F7"/>
    <w:rsid w:val="0C027DB2"/>
    <w:rsid w:val="0C2B4952"/>
    <w:rsid w:val="0C4E485F"/>
    <w:rsid w:val="0C516C55"/>
    <w:rsid w:val="0C5D161C"/>
    <w:rsid w:val="0C7B2220"/>
    <w:rsid w:val="0CA159D4"/>
    <w:rsid w:val="0CB67D83"/>
    <w:rsid w:val="0CCF79BE"/>
    <w:rsid w:val="0CD20599"/>
    <w:rsid w:val="0CE53018"/>
    <w:rsid w:val="0CEC286C"/>
    <w:rsid w:val="0D0B5B12"/>
    <w:rsid w:val="0D133046"/>
    <w:rsid w:val="0D153F28"/>
    <w:rsid w:val="0D305390"/>
    <w:rsid w:val="0D3A0F98"/>
    <w:rsid w:val="0D5D37FD"/>
    <w:rsid w:val="0D6A4502"/>
    <w:rsid w:val="0D7415CA"/>
    <w:rsid w:val="0D822738"/>
    <w:rsid w:val="0D890E47"/>
    <w:rsid w:val="0DC64A00"/>
    <w:rsid w:val="0DCF786E"/>
    <w:rsid w:val="0DD93147"/>
    <w:rsid w:val="0DEB5FFA"/>
    <w:rsid w:val="0DF75C46"/>
    <w:rsid w:val="0DFC60BA"/>
    <w:rsid w:val="0E045D30"/>
    <w:rsid w:val="0E1C06B2"/>
    <w:rsid w:val="0E35000C"/>
    <w:rsid w:val="0E4E0AD5"/>
    <w:rsid w:val="0E69691B"/>
    <w:rsid w:val="0E7900C2"/>
    <w:rsid w:val="0EA04388"/>
    <w:rsid w:val="0EA93A93"/>
    <w:rsid w:val="0EBB5484"/>
    <w:rsid w:val="0EBD5AA3"/>
    <w:rsid w:val="0EC74FCE"/>
    <w:rsid w:val="0EEC3F08"/>
    <w:rsid w:val="0F085784"/>
    <w:rsid w:val="0F5723EF"/>
    <w:rsid w:val="0F7C5FF6"/>
    <w:rsid w:val="0F7F7EB5"/>
    <w:rsid w:val="0F977808"/>
    <w:rsid w:val="0FC63FBD"/>
    <w:rsid w:val="0FDD003F"/>
    <w:rsid w:val="0FEA3E2B"/>
    <w:rsid w:val="0FF63282"/>
    <w:rsid w:val="0FF87EA4"/>
    <w:rsid w:val="0FFF7484"/>
    <w:rsid w:val="10007DD4"/>
    <w:rsid w:val="100B77ED"/>
    <w:rsid w:val="10305890"/>
    <w:rsid w:val="103D5A1A"/>
    <w:rsid w:val="104C4A54"/>
    <w:rsid w:val="106C564D"/>
    <w:rsid w:val="10767478"/>
    <w:rsid w:val="107B7B8F"/>
    <w:rsid w:val="107C67CE"/>
    <w:rsid w:val="108A0AA9"/>
    <w:rsid w:val="10912D03"/>
    <w:rsid w:val="109D68CB"/>
    <w:rsid w:val="10A949B8"/>
    <w:rsid w:val="10CB4D26"/>
    <w:rsid w:val="110E540F"/>
    <w:rsid w:val="11144AFE"/>
    <w:rsid w:val="11200D07"/>
    <w:rsid w:val="116A3F32"/>
    <w:rsid w:val="11786AB5"/>
    <w:rsid w:val="118049D4"/>
    <w:rsid w:val="118561F8"/>
    <w:rsid w:val="11914FAF"/>
    <w:rsid w:val="11A8021A"/>
    <w:rsid w:val="11B21219"/>
    <w:rsid w:val="11B4024C"/>
    <w:rsid w:val="11DA73AF"/>
    <w:rsid w:val="11FC1ECD"/>
    <w:rsid w:val="12457C5E"/>
    <w:rsid w:val="124D097B"/>
    <w:rsid w:val="12511265"/>
    <w:rsid w:val="12635AA8"/>
    <w:rsid w:val="126561B4"/>
    <w:rsid w:val="127A3FFC"/>
    <w:rsid w:val="127D0E25"/>
    <w:rsid w:val="127E0B34"/>
    <w:rsid w:val="128351DA"/>
    <w:rsid w:val="1283614B"/>
    <w:rsid w:val="12856FF3"/>
    <w:rsid w:val="129671FB"/>
    <w:rsid w:val="12A362D2"/>
    <w:rsid w:val="12A576FF"/>
    <w:rsid w:val="12C60D80"/>
    <w:rsid w:val="12F11AE5"/>
    <w:rsid w:val="130523B3"/>
    <w:rsid w:val="13097496"/>
    <w:rsid w:val="13154AD2"/>
    <w:rsid w:val="131F7A3A"/>
    <w:rsid w:val="132645D0"/>
    <w:rsid w:val="133B0D0B"/>
    <w:rsid w:val="134312FF"/>
    <w:rsid w:val="13455ABC"/>
    <w:rsid w:val="13634067"/>
    <w:rsid w:val="1370322B"/>
    <w:rsid w:val="13A65211"/>
    <w:rsid w:val="13BA0460"/>
    <w:rsid w:val="13BB41AE"/>
    <w:rsid w:val="13C24F9B"/>
    <w:rsid w:val="13C45A18"/>
    <w:rsid w:val="13C9247B"/>
    <w:rsid w:val="13C92A4D"/>
    <w:rsid w:val="13DE55D1"/>
    <w:rsid w:val="13E0285C"/>
    <w:rsid w:val="13E56C86"/>
    <w:rsid w:val="1427357C"/>
    <w:rsid w:val="143B2E0B"/>
    <w:rsid w:val="14412943"/>
    <w:rsid w:val="147C1943"/>
    <w:rsid w:val="148054E9"/>
    <w:rsid w:val="14892735"/>
    <w:rsid w:val="148B325C"/>
    <w:rsid w:val="14906D6C"/>
    <w:rsid w:val="14CC769D"/>
    <w:rsid w:val="14D764D5"/>
    <w:rsid w:val="14F43330"/>
    <w:rsid w:val="152509D7"/>
    <w:rsid w:val="15436F05"/>
    <w:rsid w:val="1548755F"/>
    <w:rsid w:val="155541C5"/>
    <w:rsid w:val="155B390A"/>
    <w:rsid w:val="15691FE3"/>
    <w:rsid w:val="158B5DDD"/>
    <w:rsid w:val="15A41986"/>
    <w:rsid w:val="15B11221"/>
    <w:rsid w:val="15C16EB3"/>
    <w:rsid w:val="15CB76C9"/>
    <w:rsid w:val="15D359D7"/>
    <w:rsid w:val="15D418DD"/>
    <w:rsid w:val="15DE2ACF"/>
    <w:rsid w:val="160E65BF"/>
    <w:rsid w:val="160E7A2C"/>
    <w:rsid w:val="16111028"/>
    <w:rsid w:val="161F7731"/>
    <w:rsid w:val="163C77BE"/>
    <w:rsid w:val="16573587"/>
    <w:rsid w:val="16687054"/>
    <w:rsid w:val="167719CF"/>
    <w:rsid w:val="1679588C"/>
    <w:rsid w:val="168C2855"/>
    <w:rsid w:val="16903443"/>
    <w:rsid w:val="16994962"/>
    <w:rsid w:val="16A233CF"/>
    <w:rsid w:val="16A71041"/>
    <w:rsid w:val="16AA24BF"/>
    <w:rsid w:val="16B611D9"/>
    <w:rsid w:val="16F45FA5"/>
    <w:rsid w:val="171A5990"/>
    <w:rsid w:val="171D3FE1"/>
    <w:rsid w:val="1742794A"/>
    <w:rsid w:val="17492AC4"/>
    <w:rsid w:val="17680CAB"/>
    <w:rsid w:val="176E4128"/>
    <w:rsid w:val="1783371F"/>
    <w:rsid w:val="178D7563"/>
    <w:rsid w:val="17B61794"/>
    <w:rsid w:val="17C52CBF"/>
    <w:rsid w:val="17C776E5"/>
    <w:rsid w:val="17C93012"/>
    <w:rsid w:val="17E62B67"/>
    <w:rsid w:val="180F4499"/>
    <w:rsid w:val="182201B4"/>
    <w:rsid w:val="18221ECE"/>
    <w:rsid w:val="18303840"/>
    <w:rsid w:val="183C3D90"/>
    <w:rsid w:val="183E0A52"/>
    <w:rsid w:val="18504A07"/>
    <w:rsid w:val="1859036F"/>
    <w:rsid w:val="18592901"/>
    <w:rsid w:val="18681814"/>
    <w:rsid w:val="187F72BD"/>
    <w:rsid w:val="18A03F67"/>
    <w:rsid w:val="18B0649B"/>
    <w:rsid w:val="18C8297B"/>
    <w:rsid w:val="18D418FC"/>
    <w:rsid w:val="18E80D5D"/>
    <w:rsid w:val="18FC7745"/>
    <w:rsid w:val="19027053"/>
    <w:rsid w:val="191677A6"/>
    <w:rsid w:val="191D1F80"/>
    <w:rsid w:val="19353F17"/>
    <w:rsid w:val="193F0930"/>
    <w:rsid w:val="19621C82"/>
    <w:rsid w:val="19CC487B"/>
    <w:rsid w:val="19DD405E"/>
    <w:rsid w:val="1A460CF5"/>
    <w:rsid w:val="1A5747FA"/>
    <w:rsid w:val="1A7A6BB4"/>
    <w:rsid w:val="1A7F297D"/>
    <w:rsid w:val="1A9B268C"/>
    <w:rsid w:val="1A9D6244"/>
    <w:rsid w:val="1AAF6004"/>
    <w:rsid w:val="1AB16AC1"/>
    <w:rsid w:val="1ABF1CEA"/>
    <w:rsid w:val="1AF112C0"/>
    <w:rsid w:val="1B014DDE"/>
    <w:rsid w:val="1B0320FB"/>
    <w:rsid w:val="1B034A52"/>
    <w:rsid w:val="1B441A66"/>
    <w:rsid w:val="1B45344E"/>
    <w:rsid w:val="1B591D2B"/>
    <w:rsid w:val="1B5D76FB"/>
    <w:rsid w:val="1B683578"/>
    <w:rsid w:val="1B710D4C"/>
    <w:rsid w:val="1B8C0040"/>
    <w:rsid w:val="1BB81089"/>
    <w:rsid w:val="1BBA4E52"/>
    <w:rsid w:val="1BD9519A"/>
    <w:rsid w:val="1BDE2F66"/>
    <w:rsid w:val="1C1575D7"/>
    <w:rsid w:val="1C2A22B3"/>
    <w:rsid w:val="1C2B220D"/>
    <w:rsid w:val="1C717514"/>
    <w:rsid w:val="1C750ECE"/>
    <w:rsid w:val="1C895B5E"/>
    <w:rsid w:val="1C9A29BD"/>
    <w:rsid w:val="1CA56AF4"/>
    <w:rsid w:val="1CB25FAA"/>
    <w:rsid w:val="1CB4038B"/>
    <w:rsid w:val="1CE1575A"/>
    <w:rsid w:val="1CFC57F8"/>
    <w:rsid w:val="1CFD1BCA"/>
    <w:rsid w:val="1D196139"/>
    <w:rsid w:val="1D2E2708"/>
    <w:rsid w:val="1D5E02D1"/>
    <w:rsid w:val="1D7B74A7"/>
    <w:rsid w:val="1D7F0ED0"/>
    <w:rsid w:val="1D940CD5"/>
    <w:rsid w:val="1DA31EB7"/>
    <w:rsid w:val="1DA55D97"/>
    <w:rsid w:val="1DBB6100"/>
    <w:rsid w:val="1DBE6816"/>
    <w:rsid w:val="1DC67725"/>
    <w:rsid w:val="1DC7686B"/>
    <w:rsid w:val="1DCA4D89"/>
    <w:rsid w:val="1DCB4FF1"/>
    <w:rsid w:val="1DCF5697"/>
    <w:rsid w:val="1DDC11E4"/>
    <w:rsid w:val="1DF5452A"/>
    <w:rsid w:val="1E010AF7"/>
    <w:rsid w:val="1E1C405A"/>
    <w:rsid w:val="1E2E29E0"/>
    <w:rsid w:val="1E301173"/>
    <w:rsid w:val="1E884D18"/>
    <w:rsid w:val="1ED8781E"/>
    <w:rsid w:val="1EDD3235"/>
    <w:rsid w:val="1EE7283A"/>
    <w:rsid w:val="1F1102B0"/>
    <w:rsid w:val="1F1745E2"/>
    <w:rsid w:val="1F192994"/>
    <w:rsid w:val="1F2F1047"/>
    <w:rsid w:val="1F43381C"/>
    <w:rsid w:val="1F4A0AF7"/>
    <w:rsid w:val="1F642E60"/>
    <w:rsid w:val="1F7D6A3D"/>
    <w:rsid w:val="1F8009E4"/>
    <w:rsid w:val="1FA4148D"/>
    <w:rsid w:val="1FC10FAB"/>
    <w:rsid w:val="1FC256F0"/>
    <w:rsid w:val="1FC65577"/>
    <w:rsid w:val="1FD00E3E"/>
    <w:rsid w:val="1FD82385"/>
    <w:rsid w:val="20121621"/>
    <w:rsid w:val="201636E2"/>
    <w:rsid w:val="202E3F6D"/>
    <w:rsid w:val="2032134B"/>
    <w:rsid w:val="20325F7E"/>
    <w:rsid w:val="203B62B7"/>
    <w:rsid w:val="204778E7"/>
    <w:rsid w:val="204E554F"/>
    <w:rsid w:val="20546774"/>
    <w:rsid w:val="20590035"/>
    <w:rsid w:val="20851B47"/>
    <w:rsid w:val="209A2C3D"/>
    <w:rsid w:val="20E5011E"/>
    <w:rsid w:val="20FC799E"/>
    <w:rsid w:val="21286DA7"/>
    <w:rsid w:val="2134683B"/>
    <w:rsid w:val="21433770"/>
    <w:rsid w:val="215D5F8D"/>
    <w:rsid w:val="21993F9A"/>
    <w:rsid w:val="21BD474D"/>
    <w:rsid w:val="21C82E72"/>
    <w:rsid w:val="21DE0801"/>
    <w:rsid w:val="21DE339D"/>
    <w:rsid w:val="21DF4421"/>
    <w:rsid w:val="21EB1EA4"/>
    <w:rsid w:val="22154DDD"/>
    <w:rsid w:val="221D4DB5"/>
    <w:rsid w:val="22336873"/>
    <w:rsid w:val="22396826"/>
    <w:rsid w:val="22470003"/>
    <w:rsid w:val="225471A3"/>
    <w:rsid w:val="225E34DC"/>
    <w:rsid w:val="227D1295"/>
    <w:rsid w:val="227F0DBC"/>
    <w:rsid w:val="229B678A"/>
    <w:rsid w:val="22AB3B7D"/>
    <w:rsid w:val="22AF3A08"/>
    <w:rsid w:val="22C203EB"/>
    <w:rsid w:val="22E421DA"/>
    <w:rsid w:val="22F92F75"/>
    <w:rsid w:val="2329226B"/>
    <w:rsid w:val="234E18FF"/>
    <w:rsid w:val="239634D6"/>
    <w:rsid w:val="23A167B0"/>
    <w:rsid w:val="23A622CB"/>
    <w:rsid w:val="23BB4E7D"/>
    <w:rsid w:val="23BE2AFB"/>
    <w:rsid w:val="23C14D25"/>
    <w:rsid w:val="23C172D6"/>
    <w:rsid w:val="23CB1286"/>
    <w:rsid w:val="23D77537"/>
    <w:rsid w:val="23E6195D"/>
    <w:rsid w:val="23F04F64"/>
    <w:rsid w:val="23FA3D93"/>
    <w:rsid w:val="242654AA"/>
    <w:rsid w:val="243A7883"/>
    <w:rsid w:val="24814CBE"/>
    <w:rsid w:val="24AC168B"/>
    <w:rsid w:val="24BB6664"/>
    <w:rsid w:val="24EC64CB"/>
    <w:rsid w:val="250E1318"/>
    <w:rsid w:val="25103738"/>
    <w:rsid w:val="253F46D8"/>
    <w:rsid w:val="254D0389"/>
    <w:rsid w:val="25884C5D"/>
    <w:rsid w:val="258C3BEC"/>
    <w:rsid w:val="25A03144"/>
    <w:rsid w:val="25B2479F"/>
    <w:rsid w:val="25C15C5D"/>
    <w:rsid w:val="25D329B9"/>
    <w:rsid w:val="25E5427A"/>
    <w:rsid w:val="26276A31"/>
    <w:rsid w:val="26366F9D"/>
    <w:rsid w:val="26382A30"/>
    <w:rsid w:val="263B1230"/>
    <w:rsid w:val="2642752B"/>
    <w:rsid w:val="26485508"/>
    <w:rsid w:val="26554808"/>
    <w:rsid w:val="265E685B"/>
    <w:rsid w:val="26607D95"/>
    <w:rsid w:val="266A46CC"/>
    <w:rsid w:val="26700955"/>
    <w:rsid w:val="26A16AE9"/>
    <w:rsid w:val="26A605D9"/>
    <w:rsid w:val="26AD0500"/>
    <w:rsid w:val="26B121A3"/>
    <w:rsid w:val="26CF1507"/>
    <w:rsid w:val="26E464C3"/>
    <w:rsid w:val="26F61776"/>
    <w:rsid w:val="26FC6074"/>
    <w:rsid w:val="27192475"/>
    <w:rsid w:val="272E3097"/>
    <w:rsid w:val="272E6F74"/>
    <w:rsid w:val="27357461"/>
    <w:rsid w:val="273B7A3B"/>
    <w:rsid w:val="27436777"/>
    <w:rsid w:val="277E6655"/>
    <w:rsid w:val="2780046C"/>
    <w:rsid w:val="27933DEA"/>
    <w:rsid w:val="27B11DCF"/>
    <w:rsid w:val="27B36A67"/>
    <w:rsid w:val="27D9633F"/>
    <w:rsid w:val="280B2E27"/>
    <w:rsid w:val="281E404F"/>
    <w:rsid w:val="281F4FE5"/>
    <w:rsid w:val="282D79F9"/>
    <w:rsid w:val="28302479"/>
    <w:rsid w:val="2846581F"/>
    <w:rsid w:val="284A5CA4"/>
    <w:rsid w:val="286550ED"/>
    <w:rsid w:val="286602C8"/>
    <w:rsid w:val="28665C95"/>
    <w:rsid w:val="28736F5F"/>
    <w:rsid w:val="28B01D1E"/>
    <w:rsid w:val="28C2628C"/>
    <w:rsid w:val="28CC3373"/>
    <w:rsid w:val="28D67618"/>
    <w:rsid w:val="28F47F99"/>
    <w:rsid w:val="28F579BA"/>
    <w:rsid w:val="290B3EB9"/>
    <w:rsid w:val="292728C1"/>
    <w:rsid w:val="293D72DE"/>
    <w:rsid w:val="294E392A"/>
    <w:rsid w:val="2950768C"/>
    <w:rsid w:val="297A5FC4"/>
    <w:rsid w:val="29B51252"/>
    <w:rsid w:val="29BB2501"/>
    <w:rsid w:val="29E14657"/>
    <w:rsid w:val="29E474B8"/>
    <w:rsid w:val="29ED574B"/>
    <w:rsid w:val="29FA2D3E"/>
    <w:rsid w:val="29FA7887"/>
    <w:rsid w:val="29FD335E"/>
    <w:rsid w:val="29FE5CE6"/>
    <w:rsid w:val="2A037C4D"/>
    <w:rsid w:val="2A043D7C"/>
    <w:rsid w:val="2A082782"/>
    <w:rsid w:val="2A24405C"/>
    <w:rsid w:val="2A65091E"/>
    <w:rsid w:val="2A743AE8"/>
    <w:rsid w:val="2A8D4F8F"/>
    <w:rsid w:val="2A917B34"/>
    <w:rsid w:val="2A9308A8"/>
    <w:rsid w:val="2A9F5AB8"/>
    <w:rsid w:val="2AB10C99"/>
    <w:rsid w:val="2AD74E8C"/>
    <w:rsid w:val="2AE3766F"/>
    <w:rsid w:val="2AEC612E"/>
    <w:rsid w:val="2B0268A7"/>
    <w:rsid w:val="2B051B6F"/>
    <w:rsid w:val="2B06049D"/>
    <w:rsid w:val="2B060F9E"/>
    <w:rsid w:val="2B0E56AB"/>
    <w:rsid w:val="2B4E5FBD"/>
    <w:rsid w:val="2B51141C"/>
    <w:rsid w:val="2B590601"/>
    <w:rsid w:val="2B710DB7"/>
    <w:rsid w:val="2B7408CF"/>
    <w:rsid w:val="2B7E4054"/>
    <w:rsid w:val="2B9845BD"/>
    <w:rsid w:val="2BBA4607"/>
    <w:rsid w:val="2BBA6A76"/>
    <w:rsid w:val="2BCC03D1"/>
    <w:rsid w:val="2BD335BF"/>
    <w:rsid w:val="2BDF1FBA"/>
    <w:rsid w:val="2C0C6D59"/>
    <w:rsid w:val="2C3743F9"/>
    <w:rsid w:val="2C3F2444"/>
    <w:rsid w:val="2C5B0D4B"/>
    <w:rsid w:val="2C73237D"/>
    <w:rsid w:val="2C8903AA"/>
    <w:rsid w:val="2C987C56"/>
    <w:rsid w:val="2C9E64EC"/>
    <w:rsid w:val="2CA156F3"/>
    <w:rsid w:val="2CB72A63"/>
    <w:rsid w:val="2CC11460"/>
    <w:rsid w:val="2CC15BAA"/>
    <w:rsid w:val="2CC72A61"/>
    <w:rsid w:val="2CDC3153"/>
    <w:rsid w:val="2CDF621C"/>
    <w:rsid w:val="2CE136D7"/>
    <w:rsid w:val="2CFE7A11"/>
    <w:rsid w:val="2CFF149A"/>
    <w:rsid w:val="2D1E7FDE"/>
    <w:rsid w:val="2D201865"/>
    <w:rsid w:val="2D2B6EDE"/>
    <w:rsid w:val="2D4B5CEA"/>
    <w:rsid w:val="2D4C5B4C"/>
    <w:rsid w:val="2D542188"/>
    <w:rsid w:val="2D652658"/>
    <w:rsid w:val="2D964A56"/>
    <w:rsid w:val="2DC16E0A"/>
    <w:rsid w:val="2DC80C49"/>
    <w:rsid w:val="2DCA6355"/>
    <w:rsid w:val="2E030E17"/>
    <w:rsid w:val="2E041EC2"/>
    <w:rsid w:val="2E166748"/>
    <w:rsid w:val="2E2054A0"/>
    <w:rsid w:val="2E482374"/>
    <w:rsid w:val="2E491580"/>
    <w:rsid w:val="2E556F01"/>
    <w:rsid w:val="2E8345A7"/>
    <w:rsid w:val="2E8E20B4"/>
    <w:rsid w:val="2E9D6A09"/>
    <w:rsid w:val="2EAA7BAE"/>
    <w:rsid w:val="2EC1207D"/>
    <w:rsid w:val="2ED06066"/>
    <w:rsid w:val="2ED1223D"/>
    <w:rsid w:val="2F000139"/>
    <w:rsid w:val="2F086A2C"/>
    <w:rsid w:val="2F1B303D"/>
    <w:rsid w:val="2F2F04F6"/>
    <w:rsid w:val="2F3F11F4"/>
    <w:rsid w:val="2F5E0754"/>
    <w:rsid w:val="2F7F19E0"/>
    <w:rsid w:val="2F8224FF"/>
    <w:rsid w:val="2F9F42DC"/>
    <w:rsid w:val="2FBB4121"/>
    <w:rsid w:val="2FBC2844"/>
    <w:rsid w:val="2FBE3786"/>
    <w:rsid w:val="2FC32F68"/>
    <w:rsid w:val="2FD6418B"/>
    <w:rsid w:val="2FE46D20"/>
    <w:rsid w:val="2FF37AB3"/>
    <w:rsid w:val="30210B8A"/>
    <w:rsid w:val="30224DC7"/>
    <w:rsid w:val="303B4C3F"/>
    <w:rsid w:val="3073310C"/>
    <w:rsid w:val="307509AC"/>
    <w:rsid w:val="307F7976"/>
    <w:rsid w:val="309D6BE6"/>
    <w:rsid w:val="30AA1790"/>
    <w:rsid w:val="30EE385E"/>
    <w:rsid w:val="30F85AFE"/>
    <w:rsid w:val="30FA7AC8"/>
    <w:rsid w:val="31031402"/>
    <w:rsid w:val="31170995"/>
    <w:rsid w:val="31264A30"/>
    <w:rsid w:val="312651F8"/>
    <w:rsid w:val="31331B16"/>
    <w:rsid w:val="31862EE3"/>
    <w:rsid w:val="31884E67"/>
    <w:rsid w:val="31A0275E"/>
    <w:rsid w:val="31A31F0E"/>
    <w:rsid w:val="31A67308"/>
    <w:rsid w:val="31B91526"/>
    <w:rsid w:val="31BA7402"/>
    <w:rsid w:val="31DA6CBA"/>
    <w:rsid w:val="31EF0041"/>
    <w:rsid w:val="320107F5"/>
    <w:rsid w:val="323932BD"/>
    <w:rsid w:val="324175CB"/>
    <w:rsid w:val="326A0524"/>
    <w:rsid w:val="32733395"/>
    <w:rsid w:val="327B7EDF"/>
    <w:rsid w:val="32AB70C5"/>
    <w:rsid w:val="32BD0DAD"/>
    <w:rsid w:val="32EF2122"/>
    <w:rsid w:val="32F17F41"/>
    <w:rsid w:val="332038B4"/>
    <w:rsid w:val="33247607"/>
    <w:rsid w:val="333014B0"/>
    <w:rsid w:val="335D0AF5"/>
    <w:rsid w:val="336917EF"/>
    <w:rsid w:val="336B2EA4"/>
    <w:rsid w:val="336B3E67"/>
    <w:rsid w:val="3370088C"/>
    <w:rsid w:val="33872039"/>
    <w:rsid w:val="339A687B"/>
    <w:rsid w:val="33DC2F78"/>
    <w:rsid w:val="3428227C"/>
    <w:rsid w:val="343230D5"/>
    <w:rsid w:val="3439428E"/>
    <w:rsid w:val="344A2458"/>
    <w:rsid w:val="34571EF7"/>
    <w:rsid w:val="347918A5"/>
    <w:rsid w:val="34802E4C"/>
    <w:rsid w:val="348B0379"/>
    <w:rsid w:val="348E1C47"/>
    <w:rsid w:val="349D37D5"/>
    <w:rsid w:val="34A61BDE"/>
    <w:rsid w:val="34BB7B5F"/>
    <w:rsid w:val="3522586C"/>
    <w:rsid w:val="35572473"/>
    <w:rsid w:val="35602226"/>
    <w:rsid w:val="356B72E7"/>
    <w:rsid w:val="356D2AC8"/>
    <w:rsid w:val="3572424F"/>
    <w:rsid w:val="35734CF3"/>
    <w:rsid w:val="35866014"/>
    <w:rsid w:val="359E5CE0"/>
    <w:rsid w:val="35AA736E"/>
    <w:rsid w:val="35D275C3"/>
    <w:rsid w:val="35E50FBB"/>
    <w:rsid w:val="35F6582E"/>
    <w:rsid w:val="362B215D"/>
    <w:rsid w:val="36310130"/>
    <w:rsid w:val="366666CA"/>
    <w:rsid w:val="367070F4"/>
    <w:rsid w:val="367801A9"/>
    <w:rsid w:val="36807FCC"/>
    <w:rsid w:val="369F2A1E"/>
    <w:rsid w:val="36AD519D"/>
    <w:rsid w:val="36B57705"/>
    <w:rsid w:val="36B93E53"/>
    <w:rsid w:val="36DC1DD3"/>
    <w:rsid w:val="36F3711D"/>
    <w:rsid w:val="36FC25DD"/>
    <w:rsid w:val="37090CD6"/>
    <w:rsid w:val="37122320"/>
    <w:rsid w:val="374E6A94"/>
    <w:rsid w:val="3754697A"/>
    <w:rsid w:val="37636A21"/>
    <w:rsid w:val="377C03A4"/>
    <w:rsid w:val="378F032B"/>
    <w:rsid w:val="37A103ED"/>
    <w:rsid w:val="37A367C3"/>
    <w:rsid w:val="37BD33EE"/>
    <w:rsid w:val="37E02B23"/>
    <w:rsid w:val="37E345A6"/>
    <w:rsid w:val="37EA5E6E"/>
    <w:rsid w:val="37EC6A58"/>
    <w:rsid w:val="37F457DC"/>
    <w:rsid w:val="37FB2268"/>
    <w:rsid w:val="37FF016F"/>
    <w:rsid w:val="382A6E2D"/>
    <w:rsid w:val="3851753C"/>
    <w:rsid w:val="38695E14"/>
    <w:rsid w:val="386E4145"/>
    <w:rsid w:val="387C5ABE"/>
    <w:rsid w:val="387D1EBD"/>
    <w:rsid w:val="38B66D0C"/>
    <w:rsid w:val="38C9391D"/>
    <w:rsid w:val="38D41643"/>
    <w:rsid w:val="38DF2E5B"/>
    <w:rsid w:val="38EB6119"/>
    <w:rsid w:val="38F378FD"/>
    <w:rsid w:val="39044996"/>
    <w:rsid w:val="390C0C10"/>
    <w:rsid w:val="39175FEC"/>
    <w:rsid w:val="392C6D9B"/>
    <w:rsid w:val="393B020C"/>
    <w:rsid w:val="39506E15"/>
    <w:rsid w:val="396678D9"/>
    <w:rsid w:val="39790BE6"/>
    <w:rsid w:val="397A0ADB"/>
    <w:rsid w:val="39844799"/>
    <w:rsid w:val="39954B2B"/>
    <w:rsid w:val="39DA2245"/>
    <w:rsid w:val="39E66E3B"/>
    <w:rsid w:val="39FD4CC2"/>
    <w:rsid w:val="3A035C92"/>
    <w:rsid w:val="3A183E5C"/>
    <w:rsid w:val="3A1B4DE1"/>
    <w:rsid w:val="3A2F1883"/>
    <w:rsid w:val="3A51228C"/>
    <w:rsid w:val="3A545E48"/>
    <w:rsid w:val="3A552E60"/>
    <w:rsid w:val="3A5D642F"/>
    <w:rsid w:val="3A744447"/>
    <w:rsid w:val="3A78219D"/>
    <w:rsid w:val="3A995C5C"/>
    <w:rsid w:val="3AB210FC"/>
    <w:rsid w:val="3ADB7381"/>
    <w:rsid w:val="3AF04A37"/>
    <w:rsid w:val="3B043A1D"/>
    <w:rsid w:val="3B1E01C3"/>
    <w:rsid w:val="3B3C15FA"/>
    <w:rsid w:val="3B3E5B8A"/>
    <w:rsid w:val="3B793A48"/>
    <w:rsid w:val="3B7E3699"/>
    <w:rsid w:val="3B85393E"/>
    <w:rsid w:val="3B972ED2"/>
    <w:rsid w:val="3BB22210"/>
    <w:rsid w:val="3BCA4B8A"/>
    <w:rsid w:val="3BCD72F7"/>
    <w:rsid w:val="3BFC2F5F"/>
    <w:rsid w:val="3C0A70F9"/>
    <w:rsid w:val="3C0F68A5"/>
    <w:rsid w:val="3C26744A"/>
    <w:rsid w:val="3C37146A"/>
    <w:rsid w:val="3C3D3625"/>
    <w:rsid w:val="3C414142"/>
    <w:rsid w:val="3C5B725E"/>
    <w:rsid w:val="3C6027A2"/>
    <w:rsid w:val="3C6E4331"/>
    <w:rsid w:val="3C84047F"/>
    <w:rsid w:val="3C874EDB"/>
    <w:rsid w:val="3C88055A"/>
    <w:rsid w:val="3C9E57AB"/>
    <w:rsid w:val="3CAF79B9"/>
    <w:rsid w:val="3CB35097"/>
    <w:rsid w:val="3CF737A2"/>
    <w:rsid w:val="3D10295A"/>
    <w:rsid w:val="3D13559B"/>
    <w:rsid w:val="3D184041"/>
    <w:rsid w:val="3D370C2A"/>
    <w:rsid w:val="3D40106E"/>
    <w:rsid w:val="3D414FC0"/>
    <w:rsid w:val="3D4F12A7"/>
    <w:rsid w:val="3D7B5F78"/>
    <w:rsid w:val="3D7D049C"/>
    <w:rsid w:val="3DBB1365"/>
    <w:rsid w:val="3DE06791"/>
    <w:rsid w:val="3DE20EAE"/>
    <w:rsid w:val="3DEF3701"/>
    <w:rsid w:val="3E0572FD"/>
    <w:rsid w:val="3E0720FE"/>
    <w:rsid w:val="3E0E185F"/>
    <w:rsid w:val="3E2819F6"/>
    <w:rsid w:val="3E287A22"/>
    <w:rsid w:val="3E291EFF"/>
    <w:rsid w:val="3E5A7FE7"/>
    <w:rsid w:val="3E7D40EF"/>
    <w:rsid w:val="3E955A6A"/>
    <w:rsid w:val="3E964D81"/>
    <w:rsid w:val="3EA70758"/>
    <w:rsid w:val="3EC45B27"/>
    <w:rsid w:val="3ECE29AE"/>
    <w:rsid w:val="3EDB4816"/>
    <w:rsid w:val="3EEB2146"/>
    <w:rsid w:val="3EF66B2E"/>
    <w:rsid w:val="3F051362"/>
    <w:rsid w:val="3F116709"/>
    <w:rsid w:val="3F217914"/>
    <w:rsid w:val="3F2F3033"/>
    <w:rsid w:val="3F7A4198"/>
    <w:rsid w:val="3FB9633E"/>
    <w:rsid w:val="3FD10810"/>
    <w:rsid w:val="3FD70BB0"/>
    <w:rsid w:val="3FFB55AC"/>
    <w:rsid w:val="40017152"/>
    <w:rsid w:val="401C5F9D"/>
    <w:rsid w:val="401C690C"/>
    <w:rsid w:val="401D7195"/>
    <w:rsid w:val="4038621E"/>
    <w:rsid w:val="405B7D5A"/>
    <w:rsid w:val="405C1C05"/>
    <w:rsid w:val="405E5F07"/>
    <w:rsid w:val="407A652F"/>
    <w:rsid w:val="40825D97"/>
    <w:rsid w:val="40836C36"/>
    <w:rsid w:val="40870EA3"/>
    <w:rsid w:val="409928E7"/>
    <w:rsid w:val="40997CFE"/>
    <w:rsid w:val="40C34607"/>
    <w:rsid w:val="40CE3DC0"/>
    <w:rsid w:val="40D7455A"/>
    <w:rsid w:val="40E743E5"/>
    <w:rsid w:val="40EB4012"/>
    <w:rsid w:val="41075C9E"/>
    <w:rsid w:val="410A1661"/>
    <w:rsid w:val="412D5EA0"/>
    <w:rsid w:val="41512497"/>
    <w:rsid w:val="415A62F5"/>
    <w:rsid w:val="416D78C7"/>
    <w:rsid w:val="41734CBA"/>
    <w:rsid w:val="417F4E1A"/>
    <w:rsid w:val="418B0C8A"/>
    <w:rsid w:val="41A82190"/>
    <w:rsid w:val="41BC7691"/>
    <w:rsid w:val="41C52874"/>
    <w:rsid w:val="41D93B3D"/>
    <w:rsid w:val="41DE5999"/>
    <w:rsid w:val="41E02099"/>
    <w:rsid w:val="41E1181A"/>
    <w:rsid w:val="41E32A20"/>
    <w:rsid w:val="41FA3241"/>
    <w:rsid w:val="420F7A65"/>
    <w:rsid w:val="4216611A"/>
    <w:rsid w:val="42202600"/>
    <w:rsid w:val="422B01D6"/>
    <w:rsid w:val="42321B6A"/>
    <w:rsid w:val="423E300F"/>
    <w:rsid w:val="42457494"/>
    <w:rsid w:val="425656C8"/>
    <w:rsid w:val="4257273C"/>
    <w:rsid w:val="42687ACE"/>
    <w:rsid w:val="4270145E"/>
    <w:rsid w:val="429E6041"/>
    <w:rsid w:val="42AE1D40"/>
    <w:rsid w:val="42BF4B02"/>
    <w:rsid w:val="42DF4007"/>
    <w:rsid w:val="42FD694D"/>
    <w:rsid w:val="43034DFA"/>
    <w:rsid w:val="4315035B"/>
    <w:rsid w:val="431B7633"/>
    <w:rsid w:val="4357300A"/>
    <w:rsid w:val="43580A8C"/>
    <w:rsid w:val="436854A3"/>
    <w:rsid w:val="43707968"/>
    <w:rsid w:val="437D6687"/>
    <w:rsid w:val="438351F5"/>
    <w:rsid w:val="438D35EA"/>
    <w:rsid w:val="43A00EF1"/>
    <w:rsid w:val="43A22185"/>
    <w:rsid w:val="43BC1E57"/>
    <w:rsid w:val="43D23F8D"/>
    <w:rsid w:val="43D43F1D"/>
    <w:rsid w:val="43FA5777"/>
    <w:rsid w:val="44023422"/>
    <w:rsid w:val="44071CA1"/>
    <w:rsid w:val="440E04A8"/>
    <w:rsid w:val="44162144"/>
    <w:rsid w:val="44184A2D"/>
    <w:rsid w:val="441C1611"/>
    <w:rsid w:val="443C440B"/>
    <w:rsid w:val="44514F52"/>
    <w:rsid w:val="445B15B3"/>
    <w:rsid w:val="44761C8F"/>
    <w:rsid w:val="4481309B"/>
    <w:rsid w:val="449722E3"/>
    <w:rsid w:val="449D7B09"/>
    <w:rsid w:val="44AE3FD4"/>
    <w:rsid w:val="44D0586F"/>
    <w:rsid w:val="44FA2D53"/>
    <w:rsid w:val="451C6BEA"/>
    <w:rsid w:val="45234D20"/>
    <w:rsid w:val="453C4912"/>
    <w:rsid w:val="45687813"/>
    <w:rsid w:val="4571374F"/>
    <w:rsid w:val="458B1BB0"/>
    <w:rsid w:val="45A41560"/>
    <w:rsid w:val="45AD31D6"/>
    <w:rsid w:val="45B93426"/>
    <w:rsid w:val="45CF1361"/>
    <w:rsid w:val="45E614B8"/>
    <w:rsid w:val="464C6420"/>
    <w:rsid w:val="46552F9B"/>
    <w:rsid w:val="467A0297"/>
    <w:rsid w:val="468B7125"/>
    <w:rsid w:val="469D1499"/>
    <w:rsid w:val="46B506EF"/>
    <w:rsid w:val="46C4691F"/>
    <w:rsid w:val="46CB53EF"/>
    <w:rsid w:val="46EE513F"/>
    <w:rsid w:val="470F5A71"/>
    <w:rsid w:val="473154FF"/>
    <w:rsid w:val="47685427"/>
    <w:rsid w:val="476C4065"/>
    <w:rsid w:val="476E54FC"/>
    <w:rsid w:val="4779499C"/>
    <w:rsid w:val="477B6530"/>
    <w:rsid w:val="47801172"/>
    <w:rsid w:val="479003E6"/>
    <w:rsid w:val="479D1D34"/>
    <w:rsid w:val="47B609C0"/>
    <w:rsid w:val="47EC3B04"/>
    <w:rsid w:val="47EC6277"/>
    <w:rsid w:val="48021483"/>
    <w:rsid w:val="481A219B"/>
    <w:rsid w:val="481F394C"/>
    <w:rsid w:val="482D31EA"/>
    <w:rsid w:val="48447D02"/>
    <w:rsid w:val="485970A0"/>
    <w:rsid w:val="486A6E89"/>
    <w:rsid w:val="48823516"/>
    <w:rsid w:val="48877686"/>
    <w:rsid w:val="488B498B"/>
    <w:rsid w:val="48B176C2"/>
    <w:rsid w:val="48B65C71"/>
    <w:rsid w:val="48D550F0"/>
    <w:rsid w:val="48FB1909"/>
    <w:rsid w:val="49022A62"/>
    <w:rsid w:val="49105FB2"/>
    <w:rsid w:val="491F266E"/>
    <w:rsid w:val="492E6A57"/>
    <w:rsid w:val="495839AA"/>
    <w:rsid w:val="49700A6F"/>
    <w:rsid w:val="49771AFE"/>
    <w:rsid w:val="49802948"/>
    <w:rsid w:val="4986089F"/>
    <w:rsid w:val="498B5309"/>
    <w:rsid w:val="499F0AAB"/>
    <w:rsid w:val="49C154CE"/>
    <w:rsid w:val="49C33FF5"/>
    <w:rsid w:val="49DB11EC"/>
    <w:rsid w:val="49E31DD1"/>
    <w:rsid w:val="4A0030EE"/>
    <w:rsid w:val="4A0568D6"/>
    <w:rsid w:val="4A0B58F7"/>
    <w:rsid w:val="4A0C4F3C"/>
    <w:rsid w:val="4A162478"/>
    <w:rsid w:val="4A171EC9"/>
    <w:rsid w:val="4A1A1689"/>
    <w:rsid w:val="4A484D41"/>
    <w:rsid w:val="4A6D15F8"/>
    <w:rsid w:val="4A7617B6"/>
    <w:rsid w:val="4A8C4FB8"/>
    <w:rsid w:val="4A9A25BD"/>
    <w:rsid w:val="4A9E0551"/>
    <w:rsid w:val="4AA16210"/>
    <w:rsid w:val="4AB542AE"/>
    <w:rsid w:val="4AD110DC"/>
    <w:rsid w:val="4AF72FEA"/>
    <w:rsid w:val="4B1477B3"/>
    <w:rsid w:val="4B1F062C"/>
    <w:rsid w:val="4B243D9D"/>
    <w:rsid w:val="4B281425"/>
    <w:rsid w:val="4B446F88"/>
    <w:rsid w:val="4B515E20"/>
    <w:rsid w:val="4B6F66A1"/>
    <w:rsid w:val="4B85213F"/>
    <w:rsid w:val="4B8C2DEB"/>
    <w:rsid w:val="4BB32947"/>
    <w:rsid w:val="4BFA3C9F"/>
    <w:rsid w:val="4BFA7F6C"/>
    <w:rsid w:val="4C04539B"/>
    <w:rsid w:val="4C107F48"/>
    <w:rsid w:val="4C3117D0"/>
    <w:rsid w:val="4C3277BC"/>
    <w:rsid w:val="4C5C442D"/>
    <w:rsid w:val="4C6D42A9"/>
    <w:rsid w:val="4C716A38"/>
    <w:rsid w:val="4CC0351C"/>
    <w:rsid w:val="4CC353EB"/>
    <w:rsid w:val="4CE64E14"/>
    <w:rsid w:val="4CE95EE5"/>
    <w:rsid w:val="4CF36F3C"/>
    <w:rsid w:val="4D003923"/>
    <w:rsid w:val="4D007BC8"/>
    <w:rsid w:val="4D0602E5"/>
    <w:rsid w:val="4D1470BD"/>
    <w:rsid w:val="4D154882"/>
    <w:rsid w:val="4D1C3C50"/>
    <w:rsid w:val="4D603399"/>
    <w:rsid w:val="4D6A7284"/>
    <w:rsid w:val="4D6E30E1"/>
    <w:rsid w:val="4D732CDE"/>
    <w:rsid w:val="4D867EE1"/>
    <w:rsid w:val="4D936368"/>
    <w:rsid w:val="4DBC2F88"/>
    <w:rsid w:val="4DBC4C65"/>
    <w:rsid w:val="4DC57B24"/>
    <w:rsid w:val="4DC9105D"/>
    <w:rsid w:val="4DE2009B"/>
    <w:rsid w:val="4DE67D39"/>
    <w:rsid w:val="4DF86974"/>
    <w:rsid w:val="4E0F235E"/>
    <w:rsid w:val="4E157689"/>
    <w:rsid w:val="4E471216"/>
    <w:rsid w:val="4E533FA5"/>
    <w:rsid w:val="4E550010"/>
    <w:rsid w:val="4E5F14CB"/>
    <w:rsid w:val="4E6808B0"/>
    <w:rsid w:val="4E6F61BB"/>
    <w:rsid w:val="4E780BC4"/>
    <w:rsid w:val="4E932630"/>
    <w:rsid w:val="4EBA42F2"/>
    <w:rsid w:val="4EC00DDD"/>
    <w:rsid w:val="4ED908C5"/>
    <w:rsid w:val="4EF03291"/>
    <w:rsid w:val="4EF265BE"/>
    <w:rsid w:val="4EFB1C45"/>
    <w:rsid w:val="4F006555"/>
    <w:rsid w:val="4F0C2A48"/>
    <w:rsid w:val="4F1557E9"/>
    <w:rsid w:val="4F155B1D"/>
    <w:rsid w:val="4F1F5AFB"/>
    <w:rsid w:val="4F26273B"/>
    <w:rsid w:val="4F2D3A8A"/>
    <w:rsid w:val="4F32478A"/>
    <w:rsid w:val="4F3705F8"/>
    <w:rsid w:val="4F6841B5"/>
    <w:rsid w:val="4F8D71B7"/>
    <w:rsid w:val="4F913A9A"/>
    <w:rsid w:val="4F953DF5"/>
    <w:rsid w:val="4F9714A0"/>
    <w:rsid w:val="4F971E04"/>
    <w:rsid w:val="4FAA3F91"/>
    <w:rsid w:val="4FAC3540"/>
    <w:rsid w:val="4FCF1583"/>
    <w:rsid w:val="4FD23E66"/>
    <w:rsid w:val="4FD44D1B"/>
    <w:rsid w:val="4FDC066D"/>
    <w:rsid w:val="4FFA7625"/>
    <w:rsid w:val="500D17E4"/>
    <w:rsid w:val="50453E7E"/>
    <w:rsid w:val="504A308F"/>
    <w:rsid w:val="50594CF7"/>
    <w:rsid w:val="507D2599"/>
    <w:rsid w:val="5096229D"/>
    <w:rsid w:val="509E157D"/>
    <w:rsid w:val="50A6165E"/>
    <w:rsid w:val="50C6167B"/>
    <w:rsid w:val="50DC4184"/>
    <w:rsid w:val="50FB6146"/>
    <w:rsid w:val="512F4CA0"/>
    <w:rsid w:val="51361FFF"/>
    <w:rsid w:val="513D4C38"/>
    <w:rsid w:val="513F0557"/>
    <w:rsid w:val="514C3EA7"/>
    <w:rsid w:val="51AC4D00"/>
    <w:rsid w:val="51FF3C99"/>
    <w:rsid w:val="520038E0"/>
    <w:rsid w:val="522A20E4"/>
    <w:rsid w:val="52363D4D"/>
    <w:rsid w:val="524A2AC9"/>
    <w:rsid w:val="52521A20"/>
    <w:rsid w:val="52611934"/>
    <w:rsid w:val="528604EC"/>
    <w:rsid w:val="528D71FE"/>
    <w:rsid w:val="529E2C3A"/>
    <w:rsid w:val="52AC4ABC"/>
    <w:rsid w:val="52C201B9"/>
    <w:rsid w:val="52E57A12"/>
    <w:rsid w:val="52F20B62"/>
    <w:rsid w:val="531C4FCC"/>
    <w:rsid w:val="533526C5"/>
    <w:rsid w:val="53827E49"/>
    <w:rsid w:val="538A6BB9"/>
    <w:rsid w:val="539964FD"/>
    <w:rsid w:val="539C1B81"/>
    <w:rsid w:val="539D7755"/>
    <w:rsid w:val="53A447B1"/>
    <w:rsid w:val="53AE750F"/>
    <w:rsid w:val="53B87EF5"/>
    <w:rsid w:val="53D224B3"/>
    <w:rsid w:val="53F81D96"/>
    <w:rsid w:val="541B16EF"/>
    <w:rsid w:val="541D5DE8"/>
    <w:rsid w:val="541F57C4"/>
    <w:rsid w:val="54466EAF"/>
    <w:rsid w:val="544B5214"/>
    <w:rsid w:val="546C487B"/>
    <w:rsid w:val="546F3C12"/>
    <w:rsid w:val="546F523C"/>
    <w:rsid w:val="54782FBD"/>
    <w:rsid w:val="5483138F"/>
    <w:rsid w:val="5488523A"/>
    <w:rsid w:val="549A6BFA"/>
    <w:rsid w:val="54A25BAE"/>
    <w:rsid w:val="54C341E7"/>
    <w:rsid w:val="54D933CD"/>
    <w:rsid w:val="551534A6"/>
    <w:rsid w:val="551751CF"/>
    <w:rsid w:val="5522558F"/>
    <w:rsid w:val="55244D7F"/>
    <w:rsid w:val="55305397"/>
    <w:rsid w:val="55362287"/>
    <w:rsid w:val="55432F3C"/>
    <w:rsid w:val="55A37FFD"/>
    <w:rsid w:val="55AE22F1"/>
    <w:rsid w:val="55C3227E"/>
    <w:rsid w:val="55CE1AA9"/>
    <w:rsid w:val="55D57DD9"/>
    <w:rsid w:val="55F6381F"/>
    <w:rsid w:val="55FA2961"/>
    <w:rsid w:val="5602250F"/>
    <w:rsid w:val="564220BA"/>
    <w:rsid w:val="565E7F4F"/>
    <w:rsid w:val="565F3DA6"/>
    <w:rsid w:val="568820F8"/>
    <w:rsid w:val="56914056"/>
    <w:rsid w:val="56B61E36"/>
    <w:rsid w:val="56C36589"/>
    <w:rsid w:val="570D55B0"/>
    <w:rsid w:val="570E7882"/>
    <w:rsid w:val="57293C95"/>
    <w:rsid w:val="572A6381"/>
    <w:rsid w:val="572B41B4"/>
    <w:rsid w:val="57365868"/>
    <w:rsid w:val="573C1959"/>
    <w:rsid w:val="57554571"/>
    <w:rsid w:val="57CE7728"/>
    <w:rsid w:val="57DD2F4B"/>
    <w:rsid w:val="57F65317"/>
    <w:rsid w:val="57FC2169"/>
    <w:rsid w:val="58024015"/>
    <w:rsid w:val="58096275"/>
    <w:rsid w:val="5812508D"/>
    <w:rsid w:val="5819544F"/>
    <w:rsid w:val="58246AF8"/>
    <w:rsid w:val="582D6D32"/>
    <w:rsid w:val="582E6289"/>
    <w:rsid w:val="582E6EF7"/>
    <w:rsid w:val="583449B9"/>
    <w:rsid w:val="584E30E6"/>
    <w:rsid w:val="58546EFD"/>
    <w:rsid w:val="587F3347"/>
    <w:rsid w:val="5881703E"/>
    <w:rsid w:val="58920462"/>
    <w:rsid w:val="58D02EC2"/>
    <w:rsid w:val="58E26731"/>
    <w:rsid w:val="58EB1371"/>
    <w:rsid w:val="58F94861"/>
    <w:rsid w:val="590200AD"/>
    <w:rsid w:val="59091D98"/>
    <w:rsid w:val="590E4A97"/>
    <w:rsid w:val="591250FF"/>
    <w:rsid w:val="5920012C"/>
    <w:rsid w:val="593700E7"/>
    <w:rsid w:val="593B3081"/>
    <w:rsid w:val="595578DE"/>
    <w:rsid w:val="59704905"/>
    <w:rsid w:val="597B384D"/>
    <w:rsid w:val="59996DA8"/>
    <w:rsid w:val="59C30F1B"/>
    <w:rsid w:val="59CB31C2"/>
    <w:rsid w:val="59CE4759"/>
    <w:rsid w:val="59D374BB"/>
    <w:rsid w:val="59D90B78"/>
    <w:rsid w:val="5A7D2800"/>
    <w:rsid w:val="5A814766"/>
    <w:rsid w:val="5A8C20D0"/>
    <w:rsid w:val="5AB368DA"/>
    <w:rsid w:val="5ABC29E4"/>
    <w:rsid w:val="5AC33ACA"/>
    <w:rsid w:val="5AC7121C"/>
    <w:rsid w:val="5AC93FB2"/>
    <w:rsid w:val="5AD90B8D"/>
    <w:rsid w:val="5AE12927"/>
    <w:rsid w:val="5AE35472"/>
    <w:rsid w:val="5AF41CF3"/>
    <w:rsid w:val="5AF87CC9"/>
    <w:rsid w:val="5AFE1DDF"/>
    <w:rsid w:val="5B07329F"/>
    <w:rsid w:val="5B3D5A83"/>
    <w:rsid w:val="5B4E1A44"/>
    <w:rsid w:val="5B873201"/>
    <w:rsid w:val="5B967767"/>
    <w:rsid w:val="5B9D1624"/>
    <w:rsid w:val="5BBF73E2"/>
    <w:rsid w:val="5BDB5443"/>
    <w:rsid w:val="5BEE5378"/>
    <w:rsid w:val="5C0C2FF6"/>
    <w:rsid w:val="5C1241CC"/>
    <w:rsid w:val="5C21051F"/>
    <w:rsid w:val="5C255665"/>
    <w:rsid w:val="5C286807"/>
    <w:rsid w:val="5C34339E"/>
    <w:rsid w:val="5C355656"/>
    <w:rsid w:val="5C370E72"/>
    <w:rsid w:val="5C446BC8"/>
    <w:rsid w:val="5C4B56E1"/>
    <w:rsid w:val="5C657C3C"/>
    <w:rsid w:val="5C7146B1"/>
    <w:rsid w:val="5C7C2768"/>
    <w:rsid w:val="5CAD3BC1"/>
    <w:rsid w:val="5CAE62DC"/>
    <w:rsid w:val="5CB23AE6"/>
    <w:rsid w:val="5CED5863"/>
    <w:rsid w:val="5D0D6DF5"/>
    <w:rsid w:val="5D3046F0"/>
    <w:rsid w:val="5D4A5E05"/>
    <w:rsid w:val="5D580A8A"/>
    <w:rsid w:val="5D7E6D71"/>
    <w:rsid w:val="5D893B14"/>
    <w:rsid w:val="5DB42C29"/>
    <w:rsid w:val="5DC8396A"/>
    <w:rsid w:val="5DCC079E"/>
    <w:rsid w:val="5DE63674"/>
    <w:rsid w:val="5DE91F07"/>
    <w:rsid w:val="5E1219F7"/>
    <w:rsid w:val="5E1377F0"/>
    <w:rsid w:val="5E18541D"/>
    <w:rsid w:val="5E291636"/>
    <w:rsid w:val="5E48511F"/>
    <w:rsid w:val="5E655B72"/>
    <w:rsid w:val="5E8B0770"/>
    <w:rsid w:val="5EA06921"/>
    <w:rsid w:val="5EBA259F"/>
    <w:rsid w:val="5EE1082B"/>
    <w:rsid w:val="5EE97BB4"/>
    <w:rsid w:val="5EEC63F2"/>
    <w:rsid w:val="5EF55BC9"/>
    <w:rsid w:val="5F056BF5"/>
    <w:rsid w:val="5F085DDA"/>
    <w:rsid w:val="5F2E2D52"/>
    <w:rsid w:val="5F54198B"/>
    <w:rsid w:val="5F644A0F"/>
    <w:rsid w:val="5F6C74C2"/>
    <w:rsid w:val="5F9D1350"/>
    <w:rsid w:val="5FA44AD1"/>
    <w:rsid w:val="5FAF380A"/>
    <w:rsid w:val="5FBE370A"/>
    <w:rsid w:val="5FC61F2E"/>
    <w:rsid w:val="5FC83407"/>
    <w:rsid w:val="5FD56E87"/>
    <w:rsid w:val="5FF0558C"/>
    <w:rsid w:val="60015A45"/>
    <w:rsid w:val="601A27F4"/>
    <w:rsid w:val="60292845"/>
    <w:rsid w:val="606F2632"/>
    <w:rsid w:val="6071543B"/>
    <w:rsid w:val="607921FE"/>
    <w:rsid w:val="607E12CC"/>
    <w:rsid w:val="608F62AE"/>
    <w:rsid w:val="60B9251B"/>
    <w:rsid w:val="60D45B6B"/>
    <w:rsid w:val="60E236C1"/>
    <w:rsid w:val="60E37983"/>
    <w:rsid w:val="60F4333C"/>
    <w:rsid w:val="61073325"/>
    <w:rsid w:val="61260B6B"/>
    <w:rsid w:val="612B3ABB"/>
    <w:rsid w:val="612E1A5D"/>
    <w:rsid w:val="614E5D7E"/>
    <w:rsid w:val="615B7868"/>
    <w:rsid w:val="61816046"/>
    <w:rsid w:val="61A73945"/>
    <w:rsid w:val="61BD04E4"/>
    <w:rsid w:val="61C202B7"/>
    <w:rsid w:val="61C81AB1"/>
    <w:rsid w:val="61CD1128"/>
    <w:rsid w:val="61D57DCD"/>
    <w:rsid w:val="61D71578"/>
    <w:rsid w:val="61F40AF3"/>
    <w:rsid w:val="61FF3FD4"/>
    <w:rsid w:val="620B0059"/>
    <w:rsid w:val="621A505A"/>
    <w:rsid w:val="62391564"/>
    <w:rsid w:val="624A22BE"/>
    <w:rsid w:val="6263230B"/>
    <w:rsid w:val="626E235A"/>
    <w:rsid w:val="626F60D5"/>
    <w:rsid w:val="627719F9"/>
    <w:rsid w:val="62816669"/>
    <w:rsid w:val="6282086D"/>
    <w:rsid w:val="62820D2A"/>
    <w:rsid w:val="629007F7"/>
    <w:rsid w:val="62AB4D99"/>
    <w:rsid w:val="62B36CD7"/>
    <w:rsid w:val="62BA0953"/>
    <w:rsid w:val="62C90300"/>
    <w:rsid w:val="62D03A7C"/>
    <w:rsid w:val="62F42FAE"/>
    <w:rsid w:val="62F648FE"/>
    <w:rsid w:val="63167A4F"/>
    <w:rsid w:val="631B5A25"/>
    <w:rsid w:val="631D2BD6"/>
    <w:rsid w:val="6350078C"/>
    <w:rsid w:val="635356F3"/>
    <w:rsid w:val="637B5F1A"/>
    <w:rsid w:val="637C13C3"/>
    <w:rsid w:val="637D5B70"/>
    <w:rsid w:val="63825E77"/>
    <w:rsid w:val="63A10995"/>
    <w:rsid w:val="63C23EFA"/>
    <w:rsid w:val="63C30789"/>
    <w:rsid w:val="63D255DA"/>
    <w:rsid w:val="63EB2168"/>
    <w:rsid w:val="63F854C1"/>
    <w:rsid w:val="63F87A13"/>
    <w:rsid w:val="63FB5857"/>
    <w:rsid w:val="64076B79"/>
    <w:rsid w:val="640B7654"/>
    <w:rsid w:val="64116D46"/>
    <w:rsid w:val="643A070A"/>
    <w:rsid w:val="64410A96"/>
    <w:rsid w:val="644C573D"/>
    <w:rsid w:val="64507EFB"/>
    <w:rsid w:val="645667E8"/>
    <w:rsid w:val="645B540D"/>
    <w:rsid w:val="64D950B7"/>
    <w:rsid w:val="65032F85"/>
    <w:rsid w:val="651304A7"/>
    <w:rsid w:val="65136B50"/>
    <w:rsid w:val="651915C4"/>
    <w:rsid w:val="65220379"/>
    <w:rsid w:val="65257659"/>
    <w:rsid w:val="6531690D"/>
    <w:rsid w:val="65320485"/>
    <w:rsid w:val="655A12F3"/>
    <w:rsid w:val="657867D3"/>
    <w:rsid w:val="657E2A35"/>
    <w:rsid w:val="65821E8E"/>
    <w:rsid w:val="65A94E9D"/>
    <w:rsid w:val="65B96B3F"/>
    <w:rsid w:val="65BE1071"/>
    <w:rsid w:val="65C60A92"/>
    <w:rsid w:val="65DB19DF"/>
    <w:rsid w:val="65F26ABC"/>
    <w:rsid w:val="660451CE"/>
    <w:rsid w:val="6618187B"/>
    <w:rsid w:val="664B3BEB"/>
    <w:rsid w:val="665346B7"/>
    <w:rsid w:val="667C7CCE"/>
    <w:rsid w:val="667C7FC1"/>
    <w:rsid w:val="66A12460"/>
    <w:rsid w:val="66BE1E78"/>
    <w:rsid w:val="66BE2423"/>
    <w:rsid w:val="66DD6702"/>
    <w:rsid w:val="66E856F1"/>
    <w:rsid w:val="66FB0BAD"/>
    <w:rsid w:val="671B1623"/>
    <w:rsid w:val="671E6EBA"/>
    <w:rsid w:val="6731269C"/>
    <w:rsid w:val="675352AA"/>
    <w:rsid w:val="6759400B"/>
    <w:rsid w:val="675E528D"/>
    <w:rsid w:val="676C598C"/>
    <w:rsid w:val="678C32CE"/>
    <w:rsid w:val="678D37DC"/>
    <w:rsid w:val="67966EFB"/>
    <w:rsid w:val="679E7FA1"/>
    <w:rsid w:val="67A32389"/>
    <w:rsid w:val="67B768D0"/>
    <w:rsid w:val="67C779FD"/>
    <w:rsid w:val="67C85DAF"/>
    <w:rsid w:val="68281CFE"/>
    <w:rsid w:val="682A2352"/>
    <w:rsid w:val="682A2630"/>
    <w:rsid w:val="682E4A5B"/>
    <w:rsid w:val="682E7AFD"/>
    <w:rsid w:val="68707071"/>
    <w:rsid w:val="68753C89"/>
    <w:rsid w:val="687A4379"/>
    <w:rsid w:val="687B015C"/>
    <w:rsid w:val="687E3889"/>
    <w:rsid w:val="6884222C"/>
    <w:rsid w:val="68847094"/>
    <w:rsid w:val="689B070B"/>
    <w:rsid w:val="68A50DFA"/>
    <w:rsid w:val="68A957C8"/>
    <w:rsid w:val="68AD17BB"/>
    <w:rsid w:val="68D6620B"/>
    <w:rsid w:val="68D94D22"/>
    <w:rsid w:val="68F06F2B"/>
    <w:rsid w:val="69011241"/>
    <w:rsid w:val="690903FD"/>
    <w:rsid w:val="692B2E4A"/>
    <w:rsid w:val="692E7E56"/>
    <w:rsid w:val="696A0B34"/>
    <w:rsid w:val="696A4AE4"/>
    <w:rsid w:val="69821807"/>
    <w:rsid w:val="698D6A17"/>
    <w:rsid w:val="699026E3"/>
    <w:rsid w:val="69971601"/>
    <w:rsid w:val="699E0BED"/>
    <w:rsid w:val="699F0522"/>
    <w:rsid w:val="69D37590"/>
    <w:rsid w:val="69D4450C"/>
    <w:rsid w:val="69F617D8"/>
    <w:rsid w:val="69F954C1"/>
    <w:rsid w:val="6A1E1E73"/>
    <w:rsid w:val="6A2031B6"/>
    <w:rsid w:val="6A2F57D7"/>
    <w:rsid w:val="6A3924BB"/>
    <w:rsid w:val="6A3C1D40"/>
    <w:rsid w:val="6A6432E1"/>
    <w:rsid w:val="6AA23DFF"/>
    <w:rsid w:val="6AAA6F38"/>
    <w:rsid w:val="6AC61F6F"/>
    <w:rsid w:val="6AD34E53"/>
    <w:rsid w:val="6AD83EA1"/>
    <w:rsid w:val="6ADE74F0"/>
    <w:rsid w:val="6B1D62E8"/>
    <w:rsid w:val="6B6A0970"/>
    <w:rsid w:val="6B723594"/>
    <w:rsid w:val="6B7A509E"/>
    <w:rsid w:val="6B805156"/>
    <w:rsid w:val="6B8D05D7"/>
    <w:rsid w:val="6B945E48"/>
    <w:rsid w:val="6B974A7B"/>
    <w:rsid w:val="6BCB07E7"/>
    <w:rsid w:val="6BD50977"/>
    <w:rsid w:val="6BE450D3"/>
    <w:rsid w:val="6BE60C84"/>
    <w:rsid w:val="6C4F0900"/>
    <w:rsid w:val="6C6C32E1"/>
    <w:rsid w:val="6C6E3E15"/>
    <w:rsid w:val="6C8B1F5D"/>
    <w:rsid w:val="6CA85D3A"/>
    <w:rsid w:val="6CAA3931"/>
    <w:rsid w:val="6CE2512E"/>
    <w:rsid w:val="6CE452CA"/>
    <w:rsid w:val="6CEA06D7"/>
    <w:rsid w:val="6CF70607"/>
    <w:rsid w:val="6D1159A2"/>
    <w:rsid w:val="6D325918"/>
    <w:rsid w:val="6D3933CA"/>
    <w:rsid w:val="6D401810"/>
    <w:rsid w:val="6D6261FE"/>
    <w:rsid w:val="6D69318D"/>
    <w:rsid w:val="6D7B222A"/>
    <w:rsid w:val="6D7B61EC"/>
    <w:rsid w:val="6D8131D3"/>
    <w:rsid w:val="6D8E03AA"/>
    <w:rsid w:val="6D967C55"/>
    <w:rsid w:val="6DBB089F"/>
    <w:rsid w:val="6DC63038"/>
    <w:rsid w:val="6DDC5608"/>
    <w:rsid w:val="6DE30DE0"/>
    <w:rsid w:val="6DE6130A"/>
    <w:rsid w:val="6E09491E"/>
    <w:rsid w:val="6E0D3655"/>
    <w:rsid w:val="6E1A437E"/>
    <w:rsid w:val="6E3A144E"/>
    <w:rsid w:val="6E5606D3"/>
    <w:rsid w:val="6E5F4465"/>
    <w:rsid w:val="6E6C2C5C"/>
    <w:rsid w:val="6E8B1663"/>
    <w:rsid w:val="6E8C54DA"/>
    <w:rsid w:val="6EB12AAE"/>
    <w:rsid w:val="6EB752BD"/>
    <w:rsid w:val="6ED220FA"/>
    <w:rsid w:val="6EDE2373"/>
    <w:rsid w:val="6EF11E03"/>
    <w:rsid w:val="6EF1241D"/>
    <w:rsid w:val="6EF82916"/>
    <w:rsid w:val="6F0B2DE7"/>
    <w:rsid w:val="6F111C62"/>
    <w:rsid w:val="6F2176E5"/>
    <w:rsid w:val="6F3A2A5F"/>
    <w:rsid w:val="6F4F7F03"/>
    <w:rsid w:val="6F5523A2"/>
    <w:rsid w:val="6F592303"/>
    <w:rsid w:val="6F5F5B74"/>
    <w:rsid w:val="6F605019"/>
    <w:rsid w:val="6F682400"/>
    <w:rsid w:val="6F9600A4"/>
    <w:rsid w:val="6F98032D"/>
    <w:rsid w:val="6F9B1C65"/>
    <w:rsid w:val="6FA44937"/>
    <w:rsid w:val="6FAD3FB9"/>
    <w:rsid w:val="6FB579A0"/>
    <w:rsid w:val="6FE82C9C"/>
    <w:rsid w:val="6FFB146E"/>
    <w:rsid w:val="70015EBD"/>
    <w:rsid w:val="70160742"/>
    <w:rsid w:val="7030610F"/>
    <w:rsid w:val="70612DB4"/>
    <w:rsid w:val="706516C3"/>
    <w:rsid w:val="70660714"/>
    <w:rsid w:val="706E0500"/>
    <w:rsid w:val="70896E68"/>
    <w:rsid w:val="708A4844"/>
    <w:rsid w:val="70B110C3"/>
    <w:rsid w:val="70C94DCA"/>
    <w:rsid w:val="70E01E87"/>
    <w:rsid w:val="70E05E9D"/>
    <w:rsid w:val="71073061"/>
    <w:rsid w:val="711A201F"/>
    <w:rsid w:val="71215AE9"/>
    <w:rsid w:val="712864E5"/>
    <w:rsid w:val="71396ACC"/>
    <w:rsid w:val="715932EF"/>
    <w:rsid w:val="715B60E9"/>
    <w:rsid w:val="716F0EE9"/>
    <w:rsid w:val="718B5455"/>
    <w:rsid w:val="7196674D"/>
    <w:rsid w:val="719E245E"/>
    <w:rsid w:val="71B90F93"/>
    <w:rsid w:val="71BA3FE5"/>
    <w:rsid w:val="71EA1FED"/>
    <w:rsid w:val="72055C4D"/>
    <w:rsid w:val="72165C6B"/>
    <w:rsid w:val="722021E3"/>
    <w:rsid w:val="72290340"/>
    <w:rsid w:val="722C6DDA"/>
    <w:rsid w:val="72515945"/>
    <w:rsid w:val="725B45B6"/>
    <w:rsid w:val="729243CB"/>
    <w:rsid w:val="72941CDB"/>
    <w:rsid w:val="72E661B1"/>
    <w:rsid w:val="730313F6"/>
    <w:rsid w:val="730E4732"/>
    <w:rsid w:val="73370D24"/>
    <w:rsid w:val="73397FB3"/>
    <w:rsid w:val="73472C84"/>
    <w:rsid w:val="7359268C"/>
    <w:rsid w:val="735F327A"/>
    <w:rsid w:val="7366631C"/>
    <w:rsid w:val="736C263C"/>
    <w:rsid w:val="73723640"/>
    <w:rsid w:val="737311F5"/>
    <w:rsid w:val="739503EB"/>
    <w:rsid w:val="73A05B28"/>
    <w:rsid w:val="73BA4C48"/>
    <w:rsid w:val="73C07D69"/>
    <w:rsid w:val="73C979D4"/>
    <w:rsid w:val="73CC3406"/>
    <w:rsid w:val="73DC335B"/>
    <w:rsid w:val="740B60EC"/>
    <w:rsid w:val="74203C93"/>
    <w:rsid w:val="745C3310"/>
    <w:rsid w:val="745E7D35"/>
    <w:rsid w:val="7465362D"/>
    <w:rsid w:val="7475188D"/>
    <w:rsid w:val="749E16A8"/>
    <w:rsid w:val="74B42AE4"/>
    <w:rsid w:val="74B61B8B"/>
    <w:rsid w:val="74C54993"/>
    <w:rsid w:val="74D84251"/>
    <w:rsid w:val="74EB68F6"/>
    <w:rsid w:val="750A429D"/>
    <w:rsid w:val="752739E7"/>
    <w:rsid w:val="752D7B49"/>
    <w:rsid w:val="75474B47"/>
    <w:rsid w:val="75533AB0"/>
    <w:rsid w:val="75614792"/>
    <w:rsid w:val="75761866"/>
    <w:rsid w:val="75784473"/>
    <w:rsid w:val="75B10995"/>
    <w:rsid w:val="75B161B3"/>
    <w:rsid w:val="75C95BA7"/>
    <w:rsid w:val="75DC6C44"/>
    <w:rsid w:val="75F05CC0"/>
    <w:rsid w:val="75F2660E"/>
    <w:rsid w:val="762F6A19"/>
    <w:rsid w:val="76341B33"/>
    <w:rsid w:val="76736B32"/>
    <w:rsid w:val="76807C04"/>
    <w:rsid w:val="769C42EE"/>
    <w:rsid w:val="76AF35EE"/>
    <w:rsid w:val="76C27A74"/>
    <w:rsid w:val="76C726A5"/>
    <w:rsid w:val="76CD5077"/>
    <w:rsid w:val="76E3765E"/>
    <w:rsid w:val="76FC2AFA"/>
    <w:rsid w:val="7722255A"/>
    <w:rsid w:val="773027D4"/>
    <w:rsid w:val="77311E52"/>
    <w:rsid w:val="77527424"/>
    <w:rsid w:val="77653671"/>
    <w:rsid w:val="77707007"/>
    <w:rsid w:val="778546CC"/>
    <w:rsid w:val="778B6B46"/>
    <w:rsid w:val="77A337B9"/>
    <w:rsid w:val="77B551B3"/>
    <w:rsid w:val="77B56730"/>
    <w:rsid w:val="77B615CE"/>
    <w:rsid w:val="77B92EBE"/>
    <w:rsid w:val="77C04A8B"/>
    <w:rsid w:val="77D85DB3"/>
    <w:rsid w:val="77EB1B74"/>
    <w:rsid w:val="782A3EA3"/>
    <w:rsid w:val="784513E1"/>
    <w:rsid w:val="78490703"/>
    <w:rsid w:val="786D359C"/>
    <w:rsid w:val="78A50513"/>
    <w:rsid w:val="78C43087"/>
    <w:rsid w:val="78C6029E"/>
    <w:rsid w:val="78D37FAF"/>
    <w:rsid w:val="78EF7AB5"/>
    <w:rsid w:val="78F4343F"/>
    <w:rsid w:val="790D6849"/>
    <w:rsid w:val="795767E3"/>
    <w:rsid w:val="79586707"/>
    <w:rsid w:val="796518DD"/>
    <w:rsid w:val="7967197B"/>
    <w:rsid w:val="79724BEF"/>
    <w:rsid w:val="797264AC"/>
    <w:rsid w:val="79AA0532"/>
    <w:rsid w:val="79FA22BC"/>
    <w:rsid w:val="79FE1DDD"/>
    <w:rsid w:val="7A075767"/>
    <w:rsid w:val="7A0C15B3"/>
    <w:rsid w:val="7A212062"/>
    <w:rsid w:val="7A2522C9"/>
    <w:rsid w:val="7A282A11"/>
    <w:rsid w:val="7A2902FC"/>
    <w:rsid w:val="7A3A59B8"/>
    <w:rsid w:val="7A3C3A9A"/>
    <w:rsid w:val="7A4A422C"/>
    <w:rsid w:val="7A5D0F75"/>
    <w:rsid w:val="7A715CD2"/>
    <w:rsid w:val="7A7824A6"/>
    <w:rsid w:val="7A921E9A"/>
    <w:rsid w:val="7A9E53BF"/>
    <w:rsid w:val="7AA914B9"/>
    <w:rsid w:val="7ABF2475"/>
    <w:rsid w:val="7AC21562"/>
    <w:rsid w:val="7AD474A4"/>
    <w:rsid w:val="7AFC38DE"/>
    <w:rsid w:val="7B303E8C"/>
    <w:rsid w:val="7B7D6B6D"/>
    <w:rsid w:val="7B865D50"/>
    <w:rsid w:val="7B8D34C3"/>
    <w:rsid w:val="7B971D84"/>
    <w:rsid w:val="7BAB0CB7"/>
    <w:rsid w:val="7BB4028F"/>
    <w:rsid w:val="7BC1107E"/>
    <w:rsid w:val="7BF32F03"/>
    <w:rsid w:val="7BF45D0F"/>
    <w:rsid w:val="7BF50D2C"/>
    <w:rsid w:val="7C066F4E"/>
    <w:rsid w:val="7C0F1417"/>
    <w:rsid w:val="7C1724A5"/>
    <w:rsid w:val="7C2A7A42"/>
    <w:rsid w:val="7C4E477F"/>
    <w:rsid w:val="7C8141C6"/>
    <w:rsid w:val="7C8561DF"/>
    <w:rsid w:val="7C941670"/>
    <w:rsid w:val="7CA54112"/>
    <w:rsid w:val="7CA553D9"/>
    <w:rsid w:val="7CAB27F5"/>
    <w:rsid w:val="7CAF438A"/>
    <w:rsid w:val="7CCE726D"/>
    <w:rsid w:val="7CD71EA3"/>
    <w:rsid w:val="7CE50CE4"/>
    <w:rsid w:val="7CE94EE1"/>
    <w:rsid w:val="7CF877E9"/>
    <w:rsid w:val="7CFE2D37"/>
    <w:rsid w:val="7D134762"/>
    <w:rsid w:val="7D244CB3"/>
    <w:rsid w:val="7D2E5ABF"/>
    <w:rsid w:val="7D383835"/>
    <w:rsid w:val="7D4A45B8"/>
    <w:rsid w:val="7D535AC7"/>
    <w:rsid w:val="7D6A3C51"/>
    <w:rsid w:val="7D964A74"/>
    <w:rsid w:val="7DFB43EA"/>
    <w:rsid w:val="7E007625"/>
    <w:rsid w:val="7E0737C8"/>
    <w:rsid w:val="7E131C51"/>
    <w:rsid w:val="7E176B90"/>
    <w:rsid w:val="7E2142A2"/>
    <w:rsid w:val="7E240411"/>
    <w:rsid w:val="7E3F39F1"/>
    <w:rsid w:val="7E48335A"/>
    <w:rsid w:val="7E5B1B8E"/>
    <w:rsid w:val="7E6762C8"/>
    <w:rsid w:val="7E797DE5"/>
    <w:rsid w:val="7E7A584C"/>
    <w:rsid w:val="7E7B0BF2"/>
    <w:rsid w:val="7E837D82"/>
    <w:rsid w:val="7E8D75B6"/>
    <w:rsid w:val="7E8E672B"/>
    <w:rsid w:val="7EA27DDF"/>
    <w:rsid w:val="7EA36E51"/>
    <w:rsid w:val="7EC67BB0"/>
    <w:rsid w:val="7ED809AD"/>
    <w:rsid w:val="7EF760EE"/>
    <w:rsid w:val="7F2536B5"/>
    <w:rsid w:val="7F2A644F"/>
    <w:rsid w:val="7F2C3CE7"/>
    <w:rsid w:val="7F457886"/>
    <w:rsid w:val="7F5A01CA"/>
    <w:rsid w:val="7F75661B"/>
    <w:rsid w:val="7FB17429"/>
    <w:rsid w:val="7FC237CA"/>
    <w:rsid w:val="7FF127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iPriority="99" w:semiHidden="0" w:name="Normal Indent"/>
    <w:lsdException w:qFormat="1"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2">
    <w:name w:val="heading 1"/>
    <w:basedOn w:val="1"/>
    <w:next w:val="1"/>
    <w:link w:val="78"/>
    <w:qFormat/>
    <w:uiPriority w:val="9"/>
    <w:pPr>
      <w:keepNext/>
      <w:keepLines/>
      <w:spacing w:before="340" w:after="330" w:line="576" w:lineRule="auto"/>
      <w:outlineLvl w:val="0"/>
    </w:pPr>
    <w:rPr>
      <w:b/>
      <w:kern w:val="44"/>
      <w:sz w:val="44"/>
    </w:rPr>
  </w:style>
  <w:style w:type="paragraph" w:styleId="3">
    <w:name w:val="heading 2"/>
    <w:basedOn w:val="1"/>
    <w:next w:val="1"/>
    <w:link w:val="4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1"/>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7"/>
    <w:unhideWhenUsed/>
    <w:qFormat/>
    <w:uiPriority w:val="9"/>
    <w:pPr>
      <w:keepNext/>
      <w:keepLines/>
      <w:outlineLvl w:val="3"/>
    </w:pPr>
    <w:rPr>
      <w:rFonts w:asciiTheme="majorHAnsi" w:hAnsiTheme="majorHAnsi" w:cstheme="majorBidi"/>
      <w:b/>
      <w:bCs/>
      <w:sz w:val="24"/>
      <w:szCs w:val="28"/>
    </w:rPr>
  </w:style>
  <w:style w:type="paragraph" w:styleId="6">
    <w:name w:val="heading 5"/>
    <w:basedOn w:val="1"/>
    <w:next w:val="1"/>
    <w:link w:val="77"/>
    <w:semiHidden/>
    <w:unhideWhenUsed/>
    <w:qFormat/>
    <w:uiPriority w:val="9"/>
    <w:pPr>
      <w:keepNext/>
      <w:keepLines/>
      <w:spacing w:before="280" w:after="290" w:line="372" w:lineRule="auto"/>
      <w:outlineLvl w:val="4"/>
    </w:pPr>
    <w:rPr>
      <w:b/>
      <w:sz w:val="28"/>
    </w:rPr>
  </w:style>
  <w:style w:type="paragraph" w:styleId="7">
    <w:name w:val="heading 6"/>
    <w:basedOn w:val="1"/>
    <w:next w:val="1"/>
    <w:semiHidden/>
    <w:unhideWhenUsed/>
    <w:qFormat/>
    <w:uiPriority w:val="0"/>
    <w:pPr>
      <w:keepNext/>
      <w:keepLines/>
      <w:spacing w:before="240" w:after="64" w:line="317" w:lineRule="auto"/>
      <w:outlineLvl w:val="5"/>
    </w:pPr>
    <w:rPr>
      <w:rFonts w:ascii="Arial" w:hAnsi="Arial" w:eastAsia="黑体"/>
      <w:b/>
      <w:sz w:val="24"/>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9">
    <w:name w:val="Normal Indent"/>
    <w:basedOn w:val="1"/>
    <w:unhideWhenUsed/>
    <w:qFormat/>
    <w:uiPriority w:val="99"/>
    <w:pPr>
      <w:widowControl w:val="0"/>
      <w:adjustRightInd/>
      <w:snapToGrid/>
      <w:ind w:firstLine="420" w:firstLineChars="200"/>
      <w:jc w:val="both"/>
    </w:pPr>
    <w:rPr>
      <w:rFonts w:ascii="Times New Roman" w:hAnsi="Times New Roman" w:eastAsia="仿宋" w:cs="Times New Roman"/>
      <w:kern w:val="2"/>
      <w:sz w:val="24"/>
      <w:szCs w:val="24"/>
    </w:rPr>
  </w:style>
  <w:style w:type="paragraph" w:styleId="10">
    <w:name w:val="caption"/>
    <w:basedOn w:val="1"/>
    <w:next w:val="1"/>
    <w:qFormat/>
    <w:uiPriority w:val="0"/>
    <w:rPr>
      <w:rFonts w:ascii="Arial" w:hAnsi="Arial" w:eastAsia="黑体" w:cs="Arial"/>
      <w:sz w:val="20"/>
      <w:szCs w:val="20"/>
    </w:rPr>
  </w:style>
  <w:style w:type="paragraph" w:styleId="11">
    <w:name w:val="annotation text"/>
    <w:basedOn w:val="1"/>
    <w:link w:val="66"/>
    <w:unhideWhenUsed/>
    <w:qFormat/>
    <w:uiPriority w:val="0"/>
  </w:style>
  <w:style w:type="paragraph" w:styleId="12">
    <w:name w:val="Body Text"/>
    <w:basedOn w:val="1"/>
    <w:link w:val="69"/>
    <w:qFormat/>
    <w:uiPriority w:val="1"/>
    <w:pPr>
      <w:spacing w:before="161"/>
      <w:ind w:left="120"/>
    </w:pPr>
    <w:rPr>
      <w:rFonts w:ascii="宋体" w:hAnsi="宋体" w:cs="宋体"/>
      <w:sz w:val="24"/>
      <w:lang w:val="zh-CN" w:bidi="zh-CN"/>
    </w:rPr>
  </w:style>
  <w:style w:type="paragraph" w:styleId="13">
    <w:name w:val="Body Text Indent"/>
    <w:basedOn w:val="14"/>
    <w:qFormat/>
    <w:uiPriority w:val="0"/>
    <w:pPr>
      <w:ind w:left="359" w:leftChars="171" w:firstLine="179" w:firstLineChars="85"/>
    </w:pPr>
    <w:rPr>
      <w:rFonts w:ascii="宋体" w:hAnsi="宋体"/>
      <w:b/>
      <w:bCs/>
      <w:szCs w:val="26"/>
    </w:rPr>
  </w:style>
  <w:style w:type="paragraph" w:customStyle="1" w:styleId="14">
    <w:name w:val="Normal_7_0"/>
    <w:qFormat/>
    <w:uiPriority w:val="0"/>
    <w:pPr>
      <w:widowControl w:val="0"/>
      <w:jc w:val="both"/>
    </w:pPr>
    <w:rPr>
      <w:rFonts w:ascii="宋体" w:hAnsi="宋体" w:eastAsia="宋体" w:cs="宋体"/>
      <w:lang w:val="en-US" w:eastAsia="zh-CN" w:bidi="ar-SA"/>
    </w:rPr>
  </w:style>
  <w:style w:type="paragraph" w:styleId="15">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6">
    <w:name w:val="toc 3"/>
    <w:basedOn w:val="1"/>
    <w:next w:val="1"/>
    <w:unhideWhenUsed/>
    <w:qFormat/>
    <w:uiPriority w:val="39"/>
    <w:pPr>
      <w:tabs>
        <w:tab w:val="right" w:leader="dot" w:pos="8296"/>
      </w:tabs>
      <w:ind w:left="838" w:leftChars="381"/>
    </w:pPr>
    <w:rPr>
      <w:szCs w:val="21"/>
    </w:rPr>
  </w:style>
  <w:style w:type="paragraph" w:styleId="17">
    <w:name w:val="Plain Text"/>
    <w:basedOn w:val="1"/>
    <w:link w:val="58"/>
    <w:qFormat/>
    <w:uiPriority w:val="0"/>
    <w:pPr>
      <w:widowControl w:val="0"/>
      <w:adjustRightInd/>
      <w:snapToGrid/>
      <w:jc w:val="both"/>
    </w:pPr>
    <w:rPr>
      <w:rFonts w:ascii="宋体" w:hAnsi="Courier New" w:cs="Times New Roman"/>
      <w:b/>
      <w:kern w:val="2"/>
      <w:szCs w:val="20"/>
    </w:rPr>
  </w:style>
  <w:style w:type="paragraph" w:styleId="18">
    <w:name w:val="toc 8"/>
    <w:basedOn w:val="1"/>
    <w:next w:val="1"/>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9">
    <w:name w:val="Balloon Text"/>
    <w:basedOn w:val="1"/>
    <w:link w:val="61"/>
    <w:semiHidden/>
    <w:unhideWhenUsed/>
    <w:qFormat/>
    <w:uiPriority w:val="99"/>
    <w:rPr>
      <w:sz w:val="18"/>
      <w:szCs w:val="18"/>
    </w:rPr>
  </w:style>
  <w:style w:type="paragraph" w:styleId="20">
    <w:name w:val="footer"/>
    <w:basedOn w:val="1"/>
    <w:link w:val="60"/>
    <w:unhideWhenUsed/>
    <w:qFormat/>
    <w:uiPriority w:val="99"/>
    <w:pPr>
      <w:tabs>
        <w:tab w:val="center" w:pos="4153"/>
        <w:tab w:val="right" w:pos="8306"/>
      </w:tabs>
    </w:pPr>
    <w:rPr>
      <w:sz w:val="18"/>
      <w:szCs w:val="18"/>
    </w:rPr>
  </w:style>
  <w:style w:type="paragraph" w:styleId="21">
    <w:name w:val="envelope return"/>
    <w:basedOn w:val="1"/>
    <w:qFormat/>
    <w:uiPriority w:val="0"/>
  </w:style>
  <w:style w:type="paragraph" w:styleId="22">
    <w:name w:val="header"/>
    <w:basedOn w:val="1"/>
    <w:link w:val="59"/>
    <w:unhideWhenUsed/>
    <w:qFormat/>
    <w:uiPriority w:val="99"/>
    <w:pPr>
      <w:pBdr>
        <w:bottom w:val="single" w:color="auto" w:sz="6" w:space="1"/>
      </w:pBdr>
      <w:tabs>
        <w:tab w:val="center" w:pos="4153"/>
        <w:tab w:val="right" w:pos="8306"/>
      </w:tabs>
      <w:jc w:val="center"/>
    </w:pPr>
    <w:rPr>
      <w:sz w:val="18"/>
      <w:szCs w:val="18"/>
    </w:rPr>
  </w:style>
  <w:style w:type="paragraph" w:styleId="23">
    <w:name w:val="toc 1"/>
    <w:basedOn w:val="1"/>
    <w:next w:val="1"/>
    <w:unhideWhenUsed/>
    <w:qFormat/>
    <w:uiPriority w:val="39"/>
  </w:style>
  <w:style w:type="paragraph" w:styleId="24">
    <w:name w:val="toc 4"/>
    <w:basedOn w:val="1"/>
    <w:next w:val="1"/>
    <w:unhideWhenUsed/>
    <w:qFormat/>
    <w:uiPriority w:val="39"/>
    <w:pPr>
      <w:tabs>
        <w:tab w:val="right" w:leader="dot" w:pos="8296"/>
      </w:tabs>
      <w:spacing w:after="120"/>
      <w:ind w:left="1320" w:leftChars="600"/>
    </w:pPr>
  </w:style>
  <w:style w:type="paragraph" w:styleId="25">
    <w:name w:val="footnote text"/>
    <w:basedOn w:val="1"/>
    <w:semiHidden/>
    <w:unhideWhenUsed/>
    <w:qFormat/>
    <w:uiPriority w:val="99"/>
    <w:rPr>
      <w:sz w:val="18"/>
    </w:rPr>
  </w:style>
  <w:style w:type="paragraph" w:styleId="26">
    <w:name w:val="toc 6"/>
    <w:basedOn w:val="1"/>
    <w:next w:val="1"/>
    <w:qFormat/>
    <w:uiPriority w:val="39"/>
    <w:pPr>
      <w:ind w:left="1200"/>
    </w:pPr>
    <w:rPr>
      <w:rFonts w:ascii="Calibri" w:cs="Calibri"/>
      <w:sz w:val="18"/>
      <w:szCs w:val="18"/>
    </w:rPr>
  </w:style>
  <w:style w:type="paragraph" w:styleId="27">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28">
    <w:name w:val="toc 9"/>
    <w:basedOn w:val="1"/>
    <w:next w:val="1"/>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29">
    <w:name w:val="Normal (Web)"/>
    <w:basedOn w:val="1"/>
    <w:link w:val="63"/>
    <w:qFormat/>
    <w:uiPriority w:val="0"/>
    <w:pPr>
      <w:widowControl w:val="0"/>
      <w:adjustRightInd/>
      <w:snapToGrid/>
      <w:jc w:val="both"/>
    </w:pPr>
    <w:rPr>
      <w:rFonts w:asciiTheme="minorHAnsi" w:hAnsiTheme="minorHAnsi"/>
      <w:kern w:val="2"/>
      <w:sz w:val="24"/>
      <w:szCs w:val="24"/>
    </w:rPr>
  </w:style>
  <w:style w:type="paragraph" w:styleId="30">
    <w:name w:val="annotation subject"/>
    <w:basedOn w:val="11"/>
    <w:next w:val="11"/>
    <w:link w:val="67"/>
    <w:semiHidden/>
    <w:unhideWhenUsed/>
    <w:qFormat/>
    <w:uiPriority w:val="99"/>
    <w:rPr>
      <w:b/>
      <w:bCs/>
    </w:rPr>
  </w:style>
  <w:style w:type="paragraph" w:styleId="31">
    <w:name w:val="Body Text First Indent 2"/>
    <w:basedOn w:val="13"/>
    <w:next w:val="1"/>
    <w:qFormat/>
    <w:uiPriority w:val="0"/>
    <w:pPr>
      <w:ind w:left="0" w:leftChars="0" w:firstLine="420" w:firstLineChars="200"/>
    </w:pPr>
    <w:rPr>
      <w:rFonts w:ascii="Tahoma" w:hAnsi="Tahoma"/>
      <w:sz w:val="28"/>
    </w:rPr>
  </w:style>
  <w:style w:type="table" w:styleId="33">
    <w:name w:val="Table Grid"/>
    <w:basedOn w:val="3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basedOn w:val="34"/>
    <w:qFormat/>
    <w:uiPriority w:val="22"/>
    <w:rPr>
      <w:b/>
      <w:bCs/>
    </w:rPr>
  </w:style>
  <w:style w:type="character" w:styleId="36">
    <w:name w:val="page number"/>
    <w:basedOn w:val="34"/>
    <w:qFormat/>
    <w:uiPriority w:val="0"/>
  </w:style>
  <w:style w:type="character" w:styleId="37">
    <w:name w:val="Emphasis"/>
    <w:basedOn w:val="34"/>
    <w:qFormat/>
    <w:uiPriority w:val="20"/>
    <w:rPr>
      <w:i/>
      <w:iCs/>
    </w:rPr>
  </w:style>
  <w:style w:type="character" w:styleId="38">
    <w:name w:val="Hyperlink"/>
    <w:qFormat/>
    <w:uiPriority w:val="99"/>
    <w:rPr>
      <w:rFonts w:hint="eastAsia" w:ascii="宋体" w:hAnsi="宋体" w:eastAsia="宋体" w:cs="宋体"/>
      <w:b/>
      <w:color w:val="0031C1"/>
      <w:kern w:val="0"/>
      <w:sz w:val="18"/>
      <w:szCs w:val="18"/>
      <w:u w:val="none"/>
      <w:lang w:eastAsia="en-US"/>
    </w:rPr>
  </w:style>
  <w:style w:type="character" w:styleId="39">
    <w:name w:val="annotation reference"/>
    <w:basedOn w:val="34"/>
    <w:semiHidden/>
    <w:unhideWhenUsed/>
    <w:qFormat/>
    <w:uiPriority w:val="99"/>
    <w:rPr>
      <w:sz w:val="21"/>
      <w:szCs w:val="21"/>
    </w:rPr>
  </w:style>
  <w:style w:type="character" w:styleId="40">
    <w:name w:val="footnote reference"/>
    <w:basedOn w:val="34"/>
    <w:semiHidden/>
    <w:unhideWhenUsed/>
    <w:qFormat/>
    <w:uiPriority w:val="99"/>
    <w:rPr>
      <w:vertAlign w:val="superscript"/>
    </w:rPr>
  </w:style>
  <w:style w:type="character" w:customStyle="1" w:styleId="41">
    <w:name w:val="标题 3 字符"/>
    <w:basedOn w:val="34"/>
    <w:link w:val="4"/>
    <w:qFormat/>
    <w:uiPriority w:val="9"/>
    <w:rPr>
      <w:rFonts w:ascii="Tahoma" w:hAnsi="Tahoma"/>
      <w:b/>
      <w:bCs/>
      <w:sz w:val="32"/>
      <w:szCs w:val="32"/>
    </w:rPr>
  </w:style>
  <w:style w:type="paragraph" w:customStyle="1" w:styleId="42">
    <w:name w:val="Body Text First Indent1"/>
    <w:next w:val="1"/>
    <w:qFormat/>
    <w:uiPriority w:val="0"/>
    <w:pPr>
      <w:widowControl w:val="0"/>
      <w:spacing w:beforeLines="50" w:line="360" w:lineRule="auto"/>
      <w:ind w:firstLine="200" w:firstLineChars="200"/>
      <w:jc w:val="both"/>
    </w:pPr>
    <w:rPr>
      <w:rFonts w:hint="default" w:ascii="Times New Roman" w:hAnsi="Times New Roman" w:eastAsia="宋体" w:cs="Times New Roman"/>
      <w:kern w:val="2"/>
      <w:sz w:val="24"/>
      <w:szCs w:val="24"/>
      <w:lang w:val="en-US" w:eastAsia="zh-CN" w:bidi="ar-SA"/>
    </w:rPr>
  </w:style>
  <w:style w:type="paragraph" w:customStyle="1" w:styleId="43">
    <w:name w:val="样式 正文首行缩进 + 首行缩进:  1 字符"/>
    <w:basedOn w:val="1"/>
    <w:next w:val="1"/>
    <w:qFormat/>
    <w:uiPriority w:val="0"/>
    <w:pPr>
      <w:ind w:firstLine="200" w:firstLineChars="200"/>
    </w:pPr>
    <w:rPr>
      <w:rFonts w:cs="宋体"/>
      <w:szCs w:val="20"/>
    </w:rPr>
  </w:style>
  <w:style w:type="paragraph" w:customStyle="1" w:styleId="44">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45">
    <w:name w:val="标题 2 字符"/>
    <w:basedOn w:val="34"/>
    <w:link w:val="3"/>
    <w:qFormat/>
    <w:uiPriority w:val="9"/>
    <w:rPr>
      <w:rFonts w:asciiTheme="majorHAnsi" w:hAnsiTheme="majorHAnsi" w:eastAsiaTheme="majorEastAsia" w:cstheme="majorBidi"/>
      <w:b/>
      <w:bCs/>
      <w:sz w:val="32"/>
      <w:szCs w:val="32"/>
    </w:rPr>
  </w:style>
  <w:style w:type="paragraph" w:styleId="46">
    <w:name w:val="List Paragraph"/>
    <w:basedOn w:val="1"/>
    <w:link w:val="68"/>
    <w:qFormat/>
    <w:uiPriority w:val="0"/>
    <w:pPr>
      <w:ind w:firstLine="420" w:firstLineChars="200"/>
    </w:pPr>
  </w:style>
  <w:style w:type="character" w:customStyle="1" w:styleId="47">
    <w:name w:val="标题 4 字符"/>
    <w:basedOn w:val="34"/>
    <w:link w:val="5"/>
    <w:qFormat/>
    <w:uiPriority w:val="9"/>
    <w:rPr>
      <w:rFonts w:eastAsia="宋体" w:asciiTheme="majorHAnsi" w:hAnsiTheme="majorHAnsi" w:cstheme="majorBidi"/>
      <w:b/>
      <w:bCs/>
      <w:sz w:val="24"/>
      <w:szCs w:val="28"/>
    </w:rPr>
  </w:style>
  <w:style w:type="character" w:customStyle="1" w:styleId="48">
    <w:name w:val="正文缩进2格 Char"/>
    <w:link w:val="49"/>
    <w:qFormat/>
    <w:uiPriority w:val="0"/>
    <w:rPr>
      <w:rFonts w:ascii="仿宋_GB2312" w:hAnsi="宋体" w:eastAsia="仿宋_GB2312"/>
      <w:kern w:val="2"/>
      <w:sz w:val="31"/>
    </w:rPr>
  </w:style>
  <w:style w:type="paragraph" w:customStyle="1" w:styleId="49">
    <w:name w:val="正文缩进2格"/>
    <w:basedOn w:val="1"/>
    <w:link w:val="48"/>
    <w:qFormat/>
    <w:uiPriority w:val="0"/>
    <w:pPr>
      <w:widowControl w:val="0"/>
      <w:adjustRightInd/>
      <w:snapToGrid/>
      <w:spacing w:line="600" w:lineRule="exact"/>
      <w:ind w:firstLine="639" w:firstLineChars="206"/>
      <w:jc w:val="both"/>
    </w:pPr>
    <w:rPr>
      <w:rFonts w:ascii="仿宋_GB2312" w:hAnsi="宋体" w:eastAsia="仿宋_GB2312"/>
      <w:kern w:val="2"/>
      <w:sz w:val="31"/>
    </w:rPr>
  </w:style>
  <w:style w:type="paragraph" w:customStyle="1" w:styleId="50">
    <w:name w:val="正文缩进4格"/>
    <w:basedOn w:val="49"/>
    <w:qFormat/>
    <w:uiPriority w:val="0"/>
    <w:pPr>
      <w:ind w:left="2" w:firstLine="538" w:firstLineChars="192"/>
    </w:pPr>
    <w:rPr>
      <w:color w:val="0000FF"/>
      <w:sz w:val="28"/>
    </w:rPr>
  </w:style>
  <w:style w:type="character" w:customStyle="1" w:styleId="51">
    <w:name w:val="正文缩进2格 Char Char"/>
    <w:qFormat/>
    <w:uiPriority w:val="0"/>
    <w:rPr>
      <w:rFonts w:ascii="仿宋_GB2312" w:hAnsi="宋体" w:eastAsia="仿宋_GB2312" w:cs="Times New Roman"/>
      <w:b/>
      <w:kern w:val="2"/>
      <w:sz w:val="31"/>
      <w:szCs w:val="28"/>
      <w:lang w:val="en-US" w:eastAsia="zh-CN" w:bidi="ar-SA"/>
    </w:rPr>
  </w:style>
  <w:style w:type="paragraph" w:customStyle="1" w:styleId="52">
    <w:name w:val="_Style 3"/>
    <w:basedOn w:val="1"/>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53">
    <w:name w:val="标题1"/>
    <w:qFormat/>
    <w:uiPriority w:val="0"/>
    <w:rPr>
      <w:rFonts w:ascii="Times New Roman" w:hAnsi="Times New Roman" w:eastAsia="宋体" w:cs="Times New Roman"/>
      <w:b/>
      <w:kern w:val="0"/>
      <w:sz w:val="24"/>
      <w:szCs w:val="20"/>
      <w:lang w:eastAsia="en-US"/>
    </w:rPr>
  </w:style>
  <w:style w:type="character" w:customStyle="1" w:styleId="54">
    <w:name w:val="标题 3.1 Char"/>
    <w:link w:val="55"/>
    <w:qFormat/>
    <w:uiPriority w:val="0"/>
    <w:rPr>
      <w:rFonts w:ascii="宋体" w:hAnsi="宋体" w:eastAsia="宋体"/>
      <w:b/>
      <w:color w:val="FF0000"/>
      <w:kern w:val="2"/>
      <w:sz w:val="32"/>
    </w:rPr>
  </w:style>
  <w:style w:type="paragraph" w:customStyle="1" w:styleId="55">
    <w:name w:val="标题 3.1"/>
    <w:basedOn w:val="4"/>
    <w:link w:val="54"/>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6">
    <w:name w:val="样式 楷体_GB2312 小四"/>
    <w:qFormat/>
    <w:uiPriority w:val="0"/>
    <w:rPr>
      <w:rFonts w:ascii="楷体_GB2312" w:hAnsi="楷体_GB2312" w:eastAsia="仿宋_GB2312"/>
      <w:sz w:val="24"/>
    </w:rPr>
  </w:style>
  <w:style w:type="character" w:customStyle="1" w:styleId="57">
    <w:name w:val="纯文本 Char"/>
    <w:qFormat/>
    <w:uiPriority w:val="0"/>
    <w:rPr>
      <w:rFonts w:ascii="宋体" w:hAnsi="Courier New" w:eastAsia="宋体" w:cs="Times New Roman"/>
      <w:b/>
      <w:kern w:val="2"/>
      <w:sz w:val="21"/>
      <w:szCs w:val="20"/>
    </w:rPr>
  </w:style>
  <w:style w:type="character" w:customStyle="1" w:styleId="58">
    <w:name w:val="纯文本 字符"/>
    <w:basedOn w:val="34"/>
    <w:link w:val="17"/>
    <w:semiHidden/>
    <w:qFormat/>
    <w:uiPriority w:val="99"/>
    <w:rPr>
      <w:rFonts w:ascii="宋体" w:hAnsi="Courier New" w:eastAsia="宋体" w:cs="Courier New"/>
      <w:sz w:val="21"/>
      <w:szCs w:val="21"/>
    </w:rPr>
  </w:style>
  <w:style w:type="character" w:customStyle="1" w:styleId="59">
    <w:name w:val="页眉 字符"/>
    <w:basedOn w:val="34"/>
    <w:link w:val="22"/>
    <w:qFormat/>
    <w:uiPriority w:val="99"/>
    <w:rPr>
      <w:rFonts w:ascii="Tahoma" w:hAnsi="Tahoma"/>
      <w:sz w:val="18"/>
      <w:szCs w:val="18"/>
    </w:rPr>
  </w:style>
  <w:style w:type="character" w:customStyle="1" w:styleId="60">
    <w:name w:val="页脚 字符"/>
    <w:basedOn w:val="34"/>
    <w:link w:val="20"/>
    <w:qFormat/>
    <w:uiPriority w:val="99"/>
    <w:rPr>
      <w:rFonts w:ascii="Tahoma" w:hAnsi="Tahoma"/>
      <w:sz w:val="18"/>
      <w:szCs w:val="18"/>
    </w:rPr>
  </w:style>
  <w:style w:type="character" w:customStyle="1" w:styleId="61">
    <w:name w:val="批注框文本 字符"/>
    <w:basedOn w:val="34"/>
    <w:link w:val="19"/>
    <w:semiHidden/>
    <w:qFormat/>
    <w:uiPriority w:val="99"/>
    <w:rPr>
      <w:rFonts w:ascii="Tahoma" w:hAnsi="Tahoma"/>
      <w:sz w:val="18"/>
      <w:szCs w:val="18"/>
    </w:rPr>
  </w:style>
  <w:style w:type="paragraph" w:customStyle="1" w:styleId="62">
    <w:name w:val="Char Char2 Char"/>
    <w:basedOn w:val="1"/>
    <w:qFormat/>
    <w:uiPriority w:val="0"/>
    <w:pPr>
      <w:widowControl w:val="0"/>
      <w:adjustRightInd/>
      <w:snapToGrid/>
      <w:jc w:val="both"/>
    </w:pPr>
    <w:rPr>
      <w:rFonts w:ascii="宋体" w:hAnsi="宋体" w:cs="Times New Roman"/>
      <w:b/>
      <w:kern w:val="2"/>
      <w:sz w:val="28"/>
      <w:szCs w:val="28"/>
    </w:rPr>
  </w:style>
  <w:style w:type="character" w:customStyle="1" w:styleId="63">
    <w:name w:val="普通(网站) 字符"/>
    <w:link w:val="29"/>
    <w:qFormat/>
    <w:uiPriority w:val="0"/>
    <w:rPr>
      <w:rFonts w:eastAsia="宋体"/>
      <w:kern w:val="2"/>
      <w:sz w:val="24"/>
      <w:szCs w:val="24"/>
    </w:rPr>
  </w:style>
  <w:style w:type="paragraph" w:customStyle="1" w:styleId="64">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5">
    <w:name w:val="p141"/>
    <w:qFormat/>
    <w:uiPriority w:val="0"/>
    <w:rPr>
      <w:sz w:val="21"/>
      <w:szCs w:val="21"/>
    </w:rPr>
  </w:style>
  <w:style w:type="character" w:customStyle="1" w:styleId="66">
    <w:name w:val="批注文字 字符"/>
    <w:basedOn w:val="34"/>
    <w:link w:val="11"/>
    <w:qFormat/>
    <w:uiPriority w:val="0"/>
    <w:rPr>
      <w:rFonts w:ascii="Tahoma" w:hAnsi="Tahoma" w:eastAsia="微软雅黑" w:cstheme="minorBidi"/>
      <w:sz w:val="22"/>
      <w:szCs w:val="22"/>
    </w:rPr>
  </w:style>
  <w:style w:type="character" w:customStyle="1" w:styleId="67">
    <w:name w:val="批注主题 字符"/>
    <w:basedOn w:val="66"/>
    <w:link w:val="30"/>
    <w:semiHidden/>
    <w:qFormat/>
    <w:uiPriority w:val="99"/>
    <w:rPr>
      <w:rFonts w:ascii="Tahoma" w:hAnsi="Tahoma" w:eastAsia="微软雅黑" w:cstheme="minorBidi"/>
      <w:b/>
      <w:bCs/>
      <w:sz w:val="22"/>
      <w:szCs w:val="22"/>
    </w:rPr>
  </w:style>
  <w:style w:type="character" w:customStyle="1" w:styleId="68">
    <w:name w:val="列出段落 字符"/>
    <w:link w:val="46"/>
    <w:qFormat/>
    <w:uiPriority w:val="0"/>
    <w:rPr>
      <w:rFonts w:ascii="Tahoma" w:hAnsi="Tahoma" w:eastAsia="微软雅黑" w:cstheme="minorBidi"/>
      <w:sz w:val="22"/>
      <w:szCs w:val="22"/>
    </w:rPr>
  </w:style>
  <w:style w:type="character" w:customStyle="1" w:styleId="69">
    <w:name w:val="正文文本 字符"/>
    <w:basedOn w:val="34"/>
    <w:link w:val="12"/>
    <w:qFormat/>
    <w:uiPriority w:val="1"/>
    <w:rPr>
      <w:rFonts w:ascii="宋体" w:hAnsi="宋体" w:cs="宋体"/>
      <w:sz w:val="24"/>
      <w:szCs w:val="22"/>
      <w:lang w:val="zh-CN" w:bidi="zh-CN"/>
    </w:rPr>
  </w:style>
  <w:style w:type="paragraph" w:customStyle="1" w:styleId="7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1">
    <w:name w:val="_Style 1"/>
    <w:basedOn w:val="1"/>
    <w:qFormat/>
    <w:uiPriority w:val="0"/>
    <w:pPr>
      <w:ind w:firstLine="420" w:firstLineChars="200"/>
    </w:pPr>
  </w:style>
  <w:style w:type="paragraph" w:customStyle="1" w:styleId="72">
    <w:name w:val="列出段落2"/>
    <w:basedOn w:val="1"/>
    <w:qFormat/>
    <w:uiPriority w:val="0"/>
    <w:pPr>
      <w:ind w:firstLine="420" w:firstLineChars="200"/>
    </w:pPr>
  </w:style>
  <w:style w:type="paragraph" w:customStyle="1" w:styleId="73">
    <w:name w:val="p0"/>
    <w:basedOn w:val="1"/>
    <w:qFormat/>
    <w:uiPriority w:val="0"/>
    <w:rPr>
      <w:szCs w:val="21"/>
    </w:rPr>
  </w:style>
  <w:style w:type="paragraph" w:customStyle="1" w:styleId="74">
    <w:name w:val="正文文本缩进 21"/>
    <w:basedOn w:val="1"/>
    <w:qFormat/>
    <w:uiPriority w:val="0"/>
    <w:pPr>
      <w:spacing w:line="480" w:lineRule="auto"/>
      <w:ind w:firstLine="540"/>
    </w:pPr>
    <w:rPr>
      <w:rFonts w:ascii="Calibri" w:hAnsi="Calibri"/>
      <w:sz w:val="20"/>
      <w:szCs w:val="20"/>
    </w:rPr>
  </w:style>
  <w:style w:type="paragraph" w:customStyle="1" w:styleId="75">
    <w:name w:val="_Style 2"/>
    <w:basedOn w:val="1"/>
    <w:qFormat/>
    <w:uiPriority w:val="0"/>
    <w:pPr>
      <w:ind w:firstLine="420" w:firstLineChars="200"/>
    </w:pPr>
  </w:style>
  <w:style w:type="paragraph" w:customStyle="1" w:styleId="76">
    <w:name w:val="msolistparagraph"/>
    <w:basedOn w:val="1"/>
    <w:qFormat/>
    <w:uiPriority w:val="0"/>
    <w:pPr>
      <w:ind w:firstLine="420" w:firstLineChars="200"/>
    </w:pPr>
    <w:rPr>
      <w:rFonts w:hint="eastAsia" w:hAnsi="宋体"/>
    </w:rPr>
  </w:style>
  <w:style w:type="character" w:customStyle="1" w:styleId="77">
    <w:name w:val="标题 5 字符"/>
    <w:link w:val="6"/>
    <w:qFormat/>
    <w:uiPriority w:val="0"/>
    <w:rPr>
      <w:b/>
      <w:sz w:val="28"/>
    </w:rPr>
  </w:style>
  <w:style w:type="character" w:customStyle="1" w:styleId="78">
    <w:name w:val="标题 1 字符"/>
    <w:link w:val="2"/>
    <w:qFormat/>
    <w:uiPriority w:val="9"/>
    <w:rPr>
      <w:b/>
      <w:kern w:val="44"/>
      <w:sz w:val="44"/>
    </w:rPr>
  </w:style>
  <w:style w:type="paragraph" w:customStyle="1" w:styleId="79">
    <w:name w:val="修订1"/>
    <w:hidden/>
    <w:semiHidden/>
    <w:qFormat/>
    <w:uiPriority w:val="99"/>
    <w:rPr>
      <w:rFonts w:ascii="Tahoma" w:hAnsi="Tahoma" w:eastAsia="宋体" w:cstheme="minorBidi"/>
      <w:sz w:val="21"/>
      <w:szCs w:val="22"/>
      <w:lang w:val="en-US" w:eastAsia="zh-CN" w:bidi="ar-SA"/>
    </w:rPr>
  </w:style>
  <w:style w:type="paragraph" w:customStyle="1" w:styleId="80">
    <w:name w:val="表格文字"/>
    <w:basedOn w:val="1"/>
    <w:qFormat/>
    <w:uiPriority w:val="0"/>
    <w:pPr>
      <w:adjustRightInd/>
      <w:spacing w:before="25" w:after="25"/>
    </w:pPr>
    <w:rPr>
      <w:rFonts w:ascii="Times New Roman"/>
      <w:bCs/>
      <w:spacing w:val="10"/>
      <w:szCs w:val="20"/>
    </w:rPr>
  </w:style>
  <w:style w:type="paragraph" w:customStyle="1" w:styleId="81">
    <w:name w:val="纯文本1"/>
    <w:basedOn w:val="82"/>
    <w:qFormat/>
    <w:uiPriority w:val="0"/>
    <w:rPr>
      <w:rFonts w:ascii="宋体" w:hAnsi="Courier New"/>
      <w:szCs w:val="20"/>
    </w:rPr>
  </w:style>
  <w:style w:type="paragraph" w:customStyle="1" w:styleId="82">
    <w:name w:val="正文 New"/>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83">
    <w:name w:val="正文2"/>
    <w:qFormat/>
    <w:uiPriority w:val="0"/>
    <w:pPr>
      <w:jc w:val="both"/>
    </w:pPr>
    <w:rPr>
      <w:rFonts w:ascii="Times New Roman" w:hAnsi="Times New Roman" w:eastAsia="宋体" w:cs="Times New Roman"/>
      <w:kern w:val="2"/>
      <w:sz w:val="21"/>
      <w:szCs w:val="21"/>
      <w:lang w:val="en-US" w:eastAsia="zh-CN" w:bidi="ar-SA"/>
    </w:rPr>
  </w:style>
  <w:style w:type="table" w:customStyle="1" w:styleId="84">
    <w:name w:val="Table Normal"/>
    <w:semiHidden/>
    <w:unhideWhenUsed/>
    <w:qFormat/>
    <w:uiPriority w:val="2"/>
    <w:tblPr>
      <w:tblCellMar>
        <w:top w:w="0" w:type="dxa"/>
        <w:left w:w="0" w:type="dxa"/>
        <w:bottom w:w="0" w:type="dxa"/>
        <w:right w:w="0" w:type="dxa"/>
      </w:tblCellMar>
    </w:tblPr>
  </w:style>
  <w:style w:type="paragraph" w:customStyle="1" w:styleId="85">
    <w:name w:val="Table Paragraph"/>
    <w:basedOn w:val="1"/>
    <w:qFormat/>
    <w:uiPriority w:val="1"/>
  </w:style>
  <w:style w:type="paragraph" w:customStyle="1" w:styleId="86">
    <w:name w:val="正文文本缩进1"/>
    <w:basedOn w:val="82"/>
    <w:qFormat/>
    <w:uiPriority w:val="0"/>
    <w:pPr>
      <w:spacing w:after="120"/>
      <w:ind w:left="420" w:leftChars="200"/>
    </w:pPr>
  </w:style>
  <w:style w:type="paragraph" w:customStyle="1" w:styleId="87">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88">
    <w:name w:val="纯文本2"/>
    <w:basedOn w:val="82"/>
    <w:qFormat/>
    <w:uiPriority w:val="0"/>
    <w:rPr>
      <w:rFonts w:ascii="宋体" w:hAnsi="Courier New"/>
      <w:szCs w:val="20"/>
    </w:rPr>
  </w:style>
  <w:style w:type="character" w:customStyle="1" w:styleId="89">
    <w:name w:val="font141"/>
    <w:qFormat/>
    <w:uiPriority w:val="0"/>
    <w:rPr>
      <w:rFonts w:hint="default" w:ascii="Times New Roman" w:hAnsi="Times New Roman" w:cs="Times New Roman"/>
      <w:color w:val="000000"/>
      <w:sz w:val="18"/>
      <w:szCs w:val="18"/>
      <w:u w:val="none"/>
    </w:rPr>
  </w:style>
  <w:style w:type="character" w:customStyle="1" w:styleId="90">
    <w:name w:val="font71"/>
    <w:qFormat/>
    <w:uiPriority w:val="0"/>
    <w:rPr>
      <w:rFonts w:hint="eastAsia" w:ascii="宋体" w:hAnsi="宋体" w:eastAsia="宋体" w:cs="宋体"/>
      <w:color w:val="000000"/>
      <w:sz w:val="18"/>
      <w:szCs w:val="18"/>
      <w:u w:val="none"/>
    </w:rPr>
  </w:style>
  <w:style w:type="paragraph" w:customStyle="1" w:styleId="91">
    <w:name w:val="列表段落2"/>
    <w:basedOn w:val="1"/>
    <w:qFormat/>
    <w:uiPriority w:val="99"/>
    <w:pPr>
      <w:ind w:firstLine="420" w:firstLineChars="200"/>
    </w:pPr>
    <w:rPr>
      <w:rFonts w:ascii="Times New Roman" w:hAnsi="Times New Roman" w:eastAsia="仿宋_GB2312" w:cs="Times New Roman"/>
      <w:bCs/>
      <w:snapToGrid w:val="0"/>
      <w:sz w:val="28"/>
      <w:szCs w:val="30"/>
    </w:rPr>
  </w:style>
  <w:style w:type="paragraph" w:customStyle="1" w:styleId="92">
    <w:name w:val="封面2"/>
    <w:basedOn w:val="23"/>
    <w:qFormat/>
    <w:uiPriority w:val="0"/>
    <w:pPr>
      <w:tabs>
        <w:tab w:val="left" w:pos="840"/>
        <w:tab w:val="right" w:leader="dot" w:pos="8296"/>
      </w:tabs>
      <w:spacing w:before="120" w:after="120"/>
      <w:ind w:firstLine="425"/>
      <w:jc w:val="center"/>
    </w:pPr>
    <w:rPr>
      <w:rFonts w:eastAsia="黑体"/>
      <w:caps/>
      <w:sz w:val="52"/>
    </w:rPr>
  </w:style>
  <w:style w:type="paragraph" w:customStyle="1" w:styleId="93">
    <w:name w:val="表格正文"/>
    <w:basedOn w:val="1"/>
    <w:qFormat/>
    <w:uiPriority w:val="0"/>
    <w:rPr>
      <w:rFonts w:ascii="宋体" w:hAnsi="Times New Roman" w:cs="Times New Roman"/>
      <w:sz w:val="24"/>
      <w:szCs w:val="20"/>
    </w:rPr>
  </w:style>
  <w:style w:type="character" w:customStyle="1" w:styleId="94">
    <w:name w:val="_Style 7"/>
    <w:qFormat/>
    <w:uiPriority w:val="19"/>
    <w:rPr>
      <w:i/>
      <w:iCs/>
      <w:color w:val="404040"/>
    </w:rPr>
  </w:style>
  <w:style w:type="character" w:customStyle="1" w:styleId="95">
    <w:name w:val="_Style 0"/>
    <w:qFormat/>
    <w:uiPriority w:val="19"/>
    <w:rPr>
      <w:i/>
      <w:iCs/>
      <w:color w:val="404040"/>
    </w:rPr>
  </w:style>
  <w:style w:type="paragraph" w:styleId="96">
    <w:name w:val="No Spacing"/>
    <w:qFormat/>
    <w:uiPriority w:val="1"/>
    <w:pPr>
      <w:widowControl w:val="0"/>
      <w:jc w:val="both"/>
    </w:pPr>
    <w:rPr>
      <w:rFonts w:ascii="Times New Roman" w:hAnsi="Times New Roman" w:eastAsia="仿宋" w:cs="Times New Roman"/>
      <w:kern w:val="2"/>
      <w:sz w:val="21"/>
      <w:szCs w:val="24"/>
      <w:lang w:val="en-US" w:eastAsia="zh-CN" w:bidi="ar-SA"/>
    </w:rPr>
  </w:style>
  <w:style w:type="paragraph" w:customStyle="1" w:styleId="97">
    <w:name w:val="table"/>
    <w:qFormat/>
    <w:uiPriority w:val="0"/>
    <w:pPr>
      <w:adjustRightInd w:val="0"/>
      <w:snapToGrid w:val="0"/>
    </w:pPr>
    <w:rPr>
      <w:rFonts w:hint="default" w:ascii="宋体" w:hAnsi="Calibri" w:eastAsia="宋体" w:cs="Times New Roman"/>
      <w:kern w:val="2"/>
      <w:sz w:val="24"/>
      <w:szCs w:val="22"/>
      <w:lang w:val="en-US" w:eastAsia="zh-CN" w:bidi="ar-SA"/>
    </w:rPr>
  </w:style>
  <w:style w:type="paragraph" w:customStyle="1" w:styleId="98">
    <w:name w:val="B"/>
    <w:basedOn w:val="99"/>
    <w:qFormat/>
    <w:uiPriority w:val="0"/>
    <w:pPr>
      <w:widowControl w:val="0"/>
      <w:tabs>
        <w:tab w:val="center" w:pos="4706"/>
        <w:tab w:val="right" w:pos="9044"/>
      </w:tabs>
      <w:topLinePunct/>
      <w:spacing w:before="160" w:after="60" w:line="312" w:lineRule="exact"/>
    </w:pPr>
    <w:rPr>
      <w:rFonts w:ascii="E-F1"/>
      <w:kern w:val="2"/>
    </w:rPr>
  </w:style>
  <w:style w:type="paragraph" w:customStyle="1" w:styleId="99">
    <w:name w:val="表头"/>
    <w:basedOn w:val="10"/>
    <w:qFormat/>
    <w:uiPriority w:val="0"/>
    <w:pPr>
      <w:keepNext/>
      <w:keepLines/>
      <w:spacing w:before="120" w:after="120" w:line="300" w:lineRule="auto"/>
      <w:jc w:val="center"/>
      <w:textAlignment w:val="baseline"/>
    </w:pPr>
    <w:rPr>
      <w:rFonts w:cs="Times New Roman"/>
      <w:sz w:val="21"/>
    </w:rPr>
  </w:style>
  <w:style w:type="paragraph" w:customStyle="1" w:styleId="100">
    <w:name w:val="00"/>
    <w:basedOn w:val="1"/>
    <w:qFormat/>
    <w:uiPriority w:val="0"/>
    <w:pPr>
      <w:widowControl w:val="0"/>
      <w:overflowPunct w:val="0"/>
      <w:topLinePunct/>
      <w:spacing w:line="312" w:lineRule="exact"/>
      <w:jc w:val="both"/>
    </w:pPr>
    <w:rPr>
      <w:rFonts w:eastAsia="PMingLiU"/>
      <w:kern w:val="2"/>
      <w:sz w:val="21"/>
    </w:rPr>
  </w:style>
  <w:style w:type="paragraph" w:customStyle="1" w:styleId="101">
    <w:name w:val="段"/>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character" w:customStyle="1" w:styleId="102">
    <w:name w:val="D2 Char Char"/>
    <w:link w:val="103"/>
    <w:qFormat/>
    <w:uiPriority w:val="0"/>
    <w:rPr>
      <w:sz w:val="20"/>
      <w:szCs w:val="20"/>
    </w:rPr>
  </w:style>
  <w:style w:type="paragraph" w:customStyle="1" w:styleId="103">
    <w:name w:val="D2"/>
    <w:basedOn w:val="1"/>
    <w:link w:val="102"/>
    <w:qFormat/>
    <w:uiPriority w:val="0"/>
    <w:pPr>
      <w:widowControl w:val="0"/>
      <w:spacing w:line="312" w:lineRule="exact"/>
      <w:jc w:val="both"/>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3.png"/><Relationship Id="rId21" Type="http://schemas.openxmlformats.org/officeDocument/2006/relationships/image" Target="media/image2.emf"/><Relationship Id="rId20" Type="http://schemas.openxmlformats.org/officeDocument/2006/relationships/oleObject" Target="embeddings/oleObject1.bin"/><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theme" Target="theme/theme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header" Target="header3.xml"/><Relationship Id="rId14" Type="http://schemas.openxmlformats.org/officeDocument/2006/relationships/header" Target="header2.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84</Pages>
  <Words>2744</Words>
  <Characters>3227</Characters>
  <Lines>329</Lines>
  <Paragraphs>92</Paragraphs>
  <TotalTime>6</TotalTime>
  <ScaleCrop>false</ScaleCrop>
  <LinksUpToDate>false</LinksUpToDate>
  <CharactersWithSpaces>3287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2024-11-22T06:21:00Z</dcterms:created>
  <dc:creator>MyPC</dc:creator>
  <cp:lastModifiedBy>Icecream</cp:lastModifiedBy>
  <cp:lastPrinted>2025-11-19T06:15:00Z</cp:lastPrinted>
  <dcterms:modified xsi:type="dcterms:W3CDTF">2025-12-10T08:39:06Z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0575FF5A56F946ACAE3222600070920E_13</vt:lpwstr>
  </property>
  <property fmtid="{D5CDD505-2E9C-101B-9397-08002B2CF9AE}" pid="4" name="KSOTemplateDocerSaveRecord">
    <vt:lpwstr>eyJoZGlkIjoiMjA3ODQ0Zjk5MTc3OWJiYmUyZTM2NjllYTAzNzZlNTAiLCJ1c2VySWQiOiIyODI2MTk1NTAifQ==</vt:lpwstr>
  </property>
</Properties>
</file>