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62B69B2">
      <w:pPr>
        <w:jc w:val="right"/>
        <w:rPr>
          <w:rFonts w:ascii="黑体" w:eastAsia="黑体"/>
          <w:color w:val="auto"/>
          <w:szCs w:val="21"/>
          <w:highlight w:val="none"/>
        </w:rPr>
      </w:pPr>
    </w:p>
    <w:p w14:paraId="2484A6A4">
      <w:pPr>
        <w:pStyle w:val="36"/>
        <w:ind w:firstLine="400"/>
        <w:rPr>
          <w:color w:val="auto"/>
          <w:highlight w:val="none"/>
        </w:rPr>
      </w:pPr>
    </w:p>
    <w:p w14:paraId="4464765D">
      <w:pPr>
        <w:rPr>
          <w:color w:val="auto"/>
          <w:highlight w:val="none"/>
        </w:rPr>
      </w:pPr>
    </w:p>
    <w:p w14:paraId="680BCDBD">
      <w:pPr>
        <w:rPr>
          <w:color w:val="auto"/>
          <w:highlight w:val="none"/>
        </w:rPr>
      </w:pPr>
    </w:p>
    <w:p w14:paraId="2EBC4763">
      <w:pPr>
        <w:rPr>
          <w:color w:val="auto"/>
          <w:highlight w:val="none"/>
        </w:rPr>
      </w:pPr>
    </w:p>
    <w:p w14:paraId="50FFD4CD">
      <w:pPr>
        <w:ind w:right="-28"/>
        <w:jc w:val="center"/>
        <w:textAlignment w:val="bottom"/>
        <w:rPr>
          <w:rFonts w:ascii="黑体" w:hAnsi="黑体" w:eastAsia="黑体" w:cs="黑体"/>
          <w:bCs/>
          <w:color w:val="auto"/>
          <w:spacing w:val="57"/>
          <w:sz w:val="96"/>
          <w:szCs w:val="96"/>
          <w:highlight w:val="none"/>
        </w:rPr>
      </w:pPr>
      <w:r>
        <w:rPr>
          <w:rFonts w:hint="eastAsia" w:ascii="黑体" w:hAnsi="黑体" w:eastAsia="黑体" w:cs="黑体"/>
          <w:bCs/>
          <w:color w:val="auto"/>
          <w:spacing w:val="57"/>
          <w:sz w:val="96"/>
          <w:szCs w:val="96"/>
          <w:highlight w:val="none"/>
        </w:rPr>
        <w:t>公开采购文件</w:t>
      </w:r>
    </w:p>
    <w:p w14:paraId="3A1EFFB6">
      <w:pPr>
        <w:rPr>
          <w:color w:val="auto"/>
          <w:highlight w:val="none"/>
        </w:rPr>
      </w:pPr>
    </w:p>
    <w:p w14:paraId="6B11479C">
      <w:pPr>
        <w:pStyle w:val="9"/>
        <w:rPr>
          <w:color w:val="auto"/>
          <w:highlight w:val="none"/>
        </w:rPr>
      </w:pPr>
    </w:p>
    <w:tbl>
      <w:tblPr>
        <w:tblStyle w:val="29"/>
        <w:tblW w:w="0" w:type="auto"/>
        <w:tblInd w:w="-294"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2613"/>
        <w:gridCol w:w="6203"/>
      </w:tblGrid>
      <w:tr w14:paraId="775A427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67" w:hRule="atLeast"/>
        </w:trPr>
        <w:tc>
          <w:tcPr>
            <w:tcW w:w="2613" w:type="dxa"/>
            <w:noWrap/>
            <w:vAlign w:val="center"/>
          </w:tcPr>
          <w:p w14:paraId="5F244C9D">
            <w:pPr>
              <w:spacing w:before="200"/>
              <w:jc w:val="both"/>
              <w:rPr>
                <w:rFonts w:ascii="黑体" w:hAnsi="黑体" w:eastAsia="黑体" w:cs="黑体"/>
                <w:bCs/>
                <w:color w:val="auto"/>
                <w:sz w:val="32"/>
                <w:szCs w:val="24"/>
                <w:highlight w:val="none"/>
              </w:rPr>
            </w:pPr>
            <w:r>
              <w:rPr>
                <w:rFonts w:hint="eastAsia" w:ascii="黑体" w:hAnsi="黑体" w:eastAsia="黑体" w:cs="黑体"/>
                <w:bCs/>
                <w:color w:val="auto"/>
                <w:sz w:val="32"/>
                <w:szCs w:val="24"/>
                <w:highlight w:val="none"/>
              </w:rPr>
              <w:t>项目名称：</w:t>
            </w:r>
          </w:p>
        </w:tc>
        <w:tc>
          <w:tcPr>
            <w:tcW w:w="6203" w:type="dxa"/>
            <w:noWrap/>
            <w:vAlign w:val="center"/>
          </w:tcPr>
          <w:p w14:paraId="44E458D2">
            <w:pPr>
              <w:spacing w:before="200"/>
              <w:jc w:val="both"/>
              <w:rPr>
                <w:rFonts w:ascii="黑体" w:hAnsi="黑体" w:eastAsia="黑体" w:cs="黑体"/>
                <w:bCs/>
                <w:color w:val="auto"/>
                <w:sz w:val="32"/>
                <w:szCs w:val="24"/>
                <w:highlight w:val="none"/>
              </w:rPr>
            </w:pPr>
            <w:r>
              <w:rPr>
                <w:rFonts w:hint="eastAsia" w:ascii="黑体" w:hAnsi="黑体" w:eastAsia="黑体" w:cs="黑体"/>
                <w:bCs/>
                <w:color w:val="auto"/>
                <w:sz w:val="32"/>
                <w:szCs w:val="24"/>
                <w:highlight w:val="none"/>
                <w:u w:val="single"/>
              </w:rPr>
              <w:t>东莞市新东欣环保投资有限公司202</w:t>
            </w:r>
            <w:r>
              <w:rPr>
                <w:rFonts w:hint="eastAsia" w:ascii="黑体" w:hAnsi="黑体" w:eastAsia="黑体" w:cs="黑体"/>
                <w:bCs/>
                <w:color w:val="auto"/>
                <w:sz w:val="32"/>
                <w:szCs w:val="24"/>
                <w:highlight w:val="none"/>
                <w:u w:val="single"/>
                <w:lang w:val="en-US" w:eastAsia="zh-CN"/>
              </w:rPr>
              <w:t>5</w:t>
            </w:r>
            <w:r>
              <w:rPr>
                <w:rFonts w:hint="eastAsia" w:ascii="黑体" w:hAnsi="黑体" w:eastAsia="黑体" w:cs="黑体"/>
                <w:bCs/>
                <w:color w:val="auto"/>
                <w:sz w:val="32"/>
                <w:szCs w:val="24"/>
                <w:highlight w:val="none"/>
                <w:u w:val="single"/>
              </w:rPr>
              <w:t>-202</w:t>
            </w:r>
            <w:r>
              <w:rPr>
                <w:rFonts w:hint="eastAsia" w:ascii="黑体" w:hAnsi="黑体" w:eastAsia="黑体" w:cs="黑体"/>
                <w:bCs/>
                <w:color w:val="auto"/>
                <w:sz w:val="32"/>
                <w:szCs w:val="24"/>
                <w:highlight w:val="none"/>
                <w:u w:val="single"/>
                <w:lang w:val="en-US" w:eastAsia="zh-CN"/>
              </w:rPr>
              <w:t>6</w:t>
            </w:r>
            <w:r>
              <w:rPr>
                <w:rFonts w:hint="eastAsia" w:ascii="黑体" w:hAnsi="黑体" w:eastAsia="黑体" w:cs="黑体"/>
                <w:bCs/>
                <w:color w:val="auto"/>
                <w:sz w:val="32"/>
                <w:szCs w:val="24"/>
                <w:highlight w:val="none"/>
                <w:u w:val="single"/>
              </w:rPr>
              <w:t>年度危废运输服务项目</w:t>
            </w:r>
          </w:p>
        </w:tc>
      </w:tr>
      <w:tr w14:paraId="2943E5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35" w:hRule="atLeast"/>
        </w:trPr>
        <w:tc>
          <w:tcPr>
            <w:tcW w:w="2613" w:type="dxa"/>
            <w:noWrap/>
            <w:vAlign w:val="center"/>
          </w:tcPr>
          <w:p w14:paraId="3801BD04">
            <w:pPr>
              <w:spacing w:before="200"/>
              <w:jc w:val="both"/>
              <w:rPr>
                <w:rFonts w:ascii="黑体" w:hAnsi="黑体" w:eastAsia="黑体" w:cs="黑体"/>
                <w:bCs/>
                <w:color w:val="auto"/>
                <w:sz w:val="32"/>
                <w:szCs w:val="24"/>
                <w:highlight w:val="none"/>
              </w:rPr>
            </w:pPr>
            <w:r>
              <w:rPr>
                <w:rFonts w:hint="eastAsia" w:ascii="黑体" w:hAnsi="黑体" w:eastAsia="黑体" w:cs="黑体"/>
                <w:bCs/>
                <w:color w:val="auto"/>
                <w:sz w:val="32"/>
                <w:szCs w:val="24"/>
                <w:highlight w:val="none"/>
              </w:rPr>
              <w:t>项目采购编号：</w:t>
            </w:r>
          </w:p>
        </w:tc>
        <w:tc>
          <w:tcPr>
            <w:tcW w:w="6203" w:type="dxa"/>
            <w:noWrap/>
            <w:vAlign w:val="center"/>
          </w:tcPr>
          <w:p w14:paraId="00173F64">
            <w:pPr>
              <w:spacing w:before="200"/>
              <w:jc w:val="both"/>
              <w:rPr>
                <w:rFonts w:ascii="黑体" w:hAnsi="黑体" w:eastAsia="黑体" w:cs="黑体"/>
                <w:bCs/>
                <w:color w:val="auto"/>
                <w:sz w:val="32"/>
                <w:szCs w:val="24"/>
                <w:highlight w:val="none"/>
              </w:rPr>
            </w:pPr>
            <w:r>
              <w:rPr>
                <w:rFonts w:hint="eastAsia" w:ascii="黑体" w:hAnsi="黑体" w:eastAsia="黑体" w:cs="黑体"/>
                <w:bCs/>
                <w:color w:val="auto"/>
                <w:sz w:val="32"/>
                <w:szCs w:val="24"/>
                <w:highlight w:val="none"/>
                <w:u w:val="single"/>
              </w:rPr>
              <w:t>XDX-GK-2024-003</w:t>
            </w:r>
          </w:p>
        </w:tc>
      </w:tr>
      <w:tr w14:paraId="14A191E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49" w:hRule="atLeast"/>
        </w:trPr>
        <w:tc>
          <w:tcPr>
            <w:tcW w:w="2613" w:type="dxa"/>
            <w:noWrap/>
            <w:vAlign w:val="center"/>
          </w:tcPr>
          <w:p w14:paraId="7CCC5AE4">
            <w:pPr>
              <w:spacing w:before="200"/>
              <w:jc w:val="both"/>
              <w:rPr>
                <w:rFonts w:ascii="黑体" w:hAnsi="黑体" w:eastAsia="黑体" w:cs="黑体"/>
                <w:bCs/>
                <w:color w:val="auto"/>
                <w:sz w:val="32"/>
                <w:szCs w:val="24"/>
                <w:highlight w:val="none"/>
              </w:rPr>
            </w:pPr>
            <w:r>
              <w:rPr>
                <w:rFonts w:hint="eastAsia" w:ascii="黑体" w:hAnsi="黑体" w:eastAsia="黑体" w:cs="黑体"/>
                <w:bCs/>
                <w:color w:val="auto"/>
                <w:sz w:val="32"/>
                <w:szCs w:val="24"/>
                <w:highlight w:val="none"/>
              </w:rPr>
              <w:t>采购人：</w:t>
            </w:r>
          </w:p>
        </w:tc>
        <w:tc>
          <w:tcPr>
            <w:tcW w:w="6203" w:type="dxa"/>
            <w:noWrap/>
            <w:vAlign w:val="center"/>
          </w:tcPr>
          <w:p w14:paraId="56169075">
            <w:pPr>
              <w:spacing w:before="200"/>
              <w:jc w:val="both"/>
              <w:rPr>
                <w:rFonts w:ascii="黑体" w:hAnsi="黑体" w:eastAsia="黑体" w:cs="黑体"/>
                <w:bCs/>
                <w:color w:val="auto"/>
                <w:sz w:val="32"/>
                <w:szCs w:val="24"/>
                <w:highlight w:val="none"/>
              </w:rPr>
            </w:pPr>
            <w:r>
              <w:rPr>
                <w:rFonts w:hint="eastAsia" w:ascii="黑体" w:hAnsi="黑体" w:eastAsia="黑体" w:cs="黑体"/>
                <w:bCs/>
                <w:color w:val="auto"/>
                <w:sz w:val="32"/>
                <w:szCs w:val="24"/>
                <w:highlight w:val="none"/>
                <w:u w:val="single"/>
              </w:rPr>
              <w:t>东莞市新东欣环保投资有限公司</w:t>
            </w:r>
          </w:p>
        </w:tc>
      </w:tr>
      <w:tr w14:paraId="3C479F9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49" w:hRule="atLeast"/>
        </w:trPr>
        <w:tc>
          <w:tcPr>
            <w:tcW w:w="2613" w:type="dxa"/>
            <w:noWrap/>
            <w:vAlign w:val="center"/>
          </w:tcPr>
          <w:p w14:paraId="0C155938">
            <w:pPr>
              <w:spacing w:before="200"/>
              <w:jc w:val="both"/>
              <w:rPr>
                <w:rFonts w:ascii="黑体" w:hAnsi="黑体" w:eastAsia="黑体" w:cs="黑体"/>
                <w:bCs/>
                <w:color w:val="auto"/>
                <w:sz w:val="32"/>
                <w:szCs w:val="24"/>
                <w:highlight w:val="none"/>
              </w:rPr>
            </w:pPr>
            <w:r>
              <w:rPr>
                <w:rFonts w:hint="eastAsia" w:ascii="黑体" w:hAnsi="黑体" w:eastAsia="黑体" w:cs="黑体"/>
                <w:bCs/>
                <w:color w:val="auto"/>
                <w:sz w:val="32"/>
                <w:szCs w:val="24"/>
                <w:highlight w:val="none"/>
              </w:rPr>
              <w:t>采购代理：</w:t>
            </w:r>
          </w:p>
        </w:tc>
        <w:tc>
          <w:tcPr>
            <w:tcW w:w="6203" w:type="dxa"/>
            <w:noWrap/>
            <w:vAlign w:val="center"/>
          </w:tcPr>
          <w:p w14:paraId="502FBE26">
            <w:pPr>
              <w:spacing w:before="200"/>
              <w:jc w:val="both"/>
              <w:rPr>
                <w:rFonts w:ascii="黑体" w:hAnsi="黑体" w:eastAsia="黑体" w:cs="黑体"/>
                <w:bCs/>
                <w:color w:val="auto"/>
                <w:sz w:val="32"/>
                <w:szCs w:val="24"/>
                <w:highlight w:val="none"/>
              </w:rPr>
            </w:pPr>
            <w:r>
              <w:rPr>
                <w:rFonts w:hint="eastAsia" w:ascii="黑体" w:hAnsi="黑体" w:eastAsia="黑体" w:cs="黑体"/>
                <w:bCs/>
                <w:color w:val="auto"/>
                <w:sz w:val="32"/>
                <w:szCs w:val="24"/>
                <w:highlight w:val="none"/>
                <w:u w:val="single"/>
              </w:rPr>
              <w:t>广东建瀚工程管理有限公司</w:t>
            </w:r>
          </w:p>
        </w:tc>
      </w:tr>
    </w:tbl>
    <w:p w14:paraId="65430645">
      <w:pPr>
        <w:jc w:val="center"/>
        <w:rPr>
          <w:rFonts w:ascii="黑体" w:eastAsia="黑体"/>
          <w:color w:val="auto"/>
          <w:szCs w:val="21"/>
          <w:highlight w:val="none"/>
        </w:rPr>
      </w:pPr>
    </w:p>
    <w:p w14:paraId="1F462CDB">
      <w:pPr>
        <w:jc w:val="center"/>
        <w:rPr>
          <w:rFonts w:ascii="黑体" w:eastAsia="黑体"/>
          <w:color w:val="auto"/>
          <w:szCs w:val="21"/>
          <w:highlight w:val="none"/>
        </w:rPr>
      </w:pPr>
    </w:p>
    <w:p w14:paraId="6D14ED77">
      <w:pPr>
        <w:jc w:val="center"/>
        <w:rPr>
          <w:rFonts w:ascii="黑体" w:eastAsia="黑体"/>
          <w:color w:val="auto"/>
          <w:szCs w:val="21"/>
          <w:highlight w:val="none"/>
        </w:rPr>
      </w:pPr>
    </w:p>
    <w:p w14:paraId="2C28E7FD">
      <w:pPr>
        <w:pStyle w:val="36"/>
        <w:ind w:firstLine="400"/>
        <w:rPr>
          <w:color w:val="auto"/>
          <w:highlight w:val="none"/>
        </w:rPr>
      </w:pPr>
    </w:p>
    <w:p w14:paraId="2A69361E">
      <w:pPr>
        <w:jc w:val="center"/>
        <w:rPr>
          <w:rFonts w:ascii="黑体" w:eastAsia="黑体"/>
          <w:color w:val="auto"/>
          <w:szCs w:val="21"/>
          <w:highlight w:val="none"/>
        </w:rPr>
      </w:pPr>
    </w:p>
    <w:p w14:paraId="0622ED9D">
      <w:pPr>
        <w:jc w:val="center"/>
        <w:rPr>
          <w:rFonts w:ascii="黑体" w:eastAsia="黑体"/>
          <w:color w:val="auto"/>
          <w:szCs w:val="21"/>
          <w:highlight w:val="none"/>
        </w:rPr>
      </w:pPr>
    </w:p>
    <w:p w14:paraId="638D669C">
      <w:pPr>
        <w:spacing w:before="200"/>
        <w:jc w:val="center"/>
        <w:rPr>
          <w:rFonts w:ascii="黑体" w:hAnsi="黑体" w:eastAsia="黑体" w:cs="黑体"/>
          <w:bCs/>
          <w:color w:val="auto"/>
          <w:sz w:val="32"/>
          <w:szCs w:val="24"/>
          <w:highlight w:val="none"/>
        </w:rPr>
      </w:pPr>
      <w:r>
        <w:rPr>
          <w:rFonts w:hint="eastAsia" w:ascii="黑体" w:hAnsi="黑体" w:eastAsia="黑体" w:cs="黑体"/>
          <w:bCs/>
          <w:color w:val="auto"/>
          <w:sz w:val="32"/>
          <w:szCs w:val="24"/>
          <w:highlight w:val="none"/>
        </w:rPr>
        <w:t>20</w:t>
      </w:r>
      <w:r>
        <w:rPr>
          <w:rFonts w:hint="eastAsia" w:ascii="黑体" w:hAnsi="黑体" w:eastAsia="黑体" w:cs="黑体"/>
          <w:bCs/>
          <w:color w:val="auto"/>
          <w:sz w:val="32"/>
          <w:szCs w:val="24"/>
          <w:highlight w:val="none"/>
          <w:lang w:val="en-US" w:eastAsia="zh-CN"/>
        </w:rPr>
        <w:t>25</w:t>
      </w:r>
      <w:r>
        <w:rPr>
          <w:rFonts w:hint="eastAsia" w:ascii="黑体" w:hAnsi="黑体" w:eastAsia="黑体" w:cs="黑体"/>
          <w:bCs/>
          <w:color w:val="auto"/>
          <w:sz w:val="32"/>
          <w:szCs w:val="24"/>
          <w:highlight w:val="none"/>
        </w:rPr>
        <w:t>年</w:t>
      </w:r>
      <w:r>
        <w:rPr>
          <w:rFonts w:hint="eastAsia" w:ascii="黑体" w:hAnsi="黑体" w:eastAsia="黑体" w:cs="黑体"/>
          <w:bCs/>
          <w:color w:val="auto"/>
          <w:sz w:val="32"/>
          <w:szCs w:val="24"/>
          <w:highlight w:val="none"/>
          <w:lang w:val="en-US" w:eastAsia="zh-CN"/>
        </w:rPr>
        <w:t>01</w:t>
      </w:r>
      <w:r>
        <w:rPr>
          <w:rFonts w:hint="eastAsia" w:ascii="黑体" w:hAnsi="黑体" w:eastAsia="黑体" w:cs="黑体"/>
          <w:bCs/>
          <w:color w:val="auto"/>
          <w:sz w:val="32"/>
          <w:szCs w:val="24"/>
          <w:highlight w:val="none"/>
        </w:rPr>
        <w:t>月</w:t>
      </w:r>
    </w:p>
    <w:p w14:paraId="430357D4">
      <w:pPr>
        <w:rPr>
          <w:color w:val="auto"/>
          <w:highlight w:val="none"/>
        </w:rPr>
        <w:sectPr>
          <w:headerReference r:id="rId6" w:type="first"/>
          <w:footerReference r:id="rId8" w:type="first"/>
          <w:headerReference r:id="rId5" w:type="even"/>
          <w:footerReference r:id="rId7" w:type="even"/>
          <w:pgSz w:w="11906" w:h="16838"/>
          <w:pgMar w:top="1440" w:right="1800" w:bottom="1440" w:left="1800" w:header="708" w:footer="708" w:gutter="0"/>
          <w:pgBorders>
            <w:top w:val="none" w:sz="0" w:space="0"/>
            <w:left w:val="none" w:sz="0" w:space="0"/>
            <w:bottom w:val="none" w:sz="0" w:space="0"/>
            <w:right w:val="none" w:sz="0" w:space="0"/>
          </w:pgBorders>
          <w:pgNumType w:fmt="decimal" w:start="1"/>
          <w:cols w:space="708" w:num="1"/>
          <w:titlePg/>
          <w:docGrid w:type="lines" w:linePitch="360" w:charSpace="0"/>
        </w:sectPr>
      </w:pPr>
    </w:p>
    <w:p w14:paraId="08ED7186">
      <w:pPr>
        <w:pStyle w:val="22"/>
        <w:ind w:left="0" w:leftChars="0"/>
        <w:rPr>
          <w:color w:val="auto"/>
          <w:sz w:val="40"/>
          <w:szCs w:val="40"/>
          <w:highlight w:val="none"/>
        </w:rPr>
      </w:pPr>
      <w:r>
        <w:rPr>
          <w:rFonts w:hint="eastAsia"/>
          <w:color w:val="auto"/>
          <w:sz w:val="40"/>
          <w:szCs w:val="40"/>
          <w:highlight w:val="none"/>
        </w:rPr>
        <w:t>目录</w:t>
      </w:r>
    </w:p>
    <w:p w14:paraId="2A8C1BCF">
      <w:pPr>
        <w:pStyle w:val="22"/>
        <w:tabs>
          <w:tab w:val="right" w:leader="dot" w:pos="8306"/>
          <w:tab w:val="clear" w:pos="8296"/>
        </w:tabs>
        <w:rPr>
          <w:rFonts w:hint="eastAsia" w:cs="宋体"/>
          <w:sz w:val="21"/>
          <w:szCs w:val="21"/>
        </w:rPr>
      </w:pPr>
      <w:r>
        <w:rPr>
          <w:rFonts w:hint="eastAsia" w:ascii="宋体" w:hAnsi="宋体" w:eastAsia="宋体" w:cs="宋体"/>
          <w:color w:val="auto"/>
          <w:sz w:val="18"/>
          <w:szCs w:val="18"/>
          <w:highlight w:val="none"/>
        </w:rPr>
        <w:fldChar w:fldCharType="begin"/>
      </w:r>
      <w:r>
        <w:rPr>
          <w:rFonts w:hint="eastAsia" w:ascii="宋体" w:hAnsi="宋体" w:eastAsia="宋体" w:cs="宋体"/>
          <w:color w:val="auto"/>
          <w:sz w:val="18"/>
          <w:szCs w:val="18"/>
          <w:highlight w:val="none"/>
        </w:rPr>
        <w:instrText xml:space="preserve"> TOC \o "1-4" \h \z \u </w:instrText>
      </w:r>
      <w:r>
        <w:rPr>
          <w:rFonts w:hint="eastAsia" w:ascii="宋体" w:hAnsi="宋体" w:eastAsia="宋体" w:cs="宋体"/>
          <w:color w:val="auto"/>
          <w:sz w:val="18"/>
          <w:szCs w:val="18"/>
          <w:highlight w:val="none"/>
        </w:rPr>
        <w:fldChar w:fldCharType="separate"/>
      </w:r>
      <w:r>
        <w:rPr>
          <w:rFonts w:hint="eastAsia" w:ascii="宋体" w:hAnsi="宋体" w:eastAsia="宋体" w:cs="宋体"/>
          <w:color w:val="auto"/>
          <w:sz w:val="21"/>
          <w:szCs w:val="21"/>
          <w:highlight w:val="none"/>
        </w:rPr>
        <w:fldChar w:fldCharType="begin"/>
      </w:r>
      <w:r>
        <w:rPr>
          <w:rFonts w:hint="eastAsia" w:ascii="宋体" w:hAnsi="宋体" w:eastAsia="宋体" w:cs="宋体"/>
          <w:sz w:val="21"/>
          <w:szCs w:val="21"/>
          <w:highlight w:val="none"/>
        </w:rPr>
        <w:instrText xml:space="preserve"> HYPERLINK \l _Toc2656 </w:instrText>
      </w:r>
      <w:r>
        <w:rPr>
          <w:rFonts w:hint="eastAsia" w:ascii="宋体" w:hAnsi="宋体" w:eastAsia="宋体" w:cs="宋体"/>
          <w:sz w:val="21"/>
          <w:szCs w:val="21"/>
          <w:highlight w:val="none"/>
        </w:rPr>
        <w:fldChar w:fldCharType="separate"/>
      </w:r>
      <w:r>
        <w:rPr>
          <w:rFonts w:hint="eastAsia" w:cs="宋体"/>
          <w:sz w:val="21"/>
          <w:szCs w:val="21"/>
          <w:highlight w:val="none"/>
        </w:rPr>
        <w:t>第一部分投标邀请</w:t>
      </w:r>
      <w:r>
        <w:rPr>
          <w:rFonts w:hint="eastAsia" w:cs="宋体"/>
          <w:sz w:val="21"/>
          <w:szCs w:val="21"/>
        </w:rPr>
        <w:tab/>
      </w:r>
      <w:r>
        <w:rPr>
          <w:rFonts w:hint="eastAsia" w:cs="宋体"/>
          <w:sz w:val="21"/>
          <w:szCs w:val="21"/>
        </w:rPr>
        <w:fldChar w:fldCharType="begin"/>
      </w:r>
      <w:r>
        <w:rPr>
          <w:rFonts w:hint="eastAsia" w:cs="宋体"/>
          <w:sz w:val="21"/>
          <w:szCs w:val="21"/>
        </w:rPr>
        <w:instrText xml:space="preserve"> PAGEREF _Toc2656 \h </w:instrText>
      </w:r>
      <w:r>
        <w:rPr>
          <w:rFonts w:hint="eastAsia" w:cs="宋体"/>
          <w:sz w:val="21"/>
          <w:szCs w:val="21"/>
        </w:rPr>
        <w:fldChar w:fldCharType="separate"/>
      </w:r>
      <w:r>
        <w:rPr>
          <w:rFonts w:hint="eastAsia" w:cs="宋体"/>
          <w:sz w:val="21"/>
          <w:szCs w:val="21"/>
        </w:rPr>
        <w:t>5</w:t>
      </w:r>
      <w:r>
        <w:rPr>
          <w:rFonts w:hint="eastAsia" w:cs="宋体"/>
          <w:sz w:val="21"/>
          <w:szCs w:val="21"/>
        </w:rPr>
        <w:fldChar w:fldCharType="end"/>
      </w:r>
      <w:r>
        <w:rPr>
          <w:rFonts w:hint="eastAsia" w:ascii="宋体" w:hAnsi="宋体" w:eastAsia="宋体" w:cs="宋体"/>
          <w:color w:val="auto"/>
          <w:sz w:val="21"/>
          <w:szCs w:val="21"/>
          <w:highlight w:val="none"/>
        </w:rPr>
        <w:fldChar w:fldCharType="end"/>
      </w:r>
    </w:p>
    <w:p w14:paraId="00523A4C">
      <w:pPr>
        <w:pStyle w:val="12"/>
        <w:tabs>
          <w:tab w:val="right" w:leader="dot" w:pos="8306"/>
          <w:tab w:val="clear" w:pos="8296"/>
        </w:tabs>
        <w:rPr>
          <w:rFonts w:hint="eastAsia" w:ascii="宋体" w:hAnsi="宋体" w:cs="宋体"/>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_Toc30341 </w:instrText>
      </w:r>
      <w:r>
        <w:rPr>
          <w:rFonts w:hint="eastAsia" w:ascii="宋体" w:hAnsi="宋体" w:eastAsia="宋体" w:cs="宋体"/>
          <w:szCs w:val="21"/>
          <w:highlight w:val="none"/>
        </w:rPr>
        <w:fldChar w:fldCharType="separate"/>
      </w:r>
      <w:r>
        <w:rPr>
          <w:rFonts w:hint="eastAsia" w:ascii="宋体" w:hAnsi="宋体" w:cs="宋体"/>
          <w:highlight w:val="none"/>
        </w:rPr>
        <w:t>投标邀请书</w:t>
      </w:r>
      <w:r>
        <w:rPr>
          <w:rFonts w:hint="eastAsia" w:ascii="宋体" w:hAnsi="宋体" w:cs="宋体"/>
        </w:rPr>
        <w:tab/>
      </w:r>
      <w:r>
        <w:rPr>
          <w:rFonts w:hint="eastAsia" w:ascii="宋体" w:hAnsi="宋体" w:cs="宋体"/>
        </w:rPr>
        <w:fldChar w:fldCharType="begin"/>
      </w:r>
      <w:r>
        <w:rPr>
          <w:rFonts w:hint="eastAsia" w:ascii="宋体" w:hAnsi="宋体" w:cs="宋体"/>
        </w:rPr>
        <w:instrText xml:space="preserve"> PAGEREF _Toc30341 \h </w:instrText>
      </w:r>
      <w:r>
        <w:rPr>
          <w:rFonts w:hint="eastAsia" w:ascii="宋体" w:hAnsi="宋体" w:cs="宋体"/>
        </w:rPr>
        <w:fldChar w:fldCharType="separate"/>
      </w:r>
      <w:r>
        <w:rPr>
          <w:rFonts w:hint="eastAsia" w:ascii="宋体" w:hAnsi="宋体" w:cs="宋体"/>
        </w:rPr>
        <w:t>5</w:t>
      </w:r>
      <w:r>
        <w:rPr>
          <w:rFonts w:hint="eastAsia" w:ascii="宋体" w:hAnsi="宋体" w:cs="宋体"/>
        </w:rPr>
        <w:fldChar w:fldCharType="end"/>
      </w:r>
      <w:r>
        <w:rPr>
          <w:rFonts w:hint="eastAsia" w:ascii="宋体" w:hAnsi="宋体" w:eastAsia="宋体" w:cs="宋体"/>
          <w:color w:val="auto"/>
          <w:szCs w:val="21"/>
          <w:highlight w:val="none"/>
        </w:rPr>
        <w:fldChar w:fldCharType="end"/>
      </w:r>
    </w:p>
    <w:p w14:paraId="5EA3F12B">
      <w:pPr>
        <w:pStyle w:val="22"/>
        <w:tabs>
          <w:tab w:val="right" w:leader="dot" w:pos="8306"/>
          <w:tab w:val="clear" w:pos="8296"/>
        </w:tabs>
        <w:rPr>
          <w:rFonts w:hint="eastAsia" w:cs="宋体"/>
          <w:sz w:val="21"/>
          <w:szCs w:val="21"/>
        </w:rPr>
      </w:pPr>
      <w:r>
        <w:rPr>
          <w:rFonts w:hint="eastAsia" w:ascii="宋体" w:hAnsi="宋体" w:eastAsia="宋体" w:cs="宋体"/>
          <w:color w:val="auto"/>
          <w:sz w:val="21"/>
          <w:szCs w:val="21"/>
          <w:highlight w:val="none"/>
        </w:rPr>
        <w:fldChar w:fldCharType="begin"/>
      </w:r>
      <w:r>
        <w:rPr>
          <w:rFonts w:hint="eastAsia" w:ascii="宋体" w:hAnsi="宋体" w:eastAsia="宋体" w:cs="宋体"/>
          <w:sz w:val="21"/>
          <w:szCs w:val="21"/>
          <w:highlight w:val="none"/>
        </w:rPr>
        <w:instrText xml:space="preserve"> HYPERLINK \l _Toc21984 </w:instrText>
      </w:r>
      <w:r>
        <w:rPr>
          <w:rFonts w:hint="eastAsia" w:ascii="宋体" w:hAnsi="宋体" w:eastAsia="宋体" w:cs="宋体"/>
          <w:sz w:val="21"/>
          <w:szCs w:val="21"/>
          <w:highlight w:val="none"/>
        </w:rPr>
        <w:fldChar w:fldCharType="separate"/>
      </w:r>
      <w:r>
        <w:rPr>
          <w:rFonts w:hint="eastAsia" w:cs="宋体"/>
          <w:sz w:val="21"/>
          <w:szCs w:val="21"/>
          <w:highlight w:val="none"/>
        </w:rPr>
        <w:t>第二部分相关资料表格</w:t>
      </w:r>
      <w:r>
        <w:rPr>
          <w:rFonts w:hint="eastAsia" w:cs="宋体"/>
          <w:sz w:val="21"/>
          <w:szCs w:val="21"/>
        </w:rPr>
        <w:tab/>
      </w:r>
      <w:r>
        <w:rPr>
          <w:rFonts w:hint="eastAsia" w:cs="宋体"/>
          <w:sz w:val="21"/>
          <w:szCs w:val="21"/>
        </w:rPr>
        <w:fldChar w:fldCharType="begin"/>
      </w:r>
      <w:r>
        <w:rPr>
          <w:rFonts w:hint="eastAsia" w:cs="宋体"/>
          <w:sz w:val="21"/>
          <w:szCs w:val="21"/>
        </w:rPr>
        <w:instrText xml:space="preserve"> PAGEREF _Toc21984 \h </w:instrText>
      </w:r>
      <w:r>
        <w:rPr>
          <w:rFonts w:hint="eastAsia" w:cs="宋体"/>
          <w:sz w:val="21"/>
          <w:szCs w:val="21"/>
        </w:rPr>
        <w:fldChar w:fldCharType="separate"/>
      </w:r>
      <w:r>
        <w:rPr>
          <w:rFonts w:hint="eastAsia" w:cs="宋体"/>
          <w:sz w:val="21"/>
          <w:szCs w:val="21"/>
        </w:rPr>
        <w:t>10</w:t>
      </w:r>
      <w:r>
        <w:rPr>
          <w:rFonts w:hint="eastAsia" w:cs="宋体"/>
          <w:sz w:val="21"/>
          <w:szCs w:val="21"/>
        </w:rPr>
        <w:fldChar w:fldCharType="end"/>
      </w:r>
      <w:r>
        <w:rPr>
          <w:rFonts w:hint="eastAsia" w:ascii="宋体" w:hAnsi="宋体" w:eastAsia="宋体" w:cs="宋体"/>
          <w:color w:val="auto"/>
          <w:sz w:val="21"/>
          <w:szCs w:val="21"/>
          <w:highlight w:val="none"/>
        </w:rPr>
        <w:fldChar w:fldCharType="end"/>
      </w:r>
    </w:p>
    <w:p w14:paraId="6448205C">
      <w:pPr>
        <w:pStyle w:val="12"/>
        <w:tabs>
          <w:tab w:val="right" w:leader="dot" w:pos="8306"/>
          <w:tab w:val="clear" w:pos="8296"/>
        </w:tabs>
        <w:rPr>
          <w:rFonts w:hint="eastAsia" w:ascii="宋体" w:hAnsi="宋体" w:cs="宋体"/>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_Toc2399 </w:instrText>
      </w:r>
      <w:r>
        <w:rPr>
          <w:rFonts w:hint="eastAsia" w:ascii="宋体" w:hAnsi="宋体" w:eastAsia="宋体" w:cs="宋体"/>
          <w:szCs w:val="21"/>
          <w:highlight w:val="none"/>
        </w:rPr>
        <w:fldChar w:fldCharType="separate"/>
      </w:r>
      <w:r>
        <w:rPr>
          <w:rFonts w:hint="eastAsia" w:ascii="宋体" w:hAnsi="宋体" w:cs="宋体"/>
          <w:szCs w:val="21"/>
          <w:highlight w:val="none"/>
        </w:rPr>
        <w:t>附表一：投标资料表</w:t>
      </w:r>
      <w:r>
        <w:rPr>
          <w:rFonts w:hint="eastAsia" w:ascii="宋体" w:hAnsi="宋体" w:cs="宋体"/>
        </w:rPr>
        <w:tab/>
      </w:r>
      <w:r>
        <w:rPr>
          <w:rFonts w:hint="eastAsia" w:ascii="宋体" w:hAnsi="宋体" w:cs="宋体"/>
        </w:rPr>
        <w:fldChar w:fldCharType="begin"/>
      </w:r>
      <w:r>
        <w:rPr>
          <w:rFonts w:hint="eastAsia" w:ascii="宋体" w:hAnsi="宋体" w:cs="宋体"/>
        </w:rPr>
        <w:instrText xml:space="preserve"> PAGEREF _Toc2399 \h </w:instrText>
      </w:r>
      <w:r>
        <w:rPr>
          <w:rFonts w:hint="eastAsia" w:ascii="宋体" w:hAnsi="宋体" w:cs="宋体"/>
        </w:rPr>
        <w:fldChar w:fldCharType="separate"/>
      </w:r>
      <w:r>
        <w:rPr>
          <w:rFonts w:hint="eastAsia" w:ascii="宋体" w:hAnsi="宋体" w:cs="宋体"/>
        </w:rPr>
        <w:t>10</w:t>
      </w:r>
      <w:r>
        <w:rPr>
          <w:rFonts w:hint="eastAsia" w:ascii="宋体" w:hAnsi="宋体" w:cs="宋体"/>
        </w:rPr>
        <w:fldChar w:fldCharType="end"/>
      </w:r>
      <w:r>
        <w:rPr>
          <w:rFonts w:hint="eastAsia" w:ascii="宋体" w:hAnsi="宋体" w:eastAsia="宋体" w:cs="宋体"/>
          <w:color w:val="auto"/>
          <w:szCs w:val="21"/>
          <w:highlight w:val="none"/>
        </w:rPr>
        <w:fldChar w:fldCharType="end"/>
      </w:r>
    </w:p>
    <w:p w14:paraId="2C174820">
      <w:pPr>
        <w:pStyle w:val="22"/>
        <w:tabs>
          <w:tab w:val="right" w:leader="dot" w:pos="8306"/>
          <w:tab w:val="clear" w:pos="8296"/>
        </w:tabs>
        <w:rPr>
          <w:rFonts w:hint="eastAsia" w:cs="宋体"/>
          <w:sz w:val="21"/>
          <w:szCs w:val="21"/>
        </w:rPr>
      </w:pPr>
      <w:r>
        <w:rPr>
          <w:rFonts w:hint="eastAsia" w:ascii="宋体" w:hAnsi="宋体" w:eastAsia="宋体" w:cs="宋体"/>
          <w:color w:val="auto"/>
          <w:sz w:val="21"/>
          <w:szCs w:val="21"/>
          <w:highlight w:val="none"/>
        </w:rPr>
        <w:fldChar w:fldCharType="begin"/>
      </w:r>
      <w:r>
        <w:rPr>
          <w:rFonts w:hint="eastAsia" w:ascii="宋体" w:hAnsi="宋体" w:eastAsia="宋体" w:cs="宋体"/>
          <w:sz w:val="21"/>
          <w:szCs w:val="21"/>
          <w:highlight w:val="none"/>
        </w:rPr>
        <w:instrText xml:space="preserve"> HYPERLINK \l _Toc864 </w:instrText>
      </w:r>
      <w:r>
        <w:rPr>
          <w:rFonts w:hint="eastAsia" w:ascii="宋体" w:hAnsi="宋体" w:eastAsia="宋体" w:cs="宋体"/>
          <w:sz w:val="21"/>
          <w:szCs w:val="21"/>
          <w:highlight w:val="none"/>
        </w:rPr>
        <w:fldChar w:fldCharType="separate"/>
      </w:r>
      <w:r>
        <w:rPr>
          <w:rFonts w:hint="eastAsia" w:cs="宋体"/>
          <w:sz w:val="21"/>
          <w:szCs w:val="21"/>
          <w:highlight w:val="none"/>
        </w:rPr>
        <w:t>第三部分用户需求书</w:t>
      </w:r>
      <w:r>
        <w:rPr>
          <w:rFonts w:hint="eastAsia" w:cs="宋体"/>
          <w:sz w:val="21"/>
          <w:szCs w:val="21"/>
        </w:rPr>
        <w:tab/>
      </w:r>
      <w:r>
        <w:rPr>
          <w:rFonts w:hint="eastAsia" w:cs="宋体"/>
          <w:sz w:val="21"/>
          <w:szCs w:val="21"/>
        </w:rPr>
        <w:fldChar w:fldCharType="begin"/>
      </w:r>
      <w:r>
        <w:rPr>
          <w:rFonts w:hint="eastAsia" w:cs="宋体"/>
          <w:sz w:val="21"/>
          <w:szCs w:val="21"/>
        </w:rPr>
        <w:instrText xml:space="preserve"> PAGEREF _Toc864 \h </w:instrText>
      </w:r>
      <w:r>
        <w:rPr>
          <w:rFonts w:hint="eastAsia" w:cs="宋体"/>
          <w:sz w:val="21"/>
          <w:szCs w:val="21"/>
        </w:rPr>
        <w:fldChar w:fldCharType="separate"/>
      </w:r>
      <w:r>
        <w:rPr>
          <w:rFonts w:hint="eastAsia" w:cs="宋体"/>
          <w:sz w:val="21"/>
          <w:szCs w:val="21"/>
        </w:rPr>
        <w:t>15</w:t>
      </w:r>
      <w:r>
        <w:rPr>
          <w:rFonts w:hint="eastAsia" w:cs="宋体"/>
          <w:sz w:val="21"/>
          <w:szCs w:val="21"/>
        </w:rPr>
        <w:fldChar w:fldCharType="end"/>
      </w:r>
      <w:r>
        <w:rPr>
          <w:rFonts w:hint="eastAsia" w:ascii="宋体" w:hAnsi="宋体" w:eastAsia="宋体" w:cs="宋体"/>
          <w:color w:val="auto"/>
          <w:sz w:val="21"/>
          <w:szCs w:val="21"/>
          <w:highlight w:val="none"/>
        </w:rPr>
        <w:fldChar w:fldCharType="end"/>
      </w:r>
    </w:p>
    <w:p w14:paraId="7B2DFD62">
      <w:pPr>
        <w:pStyle w:val="22"/>
        <w:tabs>
          <w:tab w:val="right" w:leader="dot" w:pos="8306"/>
          <w:tab w:val="clear" w:pos="8296"/>
        </w:tabs>
        <w:rPr>
          <w:rFonts w:hint="eastAsia" w:cs="宋体"/>
          <w:sz w:val="21"/>
          <w:szCs w:val="21"/>
        </w:rPr>
      </w:pPr>
      <w:r>
        <w:rPr>
          <w:rFonts w:hint="eastAsia" w:ascii="宋体" w:hAnsi="宋体" w:eastAsia="宋体" w:cs="宋体"/>
          <w:color w:val="auto"/>
          <w:sz w:val="21"/>
          <w:szCs w:val="21"/>
          <w:highlight w:val="none"/>
        </w:rPr>
        <w:fldChar w:fldCharType="begin"/>
      </w:r>
      <w:r>
        <w:rPr>
          <w:rFonts w:hint="eastAsia" w:ascii="宋体" w:hAnsi="宋体" w:eastAsia="宋体" w:cs="宋体"/>
          <w:sz w:val="21"/>
          <w:szCs w:val="21"/>
          <w:highlight w:val="none"/>
        </w:rPr>
        <w:instrText xml:space="preserve"> HYPERLINK \l _Toc31825 </w:instrText>
      </w:r>
      <w:r>
        <w:rPr>
          <w:rFonts w:hint="eastAsia" w:ascii="宋体" w:hAnsi="宋体" w:eastAsia="宋体" w:cs="宋体"/>
          <w:sz w:val="21"/>
          <w:szCs w:val="21"/>
          <w:highlight w:val="none"/>
        </w:rPr>
        <w:fldChar w:fldCharType="separate"/>
      </w:r>
      <w:r>
        <w:rPr>
          <w:rFonts w:hint="eastAsia" w:ascii="宋体" w:hAnsi="宋体" w:cs="宋体"/>
          <w:sz w:val="21"/>
          <w:szCs w:val="21"/>
          <w:highlight w:val="none"/>
        </w:rPr>
        <w:t>第一章 商务需求书</w:t>
      </w:r>
      <w:r>
        <w:rPr>
          <w:rFonts w:hint="eastAsia" w:cs="宋体"/>
          <w:sz w:val="21"/>
          <w:szCs w:val="21"/>
        </w:rPr>
        <w:tab/>
      </w:r>
      <w:r>
        <w:rPr>
          <w:rFonts w:hint="eastAsia" w:cs="宋体"/>
          <w:sz w:val="21"/>
          <w:szCs w:val="21"/>
        </w:rPr>
        <w:fldChar w:fldCharType="begin"/>
      </w:r>
      <w:r>
        <w:rPr>
          <w:rFonts w:hint="eastAsia" w:cs="宋体"/>
          <w:sz w:val="21"/>
          <w:szCs w:val="21"/>
        </w:rPr>
        <w:instrText xml:space="preserve"> PAGEREF _Toc31825 \h </w:instrText>
      </w:r>
      <w:r>
        <w:rPr>
          <w:rFonts w:hint="eastAsia" w:cs="宋体"/>
          <w:sz w:val="21"/>
          <w:szCs w:val="21"/>
        </w:rPr>
        <w:fldChar w:fldCharType="separate"/>
      </w:r>
      <w:r>
        <w:rPr>
          <w:rFonts w:hint="eastAsia" w:cs="宋体"/>
          <w:sz w:val="21"/>
          <w:szCs w:val="21"/>
        </w:rPr>
        <w:t>15</w:t>
      </w:r>
      <w:r>
        <w:rPr>
          <w:rFonts w:hint="eastAsia" w:cs="宋体"/>
          <w:sz w:val="21"/>
          <w:szCs w:val="21"/>
        </w:rPr>
        <w:fldChar w:fldCharType="end"/>
      </w:r>
      <w:r>
        <w:rPr>
          <w:rFonts w:hint="eastAsia" w:ascii="宋体" w:hAnsi="宋体" w:eastAsia="宋体" w:cs="宋体"/>
          <w:color w:val="auto"/>
          <w:sz w:val="21"/>
          <w:szCs w:val="21"/>
          <w:highlight w:val="none"/>
        </w:rPr>
        <w:fldChar w:fldCharType="end"/>
      </w:r>
    </w:p>
    <w:p w14:paraId="45845035">
      <w:pPr>
        <w:pStyle w:val="22"/>
        <w:tabs>
          <w:tab w:val="right" w:leader="dot" w:pos="8306"/>
          <w:tab w:val="clear" w:pos="8296"/>
        </w:tabs>
        <w:rPr>
          <w:rFonts w:hint="eastAsia" w:cs="宋体"/>
          <w:sz w:val="21"/>
          <w:szCs w:val="21"/>
        </w:rPr>
      </w:pPr>
      <w:r>
        <w:rPr>
          <w:rFonts w:hint="eastAsia" w:ascii="宋体" w:hAnsi="宋体" w:eastAsia="宋体" w:cs="宋体"/>
          <w:color w:val="auto"/>
          <w:sz w:val="21"/>
          <w:szCs w:val="21"/>
          <w:highlight w:val="none"/>
        </w:rPr>
        <w:fldChar w:fldCharType="begin"/>
      </w:r>
      <w:r>
        <w:rPr>
          <w:rFonts w:hint="eastAsia" w:ascii="宋体" w:hAnsi="宋体" w:eastAsia="宋体" w:cs="宋体"/>
          <w:sz w:val="21"/>
          <w:szCs w:val="21"/>
          <w:highlight w:val="none"/>
        </w:rPr>
        <w:instrText xml:space="preserve"> HYPERLINK \l _Toc12113 </w:instrText>
      </w:r>
      <w:r>
        <w:rPr>
          <w:rFonts w:hint="eastAsia" w:ascii="宋体" w:hAnsi="宋体" w:eastAsia="宋体" w:cs="宋体"/>
          <w:sz w:val="21"/>
          <w:szCs w:val="21"/>
          <w:highlight w:val="none"/>
        </w:rPr>
        <w:fldChar w:fldCharType="separate"/>
      </w:r>
      <w:r>
        <w:rPr>
          <w:rFonts w:hint="eastAsia" w:ascii="宋体" w:hAnsi="宋体" w:cs="宋体"/>
          <w:sz w:val="21"/>
          <w:szCs w:val="21"/>
          <w:highlight w:val="none"/>
        </w:rPr>
        <w:t>第二章 技术需求书</w:t>
      </w:r>
      <w:r>
        <w:rPr>
          <w:rFonts w:hint="eastAsia" w:cs="宋体"/>
          <w:sz w:val="21"/>
          <w:szCs w:val="21"/>
        </w:rPr>
        <w:tab/>
      </w:r>
      <w:r>
        <w:rPr>
          <w:rFonts w:hint="eastAsia" w:cs="宋体"/>
          <w:sz w:val="21"/>
          <w:szCs w:val="21"/>
        </w:rPr>
        <w:fldChar w:fldCharType="begin"/>
      </w:r>
      <w:r>
        <w:rPr>
          <w:rFonts w:hint="eastAsia" w:cs="宋体"/>
          <w:sz w:val="21"/>
          <w:szCs w:val="21"/>
        </w:rPr>
        <w:instrText xml:space="preserve"> PAGEREF _Toc12113 \h </w:instrText>
      </w:r>
      <w:r>
        <w:rPr>
          <w:rFonts w:hint="eastAsia" w:cs="宋体"/>
          <w:sz w:val="21"/>
          <w:szCs w:val="21"/>
        </w:rPr>
        <w:fldChar w:fldCharType="separate"/>
      </w:r>
      <w:r>
        <w:rPr>
          <w:rFonts w:hint="eastAsia" w:cs="宋体"/>
          <w:sz w:val="21"/>
          <w:szCs w:val="21"/>
        </w:rPr>
        <w:t>17</w:t>
      </w:r>
      <w:r>
        <w:rPr>
          <w:rFonts w:hint="eastAsia" w:cs="宋体"/>
          <w:sz w:val="21"/>
          <w:szCs w:val="21"/>
        </w:rPr>
        <w:fldChar w:fldCharType="end"/>
      </w:r>
      <w:r>
        <w:rPr>
          <w:rFonts w:hint="eastAsia" w:ascii="宋体" w:hAnsi="宋体" w:eastAsia="宋体" w:cs="宋体"/>
          <w:color w:val="auto"/>
          <w:sz w:val="21"/>
          <w:szCs w:val="21"/>
          <w:highlight w:val="none"/>
        </w:rPr>
        <w:fldChar w:fldCharType="end"/>
      </w:r>
    </w:p>
    <w:p w14:paraId="6C709194">
      <w:pPr>
        <w:pStyle w:val="12"/>
        <w:tabs>
          <w:tab w:val="right" w:leader="dot" w:pos="8306"/>
          <w:tab w:val="clear" w:pos="8296"/>
        </w:tabs>
        <w:rPr>
          <w:rFonts w:hint="eastAsia" w:ascii="宋体" w:hAnsi="宋体" w:cs="宋体"/>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_Toc1229 </w:instrText>
      </w:r>
      <w:r>
        <w:rPr>
          <w:rFonts w:hint="eastAsia" w:ascii="宋体" w:hAnsi="宋体" w:eastAsia="宋体" w:cs="宋体"/>
          <w:szCs w:val="21"/>
          <w:highlight w:val="none"/>
        </w:rPr>
        <w:fldChar w:fldCharType="separate"/>
      </w:r>
      <w:r>
        <w:rPr>
          <w:rFonts w:hint="eastAsia" w:ascii="宋体" w:hAnsi="宋体" w:eastAsia="宋体" w:cs="宋体"/>
          <w:bCs/>
          <w:szCs w:val="21"/>
          <w:highlight w:val="none"/>
          <w:lang w:val="en-US" w:eastAsia="zh-CN" w:bidi="ar-SA"/>
        </w:rPr>
        <w:t>一、</w:t>
      </w:r>
      <w:r>
        <w:rPr>
          <w:rFonts w:hint="eastAsia" w:ascii="宋体" w:hAnsi="宋体" w:eastAsia="宋体" w:cs="宋体"/>
          <w:bCs/>
          <w:szCs w:val="21"/>
          <w:highlight w:val="none"/>
        </w:rPr>
        <w:t>项目概况</w:t>
      </w:r>
      <w:r>
        <w:rPr>
          <w:rFonts w:hint="eastAsia" w:ascii="宋体" w:hAnsi="宋体" w:cs="宋体"/>
        </w:rPr>
        <w:tab/>
      </w:r>
      <w:r>
        <w:rPr>
          <w:rFonts w:hint="eastAsia" w:ascii="宋体" w:hAnsi="宋体" w:cs="宋体"/>
        </w:rPr>
        <w:fldChar w:fldCharType="begin"/>
      </w:r>
      <w:r>
        <w:rPr>
          <w:rFonts w:hint="eastAsia" w:ascii="宋体" w:hAnsi="宋体" w:cs="宋体"/>
        </w:rPr>
        <w:instrText xml:space="preserve"> PAGEREF _Toc1229 \h </w:instrText>
      </w:r>
      <w:r>
        <w:rPr>
          <w:rFonts w:hint="eastAsia" w:ascii="宋体" w:hAnsi="宋体" w:cs="宋体"/>
        </w:rPr>
        <w:fldChar w:fldCharType="separate"/>
      </w:r>
      <w:r>
        <w:rPr>
          <w:rFonts w:hint="eastAsia" w:ascii="宋体" w:hAnsi="宋体" w:cs="宋体"/>
        </w:rPr>
        <w:t>17</w:t>
      </w:r>
      <w:r>
        <w:rPr>
          <w:rFonts w:hint="eastAsia" w:ascii="宋体" w:hAnsi="宋体" w:cs="宋体"/>
        </w:rPr>
        <w:fldChar w:fldCharType="end"/>
      </w:r>
      <w:r>
        <w:rPr>
          <w:rFonts w:hint="eastAsia" w:ascii="宋体" w:hAnsi="宋体" w:eastAsia="宋体" w:cs="宋体"/>
          <w:color w:val="auto"/>
          <w:szCs w:val="21"/>
          <w:highlight w:val="none"/>
        </w:rPr>
        <w:fldChar w:fldCharType="end"/>
      </w:r>
    </w:p>
    <w:p w14:paraId="610611DE">
      <w:pPr>
        <w:pStyle w:val="12"/>
        <w:tabs>
          <w:tab w:val="right" w:leader="dot" w:pos="8306"/>
          <w:tab w:val="clear" w:pos="8296"/>
        </w:tabs>
        <w:rPr>
          <w:rFonts w:hint="eastAsia" w:ascii="宋体" w:hAnsi="宋体" w:cs="宋体"/>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_Toc8467 </w:instrText>
      </w:r>
      <w:r>
        <w:rPr>
          <w:rFonts w:hint="eastAsia" w:ascii="宋体" w:hAnsi="宋体" w:eastAsia="宋体" w:cs="宋体"/>
          <w:szCs w:val="21"/>
          <w:highlight w:val="none"/>
        </w:rPr>
        <w:fldChar w:fldCharType="separate"/>
      </w:r>
      <w:r>
        <w:rPr>
          <w:rFonts w:hint="eastAsia" w:ascii="宋体" w:hAnsi="宋体" w:eastAsia="宋体" w:cs="宋体"/>
          <w:bCs/>
          <w:szCs w:val="21"/>
          <w:highlight w:val="none"/>
          <w:lang w:val="en-US" w:eastAsia="zh-CN" w:bidi="ar-SA"/>
        </w:rPr>
        <w:t>二、</w:t>
      </w:r>
      <w:r>
        <w:rPr>
          <w:rFonts w:hint="eastAsia" w:ascii="宋体" w:hAnsi="宋体" w:eastAsia="宋体" w:cs="宋体"/>
          <w:bCs/>
          <w:szCs w:val="21"/>
          <w:highlight w:val="none"/>
        </w:rPr>
        <w:t>服务内容</w:t>
      </w:r>
      <w:r>
        <w:rPr>
          <w:rFonts w:hint="eastAsia" w:ascii="宋体" w:hAnsi="宋体" w:cs="宋体"/>
        </w:rPr>
        <w:tab/>
      </w:r>
      <w:r>
        <w:rPr>
          <w:rFonts w:hint="eastAsia" w:ascii="宋体" w:hAnsi="宋体" w:cs="宋体"/>
        </w:rPr>
        <w:fldChar w:fldCharType="begin"/>
      </w:r>
      <w:r>
        <w:rPr>
          <w:rFonts w:hint="eastAsia" w:ascii="宋体" w:hAnsi="宋体" w:cs="宋体"/>
        </w:rPr>
        <w:instrText xml:space="preserve"> PAGEREF _Toc8467 \h </w:instrText>
      </w:r>
      <w:r>
        <w:rPr>
          <w:rFonts w:hint="eastAsia" w:ascii="宋体" w:hAnsi="宋体" w:cs="宋体"/>
        </w:rPr>
        <w:fldChar w:fldCharType="separate"/>
      </w:r>
      <w:r>
        <w:rPr>
          <w:rFonts w:hint="eastAsia" w:ascii="宋体" w:hAnsi="宋体" w:cs="宋体"/>
        </w:rPr>
        <w:t>17</w:t>
      </w:r>
      <w:r>
        <w:rPr>
          <w:rFonts w:hint="eastAsia" w:ascii="宋体" w:hAnsi="宋体" w:cs="宋体"/>
        </w:rPr>
        <w:fldChar w:fldCharType="end"/>
      </w:r>
      <w:r>
        <w:rPr>
          <w:rFonts w:hint="eastAsia" w:ascii="宋体" w:hAnsi="宋体" w:eastAsia="宋体" w:cs="宋体"/>
          <w:color w:val="auto"/>
          <w:szCs w:val="21"/>
          <w:highlight w:val="none"/>
        </w:rPr>
        <w:fldChar w:fldCharType="end"/>
      </w:r>
    </w:p>
    <w:p w14:paraId="340D3040">
      <w:pPr>
        <w:pStyle w:val="12"/>
        <w:tabs>
          <w:tab w:val="right" w:leader="dot" w:pos="8306"/>
          <w:tab w:val="clear" w:pos="8296"/>
        </w:tabs>
        <w:rPr>
          <w:rFonts w:hint="eastAsia" w:ascii="宋体" w:hAnsi="宋体" w:cs="宋体"/>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_Toc32128 </w:instrText>
      </w:r>
      <w:r>
        <w:rPr>
          <w:rFonts w:hint="eastAsia" w:ascii="宋体" w:hAnsi="宋体" w:eastAsia="宋体" w:cs="宋体"/>
          <w:szCs w:val="21"/>
          <w:highlight w:val="none"/>
        </w:rPr>
        <w:fldChar w:fldCharType="separate"/>
      </w:r>
      <w:r>
        <w:rPr>
          <w:rFonts w:hint="eastAsia" w:ascii="宋体" w:hAnsi="宋体" w:eastAsia="宋体" w:cs="宋体"/>
          <w:bCs/>
          <w:szCs w:val="21"/>
          <w:highlight w:val="none"/>
          <w:lang w:val="en-US" w:eastAsia="zh-CN" w:bidi="ar-SA"/>
        </w:rPr>
        <w:t>三、</w:t>
      </w:r>
      <w:r>
        <w:rPr>
          <w:rFonts w:hint="eastAsia" w:ascii="宋体" w:hAnsi="宋体" w:eastAsia="宋体" w:cs="宋体"/>
          <w:bCs/>
          <w:szCs w:val="21"/>
          <w:highlight w:val="none"/>
        </w:rPr>
        <w:t>服务承接范围</w:t>
      </w:r>
      <w:r>
        <w:rPr>
          <w:rFonts w:hint="eastAsia" w:ascii="宋体" w:hAnsi="宋体" w:cs="宋体"/>
        </w:rPr>
        <w:tab/>
      </w:r>
      <w:r>
        <w:rPr>
          <w:rFonts w:hint="eastAsia" w:ascii="宋体" w:hAnsi="宋体" w:cs="宋体"/>
        </w:rPr>
        <w:fldChar w:fldCharType="begin"/>
      </w:r>
      <w:r>
        <w:rPr>
          <w:rFonts w:hint="eastAsia" w:ascii="宋体" w:hAnsi="宋体" w:cs="宋体"/>
        </w:rPr>
        <w:instrText xml:space="preserve"> PAGEREF _Toc32128 \h </w:instrText>
      </w:r>
      <w:r>
        <w:rPr>
          <w:rFonts w:hint="eastAsia" w:ascii="宋体" w:hAnsi="宋体" w:cs="宋体"/>
        </w:rPr>
        <w:fldChar w:fldCharType="separate"/>
      </w:r>
      <w:r>
        <w:rPr>
          <w:rFonts w:hint="eastAsia" w:ascii="宋体" w:hAnsi="宋体" w:cs="宋体"/>
        </w:rPr>
        <w:t>17</w:t>
      </w:r>
      <w:r>
        <w:rPr>
          <w:rFonts w:hint="eastAsia" w:ascii="宋体" w:hAnsi="宋体" w:cs="宋体"/>
        </w:rPr>
        <w:fldChar w:fldCharType="end"/>
      </w:r>
      <w:r>
        <w:rPr>
          <w:rFonts w:hint="eastAsia" w:ascii="宋体" w:hAnsi="宋体" w:eastAsia="宋体" w:cs="宋体"/>
          <w:color w:val="auto"/>
          <w:szCs w:val="21"/>
          <w:highlight w:val="none"/>
        </w:rPr>
        <w:fldChar w:fldCharType="end"/>
      </w:r>
    </w:p>
    <w:p w14:paraId="1506F53F">
      <w:pPr>
        <w:pStyle w:val="12"/>
        <w:tabs>
          <w:tab w:val="right" w:leader="dot" w:pos="8306"/>
          <w:tab w:val="clear" w:pos="8296"/>
        </w:tabs>
        <w:rPr>
          <w:rFonts w:hint="eastAsia" w:ascii="宋体" w:hAnsi="宋体" w:cs="宋体"/>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_Toc32302 </w:instrText>
      </w:r>
      <w:r>
        <w:rPr>
          <w:rFonts w:hint="eastAsia" w:ascii="宋体" w:hAnsi="宋体" w:eastAsia="宋体" w:cs="宋体"/>
          <w:szCs w:val="21"/>
          <w:highlight w:val="none"/>
        </w:rPr>
        <w:fldChar w:fldCharType="separate"/>
      </w:r>
      <w:r>
        <w:rPr>
          <w:rFonts w:hint="eastAsia" w:ascii="宋体" w:hAnsi="宋体" w:eastAsia="宋体" w:cs="宋体"/>
          <w:bCs/>
          <w:szCs w:val="21"/>
          <w:highlight w:val="none"/>
          <w:lang w:val="en-US" w:eastAsia="zh-CN"/>
        </w:rPr>
        <w:t>四</w:t>
      </w:r>
      <w:r>
        <w:rPr>
          <w:rFonts w:hint="eastAsia" w:ascii="宋体" w:hAnsi="宋体" w:eastAsia="宋体" w:cs="宋体"/>
          <w:bCs/>
          <w:szCs w:val="21"/>
          <w:highlight w:val="none"/>
        </w:rPr>
        <w:t>、</w:t>
      </w:r>
      <w:r>
        <w:rPr>
          <w:rFonts w:hint="eastAsia" w:ascii="宋体" w:hAnsi="宋体" w:eastAsia="宋体" w:cs="宋体"/>
          <w:bCs/>
          <w:szCs w:val="21"/>
          <w:highlight w:val="none"/>
          <w:lang w:val="en-US" w:eastAsia="zh-CN"/>
        </w:rPr>
        <w:t>相关要求</w:t>
      </w:r>
      <w:r>
        <w:rPr>
          <w:rFonts w:hint="eastAsia" w:ascii="宋体" w:hAnsi="宋体" w:cs="宋体"/>
        </w:rPr>
        <w:tab/>
      </w:r>
      <w:r>
        <w:rPr>
          <w:rFonts w:hint="eastAsia" w:ascii="宋体" w:hAnsi="宋体" w:cs="宋体"/>
        </w:rPr>
        <w:fldChar w:fldCharType="begin"/>
      </w:r>
      <w:r>
        <w:rPr>
          <w:rFonts w:hint="eastAsia" w:ascii="宋体" w:hAnsi="宋体" w:cs="宋体"/>
        </w:rPr>
        <w:instrText xml:space="preserve"> PAGEREF _Toc32302 \h </w:instrText>
      </w:r>
      <w:r>
        <w:rPr>
          <w:rFonts w:hint="eastAsia" w:ascii="宋体" w:hAnsi="宋体" w:cs="宋体"/>
        </w:rPr>
        <w:fldChar w:fldCharType="separate"/>
      </w:r>
      <w:r>
        <w:rPr>
          <w:rFonts w:hint="eastAsia" w:ascii="宋体" w:hAnsi="宋体" w:cs="宋体"/>
        </w:rPr>
        <w:t>18</w:t>
      </w:r>
      <w:r>
        <w:rPr>
          <w:rFonts w:hint="eastAsia" w:ascii="宋体" w:hAnsi="宋体" w:cs="宋体"/>
        </w:rPr>
        <w:fldChar w:fldCharType="end"/>
      </w:r>
      <w:r>
        <w:rPr>
          <w:rFonts w:hint="eastAsia" w:ascii="宋体" w:hAnsi="宋体" w:eastAsia="宋体" w:cs="宋体"/>
          <w:color w:val="auto"/>
          <w:szCs w:val="21"/>
          <w:highlight w:val="none"/>
        </w:rPr>
        <w:fldChar w:fldCharType="end"/>
      </w:r>
    </w:p>
    <w:p w14:paraId="0C03C94A">
      <w:pPr>
        <w:pStyle w:val="12"/>
        <w:tabs>
          <w:tab w:val="right" w:leader="dot" w:pos="8306"/>
          <w:tab w:val="clear" w:pos="8296"/>
        </w:tabs>
        <w:rPr>
          <w:rFonts w:hint="eastAsia" w:ascii="宋体" w:hAnsi="宋体" w:cs="宋体"/>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_Toc32055 </w:instrText>
      </w:r>
      <w:r>
        <w:rPr>
          <w:rFonts w:hint="eastAsia" w:ascii="宋体" w:hAnsi="宋体" w:eastAsia="宋体" w:cs="宋体"/>
          <w:szCs w:val="21"/>
          <w:highlight w:val="none"/>
        </w:rPr>
        <w:fldChar w:fldCharType="separate"/>
      </w:r>
      <w:r>
        <w:rPr>
          <w:rFonts w:hint="eastAsia" w:ascii="宋体" w:hAnsi="宋体" w:cs="宋体"/>
          <w:bCs/>
          <w:szCs w:val="21"/>
          <w:highlight w:val="none"/>
          <w:lang w:val="en-US" w:eastAsia="zh-CN"/>
        </w:rPr>
        <w:t>五</w:t>
      </w:r>
      <w:r>
        <w:rPr>
          <w:rFonts w:hint="eastAsia" w:ascii="宋体" w:hAnsi="宋体" w:eastAsia="宋体" w:cs="宋体"/>
          <w:bCs/>
          <w:szCs w:val="21"/>
          <w:highlight w:val="none"/>
        </w:rPr>
        <w:t>、服务要求</w:t>
      </w:r>
      <w:r>
        <w:rPr>
          <w:rFonts w:hint="eastAsia" w:ascii="宋体" w:hAnsi="宋体" w:cs="宋体"/>
        </w:rPr>
        <w:tab/>
      </w:r>
      <w:r>
        <w:rPr>
          <w:rFonts w:hint="eastAsia" w:ascii="宋体" w:hAnsi="宋体" w:cs="宋体"/>
        </w:rPr>
        <w:fldChar w:fldCharType="begin"/>
      </w:r>
      <w:r>
        <w:rPr>
          <w:rFonts w:hint="eastAsia" w:ascii="宋体" w:hAnsi="宋体" w:cs="宋体"/>
        </w:rPr>
        <w:instrText xml:space="preserve"> PAGEREF _Toc32055 \h </w:instrText>
      </w:r>
      <w:r>
        <w:rPr>
          <w:rFonts w:hint="eastAsia" w:ascii="宋体" w:hAnsi="宋体" w:cs="宋体"/>
        </w:rPr>
        <w:fldChar w:fldCharType="separate"/>
      </w:r>
      <w:r>
        <w:rPr>
          <w:rFonts w:hint="eastAsia" w:ascii="宋体" w:hAnsi="宋体" w:cs="宋体"/>
        </w:rPr>
        <w:t>19</w:t>
      </w:r>
      <w:r>
        <w:rPr>
          <w:rFonts w:hint="eastAsia" w:ascii="宋体" w:hAnsi="宋体" w:cs="宋体"/>
        </w:rPr>
        <w:fldChar w:fldCharType="end"/>
      </w:r>
      <w:r>
        <w:rPr>
          <w:rFonts w:hint="eastAsia" w:ascii="宋体" w:hAnsi="宋体" w:eastAsia="宋体" w:cs="宋体"/>
          <w:color w:val="auto"/>
          <w:szCs w:val="21"/>
          <w:highlight w:val="none"/>
        </w:rPr>
        <w:fldChar w:fldCharType="end"/>
      </w:r>
    </w:p>
    <w:p w14:paraId="677D6F49">
      <w:pPr>
        <w:pStyle w:val="12"/>
        <w:tabs>
          <w:tab w:val="right" w:leader="dot" w:pos="8306"/>
          <w:tab w:val="clear" w:pos="8296"/>
        </w:tabs>
        <w:rPr>
          <w:rFonts w:hint="eastAsia" w:ascii="宋体" w:hAnsi="宋体" w:cs="宋体"/>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_Toc29711 </w:instrText>
      </w:r>
      <w:r>
        <w:rPr>
          <w:rFonts w:hint="eastAsia" w:ascii="宋体" w:hAnsi="宋体" w:eastAsia="宋体" w:cs="宋体"/>
          <w:szCs w:val="21"/>
          <w:highlight w:val="none"/>
        </w:rPr>
        <w:fldChar w:fldCharType="separate"/>
      </w:r>
      <w:r>
        <w:rPr>
          <w:rFonts w:hint="eastAsia" w:ascii="宋体" w:hAnsi="宋体" w:cs="宋体"/>
          <w:bCs/>
          <w:szCs w:val="21"/>
          <w:highlight w:val="none"/>
          <w:lang w:val="en-US" w:eastAsia="zh-CN"/>
        </w:rPr>
        <w:t>六</w:t>
      </w:r>
      <w:r>
        <w:rPr>
          <w:rFonts w:hint="eastAsia" w:ascii="宋体" w:hAnsi="宋体" w:eastAsia="宋体" w:cs="宋体"/>
          <w:bCs/>
          <w:szCs w:val="21"/>
          <w:highlight w:val="none"/>
        </w:rPr>
        <w:t>、服务质量</w:t>
      </w:r>
      <w:r>
        <w:rPr>
          <w:rFonts w:hint="eastAsia" w:ascii="宋体" w:hAnsi="宋体" w:cs="宋体"/>
        </w:rPr>
        <w:tab/>
      </w:r>
      <w:r>
        <w:rPr>
          <w:rFonts w:hint="eastAsia" w:ascii="宋体" w:hAnsi="宋体" w:cs="宋体"/>
        </w:rPr>
        <w:fldChar w:fldCharType="begin"/>
      </w:r>
      <w:r>
        <w:rPr>
          <w:rFonts w:hint="eastAsia" w:ascii="宋体" w:hAnsi="宋体" w:cs="宋体"/>
        </w:rPr>
        <w:instrText xml:space="preserve"> PAGEREF _Toc29711 \h </w:instrText>
      </w:r>
      <w:r>
        <w:rPr>
          <w:rFonts w:hint="eastAsia" w:ascii="宋体" w:hAnsi="宋体" w:cs="宋体"/>
        </w:rPr>
        <w:fldChar w:fldCharType="separate"/>
      </w:r>
      <w:r>
        <w:rPr>
          <w:rFonts w:hint="eastAsia" w:ascii="宋体" w:hAnsi="宋体" w:cs="宋体"/>
        </w:rPr>
        <w:t>20</w:t>
      </w:r>
      <w:r>
        <w:rPr>
          <w:rFonts w:hint="eastAsia" w:ascii="宋体" w:hAnsi="宋体" w:cs="宋体"/>
        </w:rPr>
        <w:fldChar w:fldCharType="end"/>
      </w:r>
      <w:r>
        <w:rPr>
          <w:rFonts w:hint="eastAsia" w:ascii="宋体" w:hAnsi="宋体" w:eastAsia="宋体" w:cs="宋体"/>
          <w:color w:val="auto"/>
          <w:szCs w:val="21"/>
          <w:highlight w:val="none"/>
        </w:rPr>
        <w:fldChar w:fldCharType="end"/>
      </w:r>
    </w:p>
    <w:p w14:paraId="195BAEBA">
      <w:pPr>
        <w:pStyle w:val="22"/>
        <w:tabs>
          <w:tab w:val="right" w:leader="dot" w:pos="8306"/>
          <w:tab w:val="clear" w:pos="8296"/>
        </w:tabs>
        <w:rPr>
          <w:rFonts w:hint="eastAsia" w:cs="宋体"/>
          <w:sz w:val="21"/>
          <w:szCs w:val="21"/>
        </w:rPr>
      </w:pPr>
      <w:r>
        <w:rPr>
          <w:rFonts w:hint="eastAsia" w:ascii="宋体" w:hAnsi="宋体" w:eastAsia="宋体" w:cs="宋体"/>
          <w:color w:val="auto"/>
          <w:sz w:val="21"/>
          <w:szCs w:val="21"/>
          <w:highlight w:val="none"/>
        </w:rPr>
        <w:fldChar w:fldCharType="begin"/>
      </w:r>
      <w:r>
        <w:rPr>
          <w:rFonts w:hint="eastAsia" w:ascii="宋体" w:hAnsi="宋体" w:eastAsia="宋体" w:cs="宋体"/>
          <w:sz w:val="21"/>
          <w:szCs w:val="21"/>
          <w:highlight w:val="none"/>
        </w:rPr>
        <w:instrText xml:space="preserve"> HYPERLINK \l _Toc3612 </w:instrText>
      </w:r>
      <w:r>
        <w:rPr>
          <w:rFonts w:hint="eastAsia" w:ascii="宋体" w:hAnsi="宋体" w:eastAsia="宋体" w:cs="宋体"/>
          <w:sz w:val="21"/>
          <w:szCs w:val="21"/>
          <w:highlight w:val="none"/>
        </w:rPr>
        <w:fldChar w:fldCharType="separate"/>
      </w:r>
      <w:r>
        <w:rPr>
          <w:rFonts w:hint="eastAsia" w:ascii="宋体" w:hAnsi="宋体" w:cs="宋体"/>
          <w:sz w:val="21"/>
          <w:szCs w:val="21"/>
          <w:highlight w:val="none"/>
        </w:rPr>
        <w:t>技术需求书附件</w:t>
      </w:r>
      <w:r>
        <w:rPr>
          <w:rFonts w:hint="eastAsia" w:ascii="宋体" w:hAnsi="宋体" w:cs="宋体"/>
          <w:sz w:val="21"/>
          <w:szCs w:val="21"/>
          <w:highlight w:val="none"/>
          <w:lang w:val="en-US" w:eastAsia="zh-CN"/>
        </w:rPr>
        <w:t>1</w:t>
      </w:r>
      <w:r>
        <w:rPr>
          <w:rFonts w:hint="eastAsia" w:ascii="宋体" w:hAnsi="宋体" w:cs="宋体"/>
          <w:sz w:val="21"/>
          <w:szCs w:val="21"/>
          <w:highlight w:val="none"/>
        </w:rPr>
        <w:t>：《运输车辆名册》</w:t>
      </w:r>
      <w:r>
        <w:rPr>
          <w:rFonts w:hint="eastAsia" w:cs="宋体"/>
          <w:sz w:val="21"/>
          <w:szCs w:val="21"/>
        </w:rPr>
        <w:tab/>
      </w:r>
      <w:r>
        <w:rPr>
          <w:rFonts w:hint="eastAsia" w:cs="宋体"/>
          <w:sz w:val="21"/>
          <w:szCs w:val="21"/>
        </w:rPr>
        <w:fldChar w:fldCharType="begin"/>
      </w:r>
      <w:r>
        <w:rPr>
          <w:rFonts w:hint="eastAsia" w:cs="宋体"/>
          <w:sz w:val="21"/>
          <w:szCs w:val="21"/>
        </w:rPr>
        <w:instrText xml:space="preserve"> PAGEREF _Toc3612 \h </w:instrText>
      </w:r>
      <w:r>
        <w:rPr>
          <w:rFonts w:hint="eastAsia" w:cs="宋体"/>
          <w:sz w:val="21"/>
          <w:szCs w:val="21"/>
        </w:rPr>
        <w:fldChar w:fldCharType="separate"/>
      </w:r>
      <w:r>
        <w:rPr>
          <w:rFonts w:hint="eastAsia" w:cs="宋体"/>
          <w:sz w:val="21"/>
          <w:szCs w:val="21"/>
        </w:rPr>
        <w:t>21</w:t>
      </w:r>
      <w:r>
        <w:rPr>
          <w:rFonts w:hint="eastAsia" w:cs="宋体"/>
          <w:sz w:val="21"/>
          <w:szCs w:val="21"/>
        </w:rPr>
        <w:fldChar w:fldCharType="end"/>
      </w:r>
      <w:r>
        <w:rPr>
          <w:rFonts w:hint="eastAsia" w:ascii="宋体" w:hAnsi="宋体" w:eastAsia="宋体" w:cs="宋体"/>
          <w:color w:val="auto"/>
          <w:sz w:val="21"/>
          <w:szCs w:val="21"/>
          <w:highlight w:val="none"/>
        </w:rPr>
        <w:fldChar w:fldCharType="end"/>
      </w:r>
    </w:p>
    <w:p w14:paraId="73C8E802">
      <w:pPr>
        <w:pStyle w:val="22"/>
        <w:tabs>
          <w:tab w:val="right" w:leader="dot" w:pos="8306"/>
          <w:tab w:val="clear" w:pos="8296"/>
        </w:tabs>
        <w:rPr>
          <w:rFonts w:hint="eastAsia" w:cs="宋体"/>
          <w:sz w:val="21"/>
          <w:szCs w:val="21"/>
        </w:rPr>
      </w:pPr>
      <w:r>
        <w:rPr>
          <w:rFonts w:hint="eastAsia" w:ascii="宋体" w:hAnsi="宋体" w:eastAsia="宋体" w:cs="宋体"/>
          <w:color w:val="auto"/>
          <w:sz w:val="21"/>
          <w:szCs w:val="21"/>
          <w:highlight w:val="none"/>
        </w:rPr>
        <w:fldChar w:fldCharType="begin"/>
      </w:r>
      <w:r>
        <w:rPr>
          <w:rFonts w:hint="eastAsia" w:ascii="宋体" w:hAnsi="宋体" w:eastAsia="宋体" w:cs="宋体"/>
          <w:sz w:val="21"/>
          <w:szCs w:val="21"/>
          <w:highlight w:val="none"/>
        </w:rPr>
        <w:instrText xml:space="preserve"> HYPERLINK \l _Toc29928 </w:instrText>
      </w:r>
      <w:r>
        <w:rPr>
          <w:rFonts w:hint="eastAsia" w:ascii="宋体" w:hAnsi="宋体" w:eastAsia="宋体" w:cs="宋体"/>
          <w:sz w:val="21"/>
          <w:szCs w:val="21"/>
          <w:highlight w:val="none"/>
        </w:rPr>
        <w:fldChar w:fldCharType="separate"/>
      </w:r>
      <w:r>
        <w:rPr>
          <w:rFonts w:hint="eastAsia" w:ascii="宋体" w:hAnsi="宋体" w:cs="宋体"/>
          <w:sz w:val="21"/>
          <w:szCs w:val="21"/>
          <w:highlight w:val="none"/>
        </w:rPr>
        <w:t>技术需求书附件</w:t>
      </w:r>
      <w:r>
        <w:rPr>
          <w:rFonts w:hint="eastAsia" w:ascii="宋体" w:hAnsi="宋体" w:cs="宋体"/>
          <w:sz w:val="21"/>
          <w:szCs w:val="21"/>
          <w:highlight w:val="none"/>
          <w:lang w:val="en-US" w:eastAsia="zh-CN"/>
        </w:rPr>
        <w:t>2</w:t>
      </w:r>
      <w:r>
        <w:rPr>
          <w:rFonts w:hint="eastAsia" w:ascii="宋体" w:hAnsi="宋体" w:cs="宋体"/>
          <w:sz w:val="21"/>
          <w:szCs w:val="21"/>
          <w:highlight w:val="none"/>
        </w:rPr>
        <w:t>：《运输人员花名册》</w:t>
      </w:r>
      <w:r>
        <w:rPr>
          <w:rFonts w:hint="eastAsia" w:cs="宋体"/>
          <w:sz w:val="21"/>
          <w:szCs w:val="21"/>
        </w:rPr>
        <w:tab/>
      </w:r>
      <w:r>
        <w:rPr>
          <w:rFonts w:hint="eastAsia" w:cs="宋体"/>
          <w:sz w:val="21"/>
          <w:szCs w:val="21"/>
        </w:rPr>
        <w:fldChar w:fldCharType="begin"/>
      </w:r>
      <w:r>
        <w:rPr>
          <w:rFonts w:hint="eastAsia" w:cs="宋体"/>
          <w:sz w:val="21"/>
          <w:szCs w:val="21"/>
        </w:rPr>
        <w:instrText xml:space="preserve"> PAGEREF _Toc29928 \h </w:instrText>
      </w:r>
      <w:r>
        <w:rPr>
          <w:rFonts w:hint="eastAsia" w:cs="宋体"/>
          <w:sz w:val="21"/>
          <w:szCs w:val="21"/>
        </w:rPr>
        <w:fldChar w:fldCharType="separate"/>
      </w:r>
      <w:r>
        <w:rPr>
          <w:rFonts w:hint="eastAsia" w:cs="宋体"/>
          <w:sz w:val="21"/>
          <w:szCs w:val="21"/>
        </w:rPr>
        <w:t>22</w:t>
      </w:r>
      <w:r>
        <w:rPr>
          <w:rFonts w:hint="eastAsia" w:cs="宋体"/>
          <w:sz w:val="21"/>
          <w:szCs w:val="21"/>
        </w:rPr>
        <w:fldChar w:fldCharType="end"/>
      </w:r>
      <w:r>
        <w:rPr>
          <w:rFonts w:hint="eastAsia" w:ascii="宋体" w:hAnsi="宋体" w:eastAsia="宋体" w:cs="宋体"/>
          <w:color w:val="auto"/>
          <w:sz w:val="21"/>
          <w:szCs w:val="21"/>
          <w:highlight w:val="none"/>
        </w:rPr>
        <w:fldChar w:fldCharType="end"/>
      </w:r>
    </w:p>
    <w:p w14:paraId="5DC1ED5A">
      <w:pPr>
        <w:pStyle w:val="22"/>
        <w:tabs>
          <w:tab w:val="right" w:leader="dot" w:pos="8306"/>
          <w:tab w:val="clear" w:pos="8296"/>
        </w:tabs>
        <w:rPr>
          <w:rFonts w:hint="eastAsia" w:cs="宋体"/>
          <w:sz w:val="21"/>
          <w:szCs w:val="21"/>
        </w:rPr>
      </w:pPr>
      <w:r>
        <w:rPr>
          <w:rFonts w:hint="eastAsia" w:ascii="宋体" w:hAnsi="宋体" w:eastAsia="宋体" w:cs="宋体"/>
          <w:color w:val="auto"/>
          <w:sz w:val="21"/>
          <w:szCs w:val="21"/>
          <w:highlight w:val="none"/>
        </w:rPr>
        <w:fldChar w:fldCharType="begin"/>
      </w:r>
      <w:r>
        <w:rPr>
          <w:rFonts w:hint="eastAsia" w:ascii="宋体" w:hAnsi="宋体" w:eastAsia="宋体" w:cs="宋体"/>
          <w:sz w:val="21"/>
          <w:szCs w:val="21"/>
          <w:highlight w:val="none"/>
        </w:rPr>
        <w:instrText xml:space="preserve"> HYPERLINK \l _Toc20379 </w:instrText>
      </w:r>
      <w:r>
        <w:rPr>
          <w:rFonts w:hint="eastAsia" w:ascii="宋体" w:hAnsi="宋体" w:eastAsia="宋体" w:cs="宋体"/>
          <w:sz w:val="21"/>
          <w:szCs w:val="21"/>
          <w:highlight w:val="none"/>
        </w:rPr>
        <w:fldChar w:fldCharType="separate"/>
      </w:r>
      <w:r>
        <w:rPr>
          <w:rFonts w:hint="eastAsia" w:ascii="宋体" w:hAnsi="宋体" w:cs="宋体"/>
          <w:sz w:val="21"/>
          <w:szCs w:val="21"/>
          <w:highlight w:val="none"/>
        </w:rPr>
        <w:t>技术需求书附件</w:t>
      </w:r>
      <w:r>
        <w:rPr>
          <w:rFonts w:hint="eastAsia" w:cs="宋体"/>
          <w:sz w:val="21"/>
          <w:szCs w:val="21"/>
          <w:highlight w:val="none"/>
          <w:lang w:val="en-US" w:eastAsia="zh-CN"/>
        </w:rPr>
        <w:t>3：</w:t>
      </w:r>
      <w:r>
        <w:rPr>
          <w:rFonts w:hint="eastAsia" w:ascii="宋体" w:hAnsi="宋体" w:cs="宋体"/>
          <w:sz w:val="21"/>
          <w:szCs w:val="21"/>
          <w:highlight w:val="none"/>
        </w:rPr>
        <w:t>《</w:t>
      </w:r>
      <w:r>
        <w:rPr>
          <w:rFonts w:hint="eastAsia" w:ascii="宋体" w:hAnsi="宋体" w:cs="宋体"/>
          <w:sz w:val="21"/>
          <w:szCs w:val="21"/>
          <w:highlight w:val="none"/>
          <w:lang w:eastAsia="zh-CN"/>
        </w:rPr>
        <w:t>危险废物运输</w:t>
      </w:r>
      <w:r>
        <w:rPr>
          <w:rFonts w:hint="eastAsia" w:ascii="宋体" w:hAnsi="宋体" w:cs="宋体"/>
          <w:sz w:val="21"/>
          <w:szCs w:val="21"/>
          <w:highlight w:val="none"/>
          <w:lang w:val="en-US" w:eastAsia="zh-CN"/>
        </w:rPr>
        <w:t>预计车次</w:t>
      </w:r>
      <w:r>
        <w:rPr>
          <w:rFonts w:hint="eastAsia" w:ascii="宋体" w:hAnsi="宋体" w:cs="宋体"/>
          <w:sz w:val="21"/>
          <w:szCs w:val="21"/>
          <w:highlight w:val="none"/>
        </w:rPr>
        <w:t>》</w:t>
      </w:r>
      <w:r>
        <w:rPr>
          <w:rFonts w:hint="eastAsia" w:cs="宋体"/>
          <w:sz w:val="21"/>
          <w:szCs w:val="21"/>
        </w:rPr>
        <w:tab/>
      </w:r>
      <w:r>
        <w:rPr>
          <w:rFonts w:hint="eastAsia" w:cs="宋体"/>
          <w:sz w:val="21"/>
          <w:szCs w:val="21"/>
        </w:rPr>
        <w:fldChar w:fldCharType="begin"/>
      </w:r>
      <w:r>
        <w:rPr>
          <w:rFonts w:hint="eastAsia" w:cs="宋体"/>
          <w:sz w:val="21"/>
          <w:szCs w:val="21"/>
        </w:rPr>
        <w:instrText xml:space="preserve"> PAGEREF _Toc20379 \h </w:instrText>
      </w:r>
      <w:r>
        <w:rPr>
          <w:rFonts w:hint="eastAsia" w:cs="宋体"/>
          <w:sz w:val="21"/>
          <w:szCs w:val="21"/>
        </w:rPr>
        <w:fldChar w:fldCharType="separate"/>
      </w:r>
      <w:r>
        <w:rPr>
          <w:rFonts w:hint="eastAsia" w:cs="宋体"/>
          <w:sz w:val="21"/>
          <w:szCs w:val="21"/>
        </w:rPr>
        <w:t>23</w:t>
      </w:r>
      <w:r>
        <w:rPr>
          <w:rFonts w:hint="eastAsia" w:cs="宋体"/>
          <w:sz w:val="21"/>
          <w:szCs w:val="21"/>
        </w:rPr>
        <w:fldChar w:fldCharType="end"/>
      </w:r>
      <w:r>
        <w:rPr>
          <w:rFonts w:hint="eastAsia" w:ascii="宋体" w:hAnsi="宋体" w:eastAsia="宋体" w:cs="宋体"/>
          <w:color w:val="auto"/>
          <w:sz w:val="21"/>
          <w:szCs w:val="21"/>
          <w:highlight w:val="none"/>
        </w:rPr>
        <w:fldChar w:fldCharType="end"/>
      </w:r>
    </w:p>
    <w:p w14:paraId="7CD8E4D5">
      <w:pPr>
        <w:pStyle w:val="22"/>
        <w:tabs>
          <w:tab w:val="right" w:leader="dot" w:pos="8306"/>
          <w:tab w:val="clear" w:pos="8296"/>
        </w:tabs>
        <w:rPr>
          <w:rFonts w:hint="eastAsia" w:cs="宋体"/>
          <w:sz w:val="21"/>
          <w:szCs w:val="21"/>
        </w:rPr>
      </w:pPr>
      <w:r>
        <w:rPr>
          <w:rFonts w:hint="eastAsia" w:ascii="宋体" w:hAnsi="宋体" w:eastAsia="宋体" w:cs="宋体"/>
          <w:color w:val="auto"/>
          <w:sz w:val="21"/>
          <w:szCs w:val="21"/>
          <w:highlight w:val="none"/>
        </w:rPr>
        <w:fldChar w:fldCharType="begin"/>
      </w:r>
      <w:r>
        <w:rPr>
          <w:rFonts w:hint="eastAsia" w:ascii="宋体" w:hAnsi="宋体" w:eastAsia="宋体" w:cs="宋体"/>
          <w:sz w:val="21"/>
          <w:szCs w:val="21"/>
          <w:highlight w:val="none"/>
        </w:rPr>
        <w:instrText xml:space="preserve"> HYPERLINK \l _Toc18540 </w:instrText>
      </w:r>
      <w:r>
        <w:rPr>
          <w:rFonts w:hint="eastAsia" w:ascii="宋体" w:hAnsi="宋体" w:eastAsia="宋体" w:cs="宋体"/>
          <w:sz w:val="21"/>
          <w:szCs w:val="21"/>
          <w:highlight w:val="none"/>
        </w:rPr>
        <w:fldChar w:fldCharType="separate"/>
      </w:r>
      <w:r>
        <w:rPr>
          <w:rFonts w:hint="eastAsia" w:ascii="宋体" w:hAnsi="宋体" w:cs="宋体"/>
          <w:sz w:val="21"/>
          <w:szCs w:val="21"/>
          <w:highlight w:val="none"/>
        </w:rPr>
        <w:t>技术需求书附件</w:t>
      </w:r>
      <w:r>
        <w:rPr>
          <w:rFonts w:hint="eastAsia" w:cs="宋体"/>
          <w:sz w:val="21"/>
          <w:szCs w:val="21"/>
          <w:highlight w:val="none"/>
          <w:lang w:val="en-US" w:eastAsia="zh-CN"/>
        </w:rPr>
        <w:t>4：</w:t>
      </w:r>
      <w:r>
        <w:rPr>
          <w:rFonts w:hint="eastAsia" w:ascii="宋体" w:hAnsi="宋体" w:cs="宋体"/>
          <w:sz w:val="21"/>
          <w:szCs w:val="21"/>
          <w:highlight w:val="none"/>
        </w:rPr>
        <w:t>《运输杂费及计费规则》</w:t>
      </w:r>
      <w:r>
        <w:rPr>
          <w:rFonts w:hint="eastAsia" w:cs="宋体"/>
          <w:sz w:val="21"/>
          <w:szCs w:val="21"/>
        </w:rPr>
        <w:tab/>
      </w:r>
      <w:r>
        <w:rPr>
          <w:rFonts w:hint="eastAsia" w:cs="宋体"/>
          <w:sz w:val="21"/>
          <w:szCs w:val="21"/>
        </w:rPr>
        <w:fldChar w:fldCharType="begin"/>
      </w:r>
      <w:r>
        <w:rPr>
          <w:rFonts w:hint="eastAsia" w:cs="宋体"/>
          <w:sz w:val="21"/>
          <w:szCs w:val="21"/>
        </w:rPr>
        <w:instrText xml:space="preserve"> PAGEREF _Toc18540 \h </w:instrText>
      </w:r>
      <w:r>
        <w:rPr>
          <w:rFonts w:hint="eastAsia" w:cs="宋体"/>
          <w:sz w:val="21"/>
          <w:szCs w:val="21"/>
        </w:rPr>
        <w:fldChar w:fldCharType="separate"/>
      </w:r>
      <w:r>
        <w:rPr>
          <w:rFonts w:hint="eastAsia" w:cs="宋体"/>
          <w:sz w:val="21"/>
          <w:szCs w:val="21"/>
        </w:rPr>
        <w:t>30</w:t>
      </w:r>
      <w:r>
        <w:rPr>
          <w:rFonts w:hint="eastAsia" w:cs="宋体"/>
          <w:sz w:val="21"/>
          <w:szCs w:val="21"/>
        </w:rPr>
        <w:fldChar w:fldCharType="end"/>
      </w:r>
      <w:r>
        <w:rPr>
          <w:rFonts w:hint="eastAsia" w:ascii="宋体" w:hAnsi="宋体" w:eastAsia="宋体" w:cs="宋体"/>
          <w:color w:val="auto"/>
          <w:sz w:val="21"/>
          <w:szCs w:val="21"/>
          <w:highlight w:val="none"/>
        </w:rPr>
        <w:fldChar w:fldCharType="end"/>
      </w:r>
    </w:p>
    <w:p w14:paraId="0DCF72A2">
      <w:pPr>
        <w:pStyle w:val="22"/>
        <w:tabs>
          <w:tab w:val="right" w:leader="dot" w:pos="8306"/>
          <w:tab w:val="clear" w:pos="8296"/>
        </w:tabs>
        <w:rPr>
          <w:rFonts w:hint="eastAsia" w:cs="宋体"/>
          <w:sz w:val="21"/>
          <w:szCs w:val="21"/>
        </w:rPr>
      </w:pPr>
      <w:r>
        <w:rPr>
          <w:rFonts w:hint="eastAsia" w:ascii="宋体" w:hAnsi="宋体" w:eastAsia="宋体" w:cs="宋体"/>
          <w:color w:val="auto"/>
          <w:sz w:val="21"/>
          <w:szCs w:val="21"/>
          <w:highlight w:val="none"/>
        </w:rPr>
        <w:fldChar w:fldCharType="begin"/>
      </w:r>
      <w:r>
        <w:rPr>
          <w:rFonts w:hint="eastAsia" w:ascii="宋体" w:hAnsi="宋体" w:eastAsia="宋体" w:cs="宋体"/>
          <w:sz w:val="21"/>
          <w:szCs w:val="21"/>
          <w:highlight w:val="none"/>
        </w:rPr>
        <w:instrText xml:space="preserve"> HYPERLINK \l _Toc24751 </w:instrText>
      </w:r>
      <w:r>
        <w:rPr>
          <w:rFonts w:hint="eastAsia" w:ascii="宋体" w:hAnsi="宋体" w:eastAsia="宋体" w:cs="宋体"/>
          <w:sz w:val="21"/>
          <w:szCs w:val="21"/>
          <w:highlight w:val="none"/>
        </w:rPr>
        <w:fldChar w:fldCharType="separate"/>
      </w:r>
      <w:r>
        <w:rPr>
          <w:rFonts w:hint="eastAsia" w:ascii="宋体" w:hAnsi="宋体" w:cs="宋体"/>
          <w:sz w:val="21"/>
          <w:szCs w:val="21"/>
          <w:highlight w:val="none"/>
        </w:rPr>
        <w:t>技术需求书附件</w:t>
      </w:r>
      <w:r>
        <w:rPr>
          <w:rFonts w:hint="eastAsia" w:cs="宋体"/>
          <w:sz w:val="21"/>
          <w:szCs w:val="21"/>
          <w:highlight w:val="none"/>
          <w:lang w:val="en-US" w:eastAsia="zh-CN"/>
        </w:rPr>
        <w:t>5：</w:t>
      </w:r>
      <w:r>
        <w:rPr>
          <w:rFonts w:hint="eastAsia" w:ascii="宋体" w:hAnsi="宋体" w:cs="宋体"/>
          <w:sz w:val="21"/>
          <w:szCs w:val="21"/>
          <w:highlight w:val="none"/>
        </w:rPr>
        <w:t>《东莞市新东欣环保投资有限公司承运单位违规行为处罚条款》</w:t>
      </w:r>
      <w:r>
        <w:rPr>
          <w:rFonts w:hint="eastAsia" w:cs="宋体"/>
          <w:sz w:val="21"/>
          <w:szCs w:val="21"/>
        </w:rPr>
        <w:tab/>
      </w:r>
      <w:r>
        <w:rPr>
          <w:rFonts w:hint="eastAsia" w:cs="宋体"/>
          <w:sz w:val="21"/>
          <w:szCs w:val="21"/>
        </w:rPr>
        <w:fldChar w:fldCharType="begin"/>
      </w:r>
      <w:r>
        <w:rPr>
          <w:rFonts w:hint="eastAsia" w:cs="宋体"/>
          <w:sz w:val="21"/>
          <w:szCs w:val="21"/>
        </w:rPr>
        <w:instrText xml:space="preserve"> PAGEREF _Toc24751 \h </w:instrText>
      </w:r>
      <w:r>
        <w:rPr>
          <w:rFonts w:hint="eastAsia" w:cs="宋体"/>
          <w:sz w:val="21"/>
          <w:szCs w:val="21"/>
        </w:rPr>
        <w:fldChar w:fldCharType="separate"/>
      </w:r>
      <w:r>
        <w:rPr>
          <w:rFonts w:hint="eastAsia" w:cs="宋体"/>
          <w:sz w:val="21"/>
          <w:szCs w:val="21"/>
        </w:rPr>
        <w:t>33</w:t>
      </w:r>
      <w:r>
        <w:rPr>
          <w:rFonts w:hint="eastAsia" w:cs="宋体"/>
          <w:sz w:val="21"/>
          <w:szCs w:val="21"/>
        </w:rPr>
        <w:fldChar w:fldCharType="end"/>
      </w:r>
      <w:r>
        <w:rPr>
          <w:rFonts w:hint="eastAsia" w:ascii="宋体" w:hAnsi="宋体" w:eastAsia="宋体" w:cs="宋体"/>
          <w:color w:val="auto"/>
          <w:sz w:val="21"/>
          <w:szCs w:val="21"/>
          <w:highlight w:val="none"/>
        </w:rPr>
        <w:fldChar w:fldCharType="end"/>
      </w:r>
    </w:p>
    <w:p w14:paraId="2E6689D9">
      <w:pPr>
        <w:pStyle w:val="22"/>
        <w:tabs>
          <w:tab w:val="right" w:leader="dot" w:pos="8306"/>
          <w:tab w:val="clear" w:pos="8296"/>
        </w:tabs>
        <w:rPr>
          <w:rFonts w:hint="eastAsia" w:cs="宋体"/>
          <w:sz w:val="21"/>
          <w:szCs w:val="21"/>
        </w:rPr>
      </w:pPr>
      <w:r>
        <w:rPr>
          <w:rFonts w:hint="eastAsia" w:ascii="宋体" w:hAnsi="宋体" w:eastAsia="宋体" w:cs="宋体"/>
          <w:color w:val="auto"/>
          <w:sz w:val="21"/>
          <w:szCs w:val="21"/>
          <w:highlight w:val="none"/>
        </w:rPr>
        <w:fldChar w:fldCharType="begin"/>
      </w:r>
      <w:r>
        <w:rPr>
          <w:rFonts w:hint="eastAsia" w:ascii="宋体" w:hAnsi="宋体" w:eastAsia="宋体" w:cs="宋体"/>
          <w:sz w:val="21"/>
          <w:szCs w:val="21"/>
          <w:highlight w:val="none"/>
        </w:rPr>
        <w:instrText xml:space="preserve"> HYPERLINK \l _Toc30579 </w:instrText>
      </w:r>
      <w:r>
        <w:rPr>
          <w:rFonts w:hint="eastAsia" w:ascii="宋体" w:hAnsi="宋体" w:eastAsia="宋体" w:cs="宋体"/>
          <w:sz w:val="21"/>
          <w:szCs w:val="21"/>
          <w:highlight w:val="none"/>
        </w:rPr>
        <w:fldChar w:fldCharType="separate"/>
      </w:r>
      <w:r>
        <w:rPr>
          <w:rFonts w:hint="eastAsia" w:ascii="宋体" w:hAnsi="宋体" w:cs="宋体"/>
          <w:sz w:val="21"/>
          <w:szCs w:val="21"/>
          <w:highlight w:val="none"/>
        </w:rPr>
        <w:t>技术需求书附件</w:t>
      </w:r>
      <w:r>
        <w:rPr>
          <w:rFonts w:hint="eastAsia" w:cs="宋体"/>
          <w:sz w:val="21"/>
          <w:szCs w:val="21"/>
          <w:highlight w:val="none"/>
          <w:lang w:val="en-US" w:eastAsia="zh-CN"/>
        </w:rPr>
        <w:t>6：</w:t>
      </w:r>
      <w:r>
        <w:rPr>
          <w:rFonts w:hint="eastAsia" w:ascii="宋体" w:hAnsi="宋体" w:cs="宋体"/>
          <w:sz w:val="21"/>
          <w:szCs w:val="21"/>
          <w:highlight w:val="none"/>
        </w:rPr>
        <w:t>《</w:t>
      </w:r>
      <w:r>
        <w:rPr>
          <w:rFonts w:hint="eastAsia" w:cs="宋体"/>
          <w:sz w:val="21"/>
          <w:szCs w:val="21"/>
          <w:highlight w:val="none"/>
          <w:lang w:val="en-US" w:eastAsia="zh-CN"/>
        </w:rPr>
        <w:t>运输商季度考核评分表》</w:t>
      </w:r>
      <w:r>
        <w:rPr>
          <w:rFonts w:hint="eastAsia" w:cs="宋体"/>
          <w:sz w:val="21"/>
          <w:szCs w:val="21"/>
        </w:rPr>
        <w:tab/>
      </w:r>
      <w:r>
        <w:rPr>
          <w:rFonts w:hint="eastAsia" w:cs="宋体"/>
          <w:sz w:val="21"/>
          <w:szCs w:val="21"/>
        </w:rPr>
        <w:fldChar w:fldCharType="begin"/>
      </w:r>
      <w:r>
        <w:rPr>
          <w:rFonts w:hint="eastAsia" w:cs="宋体"/>
          <w:sz w:val="21"/>
          <w:szCs w:val="21"/>
        </w:rPr>
        <w:instrText xml:space="preserve"> PAGEREF _Toc30579 \h </w:instrText>
      </w:r>
      <w:r>
        <w:rPr>
          <w:rFonts w:hint="eastAsia" w:cs="宋体"/>
          <w:sz w:val="21"/>
          <w:szCs w:val="21"/>
        </w:rPr>
        <w:fldChar w:fldCharType="separate"/>
      </w:r>
      <w:r>
        <w:rPr>
          <w:rFonts w:hint="eastAsia" w:cs="宋体"/>
          <w:sz w:val="21"/>
          <w:szCs w:val="21"/>
        </w:rPr>
        <w:t>36</w:t>
      </w:r>
      <w:r>
        <w:rPr>
          <w:rFonts w:hint="eastAsia" w:cs="宋体"/>
          <w:sz w:val="21"/>
          <w:szCs w:val="21"/>
        </w:rPr>
        <w:fldChar w:fldCharType="end"/>
      </w:r>
      <w:r>
        <w:rPr>
          <w:rFonts w:hint="eastAsia" w:ascii="宋体" w:hAnsi="宋体" w:eastAsia="宋体" w:cs="宋体"/>
          <w:color w:val="auto"/>
          <w:sz w:val="21"/>
          <w:szCs w:val="21"/>
          <w:highlight w:val="none"/>
        </w:rPr>
        <w:fldChar w:fldCharType="end"/>
      </w:r>
    </w:p>
    <w:p w14:paraId="6E0DB069">
      <w:pPr>
        <w:pStyle w:val="22"/>
        <w:tabs>
          <w:tab w:val="right" w:leader="dot" w:pos="8306"/>
          <w:tab w:val="clear" w:pos="8296"/>
        </w:tabs>
        <w:rPr>
          <w:rFonts w:hint="eastAsia" w:cs="宋体"/>
          <w:sz w:val="21"/>
          <w:szCs w:val="21"/>
        </w:rPr>
      </w:pPr>
      <w:r>
        <w:rPr>
          <w:rFonts w:hint="eastAsia" w:ascii="宋体" w:hAnsi="宋体" w:eastAsia="宋体" w:cs="宋体"/>
          <w:color w:val="auto"/>
          <w:sz w:val="21"/>
          <w:szCs w:val="21"/>
          <w:highlight w:val="none"/>
        </w:rPr>
        <w:fldChar w:fldCharType="begin"/>
      </w:r>
      <w:r>
        <w:rPr>
          <w:rFonts w:hint="eastAsia" w:ascii="宋体" w:hAnsi="宋体" w:eastAsia="宋体" w:cs="宋体"/>
          <w:sz w:val="21"/>
          <w:szCs w:val="21"/>
          <w:highlight w:val="none"/>
        </w:rPr>
        <w:instrText xml:space="preserve"> HYPERLINK \l _Toc7535 </w:instrText>
      </w:r>
      <w:r>
        <w:rPr>
          <w:rFonts w:hint="eastAsia" w:ascii="宋体" w:hAnsi="宋体" w:eastAsia="宋体" w:cs="宋体"/>
          <w:sz w:val="21"/>
          <w:szCs w:val="21"/>
          <w:highlight w:val="none"/>
        </w:rPr>
        <w:fldChar w:fldCharType="separate"/>
      </w:r>
      <w:r>
        <w:rPr>
          <w:rFonts w:hint="eastAsia" w:ascii="宋体" w:hAnsi="宋体" w:cs="宋体"/>
          <w:sz w:val="21"/>
          <w:szCs w:val="21"/>
          <w:highlight w:val="none"/>
        </w:rPr>
        <w:t>技术需求书附件</w:t>
      </w:r>
      <w:r>
        <w:rPr>
          <w:rFonts w:hint="eastAsia" w:cs="宋体"/>
          <w:sz w:val="21"/>
          <w:szCs w:val="21"/>
          <w:highlight w:val="none"/>
          <w:lang w:val="en-US" w:eastAsia="zh-CN"/>
        </w:rPr>
        <w:t>7：</w:t>
      </w:r>
      <w:r>
        <w:rPr>
          <w:rFonts w:hint="eastAsia" w:ascii="宋体" w:hAnsi="宋体" w:cs="宋体"/>
          <w:sz w:val="21"/>
          <w:szCs w:val="21"/>
          <w:highlight w:val="none"/>
        </w:rPr>
        <w:t>《</w:t>
      </w:r>
      <w:r>
        <w:rPr>
          <w:rFonts w:hint="eastAsia" w:cs="宋体"/>
          <w:sz w:val="21"/>
          <w:szCs w:val="21"/>
          <w:highlight w:val="none"/>
          <w:lang w:val="en-US" w:eastAsia="zh-CN"/>
        </w:rPr>
        <w:t>运输单位搬运费分级标准》</w:t>
      </w:r>
      <w:r>
        <w:rPr>
          <w:rFonts w:hint="eastAsia" w:cs="宋体"/>
          <w:sz w:val="21"/>
          <w:szCs w:val="21"/>
        </w:rPr>
        <w:tab/>
      </w:r>
      <w:r>
        <w:rPr>
          <w:rFonts w:hint="eastAsia" w:cs="宋体"/>
          <w:sz w:val="21"/>
          <w:szCs w:val="21"/>
        </w:rPr>
        <w:fldChar w:fldCharType="begin"/>
      </w:r>
      <w:r>
        <w:rPr>
          <w:rFonts w:hint="eastAsia" w:cs="宋体"/>
          <w:sz w:val="21"/>
          <w:szCs w:val="21"/>
        </w:rPr>
        <w:instrText xml:space="preserve"> PAGEREF _Toc7535 \h </w:instrText>
      </w:r>
      <w:r>
        <w:rPr>
          <w:rFonts w:hint="eastAsia" w:cs="宋体"/>
          <w:sz w:val="21"/>
          <w:szCs w:val="21"/>
        </w:rPr>
        <w:fldChar w:fldCharType="separate"/>
      </w:r>
      <w:r>
        <w:rPr>
          <w:rFonts w:hint="eastAsia" w:cs="宋体"/>
          <w:sz w:val="21"/>
          <w:szCs w:val="21"/>
        </w:rPr>
        <w:t>38</w:t>
      </w:r>
      <w:r>
        <w:rPr>
          <w:rFonts w:hint="eastAsia" w:cs="宋体"/>
          <w:sz w:val="21"/>
          <w:szCs w:val="21"/>
        </w:rPr>
        <w:fldChar w:fldCharType="end"/>
      </w:r>
      <w:r>
        <w:rPr>
          <w:rFonts w:hint="eastAsia" w:ascii="宋体" w:hAnsi="宋体" w:eastAsia="宋体" w:cs="宋体"/>
          <w:color w:val="auto"/>
          <w:sz w:val="21"/>
          <w:szCs w:val="21"/>
          <w:highlight w:val="none"/>
        </w:rPr>
        <w:fldChar w:fldCharType="end"/>
      </w:r>
    </w:p>
    <w:p w14:paraId="5DEDB657">
      <w:pPr>
        <w:pStyle w:val="22"/>
        <w:tabs>
          <w:tab w:val="right" w:leader="dot" w:pos="8306"/>
          <w:tab w:val="clear" w:pos="8296"/>
        </w:tabs>
        <w:rPr>
          <w:rFonts w:hint="eastAsia" w:cs="宋体"/>
          <w:sz w:val="21"/>
          <w:szCs w:val="21"/>
        </w:rPr>
      </w:pPr>
      <w:r>
        <w:rPr>
          <w:rFonts w:hint="eastAsia" w:ascii="宋体" w:hAnsi="宋体" w:eastAsia="宋体" w:cs="宋体"/>
          <w:color w:val="auto"/>
          <w:sz w:val="21"/>
          <w:szCs w:val="21"/>
          <w:highlight w:val="none"/>
        </w:rPr>
        <w:fldChar w:fldCharType="begin"/>
      </w:r>
      <w:r>
        <w:rPr>
          <w:rFonts w:hint="eastAsia" w:ascii="宋体" w:hAnsi="宋体" w:eastAsia="宋体" w:cs="宋体"/>
          <w:sz w:val="21"/>
          <w:szCs w:val="21"/>
          <w:highlight w:val="none"/>
        </w:rPr>
        <w:instrText xml:space="preserve"> HYPERLINK \l _Toc4565 </w:instrText>
      </w:r>
      <w:r>
        <w:rPr>
          <w:rFonts w:hint="eastAsia" w:ascii="宋体" w:hAnsi="宋体" w:eastAsia="宋体" w:cs="宋体"/>
          <w:sz w:val="21"/>
          <w:szCs w:val="21"/>
          <w:highlight w:val="none"/>
        </w:rPr>
        <w:fldChar w:fldCharType="separate"/>
      </w:r>
      <w:r>
        <w:rPr>
          <w:rFonts w:hint="eastAsia" w:ascii="宋体" w:hAnsi="宋体" w:cs="宋体"/>
          <w:sz w:val="21"/>
          <w:szCs w:val="21"/>
          <w:highlight w:val="none"/>
        </w:rPr>
        <w:t>技术需求书</w:t>
      </w:r>
      <w:r>
        <w:rPr>
          <w:rFonts w:hint="eastAsia" w:ascii="宋体" w:hAnsi="宋体" w:eastAsia="宋体" w:cs="宋体"/>
          <w:sz w:val="21"/>
          <w:szCs w:val="21"/>
          <w:highlight w:val="none"/>
        </w:rPr>
        <w:t>附件</w:t>
      </w:r>
      <w:r>
        <w:rPr>
          <w:rFonts w:hint="eastAsia" w:ascii="宋体" w:hAnsi="宋体" w:cs="宋体"/>
          <w:sz w:val="21"/>
          <w:szCs w:val="21"/>
          <w:highlight w:val="none"/>
          <w:lang w:val="en-US" w:eastAsia="zh-CN"/>
        </w:rPr>
        <w:t>8</w:t>
      </w:r>
      <w:r>
        <w:rPr>
          <w:rFonts w:hint="eastAsia" w:ascii="宋体" w:hAnsi="宋体" w:eastAsia="宋体" w:cs="宋体"/>
          <w:sz w:val="21"/>
          <w:szCs w:val="21"/>
          <w:highlight w:val="none"/>
        </w:rPr>
        <w:t>：《承运单》</w:t>
      </w:r>
      <w:r>
        <w:rPr>
          <w:rFonts w:hint="eastAsia" w:cs="宋体"/>
          <w:sz w:val="21"/>
          <w:szCs w:val="21"/>
        </w:rPr>
        <w:tab/>
      </w:r>
      <w:r>
        <w:rPr>
          <w:rFonts w:hint="eastAsia" w:cs="宋体"/>
          <w:sz w:val="21"/>
          <w:szCs w:val="21"/>
        </w:rPr>
        <w:fldChar w:fldCharType="begin"/>
      </w:r>
      <w:r>
        <w:rPr>
          <w:rFonts w:hint="eastAsia" w:cs="宋体"/>
          <w:sz w:val="21"/>
          <w:szCs w:val="21"/>
        </w:rPr>
        <w:instrText xml:space="preserve"> PAGEREF _Toc4565 \h </w:instrText>
      </w:r>
      <w:r>
        <w:rPr>
          <w:rFonts w:hint="eastAsia" w:cs="宋体"/>
          <w:sz w:val="21"/>
          <w:szCs w:val="21"/>
        </w:rPr>
        <w:fldChar w:fldCharType="separate"/>
      </w:r>
      <w:r>
        <w:rPr>
          <w:rFonts w:hint="eastAsia" w:cs="宋体"/>
          <w:sz w:val="21"/>
          <w:szCs w:val="21"/>
        </w:rPr>
        <w:t>39</w:t>
      </w:r>
      <w:r>
        <w:rPr>
          <w:rFonts w:hint="eastAsia" w:cs="宋体"/>
          <w:sz w:val="21"/>
          <w:szCs w:val="21"/>
        </w:rPr>
        <w:fldChar w:fldCharType="end"/>
      </w:r>
      <w:r>
        <w:rPr>
          <w:rFonts w:hint="eastAsia" w:ascii="宋体" w:hAnsi="宋体" w:eastAsia="宋体" w:cs="宋体"/>
          <w:color w:val="auto"/>
          <w:sz w:val="21"/>
          <w:szCs w:val="21"/>
          <w:highlight w:val="none"/>
        </w:rPr>
        <w:fldChar w:fldCharType="end"/>
      </w:r>
    </w:p>
    <w:p w14:paraId="053282DE">
      <w:pPr>
        <w:pStyle w:val="22"/>
        <w:tabs>
          <w:tab w:val="right" w:leader="dot" w:pos="8306"/>
          <w:tab w:val="clear" w:pos="8296"/>
        </w:tabs>
        <w:rPr>
          <w:rFonts w:hint="eastAsia" w:cs="宋体"/>
          <w:sz w:val="21"/>
          <w:szCs w:val="21"/>
        </w:rPr>
      </w:pPr>
      <w:r>
        <w:rPr>
          <w:rFonts w:hint="eastAsia" w:ascii="宋体" w:hAnsi="宋体" w:eastAsia="宋体" w:cs="宋体"/>
          <w:color w:val="auto"/>
          <w:sz w:val="21"/>
          <w:szCs w:val="21"/>
          <w:highlight w:val="none"/>
        </w:rPr>
        <w:fldChar w:fldCharType="begin"/>
      </w:r>
      <w:r>
        <w:rPr>
          <w:rFonts w:hint="eastAsia" w:ascii="宋体" w:hAnsi="宋体" w:eastAsia="宋体" w:cs="宋体"/>
          <w:sz w:val="21"/>
          <w:szCs w:val="21"/>
          <w:highlight w:val="none"/>
        </w:rPr>
        <w:instrText xml:space="preserve"> HYPERLINK \l _Toc20998 </w:instrText>
      </w:r>
      <w:r>
        <w:rPr>
          <w:rFonts w:hint="eastAsia" w:ascii="宋体" w:hAnsi="宋体" w:eastAsia="宋体" w:cs="宋体"/>
          <w:sz w:val="21"/>
          <w:szCs w:val="21"/>
          <w:highlight w:val="none"/>
        </w:rPr>
        <w:fldChar w:fldCharType="separate"/>
      </w:r>
      <w:r>
        <w:rPr>
          <w:rFonts w:hint="eastAsia" w:cs="宋体"/>
          <w:sz w:val="21"/>
          <w:szCs w:val="21"/>
          <w:highlight w:val="none"/>
        </w:rPr>
        <w:t>第四部分投标人须知</w:t>
      </w:r>
      <w:r>
        <w:rPr>
          <w:rFonts w:hint="eastAsia" w:cs="宋体"/>
          <w:sz w:val="21"/>
          <w:szCs w:val="21"/>
        </w:rPr>
        <w:tab/>
      </w:r>
      <w:r>
        <w:rPr>
          <w:rFonts w:hint="eastAsia" w:cs="宋体"/>
          <w:sz w:val="21"/>
          <w:szCs w:val="21"/>
        </w:rPr>
        <w:fldChar w:fldCharType="begin"/>
      </w:r>
      <w:r>
        <w:rPr>
          <w:rFonts w:hint="eastAsia" w:cs="宋体"/>
          <w:sz w:val="21"/>
          <w:szCs w:val="21"/>
        </w:rPr>
        <w:instrText xml:space="preserve"> PAGEREF _Toc20998 \h </w:instrText>
      </w:r>
      <w:r>
        <w:rPr>
          <w:rFonts w:hint="eastAsia" w:cs="宋体"/>
          <w:sz w:val="21"/>
          <w:szCs w:val="21"/>
        </w:rPr>
        <w:fldChar w:fldCharType="separate"/>
      </w:r>
      <w:r>
        <w:rPr>
          <w:rFonts w:hint="eastAsia" w:cs="宋体"/>
          <w:sz w:val="21"/>
          <w:szCs w:val="21"/>
        </w:rPr>
        <w:t>40</w:t>
      </w:r>
      <w:r>
        <w:rPr>
          <w:rFonts w:hint="eastAsia" w:cs="宋体"/>
          <w:sz w:val="21"/>
          <w:szCs w:val="21"/>
        </w:rPr>
        <w:fldChar w:fldCharType="end"/>
      </w:r>
      <w:r>
        <w:rPr>
          <w:rFonts w:hint="eastAsia" w:ascii="宋体" w:hAnsi="宋体" w:eastAsia="宋体" w:cs="宋体"/>
          <w:color w:val="auto"/>
          <w:sz w:val="21"/>
          <w:szCs w:val="21"/>
          <w:highlight w:val="none"/>
        </w:rPr>
        <w:fldChar w:fldCharType="end"/>
      </w:r>
    </w:p>
    <w:p w14:paraId="12F2233A">
      <w:pPr>
        <w:pStyle w:val="12"/>
        <w:tabs>
          <w:tab w:val="right" w:leader="dot" w:pos="8306"/>
          <w:tab w:val="clear" w:pos="8296"/>
        </w:tabs>
        <w:rPr>
          <w:rFonts w:hint="eastAsia" w:ascii="宋体" w:hAnsi="宋体" w:cs="宋体"/>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_Toc2039 </w:instrText>
      </w:r>
      <w:r>
        <w:rPr>
          <w:rFonts w:hint="eastAsia" w:ascii="宋体" w:hAnsi="宋体" w:eastAsia="宋体" w:cs="宋体"/>
          <w:szCs w:val="21"/>
          <w:highlight w:val="none"/>
        </w:rPr>
        <w:fldChar w:fldCharType="separate"/>
      </w:r>
      <w:r>
        <w:rPr>
          <w:rFonts w:hint="eastAsia" w:ascii="宋体" w:hAnsi="宋体" w:cs="宋体"/>
        </w:rPr>
        <w:t xml:space="preserve">一、 </w:t>
      </w:r>
      <w:r>
        <w:rPr>
          <w:rFonts w:hint="eastAsia" w:ascii="宋体" w:hAnsi="宋体" w:cs="宋体"/>
          <w:highlight w:val="none"/>
        </w:rPr>
        <w:t>说明</w:t>
      </w:r>
      <w:r>
        <w:rPr>
          <w:rFonts w:hint="eastAsia" w:ascii="宋体" w:hAnsi="宋体" w:cs="宋体"/>
        </w:rPr>
        <w:tab/>
      </w:r>
      <w:r>
        <w:rPr>
          <w:rFonts w:hint="eastAsia" w:ascii="宋体" w:hAnsi="宋体" w:cs="宋体"/>
        </w:rPr>
        <w:fldChar w:fldCharType="begin"/>
      </w:r>
      <w:r>
        <w:rPr>
          <w:rFonts w:hint="eastAsia" w:ascii="宋体" w:hAnsi="宋体" w:cs="宋体"/>
        </w:rPr>
        <w:instrText xml:space="preserve"> PAGEREF _Toc2039 \h </w:instrText>
      </w:r>
      <w:r>
        <w:rPr>
          <w:rFonts w:hint="eastAsia" w:ascii="宋体" w:hAnsi="宋体" w:cs="宋体"/>
        </w:rPr>
        <w:fldChar w:fldCharType="separate"/>
      </w:r>
      <w:r>
        <w:rPr>
          <w:rFonts w:hint="eastAsia" w:ascii="宋体" w:hAnsi="宋体" w:cs="宋体"/>
        </w:rPr>
        <w:t>40</w:t>
      </w:r>
      <w:r>
        <w:rPr>
          <w:rFonts w:hint="eastAsia" w:ascii="宋体" w:hAnsi="宋体" w:cs="宋体"/>
        </w:rPr>
        <w:fldChar w:fldCharType="end"/>
      </w:r>
      <w:r>
        <w:rPr>
          <w:rFonts w:hint="eastAsia" w:ascii="宋体" w:hAnsi="宋体" w:eastAsia="宋体" w:cs="宋体"/>
          <w:color w:val="auto"/>
          <w:szCs w:val="21"/>
          <w:highlight w:val="none"/>
        </w:rPr>
        <w:fldChar w:fldCharType="end"/>
      </w:r>
    </w:p>
    <w:p w14:paraId="3764ABCC">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_Toc22151 </w:instrText>
      </w:r>
      <w:r>
        <w:rPr>
          <w:rFonts w:hint="eastAsia" w:ascii="宋体" w:hAnsi="宋体" w:eastAsia="宋体" w:cs="宋体"/>
          <w:szCs w:val="21"/>
          <w:highlight w:val="none"/>
        </w:rPr>
        <w:fldChar w:fldCharType="separate"/>
      </w:r>
      <w:r>
        <w:rPr>
          <w:rFonts w:hint="eastAsia" w:ascii="宋体" w:hAnsi="宋体" w:cs="宋体"/>
          <w:szCs w:val="21"/>
        </w:rPr>
        <w:t xml:space="preserve">1. </w:t>
      </w:r>
      <w:r>
        <w:rPr>
          <w:rFonts w:hint="eastAsia" w:ascii="宋体" w:hAnsi="宋体" w:cs="宋体"/>
          <w:szCs w:val="21"/>
          <w:highlight w:val="none"/>
        </w:rPr>
        <w:t>适用范围</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_Toc22151 \h </w:instrText>
      </w:r>
      <w:r>
        <w:rPr>
          <w:rFonts w:hint="eastAsia" w:ascii="宋体" w:hAnsi="宋体" w:cs="宋体"/>
          <w:szCs w:val="21"/>
        </w:rPr>
        <w:fldChar w:fldCharType="separate"/>
      </w:r>
      <w:r>
        <w:rPr>
          <w:rFonts w:hint="eastAsia" w:ascii="宋体" w:hAnsi="宋体" w:cs="宋体"/>
          <w:szCs w:val="21"/>
        </w:rPr>
        <w:t>40</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534D9DFA">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_Toc24030 </w:instrText>
      </w:r>
      <w:r>
        <w:rPr>
          <w:rFonts w:hint="eastAsia" w:ascii="宋体" w:hAnsi="宋体" w:eastAsia="宋体" w:cs="宋体"/>
          <w:szCs w:val="21"/>
          <w:highlight w:val="none"/>
        </w:rPr>
        <w:fldChar w:fldCharType="separate"/>
      </w:r>
      <w:r>
        <w:rPr>
          <w:rFonts w:hint="eastAsia" w:ascii="宋体" w:hAnsi="宋体" w:cs="宋体"/>
          <w:vanish/>
          <w:szCs w:val="21"/>
        </w:rPr>
        <w:t xml:space="preserve">2. </w:t>
      </w:r>
      <w:r>
        <w:rPr>
          <w:rFonts w:hint="eastAsia" w:ascii="宋体" w:hAnsi="宋体" w:cs="宋体"/>
          <w:szCs w:val="21"/>
          <w:highlight w:val="none"/>
        </w:rPr>
        <w:t>定义</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_Toc24030 \h </w:instrText>
      </w:r>
      <w:r>
        <w:rPr>
          <w:rFonts w:hint="eastAsia" w:ascii="宋体" w:hAnsi="宋体" w:cs="宋体"/>
          <w:szCs w:val="21"/>
        </w:rPr>
        <w:fldChar w:fldCharType="separate"/>
      </w:r>
      <w:r>
        <w:rPr>
          <w:rFonts w:hint="eastAsia" w:ascii="宋体" w:hAnsi="宋体" w:cs="宋体"/>
          <w:szCs w:val="21"/>
        </w:rPr>
        <w:t>40</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2E37EBF8">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_Toc25141 </w:instrText>
      </w:r>
      <w:r>
        <w:rPr>
          <w:rFonts w:hint="eastAsia" w:ascii="宋体" w:hAnsi="宋体" w:eastAsia="宋体" w:cs="宋体"/>
          <w:szCs w:val="21"/>
          <w:highlight w:val="none"/>
        </w:rPr>
        <w:fldChar w:fldCharType="separate"/>
      </w:r>
      <w:r>
        <w:rPr>
          <w:rFonts w:hint="eastAsia" w:ascii="宋体" w:hAnsi="宋体" w:cs="宋体"/>
          <w:vanish/>
          <w:szCs w:val="21"/>
        </w:rPr>
        <w:t xml:space="preserve">3. </w:t>
      </w:r>
      <w:r>
        <w:rPr>
          <w:rFonts w:hint="eastAsia" w:ascii="宋体" w:hAnsi="宋体" w:cs="宋体"/>
          <w:szCs w:val="21"/>
          <w:highlight w:val="none"/>
        </w:rPr>
        <w:t>货物和服务</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_Toc25141 \h </w:instrText>
      </w:r>
      <w:r>
        <w:rPr>
          <w:rFonts w:hint="eastAsia" w:ascii="宋体" w:hAnsi="宋体" w:cs="宋体"/>
          <w:szCs w:val="21"/>
        </w:rPr>
        <w:fldChar w:fldCharType="separate"/>
      </w:r>
      <w:r>
        <w:rPr>
          <w:rFonts w:hint="eastAsia" w:ascii="宋体" w:hAnsi="宋体" w:cs="宋体"/>
          <w:szCs w:val="21"/>
        </w:rPr>
        <w:t>40</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18D22B29">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_Toc27593 </w:instrText>
      </w:r>
      <w:r>
        <w:rPr>
          <w:rFonts w:hint="eastAsia" w:ascii="宋体" w:hAnsi="宋体" w:eastAsia="宋体" w:cs="宋体"/>
          <w:szCs w:val="21"/>
          <w:highlight w:val="none"/>
        </w:rPr>
        <w:fldChar w:fldCharType="separate"/>
      </w:r>
      <w:r>
        <w:rPr>
          <w:rFonts w:hint="eastAsia" w:ascii="宋体" w:hAnsi="宋体" w:cs="宋体"/>
          <w:vanish/>
          <w:szCs w:val="21"/>
        </w:rPr>
        <w:t xml:space="preserve">4. </w:t>
      </w:r>
      <w:r>
        <w:rPr>
          <w:rFonts w:hint="eastAsia" w:ascii="宋体" w:hAnsi="宋体" w:cs="宋体"/>
          <w:szCs w:val="21"/>
          <w:highlight w:val="none"/>
        </w:rPr>
        <w:t>投标费用</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_Toc27593 \h </w:instrText>
      </w:r>
      <w:r>
        <w:rPr>
          <w:rFonts w:hint="eastAsia" w:ascii="宋体" w:hAnsi="宋体" w:cs="宋体"/>
          <w:szCs w:val="21"/>
        </w:rPr>
        <w:fldChar w:fldCharType="separate"/>
      </w:r>
      <w:r>
        <w:rPr>
          <w:rFonts w:hint="eastAsia" w:ascii="宋体" w:hAnsi="宋体" w:cs="宋体"/>
          <w:szCs w:val="21"/>
        </w:rPr>
        <w:t>40</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41A100CF">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_Toc6712 </w:instrText>
      </w:r>
      <w:r>
        <w:rPr>
          <w:rFonts w:hint="eastAsia" w:ascii="宋体" w:hAnsi="宋体" w:eastAsia="宋体" w:cs="宋体"/>
          <w:szCs w:val="21"/>
          <w:highlight w:val="none"/>
        </w:rPr>
        <w:fldChar w:fldCharType="separate"/>
      </w:r>
      <w:r>
        <w:rPr>
          <w:rFonts w:hint="eastAsia" w:ascii="宋体" w:hAnsi="宋体" w:cs="宋体"/>
          <w:vanish/>
          <w:szCs w:val="21"/>
        </w:rPr>
        <w:t xml:space="preserve">5. </w:t>
      </w:r>
      <w:r>
        <w:rPr>
          <w:rFonts w:hint="eastAsia" w:ascii="宋体" w:hAnsi="宋体" w:cs="宋体"/>
          <w:szCs w:val="21"/>
          <w:highlight w:val="none"/>
        </w:rPr>
        <w:t>知识产权</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_Toc6712 \h </w:instrText>
      </w:r>
      <w:r>
        <w:rPr>
          <w:rFonts w:hint="eastAsia" w:ascii="宋体" w:hAnsi="宋体" w:cs="宋体"/>
          <w:szCs w:val="21"/>
        </w:rPr>
        <w:fldChar w:fldCharType="separate"/>
      </w:r>
      <w:r>
        <w:rPr>
          <w:rFonts w:hint="eastAsia" w:ascii="宋体" w:hAnsi="宋体" w:cs="宋体"/>
          <w:szCs w:val="21"/>
        </w:rPr>
        <w:t>41</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54126098">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_Toc16536 </w:instrText>
      </w:r>
      <w:r>
        <w:rPr>
          <w:rFonts w:hint="eastAsia" w:ascii="宋体" w:hAnsi="宋体" w:eastAsia="宋体" w:cs="宋体"/>
          <w:szCs w:val="21"/>
          <w:highlight w:val="none"/>
        </w:rPr>
        <w:fldChar w:fldCharType="separate"/>
      </w:r>
      <w:r>
        <w:rPr>
          <w:rFonts w:hint="eastAsia" w:ascii="宋体" w:hAnsi="宋体" w:cs="宋体"/>
          <w:vanish/>
          <w:szCs w:val="21"/>
        </w:rPr>
        <w:t xml:space="preserve">6. </w:t>
      </w:r>
      <w:r>
        <w:rPr>
          <w:rFonts w:hint="eastAsia" w:ascii="宋体" w:hAnsi="宋体" w:cs="宋体"/>
          <w:szCs w:val="21"/>
          <w:highlight w:val="none"/>
        </w:rPr>
        <w:t>关于联合体投标</w:t>
      </w:r>
      <w:r>
        <w:rPr>
          <w:rFonts w:hint="eastAsia" w:ascii="宋体" w:hAnsi="宋体" w:cs="宋体"/>
          <w:szCs w:val="21"/>
          <w:highlight w:val="none"/>
          <w:lang w:eastAsia="zh-CN"/>
        </w:rPr>
        <w:t>（</w:t>
      </w:r>
      <w:r>
        <w:rPr>
          <w:rFonts w:hint="eastAsia" w:ascii="宋体" w:hAnsi="宋体" w:cs="宋体"/>
          <w:szCs w:val="21"/>
          <w:highlight w:val="none"/>
          <w:lang w:val="en-US" w:eastAsia="zh-CN"/>
        </w:rPr>
        <w:t>本项目不适用</w:t>
      </w:r>
      <w:r>
        <w:rPr>
          <w:rFonts w:hint="eastAsia" w:ascii="宋体" w:hAnsi="宋体" w:cs="宋体"/>
          <w:szCs w:val="21"/>
          <w:highlight w:val="none"/>
          <w:lang w:eastAsia="zh-CN"/>
        </w:rPr>
        <w:t>）</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_Toc16536 \h </w:instrText>
      </w:r>
      <w:r>
        <w:rPr>
          <w:rFonts w:hint="eastAsia" w:ascii="宋体" w:hAnsi="宋体" w:cs="宋体"/>
          <w:szCs w:val="21"/>
        </w:rPr>
        <w:fldChar w:fldCharType="separate"/>
      </w:r>
      <w:r>
        <w:rPr>
          <w:rFonts w:hint="eastAsia" w:ascii="宋体" w:hAnsi="宋体" w:cs="宋体"/>
          <w:szCs w:val="21"/>
        </w:rPr>
        <w:t>41</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640F8414">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_Toc16091 </w:instrText>
      </w:r>
      <w:r>
        <w:rPr>
          <w:rFonts w:hint="eastAsia" w:ascii="宋体" w:hAnsi="宋体" w:eastAsia="宋体" w:cs="宋体"/>
          <w:szCs w:val="21"/>
          <w:highlight w:val="none"/>
        </w:rPr>
        <w:fldChar w:fldCharType="separate"/>
      </w:r>
      <w:r>
        <w:rPr>
          <w:rFonts w:hint="eastAsia" w:ascii="宋体" w:hAnsi="宋体" w:cs="宋体"/>
          <w:vanish/>
          <w:szCs w:val="21"/>
        </w:rPr>
        <w:t xml:space="preserve">7. </w:t>
      </w:r>
      <w:r>
        <w:rPr>
          <w:rFonts w:hint="eastAsia" w:ascii="宋体" w:hAnsi="宋体" w:cs="宋体"/>
          <w:szCs w:val="21"/>
          <w:highlight w:val="none"/>
        </w:rPr>
        <w:t>关于分支机构投标</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_Toc16091 \h </w:instrText>
      </w:r>
      <w:r>
        <w:rPr>
          <w:rFonts w:hint="eastAsia" w:ascii="宋体" w:hAnsi="宋体" w:cs="宋体"/>
          <w:szCs w:val="21"/>
        </w:rPr>
        <w:fldChar w:fldCharType="separate"/>
      </w:r>
      <w:r>
        <w:rPr>
          <w:rFonts w:hint="eastAsia" w:ascii="宋体" w:hAnsi="宋体" w:cs="宋体"/>
          <w:szCs w:val="21"/>
        </w:rPr>
        <w:t>42</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004E6022">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_Toc7321 </w:instrText>
      </w:r>
      <w:r>
        <w:rPr>
          <w:rFonts w:hint="eastAsia" w:ascii="宋体" w:hAnsi="宋体" w:eastAsia="宋体" w:cs="宋体"/>
          <w:szCs w:val="21"/>
          <w:highlight w:val="none"/>
        </w:rPr>
        <w:fldChar w:fldCharType="separate"/>
      </w:r>
      <w:r>
        <w:rPr>
          <w:rFonts w:hint="eastAsia" w:ascii="宋体" w:hAnsi="宋体" w:cs="宋体"/>
          <w:szCs w:val="21"/>
        </w:rPr>
        <w:t xml:space="preserve">8. </w:t>
      </w:r>
      <w:r>
        <w:rPr>
          <w:rFonts w:hint="eastAsia" w:ascii="宋体" w:hAnsi="宋体" w:cs="宋体"/>
          <w:szCs w:val="21"/>
          <w:highlight w:val="none"/>
        </w:rPr>
        <w:t>踏勘现场</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_Toc7321 \h </w:instrText>
      </w:r>
      <w:r>
        <w:rPr>
          <w:rFonts w:hint="eastAsia" w:ascii="宋体" w:hAnsi="宋体" w:cs="宋体"/>
          <w:szCs w:val="21"/>
        </w:rPr>
        <w:fldChar w:fldCharType="separate"/>
      </w:r>
      <w:r>
        <w:rPr>
          <w:rFonts w:hint="eastAsia" w:ascii="宋体" w:hAnsi="宋体" w:cs="宋体"/>
          <w:szCs w:val="21"/>
        </w:rPr>
        <w:t>42</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4F04BE3C">
      <w:pPr>
        <w:pStyle w:val="12"/>
        <w:tabs>
          <w:tab w:val="right" w:leader="dot" w:pos="8306"/>
          <w:tab w:val="clear" w:pos="8296"/>
        </w:tabs>
        <w:rPr>
          <w:rFonts w:hint="eastAsia" w:ascii="宋体" w:hAnsi="宋体" w:cs="宋体"/>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_Toc13246 </w:instrText>
      </w:r>
      <w:r>
        <w:rPr>
          <w:rFonts w:hint="eastAsia" w:ascii="宋体" w:hAnsi="宋体" w:eastAsia="宋体" w:cs="宋体"/>
          <w:szCs w:val="21"/>
          <w:highlight w:val="none"/>
        </w:rPr>
        <w:fldChar w:fldCharType="separate"/>
      </w:r>
      <w:r>
        <w:rPr>
          <w:rFonts w:hint="eastAsia" w:ascii="宋体" w:hAnsi="宋体" w:cs="宋体"/>
        </w:rPr>
        <w:t xml:space="preserve">二、 </w:t>
      </w:r>
      <w:r>
        <w:rPr>
          <w:rFonts w:hint="eastAsia" w:ascii="宋体" w:hAnsi="宋体" w:cs="宋体"/>
          <w:highlight w:val="none"/>
        </w:rPr>
        <w:t>采购文件</w:t>
      </w:r>
      <w:r>
        <w:rPr>
          <w:rFonts w:hint="eastAsia" w:ascii="宋体" w:hAnsi="宋体" w:cs="宋体"/>
        </w:rPr>
        <w:tab/>
      </w:r>
      <w:r>
        <w:rPr>
          <w:rFonts w:hint="eastAsia" w:ascii="宋体" w:hAnsi="宋体" w:cs="宋体"/>
        </w:rPr>
        <w:fldChar w:fldCharType="begin"/>
      </w:r>
      <w:r>
        <w:rPr>
          <w:rFonts w:hint="eastAsia" w:ascii="宋体" w:hAnsi="宋体" w:cs="宋体"/>
        </w:rPr>
        <w:instrText xml:space="preserve"> PAGEREF _Toc13246 \h </w:instrText>
      </w:r>
      <w:r>
        <w:rPr>
          <w:rFonts w:hint="eastAsia" w:ascii="宋体" w:hAnsi="宋体" w:cs="宋体"/>
        </w:rPr>
        <w:fldChar w:fldCharType="separate"/>
      </w:r>
      <w:r>
        <w:rPr>
          <w:rFonts w:hint="eastAsia" w:ascii="宋体" w:hAnsi="宋体" w:cs="宋体"/>
        </w:rPr>
        <w:t>42</w:t>
      </w:r>
      <w:r>
        <w:rPr>
          <w:rFonts w:hint="eastAsia" w:ascii="宋体" w:hAnsi="宋体" w:cs="宋体"/>
        </w:rPr>
        <w:fldChar w:fldCharType="end"/>
      </w:r>
      <w:r>
        <w:rPr>
          <w:rFonts w:hint="eastAsia" w:ascii="宋体" w:hAnsi="宋体" w:eastAsia="宋体" w:cs="宋体"/>
          <w:color w:val="auto"/>
          <w:szCs w:val="21"/>
          <w:highlight w:val="none"/>
        </w:rPr>
        <w:fldChar w:fldCharType="end"/>
      </w:r>
    </w:p>
    <w:p w14:paraId="4FB95442">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_Toc28516 </w:instrText>
      </w:r>
      <w:r>
        <w:rPr>
          <w:rFonts w:hint="eastAsia" w:ascii="宋体" w:hAnsi="宋体" w:eastAsia="宋体" w:cs="宋体"/>
          <w:szCs w:val="21"/>
          <w:highlight w:val="none"/>
        </w:rPr>
        <w:fldChar w:fldCharType="separate"/>
      </w:r>
      <w:r>
        <w:rPr>
          <w:rFonts w:hint="eastAsia" w:ascii="宋体" w:hAnsi="宋体" w:cs="宋体"/>
          <w:szCs w:val="21"/>
        </w:rPr>
        <w:t xml:space="preserve">9. </w:t>
      </w:r>
      <w:r>
        <w:rPr>
          <w:rFonts w:hint="eastAsia" w:ascii="宋体" w:hAnsi="宋体" w:cs="宋体"/>
          <w:szCs w:val="21"/>
          <w:highlight w:val="none"/>
        </w:rPr>
        <w:t>采购文件的组成</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_Toc28516 \h </w:instrText>
      </w:r>
      <w:r>
        <w:rPr>
          <w:rFonts w:hint="eastAsia" w:ascii="宋体" w:hAnsi="宋体" w:cs="宋体"/>
          <w:szCs w:val="21"/>
        </w:rPr>
        <w:fldChar w:fldCharType="separate"/>
      </w:r>
      <w:r>
        <w:rPr>
          <w:rFonts w:hint="eastAsia" w:ascii="宋体" w:hAnsi="宋体" w:cs="宋体"/>
          <w:szCs w:val="21"/>
        </w:rPr>
        <w:t>42</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6D5DD50B">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_Toc17063 </w:instrText>
      </w:r>
      <w:r>
        <w:rPr>
          <w:rFonts w:hint="eastAsia" w:ascii="宋体" w:hAnsi="宋体" w:eastAsia="宋体" w:cs="宋体"/>
          <w:szCs w:val="21"/>
          <w:highlight w:val="none"/>
        </w:rPr>
        <w:fldChar w:fldCharType="separate"/>
      </w:r>
      <w:r>
        <w:rPr>
          <w:rFonts w:hint="eastAsia" w:ascii="宋体" w:hAnsi="宋体" w:cs="宋体"/>
          <w:szCs w:val="21"/>
        </w:rPr>
        <w:t xml:space="preserve">10. </w:t>
      </w:r>
      <w:r>
        <w:rPr>
          <w:rFonts w:hint="eastAsia" w:ascii="宋体" w:hAnsi="宋体" w:cs="宋体"/>
          <w:szCs w:val="21"/>
          <w:highlight w:val="none"/>
        </w:rPr>
        <w:t>采购文件的澄清或修改</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_Toc17063 \h </w:instrText>
      </w:r>
      <w:r>
        <w:rPr>
          <w:rFonts w:hint="eastAsia" w:ascii="宋体" w:hAnsi="宋体" w:cs="宋体"/>
          <w:szCs w:val="21"/>
        </w:rPr>
        <w:fldChar w:fldCharType="separate"/>
      </w:r>
      <w:r>
        <w:rPr>
          <w:rFonts w:hint="eastAsia" w:ascii="宋体" w:hAnsi="宋体" w:cs="宋体"/>
          <w:szCs w:val="21"/>
        </w:rPr>
        <w:t>42</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070C8774">
      <w:pPr>
        <w:pStyle w:val="12"/>
        <w:tabs>
          <w:tab w:val="right" w:leader="dot" w:pos="8306"/>
          <w:tab w:val="clear" w:pos="8296"/>
        </w:tabs>
        <w:rPr>
          <w:rFonts w:hint="eastAsia" w:ascii="宋体" w:hAnsi="宋体" w:cs="宋体"/>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_Toc23021 </w:instrText>
      </w:r>
      <w:r>
        <w:rPr>
          <w:rFonts w:hint="eastAsia" w:ascii="宋体" w:hAnsi="宋体" w:eastAsia="宋体" w:cs="宋体"/>
          <w:szCs w:val="21"/>
          <w:highlight w:val="none"/>
        </w:rPr>
        <w:fldChar w:fldCharType="separate"/>
      </w:r>
      <w:r>
        <w:rPr>
          <w:rFonts w:hint="eastAsia" w:ascii="宋体" w:hAnsi="宋体" w:cs="宋体"/>
        </w:rPr>
        <w:t xml:space="preserve">三、 </w:t>
      </w:r>
      <w:r>
        <w:rPr>
          <w:rFonts w:hint="eastAsia" w:ascii="宋体" w:hAnsi="宋体" w:cs="宋体"/>
          <w:highlight w:val="none"/>
        </w:rPr>
        <w:t>投标文件的编制</w:t>
      </w:r>
      <w:r>
        <w:rPr>
          <w:rFonts w:hint="eastAsia" w:ascii="宋体" w:hAnsi="宋体" w:cs="宋体"/>
        </w:rPr>
        <w:tab/>
      </w:r>
      <w:r>
        <w:rPr>
          <w:rFonts w:hint="eastAsia" w:ascii="宋体" w:hAnsi="宋体" w:cs="宋体"/>
        </w:rPr>
        <w:fldChar w:fldCharType="begin"/>
      </w:r>
      <w:r>
        <w:rPr>
          <w:rFonts w:hint="eastAsia" w:ascii="宋体" w:hAnsi="宋体" w:cs="宋体"/>
        </w:rPr>
        <w:instrText xml:space="preserve"> PAGEREF _Toc23021 \h </w:instrText>
      </w:r>
      <w:r>
        <w:rPr>
          <w:rFonts w:hint="eastAsia" w:ascii="宋体" w:hAnsi="宋体" w:cs="宋体"/>
        </w:rPr>
        <w:fldChar w:fldCharType="separate"/>
      </w:r>
      <w:r>
        <w:rPr>
          <w:rFonts w:hint="eastAsia" w:ascii="宋体" w:hAnsi="宋体" w:cs="宋体"/>
        </w:rPr>
        <w:t>43</w:t>
      </w:r>
      <w:r>
        <w:rPr>
          <w:rFonts w:hint="eastAsia" w:ascii="宋体" w:hAnsi="宋体" w:cs="宋体"/>
        </w:rPr>
        <w:fldChar w:fldCharType="end"/>
      </w:r>
      <w:r>
        <w:rPr>
          <w:rFonts w:hint="eastAsia" w:ascii="宋体" w:hAnsi="宋体" w:eastAsia="宋体" w:cs="宋体"/>
          <w:color w:val="auto"/>
          <w:szCs w:val="21"/>
          <w:highlight w:val="none"/>
        </w:rPr>
        <w:fldChar w:fldCharType="end"/>
      </w:r>
    </w:p>
    <w:p w14:paraId="581971F3">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_Toc13787 </w:instrText>
      </w:r>
      <w:r>
        <w:rPr>
          <w:rFonts w:hint="eastAsia" w:ascii="宋体" w:hAnsi="宋体" w:eastAsia="宋体" w:cs="宋体"/>
          <w:szCs w:val="21"/>
          <w:highlight w:val="none"/>
        </w:rPr>
        <w:fldChar w:fldCharType="separate"/>
      </w:r>
      <w:r>
        <w:rPr>
          <w:rFonts w:hint="eastAsia" w:ascii="宋体" w:hAnsi="宋体" w:cs="宋体"/>
          <w:szCs w:val="21"/>
        </w:rPr>
        <w:t xml:space="preserve">11. </w:t>
      </w:r>
      <w:r>
        <w:rPr>
          <w:rFonts w:hint="eastAsia" w:ascii="宋体" w:hAnsi="宋体" w:cs="宋体"/>
          <w:szCs w:val="21"/>
          <w:highlight w:val="none"/>
        </w:rPr>
        <w:t>投标文件的语言及度量衡单位</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_Toc13787 \h </w:instrText>
      </w:r>
      <w:r>
        <w:rPr>
          <w:rFonts w:hint="eastAsia" w:ascii="宋体" w:hAnsi="宋体" w:cs="宋体"/>
          <w:szCs w:val="21"/>
        </w:rPr>
        <w:fldChar w:fldCharType="separate"/>
      </w:r>
      <w:r>
        <w:rPr>
          <w:rFonts w:hint="eastAsia" w:ascii="宋体" w:hAnsi="宋体" w:cs="宋体"/>
          <w:szCs w:val="21"/>
        </w:rPr>
        <w:t>43</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04C2C7E6">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_Toc32260 </w:instrText>
      </w:r>
      <w:r>
        <w:rPr>
          <w:rFonts w:hint="eastAsia" w:ascii="宋体" w:hAnsi="宋体" w:eastAsia="宋体" w:cs="宋体"/>
          <w:szCs w:val="21"/>
          <w:highlight w:val="none"/>
        </w:rPr>
        <w:fldChar w:fldCharType="separate"/>
      </w:r>
      <w:r>
        <w:rPr>
          <w:rFonts w:hint="eastAsia" w:ascii="宋体" w:hAnsi="宋体" w:cs="宋体"/>
          <w:szCs w:val="21"/>
        </w:rPr>
        <w:t xml:space="preserve">12. </w:t>
      </w:r>
      <w:r>
        <w:rPr>
          <w:rFonts w:hint="eastAsia" w:ascii="宋体" w:hAnsi="宋体" w:cs="宋体"/>
          <w:szCs w:val="21"/>
          <w:highlight w:val="none"/>
        </w:rPr>
        <w:t>投标文件的组成</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_Toc32260 \h </w:instrText>
      </w:r>
      <w:r>
        <w:rPr>
          <w:rFonts w:hint="eastAsia" w:ascii="宋体" w:hAnsi="宋体" w:cs="宋体"/>
          <w:szCs w:val="21"/>
        </w:rPr>
        <w:fldChar w:fldCharType="separate"/>
      </w:r>
      <w:r>
        <w:rPr>
          <w:rFonts w:hint="eastAsia" w:ascii="宋体" w:hAnsi="宋体" w:cs="宋体"/>
          <w:szCs w:val="21"/>
        </w:rPr>
        <w:t>43</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1D0A6DA7">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_Toc3611 </w:instrText>
      </w:r>
      <w:r>
        <w:rPr>
          <w:rFonts w:hint="eastAsia" w:ascii="宋体" w:hAnsi="宋体" w:eastAsia="宋体" w:cs="宋体"/>
          <w:szCs w:val="21"/>
          <w:highlight w:val="none"/>
        </w:rPr>
        <w:fldChar w:fldCharType="separate"/>
      </w:r>
      <w:r>
        <w:rPr>
          <w:rFonts w:hint="eastAsia" w:ascii="宋体" w:hAnsi="宋体" w:cs="宋体"/>
          <w:szCs w:val="21"/>
        </w:rPr>
        <w:t xml:space="preserve">13. </w:t>
      </w:r>
      <w:r>
        <w:rPr>
          <w:rFonts w:hint="eastAsia" w:ascii="宋体" w:hAnsi="宋体" w:cs="宋体"/>
          <w:szCs w:val="21"/>
          <w:highlight w:val="none"/>
        </w:rPr>
        <w:t>投标文件编制</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_Toc3611 \h </w:instrText>
      </w:r>
      <w:r>
        <w:rPr>
          <w:rFonts w:hint="eastAsia" w:ascii="宋体" w:hAnsi="宋体" w:cs="宋体"/>
          <w:szCs w:val="21"/>
        </w:rPr>
        <w:fldChar w:fldCharType="separate"/>
      </w:r>
      <w:r>
        <w:rPr>
          <w:rFonts w:hint="eastAsia" w:ascii="宋体" w:hAnsi="宋体" w:cs="宋体"/>
          <w:szCs w:val="21"/>
        </w:rPr>
        <w:t>43</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0106EB27">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_Toc28366 </w:instrText>
      </w:r>
      <w:r>
        <w:rPr>
          <w:rFonts w:hint="eastAsia" w:ascii="宋体" w:hAnsi="宋体" w:eastAsia="宋体" w:cs="宋体"/>
          <w:szCs w:val="21"/>
          <w:highlight w:val="none"/>
        </w:rPr>
        <w:fldChar w:fldCharType="separate"/>
      </w:r>
      <w:r>
        <w:rPr>
          <w:rFonts w:hint="eastAsia" w:ascii="宋体" w:hAnsi="宋体" w:cs="宋体"/>
          <w:szCs w:val="21"/>
        </w:rPr>
        <w:t xml:space="preserve">14. </w:t>
      </w:r>
      <w:r>
        <w:rPr>
          <w:rFonts w:hint="eastAsia" w:ascii="宋体" w:hAnsi="宋体" w:cs="宋体"/>
          <w:szCs w:val="21"/>
          <w:highlight w:val="none"/>
        </w:rPr>
        <w:t>投标报价说明</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_Toc28366 \h </w:instrText>
      </w:r>
      <w:r>
        <w:rPr>
          <w:rFonts w:hint="eastAsia" w:ascii="宋体" w:hAnsi="宋体" w:cs="宋体"/>
          <w:szCs w:val="21"/>
        </w:rPr>
        <w:fldChar w:fldCharType="separate"/>
      </w:r>
      <w:r>
        <w:rPr>
          <w:rFonts w:hint="eastAsia" w:ascii="宋体" w:hAnsi="宋体" w:cs="宋体"/>
          <w:szCs w:val="21"/>
        </w:rPr>
        <w:t>44</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7B3D6CD0">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_Toc31169 </w:instrText>
      </w:r>
      <w:r>
        <w:rPr>
          <w:rFonts w:hint="eastAsia" w:ascii="宋体" w:hAnsi="宋体" w:eastAsia="宋体" w:cs="宋体"/>
          <w:szCs w:val="21"/>
          <w:highlight w:val="none"/>
        </w:rPr>
        <w:fldChar w:fldCharType="separate"/>
      </w:r>
      <w:r>
        <w:rPr>
          <w:rFonts w:hint="eastAsia" w:ascii="宋体" w:hAnsi="宋体" w:cs="宋体"/>
          <w:szCs w:val="21"/>
        </w:rPr>
        <w:t xml:space="preserve">15. </w:t>
      </w:r>
      <w:r>
        <w:rPr>
          <w:rFonts w:hint="eastAsia" w:ascii="宋体" w:hAnsi="宋体" w:cs="宋体"/>
          <w:szCs w:val="21"/>
          <w:highlight w:val="none"/>
        </w:rPr>
        <w:t>投标人所提供的服务或货物的证明文件</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_Toc31169 \h </w:instrText>
      </w:r>
      <w:r>
        <w:rPr>
          <w:rFonts w:hint="eastAsia" w:ascii="宋体" w:hAnsi="宋体" w:cs="宋体"/>
          <w:szCs w:val="21"/>
        </w:rPr>
        <w:fldChar w:fldCharType="separate"/>
      </w:r>
      <w:r>
        <w:rPr>
          <w:rFonts w:hint="eastAsia" w:ascii="宋体" w:hAnsi="宋体" w:cs="宋体"/>
          <w:szCs w:val="21"/>
        </w:rPr>
        <w:t>44</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0FEF962C">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_Toc29176 </w:instrText>
      </w:r>
      <w:r>
        <w:rPr>
          <w:rFonts w:hint="eastAsia" w:ascii="宋体" w:hAnsi="宋体" w:eastAsia="宋体" w:cs="宋体"/>
          <w:szCs w:val="21"/>
          <w:highlight w:val="none"/>
        </w:rPr>
        <w:fldChar w:fldCharType="separate"/>
      </w:r>
      <w:r>
        <w:rPr>
          <w:rFonts w:hint="eastAsia" w:ascii="宋体" w:hAnsi="宋体" w:cs="宋体"/>
          <w:szCs w:val="21"/>
        </w:rPr>
        <w:t xml:space="preserve">16. </w:t>
      </w:r>
      <w:r>
        <w:rPr>
          <w:rFonts w:hint="eastAsia" w:ascii="宋体" w:hAnsi="宋体" w:cs="宋体"/>
          <w:szCs w:val="21"/>
          <w:highlight w:val="none"/>
        </w:rPr>
        <w:t>投标有效期</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_Toc29176 \h </w:instrText>
      </w:r>
      <w:r>
        <w:rPr>
          <w:rFonts w:hint="eastAsia" w:ascii="宋体" w:hAnsi="宋体" w:cs="宋体"/>
          <w:szCs w:val="21"/>
        </w:rPr>
        <w:fldChar w:fldCharType="separate"/>
      </w:r>
      <w:r>
        <w:rPr>
          <w:rFonts w:hint="eastAsia" w:ascii="宋体" w:hAnsi="宋体" w:cs="宋体"/>
          <w:szCs w:val="21"/>
        </w:rPr>
        <w:t>45</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0235A746">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_Toc7568 </w:instrText>
      </w:r>
      <w:r>
        <w:rPr>
          <w:rFonts w:hint="eastAsia" w:ascii="宋体" w:hAnsi="宋体" w:eastAsia="宋体" w:cs="宋体"/>
          <w:szCs w:val="21"/>
          <w:highlight w:val="none"/>
        </w:rPr>
        <w:fldChar w:fldCharType="separate"/>
      </w:r>
      <w:r>
        <w:rPr>
          <w:rFonts w:hint="eastAsia" w:ascii="宋体" w:hAnsi="宋体" w:cs="宋体"/>
          <w:szCs w:val="21"/>
        </w:rPr>
        <w:t xml:space="preserve">17. </w:t>
      </w:r>
      <w:r>
        <w:rPr>
          <w:rFonts w:hint="eastAsia" w:ascii="宋体" w:hAnsi="宋体" w:cs="宋体"/>
          <w:szCs w:val="21"/>
          <w:highlight w:val="none"/>
        </w:rPr>
        <w:t>投标保证金</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_Toc7568 \h </w:instrText>
      </w:r>
      <w:r>
        <w:rPr>
          <w:rFonts w:hint="eastAsia" w:ascii="宋体" w:hAnsi="宋体" w:cs="宋体"/>
          <w:szCs w:val="21"/>
        </w:rPr>
        <w:fldChar w:fldCharType="separate"/>
      </w:r>
      <w:r>
        <w:rPr>
          <w:rFonts w:hint="eastAsia" w:ascii="宋体" w:hAnsi="宋体" w:cs="宋体"/>
          <w:szCs w:val="21"/>
        </w:rPr>
        <w:t>45</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17328F1E">
      <w:pPr>
        <w:pStyle w:val="12"/>
        <w:tabs>
          <w:tab w:val="right" w:leader="dot" w:pos="8306"/>
          <w:tab w:val="clear" w:pos="8296"/>
        </w:tabs>
        <w:rPr>
          <w:rFonts w:hint="eastAsia" w:ascii="宋体" w:hAnsi="宋体" w:cs="宋体"/>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_Toc32704 </w:instrText>
      </w:r>
      <w:r>
        <w:rPr>
          <w:rFonts w:hint="eastAsia" w:ascii="宋体" w:hAnsi="宋体" w:eastAsia="宋体" w:cs="宋体"/>
          <w:szCs w:val="21"/>
          <w:highlight w:val="none"/>
        </w:rPr>
        <w:fldChar w:fldCharType="separate"/>
      </w:r>
      <w:r>
        <w:rPr>
          <w:rFonts w:hint="eastAsia" w:ascii="宋体" w:hAnsi="宋体" w:cs="宋体"/>
        </w:rPr>
        <w:t xml:space="preserve">四、 </w:t>
      </w:r>
      <w:r>
        <w:rPr>
          <w:rFonts w:hint="eastAsia" w:ascii="宋体" w:hAnsi="宋体" w:cs="宋体"/>
          <w:highlight w:val="none"/>
        </w:rPr>
        <w:t>投标文件的递交</w:t>
      </w:r>
      <w:r>
        <w:rPr>
          <w:rFonts w:hint="eastAsia" w:ascii="宋体" w:hAnsi="宋体" w:cs="宋体"/>
        </w:rPr>
        <w:tab/>
      </w:r>
      <w:r>
        <w:rPr>
          <w:rFonts w:hint="eastAsia" w:ascii="宋体" w:hAnsi="宋体" w:cs="宋体"/>
        </w:rPr>
        <w:fldChar w:fldCharType="begin"/>
      </w:r>
      <w:r>
        <w:rPr>
          <w:rFonts w:hint="eastAsia" w:ascii="宋体" w:hAnsi="宋体" w:cs="宋体"/>
        </w:rPr>
        <w:instrText xml:space="preserve"> PAGEREF _Toc32704 \h </w:instrText>
      </w:r>
      <w:r>
        <w:rPr>
          <w:rFonts w:hint="eastAsia" w:ascii="宋体" w:hAnsi="宋体" w:cs="宋体"/>
        </w:rPr>
        <w:fldChar w:fldCharType="separate"/>
      </w:r>
      <w:r>
        <w:rPr>
          <w:rFonts w:hint="eastAsia" w:ascii="宋体" w:hAnsi="宋体" w:cs="宋体"/>
        </w:rPr>
        <w:t>45</w:t>
      </w:r>
      <w:r>
        <w:rPr>
          <w:rFonts w:hint="eastAsia" w:ascii="宋体" w:hAnsi="宋体" w:cs="宋体"/>
        </w:rPr>
        <w:fldChar w:fldCharType="end"/>
      </w:r>
      <w:r>
        <w:rPr>
          <w:rFonts w:hint="eastAsia" w:ascii="宋体" w:hAnsi="宋体" w:eastAsia="宋体" w:cs="宋体"/>
          <w:color w:val="auto"/>
          <w:szCs w:val="21"/>
          <w:highlight w:val="none"/>
        </w:rPr>
        <w:fldChar w:fldCharType="end"/>
      </w:r>
    </w:p>
    <w:p w14:paraId="24D82AFB">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_Toc1330 </w:instrText>
      </w:r>
      <w:r>
        <w:rPr>
          <w:rFonts w:hint="eastAsia" w:ascii="宋体" w:hAnsi="宋体" w:eastAsia="宋体" w:cs="宋体"/>
          <w:szCs w:val="21"/>
          <w:highlight w:val="none"/>
        </w:rPr>
        <w:fldChar w:fldCharType="separate"/>
      </w:r>
      <w:r>
        <w:rPr>
          <w:rFonts w:hint="eastAsia" w:ascii="宋体" w:hAnsi="宋体" w:cs="宋体"/>
          <w:szCs w:val="21"/>
        </w:rPr>
        <w:t xml:space="preserve">18. </w:t>
      </w:r>
      <w:r>
        <w:rPr>
          <w:rFonts w:hint="eastAsia" w:ascii="宋体" w:hAnsi="宋体" w:cs="宋体"/>
          <w:szCs w:val="21"/>
          <w:highlight w:val="none"/>
        </w:rPr>
        <w:t>投标文件的装订，签署，密封和标记</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_Toc1330 \h </w:instrText>
      </w:r>
      <w:r>
        <w:rPr>
          <w:rFonts w:hint="eastAsia" w:ascii="宋体" w:hAnsi="宋体" w:cs="宋体"/>
          <w:szCs w:val="21"/>
        </w:rPr>
        <w:fldChar w:fldCharType="separate"/>
      </w:r>
      <w:r>
        <w:rPr>
          <w:rFonts w:hint="eastAsia" w:ascii="宋体" w:hAnsi="宋体" w:cs="宋体"/>
          <w:szCs w:val="21"/>
        </w:rPr>
        <w:t>45</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373FE9D9">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_Toc8199 </w:instrText>
      </w:r>
      <w:r>
        <w:rPr>
          <w:rFonts w:hint="eastAsia" w:ascii="宋体" w:hAnsi="宋体" w:eastAsia="宋体" w:cs="宋体"/>
          <w:szCs w:val="21"/>
          <w:highlight w:val="none"/>
        </w:rPr>
        <w:fldChar w:fldCharType="separate"/>
      </w:r>
      <w:r>
        <w:rPr>
          <w:rFonts w:hint="eastAsia" w:ascii="宋体" w:hAnsi="宋体" w:cs="宋体"/>
          <w:szCs w:val="21"/>
        </w:rPr>
        <w:t xml:space="preserve">19. </w:t>
      </w:r>
      <w:r>
        <w:rPr>
          <w:rFonts w:hint="eastAsia" w:ascii="宋体" w:hAnsi="宋体" w:cs="宋体"/>
          <w:szCs w:val="21"/>
          <w:highlight w:val="none"/>
        </w:rPr>
        <w:t>迟交的投标文件</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_Toc8199 \h </w:instrText>
      </w:r>
      <w:r>
        <w:rPr>
          <w:rFonts w:hint="eastAsia" w:ascii="宋体" w:hAnsi="宋体" w:cs="宋体"/>
          <w:szCs w:val="21"/>
        </w:rPr>
        <w:fldChar w:fldCharType="separate"/>
      </w:r>
      <w:r>
        <w:rPr>
          <w:rFonts w:hint="eastAsia" w:ascii="宋体" w:hAnsi="宋体" w:cs="宋体"/>
          <w:szCs w:val="21"/>
        </w:rPr>
        <w:t>47</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196712DA">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_Toc123 </w:instrText>
      </w:r>
      <w:r>
        <w:rPr>
          <w:rFonts w:hint="eastAsia" w:ascii="宋体" w:hAnsi="宋体" w:eastAsia="宋体" w:cs="宋体"/>
          <w:szCs w:val="21"/>
          <w:highlight w:val="none"/>
        </w:rPr>
        <w:fldChar w:fldCharType="separate"/>
      </w:r>
      <w:r>
        <w:rPr>
          <w:rFonts w:hint="eastAsia" w:ascii="宋体" w:hAnsi="宋体" w:cs="宋体"/>
          <w:szCs w:val="21"/>
        </w:rPr>
        <w:t xml:space="preserve">20. </w:t>
      </w:r>
      <w:r>
        <w:rPr>
          <w:rFonts w:hint="eastAsia" w:ascii="宋体" w:hAnsi="宋体" w:cs="宋体"/>
          <w:szCs w:val="21"/>
          <w:highlight w:val="none"/>
        </w:rPr>
        <w:t>投标样品（如需提交）</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_Toc123 \h </w:instrText>
      </w:r>
      <w:r>
        <w:rPr>
          <w:rFonts w:hint="eastAsia" w:ascii="宋体" w:hAnsi="宋体" w:cs="宋体"/>
          <w:szCs w:val="21"/>
        </w:rPr>
        <w:fldChar w:fldCharType="separate"/>
      </w:r>
      <w:r>
        <w:rPr>
          <w:rFonts w:hint="eastAsia" w:ascii="宋体" w:hAnsi="宋体" w:cs="宋体"/>
          <w:szCs w:val="21"/>
        </w:rPr>
        <w:t>47</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0AC83186">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_Toc29944 </w:instrText>
      </w:r>
      <w:r>
        <w:rPr>
          <w:rFonts w:hint="eastAsia" w:ascii="宋体" w:hAnsi="宋体" w:eastAsia="宋体" w:cs="宋体"/>
          <w:szCs w:val="21"/>
          <w:highlight w:val="none"/>
        </w:rPr>
        <w:fldChar w:fldCharType="separate"/>
      </w:r>
      <w:r>
        <w:rPr>
          <w:rFonts w:hint="eastAsia" w:ascii="宋体" w:hAnsi="宋体" w:cs="宋体"/>
          <w:szCs w:val="21"/>
        </w:rPr>
        <w:t xml:space="preserve">21. </w:t>
      </w:r>
      <w:r>
        <w:rPr>
          <w:rFonts w:hint="eastAsia" w:ascii="宋体" w:hAnsi="宋体" w:cs="宋体"/>
          <w:szCs w:val="21"/>
          <w:highlight w:val="none"/>
        </w:rPr>
        <w:t>投标截止期</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_Toc29944 \h </w:instrText>
      </w:r>
      <w:r>
        <w:rPr>
          <w:rFonts w:hint="eastAsia" w:ascii="宋体" w:hAnsi="宋体" w:cs="宋体"/>
          <w:szCs w:val="21"/>
        </w:rPr>
        <w:fldChar w:fldCharType="separate"/>
      </w:r>
      <w:r>
        <w:rPr>
          <w:rFonts w:hint="eastAsia" w:ascii="宋体" w:hAnsi="宋体" w:cs="宋体"/>
          <w:szCs w:val="21"/>
        </w:rPr>
        <w:t>47</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0FA847F5">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_Toc7142 </w:instrText>
      </w:r>
      <w:r>
        <w:rPr>
          <w:rFonts w:hint="eastAsia" w:ascii="宋体" w:hAnsi="宋体" w:eastAsia="宋体" w:cs="宋体"/>
          <w:szCs w:val="21"/>
          <w:highlight w:val="none"/>
        </w:rPr>
        <w:fldChar w:fldCharType="separate"/>
      </w:r>
      <w:r>
        <w:rPr>
          <w:rFonts w:hint="eastAsia" w:ascii="宋体" w:hAnsi="宋体" w:cs="宋体"/>
          <w:szCs w:val="21"/>
        </w:rPr>
        <w:t xml:space="preserve">22. </w:t>
      </w:r>
      <w:r>
        <w:rPr>
          <w:rFonts w:hint="eastAsia" w:ascii="宋体" w:hAnsi="宋体" w:cs="宋体"/>
          <w:szCs w:val="21"/>
          <w:highlight w:val="none"/>
        </w:rPr>
        <w:t>投标文件的补充、修改与撤回</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_Toc7142 \h </w:instrText>
      </w:r>
      <w:r>
        <w:rPr>
          <w:rFonts w:hint="eastAsia" w:ascii="宋体" w:hAnsi="宋体" w:cs="宋体"/>
          <w:szCs w:val="21"/>
        </w:rPr>
        <w:fldChar w:fldCharType="separate"/>
      </w:r>
      <w:r>
        <w:rPr>
          <w:rFonts w:hint="eastAsia" w:ascii="宋体" w:hAnsi="宋体" w:cs="宋体"/>
          <w:szCs w:val="21"/>
        </w:rPr>
        <w:t>47</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4A857BC2">
      <w:pPr>
        <w:pStyle w:val="12"/>
        <w:tabs>
          <w:tab w:val="right" w:leader="dot" w:pos="8306"/>
          <w:tab w:val="clear" w:pos="8296"/>
        </w:tabs>
        <w:rPr>
          <w:rFonts w:hint="eastAsia" w:ascii="宋体" w:hAnsi="宋体" w:cs="宋体"/>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_Toc2076 </w:instrText>
      </w:r>
      <w:r>
        <w:rPr>
          <w:rFonts w:hint="eastAsia" w:ascii="宋体" w:hAnsi="宋体" w:eastAsia="宋体" w:cs="宋体"/>
          <w:szCs w:val="21"/>
          <w:highlight w:val="none"/>
        </w:rPr>
        <w:fldChar w:fldCharType="separate"/>
      </w:r>
      <w:r>
        <w:rPr>
          <w:rFonts w:hint="eastAsia" w:ascii="宋体" w:hAnsi="宋体" w:cs="宋体"/>
        </w:rPr>
        <w:t xml:space="preserve">五、 </w:t>
      </w:r>
      <w:r>
        <w:rPr>
          <w:rFonts w:hint="eastAsia" w:ascii="宋体" w:hAnsi="宋体" w:cs="宋体"/>
          <w:highlight w:val="none"/>
        </w:rPr>
        <w:t>开标与评标</w:t>
      </w:r>
      <w:r>
        <w:rPr>
          <w:rFonts w:hint="eastAsia" w:ascii="宋体" w:hAnsi="宋体" w:cs="宋体"/>
        </w:rPr>
        <w:tab/>
      </w:r>
      <w:r>
        <w:rPr>
          <w:rFonts w:hint="eastAsia" w:ascii="宋体" w:hAnsi="宋体" w:cs="宋体"/>
        </w:rPr>
        <w:fldChar w:fldCharType="begin"/>
      </w:r>
      <w:r>
        <w:rPr>
          <w:rFonts w:hint="eastAsia" w:ascii="宋体" w:hAnsi="宋体" w:cs="宋体"/>
        </w:rPr>
        <w:instrText xml:space="preserve"> PAGEREF _Toc2076 \h </w:instrText>
      </w:r>
      <w:r>
        <w:rPr>
          <w:rFonts w:hint="eastAsia" w:ascii="宋体" w:hAnsi="宋体" w:cs="宋体"/>
        </w:rPr>
        <w:fldChar w:fldCharType="separate"/>
      </w:r>
      <w:r>
        <w:rPr>
          <w:rFonts w:hint="eastAsia" w:ascii="宋体" w:hAnsi="宋体" w:cs="宋体"/>
        </w:rPr>
        <w:t>48</w:t>
      </w:r>
      <w:r>
        <w:rPr>
          <w:rFonts w:hint="eastAsia" w:ascii="宋体" w:hAnsi="宋体" w:cs="宋体"/>
        </w:rPr>
        <w:fldChar w:fldCharType="end"/>
      </w:r>
      <w:r>
        <w:rPr>
          <w:rFonts w:hint="eastAsia" w:ascii="宋体" w:hAnsi="宋体" w:eastAsia="宋体" w:cs="宋体"/>
          <w:color w:val="auto"/>
          <w:szCs w:val="21"/>
          <w:highlight w:val="none"/>
        </w:rPr>
        <w:fldChar w:fldCharType="end"/>
      </w:r>
    </w:p>
    <w:p w14:paraId="3060A4E2">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_Toc5614 </w:instrText>
      </w:r>
      <w:r>
        <w:rPr>
          <w:rFonts w:hint="eastAsia" w:ascii="宋体" w:hAnsi="宋体" w:eastAsia="宋体" w:cs="宋体"/>
          <w:szCs w:val="21"/>
          <w:highlight w:val="none"/>
        </w:rPr>
        <w:fldChar w:fldCharType="separate"/>
      </w:r>
      <w:r>
        <w:rPr>
          <w:rFonts w:hint="eastAsia" w:ascii="宋体" w:hAnsi="宋体" w:cs="宋体"/>
          <w:szCs w:val="21"/>
        </w:rPr>
        <w:t xml:space="preserve">23. </w:t>
      </w:r>
      <w:r>
        <w:rPr>
          <w:rFonts w:hint="eastAsia" w:ascii="宋体" w:hAnsi="宋体" w:cs="宋体"/>
          <w:szCs w:val="21"/>
          <w:highlight w:val="none"/>
        </w:rPr>
        <w:t>开标</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_Toc5614 \h </w:instrText>
      </w:r>
      <w:r>
        <w:rPr>
          <w:rFonts w:hint="eastAsia" w:ascii="宋体" w:hAnsi="宋体" w:cs="宋体"/>
          <w:szCs w:val="21"/>
        </w:rPr>
        <w:fldChar w:fldCharType="separate"/>
      </w:r>
      <w:r>
        <w:rPr>
          <w:rFonts w:hint="eastAsia" w:ascii="宋体" w:hAnsi="宋体" w:cs="宋体"/>
          <w:szCs w:val="21"/>
        </w:rPr>
        <w:t>48</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1EBE4E29">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_Toc21706 </w:instrText>
      </w:r>
      <w:r>
        <w:rPr>
          <w:rFonts w:hint="eastAsia" w:ascii="宋体" w:hAnsi="宋体" w:eastAsia="宋体" w:cs="宋体"/>
          <w:szCs w:val="21"/>
          <w:highlight w:val="none"/>
        </w:rPr>
        <w:fldChar w:fldCharType="separate"/>
      </w:r>
      <w:r>
        <w:rPr>
          <w:rFonts w:hint="eastAsia" w:ascii="宋体" w:hAnsi="宋体" w:cs="宋体"/>
          <w:szCs w:val="21"/>
        </w:rPr>
        <w:t xml:space="preserve">24. </w:t>
      </w:r>
      <w:r>
        <w:rPr>
          <w:rFonts w:hint="eastAsia" w:ascii="宋体" w:hAnsi="宋体" w:cs="宋体"/>
          <w:szCs w:val="21"/>
          <w:highlight w:val="none"/>
        </w:rPr>
        <w:t>评标委员会及评标方法</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_Toc21706 \h </w:instrText>
      </w:r>
      <w:r>
        <w:rPr>
          <w:rFonts w:hint="eastAsia" w:ascii="宋体" w:hAnsi="宋体" w:cs="宋体"/>
          <w:szCs w:val="21"/>
        </w:rPr>
        <w:fldChar w:fldCharType="separate"/>
      </w:r>
      <w:r>
        <w:rPr>
          <w:rFonts w:hint="eastAsia" w:ascii="宋体" w:hAnsi="宋体" w:cs="宋体"/>
          <w:szCs w:val="21"/>
        </w:rPr>
        <w:t>48</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084E67F7">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_Toc45 </w:instrText>
      </w:r>
      <w:r>
        <w:rPr>
          <w:rFonts w:hint="eastAsia" w:ascii="宋体" w:hAnsi="宋体" w:eastAsia="宋体" w:cs="宋体"/>
          <w:szCs w:val="21"/>
          <w:highlight w:val="none"/>
        </w:rPr>
        <w:fldChar w:fldCharType="separate"/>
      </w:r>
      <w:r>
        <w:rPr>
          <w:rFonts w:hint="eastAsia" w:ascii="宋体" w:hAnsi="宋体" w:cs="宋体"/>
          <w:szCs w:val="21"/>
        </w:rPr>
        <w:t xml:space="preserve">25. </w:t>
      </w:r>
      <w:r>
        <w:rPr>
          <w:rFonts w:hint="eastAsia" w:ascii="宋体" w:hAnsi="宋体" w:cs="宋体"/>
          <w:szCs w:val="21"/>
          <w:highlight w:val="none"/>
        </w:rPr>
        <w:t>评审原则及评标过程的保密</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_Toc45 \h </w:instrText>
      </w:r>
      <w:r>
        <w:rPr>
          <w:rFonts w:hint="eastAsia" w:ascii="宋体" w:hAnsi="宋体" w:cs="宋体"/>
          <w:szCs w:val="21"/>
        </w:rPr>
        <w:fldChar w:fldCharType="separate"/>
      </w:r>
      <w:r>
        <w:rPr>
          <w:rFonts w:hint="eastAsia" w:ascii="宋体" w:hAnsi="宋体" w:cs="宋体"/>
          <w:szCs w:val="21"/>
        </w:rPr>
        <w:t>49</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3C450ED2">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_Toc9043 </w:instrText>
      </w:r>
      <w:r>
        <w:rPr>
          <w:rFonts w:hint="eastAsia" w:ascii="宋体" w:hAnsi="宋体" w:eastAsia="宋体" w:cs="宋体"/>
          <w:szCs w:val="21"/>
          <w:highlight w:val="none"/>
        </w:rPr>
        <w:fldChar w:fldCharType="separate"/>
      </w:r>
      <w:r>
        <w:rPr>
          <w:rFonts w:hint="eastAsia" w:ascii="宋体" w:hAnsi="宋体" w:cs="宋体"/>
          <w:szCs w:val="21"/>
        </w:rPr>
        <w:t xml:space="preserve">26. </w:t>
      </w:r>
      <w:r>
        <w:rPr>
          <w:rFonts w:hint="eastAsia" w:ascii="宋体" w:hAnsi="宋体" w:cs="宋体"/>
          <w:szCs w:val="21"/>
          <w:highlight w:val="none"/>
        </w:rPr>
        <w:t>评标程序</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_Toc9043 \h </w:instrText>
      </w:r>
      <w:r>
        <w:rPr>
          <w:rFonts w:hint="eastAsia" w:ascii="宋体" w:hAnsi="宋体" w:cs="宋体"/>
          <w:szCs w:val="21"/>
        </w:rPr>
        <w:fldChar w:fldCharType="separate"/>
      </w:r>
      <w:r>
        <w:rPr>
          <w:rFonts w:hint="eastAsia" w:ascii="宋体" w:hAnsi="宋体" w:cs="宋体"/>
          <w:szCs w:val="21"/>
        </w:rPr>
        <w:t>49</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058F08B4">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_Toc29282 </w:instrText>
      </w:r>
      <w:r>
        <w:rPr>
          <w:rFonts w:hint="eastAsia" w:ascii="宋体" w:hAnsi="宋体" w:eastAsia="宋体" w:cs="宋体"/>
          <w:szCs w:val="21"/>
          <w:highlight w:val="none"/>
        </w:rPr>
        <w:fldChar w:fldCharType="separate"/>
      </w:r>
      <w:r>
        <w:rPr>
          <w:rFonts w:hint="eastAsia" w:ascii="宋体" w:hAnsi="宋体" w:cs="宋体"/>
          <w:szCs w:val="21"/>
        </w:rPr>
        <w:t xml:space="preserve">27. </w:t>
      </w:r>
      <w:r>
        <w:rPr>
          <w:rFonts w:hint="eastAsia" w:ascii="宋体" w:hAnsi="宋体" w:cs="宋体"/>
          <w:szCs w:val="21"/>
          <w:highlight w:val="none"/>
          <w:lang w:val="en-US" w:eastAsia="zh-CN"/>
        </w:rPr>
        <w:t>项目</w:t>
      </w:r>
      <w:r>
        <w:rPr>
          <w:rFonts w:hint="eastAsia" w:ascii="宋体" w:hAnsi="宋体" w:cs="宋体"/>
          <w:szCs w:val="21"/>
          <w:highlight w:val="none"/>
        </w:rPr>
        <w:t>评审（具体评审项目详见投标资料表）</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_Toc29282 \h </w:instrText>
      </w:r>
      <w:r>
        <w:rPr>
          <w:rFonts w:hint="eastAsia" w:ascii="宋体" w:hAnsi="宋体" w:cs="宋体"/>
          <w:szCs w:val="21"/>
        </w:rPr>
        <w:fldChar w:fldCharType="separate"/>
      </w:r>
      <w:r>
        <w:rPr>
          <w:rFonts w:hint="eastAsia" w:ascii="宋体" w:hAnsi="宋体" w:cs="宋体"/>
          <w:szCs w:val="21"/>
        </w:rPr>
        <w:t>52</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7B9BDBF3">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_Toc8801 </w:instrText>
      </w:r>
      <w:r>
        <w:rPr>
          <w:rFonts w:hint="eastAsia" w:ascii="宋体" w:hAnsi="宋体" w:eastAsia="宋体" w:cs="宋体"/>
          <w:szCs w:val="21"/>
          <w:highlight w:val="none"/>
        </w:rPr>
        <w:fldChar w:fldCharType="separate"/>
      </w:r>
      <w:r>
        <w:rPr>
          <w:rFonts w:hint="eastAsia" w:ascii="宋体" w:hAnsi="宋体" w:cs="宋体"/>
          <w:szCs w:val="21"/>
        </w:rPr>
        <w:t xml:space="preserve">28. </w:t>
      </w:r>
      <w:r>
        <w:rPr>
          <w:rFonts w:hint="eastAsia" w:ascii="宋体" w:hAnsi="宋体" w:cs="宋体"/>
          <w:szCs w:val="21"/>
          <w:highlight w:val="none"/>
        </w:rPr>
        <w:t>纪律和保密事项</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_Toc8801 \h </w:instrText>
      </w:r>
      <w:r>
        <w:rPr>
          <w:rFonts w:hint="eastAsia" w:ascii="宋体" w:hAnsi="宋体" w:cs="宋体"/>
          <w:szCs w:val="21"/>
        </w:rPr>
        <w:fldChar w:fldCharType="separate"/>
      </w:r>
      <w:r>
        <w:rPr>
          <w:rFonts w:hint="eastAsia" w:ascii="宋体" w:hAnsi="宋体" w:cs="宋体"/>
          <w:szCs w:val="21"/>
        </w:rPr>
        <w:t>52</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567B0087">
      <w:pPr>
        <w:pStyle w:val="12"/>
        <w:tabs>
          <w:tab w:val="right" w:leader="dot" w:pos="8306"/>
          <w:tab w:val="clear" w:pos="8296"/>
        </w:tabs>
        <w:rPr>
          <w:rFonts w:hint="eastAsia" w:ascii="宋体" w:hAnsi="宋体" w:cs="宋体"/>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_Toc9941 </w:instrText>
      </w:r>
      <w:r>
        <w:rPr>
          <w:rFonts w:hint="eastAsia" w:ascii="宋体" w:hAnsi="宋体" w:eastAsia="宋体" w:cs="宋体"/>
          <w:szCs w:val="21"/>
          <w:highlight w:val="none"/>
        </w:rPr>
        <w:fldChar w:fldCharType="separate"/>
      </w:r>
      <w:r>
        <w:rPr>
          <w:rFonts w:hint="eastAsia" w:ascii="宋体" w:hAnsi="宋体" w:cs="宋体"/>
        </w:rPr>
        <w:t xml:space="preserve">六、 </w:t>
      </w:r>
      <w:r>
        <w:rPr>
          <w:rFonts w:hint="eastAsia" w:ascii="宋体" w:hAnsi="宋体" w:cs="宋体"/>
          <w:highlight w:val="none"/>
        </w:rPr>
        <w:t>授予合同</w:t>
      </w:r>
      <w:r>
        <w:rPr>
          <w:rFonts w:hint="eastAsia" w:ascii="宋体" w:hAnsi="宋体" w:cs="宋体"/>
        </w:rPr>
        <w:tab/>
      </w:r>
      <w:r>
        <w:rPr>
          <w:rFonts w:hint="eastAsia" w:ascii="宋体" w:hAnsi="宋体" w:cs="宋体"/>
        </w:rPr>
        <w:fldChar w:fldCharType="begin"/>
      </w:r>
      <w:r>
        <w:rPr>
          <w:rFonts w:hint="eastAsia" w:ascii="宋体" w:hAnsi="宋体" w:cs="宋体"/>
        </w:rPr>
        <w:instrText xml:space="preserve"> PAGEREF _Toc9941 \h </w:instrText>
      </w:r>
      <w:r>
        <w:rPr>
          <w:rFonts w:hint="eastAsia" w:ascii="宋体" w:hAnsi="宋体" w:cs="宋体"/>
        </w:rPr>
        <w:fldChar w:fldCharType="separate"/>
      </w:r>
      <w:r>
        <w:rPr>
          <w:rFonts w:hint="eastAsia" w:ascii="宋体" w:hAnsi="宋体" w:cs="宋体"/>
        </w:rPr>
        <w:t>52</w:t>
      </w:r>
      <w:r>
        <w:rPr>
          <w:rFonts w:hint="eastAsia" w:ascii="宋体" w:hAnsi="宋体" w:cs="宋体"/>
        </w:rPr>
        <w:fldChar w:fldCharType="end"/>
      </w:r>
      <w:r>
        <w:rPr>
          <w:rFonts w:hint="eastAsia" w:ascii="宋体" w:hAnsi="宋体" w:eastAsia="宋体" w:cs="宋体"/>
          <w:color w:val="auto"/>
          <w:szCs w:val="21"/>
          <w:highlight w:val="none"/>
        </w:rPr>
        <w:fldChar w:fldCharType="end"/>
      </w:r>
    </w:p>
    <w:p w14:paraId="07A3C291">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_Toc22612 </w:instrText>
      </w:r>
      <w:r>
        <w:rPr>
          <w:rFonts w:hint="eastAsia" w:ascii="宋体" w:hAnsi="宋体" w:eastAsia="宋体" w:cs="宋体"/>
          <w:szCs w:val="21"/>
          <w:highlight w:val="none"/>
        </w:rPr>
        <w:fldChar w:fldCharType="separate"/>
      </w:r>
      <w:r>
        <w:rPr>
          <w:rFonts w:hint="eastAsia" w:ascii="宋体" w:hAnsi="宋体" w:cs="宋体"/>
          <w:szCs w:val="21"/>
        </w:rPr>
        <w:t xml:space="preserve">29. </w:t>
      </w:r>
      <w:r>
        <w:rPr>
          <w:rFonts w:hint="eastAsia" w:ascii="宋体" w:hAnsi="宋体" w:cs="宋体"/>
          <w:szCs w:val="21"/>
          <w:highlight w:val="none"/>
        </w:rPr>
        <w:t>合同授予标准</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_Toc22612 \h </w:instrText>
      </w:r>
      <w:r>
        <w:rPr>
          <w:rFonts w:hint="eastAsia" w:ascii="宋体" w:hAnsi="宋体" w:cs="宋体"/>
          <w:szCs w:val="21"/>
        </w:rPr>
        <w:fldChar w:fldCharType="separate"/>
      </w:r>
      <w:r>
        <w:rPr>
          <w:rFonts w:hint="eastAsia" w:ascii="宋体" w:hAnsi="宋体" w:cs="宋体"/>
          <w:szCs w:val="21"/>
        </w:rPr>
        <w:t>52</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7AF7DC9B">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_Toc21171 </w:instrText>
      </w:r>
      <w:r>
        <w:rPr>
          <w:rFonts w:hint="eastAsia" w:ascii="宋体" w:hAnsi="宋体" w:eastAsia="宋体" w:cs="宋体"/>
          <w:szCs w:val="21"/>
          <w:highlight w:val="none"/>
        </w:rPr>
        <w:fldChar w:fldCharType="separate"/>
      </w:r>
      <w:r>
        <w:rPr>
          <w:rFonts w:hint="eastAsia" w:ascii="宋体" w:hAnsi="宋体" w:cs="宋体"/>
          <w:szCs w:val="21"/>
        </w:rPr>
        <w:t xml:space="preserve">30. </w:t>
      </w:r>
      <w:r>
        <w:rPr>
          <w:rFonts w:hint="eastAsia" w:ascii="宋体" w:hAnsi="宋体" w:cs="宋体"/>
          <w:szCs w:val="21"/>
          <w:highlight w:val="none"/>
        </w:rPr>
        <w:t>发布中标结果</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_Toc21171 \h </w:instrText>
      </w:r>
      <w:r>
        <w:rPr>
          <w:rFonts w:hint="eastAsia" w:ascii="宋体" w:hAnsi="宋体" w:cs="宋体"/>
          <w:szCs w:val="21"/>
        </w:rPr>
        <w:fldChar w:fldCharType="separate"/>
      </w:r>
      <w:r>
        <w:rPr>
          <w:rFonts w:hint="eastAsia" w:ascii="宋体" w:hAnsi="宋体" w:cs="宋体"/>
          <w:szCs w:val="21"/>
        </w:rPr>
        <w:t>52</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50BCE7AB">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_Toc5298 </w:instrText>
      </w:r>
      <w:r>
        <w:rPr>
          <w:rFonts w:hint="eastAsia" w:ascii="宋体" w:hAnsi="宋体" w:eastAsia="宋体" w:cs="宋体"/>
          <w:szCs w:val="21"/>
          <w:highlight w:val="none"/>
        </w:rPr>
        <w:fldChar w:fldCharType="separate"/>
      </w:r>
      <w:r>
        <w:rPr>
          <w:rFonts w:hint="eastAsia" w:ascii="宋体" w:hAnsi="宋体" w:cs="宋体"/>
          <w:szCs w:val="21"/>
        </w:rPr>
        <w:t xml:space="preserve">31. </w:t>
      </w:r>
      <w:r>
        <w:rPr>
          <w:rFonts w:hint="eastAsia" w:ascii="宋体" w:hAnsi="宋体" w:cs="宋体"/>
          <w:szCs w:val="21"/>
          <w:highlight w:val="none"/>
        </w:rPr>
        <w:t>资格后审</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_Toc5298 \h </w:instrText>
      </w:r>
      <w:r>
        <w:rPr>
          <w:rFonts w:hint="eastAsia" w:ascii="宋体" w:hAnsi="宋体" w:cs="宋体"/>
          <w:szCs w:val="21"/>
        </w:rPr>
        <w:fldChar w:fldCharType="separate"/>
      </w:r>
      <w:r>
        <w:rPr>
          <w:rFonts w:hint="eastAsia" w:ascii="宋体" w:hAnsi="宋体" w:cs="宋体"/>
          <w:szCs w:val="21"/>
        </w:rPr>
        <w:t>52</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2DE1FD16">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_Toc2528 </w:instrText>
      </w:r>
      <w:r>
        <w:rPr>
          <w:rFonts w:hint="eastAsia" w:ascii="宋体" w:hAnsi="宋体" w:eastAsia="宋体" w:cs="宋体"/>
          <w:szCs w:val="21"/>
          <w:highlight w:val="none"/>
        </w:rPr>
        <w:fldChar w:fldCharType="separate"/>
      </w:r>
      <w:r>
        <w:rPr>
          <w:rFonts w:hint="eastAsia" w:ascii="宋体" w:hAnsi="宋体" w:cs="宋体"/>
          <w:szCs w:val="21"/>
        </w:rPr>
        <w:t xml:space="preserve">32. </w:t>
      </w:r>
      <w:r>
        <w:rPr>
          <w:rFonts w:hint="eastAsia" w:ascii="宋体" w:hAnsi="宋体" w:cs="宋体"/>
          <w:szCs w:val="21"/>
          <w:highlight w:val="none"/>
        </w:rPr>
        <w:t>合同的签订与履行</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_Toc2528 \h </w:instrText>
      </w:r>
      <w:r>
        <w:rPr>
          <w:rFonts w:hint="eastAsia" w:ascii="宋体" w:hAnsi="宋体" w:cs="宋体"/>
          <w:szCs w:val="21"/>
        </w:rPr>
        <w:fldChar w:fldCharType="separate"/>
      </w:r>
      <w:r>
        <w:rPr>
          <w:rFonts w:hint="eastAsia" w:ascii="宋体" w:hAnsi="宋体" w:cs="宋体"/>
          <w:szCs w:val="21"/>
        </w:rPr>
        <w:t>53</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1BD6B1B5">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_Toc16492 </w:instrText>
      </w:r>
      <w:r>
        <w:rPr>
          <w:rFonts w:hint="eastAsia" w:ascii="宋体" w:hAnsi="宋体" w:eastAsia="宋体" w:cs="宋体"/>
          <w:szCs w:val="21"/>
          <w:highlight w:val="none"/>
        </w:rPr>
        <w:fldChar w:fldCharType="separate"/>
      </w:r>
      <w:r>
        <w:rPr>
          <w:rFonts w:hint="eastAsia" w:ascii="宋体" w:hAnsi="宋体" w:cs="宋体"/>
          <w:szCs w:val="21"/>
        </w:rPr>
        <w:t xml:space="preserve">33. </w:t>
      </w:r>
      <w:r>
        <w:rPr>
          <w:rFonts w:hint="eastAsia" w:ascii="宋体" w:hAnsi="宋体" w:cs="宋体"/>
          <w:szCs w:val="21"/>
          <w:highlight w:val="none"/>
        </w:rPr>
        <w:t>履约担保</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_Toc16492 \h </w:instrText>
      </w:r>
      <w:r>
        <w:rPr>
          <w:rFonts w:hint="eastAsia" w:ascii="宋体" w:hAnsi="宋体" w:cs="宋体"/>
          <w:szCs w:val="21"/>
        </w:rPr>
        <w:fldChar w:fldCharType="separate"/>
      </w:r>
      <w:r>
        <w:rPr>
          <w:rFonts w:hint="eastAsia" w:ascii="宋体" w:hAnsi="宋体" w:cs="宋体"/>
          <w:szCs w:val="21"/>
        </w:rPr>
        <w:t>53</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001564DB">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_Toc14770 </w:instrText>
      </w:r>
      <w:r>
        <w:rPr>
          <w:rFonts w:hint="eastAsia" w:ascii="宋体" w:hAnsi="宋体" w:eastAsia="宋体" w:cs="宋体"/>
          <w:szCs w:val="21"/>
          <w:highlight w:val="none"/>
        </w:rPr>
        <w:fldChar w:fldCharType="separate"/>
      </w:r>
      <w:r>
        <w:rPr>
          <w:rFonts w:hint="eastAsia" w:ascii="宋体" w:hAnsi="宋体" w:cs="宋体"/>
          <w:szCs w:val="21"/>
        </w:rPr>
        <w:t xml:space="preserve">34. </w:t>
      </w:r>
      <w:r>
        <w:rPr>
          <w:rFonts w:hint="eastAsia" w:ascii="宋体" w:hAnsi="宋体" w:cs="宋体"/>
          <w:szCs w:val="21"/>
          <w:highlight w:val="none"/>
        </w:rPr>
        <w:t>预付款保函（适用于预付款支付）</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_Toc14770 \h </w:instrText>
      </w:r>
      <w:r>
        <w:rPr>
          <w:rFonts w:hint="eastAsia" w:ascii="宋体" w:hAnsi="宋体" w:cs="宋体"/>
          <w:szCs w:val="21"/>
        </w:rPr>
        <w:fldChar w:fldCharType="separate"/>
      </w:r>
      <w:r>
        <w:rPr>
          <w:rFonts w:hint="eastAsia" w:ascii="宋体" w:hAnsi="宋体" w:cs="宋体"/>
          <w:szCs w:val="21"/>
        </w:rPr>
        <w:t>54</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3ED3CF86">
      <w:pPr>
        <w:pStyle w:val="12"/>
        <w:tabs>
          <w:tab w:val="right" w:leader="dot" w:pos="8306"/>
          <w:tab w:val="clear" w:pos="8296"/>
        </w:tabs>
        <w:rPr>
          <w:rFonts w:hint="eastAsia" w:ascii="宋体" w:hAnsi="宋体" w:cs="宋体"/>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_Toc18700 </w:instrText>
      </w:r>
      <w:r>
        <w:rPr>
          <w:rFonts w:hint="eastAsia" w:ascii="宋体" w:hAnsi="宋体" w:eastAsia="宋体" w:cs="宋体"/>
          <w:szCs w:val="21"/>
          <w:highlight w:val="none"/>
        </w:rPr>
        <w:fldChar w:fldCharType="separate"/>
      </w:r>
      <w:r>
        <w:rPr>
          <w:rFonts w:hint="eastAsia" w:ascii="宋体" w:hAnsi="宋体" w:cs="宋体"/>
        </w:rPr>
        <w:t xml:space="preserve">七、 </w:t>
      </w:r>
      <w:r>
        <w:rPr>
          <w:rFonts w:hint="eastAsia" w:ascii="宋体" w:hAnsi="宋体" w:cs="宋体"/>
          <w:highlight w:val="none"/>
        </w:rPr>
        <w:t>异议</w:t>
      </w:r>
      <w:r>
        <w:rPr>
          <w:rFonts w:hint="eastAsia" w:ascii="宋体" w:hAnsi="宋体" w:cs="宋体"/>
        </w:rPr>
        <w:tab/>
      </w:r>
      <w:r>
        <w:rPr>
          <w:rFonts w:hint="eastAsia" w:ascii="宋体" w:hAnsi="宋体" w:cs="宋体"/>
        </w:rPr>
        <w:fldChar w:fldCharType="begin"/>
      </w:r>
      <w:r>
        <w:rPr>
          <w:rFonts w:hint="eastAsia" w:ascii="宋体" w:hAnsi="宋体" w:cs="宋体"/>
        </w:rPr>
        <w:instrText xml:space="preserve"> PAGEREF _Toc18700 \h </w:instrText>
      </w:r>
      <w:r>
        <w:rPr>
          <w:rFonts w:hint="eastAsia" w:ascii="宋体" w:hAnsi="宋体" w:cs="宋体"/>
        </w:rPr>
        <w:fldChar w:fldCharType="separate"/>
      </w:r>
      <w:r>
        <w:rPr>
          <w:rFonts w:hint="eastAsia" w:ascii="宋体" w:hAnsi="宋体" w:cs="宋体"/>
        </w:rPr>
        <w:t>55</w:t>
      </w:r>
      <w:r>
        <w:rPr>
          <w:rFonts w:hint="eastAsia" w:ascii="宋体" w:hAnsi="宋体" w:cs="宋体"/>
        </w:rPr>
        <w:fldChar w:fldCharType="end"/>
      </w:r>
      <w:r>
        <w:rPr>
          <w:rFonts w:hint="eastAsia" w:ascii="宋体" w:hAnsi="宋体" w:eastAsia="宋体" w:cs="宋体"/>
          <w:color w:val="auto"/>
          <w:szCs w:val="21"/>
          <w:highlight w:val="none"/>
        </w:rPr>
        <w:fldChar w:fldCharType="end"/>
      </w:r>
    </w:p>
    <w:p w14:paraId="54B9EAB8">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_Toc29609 </w:instrText>
      </w:r>
      <w:r>
        <w:rPr>
          <w:rFonts w:hint="eastAsia" w:ascii="宋体" w:hAnsi="宋体" w:eastAsia="宋体" w:cs="宋体"/>
          <w:szCs w:val="21"/>
          <w:highlight w:val="none"/>
        </w:rPr>
        <w:fldChar w:fldCharType="separate"/>
      </w:r>
      <w:r>
        <w:rPr>
          <w:rFonts w:hint="eastAsia" w:ascii="宋体" w:hAnsi="宋体" w:cs="宋体"/>
          <w:szCs w:val="21"/>
        </w:rPr>
        <w:t xml:space="preserve">35. </w:t>
      </w:r>
      <w:r>
        <w:rPr>
          <w:rFonts w:hint="eastAsia" w:ascii="宋体" w:hAnsi="宋体" w:cs="宋体"/>
          <w:szCs w:val="21"/>
          <w:highlight w:val="none"/>
        </w:rPr>
        <w:t>异议</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_Toc29609 \h </w:instrText>
      </w:r>
      <w:r>
        <w:rPr>
          <w:rFonts w:hint="eastAsia" w:ascii="宋体" w:hAnsi="宋体" w:cs="宋体"/>
          <w:szCs w:val="21"/>
        </w:rPr>
        <w:fldChar w:fldCharType="separate"/>
      </w:r>
      <w:r>
        <w:rPr>
          <w:rFonts w:hint="eastAsia" w:ascii="宋体" w:hAnsi="宋体" w:cs="宋体"/>
          <w:szCs w:val="21"/>
        </w:rPr>
        <w:t>55</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152A22C0">
      <w:pPr>
        <w:pStyle w:val="12"/>
        <w:tabs>
          <w:tab w:val="right" w:leader="dot" w:pos="8306"/>
          <w:tab w:val="clear" w:pos="8296"/>
        </w:tabs>
        <w:rPr>
          <w:rFonts w:hint="eastAsia" w:ascii="宋体" w:hAnsi="宋体" w:cs="宋体"/>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_Toc19269 </w:instrText>
      </w:r>
      <w:r>
        <w:rPr>
          <w:rFonts w:hint="eastAsia" w:ascii="宋体" w:hAnsi="宋体" w:eastAsia="宋体" w:cs="宋体"/>
          <w:szCs w:val="21"/>
          <w:highlight w:val="none"/>
        </w:rPr>
        <w:fldChar w:fldCharType="separate"/>
      </w:r>
      <w:r>
        <w:rPr>
          <w:rFonts w:hint="eastAsia" w:ascii="宋体" w:hAnsi="宋体" w:cs="宋体"/>
        </w:rPr>
        <w:t xml:space="preserve">八、 </w:t>
      </w:r>
      <w:r>
        <w:rPr>
          <w:rFonts w:hint="eastAsia" w:ascii="宋体" w:hAnsi="宋体" w:cs="宋体"/>
          <w:highlight w:val="none"/>
        </w:rPr>
        <w:t>其他</w:t>
      </w:r>
      <w:r>
        <w:rPr>
          <w:rFonts w:hint="eastAsia" w:ascii="宋体" w:hAnsi="宋体" w:cs="宋体"/>
        </w:rPr>
        <w:tab/>
      </w:r>
      <w:r>
        <w:rPr>
          <w:rFonts w:hint="eastAsia" w:ascii="宋体" w:hAnsi="宋体" w:cs="宋体"/>
        </w:rPr>
        <w:fldChar w:fldCharType="begin"/>
      </w:r>
      <w:r>
        <w:rPr>
          <w:rFonts w:hint="eastAsia" w:ascii="宋体" w:hAnsi="宋体" w:cs="宋体"/>
        </w:rPr>
        <w:instrText xml:space="preserve"> PAGEREF _Toc19269 \h </w:instrText>
      </w:r>
      <w:r>
        <w:rPr>
          <w:rFonts w:hint="eastAsia" w:ascii="宋体" w:hAnsi="宋体" w:cs="宋体"/>
        </w:rPr>
        <w:fldChar w:fldCharType="separate"/>
      </w:r>
      <w:r>
        <w:rPr>
          <w:rFonts w:hint="eastAsia" w:ascii="宋体" w:hAnsi="宋体" w:cs="宋体"/>
        </w:rPr>
        <w:t>56</w:t>
      </w:r>
      <w:r>
        <w:rPr>
          <w:rFonts w:hint="eastAsia" w:ascii="宋体" w:hAnsi="宋体" w:cs="宋体"/>
        </w:rPr>
        <w:fldChar w:fldCharType="end"/>
      </w:r>
      <w:r>
        <w:rPr>
          <w:rFonts w:hint="eastAsia" w:ascii="宋体" w:hAnsi="宋体" w:eastAsia="宋体" w:cs="宋体"/>
          <w:color w:val="auto"/>
          <w:szCs w:val="21"/>
          <w:highlight w:val="none"/>
        </w:rPr>
        <w:fldChar w:fldCharType="end"/>
      </w:r>
    </w:p>
    <w:p w14:paraId="7D34F646">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_Toc22983 </w:instrText>
      </w:r>
      <w:r>
        <w:rPr>
          <w:rFonts w:hint="eastAsia" w:ascii="宋体" w:hAnsi="宋体" w:eastAsia="宋体" w:cs="宋体"/>
          <w:szCs w:val="21"/>
          <w:highlight w:val="none"/>
        </w:rPr>
        <w:fldChar w:fldCharType="separate"/>
      </w:r>
      <w:r>
        <w:rPr>
          <w:rFonts w:hint="eastAsia" w:ascii="宋体" w:hAnsi="宋体" w:cs="宋体"/>
          <w:szCs w:val="21"/>
        </w:rPr>
        <w:t xml:space="preserve">36. </w:t>
      </w:r>
      <w:r>
        <w:rPr>
          <w:rFonts w:hint="eastAsia" w:ascii="宋体" w:hAnsi="宋体" w:cs="宋体"/>
          <w:szCs w:val="21"/>
          <w:highlight w:val="none"/>
        </w:rPr>
        <w:t>采购文件的解释权</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_Toc22983 \h </w:instrText>
      </w:r>
      <w:r>
        <w:rPr>
          <w:rFonts w:hint="eastAsia" w:ascii="宋体" w:hAnsi="宋体" w:cs="宋体"/>
          <w:szCs w:val="21"/>
        </w:rPr>
        <w:fldChar w:fldCharType="separate"/>
      </w:r>
      <w:r>
        <w:rPr>
          <w:rFonts w:hint="eastAsia" w:ascii="宋体" w:hAnsi="宋体" w:cs="宋体"/>
          <w:szCs w:val="21"/>
        </w:rPr>
        <w:t>56</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28913AB0">
      <w:pPr>
        <w:pStyle w:val="22"/>
        <w:tabs>
          <w:tab w:val="right" w:leader="dot" w:pos="8306"/>
          <w:tab w:val="clear" w:pos="8296"/>
        </w:tabs>
        <w:rPr>
          <w:rFonts w:hint="eastAsia" w:cs="宋体"/>
          <w:sz w:val="21"/>
          <w:szCs w:val="21"/>
        </w:rPr>
      </w:pPr>
      <w:r>
        <w:rPr>
          <w:rFonts w:hint="eastAsia" w:ascii="宋体" w:hAnsi="宋体" w:eastAsia="宋体" w:cs="宋体"/>
          <w:color w:val="auto"/>
          <w:sz w:val="21"/>
          <w:szCs w:val="21"/>
          <w:highlight w:val="none"/>
        </w:rPr>
        <w:fldChar w:fldCharType="begin"/>
      </w:r>
      <w:r>
        <w:rPr>
          <w:rFonts w:hint="eastAsia" w:ascii="宋体" w:hAnsi="宋体" w:eastAsia="宋体" w:cs="宋体"/>
          <w:sz w:val="21"/>
          <w:szCs w:val="21"/>
          <w:highlight w:val="none"/>
        </w:rPr>
        <w:instrText xml:space="preserve"> HYPERLINK \l _Toc23341 </w:instrText>
      </w:r>
      <w:r>
        <w:rPr>
          <w:rFonts w:hint="eastAsia" w:ascii="宋体" w:hAnsi="宋体" w:eastAsia="宋体" w:cs="宋体"/>
          <w:sz w:val="21"/>
          <w:szCs w:val="21"/>
          <w:highlight w:val="none"/>
        </w:rPr>
        <w:fldChar w:fldCharType="separate"/>
      </w:r>
      <w:r>
        <w:rPr>
          <w:rFonts w:hint="eastAsia" w:cs="宋体"/>
          <w:sz w:val="21"/>
          <w:szCs w:val="21"/>
          <w:highlight w:val="none"/>
        </w:rPr>
        <w:t>第五部分  合同条款格式</w:t>
      </w:r>
      <w:r>
        <w:rPr>
          <w:rFonts w:hint="eastAsia" w:cs="宋体"/>
          <w:sz w:val="21"/>
          <w:szCs w:val="21"/>
        </w:rPr>
        <w:tab/>
      </w:r>
      <w:r>
        <w:rPr>
          <w:rFonts w:hint="eastAsia" w:cs="宋体"/>
          <w:sz w:val="21"/>
          <w:szCs w:val="21"/>
        </w:rPr>
        <w:fldChar w:fldCharType="begin"/>
      </w:r>
      <w:r>
        <w:rPr>
          <w:rFonts w:hint="eastAsia" w:cs="宋体"/>
          <w:sz w:val="21"/>
          <w:szCs w:val="21"/>
        </w:rPr>
        <w:instrText xml:space="preserve"> PAGEREF _Toc23341 \h </w:instrText>
      </w:r>
      <w:r>
        <w:rPr>
          <w:rFonts w:hint="eastAsia" w:cs="宋体"/>
          <w:sz w:val="21"/>
          <w:szCs w:val="21"/>
        </w:rPr>
        <w:fldChar w:fldCharType="separate"/>
      </w:r>
      <w:r>
        <w:rPr>
          <w:rFonts w:hint="eastAsia" w:cs="宋体"/>
          <w:sz w:val="21"/>
          <w:szCs w:val="21"/>
        </w:rPr>
        <w:t>57</w:t>
      </w:r>
      <w:r>
        <w:rPr>
          <w:rFonts w:hint="eastAsia" w:cs="宋体"/>
          <w:sz w:val="21"/>
          <w:szCs w:val="21"/>
        </w:rPr>
        <w:fldChar w:fldCharType="end"/>
      </w:r>
      <w:r>
        <w:rPr>
          <w:rFonts w:hint="eastAsia" w:ascii="宋体" w:hAnsi="宋体" w:eastAsia="宋体" w:cs="宋体"/>
          <w:color w:val="auto"/>
          <w:sz w:val="21"/>
          <w:szCs w:val="21"/>
          <w:highlight w:val="none"/>
        </w:rPr>
        <w:fldChar w:fldCharType="end"/>
      </w:r>
    </w:p>
    <w:p w14:paraId="5CA6EE57">
      <w:pPr>
        <w:pStyle w:val="22"/>
        <w:tabs>
          <w:tab w:val="right" w:leader="dot" w:pos="8306"/>
          <w:tab w:val="clear" w:pos="8296"/>
        </w:tabs>
        <w:rPr>
          <w:rFonts w:hint="eastAsia" w:cs="宋体"/>
          <w:sz w:val="21"/>
          <w:szCs w:val="21"/>
        </w:rPr>
      </w:pPr>
      <w:r>
        <w:rPr>
          <w:rFonts w:hint="eastAsia" w:ascii="宋体" w:hAnsi="宋体" w:eastAsia="宋体" w:cs="宋体"/>
          <w:color w:val="auto"/>
          <w:sz w:val="21"/>
          <w:szCs w:val="21"/>
          <w:highlight w:val="none"/>
        </w:rPr>
        <w:fldChar w:fldCharType="begin"/>
      </w:r>
      <w:r>
        <w:rPr>
          <w:rFonts w:hint="eastAsia" w:ascii="宋体" w:hAnsi="宋体" w:eastAsia="宋体" w:cs="宋体"/>
          <w:sz w:val="21"/>
          <w:szCs w:val="21"/>
          <w:highlight w:val="none"/>
        </w:rPr>
        <w:instrText xml:space="preserve"> HYPERLINK \l _Toc18791 </w:instrText>
      </w:r>
      <w:r>
        <w:rPr>
          <w:rFonts w:hint="eastAsia" w:ascii="宋体" w:hAnsi="宋体" w:eastAsia="宋体" w:cs="宋体"/>
          <w:sz w:val="21"/>
          <w:szCs w:val="21"/>
          <w:highlight w:val="none"/>
        </w:rPr>
        <w:fldChar w:fldCharType="separate"/>
      </w:r>
      <w:r>
        <w:rPr>
          <w:rFonts w:hint="eastAsia" w:ascii="宋体" w:hAnsi="宋体" w:cs="宋体"/>
          <w:sz w:val="21"/>
          <w:szCs w:val="21"/>
          <w:highlight w:val="none"/>
          <w:lang w:val="en-US" w:eastAsia="zh-CN"/>
        </w:rPr>
        <w:t>合同</w:t>
      </w:r>
      <w:r>
        <w:rPr>
          <w:rFonts w:hint="eastAsia" w:ascii="宋体" w:hAnsi="宋体" w:cs="宋体"/>
          <w:sz w:val="21"/>
          <w:szCs w:val="21"/>
          <w:highlight w:val="none"/>
        </w:rPr>
        <w:t>附件</w:t>
      </w:r>
      <w:r>
        <w:rPr>
          <w:rFonts w:hint="eastAsia" w:ascii="宋体" w:hAnsi="宋体" w:cs="宋体"/>
          <w:sz w:val="21"/>
          <w:szCs w:val="21"/>
          <w:highlight w:val="none"/>
          <w:lang w:val="en-US" w:eastAsia="zh-CN"/>
        </w:rPr>
        <w:t>1</w:t>
      </w:r>
      <w:r>
        <w:rPr>
          <w:rFonts w:hint="eastAsia" w:ascii="宋体" w:hAnsi="宋体" w:cs="宋体"/>
          <w:sz w:val="21"/>
          <w:szCs w:val="21"/>
          <w:highlight w:val="none"/>
        </w:rPr>
        <w:t>：《运输车辆名册》</w:t>
      </w:r>
      <w:r>
        <w:rPr>
          <w:rFonts w:hint="eastAsia" w:cs="宋体"/>
          <w:sz w:val="21"/>
          <w:szCs w:val="21"/>
        </w:rPr>
        <w:tab/>
      </w:r>
      <w:r>
        <w:rPr>
          <w:rFonts w:hint="eastAsia" w:cs="宋体"/>
          <w:sz w:val="21"/>
          <w:szCs w:val="21"/>
        </w:rPr>
        <w:fldChar w:fldCharType="begin"/>
      </w:r>
      <w:r>
        <w:rPr>
          <w:rFonts w:hint="eastAsia" w:cs="宋体"/>
          <w:sz w:val="21"/>
          <w:szCs w:val="21"/>
        </w:rPr>
        <w:instrText xml:space="preserve"> PAGEREF _Toc18791 \h </w:instrText>
      </w:r>
      <w:r>
        <w:rPr>
          <w:rFonts w:hint="eastAsia" w:cs="宋体"/>
          <w:sz w:val="21"/>
          <w:szCs w:val="21"/>
        </w:rPr>
        <w:fldChar w:fldCharType="separate"/>
      </w:r>
      <w:r>
        <w:rPr>
          <w:rFonts w:hint="eastAsia" w:cs="宋体"/>
          <w:sz w:val="21"/>
          <w:szCs w:val="21"/>
        </w:rPr>
        <w:t>66</w:t>
      </w:r>
      <w:r>
        <w:rPr>
          <w:rFonts w:hint="eastAsia" w:cs="宋体"/>
          <w:sz w:val="21"/>
          <w:szCs w:val="21"/>
        </w:rPr>
        <w:fldChar w:fldCharType="end"/>
      </w:r>
      <w:r>
        <w:rPr>
          <w:rFonts w:hint="eastAsia" w:ascii="宋体" w:hAnsi="宋体" w:eastAsia="宋体" w:cs="宋体"/>
          <w:color w:val="auto"/>
          <w:sz w:val="21"/>
          <w:szCs w:val="21"/>
          <w:highlight w:val="none"/>
        </w:rPr>
        <w:fldChar w:fldCharType="end"/>
      </w:r>
    </w:p>
    <w:p w14:paraId="4C128969">
      <w:pPr>
        <w:pStyle w:val="22"/>
        <w:tabs>
          <w:tab w:val="right" w:leader="dot" w:pos="8306"/>
          <w:tab w:val="clear" w:pos="8296"/>
        </w:tabs>
        <w:rPr>
          <w:rFonts w:hint="eastAsia" w:cs="宋体"/>
          <w:sz w:val="21"/>
          <w:szCs w:val="21"/>
        </w:rPr>
      </w:pPr>
      <w:r>
        <w:rPr>
          <w:rFonts w:hint="eastAsia" w:ascii="宋体" w:hAnsi="宋体" w:eastAsia="宋体" w:cs="宋体"/>
          <w:color w:val="auto"/>
          <w:sz w:val="21"/>
          <w:szCs w:val="21"/>
          <w:highlight w:val="none"/>
        </w:rPr>
        <w:fldChar w:fldCharType="begin"/>
      </w:r>
      <w:r>
        <w:rPr>
          <w:rFonts w:hint="eastAsia" w:ascii="宋体" w:hAnsi="宋体" w:eastAsia="宋体" w:cs="宋体"/>
          <w:sz w:val="21"/>
          <w:szCs w:val="21"/>
          <w:highlight w:val="none"/>
        </w:rPr>
        <w:instrText xml:space="preserve"> HYPERLINK \l _Toc31722 </w:instrText>
      </w:r>
      <w:r>
        <w:rPr>
          <w:rFonts w:hint="eastAsia" w:ascii="宋体" w:hAnsi="宋体" w:eastAsia="宋体" w:cs="宋体"/>
          <w:sz w:val="21"/>
          <w:szCs w:val="21"/>
          <w:highlight w:val="none"/>
        </w:rPr>
        <w:fldChar w:fldCharType="separate"/>
      </w:r>
      <w:r>
        <w:rPr>
          <w:rFonts w:hint="eastAsia" w:ascii="宋体" w:hAnsi="宋体" w:cs="宋体"/>
          <w:sz w:val="21"/>
          <w:szCs w:val="21"/>
          <w:highlight w:val="none"/>
          <w:lang w:val="en-US" w:eastAsia="zh-CN"/>
        </w:rPr>
        <w:t>合同</w:t>
      </w:r>
      <w:r>
        <w:rPr>
          <w:rFonts w:hint="eastAsia" w:ascii="宋体" w:hAnsi="宋体" w:cs="宋体"/>
          <w:sz w:val="21"/>
          <w:szCs w:val="21"/>
          <w:highlight w:val="none"/>
        </w:rPr>
        <w:t>附件</w:t>
      </w:r>
      <w:r>
        <w:rPr>
          <w:rFonts w:hint="eastAsia" w:ascii="宋体" w:hAnsi="宋体" w:cs="宋体"/>
          <w:sz w:val="21"/>
          <w:szCs w:val="21"/>
          <w:highlight w:val="none"/>
          <w:lang w:val="en-US" w:eastAsia="zh-CN"/>
        </w:rPr>
        <w:t>2</w:t>
      </w:r>
      <w:r>
        <w:rPr>
          <w:rFonts w:hint="eastAsia" w:ascii="宋体" w:hAnsi="宋体" w:cs="宋体"/>
          <w:sz w:val="21"/>
          <w:szCs w:val="21"/>
          <w:highlight w:val="none"/>
        </w:rPr>
        <w:t>：《运输人员花名册》</w:t>
      </w:r>
      <w:r>
        <w:rPr>
          <w:rFonts w:hint="eastAsia" w:cs="宋体"/>
          <w:sz w:val="21"/>
          <w:szCs w:val="21"/>
        </w:rPr>
        <w:tab/>
      </w:r>
      <w:r>
        <w:rPr>
          <w:rFonts w:hint="eastAsia" w:cs="宋体"/>
          <w:sz w:val="21"/>
          <w:szCs w:val="21"/>
        </w:rPr>
        <w:fldChar w:fldCharType="begin"/>
      </w:r>
      <w:r>
        <w:rPr>
          <w:rFonts w:hint="eastAsia" w:cs="宋体"/>
          <w:sz w:val="21"/>
          <w:szCs w:val="21"/>
        </w:rPr>
        <w:instrText xml:space="preserve"> PAGEREF _Toc31722 \h </w:instrText>
      </w:r>
      <w:r>
        <w:rPr>
          <w:rFonts w:hint="eastAsia" w:cs="宋体"/>
          <w:sz w:val="21"/>
          <w:szCs w:val="21"/>
        </w:rPr>
        <w:fldChar w:fldCharType="separate"/>
      </w:r>
      <w:r>
        <w:rPr>
          <w:rFonts w:hint="eastAsia" w:cs="宋体"/>
          <w:sz w:val="21"/>
          <w:szCs w:val="21"/>
        </w:rPr>
        <w:t>67</w:t>
      </w:r>
      <w:r>
        <w:rPr>
          <w:rFonts w:hint="eastAsia" w:cs="宋体"/>
          <w:sz w:val="21"/>
          <w:szCs w:val="21"/>
        </w:rPr>
        <w:fldChar w:fldCharType="end"/>
      </w:r>
      <w:r>
        <w:rPr>
          <w:rFonts w:hint="eastAsia" w:ascii="宋体" w:hAnsi="宋体" w:eastAsia="宋体" w:cs="宋体"/>
          <w:color w:val="auto"/>
          <w:sz w:val="21"/>
          <w:szCs w:val="21"/>
          <w:highlight w:val="none"/>
        </w:rPr>
        <w:fldChar w:fldCharType="end"/>
      </w:r>
    </w:p>
    <w:p w14:paraId="7C2D9489">
      <w:pPr>
        <w:pStyle w:val="22"/>
        <w:tabs>
          <w:tab w:val="right" w:leader="dot" w:pos="8306"/>
          <w:tab w:val="clear" w:pos="8296"/>
        </w:tabs>
        <w:rPr>
          <w:rFonts w:hint="eastAsia" w:cs="宋体"/>
          <w:sz w:val="21"/>
          <w:szCs w:val="21"/>
        </w:rPr>
      </w:pPr>
      <w:r>
        <w:rPr>
          <w:rFonts w:hint="eastAsia" w:ascii="宋体" w:hAnsi="宋体" w:eastAsia="宋体" w:cs="宋体"/>
          <w:color w:val="auto"/>
          <w:sz w:val="21"/>
          <w:szCs w:val="21"/>
          <w:highlight w:val="none"/>
        </w:rPr>
        <w:fldChar w:fldCharType="begin"/>
      </w:r>
      <w:r>
        <w:rPr>
          <w:rFonts w:hint="eastAsia" w:ascii="宋体" w:hAnsi="宋体" w:eastAsia="宋体" w:cs="宋体"/>
          <w:sz w:val="21"/>
          <w:szCs w:val="21"/>
          <w:highlight w:val="none"/>
        </w:rPr>
        <w:instrText xml:space="preserve"> HYPERLINK \l _Toc12157 </w:instrText>
      </w:r>
      <w:r>
        <w:rPr>
          <w:rFonts w:hint="eastAsia" w:ascii="宋体" w:hAnsi="宋体" w:eastAsia="宋体" w:cs="宋体"/>
          <w:sz w:val="21"/>
          <w:szCs w:val="21"/>
          <w:highlight w:val="none"/>
        </w:rPr>
        <w:fldChar w:fldCharType="separate"/>
      </w:r>
      <w:r>
        <w:rPr>
          <w:rFonts w:hint="eastAsia" w:ascii="宋体" w:hAnsi="宋体" w:cs="宋体"/>
          <w:sz w:val="21"/>
          <w:szCs w:val="21"/>
          <w:highlight w:val="none"/>
          <w:lang w:val="en-US" w:eastAsia="zh-CN"/>
        </w:rPr>
        <w:t>合同</w:t>
      </w:r>
      <w:r>
        <w:rPr>
          <w:rFonts w:hint="eastAsia" w:ascii="宋体" w:hAnsi="宋体" w:cs="宋体"/>
          <w:sz w:val="21"/>
          <w:szCs w:val="21"/>
          <w:highlight w:val="none"/>
        </w:rPr>
        <w:t>附件</w:t>
      </w:r>
      <w:r>
        <w:rPr>
          <w:rFonts w:hint="eastAsia" w:cs="宋体"/>
          <w:sz w:val="21"/>
          <w:szCs w:val="21"/>
          <w:highlight w:val="none"/>
          <w:lang w:val="en-US" w:eastAsia="zh-CN"/>
        </w:rPr>
        <w:t>3</w:t>
      </w:r>
      <w:r>
        <w:rPr>
          <w:rFonts w:hint="eastAsia" w:ascii="宋体" w:hAnsi="宋体" w:cs="宋体"/>
          <w:sz w:val="21"/>
          <w:szCs w:val="21"/>
          <w:highlight w:val="none"/>
        </w:rPr>
        <w:t>《危险废物运输费单价表》</w:t>
      </w:r>
      <w:r>
        <w:rPr>
          <w:rFonts w:hint="eastAsia" w:cs="宋体"/>
          <w:sz w:val="21"/>
          <w:szCs w:val="21"/>
        </w:rPr>
        <w:tab/>
      </w:r>
      <w:r>
        <w:rPr>
          <w:rFonts w:hint="eastAsia" w:cs="宋体"/>
          <w:sz w:val="21"/>
          <w:szCs w:val="21"/>
        </w:rPr>
        <w:fldChar w:fldCharType="begin"/>
      </w:r>
      <w:r>
        <w:rPr>
          <w:rFonts w:hint="eastAsia" w:cs="宋体"/>
          <w:sz w:val="21"/>
          <w:szCs w:val="21"/>
        </w:rPr>
        <w:instrText xml:space="preserve"> PAGEREF _Toc12157 \h </w:instrText>
      </w:r>
      <w:r>
        <w:rPr>
          <w:rFonts w:hint="eastAsia" w:cs="宋体"/>
          <w:sz w:val="21"/>
          <w:szCs w:val="21"/>
        </w:rPr>
        <w:fldChar w:fldCharType="separate"/>
      </w:r>
      <w:r>
        <w:rPr>
          <w:rFonts w:hint="eastAsia" w:cs="宋体"/>
          <w:sz w:val="21"/>
          <w:szCs w:val="21"/>
        </w:rPr>
        <w:t>68</w:t>
      </w:r>
      <w:r>
        <w:rPr>
          <w:rFonts w:hint="eastAsia" w:cs="宋体"/>
          <w:sz w:val="21"/>
          <w:szCs w:val="21"/>
        </w:rPr>
        <w:fldChar w:fldCharType="end"/>
      </w:r>
      <w:r>
        <w:rPr>
          <w:rFonts w:hint="eastAsia" w:ascii="宋体" w:hAnsi="宋体" w:eastAsia="宋体" w:cs="宋体"/>
          <w:color w:val="auto"/>
          <w:sz w:val="21"/>
          <w:szCs w:val="21"/>
          <w:highlight w:val="none"/>
        </w:rPr>
        <w:fldChar w:fldCharType="end"/>
      </w:r>
    </w:p>
    <w:p w14:paraId="52E55176">
      <w:pPr>
        <w:pStyle w:val="22"/>
        <w:tabs>
          <w:tab w:val="right" w:leader="dot" w:pos="8306"/>
          <w:tab w:val="clear" w:pos="8296"/>
        </w:tabs>
        <w:rPr>
          <w:rFonts w:hint="eastAsia" w:cs="宋体"/>
          <w:sz w:val="21"/>
          <w:szCs w:val="21"/>
        </w:rPr>
      </w:pPr>
      <w:r>
        <w:rPr>
          <w:rFonts w:hint="eastAsia" w:ascii="宋体" w:hAnsi="宋体" w:eastAsia="宋体" w:cs="宋体"/>
          <w:color w:val="auto"/>
          <w:sz w:val="21"/>
          <w:szCs w:val="21"/>
          <w:highlight w:val="none"/>
        </w:rPr>
        <w:fldChar w:fldCharType="begin"/>
      </w:r>
      <w:r>
        <w:rPr>
          <w:rFonts w:hint="eastAsia" w:ascii="宋体" w:hAnsi="宋体" w:eastAsia="宋体" w:cs="宋体"/>
          <w:sz w:val="21"/>
          <w:szCs w:val="21"/>
          <w:highlight w:val="none"/>
        </w:rPr>
        <w:instrText xml:space="preserve"> HYPERLINK \l _Toc11100 </w:instrText>
      </w:r>
      <w:r>
        <w:rPr>
          <w:rFonts w:hint="eastAsia" w:ascii="宋体" w:hAnsi="宋体" w:eastAsia="宋体" w:cs="宋体"/>
          <w:sz w:val="21"/>
          <w:szCs w:val="21"/>
          <w:highlight w:val="none"/>
        </w:rPr>
        <w:fldChar w:fldCharType="separate"/>
      </w:r>
      <w:r>
        <w:rPr>
          <w:rFonts w:hint="eastAsia" w:ascii="宋体" w:hAnsi="宋体" w:cs="宋体"/>
          <w:sz w:val="21"/>
          <w:szCs w:val="21"/>
          <w:highlight w:val="none"/>
          <w:lang w:val="en-US" w:eastAsia="zh-CN"/>
        </w:rPr>
        <w:t>合同</w:t>
      </w:r>
      <w:r>
        <w:rPr>
          <w:rFonts w:hint="eastAsia" w:ascii="宋体" w:hAnsi="宋体" w:cs="宋体"/>
          <w:sz w:val="21"/>
          <w:szCs w:val="21"/>
          <w:highlight w:val="none"/>
        </w:rPr>
        <w:t>附件</w:t>
      </w:r>
      <w:r>
        <w:rPr>
          <w:rFonts w:hint="eastAsia" w:cs="宋体"/>
          <w:sz w:val="21"/>
          <w:szCs w:val="21"/>
          <w:highlight w:val="none"/>
          <w:lang w:val="en-US" w:eastAsia="zh-CN"/>
        </w:rPr>
        <w:t>4</w:t>
      </w:r>
      <w:r>
        <w:rPr>
          <w:rFonts w:hint="eastAsia" w:ascii="宋体" w:hAnsi="宋体" w:cs="宋体"/>
          <w:sz w:val="21"/>
          <w:szCs w:val="21"/>
          <w:highlight w:val="none"/>
        </w:rPr>
        <w:t>《运输杂费及计费规则》</w:t>
      </w:r>
      <w:r>
        <w:rPr>
          <w:rFonts w:hint="eastAsia" w:cs="宋体"/>
          <w:sz w:val="21"/>
          <w:szCs w:val="21"/>
        </w:rPr>
        <w:tab/>
      </w:r>
      <w:r>
        <w:rPr>
          <w:rFonts w:hint="eastAsia" w:cs="宋体"/>
          <w:sz w:val="21"/>
          <w:szCs w:val="21"/>
        </w:rPr>
        <w:fldChar w:fldCharType="begin"/>
      </w:r>
      <w:r>
        <w:rPr>
          <w:rFonts w:hint="eastAsia" w:cs="宋体"/>
          <w:sz w:val="21"/>
          <w:szCs w:val="21"/>
        </w:rPr>
        <w:instrText xml:space="preserve"> PAGEREF _Toc11100 \h </w:instrText>
      </w:r>
      <w:r>
        <w:rPr>
          <w:rFonts w:hint="eastAsia" w:cs="宋体"/>
          <w:sz w:val="21"/>
          <w:szCs w:val="21"/>
        </w:rPr>
        <w:fldChar w:fldCharType="separate"/>
      </w:r>
      <w:r>
        <w:rPr>
          <w:rFonts w:hint="eastAsia" w:cs="宋体"/>
          <w:sz w:val="21"/>
          <w:szCs w:val="21"/>
        </w:rPr>
        <w:t>69</w:t>
      </w:r>
      <w:r>
        <w:rPr>
          <w:rFonts w:hint="eastAsia" w:cs="宋体"/>
          <w:sz w:val="21"/>
          <w:szCs w:val="21"/>
        </w:rPr>
        <w:fldChar w:fldCharType="end"/>
      </w:r>
      <w:r>
        <w:rPr>
          <w:rFonts w:hint="eastAsia" w:ascii="宋体" w:hAnsi="宋体" w:eastAsia="宋体" w:cs="宋体"/>
          <w:color w:val="auto"/>
          <w:sz w:val="21"/>
          <w:szCs w:val="21"/>
          <w:highlight w:val="none"/>
        </w:rPr>
        <w:fldChar w:fldCharType="end"/>
      </w:r>
    </w:p>
    <w:p w14:paraId="7EB47F58">
      <w:pPr>
        <w:pStyle w:val="22"/>
        <w:tabs>
          <w:tab w:val="right" w:leader="dot" w:pos="8306"/>
          <w:tab w:val="clear" w:pos="8296"/>
        </w:tabs>
        <w:rPr>
          <w:rFonts w:hint="eastAsia" w:cs="宋体"/>
          <w:sz w:val="21"/>
          <w:szCs w:val="21"/>
        </w:rPr>
      </w:pPr>
      <w:r>
        <w:rPr>
          <w:rFonts w:hint="eastAsia" w:ascii="宋体" w:hAnsi="宋体" w:eastAsia="宋体" w:cs="宋体"/>
          <w:color w:val="auto"/>
          <w:sz w:val="21"/>
          <w:szCs w:val="21"/>
          <w:highlight w:val="none"/>
        </w:rPr>
        <w:fldChar w:fldCharType="begin"/>
      </w:r>
      <w:r>
        <w:rPr>
          <w:rFonts w:hint="eastAsia" w:ascii="宋体" w:hAnsi="宋体" w:eastAsia="宋体" w:cs="宋体"/>
          <w:sz w:val="21"/>
          <w:szCs w:val="21"/>
          <w:highlight w:val="none"/>
        </w:rPr>
        <w:instrText xml:space="preserve"> HYPERLINK \l _Toc19496 </w:instrText>
      </w:r>
      <w:r>
        <w:rPr>
          <w:rFonts w:hint="eastAsia" w:ascii="宋体" w:hAnsi="宋体" w:eastAsia="宋体" w:cs="宋体"/>
          <w:sz w:val="21"/>
          <w:szCs w:val="21"/>
          <w:highlight w:val="none"/>
        </w:rPr>
        <w:fldChar w:fldCharType="separate"/>
      </w:r>
      <w:r>
        <w:rPr>
          <w:rFonts w:hint="eastAsia" w:ascii="宋体" w:hAnsi="宋体" w:cs="宋体"/>
          <w:sz w:val="21"/>
          <w:szCs w:val="21"/>
          <w:highlight w:val="none"/>
          <w:lang w:val="en-US" w:eastAsia="zh-CN"/>
        </w:rPr>
        <w:t>合同</w:t>
      </w:r>
      <w:r>
        <w:rPr>
          <w:rFonts w:hint="eastAsia" w:ascii="宋体" w:hAnsi="宋体" w:cs="宋体"/>
          <w:sz w:val="21"/>
          <w:szCs w:val="21"/>
          <w:highlight w:val="none"/>
        </w:rPr>
        <w:t>附件</w:t>
      </w:r>
      <w:r>
        <w:rPr>
          <w:rFonts w:hint="eastAsia" w:cs="宋体"/>
          <w:sz w:val="21"/>
          <w:szCs w:val="21"/>
          <w:highlight w:val="none"/>
          <w:lang w:val="en-US" w:eastAsia="zh-CN"/>
        </w:rPr>
        <w:t>5</w:t>
      </w:r>
      <w:r>
        <w:rPr>
          <w:rFonts w:hint="eastAsia" w:ascii="宋体" w:hAnsi="宋体" w:cs="宋体"/>
          <w:sz w:val="21"/>
          <w:szCs w:val="21"/>
          <w:highlight w:val="none"/>
        </w:rPr>
        <w:t>《东莞市新东欣环保投资有限公司承运单位违规行为处罚条款》</w:t>
      </w:r>
      <w:r>
        <w:rPr>
          <w:rFonts w:hint="eastAsia" w:cs="宋体"/>
          <w:sz w:val="21"/>
          <w:szCs w:val="21"/>
        </w:rPr>
        <w:tab/>
      </w:r>
      <w:r>
        <w:rPr>
          <w:rFonts w:hint="eastAsia" w:cs="宋体"/>
          <w:sz w:val="21"/>
          <w:szCs w:val="21"/>
        </w:rPr>
        <w:fldChar w:fldCharType="begin"/>
      </w:r>
      <w:r>
        <w:rPr>
          <w:rFonts w:hint="eastAsia" w:cs="宋体"/>
          <w:sz w:val="21"/>
          <w:szCs w:val="21"/>
        </w:rPr>
        <w:instrText xml:space="preserve"> PAGEREF _Toc19496 \h </w:instrText>
      </w:r>
      <w:r>
        <w:rPr>
          <w:rFonts w:hint="eastAsia" w:cs="宋体"/>
          <w:sz w:val="21"/>
          <w:szCs w:val="21"/>
        </w:rPr>
        <w:fldChar w:fldCharType="separate"/>
      </w:r>
      <w:r>
        <w:rPr>
          <w:rFonts w:hint="eastAsia" w:cs="宋体"/>
          <w:sz w:val="21"/>
          <w:szCs w:val="21"/>
        </w:rPr>
        <w:t>72</w:t>
      </w:r>
      <w:r>
        <w:rPr>
          <w:rFonts w:hint="eastAsia" w:cs="宋体"/>
          <w:sz w:val="21"/>
          <w:szCs w:val="21"/>
        </w:rPr>
        <w:fldChar w:fldCharType="end"/>
      </w:r>
      <w:r>
        <w:rPr>
          <w:rFonts w:hint="eastAsia" w:ascii="宋体" w:hAnsi="宋体" w:eastAsia="宋体" w:cs="宋体"/>
          <w:color w:val="auto"/>
          <w:sz w:val="21"/>
          <w:szCs w:val="21"/>
          <w:highlight w:val="none"/>
        </w:rPr>
        <w:fldChar w:fldCharType="end"/>
      </w:r>
    </w:p>
    <w:p w14:paraId="13A44F62">
      <w:pPr>
        <w:pStyle w:val="22"/>
        <w:tabs>
          <w:tab w:val="right" w:leader="dot" w:pos="8306"/>
          <w:tab w:val="clear" w:pos="8296"/>
        </w:tabs>
        <w:rPr>
          <w:rFonts w:hint="eastAsia" w:cs="宋体"/>
          <w:sz w:val="21"/>
          <w:szCs w:val="21"/>
        </w:rPr>
      </w:pPr>
      <w:r>
        <w:rPr>
          <w:rFonts w:hint="eastAsia" w:ascii="宋体" w:hAnsi="宋体" w:eastAsia="宋体" w:cs="宋体"/>
          <w:color w:val="auto"/>
          <w:sz w:val="21"/>
          <w:szCs w:val="21"/>
          <w:highlight w:val="none"/>
        </w:rPr>
        <w:fldChar w:fldCharType="begin"/>
      </w:r>
      <w:r>
        <w:rPr>
          <w:rFonts w:hint="eastAsia" w:ascii="宋体" w:hAnsi="宋体" w:eastAsia="宋体" w:cs="宋体"/>
          <w:sz w:val="21"/>
          <w:szCs w:val="21"/>
          <w:highlight w:val="none"/>
        </w:rPr>
        <w:instrText xml:space="preserve"> HYPERLINK \l _Toc25598 </w:instrText>
      </w:r>
      <w:r>
        <w:rPr>
          <w:rFonts w:hint="eastAsia" w:ascii="宋体" w:hAnsi="宋体" w:eastAsia="宋体" w:cs="宋体"/>
          <w:sz w:val="21"/>
          <w:szCs w:val="21"/>
          <w:highlight w:val="none"/>
        </w:rPr>
        <w:fldChar w:fldCharType="separate"/>
      </w:r>
      <w:r>
        <w:rPr>
          <w:rFonts w:hint="eastAsia" w:ascii="宋体" w:hAnsi="宋体" w:cs="宋体"/>
          <w:sz w:val="21"/>
          <w:szCs w:val="21"/>
          <w:highlight w:val="none"/>
          <w:lang w:val="en-US" w:eastAsia="zh-CN"/>
        </w:rPr>
        <w:t>合同</w:t>
      </w:r>
      <w:r>
        <w:rPr>
          <w:rFonts w:hint="eastAsia" w:ascii="宋体" w:hAnsi="宋体" w:cs="宋体"/>
          <w:sz w:val="21"/>
          <w:szCs w:val="21"/>
          <w:highlight w:val="none"/>
        </w:rPr>
        <w:t>附件</w:t>
      </w:r>
      <w:r>
        <w:rPr>
          <w:rFonts w:hint="eastAsia" w:cs="宋体"/>
          <w:sz w:val="21"/>
          <w:szCs w:val="21"/>
          <w:highlight w:val="none"/>
          <w:lang w:val="en-US" w:eastAsia="zh-CN"/>
        </w:rPr>
        <w:t>6</w:t>
      </w:r>
      <w:r>
        <w:rPr>
          <w:rFonts w:hint="eastAsia" w:ascii="宋体" w:hAnsi="宋体" w:cs="宋体"/>
          <w:sz w:val="21"/>
          <w:szCs w:val="21"/>
          <w:highlight w:val="none"/>
        </w:rPr>
        <w:t>《</w:t>
      </w:r>
      <w:r>
        <w:rPr>
          <w:rFonts w:hint="eastAsia" w:cs="宋体"/>
          <w:sz w:val="21"/>
          <w:szCs w:val="21"/>
          <w:highlight w:val="none"/>
          <w:lang w:val="en-US" w:eastAsia="zh-CN"/>
        </w:rPr>
        <w:t>运输商季度考核评分表》</w:t>
      </w:r>
      <w:r>
        <w:rPr>
          <w:rFonts w:hint="eastAsia" w:cs="宋体"/>
          <w:sz w:val="21"/>
          <w:szCs w:val="21"/>
        </w:rPr>
        <w:tab/>
      </w:r>
      <w:r>
        <w:rPr>
          <w:rFonts w:hint="eastAsia" w:cs="宋体"/>
          <w:sz w:val="21"/>
          <w:szCs w:val="21"/>
        </w:rPr>
        <w:fldChar w:fldCharType="begin"/>
      </w:r>
      <w:r>
        <w:rPr>
          <w:rFonts w:hint="eastAsia" w:cs="宋体"/>
          <w:sz w:val="21"/>
          <w:szCs w:val="21"/>
        </w:rPr>
        <w:instrText xml:space="preserve"> PAGEREF _Toc25598 \h </w:instrText>
      </w:r>
      <w:r>
        <w:rPr>
          <w:rFonts w:hint="eastAsia" w:cs="宋体"/>
          <w:sz w:val="21"/>
          <w:szCs w:val="21"/>
        </w:rPr>
        <w:fldChar w:fldCharType="separate"/>
      </w:r>
      <w:r>
        <w:rPr>
          <w:rFonts w:hint="eastAsia" w:cs="宋体"/>
          <w:sz w:val="21"/>
          <w:szCs w:val="21"/>
        </w:rPr>
        <w:t>75</w:t>
      </w:r>
      <w:r>
        <w:rPr>
          <w:rFonts w:hint="eastAsia" w:cs="宋体"/>
          <w:sz w:val="21"/>
          <w:szCs w:val="21"/>
        </w:rPr>
        <w:fldChar w:fldCharType="end"/>
      </w:r>
      <w:r>
        <w:rPr>
          <w:rFonts w:hint="eastAsia" w:ascii="宋体" w:hAnsi="宋体" w:eastAsia="宋体" w:cs="宋体"/>
          <w:color w:val="auto"/>
          <w:sz w:val="21"/>
          <w:szCs w:val="21"/>
          <w:highlight w:val="none"/>
        </w:rPr>
        <w:fldChar w:fldCharType="end"/>
      </w:r>
    </w:p>
    <w:p w14:paraId="4D559C6E">
      <w:pPr>
        <w:pStyle w:val="22"/>
        <w:tabs>
          <w:tab w:val="right" w:leader="dot" w:pos="8306"/>
          <w:tab w:val="clear" w:pos="8296"/>
        </w:tabs>
        <w:rPr>
          <w:rFonts w:hint="eastAsia" w:cs="宋体"/>
          <w:sz w:val="21"/>
          <w:szCs w:val="21"/>
        </w:rPr>
      </w:pPr>
      <w:r>
        <w:rPr>
          <w:rFonts w:hint="eastAsia" w:ascii="宋体" w:hAnsi="宋体" w:eastAsia="宋体" w:cs="宋体"/>
          <w:color w:val="auto"/>
          <w:sz w:val="21"/>
          <w:szCs w:val="21"/>
          <w:highlight w:val="none"/>
        </w:rPr>
        <w:fldChar w:fldCharType="begin"/>
      </w:r>
      <w:r>
        <w:rPr>
          <w:rFonts w:hint="eastAsia" w:ascii="宋体" w:hAnsi="宋体" w:eastAsia="宋体" w:cs="宋体"/>
          <w:sz w:val="21"/>
          <w:szCs w:val="21"/>
          <w:highlight w:val="none"/>
        </w:rPr>
        <w:instrText xml:space="preserve"> HYPERLINK \l _Toc18299 </w:instrText>
      </w:r>
      <w:r>
        <w:rPr>
          <w:rFonts w:hint="eastAsia" w:ascii="宋体" w:hAnsi="宋体" w:eastAsia="宋体" w:cs="宋体"/>
          <w:sz w:val="21"/>
          <w:szCs w:val="21"/>
          <w:highlight w:val="none"/>
        </w:rPr>
        <w:fldChar w:fldCharType="separate"/>
      </w:r>
      <w:r>
        <w:rPr>
          <w:rFonts w:hint="eastAsia" w:ascii="宋体" w:hAnsi="宋体" w:cs="宋体"/>
          <w:sz w:val="21"/>
          <w:szCs w:val="21"/>
          <w:highlight w:val="none"/>
          <w:lang w:val="en-US" w:eastAsia="zh-CN"/>
        </w:rPr>
        <w:t>合同</w:t>
      </w:r>
      <w:r>
        <w:rPr>
          <w:rFonts w:hint="eastAsia" w:ascii="宋体" w:hAnsi="宋体" w:cs="宋体"/>
          <w:sz w:val="21"/>
          <w:szCs w:val="21"/>
          <w:highlight w:val="none"/>
        </w:rPr>
        <w:t>附件</w:t>
      </w:r>
      <w:r>
        <w:rPr>
          <w:rFonts w:hint="eastAsia" w:cs="宋体"/>
          <w:sz w:val="21"/>
          <w:szCs w:val="21"/>
          <w:highlight w:val="none"/>
          <w:lang w:val="en-US" w:eastAsia="zh-CN"/>
        </w:rPr>
        <w:t>7</w:t>
      </w:r>
      <w:r>
        <w:rPr>
          <w:rFonts w:hint="eastAsia" w:ascii="宋体" w:hAnsi="宋体" w:cs="宋体"/>
          <w:sz w:val="21"/>
          <w:szCs w:val="21"/>
          <w:highlight w:val="none"/>
        </w:rPr>
        <w:t>《</w:t>
      </w:r>
      <w:r>
        <w:rPr>
          <w:rFonts w:hint="eastAsia" w:cs="宋体"/>
          <w:sz w:val="21"/>
          <w:szCs w:val="21"/>
          <w:highlight w:val="none"/>
          <w:lang w:val="en-US" w:eastAsia="zh-CN"/>
        </w:rPr>
        <w:t>运输单位搬运费分级标准》</w:t>
      </w:r>
      <w:r>
        <w:rPr>
          <w:rFonts w:hint="eastAsia" w:cs="宋体"/>
          <w:sz w:val="21"/>
          <w:szCs w:val="21"/>
        </w:rPr>
        <w:tab/>
      </w:r>
      <w:r>
        <w:rPr>
          <w:rFonts w:hint="eastAsia" w:cs="宋体"/>
          <w:sz w:val="21"/>
          <w:szCs w:val="21"/>
        </w:rPr>
        <w:fldChar w:fldCharType="begin"/>
      </w:r>
      <w:r>
        <w:rPr>
          <w:rFonts w:hint="eastAsia" w:cs="宋体"/>
          <w:sz w:val="21"/>
          <w:szCs w:val="21"/>
        </w:rPr>
        <w:instrText xml:space="preserve"> PAGEREF _Toc18299 \h </w:instrText>
      </w:r>
      <w:r>
        <w:rPr>
          <w:rFonts w:hint="eastAsia" w:cs="宋体"/>
          <w:sz w:val="21"/>
          <w:szCs w:val="21"/>
        </w:rPr>
        <w:fldChar w:fldCharType="separate"/>
      </w:r>
      <w:r>
        <w:rPr>
          <w:rFonts w:hint="eastAsia" w:cs="宋体"/>
          <w:sz w:val="21"/>
          <w:szCs w:val="21"/>
        </w:rPr>
        <w:t>77</w:t>
      </w:r>
      <w:r>
        <w:rPr>
          <w:rFonts w:hint="eastAsia" w:cs="宋体"/>
          <w:sz w:val="21"/>
          <w:szCs w:val="21"/>
        </w:rPr>
        <w:fldChar w:fldCharType="end"/>
      </w:r>
      <w:r>
        <w:rPr>
          <w:rFonts w:hint="eastAsia" w:ascii="宋体" w:hAnsi="宋体" w:eastAsia="宋体" w:cs="宋体"/>
          <w:color w:val="auto"/>
          <w:sz w:val="21"/>
          <w:szCs w:val="21"/>
          <w:highlight w:val="none"/>
        </w:rPr>
        <w:fldChar w:fldCharType="end"/>
      </w:r>
    </w:p>
    <w:p w14:paraId="52ACD7FB">
      <w:pPr>
        <w:pStyle w:val="22"/>
        <w:tabs>
          <w:tab w:val="right" w:leader="dot" w:pos="8306"/>
          <w:tab w:val="clear" w:pos="8296"/>
        </w:tabs>
        <w:rPr>
          <w:rFonts w:hint="eastAsia" w:cs="宋体"/>
          <w:sz w:val="21"/>
          <w:szCs w:val="21"/>
        </w:rPr>
      </w:pPr>
      <w:r>
        <w:rPr>
          <w:rFonts w:hint="eastAsia" w:ascii="宋体" w:hAnsi="宋体" w:eastAsia="宋体" w:cs="宋体"/>
          <w:color w:val="auto"/>
          <w:sz w:val="21"/>
          <w:szCs w:val="21"/>
          <w:highlight w:val="none"/>
        </w:rPr>
        <w:fldChar w:fldCharType="begin"/>
      </w:r>
      <w:r>
        <w:rPr>
          <w:rFonts w:hint="eastAsia" w:ascii="宋体" w:hAnsi="宋体" w:eastAsia="宋体" w:cs="宋体"/>
          <w:sz w:val="21"/>
          <w:szCs w:val="21"/>
          <w:highlight w:val="none"/>
        </w:rPr>
        <w:instrText xml:space="preserve"> HYPERLINK \l _Toc3829 </w:instrText>
      </w:r>
      <w:r>
        <w:rPr>
          <w:rFonts w:hint="eastAsia" w:ascii="宋体" w:hAnsi="宋体" w:eastAsia="宋体" w:cs="宋体"/>
          <w:sz w:val="21"/>
          <w:szCs w:val="21"/>
          <w:highlight w:val="none"/>
        </w:rPr>
        <w:fldChar w:fldCharType="separate"/>
      </w:r>
      <w:r>
        <w:rPr>
          <w:rFonts w:hint="eastAsia" w:ascii="宋体" w:hAnsi="宋体" w:cs="宋体"/>
          <w:sz w:val="21"/>
          <w:szCs w:val="21"/>
          <w:highlight w:val="none"/>
          <w:lang w:val="en-US" w:eastAsia="zh-CN"/>
        </w:rPr>
        <w:t>合同</w:t>
      </w:r>
      <w:r>
        <w:rPr>
          <w:rFonts w:hint="eastAsia" w:ascii="宋体" w:hAnsi="宋体" w:cs="宋体"/>
          <w:sz w:val="21"/>
          <w:szCs w:val="21"/>
          <w:highlight w:val="none"/>
        </w:rPr>
        <w:t>附件8：《承运单》</w:t>
      </w:r>
      <w:r>
        <w:rPr>
          <w:rFonts w:hint="eastAsia" w:cs="宋体"/>
          <w:sz w:val="21"/>
          <w:szCs w:val="21"/>
        </w:rPr>
        <w:tab/>
      </w:r>
      <w:r>
        <w:rPr>
          <w:rFonts w:hint="eastAsia" w:cs="宋体"/>
          <w:sz w:val="21"/>
          <w:szCs w:val="21"/>
        </w:rPr>
        <w:fldChar w:fldCharType="begin"/>
      </w:r>
      <w:r>
        <w:rPr>
          <w:rFonts w:hint="eastAsia" w:cs="宋体"/>
          <w:sz w:val="21"/>
          <w:szCs w:val="21"/>
        </w:rPr>
        <w:instrText xml:space="preserve"> PAGEREF _Toc3829 \h </w:instrText>
      </w:r>
      <w:r>
        <w:rPr>
          <w:rFonts w:hint="eastAsia" w:cs="宋体"/>
          <w:sz w:val="21"/>
          <w:szCs w:val="21"/>
        </w:rPr>
        <w:fldChar w:fldCharType="separate"/>
      </w:r>
      <w:r>
        <w:rPr>
          <w:rFonts w:hint="eastAsia" w:cs="宋体"/>
          <w:sz w:val="21"/>
          <w:szCs w:val="21"/>
        </w:rPr>
        <w:t>78</w:t>
      </w:r>
      <w:r>
        <w:rPr>
          <w:rFonts w:hint="eastAsia" w:cs="宋体"/>
          <w:sz w:val="21"/>
          <w:szCs w:val="21"/>
        </w:rPr>
        <w:fldChar w:fldCharType="end"/>
      </w:r>
      <w:r>
        <w:rPr>
          <w:rFonts w:hint="eastAsia" w:ascii="宋体" w:hAnsi="宋体" w:eastAsia="宋体" w:cs="宋体"/>
          <w:color w:val="auto"/>
          <w:sz w:val="21"/>
          <w:szCs w:val="21"/>
          <w:highlight w:val="none"/>
        </w:rPr>
        <w:fldChar w:fldCharType="end"/>
      </w:r>
    </w:p>
    <w:p w14:paraId="32A23687">
      <w:pPr>
        <w:pStyle w:val="22"/>
        <w:tabs>
          <w:tab w:val="right" w:leader="dot" w:pos="8306"/>
          <w:tab w:val="clear" w:pos="8296"/>
        </w:tabs>
        <w:rPr>
          <w:rFonts w:hint="eastAsia" w:cs="宋体"/>
          <w:sz w:val="21"/>
          <w:szCs w:val="21"/>
        </w:rPr>
      </w:pPr>
      <w:r>
        <w:rPr>
          <w:rFonts w:hint="eastAsia" w:ascii="宋体" w:hAnsi="宋体" w:eastAsia="宋体" w:cs="宋体"/>
          <w:color w:val="auto"/>
          <w:sz w:val="21"/>
          <w:szCs w:val="21"/>
          <w:highlight w:val="none"/>
        </w:rPr>
        <w:fldChar w:fldCharType="begin"/>
      </w:r>
      <w:r>
        <w:rPr>
          <w:rFonts w:hint="eastAsia" w:ascii="宋体" w:hAnsi="宋体" w:eastAsia="宋体" w:cs="宋体"/>
          <w:sz w:val="21"/>
          <w:szCs w:val="21"/>
          <w:highlight w:val="none"/>
        </w:rPr>
        <w:instrText xml:space="preserve"> HYPERLINK \l _Toc18919 </w:instrText>
      </w:r>
      <w:r>
        <w:rPr>
          <w:rFonts w:hint="eastAsia" w:ascii="宋体" w:hAnsi="宋体" w:eastAsia="宋体" w:cs="宋体"/>
          <w:sz w:val="21"/>
          <w:szCs w:val="21"/>
          <w:highlight w:val="none"/>
        </w:rPr>
        <w:fldChar w:fldCharType="separate"/>
      </w:r>
      <w:r>
        <w:rPr>
          <w:rFonts w:hint="eastAsia" w:ascii="宋体" w:hAnsi="宋体" w:cs="宋体"/>
          <w:sz w:val="21"/>
          <w:szCs w:val="21"/>
          <w:highlight w:val="none"/>
          <w:lang w:val="en-US" w:eastAsia="zh-CN"/>
        </w:rPr>
        <w:t>合同</w:t>
      </w:r>
      <w:r>
        <w:rPr>
          <w:rFonts w:hint="eastAsia" w:ascii="宋体" w:hAnsi="宋体" w:cs="宋体"/>
          <w:sz w:val="21"/>
          <w:szCs w:val="21"/>
          <w:highlight w:val="none"/>
        </w:rPr>
        <w:t>附件9：</w:t>
      </w:r>
      <w:r>
        <w:rPr>
          <w:rFonts w:hint="eastAsia" w:ascii="宋体" w:hAnsi="宋体" w:cs="宋体"/>
          <w:sz w:val="21"/>
          <w:szCs w:val="21"/>
          <w:highlight w:val="none"/>
          <w:lang w:eastAsia="zh-CN"/>
        </w:rPr>
        <w:t>《</w:t>
      </w:r>
      <w:r>
        <w:rPr>
          <w:rFonts w:hint="eastAsia" w:ascii="宋体" w:hAnsi="宋体" w:cs="宋体"/>
          <w:sz w:val="21"/>
          <w:szCs w:val="21"/>
          <w:highlight w:val="none"/>
        </w:rPr>
        <w:t>东莞市新东欣环保投资有限公司202</w:t>
      </w:r>
      <w:r>
        <w:rPr>
          <w:rFonts w:hint="eastAsia" w:ascii="宋体" w:hAnsi="宋体" w:cs="宋体"/>
          <w:sz w:val="21"/>
          <w:szCs w:val="21"/>
          <w:highlight w:val="none"/>
          <w:lang w:val="en-US" w:eastAsia="zh-CN"/>
        </w:rPr>
        <w:t>5</w:t>
      </w:r>
      <w:r>
        <w:rPr>
          <w:rFonts w:hint="eastAsia" w:ascii="宋体" w:hAnsi="宋体" w:cs="宋体"/>
          <w:sz w:val="21"/>
          <w:szCs w:val="21"/>
          <w:highlight w:val="none"/>
        </w:rPr>
        <w:t>-202</w:t>
      </w:r>
      <w:r>
        <w:rPr>
          <w:rFonts w:hint="eastAsia" w:ascii="宋体" w:hAnsi="宋体" w:cs="宋体"/>
          <w:sz w:val="21"/>
          <w:szCs w:val="21"/>
          <w:highlight w:val="none"/>
          <w:lang w:val="en-US" w:eastAsia="zh-CN"/>
        </w:rPr>
        <w:t>6</w:t>
      </w:r>
      <w:r>
        <w:rPr>
          <w:rFonts w:hint="eastAsia" w:ascii="宋体" w:hAnsi="宋体" w:cs="宋体"/>
          <w:sz w:val="21"/>
          <w:szCs w:val="21"/>
          <w:highlight w:val="none"/>
        </w:rPr>
        <w:t>年度危险废物运输服务技术需求书</w:t>
      </w:r>
      <w:r>
        <w:rPr>
          <w:rFonts w:hint="eastAsia" w:ascii="宋体" w:hAnsi="宋体" w:cs="宋体"/>
          <w:sz w:val="21"/>
          <w:szCs w:val="21"/>
          <w:highlight w:val="none"/>
          <w:lang w:eastAsia="zh-CN"/>
        </w:rPr>
        <w:t>》</w:t>
      </w:r>
      <w:r>
        <w:rPr>
          <w:rFonts w:hint="eastAsia" w:cs="宋体"/>
          <w:sz w:val="21"/>
          <w:szCs w:val="21"/>
        </w:rPr>
        <w:tab/>
      </w:r>
      <w:r>
        <w:rPr>
          <w:rFonts w:hint="eastAsia" w:cs="宋体"/>
          <w:sz w:val="21"/>
          <w:szCs w:val="21"/>
        </w:rPr>
        <w:fldChar w:fldCharType="begin"/>
      </w:r>
      <w:r>
        <w:rPr>
          <w:rFonts w:hint="eastAsia" w:cs="宋体"/>
          <w:sz w:val="21"/>
          <w:szCs w:val="21"/>
        </w:rPr>
        <w:instrText xml:space="preserve"> PAGEREF _Toc18919 \h </w:instrText>
      </w:r>
      <w:r>
        <w:rPr>
          <w:rFonts w:hint="eastAsia" w:cs="宋体"/>
          <w:sz w:val="21"/>
          <w:szCs w:val="21"/>
        </w:rPr>
        <w:fldChar w:fldCharType="separate"/>
      </w:r>
      <w:r>
        <w:rPr>
          <w:rFonts w:hint="eastAsia" w:cs="宋体"/>
          <w:sz w:val="21"/>
          <w:szCs w:val="21"/>
        </w:rPr>
        <w:t>79</w:t>
      </w:r>
      <w:r>
        <w:rPr>
          <w:rFonts w:hint="eastAsia" w:cs="宋体"/>
          <w:sz w:val="21"/>
          <w:szCs w:val="21"/>
        </w:rPr>
        <w:fldChar w:fldCharType="end"/>
      </w:r>
      <w:r>
        <w:rPr>
          <w:rFonts w:hint="eastAsia" w:ascii="宋体" w:hAnsi="宋体" w:eastAsia="宋体" w:cs="宋体"/>
          <w:color w:val="auto"/>
          <w:sz w:val="21"/>
          <w:szCs w:val="21"/>
          <w:highlight w:val="none"/>
        </w:rPr>
        <w:fldChar w:fldCharType="end"/>
      </w:r>
    </w:p>
    <w:p w14:paraId="5EE07F0F">
      <w:pPr>
        <w:pStyle w:val="22"/>
        <w:tabs>
          <w:tab w:val="right" w:leader="dot" w:pos="8306"/>
          <w:tab w:val="clear" w:pos="8296"/>
        </w:tabs>
        <w:rPr>
          <w:rFonts w:hint="eastAsia" w:cs="宋体"/>
          <w:sz w:val="21"/>
          <w:szCs w:val="21"/>
        </w:rPr>
      </w:pPr>
      <w:r>
        <w:rPr>
          <w:rFonts w:hint="eastAsia" w:ascii="宋体" w:hAnsi="宋体" w:eastAsia="宋体" w:cs="宋体"/>
          <w:color w:val="auto"/>
          <w:sz w:val="21"/>
          <w:szCs w:val="21"/>
          <w:highlight w:val="none"/>
        </w:rPr>
        <w:fldChar w:fldCharType="begin"/>
      </w:r>
      <w:r>
        <w:rPr>
          <w:rFonts w:hint="eastAsia" w:ascii="宋体" w:hAnsi="宋体" w:eastAsia="宋体" w:cs="宋体"/>
          <w:sz w:val="21"/>
          <w:szCs w:val="21"/>
          <w:highlight w:val="none"/>
        </w:rPr>
        <w:instrText xml:space="preserve"> HYPERLINK \l _Toc7349 </w:instrText>
      </w:r>
      <w:r>
        <w:rPr>
          <w:rFonts w:hint="eastAsia" w:ascii="宋体" w:hAnsi="宋体" w:eastAsia="宋体" w:cs="宋体"/>
          <w:sz w:val="21"/>
          <w:szCs w:val="21"/>
          <w:highlight w:val="none"/>
        </w:rPr>
        <w:fldChar w:fldCharType="separate"/>
      </w:r>
      <w:r>
        <w:rPr>
          <w:rFonts w:hint="eastAsia" w:ascii="宋体" w:hAnsi="宋体" w:cs="宋体"/>
          <w:sz w:val="21"/>
          <w:szCs w:val="21"/>
          <w:highlight w:val="none"/>
          <w:lang w:val="en-US" w:eastAsia="zh-CN"/>
        </w:rPr>
        <w:t>合同附件10：</w:t>
      </w:r>
      <w:r>
        <w:rPr>
          <w:rFonts w:hint="eastAsia" w:ascii="宋体" w:hAnsi="宋体" w:cs="宋体"/>
          <w:sz w:val="21"/>
          <w:szCs w:val="21"/>
          <w:highlight w:val="none"/>
        </w:rPr>
        <w:t>《阳光合作协议》</w:t>
      </w:r>
      <w:r>
        <w:rPr>
          <w:rFonts w:hint="eastAsia" w:cs="宋体"/>
          <w:sz w:val="21"/>
          <w:szCs w:val="21"/>
        </w:rPr>
        <w:tab/>
      </w:r>
      <w:r>
        <w:rPr>
          <w:rFonts w:hint="eastAsia" w:cs="宋体"/>
          <w:sz w:val="21"/>
          <w:szCs w:val="21"/>
        </w:rPr>
        <w:fldChar w:fldCharType="begin"/>
      </w:r>
      <w:r>
        <w:rPr>
          <w:rFonts w:hint="eastAsia" w:cs="宋体"/>
          <w:sz w:val="21"/>
          <w:szCs w:val="21"/>
        </w:rPr>
        <w:instrText xml:space="preserve"> PAGEREF _Toc7349 \h </w:instrText>
      </w:r>
      <w:r>
        <w:rPr>
          <w:rFonts w:hint="eastAsia" w:cs="宋体"/>
          <w:sz w:val="21"/>
          <w:szCs w:val="21"/>
        </w:rPr>
        <w:fldChar w:fldCharType="separate"/>
      </w:r>
      <w:r>
        <w:rPr>
          <w:rFonts w:hint="eastAsia" w:cs="宋体"/>
          <w:sz w:val="21"/>
          <w:szCs w:val="21"/>
        </w:rPr>
        <w:t>80</w:t>
      </w:r>
      <w:r>
        <w:rPr>
          <w:rFonts w:hint="eastAsia" w:cs="宋体"/>
          <w:sz w:val="21"/>
          <w:szCs w:val="21"/>
        </w:rPr>
        <w:fldChar w:fldCharType="end"/>
      </w:r>
      <w:r>
        <w:rPr>
          <w:rFonts w:hint="eastAsia" w:ascii="宋体" w:hAnsi="宋体" w:eastAsia="宋体" w:cs="宋体"/>
          <w:color w:val="auto"/>
          <w:sz w:val="21"/>
          <w:szCs w:val="21"/>
          <w:highlight w:val="none"/>
        </w:rPr>
        <w:fldChar w:fldCharType="end"/>
      </w:r>
    </w:p>
    <w:p w14:paraId="3CEDF2CD">
      <w:pPr>
        <w:pStyle w:val="22"/>
        <w:tabs>
          <w:tab w:val="right" w:leader="dot" w:pos="8306"/>
          <w:tab w:val="clear" w:pos="8296"/>
        </w:tabs>
        <w:rPr>
          <w:rFonts w:hint="eastAsia" w:cs="宋体"/>
          <w:sz w:val="21"/>
          <w:szCs w:val="21"/>
        </w:rPr>
      </w:pPr>
      <w:r>
        <w:rPr>
          <w:rFonts w:hint="eastAsia" w:ascii="宋体" w:hAnsi="宋体" w:eastAsia="宋体" w:cs="宋体"/>
          <w:color w:val="auto"/>
          <w:sz w:val="21"/>
          <w:szCs w:val="21"/>
          <w:highlight w:val="none"/>
        </w:rPr>
        <w:fldChar w:fldCharType="begin"/>
      </w:r>
      <w:r>
        <w:rPr>
          <w:rFonts w:hint="eastAsia" w:ascii="宋体" w:hAnsi="宋体" w:eastAsia="宋体" w:cs="宋体"/>
          <w:sz w:val="21"/>
          <w:szCs w:val="21"/>
          <w:highlight w:val="none"/>
        </w:rPr>
        <w:instrText xml:space="preserve"> HYPERLINK \l _Toc6505 </w:instrText>
      </w:r>
      <w:r>
        <w:rPr>
          <w:rFonts w:hint="eastAsia" w:ascii="宋体" w:hAnsi="宋体" w:eastAsia="宋体" w:cs="宋体"/>
          <w:sz w:val="21"/>
          <w:szCs w:val="21"/>
          <w:highlight w:val="none"/>
        </w:rPr>
        <w:fldChar w:fldCharType="separate"/>
      </w:r>
      <w:r>
        <w:rPr>
          <w:rFonts w:hint="eastAsia" w:cs="宋体"/>
          <w:sz w:val="21"/>
          <w:szCs w:val="21"/>
          <w:highlight w:val="none"/>
        </w:rPr>
        <w:t>第六部分附件－投标文件格式</w:t>
      </w:r>
      <w:r>
        <w:rPr>
          <w:rFonts w:hint="eastAsia" w:cs="宋体"/>
          <w:sz w:val="21"/>
          <w:szCs w:val="21"/>
        </w:rPr>
        <w:tab/>
      </w:r>
      <w:r>
        <w:rPr>
          <w:rFonts w:hint="eastAsia" w:cs="宋体"/>
          <w:sz w:val="21"/>
          <w:szCs w:val="21"/>
        </w:rPr>
        <w:fldChar w:fldCharType="begin"/>
      </w:r>
      <w:r>
        <w:rPr>
          <w:rFonts w:hint="eastAsia" w:cs="宋体"/>
          <w:sz w:val="21"/>
          <w:szCs w:val="21"/>
        </w:rPr>
        <w:instrText xml:space="preserve"> PAGEREF _Toc6505 \h </w:instrText>
      </w:r>
      <w:r>
        <w:rPr>
          <w:rFonts w:hint="eastAsia" w:cs="宋体"/>
          <w:sz w:val="21"/>
          <w:szCs w:val="21"/>
        </w:rPr>
        <w:fldChar w:fldCharType="separate"/>
      </w:r>
      <w:r>
        <w:rPr>
          <w:rFonts w:hint="eastAsia" w:cs="宋体"/>
          <w:sz w:val="21"/>
          <w:szCs w:val="21"/>
        </w:rPr>
        <w:t>82</w:t>
      </w:r>
      <w:r>
        <w:rPr>
          <w:rFonts w:hint="eastAsia" w:cs="宋体"/>
          <w:sz w:val="21"/>
          <w:szCs w:val="21"/>
        </w:rPr>
        <w:fldChar w:fldCharType="end"/>
      </w:r>
      <w:r>
        <w:rPr>
          <w:rFonts w:hint="eastAsia" w:ascii="宋体" w:hAnsi="宋体" w:eastAsia="宋体" w:cs="宋体"/>
          <w:color w:val="auto"/>
          <w:sz w:val="21"/>
          <w:szCs w:val="21"/>
          <w:highlight w:val="none"/>
        </w:rPr>
        <w:fldChar w:fldCharType="end"/>
      </w:r>
    </w:p>
    <w:p w14:paraId="638014FE">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_Toc15201 </w:instrText>
      </w:r>
      <w:r>
        <w:rPr>
          <w:rFonts w:hint="eastAsia" w:ascii="宋体" w:hAnsi="宋体" w:eastAsia="宋体" w:cs="宋体"/>
          <w:szCs w:val="21"/>
          <w:highlight w:val="none"/>
        </w:rPr>
        <w:fldChar w:fldCharType="separate"/>
      </w:r>
      <w:r>
        <w:rPr>
          <w:rFonts w:hint="eastAsia" w:ascii="宋体" w:hAnsi="宋体" w:cs="宋体"/>
          <w:szCs w:val="21"/>
          <w:highlight w:val="none"/>
        </w:rPr>
        <w:t>投标文件目录</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_Toc15201 \h </w:instrText>
      </w:r>
      <w:r>
        <w:rPr>
          <w:rFonts w:hint="eastAsia" w:ascii="宋体" w:hAnsi="宋体" w:cs="宋体"/>
          <w:szCs w:val="21"/>
        </w:rPr>
        <w:fldChar w:fldCharType="separate"/>
      </w:r>
      <w:r>
        <w:rPr>
          <w:rFonts w:hint="eastAsia" w:ascii="宋体" w:hAnsi="宋体" w:cs="宋体"/>
          <w:szCs w:val="21"/>
        </w:rPr>
        <w:t>82</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691F45A8">
      <w:pPr>
        <w:pStyle w:val="22"/>
        <w:tabs>
          <w:tab w:val="right" w:leader="dot" w:pos="8306"/>
          <w:tab w:val="clear" w:pos="8296"/>
        </w:tabs>
        <w:rPr>
          <w:rFonts w:hint="eastAsia" w:cs="宋体"/>
          <w:sz w:val="21"/>
          <w:szCs w:val="21"/>
        </w:rPr>
      </w:pPr>
      <w:r>
        <w:rPr>
          <w:rFonts w:hint="eastAsia" w:ascii="宋体" w:hAnsi="宋体" w:eastAsia="宋体" w:cs="宋体"/>
          <w:color w:val="auto"/>
          <w:sz w:val="21"/>
          <w:szCs w:val="21"/>
          <w:highlight w:val="none"/>
        </w:rPr>
        <w:fldChar w:fldCharType="begin"/>
      </w:r>
      <w:r>
        <w:rPr>
          <w:rFonts w:hint="eastAsia" w:ascii="宋体" w:hAnsi="宋体" w:eastAsia="宋体" w:cs="宋体"/>
          <w:sz w:val="21"/>
          <w:szCs w:val="21"/>
          <w:highlight w:val="none"/>
        </w:rPr>
        <w:instrText xml:space="preserve"> HYPERLINK \l _Toc23213 </w:instrText>
      </w:r>
      <w:r>
        <w:rPr>
          <w:rFonts w:hint="eastAsia" w:ascii="宋体" w:hAnsi="宋体" w:eastAsia="宋体" w:cs="宋体"/>
          <w:sz w:val="21"/>
          <w:szCs w:val="21"/>
          <w:highlight w:val="none"/>
        </w:rPr>
        <w:fldChar w:fldCharType="separate"/>
      </w:r>
      <w:r>
        <w:rPr>
          <w:rFonts w:hint="eastAsia" w:cs="宋体"/>
          <w:sz w:val="21"/>
          <w:szCs w:val="21"/>
          <w:highlight w:val="none"/>
        </w:rPr>
        <w:t>价格文件</w:t>
      </w:r>
      <w:r>
        <w:rPr>
          <w:rFonts w:hint="eastAsia" w:cs="宋体"/>
          <w:sz w:val="21"/>
          <w:szCs w:val="21"/>
        </w:rPr>
        <w:tab/>
      </w:r>
      <w:r>
        <w:rPr>
          <w:rFonts w:hint="eastAsia" w:cs="宋体"/>
          <w:sz w:val="21"/>
          <w:szCs w:val="21"/>
        </w:rPr>
        <w:fldChar w:fldCharType="begin"/>
      </w:r>
      <w:r>
        <w:rPr>
          <w:rFonts w:hint="eastAsia" w:cs="宋体"/>
          <w:sz w:val="21"/>
          <w:szCs w:val="21"/>
        </w:rPr>
        <w:instrText xml:space="preserve"> PAGEREF _Toc23213 \h </w:instrText>
      </w:r>
      <w:r>
        <w:rPr>
          <w:rFonts w:hint="eastAsia" w:cs="宋体"/>
          <w:sz w:val="21"/>
          <w:szCs w:val="21"/>
        </w:rPr>
        <w:fldChar w:fldCharType="separate"/>
      </w:r>
      <w:r>
        <w:rPr>
          <w:rFonts w:hint="eastAsia" w:cs="宋体"/>
          <w:sz w:val="21"/>
          <w:szCs w:val="21"/>
        </w:rPr>
        <w:t>83</w:t>
      </w:r>
      <w:r>
        <w:rPr>
          <w:rFonts w:hint="eastAsia" w:cs="宋体"/>
          <w:sz w:val="21"/>
          <w:szCs w:val="21"/>
        </w:rPr>
        <w:fldChar w:fldCharType="end"/>
      </w:r>
      <w:r>
        <w:rPr>
          <w:rFonts w:hint="eastAsia" w:ascii="宋体" w:hAnsi="宋体" w:eastAsia="宋体" w:cs="宋体"/>
          <w:color w:val="auto"/>
          <w:sz w:val="21"/>
          <w:szCs w:val="21"/>
          <w:highlight w:val="none"/>
        </w:rPr>
        <w:fldChar w:fldCharType="end"/>
      </w:r>
    </w:p>
    <w:p w14:paraId="351B4913">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_Toc26341 </w:instrText>
      </w:r>
      <w:r>
        <w:rPr>
          <w:rFonts w:hint="eastAsia" w:ascii="宋体" w:hAnsi="宋体" w:eastAsia="宋体" w:cs="宋体"/>
          <w:szCs w:val="21"/>
          <w:highlight w:val="none"/>
        </w:rPr>
        <w:fldChar w:fldCharType="separate"/>
      </w:r>
      <w:r>
        <w:rPr>
          <w:rFonts w:hint="eastAsia" w:ascii="宋体" w:hAnsi="宋体" w:cs="宋体"/>
          <w:szCs w:val="21"/>
          <w:highlight w:val="none"/>
        </w:rPr>
        <w:t>附件</w:t>
      </w:r>
      <w:r>
        <w:rPr>
          <w:rFonts w:hint="eastAsia" w:ascii="宋体" w:hAnsi="宋体" w:cs="宋体"/>
          <w:szCs w:val="21"/>
          <w:highlight w:val="none"/>
          <w:lang w:val="en-US" w:eastAsia="zh-CN"/>
        </w:rPr>
        <w:t>1</w:t>
      </w:r>
      <w:r>
        <w:rPr>
          <w:rFonts w:hint="eastAsia" w:ascii="宋体" w:hAnsi="宋体" w:cs="宋体"/>
          <w:szCs w:val="21"/>
          <w:highlight w:val="none"/>
        </w:rPr>
        <w:t>.开标一览表格式</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_Toc26341 \h </w:instrText>
      </w:r>
      <w:r>
        <w:rPr>
          <w:rFonts w:hint="eastAsia" w:ascii="宋体" w:hAnsi="宋体" w:cs="宋体"/>
          <w:szCs w:val="21"/>
        </w:rPr>
        <w:fldChar w:fldCharType="separate"/>
      </w:r>
      <w:r>
        <w:rPr>
          <w:rFonts w:hint="eastAsia" w:ascii="宋体" w:hAnsi="宋体" w:cs="宋体"/>
          <w:szCs w:val="21"/>
        </w:rPr>
        <w:t>84</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23FADC43">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_Toc29732 </w:instrText>
      </w:r>
      <w:r>
        <w:rPr>
          <w:rFonts w:hint="eastAsia" w:ascii="宋体" w:hAnsi="宋体" w:eastAsia="宋体" w:cs="宋体"/>
          <w:szCs w:val="21"/>
          <w:highlight w:val="none"/>
        </w:rPr>
        <w:fldChar w:fldCharType="separate"/>
      </w:r>
      <w:r>
        <w:rPr>
          <w:rFonts w:hint="eastAsia" w:ascii="宋体" w:hAnsi="宋体" w:cs="宋体"/>
          <w:szCs w:val="21"/>
          <w:highlight w:val="none"/>
        </w:rPr>
        <w:t>附件</w:t>
      </w:r>
      <w:r>
        <w:rPr>
          <w:rFonts w:hint="eastAsia" w:ascii="宋体" w:hAnsi="宋体" w:cs="宋体"/>
          <w:szCs w:val="21"/>
          <w:highlight w:val="none"/>
          <w:lang w:val="en-US" w:eastAsia="zh-CN"/>
        </w:rPr>
        <w:t>2</w:t>
      </w:r>
      <w:r>
        <w:rPr>
          <w:rFonts w:hint="eastAsia" w:ascii="宋体" w:hAnsi="宋体" w:cs="宋体"/>
          <w:szCs w:val="21"/>
          <w:highlight w:val="none"/>
        </w:rPr>
        <w:t>.报价明细表格式</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_Toc29732 \h </w:instrText>
      </w:r>
      <w:r>
        <w:rPr>
          <w:rFonts w:hint="eastAsia" w:ascii="宋体" w:hAnsi="宋体" w:cs="宋体"/>
          <w:szCs w:val="21"/>
        </w:rPr>
        <w:fldChar w:fldCharType="separate"/>
      </w:r>
      <w:r>
        <w:rPr>
          <w:rFonts w:hint="eastAsia" w:ascii="宋体" w:hAnsi="宋体" w:cs="宋体"/>
          <w:szCs w:val="21"/>
        </w:rPr>
        <w:t>85</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512DBE08">
      <w:pPr>
        <w:pStyle w:val="22"/>
        <w:tabs>
          <w:tab w:val="right" w:leader="dot" w:pos="8306"/>
          <w:tab w:val="clear" w:pos="8296"/>
        </w:tabs>
        <w:rPr>
          <w:rFonts w:hint="eastAsia" w:cs="宋体"/>
          <w:sz w:val="21"/>
          <w:szCs w:val="21"/>
        </w:rPr>
      </w:pPr>
      <w:r>
        <w:rPr>
          <w:rFonts w:hint="eastAsia" w:ascii="宋体" w:hAnsi="宋体" w:eastAsia="宋体" w:cs="宋体"/>
          <w:color w:val="auto"/>
          <w:sz w:val="21"/>
          <w:szCs w:val="21"/>
          <w:highlight w:val="none"/>
        </w:rPr>
        <w:fldChar w:fldCharType="begin"/>
      </w:r>
      <w:r>
        <w:rPr>
          <w:rFonts w:hint="eastAsia" w:ascii="宋体" w:hAnsi="宋体" w:eastAsia="宋体" w:cs="宋体"/>
          <w:sz w:val="21"/>
          <w:szCs w:val="21"/>
          <w:highlight w:val="none"/>
        </w:rPr>
        <w:instrText xml:space="preserve"> HYPERLINK \l _Toc29446 </w:instrText>
      </w:r>
      <w:r>
        <w:rPr>
          <w:rFonts w:hint="eastAsia" w:ascii="宋体" w:hAnsi="宋体" w:eastAsia="宋体" w:cs="宋体"/>
          <w:sz w:val="21"/>
          <w:szCs w:val="21"/>
          <w:highlight w:val="none"/>
        </w:rPr>
        <w:fldChar w:fldCharType="separate"/>
      </w:r>
      <w:r>
        <w:rPr>
          <w:rFonts w:hint="eastAsia" w:cs="宋体"/>
          <w:sz w:val="21"/>
          <w:szCs w:val="21"/>
          <w:highlight w:val="none"/>
        </w:rPr>
        <w:t>商务文件</w:t>
      </w:r>
      <w:r>
        <w:rPr>
          <w:rFonts w:hint="eastAsia" w:cs="宋体"/>
          <w:sz w:val="21"/>
          <w:szCs w:val="21"/>
        </w:rPr>
        <w:tab/>
      </w:r>
      <w:r>
        <w:rPr>
          <w:rFonts w:hint="eastAsia" w:cs="宋体"/>
          <w:sz w:val="21"/>
          <w:szCs w:val="21"/>
        </w:rPr>
        <w:fldChar w:fldCharType="begin"/>
      </w:r>
      <w:r>
        <w:rPr>
          <w:rFonts w:hint="eastAsia" w:cs="宋体"/>
          <w:sz w:val="21"/>
          <w:szCs w:val="21"/>
        </w:rPr>
        <w:instrText xml:space="preserve"> PAGEREF _Toc29446 \h </w:instrText>
      </w:r>
      <w:r>
        <w:rPr>
          <w:rFonts w:hint="eastAsia" w:cs="宋体"/>
          <w:sz w:val="21"/>
          <w:szCs w:val="21"/>
        </w:rPr>
        <w:fldChar w:fldCharType="separate"/>
      </w:r>
      <w:r>
        <w:rPr>
          <w:rFonts w:hint="eastAsia" w:cs="宋体"/>
          <w:sz w:val="21"/>
          <w:szCs w:val="21"/>
        </w:rPr>
        <w:t>86</w:t>
      </w:r>
      <w:r>
        <w:rPr>
          <w:rFonts w:hint="eastAsia" w:cs="宋体"/>
          <w:sz w:val="21"/>
          <w:szCs w:val="21"/>
        </w:rPr>
        <w:fldChar w:fldCharType="end"/>
      </w:r>
      <w:r>
        <w:rPr>
          <w:rFonts w:hint="eastAsia" w:ascii="宋体" w:hAnsi="宋体" w:eastAsia="宋体" w:cs="宋体"/>
          <w:color w:val="auto"/>
          <w:sz w:val="21"/>
          <w:szCs w:val="21"/>
          <w:highlight w:val="none"/>
        </w:rPr>
        <w:fldChar w:fldCharType="end"/>
      </w:r>
    </w:p>
    <w:p w14:paraId="3F9A1696">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_Toc16689 </w:instrText>
      </w:r>
      <w:r>
        <w:rPr>
          <w:rFonts w:hint="eastAsia" w:ascii="宋体" w:hAnsi="宋体" w:eastAsia="宋体" w:cs="宋体"/>
          <w:szCs w:val="21"/>
          <w:highlight w:val="none"/>
        </w:rPr>
        <w:fldChar w:fldCharType="separate"/>
      </w:r>
      <w:r>
        <w:rPr>
          <w:rFonts w:hint="eastAsia" w:ascii="宋体" w:hAnsi="宋体" w:cs="宋体"/>
          <w:szCs w:val="21"/>
          <w:highlight w:val="none"/>
        </w:rPr>
        <w:t>附件</w:t>
      </w:r>
      <w:r>
        <w:rPr>
          <w:rFonts w:hint="eastAsia" w:ascii="宋体" w:hAnsi="宋体" w:cs="宋体"/>
          <w:szCs w:val="21"/>
          <w:highlight w:val="none"/>
          <w:lang w:val="en-US" w:eastAsia="zh-CN"/>
        </w:rPr>
        <w:t>3</w:t>
      </w:r>
      <w:r>
        <w:rPr>
          <w:rFonts w:hint="eastAsia" w:ascii="宋体" w:hAnsi="宋体" w:cs="宋体"/>
          <w:szCs w:val="21"/>
          <w:highlight w:val="none"/>
        </w:rPr>
        <w:t>.投标书格式</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_Toc16689 \h </w:instrText>
      </w:r>
      <w:r>
        <w:rPr>
          <w:rFonts w:hint="eastAsia" w:ascii="宋体" w:hAnsi="宋体" w:cs="宋体"/>
          <w:szCs w:val="21"/>
        </w:rPr>
        <w:fldChar w:fldCharType="separate"/>
      </w:r>
      <w:r>
        <w:rPr>
          <w:rFonts w:hint="eastAsia" w:ascii="宋体" w:hAnsi="宋体" w:cs="宋体"/>
          <w:szCs w:val="21"/>
        </w:rPr>
        <w:t>87</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74B776E2">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_Toc6377 </w:instrText>
      </w:r>
      <w:r>
        <w:rPr>
          <w:rFonts w:hint="eastAsia" w:ascii="宋体" w:hAnsi="宋体" w:eastAsia="宋体" w:cs="宋体"/>
          <w:szCs w:val="21"/>
          <w:highlight w:val="none"/>
        </w:rPr>
        <w:fldChar w:fldCharType="separate"/>
      </w:r>
      <w:r>
        <w:rPr>
          <w:rFonts w:hint="eastAsia" w:ascii="宋体" w:hAnsi="宋体" w:cs="宋体"/>
          <w:szCs w:val="21"/>
          <w:highlight w:val="none"/>
        </w:rPr>
        <w:t>附件</w:t>
      </w:r>
      <w:r>
        <w:rPr>
          <w:rFonts w:hint="eastAsia" w:ascii="宋体" w:hAnsi="宋体" w:cs="宋体"/>
          <w:szCs w:val="21"/>
          <w:highlight w:val="none"/>
          <w:lang w:val="en-US" w:eastAsia="zh-CN"/>
        </w:rPr>
        <w:t>4</w:t>
      </w:r>
      <w:r>
        <w:rPr>
          <w:rFonts w:hint="eastAsia" w:ascii="宋体" w:hAnsi="宋体" w:cs="宋体"/>
          <w:szCs w:val="21"/>
          <w:highlight w:val="none"/>
        </w:rPr>
        <w:t>. 法定代表人证明书格式</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_Toc6377 \h </w:instrText>
      </w:r>
      <w:r>
        <w:rPr>
          <w:rFonts w:hint="eastAsia" w:ascii="宋体" w:hAnsi="宋体" w:cs="宋体"/>
          <w:szCs w:val="21"/>
        </w:rPr>
        <w:fldChar w:fldCharType="separate"/>
      </w:r>
      <w:r>
        <w:rPr>
          <w:rFonts w:hint="eastAsia" w:ascii="宋体" w:hAnsi="宋体" w:cs="宋体"/>
          <w:szCs w:val="21"/>
        </w:rPr>
        <w:t>88</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247AF70C">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_Toc787 </w:instrText>
      </w:r>
      <w:r>
        <w:rPr>
          <w:rFonts w:hint="eastAsia" w:ascii="宋体" w:hAnsi="宋体" w:eastAsia="宋体" w:cs="宋体"/>
          <w:szCs w:val="21"/>
          <w:highlight w:val="none"/>
        </w:rPr>
        <w:fldChar w:fldCharType="separate"/>
      </w:r>
      <w:r>
        <w:rPr>
          <w:rFonts w:hint="eastAsia" w:ascii="宋体" w:hAnsi="宋体" w:cs="宋体"/>
          <w:szCs w:val="21"/>
          <w:highlight w:val="none"/>
        </w:rPr>
        <w:t>附件</w:t>
      </w:r>
      <w:r>
        <w:rPr>
          <w:rFonts w:hint="eastAsia" w:ascii="宋体" w:hAnsi="宋体" w:cs="宋体"/>
          <w:szCs w:val="21"/>
          <w:highlight w:val="none"/>
          <w:lang w:val="en-US" w:eastAsia="zh-CN"/>
        </w:rPr>
        <w:t>5</w:t>
      </w:r>
      <w:r>
        <w:rPr>
          <w:rFonts w:hint="eastAsia" w:ascii="宋体" w:hAnsi="宋体" w:cs="宋体"/>
          <w:szCs w:val="21"/>
          <w:highlight w:val="none"/>
        </w:rPr>
        <w:t>.法定代表人授权书格式</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_Toc787 \h </w:instrText>
      </w:r>
      <w:r>
        <w:rPr>
          <w:rFonts w:hint="eastAsia" w:ascii="宋体" w:hAnsi="宋体" w:cs="宋体"/>
          <w:szCs w:val="21"/>
        </w:rPr>
        <w:fldChar w:fldCharType="separate"/>
      </w:r>
      <w:r>
        <w:rPr>
          <w:rFonts w:hint="eastAsia" w:ascii="宋体" w:hAnsi="宋体" w:cs="宋体"/>
          <w:szCs w:val="21"/>
        </w:rPr>
        <w:t>89</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4752F22B">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_Toc18232 </w:instrText>
      </w:r>
      <w:r>
        <w:rPr>
          <w:rFonts w:hint="eastAsia" w:ascii="宋体" w:hAnsi="宋体" w:eastAsia="宋体" w:cs="宋体"/>
          <w:szCs w:val="21"/>
          <w:highlight w:val="none"/>
        </w:rPr>
        <w:fldChar w:fldCharType="separate"/>
      </w:r>
      <w:r>
        <w:rPr>
          <w:rFonts w:hint="eastAsia" w:ascii="宋体" w:hAnsi="宋体" w:cs="宋体"/>
          <w:szCs w:val="21"/>
          <w:highlight w:val="none"/>
        </w:rPr>
        <w:t>附件</w:t>
      </w:r>
      <w:r>
        <w:rPr>
          <w:rFonts w:hint="eastAsia" w:ascii="宋体" w:hAnsi="宋体" w:cs="宋体"/>
          <w:szCs w:val="21"/>
          <w:highlight w:val="none"/>
          <w:lang w:val="en-US" w:eastAsia="zh-CN"/>
        </w:rPr>
        <w:t>6</w:t>
      </w:r>
      <w:r>
        <w:rPr>
          <w:rFonts w:hint="eastAsia" w:ascii="宋体" w:hAnsi="宋体" w:cs="宋体"/>
          <w:szCs w:val="21"/>
          <w:highlight w:val="none"/>
        </w:rPr>
        <w:t>.资格申明</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_Toc18232 \h </w:instrText>
      </w:r>
      <w:r>
        <w:rPr>
          <w:rFonts w:hint="eastAsia" w:ascii="宋体" w:hAnsi="宋体" w:cs="宋体"/>
          <w:szCs w:val="21"/>
        </w:rPr>
        <w:fldChar w:fldCharType="separate"/>
      </w:r>
      <w:r>
        <w:rPr>
          <w:rFonts w:hint="eastAsia" w:ascii="宋体" w:hAnsi="宋体" w:cs="宋体"/>
          <w:szCs w:val="21"/>
        </w:rPr>
        <w:t>90</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201BD55D">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_Toc12752 </w:instrText>
      </w:r>
      <w:r>
        <w:rPr>
          <w:rFonts w:hint="eastAsia" w:ascii="宋体" w:hAnsi="宋体" w:eastAsia="宋体" w:cs="宋体"/>
          <w:szCs w:val="21"/>
          <w:highlight w:val="none"/>
        </w:rPr>
        <w:fldChar w:fldCharType="separate"/>
      </w:r>
      <w:r>
        <w:rPr>
          <w:rFonts w:hint="eastAsia" w:ascii="宋体" w:hAnsi="宋体" w:cs="宋体"/>
          <w:szCs w:val="21"/>
          <w:highlight w:val="none"/>
        </w:rPr>
        <w:t>附件</w:t>
      </w:r>
      <w:r>
        <w:rPr>
          <w:rFonts w:hint="eastAsia" w:ascii="宋体" w:hAnsi="宋体" w:cs="宋体"/>
          <w:szCs w:val="21"/>
          <w:highlight w:val="none"/>
          <w:lang w:val="en-US" w:eastAsia="zh-CN"/>
        </w:rPr>
        <w:t>7</w:t>
      </w:r>
      <w:r>
        <w:rPr>
          <w:rFonts w:hint="eastAsia" w:ascii="宋体" w:hAnsi="宋体" w:cs="宋体"/>
          <w:szCs w:val="21"/>
          <w:highlight w:val="none"/>
        </w:rPr>
        <w:t>.营业执照</w:t>
      </w:r>
      <w:r>
        <w:rPr>
          <w:rFonts w:hint="eastAsia" w:ascii="宋体" w:hAnsi="宋体" w:cs="宋体"/>
          <w:szCs w:val="21"/>
          <w:highlight w:val="none"/>
          <w:lang w:eastAsia="zh-CN"/>
        </w:rPr>
        <w:t>、道路运输经营许可证</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_Toc12752 \h </w:instrText>
      </w:r>
      <w:r>
        <w:rPr>
          <w:rFonts w:hint="eastAsia" w:ascii="宋体" w:hAnsi="宋体" w:cs="宋体"/>
          <w:szCs w:val="21"/>
        </w:rPr>
        <w:fldChar w:fldCharType="separate"/>
      </w:r>
      <w:r>
        <w:rPr>
          <w:rFonts w:hint="eastAsia" w:ascii="宋体" w:hAnsi="宋体" w:cs="宋体"/>
          <w:szCs w:val="21"/>
        </w:rPr>
        <w:t>91</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7C3A2F59">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_Toc20515 </w:instrText>
      </w:r>
      <w:r>
        <w:rPr>
          <w:rFonts w:hint="eastAsia" w:ascii="宋体" w:hAnsi="宋体" w:eastAsia="宋体" w:cs="宋体"/>
          <w:szCs w:val="21"/>
          <w:highlight w:val="none"/>
        </w:rPr>
        <w:fldChar w:fldCharType="separate"/>
      </w:r>
      <w:r>
        <w:rPr>
          <w:rFonts w:hint="eastAsia" w:ascii="宋体" w:hAnsi="宋体" w:cs="宋体"/>
          <w:szCs w:val="21"/>
          <w:highlight w:val="none"/>
        </w:rPr>
        <w:t>附件</w:t>
      </w:r>
      <w:r>
        <w:rPr>
          <w:rFonts w:hint="eastAsia" w:ascii="宋体" w:hAnsi="宋体" w:cs="宋体"/>
          <w:szCs w:val="21"/>
          <w:highlight w:val="none"/>
          <w:lang w:val="en-US" w:eastAsia="zh-CN"/>
        </w:rPr>
        <w:t>8</w:t>
      </w:r>
      <w:r>
        <w:rPr>
          <w:rFonts w:hint="eastAsia" w:ascii="宋体" w:hAnsi="宋体" w:cs="宋体"/>
          <w:szCs w:val="21"/>
          <w:highlight w:val="none"/>
        </w:rPr>
        <w:t>.在经营活动中没有重大违法记录的书面声明格式</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_Toc20515 \h </w:instrText>
      </w:r>
      <w:r>
        <w:rPr>
          <w:rFonts w:hint="eastAsia" w:ascii="宋体" w:hAnsi="宋体" w:cs="宋体"/>
          <w:szCs w:val="21"/>
        </w:rPr>
        <w:fldChar w:fldCharType="separate"/>
      </w:r>
      <w:r>
        <w:rPr>
          <w:rFonts w:hint="eastAsia" w:ascii="宋体" w:hAnsi="宋体" w:cs="宋体"/>
          <w:szCs w:val="21"/>
        </w:rPr>
        <w:t>92</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6216FD07">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_Toc4423 </w:instrText>
      </w:r>
      <w:r>
        <w:rPr>
          <w:rFonts w:hint="eastAsia" w:ascii="宋体" w:hAnsi="宋体" w:eastAsia="宋体" w:cs="宋体"/>
          <w:szCs w:val="21"/>
          <w:highlight w:val="none"/>
        </w:rPr>
        <w:fldChar w:fldCharType="separate"/>
      </w:r>
      <w:r>
        <w:rPr>
          <w:rFonts w:hint="eastAsia" w:ascii="宋体" w:hAnsi="宋体" w:cs="宋体"/>
          <w:szCs w:val="21"/>
          <w:highlight w:val="none"/>
          <w:lang w:val="en-US" w:eastAsia="zh-CN"/>
        </w:rPr>
        <w:t>附件9.纳税证明和无欠税证明。</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_Toc4423 \h </w:instrText>
      </w:r>
      <w:r>
        <w:rPr>
          <w:rFonts w:hint="eastAsia" w:ascii="宋体" w:hAnsi="宋体" w:cs="宋体"/>
          <w:szCs w:val="21"/>
        </w:rPr>
        <w:fldChar w:fldCharType="separate"/>
      </w:r>
      <w:r>
        <w:rPr>
          <w:rFonts w:hint="eastAsia" w:ascii="宋体" w:hAnsi="宋体" w:cs="宋体"/>
          <w:szCs w:val="21"/>
        </w:rPr>
        <w:t>93</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1242E8ED">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_Toc5677 </w:instrText>
      </w:r>
      <w:r>
        <w:rPr>
          <w:rFonts w:hint="eastAsia" w:ascii="宋体" w:hAnsi="宋体" w:eastAsia="宋体" w:cs="宋体"/>
          <w:szCs w:val="21"/>
          <w:highlight w:val="none"/>
        </w:rPr>
        <w:fldChar w:fldCharType="separate"/>
      </w:r>
      <w:r>
        <w:rPr>
          <w:rFonts w:hint="eastAsia" w:ascii="宋体" w:hAnsi="宋体" w:cs="宋体"/>
          <w:szCs w:val="21"/>
          <w:highlight w:val="none"/>
        </w:rPr>
        <w:t>附件</w:t>
      </w:r>
      <w:r>
        <w:rPr>
          <w:rFonts w:hint="eastAsia" w:ascii="宋体" w:hAnsi="宋体" w:cs="宋体"/>
          <w:szCs w:val="21"/>
          <w:highlight w:val="none"/>
          <w:lang w:val="en-US" w:eastAsia="zh-CN"/>
        </w:rPr>
        <w:t>10</w:t>
      </w:r>
      <w:r>
        <w:rPr>
          <w:rFonts w:hint="eastAsia" w:ascii="宋体" w:hAnsi="宋体" w:cs="宋体"/>
          <w:szCs w:val="21"/>
          <w:highlight w:val="none"/>
        </w:rPr>
        <w:t>.2023年固废平台运输量截图</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_Toc5677 \h </w:instrText>
      </w:r>
      <w:r>
        <w:rPr>
          <w:rFonts w:hint="eastAsia" w:ascii="宋体" w:hAnsi="宋体" w:cs="宋体"/>
          <w:szCs w:val="21"/>
        </w:rPr>
        <w:fldChar w:fldCharType="separate"/>
      </w:r>
      <w:r>
        <w:rPr>
          <w:rFonts w:hint="eastAsia" w:ascii="宋体" w:hAnsi="宋体" w:cs="宋体"/>
          <w:szCs w:val="21"/>
        </w:rPr>
        <w:t>94</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2DAA8C9C">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_Toc6263 </w:instrText>
      </w:r>
      <w:r>
        <w:rPr>
          <w:rFonts w:hint="eastAsia" w:ascii="宋体" w:hAnsi="宋体" w:eastAsia="宋体" w:cs="宋体"/>
          <w:szCs w:val="21"/>
          <w:highlight w:val="none"/>
        </w:rPr>
        <w:fldChar w:fldCharType="separate"/>
      </w:r>
      <w:r>
        <w:rPr>
          <w:rFonts w:hint="eastAsia" w:ascii="宋体" w:hAnsi="宋体" w:cs="宋体"/>
          <w:szCs w:val="21"/>
          <w:highlight w:val="none"/>
        </w:rPr>
        <w:t>附件1</w:t>
      </w:r>
      <w:r>
        <w:rPr>
          <w:rFonts w:hint="eastAsia" w:ascii="宋体" w:hAnsi="宋体" w:cs="宋体"/>
          <w:szCs w:val="21"/>
          <w:highlight w:val="none"/>
          <w:lang w:val="en-US" w:eastAsia="zh-CN"/>
        </w:rPr>
        <w:t>1</w:t>
      </w:r>
      <w:r>
        <w:rPr>
          <w:rFonts w:hint="eastAsia" w:ascii="宋体" w:hAnsi="宋体" w:cs="宋体"/>
          <w:szCs w:val="21"/>
          <w:highlight w:val="none"/>
        </w:rPr>
        <w:t>.商务需求条款偏离表格式</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_Toc6263 \h </w:instrText>
      </w:r>
      <w:r>
        <w:rPr>
          <w:rFonts w:hint="eastAsia" w:ascii="宋体" w:hAnsi="宋体" w:cs="宋体"/>
          <w:szCs w:val="21"/>
        </w:rPr>
        <w:fldChar w:fldCharType="separate"/>
      </w:r>
      <w:r>
        <w:rPr>
          <w:rFonts w:hint="eastAsia" w:ascii="宋体" w:hAnsi="宋体" w:cs="宋体"/>
          <w:szCs w:val="21"/>
        </w:rPr>
        <w:t>97</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44DB1FA0">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_Toc24792 </w:instrText>
      </w:r>
      <w:r>
        <w:rPr>
          <w:rFonts w:hint="eastAsia" w:ascii="宋体" w:hAnsi="宋体" w:eastAsia="宋体" w:cs="宋体"/>
          <w:szCs w:val="21"/>
          <w:highlight w:val="none"/>
        </w:rPr>
        <w:fldChar w:fldCharType="separate"/>
      </w:r>
      <w:r>
        <w:rPr>
          <w:rFonts w:hint="eastAsia" w:ascii="宋体" w:hAnsi="宋体" w:cs="宋体"/>
          <w:szCs w:val="21"/>
          <w:highlight w:val="none"/>
        </w:rPr>
        <w:t>附件</w:t>
      </w:r>
      <w:r>
        <w:rPr>
          <w:rFonts w:hint="eastAsia" w:ascii="宋体" w:hAnsi="宋体" w:cs="宋体"/>
          <w:szCs w:val="21"/>
          <w:highlight w:val="none"/>
          <w:lang w:val="en-US" w:eastAsia="zh-CN"/>
        </w:rPr>
        <w:t>12</w:t>
      </w:r>
      <w:r>
        <w:rPr>
          <w:rFonts w:hint="eastAsia" w:ascii="宋体" w:hAnsi="宋体" w:cs="宋体"/>
          <w:szCs w:val="21"/>
          <w:highlight w:val="none"/>
        </w:rPr>
        <w:t>.相关资质证明文件</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_Toc24792 \h </w:instrText>
      </w:r>
      <w:r>
        <w:rPr>
          <w:rFonts w:hint="eastAsia" w:ascii="宋体" w:hAnsi="宋体" w:cs="宋体"/>
          <w:szCs w:val="21"/>
        </w:rPr>
        <w:fldChar w:fldCharType="separate"/>
      </w:r>
      <w:r>
        <w:rPr>
          <w:rFonts w:hint="eastAsia" w:ascii="宋体" w:hAnsi="宋体" w:cs="宋体"/>
          <w:szCs w:val="21"/>
        </w:rPr>
        <w:t>98</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4BD9168B">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_Toc21350 </w:instrText>
      </w:r>
      <w:r>
        <w:rPr>
          <w:rFonts w:hint="eastAsia" w:ascii="宋体" w:hAnsi="宋体" w:eastAsia="宋体" w:cs="宋体"/>
          <w:szCs w:val="21"/>
          <w:highlight w:val="none"/>
        </w:rPr>
        <w:fldChar w:fldCharType="separate"/>
      </w:r>
      <w:r>
        <w:rPr>
          <w:rFonts w:hint="eastAsia" w:ascii="宋体" w:hAnsi="宋体" w:cs="宋体"/>
          <w:szCs w:val="21"/>
          <w:highlight w:val="none"/>
        </w:rPr>
        <w:t>附件</w:t>
      </w:r>
      <w:r>
        <w:rPr>
          <w:rFonts w:hint="eastAsia" w:ascii="宋体" w:hAnsi="宋体" w:cs="宋体"/>
          <w:szCs w:val="21"/>
          <w:highlight w:val="none"/>
          <w:lang w:val="en-US" w:eastAsia="zh-CN"/>
        </w:rPr>
        <w:t>13</w:t>
      </w:r>
      <w:r>
        <w:rPr>
          <w:rFonts w:hint="eastAsia" w:ascii="宋体" w:hAnsi="宋体" w:cs="宋体"/>
          <w:szCs w:val="21"/>
          <w:highlight w:val="none"/>
        </w:rPr>
        <w:t>.投标保证金汇入情况说明格式</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_Toc21350 \h </w:instrText>
      </w:r>
      <w:r>
        <w:rPr>
          <w:rFonts w:hint="eastAsia" w:ascii="宋体" w:hAnsi="宋体" w:cs="宋体"/>
          <w:szCs w:val="21"/>
        </w:rPr>
        <w:fldChar w:fldCharType="separate"/>
      </w:r>
      <w:r>
        <w:rPr>
          <w:rFonts w:hint="eastAsia" w:ascii="宋体" w:hAnsi="宋体" w:cs="宋体"/>
          <w:szCs w:val="21"/>
        </w:rPr>
        <w:t>99</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4724B505">
      <w:pPr>
        <w:pStyle w:val="22"/>
        <w:tabs>
          <w:tab w:val="right" w:leader="dot" w:pos="8306"/>
          <w:tab w:val="clear" w:pos="8296"/>
        </w:tabs>
        <w:rPr>
          <w:rFonts w:hint="eastAsia" w:cs="宋体"/>
          <w:sz w:val="21"/>
          <w:szCs w:val="21"/>
        </w:rPr>
      </w:pPr>
      <w:r>
        <w:rPr>
          <w:rFonts w:hint="eastAsia" w:ascii="宋体" w:hAnsi="宋体" w:eastAsia="宋体" w:cs="宋体"/>
          <w:color w:val="auto"/>
          <w:sz w:val="21"/>
          <w:szCs w:val="21"/>
          <w:highlight w:val="none"/>
        </w:rPr>
        <w:fldChar w:fldCharType="begin"/>
      </w:r>
      <w:r>
        <w:rPr>
          <w:rFonts w:hint="eastAsia" w:ascii="宋体" w:hAnsi="宋体" w:eastAsia="宋体" w:cs="宋体"/>
          <w:sz w:val="21"/>
          <w:szCs w:val="21"/>
          <w:highlight w:val="none"/>
        </w:rPr>
        <w:instrText xml:space="preserve"> HYPERLINK \l _Toc11352 </w:instrText>
      </w:r>
      <w:r>
        <w:rPr>
          <w:rFonts w:hint="eastAsia" w:ascii="宋体" w:hAnsi="宋体" w:eastAsia="宋体" w:cs="宋体"/>
          <w:sz w:val="21"/>
          <w:szCs w:val="21"/>
          <w:highlight w:val="none"/>
        </w:rPr>
        <w:fldChar w:fldCharType="separate"/>
      </w:r>
      <w:r>
        <w:rPr>
          <w:rFonts w:hint="eastAsia" w:cs="宋体"/>
          <w:sz w:val="21"/>
          <w:szCs w:val="21"/>
          <w:highlight w:val="none"/>
        </w:rPr>
        <w:t>技术文件</w:t>
      </w:r>
      <w:r>
        <w:rPr>
          <w:rFonts w:hint="eastAsia" w:cs="宋体"/>
          <w:sz w:val="21"/>
          <w:szCs w:val="21"/>
        </w:rPr>
        <w:tab/>
      </w:r>
      <w:r>
        <w:rPr>
          <w:rFonts w:hint="eastAsia" w:cs="宋体"/>
          <w:sz w:val="21"/>
          <w:szCs w:val="21"/>
        </w:rPr>
        <w:fldChar w:fldCharType="begin"/>
      </w:r>
      <w:r>
        <w:rPr>
          <w:rFonts w:hint="eastAsia" w:cs="宋体"/>
          <w:sz w:val="21"/>
          <w:szCs w:val="21"/>
        </w:rPr>
        <w:instrText xml:space="preserve"> PAGEREF _Toc11352 \h </w:instrText>
      </w:r>
      <w:r>
        <w:rPr>
          <w:rFonts w:hint="eastAsia" w:cs="宋体"/>
          <w:sz w:val="21"/>
          <w:szCs w:val="21"/>
        </w:rPr>
        <w:fldChar w:fldCharType="separate"/>
      </w:r>
      <w:r>
        <w:rPr>
          <w:rFonts w:hint="eastAsia" w:cs="宋体"/>
          <w:sz w:val="21"/>
          <w:szCs w:val="21"/>
        </w:rPr>
        <w:t>101</w:t>
      </w:r>
      <w:r>
        <w:rPr>
          <w:rFonts w:hint="eastAsia" w:cs="宋体"/>
          <w:sz w:val="21"/>
          <w:szCs w:val="21"/>
        </w:rPr>
        <w:fldChar w:fldCharType="end"/>
      </w:r>
      <w:r>
        <w:rPr>
          <w:rFonts w:hint="eastAsia" w:ascii="宋体" w:hAnsi="宋体" w:eastAsia="宋体" w:cs="宋体"/>
          <w:color w:val="auto"/>
          <w:sz w:val="21"/>
          <w:szCs w:val="21"/>
          <w:highlight w:val="none"/>
        </w:rPr>
        <w:fldChar w:fldCharType="end"/>
      </w:r>
    </w:p>
    <w:p w14:paraId="6D62A603">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_Toc5277 </w:instrText>
      </w:r>
      <w:r>
        <w:rPr>
          <w:rFonts w:hint="eastAsia" w:ascii="宋体" w:hAnsi="宋体" w:eastAsia="宋体" w:cs="宋体"/>
          <w:szCs w:val="21"/>
          <w:highlight w:val="none"/>
        </w:rPr>
        <w:fldChar w:fldCharType="separate"/>
      </w:r>
      <w:r>
        <w:rPr>
          <w:rFonts w:hint="eastAsia" w:ascii="宋体" w:hAnsi="宋体" w:cs="宋体"/>
          <w:szCs w:val="21"/>
          <w:highlight w:val="none"/>
        </w:rPr>
        <w:t>附件</w:t>
      </w:r>
      <w:r>
        <w:rPr>
          <w:rFonts w:hint="eastAsia" w:ascii="宋体" w:hAnsi="宋体" w:cs="宋体"/>
          <w:szCs w:val="21"/>
          <w:highlight w:val="none"/>
          <w:lang w:val="en-US" w:eastAsia="zh-CN"/>
        </w:rPr>
        <w:t>14</w:t>
      </w:r>
      <w:r>
        <w:rPr>
          <w:rFonts w:hint="eastAsia" w:ascii="宋体" w:hAnsi="宋体" w:cs="宋体"/>
          <w:szCs w:val="21"/>
          <w:highlight w:val="none"/>
        </w:rPr>
        <w:t>.拟投入本项目的运输人员及运输车辆情况表格式</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_Toc5277 \h </w:instrText>
      </w:r>
      <w:r>
        <w:rPr>
          <w:rFonts w:hint="eastAsia" w:ascii="宋体" w:hAnsi="宋体" w:cs="宋体"/>
          <w:szCs w:val="21"/>
        </w:rPr>
        <w:fldChar w:fldCharType="separate"/>
      </w:r>
      <w:r>
        <w:rPr>
          <w:rFonts w:hint="eastAsia" w:ascii="宋体" w:hAnsi="宋体" w:cs="宋体"/>
          <w:szCs w:val="21"/>
        </w:rPr>
        <w:t>102</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46508A1B">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_Toc13232 </w:instrText>
      </w:r>
      <w:r>
        <w:rPr>
          <w:rFonts w:hint="eastAsia" w:ascii="宋体" w:hAnsi="宋体" w:eastAsia="宋体" w:cs="宋体"/>
          <w:szCs w:val="21"/>
          <w:highlight w:val="none"/>
        </w:rPr>
        <w:fldChar w:fldCharType="separate"/>
      </w:r>
      <w:r>
        <w:rPr>
          <w:rFonts w:hint="eastAsia" w:ascii="宋体" w:hAnsi="宋体" w:cs="宋体"/>
          <w:szCs w:val="21"/>
          <w:highlight w:val="none"/>
        </w:rPr>
        <w:t>附件1</w:t>
      </w:r>
      <w:r>
        <w:rPr>
          <w:rFonts w:hint="eastAsia" w:ascii="宋体" w:hAnsi="宋体" w:cs="宋体"/>
          <w:szCs w:val="21"/>
          <w:highlight w:val="none"/>
          <w:lang w:val="en-US" w:eastAsia="zh-CN"/>
        </w:rPr>
        <w:t>5</w:t>
      </w:r>
      <w:r>
        <w:rPr>
          <w:rFonts w:hint="eastAsia" w:ascii="宋体" w:hAnsi="宋体" w:cs="宋体"/>
          <w:szCs w:val="21"/>
          <w:highlight w:val="none"/>
        </w:rPr>
        <w:t>.</w:t>
      </w:r>
      <w:r>
        <w:rPr>
          <w:rFonts w:hint="eastAsia" w:ascii="宋体" w:hAnsi="宋体" w:cs="宋体"/>
          <w:szCs w:val="21"/>
          <w:highlight w:val="none"/>
          <w:lang w:eastAsia="zh-CN"/>
        </w:rPr>
        <w:t>“</w:t>
      </w:r>
      <w:r>
        <w:rPr>
          <w:rFonts w:hint="eastAsia" w:ascii="宋体" w:hAnsi="宋体" w:cs="宋体"/>
          <w:szCs w:val="21"/>
          <w:highlight w:val="none"/>
        </w:rPr>
        <w:t>★</w:t>
      </w:r>
      <w:r>
        <w:rPr>
          <w:rFonts w:hint="eastAsia" w:ascii="宋体" w:hAnsi="宋体" w:cs="宋体"/>
          <w:szCs w:val="21"/>
          <w:highlight w:val="none"/>
          <w:lang w:eastAsia="zh-CN"/>
        </w:rPr>
        <w:t>”</w:t>
      </w:r>
      <w:r>
        <w:rPr>
          <w:rFonts w:hint="eastAsia" w:ascii="宋体" w:hAnsi="宋体" w:cs="宋体"/>
          <w:szCs w:val="21"/>
          <w:highlight w:val="none"/>
        </w:rPr>
        <w:t>条款</w:t>
      </w:r>
      <w:r>
        <w:rPr>
          <w:rFonts w:hint="eastAsia" w:ascii="宋体" w:hAnsi="宋体" w:cs="宋体"/>
          <w:szCs w:val="21"/>
          <w:highlight w:val="none"/>
          <w:lang w:val="en-US" w:eastAsia="zh-CN"/>
        </w:rPr>
        <w:t>响应</w:t>
      </w:r>
      <w:r>
        <w:rPr>
          <w:rFonts w:hint="eastAsia" w:ascii="宋体" w:hAnsi="宋体" w:cs="宋体"/>
          <w:szCs w:val="21"/>
          <w:highlight w:val="none"/>
        </w:rPr>
        <w:t>表格式</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_Toc13232 \h </w:instrText>
      </w:r>
      <w:r>
        <w:rPr>
          <w:rFonts w:hint="eastAsia" w:ascii="宋体" w:hAnsi="宋体" w:cs="宋体"/>
          <w:szCs w:val="21"/>
        </w:rPr>
        <w:fldChar w:fldCharType="separate"/>
      </w:r>
      <w:r>
        <w:rPr>
          <w:rFonts w:hint="eastAsia" w:ascii="宋体" w:hAnsi="宋体" w:cs="宋体"/>
          <w:szCs w:val="21"/>
        </w:rPr>
        <w:t>105</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40DFE880">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_Toc31557 </w:instrText>
      </w:r>
      <w:r>
        <w:rPr>
          <w:rFonts w:hint="eastAsia" w:ascii="宋体" w:hAnsi="宋体" w:eastAsia="宋体" w:cs="宋体"/>
          <w:szCs w:val="21"/>
          <w:highlight w:val="none"/>
        </w:rPr>
        <w:fldChar w:fldCharType="separate"/>
      </w:r>
      <w:r>
        <w:rPr>
          <w:rFonts w:hint="eastAsia" w:ascii="宋体" w:hAnsi="宋体" w:cs="宋体"/>
          <w:szCs w:val="21"/>
          <w:highlight w:val="none"/>
        </w:rPr>
        <w:t>附件</w:t>
      </w:r>
      <w:r>
        <w:rPr>
          <w:rFonts w:hint="eastAsia" w:ascii="宋体" w:hAnsi="宋体" w:cs="宋体"/>
          <w:szCs w:val="21"/>
          <w:highlight w:val="none"/>
          <w:lang w:val="en-US" w:eastAsia="zh-CN"/>
        </w:rPr>
        <w:t>16</w:t>
      </w:r>
      <w:r>
        <w:rPr>
          <w:rFonts w:hint="eastAsia" w:ascii="宋体" w:hAnsi="宋体" w:cs="宋体"/>
          <w:szCs w:val="21"/>
          <w:highlight w:val="none"/>
        </w:rPr>
        <w:t>. 技术规格偏离表格式</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_Toc31557 \h </w:instrText>
      </w:r>
      <w:r>
        <w:rPr>
          <w:rFonts w:hint="eastAsia" w:ascii="宋体" w:hAnsi="宋体" w:cs="宋体"/>
          <w:szCs w:val="21"/>
        </w:rPr>
        <w:fldChar w:fldCharType="separate"/>
      </w:r>
      <w:r>
        <w:rPr>
          <w:rFonts w:hint="eastAsia" w:ascii="宋体" w:hAnsi="宋体" w:cs="宋体"/>
          <w:szCs w:val="21"/>
        </w:rPr>
        <w:t>107</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775E9C34">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_Toc28872 </w:instrText>
      </w:r>
      <w:r>
        <w:rPr>
          <w:rFonts w:hint="eastAsia" w:ascii="宋体" w:hAnsi="宋体" w:eastAsia="宋体" w:cs="宋体"/>
          <w:szCs w:val="21"/>
          <w:highlight w:val="none"/>
        </w:rPr>
        <w:fldChar w:fldCharType="separate"/>
      </w:r>
      <w:r>
        <w:rPr>
          <w:rFonts w:hint="eastAsia" w:ascii="宋体" w:hAnsi="宋体" w:cs="宋体"/>
          <w:bCs/>
          <w:szCs w:val="21"/>
          <w:highlight w:val="none"/>
        </w:rPr>
        <w:t>附件</w:t>
      </w:r>
      <w:r>
        <w:rPr>
          <w:rFonts w:hint="eastAsia" w:ascii="宋体" w:hAnsi="宋体" w:cs="宋体"/>
          <w:bCs/>
          <w:szCs w:val="21"/>
          <w:highlight w:val="none"/>
          <w:lang w:val="en-US" w:eastAsia="zh-CN"/>
        </w:rPr>
        <w:t>17</w:t>
      </w:r>
      <w:r>
        <w:rPr>
          <w:rFonts w:hint="eastAsia" w:ascii="宋体" w:hAnsi="宋体" w:cs="宋体"/>
          <w:bCs/>
          <w:szCs w:val="21"/>
          <w:highlight w:val="none"/>
        </w:rPr>
        <w:t>.项目实施方案格式</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_Toc28872 \h </w:instrText>
      </w:r>
      <w:r>
        <w:rPr>
          <w:rFonts w:hint="eastAsia" w:ascii="宋体" w:hAnsi="宋体" w:cs="宋体"/>
          <w:szCs w:val="21"/>
        </w:rPr>
        <w:fldChar w:fldCharType="separate"/>
      </w:r>
      <w:r>
        <w:rPr>
          <w:rFonts w:hint="eastAsia" w:ascii="宋体" w:hAnsi="宋体" w:cs="宋体"/>
          <w:szCs w:val="21"/>
        </w:rPr>
        <w:t>108</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737FD201">
      <w:pPr>
        <w:pStyle w:val="19"/>
        <w:tabs>
          <w:tab w:val="right" w:leader="dot" w:pos="8306"/>
          <w:tab w:val="clear" w:pos="8296"/>
        </w:tabs>
        <w:rPr>
          <w:rFonts w:hint="eastAsia" w:ascii="宋体" w:hAnsi="宋体" w:cs="宋体"/>
          <w:szCs w:val="21"/>
        </w:rPr>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_Toc15205 </w:instrText>
      </w:r>
      <w:r>
        <w:rPr>
          <w:rFonts w:hint="eastAsia" w:ascii="宋体" w:hAnsi="宋体" w:eastAsia="宋体" w:cs="宋体"/>
          <w:szCs w:val="21"/>
          <w:highlight w:val="none"/>
        </w:rPr>
        <w:fldChar w:fldCharType="separate"/>
      </w:r>
      <w:r>
        <w:rPr>
          <w:rFonts w:hint="eastAsia" w:ascii="宋体" w:hAnsi="宋体" w:cs="宋体"/>
          <w:bCs/>
          <w:szCs w:val="21"/>
          <w:highlight w:val="none"/>
        </w:rPr>
        <w:t>附件</w:t>
      </w:r>
      <w:r>
        <w:rPr>
          <w:rFonts w:hint="eastAsia" w:ascii="宋体" w:hAnsi="宋体" w:cs="宋体"/>
          <w:bCs/>
          <w:szCs w:val="21"/>
          <w:highlight w:val="none"/>
          <w:lang w:val="en-US" w:eastAsia="zh-CN"/>
        </w:rPr>
        <w:t>18</w:t>
      </w:r>
      <w:r>
        <w:rPr>
          <w:rFonts w:hint="eastAsia" w:ascii="宋体" w:hAnsi="宋体" w:cs="宋体"/>
          <w:bCs/>
          <w:szCs w:val="21"/>
          <w:highlight w:val="none"/>
        </w:rPr>
        <w:t>.</w:t>
      </w:r>
      <w:r>
        <w:rPr>
          <w:rFonts w:hint="eastAsia" w:ascii="宋体" w:hAnsi="宋体" w:cs="宋体"/>
          <w:bCs/>
          <w:szCs w:val="21"/>
          <w:highlight w:val="none"/>
          <w:lang w:val="en-US" w:eastAsia="zh-CN"/>
        </w:rPr>
        <w:t>安全生产相关资料</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_Toc15205 \h </w:instrText>
      </w:r>
      <w:r>
        <w:rPr>
          <w:rFonts w:hint="eastAsia" w:ascii="宋体" w:hAnsi="宋体" w:cs="宋体"/>
          <w:szCs w:val="21"/>
        </w:rPr>
        <w:fldChar w:fldCharType="separate"/>
      </w:r>
      <w:r>
        <w:rPr>
          <w:rFonts w:hint="eastAsia" w:ascii="宋体" w:hAnsi="宋体" w:cs="宋体"/>
          <w:szCs w:val="21"/>
        </w:rPr>
        <w:t>109</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7D52AB33">
      <w:pPr>
        <w:pStyle w:val="22"/>
        <w:tabs>
          <w:tab w:val="right" w:leader="dot" w:pos="8306"/>
          <w:tab w:val="clear" w:pos="8296"/>
        </w:tabs>
        <w:rPr>
          <w:rFonts w:hint="eastAsia" w:cs="宋体"/>
          <w:sz w:val="21"/>
          <w:szCs w:val="21"/>
        </w:rPr>
      </w:pPr>
      <w:r>
        <w:rPr>
          <w:rFonts w:hint="eastAsia" w:ascii="宋体" w:hAnsi="宋体" w:eastAsia="宋体" w:cs="宋体"/>
          <w:color w:val="auto"/>
          <w:sz w:val="21"/>
          <w:szCs w:val="21"/>
          <w:highlight w:val="none"/>
        </w:rPr>
        <w:fldChar w:fldCharType="begin"/>
      </w:r>
      <w:r>
        <w:rPr>
          <w:rFonts w:hint="eastAsia" w:ascii="宋体" w:hAnsi="宋体" w:eastAsia="宋体" w:cs="宋体"/>
          <w:sz w:val="21"/>
          <w:szCs w:val="21"/>
          <w:highlight w:val="none"/>
        </w:rPr>
        <w:instrText xml:space="preserve"> HYPERLINK \l _Toc27212 </w:instrText>
      </w:r>
      <w:r>
        <w:rPr>
          <w:rFonts w:hint="eastAsia" w:ascii="宋体" w:hAnsi="宋体" w:eastAsia="宋体" w:cs="宋体"/>
          <w:sz w:val="21"/>
          <w:szCs w:val="21"/>
          <w:highlight w:val="none"/>
        </w:rPr>
        <w:fldChar w:fldCharType="separate"/>
      </w:r>
      <w:r>
        <w:rPr>
          <w:rFonts w:hint="eastAsia" w:eastAsia="宋体" w:cs="宋体"/>
          <w:sz w:val="21"/>
          <w:szCs w:val="21"/>
          <w:highlight w:val="none"/>
        </w:rPr>
        <w:t>唱标信封</w:t>
      </w:r>
      <w:r>
        <w:rPr>
          <w:rFonts w:hint="eastAsia" w:cs="宋体"/>
          <w:sz w:val="21"/>
          <w:szCs w:val="21"/>
        </w:rPr>
        <w:tab/>
      </w:r>
      <w:r>
        <w:rPr>
          <w:rFonts w:hint="eastAsia" w:cs="宋体"/>
          <w:sz w:val="21"/>
          <w:szCs w:val="21"/>
        </w:rPr>
        <w:fldChar w:fldCharType="begin"/>
      </w:r>
      <w:r>
        <w:rPr>
          <w:rFonts w:hint="eastAsia" w:cs="宋体"/>
          <w:sz w:val="21"/>
          <w:szCs w:val="21"/>
        </w:rPr>
        <w:instrText xml:space="preserve"> PAGEREF _Toc27212 \h </w:instrText>
      </w:r>
      <w:r>
        <w:rPr>
          <w:rFonts w:hint="eastAsia" w:cs="宋体"/>
          <w:sz w:val="21"/>
          <w:szCs w:val="21"/>
        </w:rPr>
        <w:fldChar w:fldCharType="separate"/>
      </w:r>
      <w:r>
        <w:rPr>
          <w:rFonts w:hint="eastAsia" w:cs="宋体"/>
          <w:sz w:val="21"/>
          <w:szCs w:val="21"/>
        </w:rPr>
        <w:t>110</w:t>
      </w:r>
      <w:r>
        <w:rPr>
          <w:rFonts w:hint="eastAsia" w:cs="宋体"/>
          <w:sz w:val="21"/>
          <w:szCs w:val="21"/>
        </w:rPr>
        <w:fldChar w:fldCharType="end"/>
      </w:r>
      <w:r>
        <w:rPr>
          <w:rFonts w:hint="eastAsia" w:ascii="宋体" w:hAnsi="宋体" w:eastAsia="宋体" w:cs="宋体"/>
          <w:color w:val="auto"/>
          <w:sz w:val="21"/>
          <w:szCs w:val="21"/>
          <w:highlight w:val="none"/>
        </w:rPr>
        <w:fldChar w:fldCharType="end"/>
      </w:r>
    </w:p>
    <w:p w14:paraId="65A8FDF2">
      <w:pPr>
        <w:pStyle w:val="19"/>
        <w:tabs>
          <w:tab w:val="right" w:leader="dot" w:pos="8306"/>
          <w:tab w:val="clear" w:pos="8296"/>
        </w:tabs>
      </w:pPr>
      <w:r>
        <w:rPr>
          <w:rFonts w:hint="eastAsia" w:ascii="宋体" w:hAnsi="宋体" w:eastAsia="宋体" w:cs="宋体"/>
          <w:color w:val="auto"/>
          <w:szCs w:val="21"/>
          <w:highlight w:val="none"/>
        </w:rPr>
        <w:fldChar w:fldCharType="begin"/>
      </w:r>
      <w:r>
        <w:rPr>
          <w:rFonts w:hint="eastAsia" w:ascii="宋体" w:hAnsi="宋体" w:eastAsia="宋体" w:cs="宋体"/>
          <w:szCs w:val="21"/>
          <w:highlight w:val="none"/>
        </w:rPr>
        <w:instrText xml:space="preserve"> HYPERLINK \l _Toc9542 </w:instrText>
      </w:r>
      <w:r>
        <w:rPr>
          <w:rFonts w:hint="eastAsia" w:ascii="宋体" w:hAnsi="宋体" w:eastAsia="宋体" w:cs="宋体"/>
          <w:szCs w:val="21"/>
          <w:highlight w:val="none"/>
        </w:rPr>
        <w:fldChar w:fldCharType="separate"/>
      </w:r>
      <w:r>
        <w:rPr>
          <w:rFonts w:hint="eastAsia" w:ascii="宋体" w:hAnsi="宋体" w:cs="宋体"/>
          <w:szCs w:val="21"/>
          <w:highlight w:val="none"/>
        </w:rPr>
        <w:t>附件</w:t>
      </w:r>
      <w:r>
        <w:rPr>
          <w:rFonts w:hint="eastAsia" w:ascii="宋体" w:hAnsi="宋体" w:cs="宋体"/>
          <w:szCs w:val="21"/>
          <w:highlight w:val="none"/>
          <w:lang w:val="en-US" w:eastAsia="zh-CN"/>
        </w:rPr>
        <w:t>19</w:t>
      </w:r>
      <w:r>
        <w:rPr>
          <w:rFonts w:hint="eastAsia" w:ascii="宋体" w:hAnsi="宋体" w:cs="宋体"/>
          <w:szCs w:val="21"/>
          <w:highlight w:val="none"/>
        </w:rPr>
        <w:t>.唱标信封内装（内容务必与投标文件正本一致）</w:t>
      </w:r>
      <w:r>
        <w:rPr>
          <w:rFonts w:hint="eastAsia" w:ascii="宋体" w:hAnsi="宋体" w:cs="宋体"/>
          <w:szCs w:val="21"/>
        </w:rPr>
        <w:tab/>
      </w:r>
      <w:r>
        <w:rPr>
          <w:rFonts w:hint="eastAsia" w:ascii="宋体" w:hAnsi="宋体" w:cs="宋体"/>
          <w:szCs w:val="21"/>
        </w:rPr>
        <w:fldChar w:fldCharType="begin"/>
      </w:r>
      <w:r>
        <w:rPr>
          <w:rFonts w:hint="eastAsia" w:ascii="宋体" w:hAnsi="宋体" w:cs="宋体"/>
          <w:szCs w:val="21"/>
        </w:rPr>
        <w:instrText xml:space="preserve"> PAGEREF _Toc9542 \h </w:instrText>
      </w:r>
      <w:r>
        <w:rPr>
          <w:rFonts w:hint="eastAsia" w:ascii="宋体" w:hAnsi="宋体" w:cs="宋体"/>
          <w:szCs w:val="21"/>
        </w:rPr>
        <w:fldChar w:fldCharType="separate"/>
      </w:r>
      <w:r>
        <w:rPr>
          <w:rFonts w:hint="eastAsia" w:ascii="宋体" w:hAnsi="宋体" w:cs="宋体"/>
          <w:szCs w:val="21"/>
        </w:rPr>
        <w:t>111</w:t>
      </w:r>
      <w:r>
        <w:rPr>
          <w:rFonts w:hint="eastAsia" w:ascii="宋体" w:hAnsi="宋体" w:cs="宋体"/>
          <w:szCs w:val="21"/>
        </w:rPr>
        <w:fldChar w:fldCharType="end"/>
      </w:r>
      <w:r>
        <w:rPr>
          <w:rFonts w:hint="eastAsia" w:ascii="宋体" w:hAnsi="宋体" w:eastAsia="宋体" w:cs="宋体"/>
          <w:color w:val="auto"/>
          <w:szCs w:val="21"/>
          <w:highlight w:val="none"/>
        </w:rPr>
        <w:fldChar w:fldCharType="end"/>
      </w:r>
    </w:p>
    <w:p w14:paraId="1A91A0B2">
      <w:pPr>
        <w:pStyle w:val="22"/>
        <w:keepNext w:val="0"/>
        <w:keepLines w:val="0"/>
        <w:pageBreakBefore w:val="0"/>
        <w:widowControl/>
        <w:tabs>
          <w:tab w:val="right" w:leader="dot" w:pos="8306"/>
          <w:tab w:val="clear" w:pos="8296"/>
        </w:tabs>
        <w:kinsoku/>
        <w:wordWrap/>
        <w:overflowPunct/>
        <w:topLinePunct w:val="0"/>
        <w:autoSpaceDE/>
        <w:autoSpaceDN/>
        <w:bidi w:val="0"/>
        <w:adjustRightInd w:val="0"/>
        <w:snapToGrid w:val="0"/>
        <w:ind w:left="0" w:leftChars="0"/>
        <w:textAlignment w:val="auto"/>
        <w:rPr>
          <w:rFonts w:cs="宋体"/>
          <w:color w:val="auto"/>
          <w:sz w:val="21"/>
          <w:szCs w:val="21"/>
          <w:highlight w:val="none"/>
        </w:rPr>
      </w:pPr>
      <w:r>
        <w:rPr>
          <w:rFonts w:hint="eastAsia" w:ascii="宋体" w:hAnsi="宋体" w:eastAsia="宋体" w:cs="宋体"/>
          <w:color w:val="auto"/>
          <w:sz w:val="18"/>
          <w:szCs w:val="18"/>
          <w:highlight w:val="none"/>
        </w:rPr>
        <w:fldChar w:fldCharType="end"/>
      </w:r>
    </w:p>
    <w:p w14:paraId="2BECA1A2">
      <w:pPr>
        <w:rPr>
          <w:rFonts w:hint="eastAsia" w:ascii="宋体" w:hAnsi="宋体" w:cs="宋体"/>
          <w:color w:val="auto"/>
          <w:szCs w:val="21"/>
          <w:highlight w:val="none"/>
        </w:rPr>
        <w:sectPr>
          <w:footerReference r:id="rId9" w:type="default"/>
          <w:pgSz w:w="11906" w:h="16838"/>
          <w:pgMar w:top="1418" w:right="1800" w:bottom="1440" w:left="1800" w:header="851" w:footer="992" w:gutter="0"/>
          <w:pgBorders>
            <w:top w:val="none" w:sz="0" w:space="0"/>
            <w:left w:val="none" w:sz="0" w:space="0"/>
            <w:bottom w:val="none" w:sz="0" w:space="0"/>
            <w:right w:val="none" w:sz="0" w:space="0"/>
          </w:pgBorders>
          <w:pgNumType w:fmt="decimal" w:start="1"/>
          <w:cols w:space="720" w:num="1"/>
          <w:docGrid w:type="lines" w:linePitch="312" w:charSpace="0"/>
        </w:sectPr>
      </w:pPr>
      <w:r>
        <w:rPr>
          <w:rFonts w:hint="eastAsia" w:ascii="宋体" w:hAnsi="宋体" w:cs="宋体"/>
          <w:color w:val="auto"/>
          <w:szCs w:val="21"/>
          <w:highlight w:val="none"/>
        </w:rPr>
        <w:br w:type="page"/>
      </w:r>
    </w:p>
    <w:p w14:paraId="08F9AF76">
      <w:pPr>
        <w:pStyle w:val="3"/>
        <w:spacing w:before="0" w:after="0" w:line="240" w:lineRule="auto"/>
        <w:rPr>
          <w:color w:val="auto"/>
          <w:sz w:val="28"/>
          <w:szCs w:val="28"/>
          <w:highlight w:val="none"/>
        </w:rPr>
      </w:pPr>
      <w:bookmarkStart w:id="0" w:name="_Toc21309"/>
      <w:bookmarkStart w:id="1" w:name="_Toc6319"/>
      <w:bookmarkStart w:id="2" w:name="_Toc10891"/>
      <w:bookmarkStart w:id="3" w:name="_Toc9574"/>
      <w:bookmarkStart w:id="4" w:name="_Toc21790"/>
      <w:bookmarkStart w:id="5" w:name="_Toc9922"/>
      <w:bookmarkStart w:id="6" w:name="_Toc32651"/>
      <w:bookmarkStart w:id="7" w:name="_Toc16976"/>
      <w:bookmarkStart w:id="8" w:name="_Toc1381"/>
      <w:bookmarkStart w:id="9" w:name="_Toc2656"/>
      <w:bookmarkStart w:id="10" w:name="_Toc28589"/>
      <w:r>
        <w:rPr>
          <w:rFonts w:hint="eastAsia"/>
          <w:color w:val="auto"/>
          <w:sz w:val="28"/>
          <w:szCs w:val="28"/>
          <w:highlight w:val="none"/>
        </w:rPr>
        <w:t>第一部分投标邀请</w:t>
      </w:r>
      <w:bookmarkEnd w:id="0"/>
      <w:bookmarkEnd w:id="1"/>
      <w:bookmarkEnd w:id="2"/>
      <w:bookmarkEnd w:id="3"/>
      <w:bookmarkEnd w:id="4"/>
      <w:bookmarkEnd w:id="5"/>
      <w:bookmarkEnd w:id="6"/>
      <w:bookmarkEnd w:id="7"/>
      <w:bookmarkEnd w:id="8"/>
      <w:bookmarkEnd w:id="9"/>
      <w:bookmarkEnd w:id="10"/>
    </w:p>
    <w:p w14:paraId="5A910AF0">
      <w:pPr>
        <w:pStyle w:val="4"/>
        <w:spacing w:before="0" w:after="0" w:line="360" w:lineRule="auto"/>
        <w:jc w:val="center"/>
        <w:rPr>
          <w:rFonts w:ascii="宋体" w:hAnsi="宋体" w:cs="宋体"/>
          <w:color w:val="auto"/>
          <w:highlight w:val="none"/>
        </w:rPr>
      </w:pPr>
      <w:bookmarkStart w:id="11" w:name="_Toc22217"/>
      <w:bookmarkStart w:id="12" w:name="_Toc25116"/>
      <w:bookmarkStart w:id="13" w:name="_Toc9901"/>
      <w:bookmarkStart w:id="14" w:name="_Toc12426"/>
      <w:bookmarkStart w:id="15" w:name="_Toc2482"/>
      <w:bookmarkStart w:id="16" w:name="_Toc9053"/>
      <w:bookmarkStart w:id="17" w:name="_Toc14932"/>
      <w:bookmarkStart w:id="18" w:name="_Toc1998"/>
      <w:bookmarkStart w:id="19" w:name="_Toc4630"/>
      <w:bookmarkStart w:id="20" w:name="_Toc14716"/>
      <w:bookmarkStart w:id="21" w:name="_Toc30341"/>
      <w:r>
        <w:rPr>
          <w:rFonts w:hint="eastAsia" w:ascii="宋体" w:hAnsi="宋体" w:cs="宋体"/>
          <w:color w:val="auto"/>
          <w:highlight w:val="none"/>
        </w:rPr>
        <w:t>投标邀请书</w:t>
      </w:r>
      <w:bookmarkEnd w:id="11"/>
      <w:bookmarkEnd w:id="12"/>
      <w:bookmarkEnd w:id="13"/>
      <w:bookmarkEnd w:id="14"/>
      <w:bookmarkEnd w:id="15"/>
      <w:bookmarkEnd w:id="16"/>
      <w:bookmarkEnd w:id="17"/>
      <w:bookmarkEnd w:id="18"/>
      <w:bookmarkEnd w:id="19"/>
      <w:bookmarkEnd w:id="20"/>
      <w:bookmarkEnd w:id="21"/>
    </w:p>
    <w:p w14:paraId="7A3EBC56">
      <w:pPr>
        <w:ind w:firstLine="422" w:firstLineChars="200"/>
        <w:jc w:val="both"/>
        <w:rPr>
          <w:rFonts w:ascii="宋体" w:hAnsi="宋体"/>
          <w:color w:val="auto"/>
          <w:szCs w:val="21"/>
          <w:highlight w:val="none"/>
        </w:rPr>
      </w:pPr>
      <w:r>
        <w:rPr>
          <w:rFonts w:hint="eastAsia" w:ascii="宋体" w:hAnsi="宋体"/>
          <w:b/>
          <w:bCs/>
          <w:color w:val="auto"/>
          <w:szCs w:val="21"/>
          <w:highlight w:val="none"/>
          <w:u w:val="single"/>
        </w:rPr>
        <w:t>广东建瀚工程管理有限公司</w:t>
      </w:r>
      <w:r>
        <w:rPr>
          <w:rFonts w:ascii="宋体" w:hAnsi="宋体"/>
          <w:color w:val="auto"/>
          <w:szCs w:val="21"/>
          <w:highlight w:val="none"/>
        </w:rPr>
        <w:t>（以下简称</w:t>
      </w:r>
      <w:r>
        <w:rPr>
          <w:rFonts w:hint="eastAsia" w:ascii="宋体" w:hAnsi="宋体"/>
          <w:color w:val="auto"/>
          <w:szCs w:val="21"/>
          <w:highlight w:val="none"/>
        </w:rPr>
        <w:t>“采购代理机构”</w:t>
      </w:r>
      <w:r>
        <w:rPr>
          <w:rFonts w:ascii="宋体" w:hAnsi="宋体"/>
          <w:color w:val="auto"/>
          <w:szCs w:val="21"/>
          <w:highlight w:val="none"/>
        </w:rPr>
        <w:t>）受</w:t>
      </w:r>
      <w:r>
        <w:rPr>
          <w:rFonts w:hint="eastAsia" w:ascii="宋体" w:hAnsi="宋体"/>
          <w:b/>
          <w:color w:val="auto"/>
          <w:szCs w:val="21"/>
          <w:highlight w:val="none"/>
          <w:u w:val="single"/>
        </w:rPr>
        <w:t>东莞市新东欣环保投资有限公司</w:t>
      </w:r>
      <w:r>
        <w:rPr>
          <w:rFonts w:ascii="宋体" w:hAnsi="宋体"/>
          <w:color w:val="auto"/>
          <w:szCs w:val="21"/>
          <w:highlight w:val="none"/>
        </w:rPr>
        <w:t>（以下简称</w:t>
      </w:r>
      <w:r>
        <w:rPr>
          <w:rFonts w:hint="eastAsia" w:ascii="宋体" w:hAnsi="宋体"/>
          <w:color w:val="auto"/>
          <w:szCs w:val="21"/>
          <w:highlight w:val="none"/>
        </w:rPr>
        <w:t>“采购人”</w:t>
      </w:r>
      <w:r>
        <w:rPr>
          <w:rFonts w:ascii="宋体" w:hAnsi="宋体"/>
          <w:color w:val="auto"/>
          <w:szCs w:val="21"/>
          <w:highlight w:val="none"/>
        </w:rPr>
        <w:t>）委托，</w:t>
      </w:r>
      <w:r>
        <w:rPr>
          <w:rFonts w:hint="eastAsia" w:ascii="宋体" w:hAnsi="宋体"/>
          <w:color w:val="auto"/>
          <w:szCs w:val="21"/>
          <w:highlight w:val="none"/>
        </w:rPr>
        <w:t>现</w:t>
      </w:r>
      <w:r>
        <w:rPr>
          <w:rFonts w:ascii="宋体" w:hAnsi="宋体"/>
          <w:color w:val="auto"/>
          <w:szCs w:val="21"/>
          <w:highlight w:val="none"/>
        </w:rPr>
        <w:t>就</w:t>
      </w:r>
      <w:r>
        <w:rPr>
          <w:rFonts w:hint="eastAsia" w:ascii="宋体" w:hAnsi="宋体"/>
          <w:b/>
          <w:color w:val="auto"/>
          <w:szCs w:val="21"/>
          <w:highlight w:val="none"/>
          <w:u w:val="single"/>
        </w:rPr>
        <w:t>东莞市新东欣环保投资有限公司202</w:t>
      </w:r>
      <w:r>
        <w:rPr>
          <w:rFonts w:hint="eastAsia" w:ascii="宋体" w:hAnsi="宋体"/>
          <w:b/>
          <w:color w:val="auto"/>
          <w:szCs w:val="21"/>
          <w:highlight w:val="none"/>
          <w:u w:val="single"/>
          <w:lang w:val="en-US" w:eastAsia="zh-CN"/>
        </w:rPr>
        <w:t>5</w:t>
      </w:r>
      <w:r>
        <w:rPr>
          <w:rFonts w:hint="eastAsia" w:ascii="宋体" w:hAnsi="宋体"/>
          <w:b/>
          <w:color w:val="auto"/>
          <w:szCs w:val="21"/>
          <w:highlight w:val="none"/>
          <w:u w:val="single"/>
        </w:rPr>
        <w:t>-202</w:t>
      </w:r>
      <w:r>
        <w:rPr>
          <w:rFonts w:hint="eastAsia" w:ascii="宋体" w:hAnsi="宋体"/>
          <w:b/>
          <w:color w:val="auto"/>
          <w:szCs w:val="21"/>
          <w:highlight w:val="none"/>
          <w:u w:val="single"/>
          <w:lang w:val="en-US" w:eastAsia="zh-CN"/>
        </w:rPr>
        <w:t>6</w:t>
      </w:r>
      <w:r>
        <w:rPr>
          <w:rFonts w:hint="eastAsia" w:ascii="宋体" w:hAnsi="宋体"/>
          <w:b/>
          <w:color w:val="auto"/>
          <w:szCs w:val="21"/>
          <w:highlight w:val="none"/>
          <w:u w:val="single"/>
        </w:rPr>
        <w:t>年度危废运输服务项目</w:t>
      </w:r>
      <w:r>
        <w:rPr>
          <w:rFonts w:hint="eastAsia" w:ascii="宋体" w:hAnsi="宋体"/>
          <w:color w:val="auto"/>
          <w:szCs w:val="21"/>
          <w:highlight w:val="none"/>
        </w:rPr>
        <w:t>（项目编号：</w:t>
      </w:r>
      <w:r>
        <w:rPr>
          <w:rFonts w:hint="eastAsia" w:ascii="宋体" w:hAnsi="宋体"/>
          <w:b/>
          <w:bCs/>
          <w:color w:val="auto"/>
          <w:szCs w:val="21"/>
          <w:highlight w:val="none"/>
        </w:rPr>
        <w:t>XDX-GK-2024-003</w:t>
      </w:r>
      <w:r>
        <w:rPr>
          <w:rFonts w:hint="eastAsia" w:ascii="宋体" w:hAnsi="宋体"/>
          <w:color w:val="auto"/>
          <w:szCs w:val="21"/>
          <w:highlight w:val="none"/>
        </w:rPr>
        <w:t>）</w:t>
      </w:r>
      <w:r>
        <w:rPr>
          <w:rFonts w:hint="eastAsia" w:ascii="宋体" w:hAnsi="宋体" w:cs="Times New Roman"/>
          <w:color w:val="auto"/>
          <w:szCs w:val="21"/>
          <w:highlight w:val="none"/>
        </w:rPr>
        <w:t>进行国内公开采购</w:t>
      </w:r>
      <w:r>
        <w:rPr>
          <w:rFonts w:hint="eastAsia" w:ascii="宋体" w:hAnsi="宋体"/>
          <w:color w:val="auto"/>
          <w:szCs w:val="21"/>
          <w:highlight w:val="none"/>
        </w:rPr>
        <w:t>，欢迎符合采购文件要求的国内投标人参加投标</w:t>
      </w:r>
      <w:r>
        <w:rPr>
          <w:rFonts w:ascii="宋体" w:hAnsi="宋体"/>
          <w:color w:val="auto"/>
          <w:szCs w:val="21"/>
          <w:highlight w:val="none"/>
        </w:rPr>
        <w:t>。有关事项如下：</w:t>
      </w:r>
    </w:p>
    <w:p w14:paraId="012F3E9F">
      <w:pPr>
        <w:ind w:firstLine="413" w:firstLineChars="196"/>
        <w:jc w:val="both"/>
        <w:rPr>
          <w:rFonts w:ascii="宋体" w:hAnsi="宋体"/>
          <w:b/>
          <w:color w:val="auto"/>
          <w:szCs w:val="21"/>
          <w:highlight w:val="none"/>
        </w:rPr>
      </w:pPr>
    </w:p>
    <w:p w14:paraId="43579691">
      <w:pPr>
        <w:ind w:firstLine="413"/>
        <w:jc w:val="both"/>
        <w:rPr>
          <w:rFonts w:ascii="宋体" w:hAnsi="宋体"/>
          <w:b/>
          <w:color w:val="auto"/>
          <w:szCs w:val="21"/>
          <w:highlight w:val="none"/>
        </w:rPr>
      </w:pPr>
      <w:r>
        <w:rPr>
          <w:rFonts w:hint="eastAsia" w:ascii="宋体" w:hAnsi="宋体"/>
          <w:b/>
          <w:color w:val="auto"/>
          <w:szCs w:val="21"/>
          <w:highlight w:val="none"/>
        </w:rPr>
        <w:t>一、采购项目概况</w:t>
      </w:r>
    </w:p>
    <w:p w14:paraId="655E9954">
      <w:pPr>
        <w:ind w:firstLine="420" w:firstLineChars="200"/>
        <w:jc w:val="both"/>
        <w:rPr>
          <w:rFonts w:ascii="宋体" w:hAnsi="宋体"/>
          <w:color w:val="auto"/>
          <w:szCs w:val="21"/>
          <w:highlight w:val="none"/>
        </w:rPr>
      </w:pPr>
      <w:r>
        <w:rPr>
          <w:rFonts w:ascii="宋体" w:hAnsi="宋体"/>
          <w:color w:val="auto"/>
          <w:szCs w:val="21"/>
          <w:highlight w:val="none"/>
        </w:rPr>
        <w:t>1</w:t>
      </w:r>
      <w:r>
        <w:rPr>
          <w:rFonts w:hint="eastAsia" w:ascii="宋体" w:hAnsi="宋体"/>
          <w:color w:val="auto"/>
          <w:szCs w:val="21"/>
          <w:highlight w:val="none"/>
        </w:rPr>
        <w:t>、采购</w:t>
      </w:r>
      <w:r>
        <w:rPr>
          <w:rFonts w:ascii="宋体" w:hAnsi="宋体"/>
          <w:color w:val="auto"/>
          <w:szCs w:val="21"/>
          <w:highlight w:val="none"/>
        </w:rPr>
        <w:t>项目名称</w:t>
      </w:r>
      <w:r>
        <w:rPr>
          <w:rFonts w:hint="eastAsia" w:ascii="宋体" w:hAnsi="宋体"/>
          <w:color w:val="auto"/>
          <w:szCs w:val="21"/>
          <w:highlight w:val="none"/>
        </w:rPr>
        <w:t>：</w:t>
      </w:r>
      <w:r>
        <w:rPr>
          <w:rFonts w:hint="eastAsia" w:ascii="宋体" w:hAnsi="宋体"/>
          <w:b w:val="0"/>
          <w:bCs/>
          <w:color w:val="auto"/>
          <w:szCs w:val="21"/>
          <w:highlight w:val="none"/>
          <w:u w:val="single"/>
        </w:rPr>
        <w:t>东莞市新东欣环保投资有限公司202</w:t>
      </w:r>
      <w:r>
        <w:rPr>
          <w:rFonts w:hint="eastAsia" w:ascii="宋体" w:hAnsi="宋体"/>
          <w:b w:val="0"/>
          <w:bCs/>
          <w:color w:val="auto"/>
          <w:szCs w:val="21"/>
          <w:highlight w:val="none"/>
          <w:u w:val="single"/>
          <w:lang w:val="en-US" w:eastAsia="zh-CN"/>
        </w:rPr>
        <w:t>5</w:t>
      </w:r>
      <w:r>
        <w:rPr>
          <w:rFonts w:hint="eastAsia" w:ascii="宋体" w:hAnsi="宋体"/>
          <w:b w:val="0"/>
          <w:bCs/>
          <w:color w:val="auto"/>
          <w:szCs w:val="21"/>
          <w:highlight w:val="none"/>
          <w:u w:val="single"/>
        </w:rPr>
        <w:t>-202</w:t>
      </w:r>
      <w:r>
        <w:rPr>
          <w:rFonts w:hint="eastAsia" w:ascii="宋体" w:hAnsi="宋体"/>
          <w:b w:val="0"/>
          <w:bCs/>
          <w:color w:val="auto"/>
          <w:szCs w:val="21"/>
          <w:highlight w:val="none"/>
          <w:u w:val="single"/>
          <w:lang w:val="en-US" w:eastAsia="zh-CN"/>
        </w:rPr>
        <w:t>6</w:t>
      </w:r>
      <w:r>
        <w:rPr>
          <w:rFonts w:hint="eastAsia" w:ascii="宋体" w:hAnsi="宋体"/>
          <w:b w:val="0"/>
          <w:bCs/>
          <w:color w:val="auto"/>
          <w:szCs w:val="21"/>
          <w:highlight w:val="none"/>
          <w:u w:val="single"/>
        </w:rPr>
        <w:t>年度危废运输服务项目</w:t>
      </w:r>
    </w:p>
    <w:p w14:paraId="6003DDA1">
      <w:pPr>
        <w:ind w:firstLine="420" w:firstLineChars="200"/>
        <w:jc w:val="both"/>
        <w:rPr>
          <w:rFonts w:ascii="宋体" w:hAnsi="宋体"/>
          <w:color w:val="auto"/>
          <w:szCs w:val="21"/>
          <w:highlight w:val="none"/>
        </w:rPr>
      </w:pPr>
      <w:r>
        <w:rPr>
          <w:rFonts w:hint="eastAsia" w:ascii="宋体" w:hAnsi="宋体"/>
          <w:color w:val="auto"/>
          <w:szCs w:val="21"/>
          <w:highlight w:val="none"/>
        </w:rPr>
        <w:t>2、</w:t>
      </w:r>
      <w:r>
        <w:rPr>
          <w:rFonts w:ascii="宋体" w:hAnsi="宋体"/>
          <w:color w:val="auto"/>
          <w:szCs w:val="21"/>
          <w:highlight w:val="none"/>
        </w:rPr>
        <w:t>预算金额（</w:t>
      </w:r>
      <w:r>
        <w:rPr>
          <w:rFonts w:hint="eastAsia" w:ascii="宋体" w:hAnsi="宋体"/>
          <w:color w:val="auto"/>
          <w:szCs w:val="21"/>
          <w:highlight w:val="none"/>
        </w:rPr>
        <w:t>元</w:t>
      </w:r>
      <w:r>
        <w:rPr>
          <w:rFonts w:ascii="宋体" w:hAnsi="宋体"/>
          <w:color w:val="auto"/>
          <w:szCs w:val="21"/>
          <w:highlight w:val="none"/>
        </w:rPr>
        <w:t>）</w:t>
      </w:r>
      <w:r>
        <w:rPr>
          <w:rFonts w:hint="eastAsia" w:ascii="宋体" w:hAnsi="宋体"/>
          <w:color w:val="auto"/>
          <w:szCs w:val="21"/>
          <w:highlight w:val="none"/>
        </w:rPr>
        <w:t>：</w:t>
      </w:r>
      <w:r>
        <w:rPr>
          <w:rFonts w:hint="eastAsia" w:ascii="宋体" w:hAnsi="宋体"/>
          <w:color w:val="auto"/>
          <w:szCs w:val="21"/>
          <w:highlight w:val="none"/>
          <w:u w:val="single"/>
        </w:rPr>
        <w:t>本项目年度总预算额为</w:t>
      </w:r>
      <w:r>
        <w:rPr>
          <w:rFonts w:hint="eastAsia" w:ascii="宋体" w:hAnsi="宋体"/>
          <w:color w:val="auto"/>
          <w:szCs w:val="21"/>
          <w:highlight w:val="none"/>
          <w:u w:val="single"/>
          <w:lang w:val="en-US" w:eastAsia="zh-CN"/>
        </w:rPr>
        <w:t>1275</w:t>
      </w:r>
      <w:r>
        <w:rPr>
          <w:rFonts w:hint="eastAsia" w:ascii="宋体" w:hAnsi="宋体"/>
          <w:color w:val="auto"/>
          <w:szCs w:val="21"/>
          <w:highlight w:val="none"/>
          <w:u w:val="single"/>
        </w:rPr>
        <w:t>万元（含运输杂费及搬运费等，相关标准见</w:t>
      </w:r>
      <w:r>
        <w:rPr>
          <w:rFonts w:hint="eastAsia" w:ascii="宋体" w:hAnsi="宋体"/>
          <w:color w:val="auto"/>
          <w:szCs w:val="21"/>
          <w:highlight w:val="none"/>
          <w:u w:val="single"/>
          <w:lang w:val="en-US" w:eastAsia="zh-CN"/>
        </w:rPr>
        <w:t>技术需求书</w:t>
      </w:r>
      <w:r>
        <w:rPr>
          <w:rFonts w:hint="eastAsia" w:ascii="宋体" w:hAnsi="宋体"/>
          <w:color w:val="auto"/>
          <w:szCs w:val="21"/>
          <w:highlight w:val="none"/>
          <w:u w:val="single"/>
        </w:rPr>
        <w:t>附件</w:t>
      </w:r>
      <w:r>
        <w:rPr>
          <w:rFonts w:hint="eastAsia" w:ascii="宋体" w:hAnsi="宋体"/>
          <w:color w:val="auto"/>
          <w:szCs w:val="21"/>
          <w:highlight w:val="none"/>
          <w:u w:val="single"/>
          <w:lang w:val="en-US" w:eastAsia="zh-CN"/>
        </w:rPr>
        <w:t>4</w:t>
      </w:r>
      <w:r>
        <w:rPr>
          <w:rFonts w:hint="eastAsia" w:ascii="宋体" w:hAnsi="宋体"/>
          <w:color w:val="auto"/>
          <w:szCs w:val="21"/>
          <w:highlight w:val="none"/>
          <w:u w:val="single"/>
        </w:rPr>
        <w:t>《运输杂费及计费规则》和</w:t>
      </w:r>
      <w:r>
        <w:rPr>
          <w:rFonts w:hint="eastAsia" w:ascii="宋体" w:hAnsi="宋体"/>
          <w:color w:val="auto"/>
          <w:szCs w:val="21"/>
          <w:highlight w:val="none"/>
          <w:u w:val="single"/>
          <w:lang w:val="en-US" w:eastAsia="zh-CN"/>
        </w:rPr>
        <w:t>技术需求书</w:t>
      </w:r>
      <w:r>
        <w:rPr>
          <w:rFonts w:hint="eastAsia" w:ascii="宋体" w:hAnsi="宋体"/>
          <w:color w:val="auto"/>
          <w:szCs w:val="21"/>
          <w:highlight w:val="none"/>
          <w:u w:val="single"/>
        </w:rPr>
        <w:t>附件</w:t>
      </w:r>
      <w:r>
        <w:rPr>
          <w:rFonts w:hint="eastAsia" w:ascii="宋体" w:hAnsi="宋体"/>
          <w:color w:val="auto"/>
          <w:szCs w:val="21"/>
          <w:highlight w:val="none"/>
          <w:u w:val="single"/>
          <w:lang w:val="en-US" w:eastAsia="zh-CN"/>
        </w:rPr>
        <w:t>7</w:t>
      </w:r>
      <w:r>
        <w:rPr>
          <w:rFonts w:hint="eastAsia" w:ascii="宋体" w:hAnsi="宋体"/>
          <w:color w:val="auto"/>
          <w:szCs w:val="21"/>
          <w:highlight w:val="none"/>
          <w:u w:val="single"/>
        </w:rPr>
        <w:t>《运输单位搬运费分级标准》，最终以实际实施情况为准）</w:t>
      </w:r>
    </w:p>
    <w:p w14:paraId="1D59D8B8">
      <w:pPr>
        <w:ind w:firstLine="420" w:firstLineChars="200"/>
        <w:jc w:val="both"/>
        <w:rPr>
          <w:rFonts w:ascii="宋体" w:hAnsi="宋体"/>
          <w:color w:val="auto"/>
          <w:szCs w:val="21"/>
          <w:highlight w:val="none"/>
        </w:rPr>
      </w:pPr>
      <w:r>
        <w:rPr>
          <w:rFonts w:hint="eastAsia" w:ascii="宋体" w:hAnsi="宋体"/>
          <w:color w:val="auto"/>
          <w:szCs w:val="21"/>
          <w:highlight w:val="none"/>
        </w:rPr>
        <w:t>3、最高</w:t>
      </w:r>
      <w:r>
        <w:rPr>
          <w:rFonts w:ascii="宋体" w:hAnsi="宋体"/>
          <w:color w:val="auto"/>
          <w:szCs w:val="21"/>
          <w:highlight w:val="none"/>
        </w:rPr>
        <w:t>限价</w:t>
      </w:r>
      <w:r>
        <w:rPr>
          <w:rFonts w:hint="eastAsia" w:ascii="宋体" w:hAnsi="宋体"/>
          <w:color w:val="auto"/>
          <w:szCs w:val="21"/>
          <w:highlight w:val="none"/>
        </w:rPr>
        <w:t>（元）</w:t>
      </w:r>
      <w:r>
        <w:rPr>
          <w:rFonts w:ascii="宋体" w:hAnsi="宋体"/>
          <w:color w:val="auto"/>
          <w:szCs w:val="21"/>
          <w:highlight w:val="none"/>
        </w:rPr>
        <w:t>：</w:t>
      </w:r>
      <w:r>
        <w:rPr>
          <w:rFonts w:hint="eastAsia" w:ascii="宋体" w:hAnsi="宋体"/>
          <w:color w:val="auto"/>
          <w:szCs w:val="21"/>
          <w:highlight w:val="none"/>
          <w:u w:val="single"/>
        </w:rPr>
        <w:t>详见附件 《</w:t>
      </w:r>
      <w:r>
        <w:rPr>
          <w:rFonts w:hint="eastAsia" w:ascii="宋体" w:hAnsi="宋体"/>
          <w:color w:val="auto"/>
          <w:szCs w:val="21"/>
          <w:highlight w:val="none"/>
          <w:u w:val="single"/>
          <w:lang w:eastAsia="zh-CN"/>
        </w:rPr>
        <w:t>危险废物运输费单价表</w:t>
      </w:r>
      <w:r>
        <w:rPr>
          <w:rFonts w:hint="eastAsia" w:ascii="宋体" w:hAnsi="宋体"/>
          <w:color w:val="auto"/>
          <w:szCs w:val="21"/>
          <w:highlight w:val="none"/>
          <w:u w:val="single"/>
        </w:rPr>
        <w:t>》</w:t>
      </w:r>
    </w:p>
    <w:p w14:paraId="480956BC">
      <w:pPr>
        <w:ind w:firstLine="420" w:firstLineChars="200"/>
        <w:jc w:val="both"/>
        <w:rPr>
          <w:rFonts w:hint="eastAsia" w:ascii="宋体" w:hAnsi="宋体" w:eastAsia="宋体"/>
          <w:color w:val="auto"/>
          <w:szCs w:val="21"/>
          <w:highlight w:val="none"/>
          <w:lang w:eastAsia="zh-CN"/>
        </w:rPr>
      </w:pPr>
      <w:r>
        <w:rPr>
          <w:rFonts w:hint="eastAsia" w:ascii="宋体" w:hAnsi="宋体"/>
          <w:color w:val="auto"/>
          <w:szCs w:val="21"/>
          <w:highlight w:val="none"/>
        </w:rPr>
        <w:t>4、项目内容</w:t>
      </w:r>
      <w:r>
        <w:rPr>
          <w:rFonts w:hint="eastAsia" w:ascii="宋体" w:hAnsi="宋体"/>
          <w:color w:val="auto"/>
          <w:szCs w:val="21"/>
          <w:highlight w:val="none"/>
          <w:lang w:eastAsia="zh-CN"/>
        </w:rPr>
        <w:t>：</w:t>
      </w:r>
      <w:r>
        <w:rPr>
          <w:rFonts w:hint="eastAsia" w:ascii="宋体" w:hAnsi="宋体"/>
          <w:color w:val="auto"/>
          <w:szCs w:val="21"/>
          <w:highlight w:val="none"/>
        </w:rPr>
        <w:t>本项目分</w:t>
      </w:r>
      <w:r>
        <w:rPr>
          <w:rFonts w:hint="eastAsia" w:ascii="宋体" w:hAnsi="宋体"/>
          <w:color w:val="auto"/>
          <w:szCs w:val="21"/>
          <w:highlight w:val="none"/>
          <w:lang w:val="en-US" w:eastAsia="zh-CN"/>
        </w:rPr>
        <w:t>5</w:t>
      </w:r>
      <w:r>
        <w:rPr>
          <w:rFonts w:hint="eastAsia" w:ascii="宋体" w:hAnsi="宋体"/>
          <w:color w:val="auto"/>
          <w:szCs w:val="21"/>
          <w:highlight w:val="none"/>
        </w:rPr>
        <w:t>个包组，每个包组评选2家供应商中标（1家主要供应商和1家备选供应商），具体内容及要求详见本采购文件第三</w:t>
      </w:r>
      <w:r>
        <w:rPr>
          <w:rFonts w:hint="eastAsia" w:ascii="宋体" w:hAnsi="宋体"/>
          <w:color w:val="auto"/>
          <w:szCs w:val="21"/>
          <w:highlight w:val="none"/>
          <w:lang w:val="en-US" w:eastAsia="zh-CN"/>
        </w:rPr>
        <w:t>部分</w:t>
      </w:r>
      <w:r>
        <w:rPr>
          <w:rFonts w:hint="eastAsia" w:ascii="宋体" w:hAnsi="宋体"/>
          <w:color w:val="auto"/>
          <w:szCs w:val="21"/>
          <w:highlight w:val="none"/>
        </w:rPr>
        <w:t>用户需求书。</w:t>
      </w:r>
    </w:p>
    <w:tbl>
      <w:tblPr>
        <w:tblStyle w:val="28"/>
        <w:tblW w:w="4891"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472"/>
        <w:gridCol w:w="951"/>
        <w:gridCol w:w="1189"/>
        <w:gridCol w:w="3182"/>
        <w:gridCol w:w="1217"/>
        <w:gridCol w:w="1325"/>
      </w:tblGrid>
      <w:tr w14:paraId="3AA236B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10" w:hRule="atLeast"/>
        </w:trPr>
        <w:tc>
          <w:tcPr>
            <w:tcW w:w="28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DE37B9">
            <w:pPr>
              <w:keepNext w:val="0"/>
              <w:keepLines w:val="0"/>
              <w:widowControl/>
              <w:suppressLineNumbers w:val="0"/>
              <w:spacing w:line="240" w:lineRule="auto"/>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车型</w:t>
            </w:r>
          </w:p>
        </w:tc>
        <w:tc>
          <w:tcPr>
            <w:tcW w:w="5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2A46E9">
            <w:pPr>
              <w:keepNext w:val="0"/>
              <w:keepLines w:val="0"/>
              <w:widowControl/>
              <w:suppressLineNumbers w:val="0"/>
              <w:spacing w:line="240" w:lineRule="auto"/>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cs="宋体"/>
                <w:b/>
                <w:bCs/>
                <w:i w:val="0"/>
                <w:iCs w:val="0"/>
                <w:color w:val="000000"/>
                <w:kern w:val="0"/>
                <w:sz w:val="22"/>
                <w:szCs w:val="22"/>
                <w:highlight w:val="none"/>
                <w:u w:val="none"/>
                <w:lang w:val="en-US" w:eastAsia="zh-CN" w:bidi="ar"/>
              </w:rPr>
              <w:t>包组</w:t>
            </w:r>
            <w:r>
              <w:rPr>
                <w:rFonts w:hint="eastAsia" w:ascii="宋体" w:hAnsi="宋体" w:eastAsia="宋体" w:cs="宋体"/>
                <w:b/>
                <w:bCs/>
                <w:i w:val="0"/>
                <w:iCs w:val="0"/>
                <w:color w:val="000000"/>
                <w:kern w:val="0"/>
                <w:sz w:val="22"/>
                <w:szCs w:val="22"/>
                <w:highlight w:val="none"/>
                <w:u w:val="none"/>
                <w:lang w:val="en-US" w:eastAsia="zh-CN" w:bidi="ar"/>
              </w:rPr>
              <w:t>号</w:t>
            </w:r>
          </w:p>
        </w:tc>
        <w:tc>
          <w:tcPr>
            <w:tcW w:w="71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126FDB">
            <w:pPr>
              <w:keepNext w:val="0"/>
              <w:keepLines w:val="0"/>
              <w:widowControl/>
              <w:suppressLineNumbers w:val="0"/>
              <w:spacing w:line="240" w:lineRule="auto"/>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采购区域</w:t>
            </w:r>
          </w:p>
        </w:tc>
        <w:tc>
          <w:tcPr>
            <w:tcW w:w="190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3723EE">
            <w:pPr>
              <w:keepNext w:val="0"/>
              <w:keepLines w:val="0"/>
              <w:widowControl/>
              <w:suppressLineNumbers w:val="0"/>
              <w:spacing w:line="240" w:lineRule="auto"/>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详细说明</w:t>
            </w:r>
          </w:p>
        </w:tc>
        <w:tc>
          <w:tcPr>
            <w:tcW w:w="7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BBD8C7">
            <w:pPr>
              <w:keepNext w:val="0"/>
              <w:keepLines w:val="0"/>
              <w:widowControl/>
              <w:suppressLineNumbers w:val="0"/>
              <w:spacing w:line="240" w:lineRule="auto"/>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各标段预算（万元）</w:t>
            </w:r>
          </w:p>
        </w:tc>
        <w:tc>
          <w:tcPr>
            <w:tcW w:w="7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1CDC15">
            <w:pPr>
              <w:keepNext w:val="0"/>
              <w:keepLines w:val="0"/>
              <w:widowControl/>
              <w:suppressLineNumbers w:val="0"/>
              <w:spacing w:line="240" w:lineRule="auto"/>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服务期</w:t>
            </w:r>
          </w:p>
        </w:tc>
      </w:tr>
      <w:tr w14:paraId="6BCFEAB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70" w:hRule="atLeast"/>
        </w:trPr>
        <w:tc>
          <w:tcPr>
            <w:tcW w:w="283"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186051E">
            <w:pPr>
              <w:keepNext w:val="0"/>
              <w:keepLines w:val="0"/>
              <w:widowControl/>
              <w:suppressLineNumbers w:val="0"/>
              <w:spacing w:line="240" w:lineRule="auto"/>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厢车</w:t>
            </w:r>
          </w:p>
        </w:tc>
        <w:tc>
          <w:tcPr>
            <w:tcW w:w="5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4B3247">
            <w:pPr>
              <w:keepNext w:val="0"/>
              <w:keepLines w:val="0"/>
              <w:widowControl/>
              <w:suppressLineNumbers w:val="0"/>
              <w:spacing w:line="240" w:lineRule="auto"/>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A包</w:t>
            </w:r>
          </w:p>
        </w:tc>
        <w:tc>
          <w:tcPr>
            <w:tcW w:w="71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24FF29">
            <w:pPr>
              <w:keepNext w:val="0"/>
              <w:keepLines w:val="0"/>
              <w:widowControl/>
              <w:suppressLineNumbers w:val="0"/>
              <w:spacing w:line="240" w:lineRule="auto"/>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广州区域</w:t>
            </w:r>
          </w:p>
        </w:tc>
        <w:tc>
          <w:tcPr>
            <w:tcW w:w="190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180FFE">
            <w:pPr>
              <w:keepNext w:val="0"/>
              <w:keepLines w:val="0"/>
              <w:widowControl/>
              <w:suppressLineNumbers w:val="0"/>
              <w:spacing w:line="240" w:lineRule="auto"/>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广州（含限行区）</w:t>
            </w:r>
          </w:p>
        </w:tc>
        <w:tc>
          <w:tcPr>
            <w:tcW w:w="7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87D36A">
            <w:pPr>
              <w:keepNext w:val="0"/>
              <w:keepLines w:val="0"/>
              <w:widowControl/>
              <w:suppressLineNumbers w:val="0"/>
              <w:spacing w:line="240" w:lineRule="auto"/>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225</w:t>
            </w:r>
          </w:p>
        </w:tc>
        <w:tc>
          <w:tcPr>
            <w:tcW w:w="794"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D4B8BBB">
            <w:pPr>
              <w:keepNext w:val="0"/>
              <w:keepLines w:val="0"/>
              <w:widowControl/>
              <w:suppressLineNumbers w:val="0"/>
              <w:spacing w:line="240" w:lineRule="auto"/>
              <w:jc w:val="center"/>
              <w:textAlignment w:val="center"/>
              <w:rPr>
                <w:rFonts w:hint="eastAsia" w:ascii="宋体" w:hAnsi="宋体" w:eastAsia="宋体" w:cs="宋体"/>
                <w:i w:val="0"/>
                <w:iCs w:val="0"/>
                <w:color w:val="000000"/>
                <w:sz w:val="21"/>
                <w:szCs w:val="21"/>
                <w:highlight w:val="none"/>
                <w:u w:val="none"/>
              </w:rPr>
            </w:pPr>
            <w:r>
              <w:rPr>
                <w:rFonts w:hint="eastAsia" w:ascii="宋体" w:hAnsi="宋体" w:eastAsia="宋体" w:cs="宋体"/>
                <w:i w:val="0"/>
                <w:iCs w:val="0"/>
                <w:color w:val="000000"/>
                <w:kern w:val="0"/>
                <w:sz w:val="21"/>
                <w:szCs w:val="21"/>
                <w:highlight w:val="none"/>
                <w:u w:val="none"/>
                <w:lang w:val="en-US" w:eastAsia="zh-CN" w:bidi="ar"/>
              </w:rPr>
              <w:t>合同服务期限自签订运输服务合同之日起一年。</w:t>
            </w:r>
          </w:p>
        </w:tc>
      </w:tr>
      <w:tr w14:paraId="6C52148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8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61AE4F6">
            <w:pPr>
              <w:jc w:val="center"/>
              <w:rPr>
                <w:rFonts w:hint="eastAsia" w:ascii="宋体" w:hAnsi="宋体" w:eastAsia="宋体" w:cs="宋体"/>
                <w:b/>
                <w:bCs/>
                <w:i w:val="0"/>
                <w:iCs w:val="0"/>
                <w:color w:val="000000"/>
                <w:sz w:val="22"/>
                <w:szCs w:val="22"/>
                <w:highlight w:val="none"/>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6DFC6B">
            <w:pPr>
              <w:keepNext w:val="0"/>
              <w:keepLines w:val="0"/>
              <w:widowControl/>
              <w:suppressLineNumbers w:val="0"/>
              <w:spacing w:line="240" w:lineRule="auto"/>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B包</w:t>
            </w:r>
          </w:p>
        </w:tc>
        <w:tc>
          <w:tcPr>
            <w:tcW w:w="71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CE9E8E">
            <w:pPr>
              <w:keepNext w:val="0"/>
              <w:keepLines w:val="0"/>
              <w:widowControl/>
              <w:suppressLineNumbers w:val="0"/>
              <w:spacing w:line="240" w:lineRule="auto"/>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深圳区域</w:t>
            </w:r>
          </w:p>
        </w:tc>
        <w:tc>
          <w:tcPr>
            <w:tcW w:w="190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14AE85">
            <w:pPr>
              <w:keepNext w:val="0"/>
              <w:keepLines w:val="0"/>
              <w:widowControl/>
              <w:suppressLineNumbers w:val="0"/>
              <w:spacing w:line="240" w:lineRule="auto"/>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深圳（含限行区）</w:t>
            </w:r>
          </w:p>
        </w:tc>
        <w:tc>
          <w:tcPr>
            <w:tcW w:w="7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98856F">
            <w:pPr>
              <w:keepNext w:val="0"/>
              <w:keepLines w:val="0"/>
              <w:widowControl/>
              <w:suppressLineNumbers w:val="0"/>
              <w:spacing w:line="240" w:lineRule="auto"/>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120</w:t>
            </w:r>
          </w:p>
        </w:tc>
        <w:tc>
          <w:tcPr>
            <w:tcW w:w="79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06888EE">
            <w:pPr>
              <w:jc w:val="center"/>
              <w:rPr>
                <w:rFonts w:hint="eastAsia" w:ascii="宋体" w:hAnsi="宋体" w:eastAsia="宋体" w:cs="宋体"/>
                <w:i w:val="0"/>
                <w:iCs w:val="0"/>
                <w:color w:val="000000"/>
                <w:sz w:val="21"/>
                <w:szCs w:val="21"/>
                <w:highlight w:val="none"/>
                <w:u w:val="none"/>
              </w:rPr>
            </w:pPr>
          </w:p>
        </w:tc>
      </w:tr>
      <w:tr w14:paraId="69CA08E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28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31B53FD">
            <w:pPr>
              <w:jc w:val="center"/>
              <w:rPr>
                <w:rFonts w:hint="eastAsia" w:ascii="宋体" w:hAnsi="宋体" w:eastAsia="宋体" w:cs="宋体"/>
                <w:b/>
                <w:bCs/>
                <w:i w:val="0"/>
                <w:iCs w:val="0"/>
                <w:color w:val="000000"/>
                <w:sz w:val="22"/>
                <w:szCs w:val="22"/>
                <w:highlight w:val="none"/>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9C3DDE">
            <w:pPr>
              <w:keepNext w:val="0"/>
              <w:keepLines w:val="0"/>
              <w:widowControl/>
              <w:suppressLineNumbers w:val="0"/>
              <w:spacing w:line="240" w:lineRule="auto"/>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C包</w:t>
            </w:r>
          </w:p>
        </w:tc>
        <w:tc>
          <w:tcPr>
            <w:tcW w:w="71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F6299E">
            <w:pPr>
              <w:keepNext w:val="0"/>
              <w:keepLines w:val="0"/>
              <w:widowControl/>
              <w:suppressLineNumbers w:val="0"/>
              <w:spacing w:line="240" w:lineRule="auto"/>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莞惠区域</w:t>
            </w:r>
          </w:p>
        </w:tc>
        <w:tc>
          <w:tcPr>
            <w:tcW w:w="190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6E5822">
            <w:pPr>
              <w:keepNext w:val="0"/>
              <w:keepLines w:val="0"/>
              <w:widowControl/>
              <w:suppressLineNumbers w:val="0"/>
              <w:spacing w:line="240" w:lineRule="auto"/>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东莞、惠州；（含以上城市限行区）</w:t>
            </w:r>
          </w:p>
        </w:tc>
        <w:tc>
          <w:tcPr>
            <w:tcW w:w="7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0E53D4">
            <w:pPr>
              <w:keepNext w:val="0"/>
              <w:keepLines w:val="0"/>
              <w:widowControl/>
              <w:suppressLineNumbers w:val="0"/>
              <w:spacing w:line="240" w:lineRule="auto"/>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450</w:t>
            </w:r>
          </w:p>
        </w:tc>
        <w:tc>
          <w:tcPr>
            <w:tcW w:w="79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EE9CF47">
            <w:pPr>
              <w:jc w:val="center"/>
              <w:rPr>
                <w:rFonts w:hint="eastAsia" w:ascii="宋体" w:hAnsi="宋体" w:eastAsia="宋体" w:cs="宋体"/>
                <w:i w:val="0"/>
                <w:iCs w:val="0"/>
                <w:color w:val="000000"/>
                <w:sz w:val="21"/>
                <w:szCs w:val="21"/>
                <w:highlight w:val="none"/>
                <w:u w:val="none"/>
              </w:rPr>
            </w:pPr>
          </w:p>
        </w:tc>
      </w:tr>
      <w:tr w14:paraId="2454FE9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838" w:hRule="atLeast"/>
        </w:trPr>
        <w:tc>
          <w:tcPr>
            <w:tcW w:w="28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4FA9C1A">
            <w:pPr>
              <w:jc w:val="center"/>
              <w:rPr>
                <w:rFonts w:hint="eastAsia" w:ascii="宋体" w:hAnsi="宋体" w:eastAsia="宋体" w:cs="宋体"/>
                <w:b/>
                <w:bCs/>
                <w:i w:val="0"/>
                <w:iCs w:val="0"/>
                <w:color w:val="000000"/>
                <w:sz w:val="22"/>
                <w:szCs w:val="22"/>
                <w:highlight w:val="none"/>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FAFBEC">
            <w:pPr>
              <w:keepNext w:val="0"/>
              <w:keepLines w:val="0"/>
              <w:widowControl/>
              <w:suppressLineNumbers w:val="0"/>
              <w:spacing w:line="240" w:lineRule="auto"/>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D包</w:t>
            </w:r>
          </w:p>
        </w:tc>
        <w:tc>
          <w:tcPr>
            <w:tcW w:w="71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D0EB6C">
            <w:pPr>
              <w:keepNext w:val="0"/>
              <w:keepLines w:val="0"/>
              <w:widowControl/>
              <w:suppressLineNumbers w:val="0"/>
              <w:spacing w:line="240" w:lineRule="auto"/>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其他区域</w:t>
            </w:r>
          </w:p>
        </w:tc>
        <w:tc>
          <w:tcPr>
            <w:tcW w:w="190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692866">
            <w:pPr>
              <w:keepNext w:val="0"/>
              <w:keepLines w:val="0"/>
              <w:widowControl/>
              <w:suppressLineNumbers w:val="0"/>
              <w:spacing w:line="240" w:lineRule="auto"/>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韶关、汕尾、河源、梅州、汕头、潮州、揭阳、肇庆、佛山、中山、珠海、江门、阳江、茂名、云浮、湛江、清远；（含以上城市限行区）</w:t>
            </w:r>
          </w:p>
        </w:tc>
        <w:tc>
          <w:tcPr>
            <w:tcW w:w="7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3515F8">
            <w:pPr>
              <w:keepNext w:val="0"/>
              <w:keepLines w:val="0"/>
              <w:widowControl/>
              <w:suppressLineNumbers w:val="0"/>
              <w:spacing w:line="240" w:lineRule="auto"/>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200</w:t>
            </w:r>
          </w:p>
        </w:tc>
        <w:tc>
          <w:tcPr>
            <w:tcW w:w="79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8E7C1DC">
            <w:pPr>
              <w:jc w:val="center"/>
              <w:rPr>
                <w:rFonts w:hint="eastAsia" w:ascii="宋体" w:hAnsi="宋体" w:eastAsia="宋体" w:cs="宋体"/>
                <w:i w:val="0"/>
                <w:iCs w:val="0"/>
                <w:color w:val="000000"/>
                <w:sz w:val="21"/>
                <w:szCs w:val="21"/>
                <w:highlight w:val="none"/>
                <w:u w:val="none"/>
              </w:rPr>
            </w:pPr>
          </w:p>
        </w:tc>
      </w:tr>
      <w:tr w14:paraId="38298C9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273" w:hRule="atLeast"/>
        </w:trPr>
        <w:tc>
          <w:tcPr>
            <w:tcW w:w="28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9A18E7">
            <w:pPr>
              <w:keepNext w:val="0"/>
              <w:keepLines w:val="0"/>
              <w:widowControl/>
              <w:suppressLineNumbers w:val="0"/>
              <w:spacing w:line="240" w:lineRule="auto"/>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槽车</w:t>
            </w:r>
          </w:p>
        </w:tc>
        <w:tc>
          <w:tcPr>
            <w:tcW w:w="5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C55128">
            <w:pPr>
              <w:keepNext w:val="0"/>
              <w:keepLines w:val="0"/>
              <w:widowControl/>
              <w:suppressLineNumbers w:val="0"/>
              <w:spacing w:line="240" w:lineRule="auto"/>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E包</w:t>
            </w:r>
          </w:p>
        </w:tc>
        <w:tc>
          <w:tcPr>
            <w:tcW w:w="71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4ADEBA">
            <w:pPr>
              <w:keepNext w:val="0"/>
              <w:keepLines w:val="0"/>
              <w:widowControl/>
              <w:suppressLineNumbers w:val="0"/>
              <w:spacing w:line="240" w:lineRule="auto"/>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广东省全域</w:t>
            </w:r>
          </w:p>
        </w:tc>
        <w:tc>
          <w:tcPr>
            <w:tcW w:w="190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FCF6D4">
            <w:pPr>
              <w:keepNext w:val="0"/>
              <w:keepLines w:val="0"/>
              <w:widowControl/>
              <w:suppressLineNumbers w:val="0"/>
              <w:spacing w:line="240" w:lineRule="auto"/>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韶关、惠州、汕尾、河源、梅州、汕头、潮州、揭阳、广州、深圳、东莞、肇庆、佛山、中山、珠海、江门、阳江、茂名、云浮、湛江、清远；（</w:t>
            </w:r>
            <w:r>
              <w:rPr>
                <w:rStyle w:val="87"/>
                <w:highlight w:val="none"/>
                <w:lang w:val="en-US" w:eastAsia="zh-CN" w:bidi="ar"/>
              </w:rPr>
              <w:t>含以上城市限行区</w:t>
            </w:r>
            <w:r>
              <w:rPr>
                <w:rStyle w:val="88"/>
                <w:highlight w:val="none"/>
                <w:lang w:val="en-US" w:eastAsia="zh-CN" w:bidi="ar"/>
              </w:rPr>
              <w:t>）</w:t>
            </w:r>
          </w:p>
        </w:tc>
        <w:tc>
          <w:tcPr>
            <w:tcW w:w="7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0D6BEC">
            <w:pPr>
              <w:keepNext w:val="0"/>
              <w:keepLines w:val="0"/>
              <w:widowControl/>
              <w:suppressLineNumbers w:val="0"/>
              <w:spacing w:line="240" w:lineRule="auto"/>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280</w:t>
            </w:r>
          </w:p>
        </w:tc>
        <w:tc>
          <w:tcPr>
            <w:tcW w:w="79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6E3A9D2">
            <w:pPr>
              <w:jc w:val="center"/>
              <w:rPr>
                <w:rFonts w:hint="eastAsia" w:ascii="宋体" w:hAnsi="宋体" w:eastAsia="宋体" w:cs="宋体"/>
                <w:i w:val="0"/>
                <w:iCs w:val="0"/>
                <w:color w:val="000000"/>
                <w:sz w:val="21"/>
                <w:szCs w:val="21"/>
                <w:highlight w:val="none"/>
                <w:u w:val="none"/>
              </w:rPr>
            </w:pPr>
          </w:p>
        </w:tc>
      </w:tr>
    </w:tbl>
    <w:p w14:paraId="5BB2C373">
      <w:pPr>
        <w:ind w:firstLine="420" w:firstLineChars="200"/>
        <w:jc w:val="both"/>
        <w:rPr>
          <w:rFonts w:ascii="宋体" w:hAnsi="宋体"/>
          <w:color w:val="auto"/>
          <w:szCs w:val="21"/>
          <w:highlight w:val="none"/>
        </w:rPr>
      </w:pPr>
      <w:r>
        <w:rPr>
          <w:rFonts w:hint="eastAsia" w:ascii="宋体" w:hAnsi="宋体"/>
          <w:color w:val="auto"/>
          <w:szCs w:val="21"/>
          <w:highlight w:val="none"/>
        </w:rPr>
        <w:t>5、项目需求</w:t>
      </w:r>
    </w:p>
    <w:p w14:paraId="78AAF1EA">
      <w:pPr>
        <w:ind w:firstLine="420" w:firstLineChars="200"/>
        <w:jc w:val="both"/>
        <w:rPr>
          <w:rFonts w:ascii="宋体" w:hAnsi="宋体"/>
          <w:color w:val="auto"/>
          <w:szCs w:val="21"/>
          <w:highlight w:val="none"/>
        </w:rPr>
      </w:pPr>
      <w:r>
        <w:rPr>
          <w:rFonts w:hint="eastAsia" w:ascii="宋体" w:hAnsi="宋体"/>
          <w:color w:val="auto"/>
          <w:szCs w:val="21"/>
          <w:highlight w:val="none"/>
        </w:rPr>
        <w:t>详细内容请参阅采购文件第三部分《用户需求书》。</w:t>
      </w:r>
    </w:p>
    <w:p w14:paraId="2C144C5A">
      <w:pPr>
        <w:ind w:firstLine="422" w:firstLineChars="200"/>
        <w:jc w:val="both"/>
        <w:rPr>
          <w:rFonts w:ascii="宋体" w:hAnsi="宋体"/>
          <w:b/>
          <w:color w:val="auto"/>
          <w:szCs w:val="21"/>
          <w:highlight w:val="none"/>
        </w:rPr>
      </w:pPr>
    </w:p>
    <w:p w14:paraId="389EF716">
      <w:pPr>
        <w:ind w:firstLine="422" w:firstLineChars="200"/>
        <w:jc w:val="both"/>
        <w:rPr>
          <w:rFonts w:ascii="宋体" w:hAnsi="宋体"/>
          <w:b/>
          <w:color w:val="auto"/>
          <w:szCs w:val="21"/>
          <w:highlight w:val="none"/>
        </w:rPr>
      </w:pPr>
      <w:r>
        <w:rPr>
          <w:rFonts w:hint="eastAsia" w:ascii="宋体" w:hAnsi="宋体"/>
          <w:b/>
          <w:color w:val="auto"/>
          <w:szCs w:val="21"/>
          <w:highlight w:val="none"/>
        </w:rPr>
        <w:t>二、投标人资格要求</w:t>
      </w:r>
    </w:p>
    <w:p w14:paraId="4235B471">
      <w:pPr>
        <w:ind w:firstLine="420" w:firstLineChars="200"/>
        <w:jc w:val="both"/>
        <w:rPr>
          <w:rFonts w:ascii="宋体" w:hAnsi="宋体"/>
          <w:color w:val="auto"/>
          <w:szCs w:val="21"/>
          <w:highlight w:val="none"/>
        </w:rPr>
      </w:pPr>
      <w:r>
        <w:rPr>
          <w:rFonts w:hint="eastAsia" w:ascii="宋体" w:hAnsi="宋体"/>
          <w:color w:val="auto"/>
          <w:szCs w:val="21"/>
          <w:highlight w:val="none"/>
        </w:rPr>
        <w:t>1、一般要求：</w:t>
      </w:r>
    </w:p>
    <w:p w14:paraId="75CF7F5C">
      <w:pPr>
        <w:keepNext w:val="0"/>
        <w:keepLines w:val="0"/>
        <w:pageBreakBefore w:val="0"/>
        <w:widowControl/>
        <w:kinsoku/>
        <w:wordWrap/>
        <w:overflowPunct/>
        <w:topLinePunct w:val="0"/>
        <w:autoSpaceDE/>
        <w:autoSpaceDN/>
        <w:bidi w:val="0"/>
        <w:adjustRightInd w:val="0"/>
        <w:snapToGrid w:val="0"/>
        <w:spacing w:line="360" w:lineRule="auto"/>
        <w:ind w:left="0"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1）投标人须为在中华人民共和国境内登记注册的具有独立承担民事责任能力的法人或其他组织【提供《营业执照》复印件（加盖公章）或《事业单位法人证书》复印件（加盖公章）或其他主体证书复印件（加盖公章）】。</w:t>
      </w:r>
    </w:p>
    <w:p w14:paraId="411A17E1">
      <w:pPr>
        <w:keepNext w:val="0"/>
        <w:keepLines w:val="0"/>
        <w:pageBreakBefore w:val="0"/>
        <w:widowControl/>
        <w:kinsoku/>
        <w:wordWrap/>
        <w:overflowPunct/>
        <w:topLinePunct w:val="0"/>
        <w:autoSpaceDE/>
        <w:autoSpaceDN/>
        <w:bidi w:val="0"/>
        <w:adjustRightInd w:val="0"/>
        <w:snapToGrid w:val="0"/>
        <w:spacing w:line="360" w:lineRule="auto"/>
        <w:ind w:left="0"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2）参加采购活动前三年内，在经营活动中没有重大违法记录（须提供书面声明）。重大违法记录，是指供应商因违法经营受到刑事处罚或者责令停产停业、吊销许可证或者执照、较大数额罚款等行政处罚。（根据财库〔2022〕3号文，“较大数额罚款”认定为200万元以上的罚款，法律、行政法规以及国务院有关部门明确规定相关领域“较大数额罚款”标准高于200万元的，从其规定，如有最新发文通知，按最新文件执行）。</w:t>
      </w:r>
    </w:p>
    <w:p w14:paraId="01EB934E">
      <w:pPr>
        <w:keepNext w:val="0"/>
        <w:keepLines w:val="0"/>
        <w:pageBreakBefore w:val="0"/>
        <w:widowControl/>
        <w:kinsoku/>
        <w:wordWrap/>
        <w:overflowPunct/>
        <w:topLinePunct w:val="0"/>
        <w:autoSpaceDE/>
        <w:autoSpaceDN/>
        <w:bidi w:val="0"/>
        <w:adjustRightInd w:val="0"/>
        <w:snapToGrid w:val="0"/>
        <w:spacing w:line="360" w:lineRule="auto"/>
        <w:ind w:left="0"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（3）投标人的单位负责人为同一人或者存在直接控股、管理关系的不同投标人，不得参加同一合同项下的采购活动。</w:t>
      </w:r>
    </w:p>
    <w:p w14:paraId="78D96DF0">
      <w:pPr>
        <w:keepNext w:val="0"/>
        <w:keepLines w:val="0"/>
        <w:pageBreakBefore w:val="0"/>
        <w:widowControl/>
        <w:kinsoku/>
        <w:wordWrap/>
        <w:overflowPunct/>
        <w:topLinePunct w:val="0"/>
        <w:autoSpaceDE/>
        <w:autoSpaceDN/>
        <w:bidi w:val="0"/>
        <w:adjustRightInd w:val="0"/>
        <w:snapToGrid w:val="0"/>
        <w:spacing w:line="360" w:lineRule="auto"/>
        <w:ind w:left="0"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（4）未被列入“信用中国”网站(www.creditchina.gov.cn )“记录失信被执行人或</w:t>
      </w:r>
      <w:r>
        <w:rPr>
          <w:rFonts w:hint="eastAsia"/>
          <w:color w:val="auto"/>
          <w:highlight w:val="none"/>
        </w:rPr>
        <w:t>重大税收违法失信主体</w:t>
      </w:r>
      <w:r>
        <w:rPr>
          <w:rFonts w:hint="eastAsia" w:ascii="宋体" w:hAnsi="宋体"/>
          <w:color w:val="auto"/>
          <w:szCs w:val="21"/>
          <w:highlight w:val="none"/>
        </w:rPr>
        <w:t>或政府采购严重违法失信行为”记录名单。以代理机构于投标截止日当天在“信用中国”网站查询结果为准，如相关失信记录已失效，投标人需提供相关证明资料。</w:t>
      </w:r>
    </w:p>
    <w:p w14:paraId="79F49AD0">
      <w:pPr>
        <w:keepNext w:val="0"/>
        <w:keepLines w:val="0"/>
        <w:pageBreakBefore w:val="0"/>
        <w:widowControl/>
        <w:kinsoku/>
        <w:wordWrap/>
        <w:overflowPunct/>
        <w:topLinePunct w:val="0"/>
        <w:autoSpaceDE/>
        <w:autoSpaceDN/>
        <w:bidi w:val="0"/>
        <w:adjustRightInd w:val="0"/>
        <w:snapToGrid w:val="0"/>
        <w:spacing w:line="360" w:lineRule="auto"/>
        <w:ind w:left="0" w:firstLine="420" w:firstLineChars="200"/>
        <w:jc w:val="both"/>
        <w:textAlignment w:val="auto"/>
        <w:rPr>
          <w:rFonts w:hint="eastAsia" w:ascii="宋体" w:hAnsi="宋体"/>
          <w:color w:val="auto"/>
          <w:szCs w:val="21"/>
          <w:highlight w:val="none"/>
        </w:rPr>
      </w:pPr>
      <w:r>
        <w:rPr>
          <w:rFonts w:hint="eastAsia" w:ascii="宋体" w:hAnsi="宋体"/>
          <w:color w:val="auto"/>
          <w:szCs w:val="21"/>
          <w:highlight w:val="none"/>
        </w:rPr>
        <w:t>（5）报价人须提供投标截止日前6个月内任意1个月依法缴纳税收的证明材料及无欠税的证明材料。如依法免税的，须提供相应证明材料（提供依法缴纳税收的证明材料及无欠税的证明材料，证明材料须加盖公章）。</w:t>
      </w:r>
    </w:p>
    <w:p w14:paraId="2D8271F7">
      <w:pPr>
        <w:keepNext w:val="0"/>
        <w:keepLines w:val="0"/>
        <w:pageBreakBefore w:val="0"/>
        <w:widowControl/>
        <w:kinsoku/>
        <w:wordWrap/>
        <w:overflowPunct/>
        <w:topLinePunct w:val="0"/>
        <w:autoSpaceDE/>
        <w:autoSpaceDN/>
        <w:bidi w:val="0"/>
        <w:adjustRightInd w:val="0"/>
        <w:snapToGrid w:val="0"/>
        <w:spacing w:line="360" w:lineRule="auto"/>
        <w:ind w:left="0" w:firstLine="420" w:firstLineChars="200"/>
        <w:jc w:val="both"/>
        <w:textAlignment w:val="auto"/>
        <w:rPr>
          <w:rFonts w:hint="eastAsia" w:ascii="宋体" w:hAnsi="宋体"/>
          <w:color w:val="auto"/>
          <w:szCs w:val="21"/>
          <w:highlight w:val="none"/>
        </w:rPr>
      </w:pPr>
      <w:r>
        <w:rPr>
          <w:rFonts w:hint="eastAsia" w:ascii="宋体" w:hAnsi="宋体"/>
          <w:color w:val="auto"/>
          <w:szCs w:val="21"/>
          <w:highlight w:val="none"/>
          <w:lang w:eastAsia="zh-CN"/>
        </w:rPr>
        <w:t>（</w:t>
      </w:r>
      <w:r>
        <w:rPr>
          <w:rFonts w:hint="eastAsia" w:ascii="宋体" w:hAnsi="宋体"/>
          <w:color w:val="auto"/>
          <w:szCs w:val="21"/>
          <w:highlight w:val="none"/>
          <w:lang w:val="en-US" w:eastAsia="zh-CN"/>
        </w:rPr>
        <w:t>6</w:t>
      </w:r>
      <w:r>
        <w:rPr>
          <w:rFonts w:hint="eastAsia" w:ascii="宋体" w:hAnsi="宋体"/>
          <w:color w:val="auto"/>
          <w:szCs w:val="21"/>
          <w:highlight w:val="none"/>
          <w:lang w:eastAsia="zh-CN"/>
        </w:rPr>
        <w:t>）</w:t>
      </w:r>
      <w:r>
        <w:rPr>
          <w:rFonts w:hint="eastAsia" w:ascii="宋体" w:hAnsi="宋体"/>
          <w:color w:val="auto"/>
          <w:szCs w:val="21"/>
          <w:highlight w:val="none"/>
        </w:rPr>
        <w:t>未被列入东实环境及下属企业相关领域黑名单。</w:t>
      </w:r>
    </w:p>
    <w:p w14:paraId="454EB5FB">
      <w:pPr>
        <w:keepNext w:val="0"/>
        <w:keepLines w:val="0"/>
        <w:pageBreakBefore w:val="0"/>
        <w:widowControl/>
        <w:kinsoku/>
        <w:wordWrap/>
        <w:overflowPunct/>
        <w:topLinePunct w:val="0"/>
        <w:autoSpaceDE/>
        <w:autoSpaceDN/>
        <w:bidi w:val="0"/>
        <w:adjustRightInd w:val="0"/>
        <w:snapToGrid w:val="0"/>
        <w:spacing w:line="360" w:lineRule="auto"/>
        <w:ind w:left="0" w:firstLine="420" w:firstLineChars="200"/>
        <w:jc w:val="both"/>
        <w:textAlignment w:val="auto"/>
        <w:rPr>
          <w:rFonts w:hint="eastAsia" w:ascii="宋体" w:hAnsi="宋体"/>
          <w:color w:val="auto"/>
          <w:szCs w:val="21"/>
          <w:highlight w:val="none"/>
        </w:rPr>
      </w:pPr>
      <w:r>
        <w:rPr>
          <w:rFonts w:hint="eastAsia" w:ascii="宋体" w:hAnsi="宋体"/>
          <w:color w:val="auto"/>
          <w:szCs w:val="21"/>
          <w:highlight w:val="none"/>
        </w:rPr>
        <w:t>（</w:t>
      </w:r>
      <w:r>
        <w:rPr>
          <w:rFonts w:hint="eastAsia" w:ascii="宋体" w:hAnsi="宋体"/>
          <w:color w:val="auto"/>
          <w:szCs w:val="21"/>
          <w:highlight w:val="none"/>
          <w:lang w:val="en-US" w:eastAsia="zh-CN"/>
        </w:rPr>
        <w:t>7</w:t>
      </w:r>
      <w:r>
        <w:rPr>
          <w:rFonts w:hint="eastAsia" w:ascii="宋体" w:hAnsi="宋体"/>
          <w:color w:val="auto"/>
          <w:szCs w:val="21"/>
          <w:highlight w:val="none"/>
        </w:rPr>
        <w:t>）本项目不接受联合体投标。</w:t>
      </w:r>
    </w:p>
    <w:p w14:paraId="5293D81B">
      <w:pPr>
        <w:keepNext w:val="0"/>
        <w:keepLines w:val="0"/>
        <w:pageBreakBefore w:val="0"/>
        <w:widowControl/>
        <w:kinsoku/>
        <w:wordWrap/>
        <w:overflowPunct/>
        <w:topLinePunct w:val="0"/>
        <w:autoSpaceDE/>
        <w:autoSpaceDN/>
        <w:bidi w:val="0"/>
        <w:adjustRightInd w:val="0"/>
        <w:snapToGrid w:val="0"/>
        <w:spacing w:line="360" w:lineRule="auto"/>
        <w:ind w:left="0"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2、其他要求</w:t>
      </w:r>
    </w:p>
    <w:p w14:paraId="5300ED43">
      <w:pPr>
        <w:keepNext w:val="0"/>
        <w:keepLines w:val="0"/>
        <w:pageBreakBefore w:val="0"/>
        <w:widowControl/>
        <w:kinsoku/>
        <w:wordWrap/>
        <w:overflowPunct/>
        <w:topLinePunct w:val="0"/>
        <w:autoSpaceDE/>
        <w:autoSpaceDN/>
        <w:bidi w:val="0"/>
        <w:adjustRightInd w:val="0"/>
        <w:snapToGrid w:val="0"/>
        <w:spacing w:line="360" w:lineRule="auto"/>
        <w:ind w:left="0" w:firstLine="420" w:firstLineChars="200"/>
        <w:jc w:val="both"/>
        <w:textAlignment w:val="auto"/>
        <w:rPr>
          <w:rFonts w:hint="eastAsia"/>
          <w:color w:val="auto"/>
          <w:highlight w:val="none"/>
          <w:u w:val="single"/>
        </w:rPr>
      </w:pPr>
      <w:r>
        <w:rPr>
          <w:rFonts w:hint="eastAsia" w:ascii="宋体" w:hAnsi="宋体" w:eastAsia="宋体"/>
          <w:color w:val="auto"/>
          <w:szCs w:val="21"/>
          <w:highlight w:val="none"/>
          <w:u w:val="single"/>
          <w:lang w:val="en-US" w:eastAsia="zh-CN"/>
        </w:rPr>
        <w:t>2.1</w:t>
      </w:r>
      <w:r>
        <w:rPr>
          <w:rFonts w:hint="eastAsia" w:ascii="宋体" w:hAnsi="宋体" w:eastAsia="宋体"/>
          <w:color w:val="auto"/>
          <w:szCs w:val="21"/>
          <w:highlight w:val="none"/>
          <w:u w:val="single"/>
        </w:rPr>
        <w:t xml:space="preserve"> 投标人</w:t>
      </w:r>
      <w:r>
        <w:rPr>
          <w:rFonts w:hint="eastAsia"/>
          <w:color w:val="auto"/>
          <w:highlight w:val="none"/>
          <w:u w:val="single"/>
        </w:rPr>
        <w:t>具有在有效期内的《道路运输经营许可证》，经营范围需涵盖“危险废物”运输（投标人须提供许可证复印件并加盖公章）。</w:t>
      </w:r>
    </w:p>
    <w:p w14:paraId="1BB5120B">
      <w:pPr>
        <w:keepNext w:val="0"/>
        <w:keepLines w:val="0"/>
        <w:pageBreakBefore w:val="0"/>
        <w:widowControl/>
        <w:numPr>
          <w:ilvl w:val="1"/>
          <w:numId w:val="0"/>
        </w:numPr>
        <w:kinsoku/>
        <w:wordWrap/>
        <w:overflowPunct/>
        <w:topLinePunct w:val="0"/>
        <w:autoSpaceDE/>
        <w:autoSpaceDN/>
        <w:bidi w:val="0"/>
        <w:adjustRightInd w:val="0"/>
        <w:snapToGrid w:val="0"/>
        <w:spacing w:line="360" w:lineRule="auto"/>
        <w:ind w:left="0" w:leftChars="0" w:firstLine="420" w:firstLineChars="200"/>
        <w:jc w:val="both"/>
        <w:textAlignment w:val="auto"/>
        <w:rPr>
          <w:rFonts w:hint="eastAsia" w:ascii="宋体" w:hAnsi="宋体" w:eastAsia="宋体"/>
          <w:color w:val="auto"/>
          <w:szCs w:val="21"/>
          <w:highlight w:val="none"/>
        </w:rPr>
      </w:pPr>
      <w:r>
        <w:rPr>
          <w:rFonts w:hint="eastAsia" w:ascii="宋体" w:hAnsi="宋体" w:eastAsia="宋体"/>
          <w:color w:val="auto"/>
          <w:szCs w:val="21"/>
          <w:highlight w:val="none"/>
          <w:lang w:val="en-US" w:eastAsia="zh-CN"/>
        </w:rPr>
        <w:t>2.2</w:t>
      </w:r>
      <w:r>
        <w:rPr>
          <w:rFonts w:hint="eastAsia" w:ascii="宋体" w:hAnsi="宋体"/>
          <w:color w:val="auto"/>
          <w:szCs w:val="21"/>
          <w:highlight w:val="none"/>
          <w:lang w:eastAsia="zh-CN"/>
        </w:rPr>
        <w:t>投标人</w:t>
      </w:r>
      <w:r>
        <w:rPr>
          <w:rFonts w:hint="eastAsia" w:ascii="宋体" w:hAnsi="宋体" w:eastAsia="宋体"/>
          <w:color w:val="auto"/>
          <w:szCs w:val="21"/>
          <w:highlight w:val="none"/>
        </w:rPr>
        <w:t>必须具有危险货物车辆、人员等配置，具体包括：</w:t>
      </w:r>
    </w:p>
    <w:p w14:paraId="370A9D7A">
      <w:pPr>
        <w:keepNext w:val="0"/>
        <w:keepLines w:val="0"/>
        <w:pageBreakBefore w:val="0"/>
        <w:widowControl/>
        <w:numPr>
          <w:ilvl w:val="0"/>
          <w:numId w:val="0"/>
        </w:numPr>
        <w:kinsoku/>
        <w:wordWrap/>
        <w:overflowPunct/>
        <w:topLinePunct w:val="0"/>
        <w:autoSpaceDE/>
        <w:autoSpaceDN/>
        <w:bidi w:val="0"/>
        <w:adjustRightInd w:val="0"/>
        <w:snapToGrid w:val="0"/>
        <w:spacing w:line="360" w:lineRule="auto"/>
        <w:ind w:left="0" w:leftChars="0" w:firstLine="420" w:firstLineChars="200"/>
        <w:jc w:val="both"/>
        <w:textAlignment w:val="auto"/>
        <w:rPr>
          <w:rFonts w:hint="eastAsia" w:ascii="宋体" w:hAnsi="宋体"/>
          <w:color w:val="auto"/>
          <w:szCs w:val="21"/>
          <w:highlight w:val="none"/>
        </w:rPr>
      </w:pPr>
      <w:r>
        <w:rPr>
          <w:rFonts w:hint="eastAsia" w:ascii="宋体" w:hAnsi="宋体"/>
          <w:color w:val="auto"/>
          <w:szCs w:val="21"/>
          <w:highlight w:val="none"/>
        </w:rPr>
        <w:t>（1）参加厢车标段的</w:t>
      </w:r>
      <w:r>
        <w:rPr>
          <w:rFonts w:hint="eastAsia" w:ascii="宋体" w:hAnsi="宋体"/>
          <w:color w:val="auto"/>
          <w:szCs w:val="21"/>
          <w:highlight w:val="none"/>
          <w:lang w:eastAsia="zh-CN"/>
        </w:rPr>
        <w:t>投标人</w:t>
      </w:r>
      <w:r>
        <w:rPr>
          <w:rFonts w:hint="eastAsia" w:ascii="宋体" w:hAnsi="宋体"/>
          <w:color w:val="auto"/>
          <w:szCs w:val="21"/>
          <w:highlight w:val="none"/>
        </w:rPr>
        <w:t>提供不少于5台</w:t>
      </w:r>
      <w:r>
        <w:rPr>
          <w:rFonts w:hint="eastAsia" w:ascii="宋体" w:hAnsi="宋体"/>
          <w:color w:val="auto"/>
          <w:szCs w:val="21"/>
          <w:highlight w:val="none"/>
          <w:lang w:eastAsia="zh-CN"/>
        </w:rPr>
        <w:t>投标人</w:t>
      </w:r>
      <w:r>
        <w:rPr>
          <w:rFonts w:hint="eastAsia" w:ascii="宋体" w:hAnsi="宋体"/>
          <w:color w:val="auto"/>
          <w:szCs w:val="21"/>
          <w:highlight w:val="none"/>
        </w:rPr>
        <w:t>自有厢车信息及对应的《道路运输证》，以及提供不少于5名对应厢车驾驶员和不少于5名押运员材料【提供不少于5台厢车《道路运输证》复印件，不少于5名驾驶员的《道路运输从业人员从业资格证》且从业资格类别包括“道路危险货物运输驾驶”，不少于5名押运员的《道路运输从业人员从业资格证》且从业资格类别包括“道路危险货物运输押运人员”，均加盖公章】；</w:t>
      </w:r>
    </w:p>
    <w:p w14:paraId="28A2CB18">
      <w:pPr>
        <w:keepNext w:val="0"/>
        <w:keepLines w:val="0"/>
        <w:pageBreakBefore w:val="0"/>
        <w:widowControl/>
        <w:numPr>
          <w:ilvl w:val="0"/>
          <w:numId w:val="0"/>
        </w:numPr>
        <w:kinsoku/>
        <w:wordWrap/>
        <w:overflowPunct/>
        <w:topLinePunct w:val="0"/>
        <w:autoSpaceDE/>
        <w:autoSpaceDN/>
        <w:bidi w:val="0"/>
        <w:adjustRightInd w:val="0"/>
        <w:snapToGrid w:val="0"/>
        <w:spacing w:line="360" w:lineRule="auto"/>
        <w:ind w:left="0" w:leftChars="0" w:firstLine="420" w:firstLineChars="200"/>
        <w:jc w:val="both"/>
        <w:textAlignment w:val="auto"/>
        <w:rPr>
          <w:rFonts w:hint="eastAsia" w:ascii="宋体" w:hAnsi="宋体" w:eastAsia="宋体"/>
          <w:color w:val="auto"/>
          <w:szCs w:val="21"/>
          <w:highlight w:val="none"/>
        </w:rPr>
      </w:pPr>
      <w:r>
        <w:rPr>
          <w:rFonts w:hint="eastAsia" w:ascii="宋体" w:hAnsi="宋体"/>
          <w:color w:val="auto"/>
          <w:szCs w:val="21"/>
          <w:highlight w:val="none"/>
        </w:rPr>
        <w:t>（2）参加槽车标段的</w:t>
      </w:r>
      <w:r>
        <w:rPr>
          <w:rFonts w:hint="eastAsia" w:ascii="宋体" w:hAnsi="宋体"/>
          <w:color w:val="auto"/>
          <w:szCs w:val="21"/>
          <w:highlight w:val="none"/>
          <w:lang w:eastAsia="zh-CN"/>
        </w:rPr>
        <w:t>投标人</w:t>
      </w:r>
      <w:r>
        <w:rPr>
          <w:rFonts w:hint="eastAsia" w:ascii="宋体" w:hAnsi="宋体"/>
          <w:color w:val="auto"/>
          <w:szCs w:val="21"/>
          <w:highlight w:val="none"/>
        </w:rPr>
        <w:t>提供不少于5台槽车信息及对应的《道路运输证》（非自有车辆提供</w:t>
      </w:r>
      <w:r>
        <w:rPr>
          <w:rFonts w:hint="eastAsia" w:ascii="宋体" w:hAnsi="宋体"/>
          <w:color w:val="auto"/>
          <w:szCs w:val="21"/>
          <w:highlight w:val="none"/>
          <w:lang w:eastAsia="zh-CN"/>
        </w:rPr>
        <w:t>投标人</w:t>
      </w:r>
      <w:r>
        <w:rPr>
          <w:rFonts w:hint="eastAsia" w:ascii="宋体" w:hAnsi="宋体"/>
          <w:color w:val="auto"/>
          <w:szCs w:val="21"/>
          <w:highlight w:val="none"/>
        </w:rPr>
        <w:t>与承租方的租赁合同或合作协议），以及提供不少于5名对应槽车驾驶员和不少于5名押运员材料【提供不少于5台槽车《道路运输证》复印件，不少于5名驾驶员的《道路运输从业人员从业资格证》且从业资格类别包括“道路危险货物运输驾驶”，不少于5名押运员的《道路运输从业人员从业资格证》且从业资格类别包括“道路危险货物运输押运人员”，均加盖公章】；</w:t>
      </w:r>
    </w:p>
    <w:p w14:paraId="34194C23">
      <w:pPr>
        <w:keepNext w:val="0"/>
        <w:keepLines w:val="0"/>
        <w:pageBreakBefore w:val="0"/>
        <w:widowControl/>
        <w:numPr>
          <w:ilvl w:val="0"/>
          <w:numId w:val="0"/>
        </w:numPr>
        <w:kinsoku/>
        <w:wordWrap/>
        <w:overflowPunct/>
        <w:topLinePunct w:val="0"/>
        <w:autoSpaceDE/>
        <w:autoSpaceDN/>
        <w:bidi w:val="0"/>
        <w:adjustRightInd w:val="0"/>
        <w:snapToGrid w:val="0"/>
        <w:spacing w:line="360" w:lineRule="auto"/>
        <w:ind w:left="0" w:leftChars="0" w:firstLine="420" w:firstLineChars="200"/>
        <w:jc w:val="both"/>
        <w:textAlignment w:val="auto"/>
        <w:rPr>
          <w:rFonts w:hint="eastAsia" w:ascii="宋体" w:hAnsi="宋体" w:eastAsia="宋体"/>
          <w:color w:val="auto"/>
          <w:szCs w:val="21"/>
          <w:highlight w:val="none"/>
        </w:rPr>
      </w:pPr>
      <w:r>
        <w:rPr>
          <w:rFonts w:hint="eastAsia" w:ascii="宋体" w:hAnsi="宋体"/>
          <w:color w:val="auto"/>
          <w:szCs w:val="21"/>
          <w:highlight w:val="none"/>
          <w:lang w:val="en-US" w:eastAsia="zh-CN"/>
        </w:rPr>
        <w:t>2.3</w:t>
      </w:r>
      <w:r>
        <w:rPr>
          <w:rFonts w:hint="eastAsia" w:ascii="宋体" w:hAnsi="宋体" w:eastAsia="宋体"/>
          <w:color w:val="auto"/>
          <w:szCs w:val="21"/>
          <w:highlight w:val="none"/>
        </w:rPr>
        <w:t>厢车类型</w:t>
      </w:r>
      <w:r>
        <w:rPr>
          <w:rFonts w:hint="eastAsia" w:ascii="宋体" w:hAnsi="宋体"/>
          <w:color w:val="auto"/>
          <w:szCs w:val="21"/>
          <w:highlight w:val="none"/>
          <w:lang w:eastAsia="zh-CN"/>
        </w:rPr>
        <w:t>投标人</w:t>
      </w:r>
      <w:r>
        <w:rPr>
          <w:rFonts w:hint="eastAsia" w:ascii="宋体" w:hAnsi="宋体" w:eastAsia="宋体"/>
          <w:color w:val="auto"/>
          <w:szCs w:val="21"/>
          <w:highlight w:val="none"/>
        </w:rPr>
        <w:t>必须具备：</w:t>
      </w:r>
    </w:p>
    <w:p w14:paraId="6C4F7EB3">
      <w:pPr>
        <w:keepNext w:val="0"/>
        <w:keepLines w:val="0"/>
        <w:pageBreakBefore w:val="0"/>
        <w:widowControl/>
        <w:numPr>
          <w:ilvl w:val="0"/>
          <w:numId w:val="0"/>
        </w:numPr>
        <w:kinsoku/>
        <w:wordWrap/>
        <w:overflowPunct/>
        <w:topLinePunct w:val="0"/>
        <w:autoSpaceDE/>
        <w:autoSpaceDN/>
        <w:bidi w:val="0"/>
        <w:adjustRightInd w:val="0"/>
        <w:snapToGrid w:val="0"/>
        <w:spacing w:line="360" w:lineRule="auto"/>
        <w:ind w:left="0" w:leftChars="0" w:firstLine="420" w:firstLineChars="200"/>
        <w:jc w:val="both"/>
        <w:textAlignment w:val="auto"/>
        <w:rPr>
          <w:rFonts w:hint="eastAsia" w:ascii="宋体" w:hAnsi="宋体" w:eastAsia="宋体"/>
          <w:color w:val="auto"/>
          <w:szCs w:val="21"/>
          <w:highlight w:val="none"/>
        </w:rPr>
      </w:pPr>
      <w:r>
        <w:rPr>
          <w:rFonts w:hint="eastAsia" w:ascii="宋体" w:hAnsi="宋体" w:eastAsia="宋体"/>
          <w:color w:val="auto"/>
          <w:szCs w:val="21"/>
          <w:highlight w:val="none"/>
        </w:rPr>
        <w:t>必须符合：“广东省固体废物环境监管信息平台”</w:t>
      </w:r>
      <w:r>
        <w:rPr>
          <w:rFonts w:hint="eastAsia" w:ascii="宋体" w:hAnsi="宋体"/>
          <w:color w:val="auto"/>
          <w:szCs w:val="21"/>
          <w:highlight w:val="none"/>
          <w:lang w:eastAsia="zh-CN"/>
        </w:rPr>
        <w:t>（</w:t>
      </w:r>
      <w:r>
        <w:rPr>
          <w:rFonts w:hint="eastAsia" w:ascii="宋体" w:hAnsi="宋体" w:eastAsia="宋体"/>
          <w:color w:val="auto"/>
          <w:szCs w:val="21"/>
          <w:highlight w:val="none"/>
        </w:rPr>
        <w:t>https://www-app.gdeei.cn/gfjgqy-rz/login</w:t>
      </w:r>
      <w:r>
        <w:rPr>
          <w:rFonts w:hint="eastAsia" w:ascii="宋体" w:hAnsi="宋体"/>
          <w:color w:val="auto"/>
          <w:szCs w:val="21"/>
          <w:highlight w:val="none"/>
          <w:lang w:eastAsia="zh-CN"/>
        </w:rPr>
        <w:t>）</w:t>
      </w:r>
      <w:r>
        <w:rPr>
          <w:rFonts w:hint="eastAsia" w:ascii="宋体" w:hAnsi="宋体" w:eastAsia="宋体"/>
          <w:color w:val="auto"/>
          <w:szCs w:val="21"/>
          <w:highlight w:val="none"/>
        </w:rPr>
        <w:t>，</w:t>
      </w:r>
      <w:r>
        <w:rPr>
          <w:rFonts w:hint="eastAsia" w:ascii="宋体" w:hAnsi="宋体" w:eastAsia="宋体"/>
          <w:b/>
          <w:bCs/>
          <w:color w:val="auto"/>
          <w:szCs w:val="21"/>
          <w:highlight w:val="none"/>
        </w:rPr>
        <w:t>2023年全年</w:t>
      </w:r>
      <w:r>
        <w:rPr>
          <w:rFonts w:hint="eastAsia" w:ascii="宋体" w:hAnsi="宋体" w:eastAsia="宋体"/>
          <w:color w:val="auto"/>
          <w:szCs w:val="21"/>
          <w:highlight w:val="none"/>
        </w:rPr>
        <w:t>运输危险废物，如下处置方式的合计总量</w:t>
      </w:r>
      <w:r>
        <w:rPr>
          <w:rFonts w:hint="eastAsia" w:ascii="宋体" w:hAnsi="宋体" w:eastAsia="宋体"/>
          <w:b/>
          <w:bCs/>
          <w:color w:val="auto"/>
          <w:szCs w:val="21"/>
          <w:highlight w:val="none"/>
        </w:rPr>
        <w:t>不低于1000吨</w:t>
      </w:r>
      <w:r>
        <w:rPr>
          <w:rFonts w:hint="eastAsia" w:ascii="宋体" w:hAnsi="宋体" w:eastAsia="宋体"/>
          <w:color w:val="auto"/>
          <w:szCs w:val="21"/>
          <w:highlight w:val="none"/>
        </w:rPr>
        <w:t>：固废平台数据筛选按下表：</w:t>
      </w:r>
    </w:p>
    <w:tbl>
      <w:tblPr>
        <w:tblStyle w:val="29"/>
        <w:tblW w:w="85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74"/>
        <w:gridCol w:w="2316"/>
        <w:gridCol w:w="4110"/>
      </w:tblGrid>
      <w:tr w14:paraId="2C3511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2074" w:type="dxa"/>
            <w:vAlign w:val="center"/>
          </w:tcPr>
          <w:p w14:paraId="099EBA41">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处置方式大类</w:t>
            </w:r>
          </w:p>
        </w:tc>
        <w:tc>
          <w:tcPr>
            <w:tcW w:w="2316" w:type="dxa"/>
            <w:vAlign w:val="center"/>
          </w:tcPr>
          <w:p w14:paraId="64B0DE3C">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处置方式小类</w:t>
            </w:r>
          </w:p>
        </w:tc>
        <w:tc>
          <w:tcPr>
            <w:tcW w:w="4110" w:type="dxa"/>
            <w:vAlign w:val="center"/>
          </w:tcPr>
          <w:p w14:paraId="29153EE2">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2023年合计量（吨）</w:t>
            </w:r>
          </w:p>
        </w:tc>
      </w:tr>
      <w:tr w14:paraId="4AF59E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74" w:type="dxa"/>
            <w:vMerge w:val="restart"/>
            <w:vAlign w:val="center"/>
          </w:tcPr>
          <w:p w14:paraId="60004C32">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D-处置</w:t>
            </w:r>
          </w:p>
        </w:tc>
        <w:tc>
          <w:tcPr>
            <w:tcW w:w="2316" w:type="dxa"/>
            <w:vAlign w:val="center"/>
          </w:tcPr>
          <w:p w14:paraId="325B5D0B">
            <w:pPr>
              <w:numPr>
                <w:ilvl w:val="0"/>
                <w:numId w:val="0"/>
              </w:numPr>
              <w:spacing w:line="400" w:lineRule="exact"/>
              <w:ind w:left="426" w:leftChars="0"/>
              <w:rPr>
                <w:rFonts w:hint="default" w:ascii="宋体" w:hAnsi="宋体" w:eastAsia="宋体"/>
                <w:color w:val="auto"/>
                <w:szCs w:val="21"/>
                <w:highlight w:val="none"/>
                <w:lang w:val="en-US" w:eastAsia="zh-CN"/>
              </w:rPr>
            </w:pPr>
            <w:r>
              <w:rPr>
                <w:rFonts w:hint="eastAsia" w:ascii="宋体" w:hAnsi="宋体"/>
                <w:color w:val="auto"/>
                <w:szCs w:val="21"/>
                <w:highlight w:val="none"/>
                <w:lang w:val="en-US" w:eastAsia="zh-CN"/>
              </w:rPr>
              <w:t>D9物理化学处理</w:t>
            </w:r>
          </w:p>
        </w:tc>
        <w:tc>
          <w:tcPr>
            <w:tcW w:w="4110" w:type="dxa"/>
            <w:vMerge w:val="restart"/>
            <w:vAlign w:val="center"/>
          </w:tcPr>
          <w:p w14:paraId="4C62B7FD">
            <w:pPr>
              <w:numPr>
                <w:ilvl w:val="0"/>
                <w:numId w:val="0"/>
              </w:numPr>
              <w:spacing w:line="400" w:lineRule="exact"/>
              <w:ind w:left="0" w:leftChars="0"/>
              <w:rPr>
                <w:rFonts w:hint="eastAsia" w:ascii="宋体" w:hAnsi="宋体" w:eastAsia="宋体"/>
                <w:color w:val="auto"/>
                <w:szCs w:val="21"/>
                <w:highlight w:val="none"/>
              </w:rPr>
            </w:pPr>
          </w:p>
        </w:tc>
      </w:tr>
      <w:tr w14:paraId="642148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74" w:type="dxa"/>
            <w:vMerge w:val="continue"/>
            <w:vAlign w:val="center"/>
          </w:tcPr>
          <w:p w14:paraId="5C1E1B7B">
            <w:pPr>
              <w:numPr>
                <w:ilvl w:val="0"/>
                <w:numId w:val="0"/>
              </w:numPr>
              <w:spacing w:line="400" w:lineRule="exact"/>
              <w:ind w:left="426" w:leftChars="0"/>
              <w:rPr>
                <w:rFonts w:hint="eastAsia" w:ascii="宋体" w:hAnsi="宋体" w:eastAsia="宋体"/>
                <w:color w:val="auto"/>
                <w:szCs w:val="21"/>
                <w:highlight w:val="none"/>
              </w:rPr>
            </w:pPr>
          </w:p>
        </w:tc>
        <w:tc>
          <w:tcPr>
            <w:tcW w:w="2316" w:type="dxa"/>
            <w:vAlign w:val="center"/>
          </w:tcPr>
          <w:p w14:paraId="7747E518">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D10-焚烧</w:t>
            </w:r>
          </w:p>
        </w:tc>
        <w:tc>
          <w:tcPr>
            <w:tcW w:w="4110" w:type="dxa"/>
            <w:vMerge w:val="continue"/>
            <w:vAlign w:val="center"/>
          </w:tcPr>
          <w:p w14:paraId="7DA8B316">
            <w:pPr>
              <w:numPr>
                <w:ilvl w:val="0"/>
                <w:numId w:val="0"/>
              </w:numPr>
              <w:spacing w:line="400" w:lineRule="exact"/>
              <w:ind w:left="0" w:leftChars="0"/>
              <w:rPr>
                <w:rFonts w:hint="eastAsia" w:ascii="宋体" w:hAnsi="宋体" w:eastAsia="宋体"/>
                <w:color w:val="auto"/>
                <w:szCs w:val="21"/>
                <w:highlight w:val="none"/>
              </w:rPr>
            </w:pPr>
          </w:p>
        </w:tc>
      </w:tr>
      <w:tr w14:paraId="407745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74" w:type="dxa"/>
            <w:vMerge w:val="continue"/>
            <w:vAlign w:val="center"/>
          </w:tcPr>
          <w:p w14:paraId="596DC9D3">
            <w:pPr>
              <w:spacing w:line="400" w:lineRule="exact"/>
              <w:ind w:left="851" w:hanging="425"/>
              <w:rPr>
                <w:rFonts w:hint="eastAsia" w:ascii="宋体" w:hAnsi="宋体" w:eastAsia="宋体"/>
                <w:color w:val="auto"/>
                <w:szCs w:val="21"/>
                <w:highlight w:val="none"/>
              </w:rPr>
            </w:pPr>
          </w:p>
        </w:tc>
        <w:tc>
          <w:tcPr>
            <w:tcW w:w="2316" w:type="dxa"/>
            <w:vAlign w:val="center"/>
          </w:tcPr>
          <w:p w14:paraId="106B61B5">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D16-其他</w:t>
            </w:r>
          </w:p>
        </w:tc>
        <w:tc>
          <w:tcPr>
            <w:tcW w:w="4110" w:type="dxa"/>
            <w:vMerge w:val="continue"/>
            <w:vAlign w:val="center"/>
          </w:tcPr>
          <w:p w14:paraId="49EAB2C2">
            <w:pPr>
              <w:spacing w:line="400" w:lineRule="exact"/>
              <w:ind w:left="851" w:hanging="425"/>
              <w:rPr>
                <w:rFonts w:hint="eastAsia" w:ascii="宋体" w:hAnsi="宋体" w:eastAsia="宋体"/>
                <w:color w:val="auto"/>
                <w:szCs w:val="21"/>
                <w:highlight w:val="none"/>
              </w:rPr>
            </w:pPr>
          </w:p>
        </w:tc>
      </w:tr>
      <w:tr w14:paraId="2B42E0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74" w:type="dxa"/>
            <w:vAlign w:val="center"/>
          </w:tcPr>
          <w:p w14:paraId="1154BCB8">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S-贮存</w:t>
            </w:r>
          </w:p>
        </w:tc>
        <w:tc>
          <w:tcPr>
            <w:tcW w:w="2316" w:type="dxa"/>
            <w:vAlign w:val="center"/>
          </w:tcPr>
          <w:p w14:paraId="5A70F238">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S01至S06</w:t>
            </w:r>
          </w:p>
        </w:tc>
        <w:tc>
          <w:tcPr>
            <w:tcW w:w="4110" w:type="dxa"/>
            <w:vMerge w:val="continue"/>
            <w:vAlign w:val="center"/>
          </w:tcPr>
          <w:p w14:paraId="5A872BB0">
            <w:pPr>
              <w:spacing w:line="400" w:lineRule="exact"/>
              <w:ind w:left="851" w:hanging="425"/>
              <w:rPr>
                <w:rFonts w:hint="eastAsia" w:ascii="宋体" w:hAnsi="宋体" w:eastAsia="宋体"/>
                <w:color w:val="auto"/>
                <w:szCs w:val="21"/>
                <w:highlight w:val="none"/>
              </w:rPr>
            </w:pPr>
          </w:p>
        </w:tc>
      </w:tr>
      <w:tr w14:paraId="757955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00" w:type="dxa"/>
            <w:gridSpan w:val="3"/>
            <w:vAlign w:val="center"/>
          </w:tcPr>
          <w:p w14:paraId="4758497D">
            <w:pPr>
              <w:numPr>
                <w:ilvl w:val="-1"/>
                <w:numId w:val="0"/>
              </w:numPr>
              <w:spacing w:line="400" w:lineRule="exact"/>
              <w:ind w:left="0" w:firstLine="0"/>
              <w:rPr>
                <w:rFonts w:hint="eastAsia" w:ascii="宋体" w:hAnsi="宋体"/>
                <w:color w:val="auto"/>
                <w:szCs w:val="21"/>
                <w:highlight w:val="none"/>
                <w:lang w:val="en-US" w:eastAsia="zh-CN"/>
              </w:rPr>
            </w:pPr>
            <w:r>
              <w:rPr>
                <w:rFonts w:hint="eastAsia" w:ascii="宋体" w:hAnsi="宋体"/>
                <w:color w:val="auto"/>
                <w:szCs w:val="21"/>
                <w:highlight w:val="none"/>
                <w:lang w:val="en-US" w:eastAsia="zh-CN"/>
              </w:rPr>
              <w:t>备注：</w:t>
            </w:r>
            <w:r>
              <w:rPr>
                <w:rFonts w:hint="eastAsia" w:ascii="宋体" w:hAnsi="宋体"/>
                <w:b/>
                <w:bCs/>
                <w:color w:val="auto"/>
                <w:szCs w:val="21"/>
                <w:highlight w:val="none"/>
                <w:lang w:val="en-US" w:eastAsia="zh-CN"/>
              </w:rPr>
              <w:t>要求提供</w:t>
            </w:r>
            <w:r>
              <w:rPr>
                <w:rFonts w:hint="eastAsia" w:ascii="宋体" w:hAnsi="宋体"/>
                <w:b/>
                <w:bCs/>
                <w:color w:val="auto"/>
                <w:szCs w:val="21"/>
                <w:highlight w:val="none"/>
              </w:rPr>
              <w:t>“广东省固体废物环境监管信息平台”</w:t>
            </w:r>
            <w:r>
              <w:rPr>
                <w:rFonts w:hint="eastAsia" w:ascii="宋体" w:hAnsi="宋体"/>
                <w:b/>
                <w:bCs/>
                <w:color w:val="auto"/>
                <w:szCs w:val="21"/>
                <w:highlight w:val="none"/>
                <w:lang w:val="en-US" w:eastAsia="zh-CN"/>
              </w:rPr>
              <w:t>截图证明及加盖公章</w:t>
            </w:r>
            <w:r>
              <w:rPr>
                <w:rFonts w:hint="eastAsia" w:ascii="宋体" w:hAnsi="宋体"/>
                <w:color w:val="auto"/>
                <w:szCs w:val="21"/>
                <w:highlight w:val="none"/>
                <w:lang w:val="en-US" w:eastAsia="zh-CN"/>
              </w:rPr>
              <w:t>（示例见图1），包括但不限于：</w:t>
            </w:r>
          </w:p>
          <w:p w14:paraId="4FC283B1">
            <w:pPr>
              <w:numPr>
                <w:ilvl w:val="-1"/>
                <w:numId w:val="0"/>
              </w:numPr>
              <w:spacing w:line="400" w:lineRule="exact"/>
              <w:ind w:left="0" w:firstLine="0"/>
              <w:rPr>
                <w:rFonts w:hint="default" w:ascii="宋体" w:hAnsi="宋体"/>
                <w:color w:val="auto"/>
                <w:szCs w:val="21"/>
                <w:highlight w:val="none"/>
              </w:rPr>
            </w:pPr>
            <w:r>
              <w:rPr>
                <w:rFonts w:hint="eastAsia" w:ascii="宋体" w:hAnsi="宋体"/>
                <w:color w:val="auto"/>
                <w:szCs w:val="21"/>
                <w:highlight w:val="none"/>
                <w:lang w:val="en-US" w:eastAsia="zh-CN"/>
              </w:rPr>
              <w:t>①</w:t>
            </w:r>
            <w:r>
              <w:rPr>
                <w:rFonts w:hint="default" w:ascii="宋体" w:hAnsi="宋体"/>
                <w:color w:val="auto"/>
                <w:szCs w:val="21"/>
                <w:highlight w:val="none"/>
              </w:rPr>
              <w:t>处置方式大类：D-处置且不含</w:t>
            </w:r>
            <w:r>
              <w:rPr>
                <w:rFonts w:hint="eastAsia" w:ascii="宋体" w:hAnsi="宋体"/>
                <w:color w:val="auto"/>
                <w:szCs w:val="21"/>
                <w:highlight w:val="none"/>
                <w:lang w:eastAsia="zh-CN"/>
              </w:rPr>
              <w:t>“</w:t>
            </w:r>
            <w:r>
              <w:rPr>
                <w:rFonts w:hint="default" w:ascii="宋体" w:hAnsi="宋体"/>
                <w:color w:val="auto"/>
                <w:szCs w:val="21"/>
                <w:highlight w:val="none"/>
              </w:rPr>
              <w:t>D1-填埋</w:t>
            </w:r>
            <w:r>
              <w:rPr>
                <w:rFonts w:hint="eastAsia" w:ascii="宋体" w:hAnsi="宋体"/>
                <w:color w:val="auto"/>
                <w:szCs w:val="21"/>
                <w:highlight w:val="none"/>
                <w:lang w:eastAsia="zh-CN"/>
              </w:rPr>
              <w:t>”</w:t>
            </w:r>
            <w:r>
              <w:rPr>
                <w:rFonts w:hint="eastAsia" w:ascii="宋体" w:hAnsi="宋体"/>
                <w:color w:val="auto"/>
                <w:szCs w:val="21"/>
                <w:highlight w:val="none"/>
                <w:lang w:val="en-US" w:eastAsia="zh-CN"/>
              </w:rPr>
              <w:t>（示例见图2）</w:t>
            </w:r>
            <w:r>
              <w:rPr>
                <w:rFonts w:hint="default" w:ascii="宋体" w:hAnsi="宋体"/>
                <w:color w:val="auto"/>
                <w:szCs w:val="21"/>
                <w:highlight w:val="none"/>
              </w:rPr>
              <w:t>；</w:t>
            </w:r>
            <w:r>
              <w:rPr>
                <w:rFonts w:hint="eastAsia" w:ascii="宋体" w:hAnsi="宋体"/>
                <w:color w:val="auto"/>
                <w:szCs w:val="21"/>
                <w:highlight w:val="none"/>
                <w:lang w:val="en-US" w:eastAsia="zh-CN"/>
              </w:rPr>
              <w:t>要求D9、</w:t>
            </w:r>
            <w:r>
              <w:rPr>
                <w:rFonts w:hint="default" w:ascii="宋体" w:hAnsi="宋体"/>
                <w:color w:val="auto"/>
                <w:szCs w:val="21"/>
                <w:highlight w:val="none"/>
              </w:rPr>
              <w:t>D10、D16分别打印3页盖章。</w:t>
            </w:r>
          </w:p>
          <w:p w14:paraId="13D28660">
            <w:pPr>
              <w:numPr>
                <w:ilvl w:val="-1"/>
                <w:numId w:val="0"/>
              </w:numPr>
              <w:spacing w:line="400" w:lineRule="exact"/>
              <w:ind w:left="0" w:leftChars="0" w:firstLine="0" w:firstLineChars="0"/>
              <w:rPr>
                <w:rFonts w:hint="default" w:ascii="宋体" w:hAnsi="宋体" w:eastAsia="宋体" w:cstheme="minorBidi"/>
                <w:color w:val="auto"/>
                <w:sz w:val="21"/>
                <w:szCs w:val="21"/>
                <w:highlight w:val="none"/>
                <w:lang w:val="en-US" w:eastAsia="zh-CN" w:bidi="ar-SA"/>
              </w:rPr>
            </w:pPr>
            <w:r>
              <w:rPr>
                <w:rFonts w:hint="eastAsia" w:ascii="宋体" w:hAnsi="宋体"/>
                <w:color w:val="auto"/>
                <w:szCs w:val="21"/>
                <w:highlight w:val="none"/>
                <w:lang w:eastAsia="zh-CN"/>
              </w:rPr>
              <w:t>②</w:t>
            </w:r>
            <w:r>
              <w:rPr>
                <w:rFonts w:hint="default" w:ascii="宋体" w:hAnsi="宋体"/>
                <w:color w:val="auto"/>
                <w:szCs w:val="21"/>
                <w:highlight w:val="none"/>
              </w:rPr>
              <w:t>处置方式大类：S-贮存</w:t>
            </w:r>
            <w:r>
              <w:rPr>
                <w:rFonts w:hint="eastAsia" w:ascii="宋体" w:hAnsi="宋体"/>
                <w:color w:val="auto"/>
                <w:szCs w:val="21"/>
                <w:highlight w:val="none"/>
                <w:lang w:val="en-US" w:eastAsia="zh-CN"/>
              </w:rPr>
              <w:t>（示例见图3）</w:t>
            </w:r>
            <w:r>
              <w:rPr>
                <w:rFonts w:hint="default" w:ascii="宋体" w:hAnsi="宋体"/>
                <w:color w:val="auto"/>
                <w:szCs w:val="21"/>
                <w:highlight w:val="none"/>
              </w:rPr>
              <w:t>，打印1页盖章。</w:t>
            </w:r>
          </w:p>
        </w:tc>
      </w:tr>
    </w:tbl>
    <w:p w14:paraId="2418F568">
      <w:pPr>
        <w:numPr>
          <w:ilvl w:val="0"/>
          <w:numId w:val="0"/>
        </w:numPr>
        <w:spacing w:line="400" w:lineRule="exact"/>
        <w:ind w:left="0" w:leftChars="0"/>
        <w:jc w:val="center"/>
        <w:rPr>
          <w:rFonts w:hint="eastAsia" w:ascii="宋体" w:hAnsi="宋体"/>
          <w:color w:val="auto"/>
          <w:szCs w:val="21"/>
          <w:highlight w:val="none"/>
          <w:lang w:val="en-US" w:eastAsia="zh-CN"/>
        </w:rPr>
      </w:pPr>
      <w:r>
        <w:rPr>
          <w:rFonts w:hint="eastAsia" w:ascii="宋体" w:hAnsi="宋体" w:eastAsia="宋体"/>
          <w:color w:val="auto"/>
          <w:szCs w:val="21"/>
          <w:highlight w:val="none"/>
        </w:rPr>
        <w:drawing>
          <wp:anchor distT="0" distB="0" distL="0" distR="0" simplePos="0" relativeHeight="251659264" behindDoc="0" locked="0" layoutInCell="1" allowOverlap="1">
            <wp:simplePos x="0" y="0"/>
            <wp:positionH relativeFrom="column">
              <wp:posOffset>-50800</wp:posOffset>
            </wp:positionH>
            <wp:positionV relativeFrom="paragraph">
              <wp:posOffset>172085</wp:posOffset>
            </wp:positionV>
            <wp:extent cx="5237480" cy="2829560"/>
            <wp:effectExtent l="0" t="0" r="7620" b="2540"/>
            <wp:wrapTopAndBottom/>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13"/>
                    <a:stretch>
                      <a:fillRect/>
                    </a:stretch>
                  </pic:blipFill>
                  <pic:spPr>
                    <a:xfrm>
                      <a:off x="0" y="0"/>
                      <a:ext cx="5255819" cy="2839889"/>
                    </a:xfrm>
                    <a:prstGeom prst="rect">
                      <a:avLst/>
                    </a:prstGeom>
                  </pic:spPr>
                </pic:pic>
              </a:graphicData>
            </a:graphic>
          </wp:anchor>
        </w:drawing>
      </w:r>
      <w:r>
        <w:rPr>
          <w:rFonts w:hint="eastAsia" w:ascii="宋体" w:hAnsi="宋体" w:eastAsia="宋体"/>
          <w:color w:val="auto"/>
          <w:szCs w:val="21"/>
          <w:highlight w:val="none"/>
        </w:rPr>
        <w:t>▲</w:t>
      </w:r>
      <w:r>
        <w:rPr>
          <w:rFonts w:hint="eastAsia" w:ascii="宋体" w:hAnsi="宋体"/>
          <w:color w:val="auto"/>
          <w:szCs w:val="21"/>
          <w:highlight w:val="none"/>
          <w:lang w:val="en-US" w:eastAsia="zh-CN"/>
        </w:rPr>
        <w:t>图1</w:t>
      </w:r>
    </w:p>
    <w:p w14:paraId="171DDF8B">
      <w:pPr>
        <w:numPr>
          <w:ilvl w:val="0"/>
          <w:numId w:val="0"/>
        </w:numPr>
        <w:spacing w:line="400" w:lineRule="exact"/>
        <w:ind w:left="0" w:leftChars="0"/>
        <w:jc w:val="center"/>
        <w:rPr>
          <w:rFonts w:hint="eastAsia" w:ascii="宋体" w:hAnsi="宋体"/>
          <w:color w:val="auto"/>
          <w:szCs w:val="21"/>
          <w:highlight w:val="none"/>
          <w:lang w:val="en-US" w:eastAsia="zh-CN"/>
        </w:rPr>
      </w:pPr>
      <w:r>
        <w:rPr>
          <w:rFonts w:hint="eastAsia" w:ascii="仿宋" w:hAnsi="仿宋" w:eastAsia="仿宋"/>
          <w:sz w:val="28"/>
          <w:szCs w:val="28"/>
          <w:highlight w:val="none"/>
        </w:rPr>
        <w:drawing>
          <wp:anchor distT="0" distB="0" distL="114300" distR="114300" simplePos="0" relativeHeight="251663360" behindDoc="0" locked="0" layoutInCell="1" allowOverlap="1">
            <wp:simplePos x="0" y="0"/>
            <wp:positionH relativeFrom="column">
              <wp:posOffset>-42545</wp:posOffset>
            </wp:positionH>
            <wp:positionV relativeFrom="paragraph">
              <wp:posOffset>8890</wp:posOffset>
            </wp:positionV>
            <wp:extent cx="5273040" cy="706755"/>
            <wp:effectExtent l="0" t="0" r="3810" b="17145"/>
            <wp:wrapSquare wrapText="bothSides"/>
            <wp:docPr id="391391622" name="图片 391391622" descr="1715052146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1391622" name="图片 391391622" descr="1715052146446"/>
                    <pic:cNvPicPr>
                      <a:picLocks noChangeAspect="1"/>
                    </pic:cNvPicPr>
                  </pic:nvPicPr>
                  <pic:blipFill>
                    <a:blip r:embed="rId14"/>
                    <a:stretch>
                      <a:fillRect/>
                    </a:stretch>
                  </pic:blipFill>
                  <pic:spPr>
                    <a:xfrm>
                      <a:off x="0" y="0"/>
                      <a:ext cx="5273040" cy="706755"/>
                    </a:xfrm>
                    <a:prstGeom prst="rect">
                      <a:avLst/>
                    </a:prstGeom>
                  </pic:spPr>
                </pic:pic>
              </a:graphicData>
            </a:graphic>
          </wp:anchor>
        </w:drawing>
      </w:r>
      <w:r>
        <w:rPr>
          <w:rFonts w:hint="eastAsia" w:ascii="宋体" w:hAnsi="宋体" w:eastAsia="宋体"/>
          <w:color w:val="auto"/>
          <w:szCs w:val="21"/>
          <w:highlight w:val="none"/>
        </w:rPr>
        <w:t>▲</w:t>
      </w:r>
      <w:r>
        <w:rPr>
          <w:rFonts w:hint="eastAsia" w:ascii="宋体" w:hAnsi="宋体"/>
          <w:color w:val="auto"/>
          <w:szCs w:val="21"/>
          <w:highlight w:val="none"/>
          <w:lang w:val="en-US" w:eastAsia="zh-CN"/>
        </w:rPr>
        <w:t>图2</w:t>
      </w:r>
    </w:p>
    <w:p w14:paraId="7A8CEA5E">
      <w:pPr>
        <w:numPr>
          <w:ilvl w:val="0"/>
          <w:numId w:val="0"/>
        </w:numPr>
        <w:spacing w:line="400" w:lineRule="exact"/>
        <w:ind w:left="0" w:leftChars="0"/>
        <w:jc w:val="center"/>
        <w:rPr>
          <w:rFonts w:hint="eastAsia" w:ascii="宋体" w:hAnsi="宋体"/>
          <w:color w:val="auto"/>
          <w:szCs w:val="21"/>
          <w:highlight w:val="none"/>
          <w:lang w:val="en-US" w:eastAsia="zh-CN"/>
        </w:rPr>
      </w:pPr>
      <w:r>
        <w:rPr>
          <w:rFonts w:hint="eastAsia" w:ascii="宋体" w:hAnsi="宋体" w:eastAsia="宋体"/>
          <w:color w:val="auto"/>
          <w:szCs w:val="21"/>
          <w:highlight w:val="none"/>
        </w:rPr>
        <w:drawing>
          <wp:anchor distT="0" distB="0" distL="114300" distR="114300" simplePos="0" relativeHeight="251660288" behindDoc="0" locked="0" layoutInCell="1" allowOverlap="1">
            <wp:simplePos x="0" y="0"/>
            <wp:positionH relativeFrom="column">
              <wp:posOffset>-18415</wp:posOffset>
            </wp:positionH>
            <wp:positionV relativeFrom="paragraph">
              <wp:posOffset>186055</wp:posOffset>
            </wp:positionV>
            <wp:extent cx="5262245" cy="414020"/>
            <wp:effectExtent l="0" t="0" r="8255" b="5080"/>
            <wp:wrapTopAndBottom/>
            <wp:docPr id="7" name="图片 7" descr="1715052086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1715052086161"/>
                    <pic:cNvPicPr>
                      <a:picLocks noChangeAspect="1"/>
                    </pic:cNvPicPr>
                  </pic:nvPicPr>
                  <pic:blipFill>
                    <a:blip r:embed="rId15"/>
                    <a:stretch>
                      <a:fillRect/>
                    </a:stretch>
                  </pic:blipFill>
                  <pic:spPr>
                    <a:xfrm>
                      <a:off x="0" y="0"/>
                      <a:ext cx="5262245" cy="414020"/>
                    </a:xfrm>
                    <a:prstGeom prst="rect">
                      <a:avLst/>
                    </a:prstGeom>
                  </pic:spPr>
                </pic:pic>
              </a:graphicData>
            </a:graphic>
          </wp:anchor>
        </w:drawing>
      </w:r>
      <w:r>
        <w:rPr>
          <w:rFonts w:hint="eastAsia" w:ascii="宋体" w:hAnsi="宋体" w:eastAsia="宋体"/>
          <w:color w:val="auto"/>
          <w:szCs w:val="21"/>
          <w:highlight w:val="none"/>
        </w:rPr>
        <w:t>▲</w:t>
      </w:r>
      <w:r>
        <w:rPr>
          <w:rFonts w:hint="eastAsia" w:ascii="宋体" w:hAnsi="宋体"/>
          <w:color w:val="auto"/>
          <w:szCs w:val="21"/>
          <w:highlight w:val="none"/>
          <w:lang w:val="en-US" w:eastAsia="zh-CN"/>
        </w:rPr>
        <w:t>图3</w:t>
      </w:r>
    </w:p>
    <w:p w14:paraId="45840D9C">
      <w:pPr>
        <w:keepNext w:val="0"/>
        <w:keepLines w:val="0"/>
        <w:pageBreakBefore w:val="0"/>
        <w:widowControl/>
        <w:numPr>
          <w:ilvl w:val="1"/>
          <w:numId w:val="0"/>
        </w:numPr>
        <w:kinsoku/>
        <w:overflowPunct/>
        <w:topLinePunct w:val="0"/>
        <w:autoSpaceDE/>
        <w:autoSpaceDN/>
        <w:bidi w:val="0"/>
        <w:snapToGrid w:val="0"/>
        <w:spacing w:line="360" w:lineRule="auto"/>
        <w:ind w:left="0" w:leftChars="0" w:firstLine="420" w:firstLineChars="200"/>
        <w:jc w:val="both"/>
        <w:textAlignment w:val="auto"/>
        <w:rPr>
          <w:rFonts w:hint="eastAsia" w:ascii="宋体" w:hAnsi="宋体"/>
          <w:color w:val="auto"/>
          <w:szCs w:val="21"/>
          <w:highlight w:val="none"/>
        </w:rPr>
      </w:pPr>
      <w:r>
        <w:rPr>
          <w:rFonts w:hint="eastAsia" w:ascii="宋体" w:hAnsi="宋体"/>
          <w:color w:val="auto"/>
          <w:szCs w:val="21"/>
          <w:highlight w:val="none"/>
          <w:lang w:val="en-US" w:eastAsia="zh-CN"/>
        </w:rPr>
        <w:t>2.4槽车</w:t>
      </w:r>
      <w:r>
        <w:rPr>
          <w:rFonts w:hint="eastAsia" w:ascii="宋体" w:hAnsi="宋体"/>
          <w:color w:val="auto"/>
          <w:szCs w:val="21"/>
          <w:highlight w:val="none"/>
        </w:rPr>
        <w:t>类型</w:t>
      </w:r>
      <w:r>
        <w:rPr>
          <w:rFonts w:hint="eastAsia" w:ascii="宋体" w:hAnsi="宋体"/>
          <w:color w:val="auto"/>
          <w:szCs w:val="21"/>
          <w:highlight w:val="none"/>
          <w:lang w:eastAsia="zh-CN"/>
        </w:rPr>
        <w:t>投标人</w:t>
      </w:r>
      <w:r>
        <w:rPr>
          <w:rFonts w:hint="eastAsia" w:ascii="宋体" w:hAnsi="宋体"/>
          <w:color w:val="auto"/>
          <w:szCs w:val="21"/>
          <w:highlight w:val="none"/>
        </w:rPr>
        <w:t>必须具备：</w:t>
      </w:r>
    </w:p>
    <w:p w14:paraId="4FCEC0F9">
      <w:pPr>
        <w:keepNext w:val="0"/>
        <w:keepLines w:val="0"/>
        <w:pageBreakBefore w:val="0"/>
        <w:widowControl/>
        <w:numPr>
          <w:ilvl w:val="1"/>
          <w:numId w:val="0"/>
        </w:numPr>
        <w:kinsoku/>
        <w:overflowPunct/>
        <w:topLinePunct w:val="0"/>
        <w:autoSpaceDE/>
        <w:autoSpaceDN/>
        <w:bidi w:val="0"/>
        <w:snapToGrid w:val="0"/>
        <w:spacing w:line="360" w:lineRule="auto"/>
        <w:ind w:left="0" w:leftChars="0" w:firstLine="420" w:firstLineChars="200"/>
        <w:jc w:val="both"/>
        <w:textAlignment w:val="auto"/>
        <w:rPr>
          <w:rFonts w:hint="default" w:ascii="宋体" w:hAnsi="宋体"/>
          <w:color w:val="auto"/>
          <w:szCs w:val="21"/>
          <w:highlight w:val="none"/>
          <w:lang w:val="en-US" w:eastAsia="zh-CN"/>
        </w:rPr>
      </w:pPr>
      <w:r>
        <w:rPr>
          <w:rFonts w:hint="default" w:ascii="宋体" w:hAnsi="宋体"/>
          <w:color w:val="auto"/>
          <w:szCs w:val="21"/>
          <w:highlight w:val="none"/>
        </w:rPr>
        <w:t>必须符合：“广东省固体废物环境监管信息平台”（https://www-app.gdeei.cn/gfjgqy-rz/login），</w:t>
      </w:r>
      <w:r>
        <w:rPr>
          <w:rFonts w:hint="default" w:ascii="宋体" w:hAnsi="宋体"/>
          <w:b/>
          <w:bCs/>
          <w:color w:val="auto"/>
          <w:szCs w:val="21"/>
          <w:highlight w:val="none"/>
        </w:rPr>
        <w:t>2023年全年HW34类</w:t>
      </w:r>
      <w:r>
        <w:rPr>
          <w:rFonts w:hint="default" w:ascii="宋体" w:hAnsi="宋体"/>
          <w:color w:val="auto"/>
          <w:szCs w:val="21"/>
          <w:highlight w:val="none"/>
        </w:rPr>
        <w:t>废物运输总量</w:t>
      </w:r>
      <w:r>
        <w:rPr>
          <w:rFonts w:hint="default" w:ascii="宋体" w:hAnsi="宋体"/>
          <w:b/>
          <w:bCs/>
          <w:color w:val="auto"/>
          <w:szCs w:val="21"/>
          <w:highlight w:val="none"/>
        </w:rPr>
        <w:t>不低于300吨</w:t>
      </w:r>
      <w:r>
        <w:rPr>
          <w:rFonts w:hint="default" w:ascii="宋体" w:hAnsi="宋体"/>
          <w:color w:val="auto"/>
          <w:szCs w:val="21"/>
          <w:highlight w:val="none"/>
        </w:rPr>
        <w:t>：固废平台数据筛选按下表（要求提供“广东省固体废物环境监管信息平台”截图证明及加盖公章）：</w:t>
      </w:r>
    </w:p>
    <w:p w14:paraId="36A05273">
      <w:pPr>
        <w:keepNext w:val="0"/>
        <w:keepLines w:val="0"/>
        <w:pageBreakBefore w:val="0"/>
        <w:widowControl/>
        <w:numPr>
          <w:ilvl w:val="1"/>
          <w:numId w:val="0"/>
        </w:numPr>
        <w:kinsoku/>
        <w:overflowPunct/>
        <w:topLinePunct w:val="0"/>
        <w:autoSpaceDE/>
        <w:autoSpaceDN/>
        <w:bidi w:val="0"/>
        <w:snapToGrid w:val="0"/>
        <w:spacing w:line="360" w:lineRule="auto"/>
        <w:ind w:left="0" w:leftChars="0" w:firstLine="0" w:firstLineChars="0"/>
        <w:jc w:val="both"/>
        <w:textAlignment w:val="auto"/>
        <w:rPr>
          <w:rFonts w:hint="eastAsia" w:ascii="宋体" w:hAnsi="宋体"/>
          <w:color w:val="0000FF"/>
          <w:szCs w:val="21"/>
          <w:highlight w:val="none"/>
          <w:lang w:val="en-US" w:eastAsia="zh-CN"/>
        </w:rPr>
      </w:pPr>
      <w:r>
        <w:rPr>
          <w:rFonts w:hint="eastAsia" w:ascii="宋体" w:hAnsi="宋体" w:eastAsia="宋体"/>
          <w:color w:val="auto"/>
          <w:szCs w:val="21"/>
          <w:highlight w:val="none"/>
          <w:lang w:eastAsia="zh-CN"/>
        </w:rPr>
        <w:drawing>
          <wp:inline distT="0" distB="0" distL="114300" distR="114300">
            <wp:extent cx="5264150" cy="2757170"/>
            <wp:effectExtent l="0" t="0" r="8890" b="1270"/>
            <wp:docPr id="6" name="图片 6" descr="1736503234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1736503234401"/>
                    <pic:cNvPicPr>
                      <a:picLocks noChangeAspect="1"/>
                    </pic:cNvPicPr>
                  </pic:nvPicPr>
                  <pic:blipFill>
                    <a:blip r:embed="rId16"/>
                    <a:stretch>
                      <a:fillRect/>
                    </a:stretch>
                  </pic:blipFill>
                  <pic:spPr>
                    <a:xfrm>
                      <a:off x="0" y="0"/>
                      <a:ext cx="5264150" cy="2757170"/>
                    </a:xfrm>
                    <a:prstGeom prst="rect">
                      <a:avLst/>
                    </a:prstGeom>
                  </pic:spPr>
                </pic:pic>
              </a:graphicData>
            </a:graphic>
          </wp:inline>
        </w:drawing>
      </w:r>
    </w:p>
    <w:p w14:paraId="4C81517E">
      <w:pPr>
        <w:keepNext w:val="0"/>
        <w:keepLines w:val="0"/>
        <w:pageBreakBefore w:val="0"/>
        <w:widowControl/>
        <w:kinsoku/>
        <w:overflowPunct/>
        <w:topLinePunct w:val="0"/>
        <w:autoSpaceDE/>
        <w:autoSpaceDN/>
        <w:bidi w:val="0"/>
        <w:snapToGrid w:val="0"/>
        <w:spacing w:line="360" w:lineRule="auto"/>
        <w:ind w:left="0" w:leftChars="0" w:firstLine="422" w:firstLineChars="200"/>
        <w:jc w:val="both"/>
        <w:textAlignment w:val="auto"/>
        <w:rPr>
          <w:rFonts w:hint="eastAsia" w:asciiTheme="minorEastAsia" w:hAnsiTheme="minorEastAsia" w:eastAsiaTheme="minorEastAsia" w:cstheme="minorEastAsia"/>
          <w:b/>
          <w:color w:val="auto"/>
          <w:szCs w:val="21"/>
          <w:highlight w:val="none"/>
        </w:rPr>
      </w:pPr>
      <w:r>
        <w:rPr>
          <w:rFonts w:hint="eastAsia" w:asciiTheme="minorEastAsia" w:hAnsiTheme="minorEastAsia" w:eastAsiaTheme="minorEastAsia" w:cstheme="minorEastAsia"/>
          <w:b/>
          <w:color w:val="auto"/>
          <w:szCs w:val="21"/>
          <w:highlight w:val="none"/>
        </w:rPr>
        <w:t>三、获取采购文件方式及要求：</w:t>
      </w:r>
    </w:p>
    <w:p w14:paraId="3B01AB41">
      <w:pPr>
        <w:keepNext w:val="0"/>
        <w:keepLines w:val="0"/>
        <w:pageBreakBefore w:val="0"/>
        <w:widowControl/>
        <w:kinsoku/>
        <w:wordWrap w:val="0"/>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Cs w:val="21"/>
          <w:highlight w:val="none"/>
        </w:rPr>
      </w:pPr>
      <w:r>
        <w:rPr>
          <w:rFonts w:hint="eastAsia" w:asciiTheme="minorEastAsia" w:hAnsiTheme="minorEastAsia" w:eastAsiaTheme="minorEastAsia" w:cstheme="minorEastAsia"/>
          <w:color w:val="auto"/>
          <w:szCs w:val="21"/>
          <w:highlight w:val="none"/>
        </w:rPr>
        <w:t>本项目不进行实名登记报名，拟参加投标的投标人可于投标截止时间前自行网上下载采购文件。采购文件下载地址：</w:t>
      </w:r>
      <w:r>
        <w:rPr>
          <w:rFonts w:hint="eastAsia" w:asciiTheme="minorEastAsia" w:hAnsiTheme="minorEastAsia" w:eastAsiaTheme="minorEastAsia" w:cstheme="minorEastAsia"/>
          <w:color w:val="auto"/>
          <w:szCs w:val="21"/>
          <w:highlight w:val="none"/>
          <w:u w:val="single"/>
        </w:rPr>
        <w:t>中国招标投标公共服务平台（http://www.cebpubservice.com/）、广东省公共资源交易平台（https://ygp.gdzwfw.gov.cn/#/44/index）、东莞实业投资控股集团有限公司网站（网址：http://www.dgsy.com.cn/）、广东东实环境股份有限公司招采平台(https://pur.yonyou.com/DGDSXNY)、代理公司官网</w:t>
      </w:r>
      <w:r>
        <w:rPr>
          <w:rFonts w:hint="eastAsia" w:asciiTheme="minorEastAsia" w:hAnsiTheme="minorEastAsia" w:eastAsiaTheme="minorEastAsia" w:cstheme="minorEastAsia"/>
          <w:color w:val="auto"/>
          <w:szCs w:val="21"/>
          <w:highlight w:val="none"/>
          <w:u w:val="single"/>
          <w:lang w:eastAsia="zh-CN"/>
        </w:rPr>
        <w:t>（</w:t>
      </w:r>
      <w:r>
        <w:rPr>
          <w:rFonts w:hint="eastAsia" w:asciiTheme="minorEastAsia" w:hAnsiTheme="minorEastAsia" w:eastAsiaTheme="minorEastAsia" w:cstheme="minorEastAsia"/>
          <w:color w:val="auto"/>
          <w:szCs w:val="21"/>
          <w:highlight w:val="none"/>
          <w:u w:val="single"/>
        </w:rPr>
        <w:t>https://www.jianhanzx.com/</w:t>
      </w:r>
      <w:r>
        <w:rPr>
          <w:rFonts w:hint="eastAsia" w:asciiTheme="minorEastAsia" w:hAnsiTheme="minorEastAsia" w:eastAsiaTheme="minorEastAsia" w:cstheme="minorEastAsia"/>
          <w:color w:val="auto"/>
          <w:szCs w:val="21"/>
          <w:highlight w:val="none"/>
          <w:u w:val="single"/>
          <w:lang w:eastAsia="zh-CN"/>
        </w:rPr>
        <w:t>）</w:t>
      </w:r>
      <w:r>
        <w:rPr>
          <w:rFonts w:hint="eastAsia" w:asciiTheme="minorEastAsia" w:hAnsiTheme="minorEastAsia" w:eastAsiaTheme="minorEastAsia" w:cstheme="minorEastAsia"/>
          <w:color w:val="auto"/>
          <w:szCs w:val="21"/>
          <w:highlight w:val="none"/>
        </w:rPr>
        <w:t>。</w:t>
      </w:r>
    </w:p>
    <w:p w14:paraId="05985BD1">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Cs w:val="21"/>
          <w:highlight w:val="none"/>
        </w:rPr>
      </w:pPr>
    </w:p>
    <w:p w14:paraId="4C06F2E5">
      <w:pPr>
        <w:keepNext w:val="0"/>
        <w:keepLines w:val="0"/>
        <w:pageBreakBefore w:val="0"/>
        <w:widowControl/>
        <w:kinsoku/>
        <w:overflowPunct/>
        <w:topLinePunct w:val="0"/>
        <w:autoSpaceDE/>
        <w:autoSpaceDN/>
        <w:bidi w:val="0"/>
        <w:snapToGrid w:val="0"/>
        <w:spacing w:line="360" w:lineRule="auto"/>
        <w:ind w:left="0" w:leftChars="0" w:firstLine="422" w:firstLineChars="200"/>
        <w:jc w:val="both"/>
        <w:textAlignment w:val="auto"/>
        <w:rPr>
          <w:rFonts w:hint="eastAsia" w:asciiTheme="minorEastAsia" w:hAnsiTheme="minorEastAsia" w:eastAsiaTheme="minorEastAsia" w:cstheme="minorEastAsia"/>
          <w:b/>
          <w:color w:val="auto"/>
          <w:szCs w:val="21"/>
          <w:highlight w:val="none"/>
        </w:rPr>
      </w:pPr>
      <w:r>
        <w:rPr>
          <w:rFonts w:hint="eastAsia" w:asciiTheme="minorEastAsia" w:hAnsiTheme="minorEastAsia" w:eastAsiaTheme="minorEastAsia" w:cstheme="minorEastAsia"/>
          <w:b/>
          <w:color w:val="auto"/>
          <w:szCs w:val="21"/>
          <w:highlight w:val="none"/>
        </w:rPr>
        <w:t>四、投标文件的递交</w:t>
      </w:r>
    </w:p>
    <w:p w14:paraId="286D8E38">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Cs w:val="21"/>
          <w:highlight w:val="none"/>
        </w:rPr>
      </w:pPr>
      <w:r>
        <w:rPr>
          <w:rFonts w:hint="eastAsia" w:asciiTheme="minorEastAsia" w:hAnsiTheme="minorEastAsia" w:eastAsiaTheme="minorEastAsia" w:cstheme="minorEastAsia"/>
          <w:color w:val="auto"/>
          <w:szCs w:val="21"/>
          <w:highlight w:val="none"/>
        </w:rPr>
        <w:t>1、递交投标文件时间：</w:t>
      </w:r>
      <w:r>
        <w:rPr>
          <w:rFonts w:hint="eastAsia" w:asciiTheme="minorEastAsia" w:hAnsiTheme="minorEastAsia" w:eastAsiaTheme="minorEastAsia" w:cstheme="minorEastAsia"/>
          <w:color w:val="auto"/>
          <w:szCs w:val="21"/>
          <w:highlight w:val="none"/>
          <w:u w:val="single"/>
          <w:lang w:val="en-US" w:eastAsia="zh-CN"/>
        </w:rPr>
        <w:t>2025</w:t>
      </w:r>
      <w:r>
        <w:rPr>
          <w:rFonts w:hint="eastAsia" w:asciiTheme="minorEastAsia" w:hAnsiTheme="minorEastAsia" w:eastAsiaTheme="minorEastAsia" w:cstheme="minorEastAsia"/>
          <w:color w:val="auto"/>
          <w:szCs w:val="21"/>
          <w:highlight w:val="none"/>
        </w:rPr>
        <w:t>年</w:t>
      </w:r>
      <w:r>
        <w:rPr>
          <w:rFonts w:hint="eastAsia" w:asciiTheme="minorEastAsia" w:hAnsiTheme="minorEastAsia" w:eastAsiaTheme="minorEastAsia" w:cstheme="minorEastAsia"/>
          <w:color w:val="auto"/>
          <w:szCs w:val="21"/>
          <w:highlight w:val="none"/>
          <w:u w:val="single"/>
          <w:lang w:val="en-US" w:eastAsia="zh-CN"/>
        </w:rPr>
        <w:t>2</w:t>
      </w:r>
      <w:r>
        <w:rPr>
          <w:rFonts w:hint="eastAsia" w:asciiTheme="minorEastAsia" w:hAnsiTheme="minorEastAsia" w:eastAsiaTheme="minorEastAsia" w:cstheme="minorEastAsia"/>
          <w:color w:val="auto"/>
          <w:szCs w:val="21"/>
          <w:highlight w:val="none"/>
        </w:rPr>
        <w:t>月</w:t>
      </w:r>
      <w:r>
        <w:rPr>
          <w:rFonts w:hint="eastAsia" w:asciiTheme="minorEastAsia" w:hAnsiTheme="minorEastAsia" w:eastAsiaTheme="minorEastAsia" w:cstheme="minorEastAsia"/>
          <w:color w:val="auto"/>
          <w:szCs w:val="21"/>
          <w:highlight w:val="none"/>
          <w:u w:val="single"/>
          <w:lang w:val="en-US" w:eastAsia="zh-CN"/>
        </w:rPr>
        <w:t>28</w:t>
      </w:r>
      <w:r>
        <w:rPr>
          <w:rFonts w:hint="eastAsia" w:asciiTheme="minorEastAsia" w:hAnsiTheme="minorEastAsia" w:eastAsiaTheme="minorEastAsia" w:cstheme="minorEastAsia"/>
          <w:color w:val="auto"/>
          <w:szCs w:val="21"/>
          <w:highlight w:val="none"/>
        </w:rPr>
        <w:t>日（北京时间）</w:t>
      </w:r>
      <w:r>
        <w:rPr>
          <w:rFonts w:hint="eastAsia" w:asciiTheme="minorEastAsia" w:hAnsiTheme="minorEastAsia" w:eastAsiaTheme="minorEastAsia" w:cstheme="minorEastAsia"/>
          <w:color w:val="auto"/>
          <w:szCs w:val="21"/>
          <w:highlight w:val="none"/>
          <w:u w:val="single"/>
          <w:lang w:val="en-US" w:eastAsia="zh-CN"/>
        </w:rPr>
        <w:t>09</w:t>
      </w:r>
      <w:r>
        <w:rPr>
          <w:rFonts w:hint="eastAsia" w:asciiTheme="minorEastAsia" w:hAnsiTheme="minorEastAsia" w:eastAsiaTheme="minorEastAsia" w:cstheme="minorEastAsia"/>
          <w:color w:val="auto"/>
          <w:szCs w:val="21"/>
          <w:highlight w:val="none"/>
        </w:rPr>
        <w:t>:</w:t>
      </w:r>
      <w:r>
        <w:rPr>
          <w:rFonts w:hint="eastAsia" w:asciiTheme="minorEastAsia" w:hAnsiTheme="minorEastAsia" w:eastAsiaTheme="minorEastAsia" w:cstheme="minorEastAsia"/>
          <w:color w:val="auto"/>
          <w:szCs w:val="21"/>
          <w:highlight w:val="none"/>
          <w:u w:val="single"/>
          <w:lang w:val="en-US" w:eastAsia="zh-CN"/>
        </w:rPr>
        <w:t>30</w:t>
      </w:r>
      <w:r>
        <w:rPr>
          <w:rFonts w:hint="eastAsia" w:asciiTheme="minorEastAsia" w:hAnsiTheme="minorEastAsia" w:eastAsiaTheme="minorEastAsia" w:cstheme="minorEastAsia"/>
          <w:color w:val="auto"/>
          <w:szCs w:val="21"/>
          <w:highlight w:val="none"/>
        </w:rPr>
        <w:t>-</w:t>
      </w:r>
      <w:r>
        <w:rPr>
          <w:rFonts w:hint="eastAsia" w:asciiTheme="minorEastAsia" w:hAnsiTheme="minorEastAsia" w:eastAsiaTheme="minorEastAsia" w:cstheme="minorEastAsia"/>
          <w:color w:val="auto"/>
          <w:szCs w:val="21"/>
          <w:highlight w:val="none"/>
          <w:u w:val="single"/>
          <w:lang w:val="en-US" w:eastAsia="zh-CN"/>
        </w:rPr>
        <w:t>10</w:t>
      </w:r>
      <w:r>
        <w:rPr>
          <w:rFonts w:hint="eastAsia" w:asciiTheme="minorEastAsia" w:hAnsiTheme="minorEastAsia" w:eastAsiaTheme="minorEastAsia" w:cstheme="minorEastAsia"/>
          <w:color w:val="auto"/>
          <w:szCs w:val="21"/>
          <w:highlight w:val="none"/>
        </w:rPr>
        <w:t>:</w:t>
      </w:r>
      <w:r>
        <w:rPr>
          <w:rFonts w:hint="eastAsia" w:asciiTheme="minorEastAsia" w:hAnsiTheme="minorEastAsia" w:eastAsiaTheme="minorEastAsia" w:cstheme="minorEastAsia"/>
          <w:color w:val="auto"/>
          <w:szCs w:val="21"/>
          <w:highlight w:val="none"/>
          <w:u w:val="single"/>
          <w:lang w:val="en-US" w:eastAsia="zh-CN"/>
        </w:rPr>
        <w:t>00</w:t>
      </w:r>
      <w:r>
        <w:rPr>
          <w:rFonts w:hint="eastAsia" w:asciiTheme="minorEastAsia" w:hAnsiTheme="minorEastAsia" w:eastAsiaTheme="minorEastAsia" w:cstheme="minorEastAsia"/>
          <w:color w:val="auto"/>
          <w:szCs w:val="21"/>
          <w:highlight w:val="none"/>
        </w:rPr>
        <w:t>。</w:t>
      </w:r>
    </w:p>
    <w:p w14:paraId="263A2735">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b/>
          <w:color w:val="auto"/>
          <w:szCs w:val="21"/>
          <w:highlight w:val="none"/>
        </w:rPr>
      </w:pPr>
      <w:r>
        <w:rPr>
          <w:rFonts w:hint="eastAsia" w:asciiTheme="minorEastAsia" w:hAnsiTheme="minorEastAsia" w:eastAsiaTheme="minorEastAsia" w:cstheme="minorEastAsia"/>
          <w:color w:val="auto"/>
          <w:szCs w:val="21"/>
          <w:highlight w:val="none"/>
        </w:rPr>
        <w:t>2、递交投标文件截止及开标时间：</w:t>
      </w:r>
      <w:r>
        <w:rPr>
          <w:rFonts w:hint="eastAsia" w:asciiTheme="minorEastAsia" w:hAnsiTheme="minorEastAsia" w:eastAsiaTheme="minorEastAsia" w:cstheme="minorEastAsia"/>
          <w:color w:val="auto"/>
          <w:szCs w:val="21"/>
          <w:highlight w:val="none"/>
          <w:u w:val="single"/>
          <w:lang w:val="en-US" w:eastAsia="zh-CN"/>
        </w:rPr>
        <w:t>2025</w:t>
      </w:r>
      <w:r>
        <w:rPr>
          <w:rFonts w:hint="eastAsia" w:asciiTheme="minorEastAsia" w:hAnsiTheme="minorEastAsia" w:eastAsiaTheme="minorEastAsia" w:cstheme="minorEastAsia"/>
          <w:color w:val="auto"/>
          <w:szCs w:val="21"/>
          <w:highlight w:val="none"/>
        </w:rPr>
        <w:t>年</w:t>
      </w:r>
      <w:r>
        <w:rPr>
          <w:rFonts w:hint="eastAsia" w:asciiTheme="minorEastAsia" w:hAnsiTheme="minorEastAsia" w:eastAsiaTheme="minorEastAsia" w:cstheme="minorEastAsia"/>
          <w:color w:val="auto"/>
          <w:szCs w:val="21"/>
          <w:highlight w:val="none"/>
          <w:u w:val="single"/>
          <w:lang w:val="en-US" w:eastAsia="zh-CN"/>
        </w:rPr>
        <w:t>2</w:t>
      </w:r>
      <w:r>
        <w:rPr>
          <w:rFonts w:hint="eastAsia" w:asciiTheme="minorEastAsia" w:hAnsiTheme="minorEastAsia" w:eastAsiaTheme="minorEastAsia" w:cstheme="minorEastAsia"/>
          <w:color w:val="auto"/>
          <w:szCs w:val="21"/>
          <w:highlight w:val="none"/>
        </w:rPr>
        <w:t>月</w:t>
      </w:r>
      <w:r>
        <w:rPr>
          <w:rFonts w:hint="eastAsia" w:asciiTheme="minorEastAsia" w:hAnsiTheme="minorEastAsia" w:eastAsiaTheme="minorEastAsia" w:cstheme="minorEastAsia"/>
          <w:color w:val="auto"/>
          <w:szCs w:val="21"/>
          <w:highlight w:val="none"/>
          <w:u w:val="single"/>
          <w:lang w:val="en-US" w:eastAsia="zh-CN"/>
        </w:rPr>
        <w:t>28</w:t>
      </w:r>
      <w:r>
        <w:rPr>
          <w:rFonts w:hint="eastAsia" w:asciiTheme="minorEastAsia" w:hAnsiTheme="minorEastAsia" w:eastAsiaTheme="minorEastAsia" w:cstheme="minorEastAsia"/>
          <w:color w:val="auto"/>
          <w:szCs w:val="21"/>
          <w:highlight w:val="none"/>
        </w:rPr>
        <w:t>日</w:t>
      </w:r>
      <w:r>
        <w:rPr>
          <w:rFonts w:hint="eastAsia" w:asciiTheme="minorEastAsia" w:hAnsiTheme="minorEastAsia" w:eastAsiaTheme="minorEastAsia" w:cstheme="minorEastAsia"/>
          <w:color w:val="auto"/>
          <w:szCs w:val="21"/>
          <w:highlight w:val="none"/>
          <w:u w:val="single"/>
          <w:lang w:val="en-US" w:eastAsia="zh-CN"/>
        </w:rPr>
        <w:t>10</w:t>
      </w:r>
      <w:r>
        <w:rPr>
          <w:rFonts w:hint="eastAsia" w:asciiTheme="minorEastAsia" w:hAnsiTheme="minorEastAsia" w:eastAsiaTheme="minorEastAsia" w:cstheme="minorEastAsia"/>
          <w:color w:val="auto"/>
          <w:szCs w:val="21"/>
          <w:highlight w:val="none"/>
        </w:rPr>
        <w:t>:</w:t>
      </w:r>
      <w:r>
        <w:rPr>
          <w:rFonts w:hint="eastAsia" w:asciiTheme="minorEastAsia" w:hAnsiTheme="minorEastAsia" w:eastAsiaTheme="minorEastAsia" w:cstheme="minorEastAsia"/>
          <w:color w:val="auto"/>
          <w:szCs w:val="21"/>
          <w:highlight w:val="none"/>
          <w:u w:val="single"/>
          <w:lang w:val="en-US" w:eastAsia="zh-CN"/>
        </w:rPr>
        <w:t>00</w:t>
      </w:r>
      <w:r>
        <w:rPr>
          <w:rFonts w:hint="eastAsia" w:asciiTheme="minorEastAsia" w:hAnsiTheme="minorEastAsia" w:eastAsiaTheme="minorEastAsia" w:cstheme="minorEastAsia"/>
          <w:color w:val="auto"/>
          <w:szCs w:val="21"/>
          <w:highlight w:val="none"/>
        </w:rPr>
        <w:t>（北京时间），所有投标文件应于截止时间之前递交，迟交或以电报、传真形式的投标文件将拒绝接收。</w:t>
      </w:r>
    </w:p>
    <w:p w14:paraId="4123D0F6">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Cs w:val="21"/>
          <w:highlight w:val="none"/>
        </w:rPr>
      </w:pPr>
      <w:r>
        <w:rPr>
          <w:rFonts w:hint="eastAsia" w:asciiTheme="minorEastAsia" w:hAnsiTheme="minorEastAsia" w:eastAsiaTheme="minorEastAsia" w:cstheme="minorEastAsia"/>
          <w:color w:val="auto"/>
          <w:szCs w:val="21"/>
          <w:highlight w:val="none"/>
        </w:rPr>
        <w:t>3、开标地点：</w:t>
      </w:r>
      <w:r>
        <w:rPr>
          <w:rFonts w:hint="eastAsia" w:asciiTheme="minorEastAsia" w:hAnsiTheme="minorEastAsia" w:eastAsiaTheme="minorEastAsia" w:cstheme="minorEastAsia"/>
          <w:color w:val="auto"/>
          <w:szCs w:val="21"/>
          <w:highlight w:val="none"/>
          <w:u w:val="single"/>
        </w:rPr>
        <w:t xml:space="preserve"> 东莞市南城区西平社区宏伟三路45号东莞市公共资源交易中心开标</w:t>
      </w:r>
      <w:r>
        <w:rPr>
          <w:rFonts w:hint="eastAsia" w:asciiTheme="minorEastAsia" w:hAnsiTheme="minorEastAsia" w:eastAsiaTheme="minorEastAsia" w:cstheme="minorEastAsia"/>
          <w:color w:val="auto"/>
          <w:szCs w:val="21"/>
          <w:highlight w:val="none"/>
          <w:u w:val="single"/>
          <w:lang w:val="en-US" w:eastAsia="zh-CN"/>
        </w:rPr>
        <w:t xml:space="preserve"> 13</w:t>
      </w:r>
      <w:r>
        <w:rPr>
          <w:rFonts w:hint="eastAsia" w:asciiTheme="minorEastAsia" w:hAnsiTheme="minorEastAsia" w:eastAsiaTheme="minorEastAsia" w:cstheme="minorEastAsia"/>
          <w:color w:val="auto"/>
          <w:szCs w:val="21"/>
          <w:highlight w:val="none"/>
          <w:u w:val="single"/>
        </w:rPr>
        <w:t>室。</w:t>
      </w:r>
    </w:p>
    <w:p w14:paraId="1498A143">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bCs/>
          <w:color w:val="auto"/>
          <w:szCs w:val="21"/>
          <w:highlight w:val="none"/>
        </w:rPr>
      </w:pPr>
      <w:r>
        <w:rPr>
          <w:rFonts w:hint="eastAsia" w:asciiTheme="minorEastAsia" w:hAnsiTheme="minorEastAsia" w:eastAsiaTheme="minorEastAsia" w:cstheme="minorEastAsia"/>
          <w:bCs/>
          <w:color w:val="auto"/>
          <w:szCs w:val="21"/>
          <w:highlight w:val="none"/>
        </w:rPr>
        <w:t>4、开标事宜：</w:t>
      </w:r>
      <w:r>
        <w:rPr>
          <w:rFonts w:hint="eastAsia" w:asciiTheme="minorEastAsia" w:hAnsiTheme="minorEastAsia" w:eastAsiaTheme="minorEastAsia" w:cstheme="minorEastAsia"/>
          <w:b/>
          <w:bCs/>
          <w:color w:val="auto"/>
          <w:szCs w:val="21"/>
          <w:highlight w:val="none"/>
        </w:rPr>
        <w:t>届时请投标人的法定代表人或其授权代表务必携带有效身份证明出席开标会</w:t>
      </w:r>
      <w:r>
        <w:rPr>
          <w:rFonts w:hint="eastAsia" w:asciiTheme="minorEastAsia" w:hAnsiTheme="minorEastAsia" w:eastAsiaTheme="minorEastAsia" w:cstheme="minorEastAsia"/>
          <w:bCs/>
          <w:color w:val="auto"/>
          <w:szCs w:val="21"/>
          <w:highlight w:val="none"/>
        </w:rPr>
        <w:t>。</w:t>
      </w:r>
    </w:p>
    <w:p w14:paraId="3C43C301">
      <w:pPr>
        <w:pStyle w:val="36"/>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5、出现以下情形时，采购代理机构不予接收投标（响应）文件：</w:t>
      </w:r>
    </w:p>
    <w:p w14:paraId="70B2F861">
      <w:pPr>
        <w:pStyle w:val="36"/>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（1）逾期送达或者未送达指定地点的；</w:t>
      </w:r>
    </w:p>
    <w:p w14:paraId="73D540E3">
      <w:pPr>
        <w:pStyle w:val="36"/>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（2）未按采购文件要求密封的。</w:t>
      </w:r>
    </w:p>
    <w:p w14:paraId="30D90A62">
      <w:pPr>
        <w:pStyle w:val="36"/>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 w:val="21"/>
          <w:szCs w:val="21"/>
          <w:highlight w:val="none"/>
        </w:rPr>
      </w:pPr>
    </w:p>
    <w:p w14:paraId="2E910961">
      <w:pPr>
        <w:pStyle w:val="36"/>
        <w:keepNext w:val="0"/>
        <w:keepLines w:val="0"/>
        <w:pageBreakBefore w:val="0"/>
        <w:widowControl/>
        <w:kinsoku/>
        <w:overflowPunct/>
        <w:topLinePunct w:val="0"/>
        <w:autoSpaceDE/>
        <w:autoSpaceDN/>
        <w:bidi w:val="0"/>
        <w:snapToGrid w:val="0"/>
        <w:spacing w:line="360" w:lineRule="auto"/>
        <w:ind w:left="0" w:leftChars="0" w:firstLine="422" w:firstLineChars="200"/>
        <w:jc w:val="both"/>
        <w:textAlignment w:val="auto"/>
        <w:rPr>
          <w:rFonts w:hint="eastAsia" w:asciiTheme="minorEastAsia" w:hAnsiTheme="minorEastAsia" w:eastAsiaTheme="minorEastAsia" w:cstheme="minorEastAsia"/>
          <w:b/>
          <w:color w:val="auto"/>
          <w:sz w:val="21"/>
          <w:szCs w:val="21"/>
          <w:highlight w:val="none"/>
        </w:rPr>
      </w:pPr>
      <w:r>
        <w:rPr>
          <w:rFonts w:hint="eastAsia" w:asciiTheme="minorEastAsia" w:hAnsiTheme="minorEastAsia" w:eastAsiaTheme="minorEastAsia" w:cstheme="minorEastAsia"/>
          <w:b/>
          <w:color w:val="auto"/>
          <w:sz w:val="21"/>
          <w:szCs w:val="21"/>
          <w:highlight w:val="none"/>
        </w:rPr>
        <w:t>五、发布公告的媒介</w:t>
      </w:r>
    </w:p>
    <w:p w14:paraId="4210DEE8">
      <w:pPr>
        <w:pStyle w:val="36"/>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1、采购公告发布媒介：</w:t>
      </w:r>
    </w:p>
    <w:p w14:paraId="6E302D10">
      <w:pPr>
        <w:pStyle w:val="36"/>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u w:val="single"/>
        </w:rPr>
        <w:t>中国招标投标公共服务平台（http://www.cebpubservice.com/）、广东省公共资源交易平台（https://ygp.gdzwfw.gov.cn/#/44/index）、东莞实业投资控股集团有限公司网站（网址：http://www.dgsy.com.cn/）、广东东实环境股份有限公司招采平台(https://pur.yonyou.com/DGDSXNY)、代理公司官网</w:t>
      </w:r>
      <w:r>
        <w:rPr>
          <w:rFonts w:hint="eastAsia" w:asciiTheme="minorEastAsia" w:hAnsiTheme="minorEastAsia" w:eastAsiaTheme="minorEastAsia" w:cstheme="minorEastAsia"/>
          <w:color w:val="auto"/>
          <w:sz w:val="21"/>
          <w:szCs w:val="21"/>
          <w:highlight w:val="none"/>
          <w:u w:val="single"/>
          <w:lang w:eastAsia="zh-CN"/>
        </w:rPr>
        <w:t>（</w:t>
      </w:r>
      <w:r>
        <w:rPr>
          <w:rFonts w:hint="eastAsia" w:asciiTheme="minorEastAsia" w:hAnsiTheme="minorEastAsia" w:eastAsiaTheme="minorEastAsia" w:cstheme="minorEastAsia"/>
          <w:color w:val="auto"/>
          <w:sz w:val="21"/>
          <w:szCs w:val="21"/>
          <w:highlight w:val="none"/>
          <w:u w:val="single"/>
        </w:rPr>
        <w:t>https://www.jianhanzx.com/</w:t>
      </w:r>
      <w:r>
        <w:rPr>
          <w:rFonts w:hint="eastAsia" w:asciiTheme="minorEastAsia" w:hAnsiTheme="minorEastAsia" w:eastAsiaTheme="minorEastAsia" w:cstheme="minorEastAsia"/>
          <w:color w:val="auto"/>
          <w:sz w:val="21"/>
          <w:szCs w:val="21"/>
          <w:highlight w:val="none"/>
          <w:u w:val="single"/>
          <w:lang w:eastAsia="zh-CN"/>
        </w:rPr>
        <w:t>）</w:t>
      </w:r>
      <w:r>
        <w:rPr>
          <w:rFonts w:hint="eastAsia" w:asciiTheme="minorEastAsia" w:hAnsiTheme="minorEastAsia" w:eastAsiaTheme="minorEastAsia" w:cstheme="minorEastAsia"/>
          <w:color w:val="auto"/>
          <w:sz w:val="21"/>
          <w:szCs w:val="21"/>
          <w:highlight w:val="none"/>
        </w:rPr>
        <w:t>。</w:t>
      </w:r>
    </w:p>
    <w:p w14:paraId="747A51EE">
      <w:pPr>
        <w:pStyle w:val="36"/>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bCs/>
          <w:color w:val="auto"/>
          <w:sz w:val="21"/>
          <w:szCs w:val="21"/>
          <w:highlight w:val="none"/>
        </w:rPr>
      </w:pPr>
      <w:r>
        <w:rPr>
          <w:rFonts w:hint="eastAsia" w:asciiTheme="minorEastAsia" w:hAnsiTheme="minorEastAsia" w:eastAsiaTheme="minorEastAsia" w:cstheme="minorEastAsia"/>
          <w:bCs/>
          <w:color w:val="auto"/>
          <w:sz w:val="21"/>
          <w:szCs w:val="21"/>
          <w:highlight w:val="none"/>
        </w:rPr>
        <w:t>2、结果公告发布媒介：</w:t>
      </w:r>
    </w:p>
    <w:p w14:paraId="3C30802C">
      <w:pPr>
        <w:pStyle w:val="36"/>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bCs/>
          <w:color w:val="auto"/>
          <w:sz w:val="21"/>
          <w:szCs w:val="21"/>
          <w:highlight w:val="none"/>
        </w:rPr>
      </w:pPr>
      <w:r>
        <w:rPr>
          <w:rFonts w:hint="eastAsia" w:asciiTheme="minorEastAsia" w:hAnsiTheme="minorEastAsia" w:eastAsiaTheme="minorEastAsia" w:cstheme="minorEastAsia"/>
          <w:color w:val="auto"/>
          <w:sz w:val="21"/>
          <w:szCs w:val="21"/>
          <w:highlight w:val="none"/>
        </w:rPr>
        <w:t>东莞实业投资控股集团有限公司-招标采购栏目（http://www.dgsy.com.cn/），广东东实环境股份有限公司招采平台(https://pur.yonyou.com/DGDSXNY)。</w:t>
      </w:r>
    </w:p>
    <w:p w14:paraId="0B74955A">
      <w:pPr>
        <w:keepNext w:val="0"/>
        <w:keepLines w:val="0"/>
        <w:pageBreakBefore w:val="0"/>
        <w:widowControl/>
        <w:kinsoku/>
        <w:overflowPunct/>
        <w:topLinePunct w:val="0"/>
        <w:autoSpaceDE/>
        <w:autoSpaceDN/>
        <w:bidi w:val="0"/>
        <w:snapToGrid w:val="0"/>
        <w:spacing w:line="360" w:lineRule="auto"/>
        <w:ind w:left="0" w:leftChars="0" w:firstLine="422" w:firstLineChars="200"/>
        <w:jc w:val="both"/>
        <w:textAlignment w:val="auto"/>
        <w:rPr>
          <w:rFonts w:hint="eastAsia" w:asciiTheme="minorEastAsia" w:hAnsiTheme="minorEastAsia" w:eastAsiaTheme="minorEastAsia" w:cstheme="minorEastAsia"/>
          <w:bCs/>
          <w:color w:val="auto"/>
          <w:szCs w:val="21"/>
          <w:highlight w:val="none"/>
        </w:rPr>
      </w:pPr>
      <w:r>
        <w:rPr>
          <w:rFonts w:hint="eastAsia" w:asciiTheme="minorEastAsia" w:hAnsiTheme="minorEastAsia" w:eastAsiaTheme="minorEastAsia" w:cstheme="minorEastAsia"/>
          <w:b/>
          <w:color w:val="auto"/>
          <w:szCs w:val="21"/>
          <w:highlight w:val="none"/>
        </w:rPr>
        <w:t>六、采购人及采购代理机构的名称、地址和联系方法：</w:t>
      </w:r>
    </w:p>
    <w:p w14:paraId="3890DB1F">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bCs/>
          <w:color w:val="auto"/>
          <w:szCs w:val="21"/>
          <w:highlight w:val="none"/>
        </w:rPr>
      </w:pPr>
      <w:r>
        <w:rPr>
          <w:rFonts w:hint="eastAsia" w:asciiTheme="minorEastAsia" w:hAnsiTheme="minorEastAsia" w:eastAsiaTheme="minorEastAsia" w:cstheme="minorEastAsia"/>
          <w:bCs/>
          <w:color w:val="auto"/>
          <w:szCs w:val="21"/>
          <w:highlight w:val="none"/>
        </w:rPr>
        <w:t>采购人名称：</w:t>
      </w:r>
      <w:r>
        <w:rPr>
          <w:rFonts w:hint="eastAsia" w:asciiTheme="minorEastAsia" w:hAnsiTheme="minorEastAsia" w:eastAsiaTheme="minorEastAsia" w:cstheme="minorEastAsia"/>
          <w:color w:val="auto"/>
          <w:szCs w:val="21"/>
          <w:highlight w:val="none"/>
        </w:rPr>
        <w:t>东莞市新东欣环保投资有限公司</w:t>
      </w:r>
    </w:p>
    <w:p w14:paraId="43DB3CBD">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bCs/>
          <w:color w:val="auto"/>
          <w:szCs w:val="21"/>
          <w:highlight w:val="none"/>
        </w:rPr>
      </w:pPr>
      <w:r>
        <w:rPr>
          <w:rFonts w:hint="eastAsia" w:asciiTheme="minorEastAsia" w:hAnsiTheme="minorEastAsia" w:eastAsiaTheme="minorEastAsia" w:cstheme="minorEastAsia"/>
          <w:bCs/>
          <w:color w:val="auto"/>
          <w:szCs w:val="21"/>
          <w:highlight w:val="none"/>
        </w:rPr>
        <w:t>采购人联系人：</w:t>
      </w:r>
      <w:r>
        <w:rPr>
          <w:rFonts w:hint="eastAsia" w:asciiTheme="minorEastAsia" w:hAnsiTheme="minorEastAsia" w:eastAsiaTheme="minorEastAsia" w:cstheme="minorEastAsia"/>
          <w:color w:val="auto"/>
          <w:szCs w:val="21"/>
          <w:highlight w:val="none"/>
          <w:lang w:val="en-US" w:eastAsia="zh-CN"/>
        </w:rPr>
        <w:t>杜先生</w:t>
      </w:r>
      <w:r>
        <w:rPr>
          <w:rFonts w:hint="eastAsia" w:asciiTheme="minorEastAsia" w:hAnsiTheme="minorEastAsia" w:eastAsiaTheme="minorEastAsia" w:cstheme="minorEastAsia"/>
          <w:bCs/>
          <w:color w:val="auto"/>
          <w:szCs w:val="21"/>
          <w:highlight w:val="none"/>
        </w:rPr>
        <w:t xml:space="preserve"> </w:t>
      </w:r>
    </w:p>
    <w:p w14:paraId="3DF53033">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bCs/>
          <w:color w:val="auto"/>
          <w:szCs w:val="21"/>
          <w:highlight w:val="none"/>
        </w:rPr>
      </w:pPr>
      <w:r>
        <w:rPr>
          <w:rFonts w:hint="eastAsia" w:asciiTheme="minorEastAsia" w:hAnsiTheme="minorEastAsia" w:eastAsiaTheme="minorEastAsia" w:cstheme="minorEastAsia"/>
          <w:bCs/>
          <w:color w:val="auto"/>
          <w:szCs w:val="21"/>
          <w:highlight w:val="none"/>
        </w:rPr>
        <w:t>采购人地址：</w:t>
      </w:r>
      <w:r>
        <w:rPr>
          <w:rFonts w:hint="eastAsia" w:asciiTheme="minorEastAsia" w:hAnsiTheme="minorEastAsia" w:eastAsiaTheme="minorEastAsia" w:cstheme="minorEastAsia"/>
          <w:color w:val="auto"/>
          <w:szCs w:val="21"/>
          <w:highlight w:val="none"/>
        </w:rPr>
        <w:t>广东省东莞市麻涌镇海心沙路1号</w:t>
      </w:r>
    </w:p>
    <w:p w14:paraId="5F34B4B7">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bCs/>
          <w:color w:val="auto"/>
          <w:szCs w:val="21"/>
          <w:highlight w:val="none"/>
        </w:rPr>
      </w:pPr>
      <w:r>
        <w:rPr>
          <w:rFonts w:hint="eastAsia" w:asciiTheme="minorEastAsia" w:hAnsiTheme="minorEastAsia" w:eastAsiaTheme="minorEastAsia" w:cstheme="minorEastAsia"/>
          <w:bCs/>
          <w:color w:val="auto"/>
          <w:szCs w:val="21"/>
          <w:highlight w:val="none"/>
        </w:rPr>
        <w:t>采购人联系电话：</w:t>
      </w:r>
      <w:r>
        <w:rPr>
          <w:rFonts w:hint="eastAsia" w:asciiTheme="minorEastAsia" w:hAnsiTheme="minorEastAsia" w:eastAsiaTheme="minorEastAsia" w:cstheme="minorEastAsia"/>
          <w:color w:val="auto"/>
          <w:szCs w:val="21"/>
          <w:highlight w:val="none"/>
        </w:rPr>
        <w:t>0769-39028733</w:t>
      </w:r>
      <w:r>
        <w:rPr>
          <w:rFonts w:hint="eastAsia" w:asciiTheme="minorEastAsia" w:hAnsiTheme="minorEastAsia" w:eastAsiaTheme="minorEastAsia" w:cstheme="minorEastAsia"/>
          <w:color w:val="auto"/>
          <w:sz w:val="21"/>
          <w:szCs w:val="21"/>
          <w:highlight w:val="none"/>
        </w:rPr>
        <w:t xml:space="preserve"> </w:t>
      </w:r>
    </w:p>
    <w:p w14:paraId="5A9CF659">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Cs w:val="21"/>
          <w:highlight w:val="none"/>
        </w:rPr>
      </w:pPr>
    </w:p>
    <w:p w14:paraId="7DE5B2AD">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Cs w:val="21"/>
          <w:highlight w:val="none"/>
        </w:rPr>
      </w:pPr>
      <w:r>
        <w:rPr>
          <w:rFonts w:hint="eastAsia" w:asciiTheme="minorEastAsia" w:hAnsiTheme="minorEastAsia" w:eastAsiaTheme="minorEastAsia" w:cstheme="minorEastAsia"/>
          <w:color w:val="auto"/>
          <w:szCs w:val="21"/>
          <w:highlight w:val="none"/>
        </w:rPr>
        <w:t>采购代理机构名称：广东建瀚工程管理有限公司</w:t>
      </w:r>
    </w:p>
    <w:p w14:paraId="5696A72B">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Cs w:val="21"/>
          <w:highlight w:val="none"/>
        </w:rPr>
      </w:pPr>
      <w:r>
        <w:rPr>
          <w:rFonts w:hint="eastAsia" w:asciiTheme="minorEastAsia" w:hAnsiTheme="minorEastAsia" w:eastAsiaTheme="minorEastAsia" w:cstheme="minorEastAsia"/>
          <w:color w:val="auto"/>
          <w:szCs w:val="21"/>
          <w:highlight w:val="none"/>
        </w:rPr>
        <w:t>采购代理机构地址：东莞市南城街道莞太路31号兴业金融大厦806#</w:t>
      </w:r>
    </w:p>
    <w:p w14:paraId="5B3ACF03">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Cs w:val="21"/>
          <w:highlight w:val="none"/>
        </w:rPr>
      </w:pPr>
      <w:r>
        <w:rPr>
          <w:rFonts w:hint="eastAsia" w:asciiTheme="minorEastAsia" w:hAnsiTheme="minorEastAsia" w:eastAsiaTheme="minorEastAsia" w:cstheme="minorEastAsia"/>
          <w:color w:val="auto"/>
          <w:szCs w:val="21"/>
          <w:highlight w:val="none"/>
        </w:rPr>
        <w:t>采购代理机构联系人：叶工</w:t>
      </w:r>
    </w:p>
    <w:p w14:paraId="7E8A3C77">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Cs w:val="21"/>
          <w:highlight w:val="none"/>
        </w:rPr>
      </w:pPr>
      <w:r>
        <w:rPr>
          <w:rFonts w:hint="eastAsia" w:asciiTheme="minorEastAsia" w:hAnsiTheme="minorEastAsia" w:eastAsiaTheme="minorEastAsia" w:cstheme="minorEastAsia"/>
          <w:color w:val="auto"/>
          <w:szCs w:val="21"/>
          <w:highlight w:val="none"/>
        </w:rPr>
        <w:t>采购代理机构联系电话： 0769-26987588</w:t>
      </w:r>
    </w:p>
    <w:p w14:paraId="13BBBFCA">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Cs w:val="21"/>
          <w:highlight w:val="none"/>
        </w:rPr>
      </w:pPr>
      <w:r>
        <w:rPr>
          <w:rFonts w:hint="eastAsia" w:asciiTheme="minorEastAsia" w:hAnsiTheme="minorEastAsia" w:eastAsiaTheme="minorEastAsia" w:cstheme="minorEastAsia"/>
          <w:color w:val="auto"/>
          <w:szCs w:val="21"/>
          <w:highlight w:val="none"/>
        </w:rPr>
        <w:t xml:space="preserve">采购代理机构邮箱： </w:t>
      </w:r>
      <w:r>
        <w:rPr>
          <w:rFonts w:hint="eastAsia" w:asciiTheme="minorEastAsia" w:hAnsiTheme="minorEastAsia" w:eastAsiaTheme="minorEastAsia" w:cstheme="minorEastAsia"/>
          <w:color w:val="auto"/>
          <w:szCs w:val="21"/>
          <w:highlight w:val="none"/>
          <w:lang w:val="en-US" w:eastAsia="zh-CN"/>
        </w:rPr>
        <w:t>1173727722@qq.com</w:t>
      </w:r>
    </w:p>
    <w:p w14:paraId="3625C058">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color w:val="auto"/>
          <w:highlight w:val="none"/>
        </w:rPr>
      </w:pPr>
    </w:p>
    <w:p w14:paraId="145D9A0C">
      <w:pPr>
        <w:ind w:firstLine="420" w:firstLineChars="200"/>
        <w:rPr>
          <w:color w:val="auto"/>
          <w:highlight w:val="none"/>
        </w:rPr>
      </w:pPr>
    </w:p>
    <w:p w14:paraId="41E63574">
      <w:pPr>
        <w:ind w:right="752" w:rightChars="358"/>
        <w:jc w:val="both"/>
        <w:rPr>
          <w:rFonts w:hint="eastAsia" w:ascii="宋体" w:hAnsi="宋体"/>
          <w:color w:val="auto"/>
          <w:szCs w:val="21"/>
          <w:highlight w:val="none"/>
        </w:rPr>
      </w:pPr>
      <w:r>
        <w:rPr>
          <w:rFonts w:hint="eastAsia" w:ascii="宋体" w:hAnsi="宋体"/>
          <w:color w:val="auto"/>
          <w:szCs w:val="21"/>
          <w:highlight w:val="none"/>
        </w:rPr>
        <w:t>东莞市新东欣环保投资有限公司</w:t>
      </w:r>
      <w:r>
        <w:rPr>
          <w:rFonts w:hint="eastAsia" w:ascii="宋体" w:hAnsi="宋体"/>
          <w:color w:val="auto"/>
          <w:szCs w:val="21"/>
          <w:highlight w:val="none"/>
          <w:lang w:val="en-US" w:eastAsia="zh-CN"/>
        </w:rPr>
        <w:t xml:space="preserve">                   </w:t>
      </w:r>
      <w:r>
        <w:rPr>
          <w:rFonts w:hint="eastAsia" w:ascii="宋体" w:hAnsi="宋体"/>
          <w:color w:val="auto"/>
          <w:szCs w:val="21"/>
          <w:highlight w:val="none"/>
        </w:rPr>
        <w:t>广东建瀚工程管理有限公司</w:t>
      </w:r>
    </w:p>
    <w:p w14:paraId="2A62FE84">
      <w:pPr>
        <w:ind w:left="3600" w:right="752" w:rightChars="358" w:firstLine="720"/>
        <w:jc w:val="center"/>
        <w:rPr>
          <w:rFonts w:hint="default" w:ascii="宋体" w:hAnsi="宋体" w:eastAsia="宋体" w:cs="宋体"/>
          <w:color w:val="auto"/>
          <w:szCs w:val="21"/>
          <w:highlight w:val="none"/>
          <w:lang w:val="en-US" w:eastAsia="zh-CN"/>
        </w:rPr>
      </w:pPr>
      <w:r>
        <w:rPr>
          <w:rFonts w:hint="eastAsia" w:ascii="宋体" w:hAnsi="宋体" w:cs="宋体"/>
          <w:color w:val="auto"/>
          <w:szCs w:val="21"/>
          <w:highlight w:val="none"/>
          <w:lang w:val="en-US" w:eastAsia="zh-CN"/>
        </w:rPr>
        <w:t xml:space="preserve">    </w:t>
      </w:r>
      <w:r>
        <w:rPr>
          <w:rFonts w:hint="eastAsia" w:ascii="宋体" w:hAnsi="宋体" w:cs="宋体"/>
          <w:color w:val="auto"/>
          <w:szCs w:val="21"/>
          <w:highlight w:val="none"/>
        </w:rPr>
        <w:t>20</w:t>
      </w:r>
      <w:r>
        <w:rPr>
          <w:rFonts w:hint="eastAsia" w:ascii="宋体" w:hAnsi="宋体" w:cs="宋体"/>
          <w:color w:val="auto"/>
          <w:szCs w:val="21"/>
          <w:highlight w:val="none"/>
          <w:lang w:val="en-US" w:eastAsia="zh-CN"/>
        </w:rPr>
        <w:t>25</w:t>
      </w:r>
      <w:r>
        <w:rPr>
          <w:rFonts w:hint="eastAsia" w:ascii="宋体" w:hAnsi="宋体" w:cs="宋体"/>
          <w:color w:val="auto"/>
          <w:szCs w:val="21"/>
          <w:highlight w:val="none"/>
        </w:rPr>
        <w:t>年</w:t>
      </w:r>
      <w:r>
        <w:rPr>
          <w:rFonts w:hint="eastAsia" w:ascii="宋体" w:hAnsi="宋体" w:cs="宋体"/>
          <w:color w:val="auto"/>
          <w:szCs w:val="21"/>
          <w:highlight w:val="none"/>
          <w:lang w:val="en-US" w:eastAsia="zh-CN"/>
        </w:rPr>
        <w:t>1</w:t>
      </w:r>
      <w:r>
        <w:rPr>
          <w:rFonts w:hint="eastAsia" w:ascii="宋体" w:hAnsi="宋体" w:cs="宋体"/>
          <w:color w:val="auto"/>
          <w:szCs w:val="21"/>
          <w:highlight w:val="none"/>
        </w:rPr>
        <w:t xml:space="preserve">月 </w:t>
      </w:r>
      <w:r>
        <w:rPr>
          <w:rFonts w:hint="eastAsia" w:ascii="宋体" w:hAnsi="宋体" w:cs="宋体"/>
          <w:color w:val="auto"/>
          <w:szCs w:val="21"/>
          <w:highlight w:val="none"/>
          <w:lang w:val="en-US" w:eastAsia="zh-CN"/>
        </w:rPr>
        <w:t>24</w:t>
      </w:r>
      <w:bookmarkStart w:id="1222" w:name="_GoBack"/>
      <w:bookmarkEnd w:id="1222"/>
      <w:r>
        <w:rPr>
          <w:rFonts w:hint="eastAsia" w:ascii="宋体" w:hAnsi="宋体" w:cs="宋体"/>
          <w:color w:val="auto"/>
          <w:szCs w:val="21"/>
          <w:highlight w:val="none"/>
          <w:lang w:val="en-US" w:eastAsia="zh-CN"/>
        </w:rPr>
        <w:t>日</w:t>
      </w:r>
    </w:p>
    <w:p w14:paraId="52BA2EBA">
      <w:pPr>
        <w:ind w:left="6205" w:leftChars="2755" w:hanging="420" w:hangingChars="200"/>
        <w:rPr>
          <w:rFonts w:ascii="黑体" w:hAnsi="宋体" w:eastAsia="黑体"/>
          <w:color w:val="auto"/>
          <w:highlight w:val="none"/>
        </w:rPr>
      </w:pPr>
      <w:r>
        <w:rPr>
          <w:rFonts w:hint="eastAsia" w:ascii="宋体" w:hAnsi="宋体" w:cs="宋体"/>
          <w:color w:val="auto"/>
          <w:szCs w:val="21"/>
          <w:highlight w:val="none"/>
        </w:rPr>
        <w:br w:type="page"/>
      </w:r>
    </w:p>
    <w:p w14:paraId="7D8A4495">
      <w:pPr>
        <w:pStyle w:val="3"/>
        <w:spacing w:before="0" w:after="0" w:line="240" w:lineRule="auto"/>
        <w:rPr>
          <w:color w:val="auto"/>
          <w:sz w:val="28"/>
          <w:szCs w:val="28"/>
          <w:highlight w:val="none"/>
        </w:rPr>
      </w:pPr>
      <w:bookmarkStart w:id="22" w:name="_Toc21984"/>
      <w:bookmarkStart w:id="23" w:name="_Toc25436"/>
      <w:bookmarkStart w:id="24" w:name="_Toc9015"/>
      <w:bookmarkStart w:id="25" w:name="_Toc14923"/>
      <w:bookmarkStart w:id="26" w:name="_Toc4261"/>
      <w:bookmarkStart w:id="27" w:name="_Toc804"/>
      <w:bookmarkStart w:id="28" w:name="_Toc6771"/>
      <w:bookmarkStart w:id="29" w:name="_Toc5310"/>
      <w:bookmarkStart w:id="30" w:name="_Toc5067"/>
      <w:bookmarkStart w:id="31" w:name="_Toc16964"/>
      <w:bookmarkStart w:id="32" w:name="_Toc5796"/>
      <w:r>
        <w:rPr>
          <w:rFonts w:hint="eastAsia"/>
          <w:color w:val="auto"/>
          <w:sz w:val="28"/>
          <w:szCs w:val="28"/>
          <w:highlight w:val="none"/>
        </w:rPr>
        <w:t>第二部分相关资料表格</w:t>
      </w:r>
      <w:bookmarkEnd w:id="22"/>
      <w:bookmarkEnd w:id="23"/>
      <w:bookmarkEnd w:id="24"/>
      <w:bookmarkEnd w:id="25"/>
      <w:bookmarkEnd w:id="26"/>
      <w:bookmarkEnd w:id="27"/>
      <w:bookmarkEnd w:id="28"/>
      <w:bookmarkEnd w:id="29"/>
      <w:bookmarkEnd w:id="30"/>
      <w:bookmarkEnd w:id="31"/>
      <w:bookmarkEnd w:id="32"/>
    </w:p>
    <w:p w14:paraId="309B21C9">
      <w:pPr>
        <w:pStyle w:val="4"/>
        <w:spacing w:before="0" w:after="0" w:line="240" w:lineRule="auto"/>
        <w:jc w:val="center"/>
        <w:rPr>
          <w:rFonts w:ascii="宋体" w:hAnsi="宋体" w:cs="宋体"/>
          <w:color w:val="auto"/>
          <w:sz w:val="24"/>
          <w:szCs w:val="24"/>
          <w:highlight w:val="none"/>
        </w:rPr>
      </w:pPr>
      <w:bookmarkStart w:id="33" w:name="_Toc3379"/>
      <w:bookmarkStart w:id="34" w:name="_Toc13643"/>
      <w:bookmarkStart w:id="35" w:name="_Toc8442"/>
      <w:bookmarkStart w:id="36" w:name="_Toc2399"/>
      <w:bookmarkStart w:id="37" w:name="_Toc14277"/>
      <w:bookmarkStart w:id="38" w:name="_Toc15812"/>
      <w:bookmarkStart w:id="39" w:name="_Toc26224"/>
      <w:bookmarkStart w:id="40" w:name="_Toc9958"/>
      <w:bookmarkStart w:id="41" w:name="_Toc28171"/>
      <w:bookmarkStart w:id="42" w:name="_Toc9097"/>
      <w:bookmarkStart w:id="43" w:name="_Toc165"/>
      <w:r>
        <w:rPr>
          <w:rFonts w:hint="eastAsia" w:ascii="宋体" w:hAnsi="宋体" w:cs="宋体"/>
          <w:color w:val="auto"/>
          <w:sz w:val="24"/>
          <w:szCs w:val="24"/>
          <w:highlight w:val="none"/>
        </w:rPr>
        <w:t>附表一：投标资料表</w:t>
      </w:r>
      <w:bookmarkEnd w:id="33"/>
      <w:bookmarkEnd w:id="34"/>
      <w:bookmarkEnd w:id="35"/>
      <w:bookmarkEnd w:id="36"/>
      <w:bookmarkEnd w:id="37"/>
      <w:bookmarkEnd w:id="38"/>
      <w:bookmarkEnd w:id="39"/>
      <w:bookmarkEnd w:id="40"/>
      <w:bookmarkEnd w:id="41"/>
      <w:bookmarkEnd w:id="42"/>
      <w:bookmarkEnd w:id="43"/>
    </w:p>
    <w:tbl>
      <w:tblPr>
        <w:tblStyle w:val="28"/>
        <w:tblW w:w="8410" w:type="dxa"/>
        <w:tblInd w:w="-23" w:type="dxa"/>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878"/>
        <w:gridCol w:w="2608"/>
        <w:gridCol w:w="4924"/>
      </w:tblGrid>
      <w:tr w14:paraId="38E6B15D">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600" w:hRule="atLeast"/>
        </w:trPr>
        <w:tc>
          <w:tcPr>
            <w:tcW w:w="878" w:type="dxa"/>
            <w:tcBorders>
              <w:tl2br w:val="nil"/>
              <w:tr2bl w:val="nil"/>
            </w:tcBorders>
            <w:vAlign w:val="center"/>
          </w:tcPr>
          <w:p w14:paraId="11EB7C9A">
            <w:pPr>
              <w:jc w:val="center"/>
              <w:rPr>
                <w:rFonts w:ascii="宋体" w:hAnsi="宋体"/>
                <w:color w:val="auto"/>
                <w:szCs w:val="21"/>
                <w:highlight w:val="none"/>
              </w:rPr>
            </w:pPr>
            <w:r>
              <w:rPr>
                <w:rFonts w:hint="eastAsia" w:ascii="宋体" w:hAnsi="宋体"/>
                <w:color w:val="auto"/>
                <w:szCs w:val="21"/>
                <w:highlight w:val="none"/>
              </w:rPr>
              <w:t>序号</w:t>
            </w:r>
          </w:p>
        </w:tc>
        <w:tc>
          <w:tcPr>
            <w:tcW w:w="7532" w:type="dxa"/>
            <w:gridSpan w:val="2"/>
            <w:tcBorders>
              <w:tl2br w:val="nil"/>
              <w:tr2bl w:val="nil"/>
            </w:tcBorders>
            <w:vAlign w:val="center"/>
          </w:tcPr>
          <w:p w14:paraId="0A1E0845">
            <w:pPr>
              <w:jc w:val="center"/>
              <w:rPr>
                <w:rFonts w:ascii="宋体" w:hAnsi="宋体"/>
                <w:b/>
                <w:color w:val="auto"/>
                <w:szCs w:val="21"/>
                <w:highlight w:val="none"/>
              </w:rPr>
            </w:pPr>
            <w:r>
              <w:rPr>
                <w:rFonts w:hint="eastAsia" w:ascii="宋体" w:hAnsi="宋体"/>
                <w:b/>
                <w:color w:val="auto"/>
                <w:szCs w:val="21"/>
                <w:highlight w:val="none"/>
              </w:rPr>
              <w:t>内容</w:t>
            </w:r>
          </w:p>
        </w:tc>
      </w:tr>
      <w:tr w14:paraId="774B25BD">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cantSplit/>
          <w:trHeight w:val="551" w:hRule="atLeast"/>
        </w:trPr>
        <w:tc>
          <w:tcPr>
            <w:tcW w:w="8410" w:type="dxa"/>
            <w:gridSpan w:val="3"/>
            <w:tcBorders>
              <w:tl2br w:val="nil"/>
              <w:tr2bl w:val="nil"/>
            </w:tcBorders>
            <w:vAlign w:val="center"/>
          </w:tcPr>
          <w:p w14:paraId="66D783CB">
            <w:pPr>
              <w:jc w:val="center"/>
              <w:rPr>
                <w:rFonts w:ascii="宋体" w:hAnsi="宋体"/>
                <w:b/>
                <w:color w:val="auto"/>
                <w:szCs w:val="21"/>
                <w:highlight w:val="none"/>
              </w:rPr>
            </w:pPr>
            <w:r>
              <w:rPr>
                <w:rFonts w:hint="eastAsia" w:ascii="宋体" w:hAnsi="宋体"/>
                <w:b/>
                <w:color w:val="auto"/>
                <w:szCs w:val="21"/>
                <w:highlight w:val="none"/>
              </w:rPr>
              <w:t>一、说明</w:t>
            </w:r>
          </w:p>
        </w:tc>
      </w:tr>
      <w:tr w14:paraId="0DFACF17">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restart"/>
            <w:tcBorders>
              <w:tl2br w:val="nil"/>
              <w:tr2bl w:val="nil"/>
            </w:tcBorders>
            <w:vAlign w:val="center"/>
          </w:tcPr>
          <w:p w14:paraId="60E42D2D">
            <w:pPr>
              <w:jc w:val="center"/>
              <w:rPr>
                <w:rFonts w:ascii="宋体" w:hAnsi="宋体"/>
                <w:color w:val="auto"/>
                <w:szCs w:val="21"/>
                <w:highlight w:val="none"/>
              </w:rPr>
            </w:pPr>
            <w:r>
              <w:rPr>
                <w:rFonts w:hint="eastAsia" w:ascii="宋体" w:hAnsi="宋体"/>
                <w:color w:val="auto"/>
                <w:szCs w:val="21"/>
                <w:highlight w:val="none"/>
              </w:rPr>
              <w:t>1</w:t>
            </w:r>
          </w:p>
        </w:tc>
        <w:tc>
          <w:tcPr>
            <w:tcW w:w="7532" w:type="dxa"/>
            <w:gridSpan w:val="2"/>
            <w:tcBorders>
              <w:tl2br w:val="nil"/>
              <w:tr2bl w:val="nil"/>
            </w:tcBorders>
            <w:vAlign w:val="center"/>
          </w:tcPr>
          <w:p w14:paraId="2EC38206">
            <w:pPr>
              <w:rPr>
                <w:rFonts w:ascii="宋体" w:hAnsi="宋体"/>
                <w:b/>
                <w:bCs/>
                <w:color w:val="auto"/>
                <w:szCs w:val="21"/>
                <w:highlight w:val="none"/>
              </w:rPr>
            </w:pPr>
            <w:r>
              <w:rPr>
                <w:rFonts w:hint="eastAsia" w:ascii="宋体" w:hAnsi="宋体"/>
                <w:b/>
                <w:bCs/>
                <w:color w:val="auto"/>
                <w:szCs w:val="21"/>
                <w:highlight w:val="none"/>
              </w:rPr>
              <w:t>项目最高限价（</w:t>
            </w:r>
            <w:r>
              <w:rPr>
                <w:rFonts w:hint="eastAsia" w:ascii="宋体" w:hAnsi="宋体"/>
                <w:b/>
                <w:bCs/>
                <w:color w:val="auto"/>
                <w:szCs w:val="21"/>
                <w:highlight w:val="none"/>
                <w:u w:val="single"/>
              </w:rPr>
              <w:t>详见附件 《危险废物运输费单价表》</w:t>
            </w:r>
            <w:r>
              <w:rPr>
                <w:rFonts w:hint="eastAsia" w:ascii="宋体" w:hAnsi="宋体"/>
                <w:b/>
                <w:bCs/>
                <w:color w:val="auto"/>
                <w:szCs w:val="21"/>
                <w:highlight w:val="none"/>
              </w:rPr>
              <w:t>）</w:t>
            </w:r>
          </w:p>
        </w:tc>
      </w:tr>
      <w:tr w14:paraId="7124437F">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878" w:type="dxa"/>
            <w:vMerge w:val="continue"/>
            <w:tcBorders>
              <w:tl2br w:val="nil"/>
              <w:tr2bl w:val="nil"/>
            </w:tcBorders>
            <w:vAlign w:val="center"/>
          </w:tcPr>
          <w:p w14:paraId="100DC9B9">
            <w:pPr>
              <w:jc w:val="center"/>
              <w:rPr>
                <w:rFonts w:ascii="宋体" w:hAnsi="宋体"/>
                <w:color w:val="auto"/>
                <w:szCs w:val="21"/>
                <w:highlight w:val="none"/>
              </w:rPr>
            </w:pPr>
          </w:p>
        </w:tc>
        <w:tc>
          <w:tcPr>
            <w:tcW w:w="7532" w:type="dxa"/>
            <w:gridSpan w:val="2"/>
            <w:tcBorders>
              <w:tl2br w:val="nil"/>
              <w:tr2bl w:val="nil"/>
            </w:tcBorders>
            <w:vAlign w:val="center"/>
          </w:tcPr>
          <w:p w14:paraId="7BCEF1E0">
            <w:pPr>
              <w:rPr>
                <w:rFonts w:ascii="宋体" w:hAnsi="宋体"/>
                <w:b/>
                <w:bCs/>
                <w:color w:val="auto"/>
                <w:szCs w:val="21"/>
                <w:highlight w:val="none"/>
              </w:rPr>
            </w:pPr>
            <w:r>
              <w:rPr>
                <w:rFonts w:hint="eastAsia" w:ascii="宋体" w:hAnsi="宋体"/>
                <w:b/>
                <w:bCs/>
                <w:color w:val="auto"/>
                <w:szCs w:val="21"/>
                <w:highlight w:val="none"/>
              </w:rPr>
              <w:t>详见用户需求要求。</w:t>
            </w:r>
          </w:p>
        </w:tc>
      </w:tr>
      <w:tr w14:paraId="2B6D4B3E">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878" w:type="dxa"/>
            <w:vMerge w:val="restart"/>
            <w:tcBorders>
              <w:tl2br w:val="nil"/>
              <w:tr2bl w:val="nil"/>
            </w:tcBorders>
            <w:vAlign w:val="center"/>
          </w:tcPr>
          <w:p w14:paraId="41009413">
            <w:pPr>
              <w:jc w:val="center"/>
              <w:rPr>
                <w:rFonts w:ascii="宋体" w:hAnsi="宋体"/>
                <w:color w:val="auto"/>
                <w:szCs w:val="21"/>
                <w:highlight w:val="none"/>
              </w:rPr>
            </w:pPr>
            <w:r>
              <w:rPr>
                <w:rFonts w:hint="eastAsia" w:ascii="宋体" w:hAnsi="宋体"/>
                <w:color w:val="auto"/>
                <w:szCs w:val="21"/>
                <w:highlight w:val="none"/>
              </w:rPr>
              <w:t>2</w:t>
            </w:r>
          </w:p>
        </w:tc>
        <w:tc>
          <w:tcPr>
            <w:tcW w:w="7532" w:type="dxa"/>
            <w:gridSpan w:val="2"/>
            <w:tcBorders>
              <w:tl2br w:val="nil"/>
              <w:tr2bl w:val="nil"/>
            </w:tcBorders>
            <w:vAlign w:val="center"/>
          </w:tcPr>
          <w:p w14:paraId="5C0F3037">
            <w:pPr>
              <w:rPr>
                <w:rFonts w:ascii="宋体" w:hAnsi="宋体"/>
                <w:b/>
                <w:bCs/>
                <w:color w:val="auto"/>
                <w:szCs w:val="21"/>
                <w:highlight w:val="none"/>
              </w:rPr>
            </w:pPr>
            <w:r>
              <w:rPr>
                <w:rFonts w:hint="eastAsia" w:ascii="宋体" w:hAnsi="宋体"/>
                <w:b/>
                <w:bCs/>
                <w:color w:val="auto"/>
                <w:szCs w:val="21"/>
                <w:highlight w:val="none"/>
              </w:rPr>
              <w:t>发包方式</w:t>
            </w:r>
          </w:p>
        </w:tc>
      </w:tr>
      <w:tr w14:paraId="237041CA">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878" w:type="dxa"/>
            <w:vMerge w:val="continue"/>
            <w:tcBorders>
              <w:tl2br w:val="nil"/>
              <w:tr2bl w:val="nil"/>
            </w:tcBorders>
            <w:vAlign w:val="center"/>
          </w:tcPr>
          <w:p w14:paraId="4960F8B9">
            <w:pPr>
              <w:jc w:val="center"/>
              <w:rPr>
                <w:rFonts w:ascii="宋体" w:hAnsi="宋体"/>
                <w:color w:val="auto"/>
                <w:szCs w:val="21"/>
                <w:highlight w:val="none"/>
              </w:rPr>
            </w:pPr>
          </w:p>
        </w:tc>
        <w:tc>
          <w:tcPr>
            <w:tcW w:w="7532" w:type="dxa"/>
            <w:gridSpan w:val="2"/>
            <w:tcBorders>
              <w:tl2br w:val="nil"/>
              <w:tr2bl w:val="nil"/>
            </w:tcBorders>
            <w:vAlign w:val="center"/>
          </w:tcPr>
          <w:p w14:paraId="080B6F19">
            <w:pPr>
              <w:rPr>
                <w:rFonts w:ascii="宋体" w:hAnsi="宋体"/>
                <w:b/>
                <w:bCs/>
                <w:color w:val="auto"/>
                <w:szCs w:val="21"/>
                <w:highlight w:val="none"/>
              </w:rPr>
            </w:pPr>
            <w:r>
              <w:rPr>
                <w:rFonts w:hint="eastAsia" w:ascii="宋体" w:hAnsi="宋体"/>
                <w:color w:val="auto"/>
                <w:szCs w:val="21"/>
                <w:highlight w:val="none"/>
              </w:rPr>
              <w:sym w:font="Wingdings 2" w:char="00A3"/>
            </w:r>
            <w:r>
              <w:rPr>
                <w:rFonts w:hint="eastAsia" w:ascii="宋体" w:hAnsi="宋体"/>
                <w:b/>
                <w:bCs/>
                <w:color w:val="auto"/>
                <w:szCs w:val="21"/>
                <w:highlight w:val="none"/>
              </w:rPr>
              <w:t>固定总价包干；</w:t>
            </w:r>
          </w:p>
          <w:p w14:paraId="026A25A0">
            <w:pPr>
              <w:rPr>
                <w:rFonts w:ascii="宋体" w:hAnsi="宋体"/>
                <w:b/>
                <w:bCs/>
                <w:color w:val="auto"/>
                <w:szCs w:val="21"/>
                <w:highlight w:val="none"/>
              </w:rPr>
            </w:pPr>
            <w:r>
              <w:rPr>
                <w:rFonts w:hint="eastAsia" w:ascii="宋体" w:hAnsi="宋体"/>
                <w:color w:val="auto"/>
                <w:szCs w:val="21"/>
                <w:highlight w:val="none"/>
              </w:rPr>
              <w:sym w:font="Wingdings 2" w:char="0052"/>
            </w:r>
            <w:r>
              <w:rPr>
                <w:rFonts w:hint="eastAsia" w:ascii="宋体" w:hAnsi="宋体"/>
                <w:b/>
                <w:bCs/>
                <w:color w:val="auto"/>
                <w:szCs w:val="21"/>
                <w:highlight w:val="none"/>
              </w:rPr>
              <w:t>固定单价暂定总价包干；</w:t>
            </w:r>
          </w:p>
          <w:p w14:paraId="667FC1FB">
            <w:pPr>
              <w:rPr>
                <w:rFonts w:ascii="宋体" w:hAnsi="宋体"/>
                <w:b/>
                <w:bCs/>
                <w:color w:val="auto"/>
                <w:szCs w:val="21"/>
                <w:highlight w:val="none"/>
                <w:u w:val="single"/>
              </w:rPr>
            </w:pPr>
            <w:r>
              <w:rPr>
                <w:rFonts w:hint="eastAsia" w:ascii="宋体" w:hAnsi="宋体"/>
                <w:color w:val="auto"/>
                <w:szCs w:val="21"/>
                <w:highlight w:val="none"/>
              </w:rPr>
              <w:sym w:font="Wingdings 2" w:char="00A3"/>
            </w:r>
            <w:r>
              <w:rPr>
                <w:rFonts w:hint="eastAsia" w:ascii="宋体" w:hAnsi="宋体"/>
                <w:b/>
                <w:bCs/>
                <w:color w:val="auto"/>
                <w:szCs w:val="21"/>
                <w:highlight w:val="none"/>
              </w:rPr>
              <w:t>费率</w:t>
            </w:r>
            <w:r>
              <w:rPr>
                <w:rFonts w:hint="eastAsia" w:ascii="宋体" w:hAnsi="宋体"/>
                <w:b/>
                <w:bCs/>
                <w:color w:val="auto"/>
                <w:szCs w:val="21"/>
                <w:highlight w:val="none"/>
                <w:u w:val="single"/>
              </w:rPr>
              <w:t xml:space="preserve">         ；</w:t>
            </w:r>
          </w:p>
          <w:p w14:paraId="4ACBCE8F">
            <w:pPr>
              <w:rPr>
                <w:rFonts w:ascii="宋体" w:hAnsi="宋体"/>
                <w:b/>
                <w:bCs/>
                <w:color w:val="auto"/>
                <w:szCs w:val="21"/>
                <w:highlight w:val="none"/>
              </w:rPr>
            </w:pPr>
            <w:r>
              <w:rPr>
                <w:rFonts w:hint="eastAsia" w:ascii="宋体" w:hAnsi="宋体"/>
                <w:color w:val="auto"/>
                <w:szCs w:val="21"/>
                <w:highlight w:val="none"/>
              </w:rPr>
              <w:sym w:font="Wingdings 2" w:char="00A3"/>
            </w:r>
            <w:r>
              <w:rPr>
                <w:rFonts w:hint="eastAsia" w:ascii="宋体" w:hAnsi="宋体"/>
                <w:b/>
                <w:bCs/>
                <w:color w:val="auto"/>
                <w:szCs w:val="21"/>
                <w:highlight w:val="none"/>
              </w:rPr>
              <w:t>其他</w:t>
            </w:r>
            <w:r>
              <w:rPr>
                <w:rFonts w:hint="eastAsia" w:ascii="宋体" w:hAnsi="宋体"/>
                <w:b/>
                <w:bCs/>
                <w:color w:val="auto"/>
                <w:szCs w:val="21"/>
                <w:highlight w:val="none"/>
                <w:u w:val="single"/>
              </w:rPr>
              <w:t xml:space="preserve">           </w:t>
            </w:r>
            <w:r>
              <w:rPr>
                <w:rFonts w:hint="eastAsia" w:ascii="宋体" w:hAnsi="宋体"/>
                <w:b/>
                <w:bCs/>
                <w:color w:val="auto"/>
                <w:szCs w:val="21"/>
                <w:highlight w:val="none"/>
              </w:rPr>
              <w:t>；</w:t>
            </w:r>
          </w:p>
        </w:tc>
      </w:tr>
      <w:tr w14:paraId="7C266843">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878" w:type="dxa"/>
            <w:vMerge w:val="restart"/>
            <w:tcBorders>
              <w:tl2br w:val="nil"/>
              <w:tr2bl w:val="nil"/>
            </w:tcBorders>
            <w:vAlign w:val="center"/>
          </w:tcPr>
          <w:p w14:paraId="6A833133">
            <w:pPr>
              <w:jc w:val="center"/>
              <w:rPr>
                <w:rFonts w:ascii="宋体" w:hAnsi="宋体"/>
                <w:color w:val="auto"/>
                <w:szCs w:val="21"/>
                <w:highlight w:val="none"/>
              </w:rPr>
            </w:pPr>
            <w:r>
              <w:rPr>
                <w:rFonts w:hint="eastAsia" w:ascii="宋体" w:hAnsi="宋体"/>
                <w:color w:val="auto"/>
                <w:szCs w:val="21"/>
                <w:highlight w:val="none"/>
              </w:rPr>
              <w:t>3</w:t>
            </w:r>
          </w:p>
        </w:tc>
        <w:tc>
          <w:tcPr>
            <w:tcW w:w="7532" w:type="dxa"/>
            <w:gridSpan w:val="2"/>
            <w:tcBorders>
              <w:tl2br w:val="nil"/>
              <w:tr2bl w:val="nil"/>
            </w:tcBorders>
            <w:vAlign w:val="center"/>
          </w:tcPr>
          <w:p w14:paraId="44D97985">
            <w:pPr>
              <w:rPr>
                <w:rFonts w:ascii="宋体" w:hAnsi="宋体"/>
                <w:b/>
                <w:bCs/>
                <w:color w:val="auto"/>
                <w:szCs w:val="21"/>
                <w:highlight w:val="none"/>
              </w:rPr>
            </w:pPr>
            <w:r>
              <w:rPr>
                <w:rFonts w:hint="eastAsia" w:ascii="宋体" w:hAnsi="宋体"/>
                <w:b/>
                <w:bCs/>
                <w:color w:val="auto"/>
                <w:szCs w:val="21"/>
                <w:highlight w:val="none"/>
              </w:rPr>
              <w:t>是否接受联合体投标</w:t>
            </w:r>
          </w:p>
        </w:tc>
      </w:tr>
      <w:tr w14:paraId="139E4FD2">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878" w:type="dxa"/>
            <w:vMerge w:val="continue"/>
            <w:tcBorders>
              <w:tl2br w:val="nil"/>
              <w:tr2bl w:val="nil"/>
            </w:tcBorders>
            <w:vAlign w:val="center"/>
          </w:tcPr>
          <w:p w14:paraId="7BE14CC6">
            <w:pPr>
              <w:jc w:val="center"/>
              <w:rPr>
                <w:rFonts w:ascii="宋体" w:hAnsi="宋体"/>
                <w:color w:val="auto"/>
                <w:szCs w:val="21"/>
                <w:highlight w:val="none"/>
              </w:rPr>
            </w:pPr>
          </w:p>
        </w:tc>
        <w:tc>
          <w:tcPr>
            <w:tcW w:w="7532" w:type="dxa"/>
            <w:gridSpan w:val="2"/>
            <w:tcBorders>
              <w:tl2br w:val="nil"/>
              <w:tr2bl w:val="nil"/>
            </w:tcBorders>
            <w:vAlign w:val="center"/>
          </w:tcPr>
          <w:p w14:paraId="53888177">
            <w:pPr>
              <w:pStyle w:val="39"/>
              <w:ind w:firstLine="0" w:firstLineChars="0"/>
              <w:rPr>
                <w:rFonts w:ascii="宋体" w:hAnsi="宋体" w:cs="宋体"/>
                <w:color w:val="auto"/>
                <w:szCs w:val="21"/>
                <w:highlight w:val="none"/>
              </w:rPr>
            </w:pPr>
            <w:r>
              <w:rPr>
                <w:rFonts w:hint="eastAsia" w:ascii="宋体" w:hAnsi="宋体"/>
                <w:color w:val="auto"/>
                <w:szCs w:val="21"/>
                <w:highlight w:val="none"/>
              </w:rPr>
              <w:sym w:font="Wingdings 2" w:char="00A3"/>
            </w:r>
            <w:r>
              <w:rPr>
                <w:rFonts w:hint="eastAsia" w:ascii="宋体" w:hAnsi="宋体" w:cs="宋体"/>
                <w:color w:val="auto"/>
                <w:szCs w:val="21"/>
                <w:highlight w:val="none"/>
              </w:rPr>
              <w:t>是，</w:t>
            </w:r>
            <w:r>
              <w:rPr>
                <w:rFonts w:hint="eastAsia" w:ascii="宋体" w:hAnsi="宋体"/>
                <w:color w:val="auto"/>
                <w:szCs w:val="21"/>
                <w:highlight w:val="none"/>
              </w:rPr>
              <w:t>联合体投标的，应满足下列要求：</w:t>
            </w:r>
            <w:r>
              <w:rPr>
                <w:rFonts w:ascii="宋体" w:hAnsi="宋体"/>
                <w:color w:val="auto"/>
                <w:szCs w:val="21"/>
                <w:highlight w:val="none"/>
                <w:u w:val="single"/>
              </w:rPr>
              <w:t xml:space="preserve">         </w:t>
            </w:r>
            <w:r>
              <w:rPr>
                <w:rFonts w:hint="eastAsia" w:ascii="宋体" w:hAnsi="宋体" w:cs="宋体"/>
                <w:color w:val="auto"/>
                <w:szCs w:val="21"/>
                <w:highlight w:val="none"/>
              </w:rPr>
              <w:t>；</w:t>
            </w:r>
          </w:p>
          <w:p w14:paraId="346274B3">
            <w:pPr>
              <w:rPr>
                <w:rFonts w:ascii="宋体" w:hAnsi="宋体"/>
                <w:b/>
                <w:bCs/>
                <w:color w:val="auto"/>
                <w:szCs w:val="21"/>
                <w:highlight w:val="none"/>
              </w:rPr>
            </w:pPr>
            <w:r>
              <w:rPr>
                <w:rFonts w:hint="eastAsia" w:ascii="宋体" w:hAnsi="宋体"/>
                <w:color w:val="auto"/>
                <w:szCs w:val="21"/>
                <w:highlight w:val="none"/>
              </w:rPr>
              <w:sym w:font="Wingdings 2" w:char="0052"/>
            </w:r>
            <w:r>
              <w:rPr>
                <w:rFonts w:hint="eastAsia" w:ascii="宋体" w:hAnsi="宋体" w:cs="宋体"/>
                <w:color w:val="auto"/>
                <w:szCs w:val="21"/>
                <w:highlight w:val="none"/>
              </w:rPr>
              <w:t>否；</w:t>
            </w:r>
          </w:p>
        </w:tc>
      </w:tr>
      <w:tr w14:paraId="7BA17C8D">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restart"/>
            <w:tcBorders>
              <w:tl2br w:val="nil"/>
              <w:tr2bl w:val="nil"/>
            </w:tcBorders>
            <w:vAlign w:val="center"/>
          </w:tcPr>
          <w:p w14:paraId="7533F4C8">
            <w:pPr>
              <w:jc w:val="center"/>
              <w:rPr>
                <w:rFonts w:ascii="宋体" w:hAnsi="宋体"/>
                <w:color w:val="auto"/>
                <w:szCs w:val="21"/>
                <w:highlight w:val="none"/>
              </w:rPr>
            </w:pPr>
            <w:r>
              <w:rPr>
                <w:rFonts w:hint="eastAsia" w:ascii="宋体" w:hAnsi="宋体"/>
                <w:color w:val="auto"/>
                <w:szCs w:val="21"/>
                <w:highlight w:val="none"/>
              </w:rPr>
              <w:t>4</w:t>
            </w:r>
          </w:p>
        </w:tc>
        <w:tc>
          <w:tcPr>
            <w:tcW w:w="7532" w:type="dxa"/>
            <w:gridSpan w:val="2"/>
            <w:tcBorders>
              <w:tl2br w:val="nil"/>
              <w:tr2bl w:val="nil"/>
            </w:tcBorders>
            <w:vAlign w:val="center"/>
          </w:tcPr>
          <w:p w14:paraId="777FB602">
            <w:pPr>
              <w:rPr>
                <w:rFonts w:ascii="宋体" w:hAnsi="宋体"/>
                <w:b/>
                <w:bCs/>
                <w:color w:val="auto"/>
                <w:szCs w:val="21"/>
                <w:highlight w:val="none"/>
              </w:rPr>
            </w:pPr>
            <w:r>
              <w:rPr>
                <w:rFonts w:hint="eastAsia" w:ascii="宋体" w:hAnsi="宋体"/>
                <w:b/>
                <w:bCs/>
                <w:color w:val="auto"/>
                <w:szCs w:val="21"/>
                <w:highlight w:val="none"/>
              </w:rPr>
              <w:t>资金来源</w:t>
            </w:r>
          </w:p>
        </w:tc>
      </w:tr>
      <w:tr w14:paraId="10EF533E">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878" w:type="dxa"/>
            <w:vMerge w:val="continue"/>
            <w:tcBorders>
              <w:tl2br w:val="nil"/>
              <w:tr2bl w:val="nil"/>
            </w:tcBorders>
            <w:vAlign w:val="center"/>
          </w:tcPr>
          <w:p w14:paraId="2356229E">
            <w:pPr>
              <w:jc w:val="center"/>
              <w:rPr>
                <w:rFonts w:ascii="宋体" w:hAnsi="宋体"/>
                <w:color w:val="auto"/>
                <w:szCs w:val="21"/>
                <w:highlight w:val="none"/>
              </w:rPr>
            </w:pPr>
          </w:p>
        </w:tc>
        <w:tc>
          <w:tcPr>
            <w:tcW w:w="7532" w:type="dxa"/>
            <w:gridSpan w:val="2"/>
            <w:tcBorders>
              <w:tl2br w:val="nil"/>
              <w:tr2bl w:val="nil"/>
            </w:tcBorders>
            <w:vAlign w:val="center"/>
          </w:tcPr>
          <w:p w14:paraId="3212EE7A">
            <w:pPr>
              <w:rPr>
                <w:rFonts w:ascii="宋体" w:hAnsi="宋体"/>
                <w:b/>
                <w:bCs/>
                <w:color w:val="auto"/>
                <w:szCs w:val="21"/>
                <w:highlight w:val="none"/>
              </w:rPr>
            </w:pPr>
            <w:r>
              <w:rPr>
                <w:rFonts w:hint="eastAsia" w:ascii="宋体" w:hAnsi="宋体"/>
                <w:color w:val="auto"/>
                <w:szCs w:val="21"/>
                <w:highlight w:val="none"/>
                <w:u w:val="single"/>
              </w:rPr>
              <w:t>自筹资金。</w:t>
            </w:r>
          </w:p>
        </w:tc>
      </w:tr>
      <w:tr w14:paraId="3BBD626D">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restart"/>
            <w:tcBorders>
              <w:tl2br w:val="nil"/>
              <w:tr2bl w:val="nil"/>
            </w:tcBorders>
            <w:vAlign w:val="center"/>
          </w:tcPr>
          <w:p w14:paraId="1EEB5E88">
            <w:pPr>
              <w:jc w:val="center"/>
              <w:rPr>
                <w:rFonts w:ascii="宋体" w:hAnsi="宋体"/>
                <w:color w:val="auto"/>
                <w:szCs w:val="21"/>
                <w:highlight w:val="none"/>
              </w:rPr>
            </w:pPr>
            <w:r>
              <w:rPr>
                <w:rFonts w:hint="eastAsia" w:ascii="宋体" w:hAnsi="宋体"/>
                <w:color w:val="auto"/>
                <w:szCs w:val="21"/>
                <w:highlight w:val="none"/>
              </w:rPr>
              <w:t>5</w:t>
            </w:r>
          </w:p>
        </w:tc>
        <w:tc>
          <w:tcPr>
            <w:tcW w:w="7532" w:type="dxa"/>
            <w:gridSpan w:val="2"/>
            <w:tcBorders>
              <w:tl2br w:val="nil"/>
              <w:tr2bl w:val="nil"/>
            </w:tcBorders>
            <w:vAlign w:val="center"/>
          </w:tcPr>
          <w:p w14:paraId="64BD7819">
            <w:pPr>
              <w:rPr>
                <w:rFonts w:ascii="宋体" w:hAnsi="宋体"/>
                <w:b/>
                <w:color w:val="auto"/>
                <w:szCs w:val="21"/>
                <w:highlight w:val="none"/>
              </w:rPr>
            </w:pPr>
            <w:r>
              <w:rPr>
                <w:rFonts w:hint="eastAsia" w:ascii="宋体" w:hAnsi="宋体"/>
                <w:b/>
                <w:color w:val="auto"/>
                <w:szCs w:val="21"/>
                <w:highlight w:val="none"/>
              </w:rPr>
              <w:t>踏勘现场</w:t>
            </w:r>
          </w:p>
        </w:tc>
      </w:tr>
      <w:tr w14:paraId="10B4110E">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878" w:type="dxa"/>
            <w:vMerge w:val="continue"/>
            <w:tcBorders>
              <w:tl2br w:val="nil"/>
              <w:tr2bl w:val="nil"/>
            </w:tcBorders>
            <w:vAlign w:val="center"/>
          </w:tcPr>
          <w:p w14:paraId="01EA5554">
            <w:pPr>
              <w:jc w:val="center"/>
              <w:rPr>
                <w:rFonts w:ascii="宋体" w:hAnsi="宋体"/>
                <w:color w:val="auto"/>
                <w:szCs w:val="21"/>
                <w:highlight w:val="none"/>
              </w:rPr>
            </w:pPr>
          </w:p>
        </w:tc>
        <w:tc>
          <w:tcPr>
            <w:tcW w:w="7532" w:type="dxa"/>
            <w:gridSpan w:val="2"/>
            <w:tcBorders>
              <w:tl2br w:val="nil"/>
              <w:tr2bl w:val="nil"/>
            </w:tcBorders>
            <w:vAlign w:val="center"/>
          </w:tcPr>
          <w:p w14:paraId="30E88A16">
            <w:pPr>
              <w:rPr>
                <w:rFonts w:ascii="宋体" w:hAnsi="宋体"/>
                <w:bCs/>
                <w:color w:val="auto"/>
                <w:szCs w:val="21"/>
                <w:highlight w:val="none"/>
              </w:rPr>
            </w:pPr>
            <w:r>
              <w:rPr>
                <w:rFonts w:hint="eastAsia" w:ascii="宋体" w:hAnsi="宋体"/>
                <w:bCs/>
                <w:color w:val="auto"/>
                <w:szCs w:val="21"/>
                <w:highlight w:val="none"/>
                <w:lang w:eastAsia="zh-CN"/>
              </w:rPr>
              <w:t>☑</w:t>
            </w:r>
            <w:r>
              <w:rPr>
                <w:rFonts w:hint="eastAsia" w:ascii="宋体" w:hAnsi="宋体"/>
                <w:bCs/>
                <w:color w:val="auto"/>
                <w:szCs w:val="21"/>
                <w:highlight w:val="none"/>
              </w:rPr>
              <w:t>不组织 。</w:t>
            </w:r>
          </w:p>
          <w:p w14:paraId="0C98CA36">
            <w:pPr>
              <w:rPr>
                <w:rFonts w:ascii="宋体" w:hAnsi="宋体"/>
                <w:bCs/>
                <w:color w:val="auto"/>
                <w:szCs w:val="21"/>
                <w:highlight w:val="none"/>
              </w:rPr>
            </w:pPr>
            <w:r>
              <w:rPr>
                <w:rFonts w:hint="eastAsia" w:ascii="宋体" w:hAnsi="宋体"/>
                <w:bCs/>
                <w:color w:val="auto"/>
                <w:szCs w:val="21"/>
                <w:highlight w:val="none"/>
              </w:rPr>
              <w:t>□组织，踏勘现场时间、地点：</w:t>
            </w:r>
            <w:r>
              <w:rPr>
                <w:rFonts w:hint="eastAsia" w:ascii="宋体" w:hAnsi="宋体"/>
                <w:bCs/>
                <w:color w:val="auto"/>
                <w:szCs w:val="21"/>
                <w:highlight w:val="none"/>
                <w:u w:val="single"/>
              </w:rPr>
              <w:t xml:space="preserve">         </w:t>
            </w:r>
            <w:r>
              <w:rPr>
                <w:rFonts w:hint="eastAsia" w:ascii="宋体" w:hAnsi="宋体"/>
                <w:bCs/>
                <w:color w:val="auto"/>
                <w:szCs w:val="21"/>
                <w:highlight w:val="none"/>
              </w:rPr>
              <w:t xml:space="preserve">。 </w:t>
            </w:r>
          </w:p>
        </w:tc>
      </w:tr>
      <w:tr w14:paraId="33DC0B83">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cantSplit/>
          <w:trHeight w:val="629" w:hRule="atLeast"/>
        </w:trPr>
        <w:tc>
          <w:tcPr>
            <w:tcW w:w="8410" w:type="dxa"/>
            <w:gridSpan w:val="3"/>
            <w:tcBorders>
              <w:tl2br w:val="nil"/>
              <w:tr2bl w:val="nil"/>
            </w:tcBorders>
            <w:vAlign w:val="center"/>
          </w:tcPr>
          <w:p w14:paraId="4DF658AD">
            <w:pPr>
              <w:jc w:val="center"/>
              <w:rPr>
                <w:rFonts w:ascii="宋体" w:hAnsi="宋体"/>
                <w:b/>
                <w:color w:val="auto"/>
                <w:szCs w:val="21"/>
                <w:highlight w:val="none"/>
              </w:rPr>
            </w:pPr>
            <w:r>
              <w:rPr>
                <w:rFonts w:hint="eastAsia" w:ascii="宋体" w:hAnsi="宋体"/>
                <w:b/>
                <w:color w:val="auto"/>
                <w:szCs w:val="21"/>
                <w:highlight w:val="none"/>
              </w:rPr>
              <w:t>二、投标文件的编制</w:t>
            </w:r>
          </w:p>
        </w:tc>
      </w:tr>
      <w:tr w14:paraId="5A7F923C">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restart"/>
            <w:tcBorders>
              <w:tl2br w:val="nil"/>
              <w:tr2bl w:val="nil"/>
            </w:tcBorders>
            <w:vAlign w:val="center"/>
          </w:tcPr>
          <w:p w14:paraId="30F8EEAB">
            <w:pPr>
              <w:jc w:val="center"/>
              <w:rPr>
                <w:rFonts w:ascii="宋体" w:hAnsi="宋体"/>
                <w:color w:val="auto"/>
                <w:szCs w:val="21"/>
                <w:highlight w:val="none"/>
              </w:rPr>
            </w:pPr>
            <w:r>
              <w:rPr>
                <w:rFonts w:hint="eastAsia" w:ascii="宋体" w:hAnsi="宋体"/>
                <w:color w:val="auto"/>
                <w:szCs w:val="21"/>
                <w:highlight w:val="none"/>
              </w:rPr>
              <w:t>6</w:t>
            </w:r>
          </w:p>
        </w:tc>
        <w:tc>
          <w:tcPr>
            <w:tcW w:w="7532" w:type="dxa"/>
            <w:gridSpan w:val="2"/>
            <w:tcBorders>
              <w:tl2br w:val="nil"/>
              <w:tr2bl w:val="nil"/>
            </w:tcBorders>
            <w:vAlign w:val="center"/>
          </w:tcPr>
          <w:p w14:paraId="0866EBF8">
            <w:pPr>
              <w:rPr>
                <w:rFonts w:ascii="宋体" w:hAnsi="宋体"/>
                <w:b/>
                <w:color w:val="auto"/>
                <w:szCs w:val="21"/>
                <w:highlight w:val="none"/>
              </w:rPr>
            </w:pPr>
            <w:r>
              <w:rPr>
                <w:rFonts w:hint="eastAsia" w:ascii="宋体" w:hAnsi="宋体"/>
                <w:b/>
                <w:color w:val="auto"/>
                <w:szCs w:val="21"/>
                <w:highlight w:val="none"/>
              </w:rPr>
              <w:t>投标语言</w:t>
            </w:r>
          </w:p>
        </w:tc>
      </w:tr>
      <w:tr w14:paraId="7238ECB9">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878" w:type="dxa"/>
            <w:vMerge w:val="continue"/>
            <w:tcBorders>
              <w:tl2br w:val="nil"/>
              <w:tr2bl w:val="nil"/>
            </w:tcBorders>
            <w:vAlign w:val="center"/>
          </w:tcPr>
          <w:p w14:paraId="3FEB4C45">
            <w:pPr>
              <w:jc w:val="center"/>
              <w:rPr>
                <w:rFonts w:ascii="宋体" w:hAnsi="宋体"/>
                <w:color w:val="auto"/>
                <w:szCs w:val="21"/>
                <w:highlight w:val="none"/>
              </w:rPr>
            </w:pPr>
          </w:p>
        </w:tc>
        <w:tc>
          <w:tcPr>
            <w:tcW w:w="7532" w:type="dxa"/>
            <w:gridSpan w:val="2"/>
            <w:tcBorders>
              <w:tl2br w:val="nil"/>
              <w:tr2bl w:val="nil"/>
            </w:tcBorders>
            <w:vAlign w:val="center"/>
          </w:tcPr>
          <w:p w14:paraId="4BD9F7C2">
            <w:pPr>
              <w:rPr>
                <w:rFonts w:ascii="宋体" w:hAnsi="宋体"/>
                <w:b/>
                <w:color w:val="auto"/>
                <w:szCs w:val="21"/>
                <w:highlight w:val="none"/>
              </w:rPr>
            </w:pPr>
            <w:r>
              <w:rPr>
                <w:rFonts w:hint="eastAsia" w:ascii="宋体" w:hAnsi="宋体"/>
                <w:color w:val="auto"/>
                <w:szCs w:val="21"/>
                <w:highlight w:val="none"/>
              </w:rPr>
              <w:t>中文。</w:t>
            </w:r>
          </w:p>
        </w:tc>
      </w:tr>
      <w:tr w14:paraId="60EDCC45">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restart"/>
            <w:tcBorders>
              <w:tl2br w:val="nil"/>
              <w:tr2bl w:val="nil"/>
            </w:tcBorders>
            <w:vAlign w:val="center"/>
          </w:tcPr>
          <w:p w14:paraId="30EBF5EB">
            <w:pPr>
              <w:jc w:val="center"/>
              <w:rPr>
                <w:rFonts w:ascii="宋体" w:hAnsi="宋体"/>
                <w:color w:val="auto"/>
                <w:szCs w:val="21"/>
                <w:highlight w:val="none"/>
              </w:rPr>
            </w:pPr>
            <w:r>
              <w:rPr>
                <w:rFonts w:hint="eastAsia" w:ascii="宋体" w:hAnsi="宋体"/>
                <w:color w:val="auto"/>
                <w:szCs w:val="21"/>
                <w:highlight w:val="none"/>
              </w:rPr>
              <w:t>7</w:t>
            </w:r>
          </w:p>
        </w:tc>
        <w:tc>
          <w:tcPr>
            <w:tcW w:w="7532" w:type="dxa"/>
            <w:gridSpan w:val="2"/>
            <w:tcBorders>
              <w:tl2br w:val="nil"/>
              <w:tr2bl w:val="nil"/>
            </w:tcBorders>
            <w:vAlign w:val="center"/>
          </w:tcPr>
          <w:p w14:paraId="5B04EFE7">
            <w:pPr>
              <w:jc w:val="both"/>
              <w:rPr>
                <w:rFonts w:ascii="宋体" w:hAnsi="宋体"/>
                <w:b/>
                <w:color w:val="auto"/>
                <w:szCs w:val="21"/>
                <w:highlight w:val="none"/>
              </w:rPr>
            </w:pPr>
            <w:r>
              <w:rPr>
                <w:rFonts w:hint="eastAsia" w:ascii="宋体" w:hAnsi="宋体"/>
                <w:b/>
                <w:color w:val="auto"/>
                <w:szCs w:val="21"/>
                <w:highlight w:val="none"/>
              </w:rPr>
              <w:t>投标报价</w:t>
            </w:r>
          </w:p>
        </w:tc>
      </w:tr>
      <w:tr w14:paraId="74ACF6D5">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878" w:type="dxa"/>
            <w:vMerge w:val="continue"/>
            <w:tcBorders>
              <w:tl2br w:val="nil"/>
              <w:tr2bl w:val="nil"/>
            </w:tcBorders>
            <w:vAlign w:val="center"/>
          </w:tcPr>
          <w:p w14:paraId="763CD558">
            <w:pPr>
              <w:jc w:val="center"/>
              <w:rPr>
                <w:rFonts w:ascii="宋体" w:hAnsi="宋体"/>
                <w:color w:val="auto"/>
                <w:szCs w:val="21"/>
                <w:highlight w:val="none"/>
              </w:rPr>
            </w:pPr>
          </w:p>
        </w:tc>
        <w:tc>
          <w:tcPr>
            <w:tcW w:w="7532" w:type="dxa"/>
            <w:gridSpan w:val="2"/>
            <w:tcBorders>
              <w:tl2br w:val="nil"/>
              <w:tr2bl w:val="nil"/>
            </w:tcBorders>
            <w:vAlign w:val="center"/>
          </w:tcPr>
          <w:p w14:paraId="4D59C1CB">
            <w:pPr>
              <w:jc w:val="both"/>
              <w:rPr>
                <w:rFonts w:ascii="宋体" w:hAnsi="宋体"/>
                <w:color w:val="auto"/>
                <w:szCs w:val="21"/>
                <w:highlight w:val="none"/>
              </w:rPr>
            </w:pPr>
            <w:r>
              <w:rPr>
                <w:rFonts w:hint="eastAsia" w:ascii="宋体" w:hAnsi="宋体"/>
                <w:color w:val="auto"/>
                <w:szCs w:val="21"/>
                <w:highlight w:val="none"/>
              </w:rPr>
              <w:t>详见投标人须知。</w:t>
            </w:r>
          </w:p>
        </w:tc>
      </w:tr>
      <w:tr w14:paraId="68574424">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0" w:hRule="atLeast"/>
        </w:trPr>
        <w:tc>
          <w:tcPr>
            <w:tcW w:w="878" w:type="dxa"/>
            <w:vMerge w:val="restart"/>
            <w:tcBorders>
              <w:tl2br w:val="nil"/>
              <w:tr2bl w:val="nil"/>
            </w:tcBorders>
            <w:vAlign w:val="center"/>
          </w:tcPr>
          <w:p w14:paraId="4DB3387B">
            <w:pPr>
              <w:jc w:val="center"/>
              <w:rPr>
                <w:rFonts w:ascii="宋体" w:hAnsi="宋体"/>
                <w:color w:val="auto"/>
                <w:szCs w:val="21"/>
                <w:highlight w:val="none"/>
              </w:rPr>
            </w:pPr>
            <w:r>
              <w:rPr>
                <w:rFonts w:hint="eastAsia" w:ascii="宋体" w:hAnsi="宋体"/>
                <w:color w:val="auto"/>
                <w:szCs w:val="21"/>
                <w:highlight w:val="none"/>
              </w:rPr>
              <w:t>8</w:t>
            </w:r>
          </w:p>
        </w:tc>
        <w:tc>
          <w:tcPr>
            <w:tcW w:w="7532" w:type="dxa"/>
            <w:gridSpan w:val="2"/>
            <w:tcBorders>
              <w:tl2br w:val="nil"/>
              <w:tr2bl w:val="nil"/>
            </w:tcBorders>
            <w:vAlign w:val="center"/>
          </w:tcPr>
          <w:p w14:paraId="1983FB5B">
            <w:pPr>
              <w:jc w:val="both"/>
              <w:rPr>
                <w:rFonts w:ascii="宋体" w:hAnsi="宋体"/>
                <w:b/>
                <w:color w:val="auto"/>
                <w:szCs w:val="21"/>
                <w:highlight w:val="none"/>
              </w:rPr>
            </w:pPr>
            <w:r>
              <w:rPr>
                <w:rFonts w:hint="eastAsia" w:ascii="宋体" w:hAnsi="宋体"/>
                <w:b/>
                <w:color w:val="auto"/>
                <w:szCs w:val="21"/>
                <w:highlight w:val="none"/>
              </w:rPr>
              <w:t>投标保证金</w:t>
            </w:r>
          </w:p>
        </w:tc>
      </w:tr>
      <w:tr w14:paraId="0E68A864">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0" w:hRule="atLeast"/>
        </w:trPr>
        <w:tc>
          <w:tcPr>
            <w:tcW w:w="878" w:type="dxa"/>
            <w:vMerge w:val="continue"/>
            <w:tcBorders>
              <w:tl2br w:val="nil"/>
              <w:tr2bl w:val="nil"/>
            </w:tcBorders>
            <w:vAlign w:val="center"/>
          </w:tcPr>
          <w:p w14:paraId="2CCD023F">
            <w:pPr>
              <w:jc w:val="center"/>
              <w:rPr>
                <w:rFonts w:ascii="宋体" w:hAnsi="宋体"/>
                <w:color w:val="auto"/>
                <w:szCs w:val="21"/>
                <w:highlight w:val="none"/>
              </w:rPr>
            </w:pPr>
          </w:p>
        </w:tc>
        <w:tc>
          <w:tcPr>
            <w:tcW w:w="7532" w:type="dxa"/>
            <w:gridSpan w:val="2"/>
            <w:tcBorders>
              <w:tl2br w:val="nil"/>
              <w:tr2bl w:val="nil"/>
            </w:tcBorders>
            <w:vAlign w:val="center"/>
          </w:tcPr>
          <w:p w14:paraId="7BA1ED8A">
            <w:pPr>
              <w:pStyle w:val="39"/>
              <w:numPr>
                <w:ilvl w:val="0"/>
                <w:numId w:val="1"/>
              </w:numPr>
              <w:ind w:left="853" w:leftChars="406" w:firstLine="4" w:firstLineChars="2"/>
              <w:rPr>
                <w:rFonts w:hint="eastAsia" w:ascii="宋体" w:hAnsi="宋体"/>
                <w:color w:val="auto"/>
                <w:szCs w:val="21"/>
                <w:highlight w:val="none"/>
              </w:rPr>
            </w:pPr>
            <w:r>
              <w:rPr>
                <w:rFonts w:hint="eastAsia" w:ascii="宋体" w:hAnsi="宋体"/>
                <w:color w:val="auto"/>
                <w:szCs w:val="21"/>
                <w:highlight w:val="none"/>
              </w:rPr>
              <w:t>投标保证金金额：</w:t>
            </w:r>
          </w:p>
          <w:p w14:paraId="4BC147CD">
            <w:pPr>
              <w:pStyle w:val="39"/>
              <w:numPr>
                <w:ilvl w:val="0"/>
                <w:numId w:val="0"/>
              </w:numPr>
              <w:ind w:leftChars="408"/>
              <w:rPr>
                <w:rFonts w:ascii="宋体" w:hAnsi="宋体"/>
                <w:color w:val="auto"/>
                <w:highlight w:val="none"/>
              </w:rPr>
            </w:pPr>
            <w:r>
              <w:rPr>
                <w:rFonts w:hint="eastAsia" w:ascii="宋体" w:hAnsi="宋体"/>
                <w:color w:val="auto"/>
                <w:highlight w:val="none"/>
                <w:lang w:val="en-US" w:eastAsia="zh-CN"/>
              </w:rPr>
              <w:t>A包为人民币（大写）</w:t>
            </w:r>
            <w:r>
              <w:rPr>
                <w:rFonts w:hint="eastAsia" w:ascii="宋体" w:hAnsi="宋体"/>
                <w:color w:val="auto"/>
                <w:highlight w:val="none"/>
                <w:u w:val="single"/>
                <w:lang w:val="en-US" w:eastAsia="zh-CN"/>
              </w:rPr>
              <w:t>肆万伍仟元整</w:t>
            </w:r>
            <w:r>
              <w:rPr>
                <w:rFonts w:hint="eastAsia" w:ascii="宋体" w:hAnsi="宋体"/>
                <w:color w:val="auto"/>
                <w:highlight w:val="none"/>
                <w:lang w:eastAsia="zh-CN"/>
              </w:rPr>
              <w:t>（</w:t>
            </w:r>
            <w:r>
              <w:rPr>
                <w:rFonts w:hint="eastAsia" w:ascii="宋体" w:hAnsi="宋体"/>
                <w:b/>
                <w:bCs/>
                <w:color w:val="auto"/>
                <w:szCs w:val="21"/>
                <w:highlight w:val="none"/>
                <w:lang w:val="en-US" w:eastAsia="zh-CN"/>
              </w:rPr>
              <w:t>¥</w:t>
            </w:r>
            <w:r>
              <w:rPr>
                <w:rFonts w:hint="eastAsia" w:ascii="宋体" w:hAnsi="宋体"/>
                <w:color w:val="auto"/>
                <w:highlight w:val="none"/>
                <w:lang w:val="en-US" w:eastAsia="zh-CN"/>
              </w:rPr>
              <w:t>45,000.00元</w:t>
            </w:r>
            <w:r>
              <w:rPr>
                <w:rFonts w:hint="eastAsia" w:ascii="宋体" w:hAnsi="宋体"/>
                <w:color w:val="auto"/>
                <w:highlight w:val="none"/>
                <w:lang w:eastAsia="zh-CN"/>
              </w:rPr>
              <w:t>）</w:t>
            </w:r>
            <w:r>
              <w:rPr>
                <w:rFonts w:ascii="宋体" w:hAnsi="宋体"/>
                <w:color w:val="auto"/>
                <w:highlight w:val="none"/>
              </w:rPr>
              <w:t>。</w:t>
            </w:r>
          </w:p>
          <w:p w14:paraId="18D7A475">
            <w:pPr>
              <w:pStyle w:val="39"/>
              <w:ind w:left="853" w:leftChars="406" w:firstLine="4" w:firstLineChars="2"/>
              <w:rPr>
                <w:rFonts w:ascii="宋体" w:hAnsi="宋体"/>
                <w:color w:val="auto"/>
                <w:highlight w:val="none"/>
              </w:rPr>
            </w:pPr>
            <w:r>
              <w:rPr>
                <w:rFonts w:hint="eastAsia" w:ascii="宋体" w:hAnsi="宋体"/>
                <w:color w:val="auto"/>
                <w:highlight w:val="none"/>
                <w:lang w:val="en-US" w:eastAsia="zh-CN"/>
              </w:rPr>
              <w:t>B包为人民币（大写）</w:t>
            </w:r>
            <w:r>
              <w:rPr>
                <w:rFonts w:hint="eastAsia" w:ascii="宋体" w:hAnsi="宋体"/>
                <w:color w:val="auto"/>
                <w:highlight w:val="none"/>
                <w:u w:val="single"/>
                <w:lang w:val="en-US" w:eastAsia="zh-CN"/>
              </w:rPr>
              <w:t>贰万肆仟元整</w:t>
            </w:r>
            <w:r>
              <w:rPr>
                <w:rFonts w:hint="eastAsia" w:ascii="宋体" w:hAnsi="宋体"/>
                <w:color w:val="auto"/>
                <w:highlight w:val="none"/>
                <w:lang w:eastAsia="zh-CN"/>
              </w:rPr>
              <w:t>（</w:t>
            </w:r>
            <w:r>
              <w:rPr>
                <w:rFonts w:hint="eastAsia" w:ascii="宋体" w:hAnsi="宋体"/>
                <w:b/>
                <w:bCs/>
                <w:color w:val="auto"/>
                <w:szCs w:val="21"/>
                <w:highlight w:val="none"/>
                <w:lang w:val="en-US" w:eastAsia="zh-CN"/>
              </w:rPr>
              <w:t>¥</w:t>
            </w:r>
            <w:r>
              <w:rPr>
                <w:rFonts w:hint="eastAsia" w:ascii="宋体" w:hAnsi="宋体"/>
                <w:color w:val="auto"/>
                <w:highlight w:val="none"/>
                <w:lang w:val="en-US" w:eastAsia="zh-CN"/>
              </w:rPr>
              <w:t>24,000.00元</w:t>
            </w:r>
            <w:r>
              <w:rPr>
                <w:rFonts w:hint="eastAsia" w:ascii="宋体" w:hAnsi="宋体"/>
                <w:color w:val="auto"/>
                <w:highlight w:val="none"/>
                <w:lang w:eastAsia="zh-CN"/>
              </w:rPr>
              <w:t>）</w:t>
            </w:r>
            <w:r>
              <w:rPr>
                <w:rFonts w:ascii="宋体" w:hAnsi="宋体"/>
                <w:color w:val="auto"/>
                <w:highlight w:val="none"/>
              </w:rPr>
              <w:t>。</w:t>
            </w:r>
          </w:p>
          <w:p w14:paraId="3608044B">
            <w:pPr>
              <w:pStyle w:val="39"/>
              <w:ind w:left="853" w:leftChars="406" w:firstLine="4" w:firstLineChars="2"/>
              <w:rPr>
                <w:rFonts w:ascii="宋体" w:hAnsi="宋体"/>
                <w:color w:val="auto"/>
                <w:highlight w:val="none"/>
              </w:rPr>
            </w:pPr>
            <w:r>
              <w:rPr>
                <w:rFonts w:hint="eastAsia" w:ascii="宋体" w:hAnsi="宋体"/>
                <w:color w:val="auto"/>
                <w:highlight w:val="none"/>
                <w:lang w:val="en-US" w:eastAsia="zh-CN"/>
              </w:rPr>
              <w:t>C包为人民币（大写）</w:t>
            </w:r>
            <w:r>
              <w:rPr>
                <w:rFonts w:hint="eastAsia" w:ascii="宋体" w:hAnsi="宋体"/>
                <w:color w:val="auto"/>
                <w:highlight w:val="none"/>
                <w:u w:val="single"/>
                <w:lang w:val="en-US" w:eastAsia="zh-CN"/>
              </w:rPr>
              <w:t>玖万元整</w:t>
            </w:r>
            <w:r>
              <w:rPr>
                <w:rFonts w:hint="eastAsia" w:ascii="宋体" w:hAnsi="宋体"/>
                <w:color w:val="auto"/>
                <w:highlight w:val="none"/>
                <w:lang w:eastAsia="zh-CN"/>
              </w:rPr>
              <w:t>（</w:t>
            </w:r>
            <w:r>
              <w:rPr>
                <w:rFonts w:hint="eastAsia" w:ascii="宋体" w:hAnsi="宋体"/>
                <w:b/>
                <w:bCs/>
                <w:color w:val="auto"/>
                <w:szCs w:val="21"/>
                <w:highlight w:val="none"/>
                <w:lang w:val="en-US" w:eastAsia="zh-CN"/>
              </w:rPr>
              <w:t>¥</w:t>
            </w:r>
            <w:r>
              <w:rPr>
                <w:rFonts w:hint="eastAsia" w:ascii="宋体" w:hAnsi="宋体"/>
                <w:color w:val="auto"/>
                <w:highlight w:val="none"/>
                <w:lang w:val="en-US" w:eastAsia="zh-CN"/>
              </w:rPr>
              <w:t>90,000.00元</w:t>
            </w:r>
            <w:r>
              <w:rPr>
                <w:rFonts w:hint="eastAsia" w:ascii="宋体" w:hAnsi="宋体"/>
                <w:color w:val="auto"/>
                <w:highlight w:val="none"/>
                <w:lang w:eastAsia="zh-CN"/>
              </w:rPr>
              <w:t>）</w:t>
            </w:r>
            <w:r>
              <w:rPr>
                <w:rFonts w:ascii="宋体" w:hAnsi="宋体"/>
                <w:color w:val="auto"/>
                <w:highlight w:val="none"/>
              </w:rPr>
              <w:t>。</w:t>
            </w:r>
          </w:p>
          <w:p w14:paraId="58B24A5C">
            <w:pPr>
              <w:pStyle w:val="39"/>
              <w:ind w:left="853" w:leftChars="406" w:firstLine="4" w:firstLineChars="2"/>
              <w:rPr>
                <w:rFonts w:ascii="宋体" w:hAnsi="宋体"/>
                <w:color w:val="auto"/>
                <w:highlight w:val="none"/>
              </w:rPr>
            </w:pPr>
            <w:r>
              <w:rPr>
                <w:rFonts w:hint="eastAsia" w:ascii="宋体" w:hAnsi="宋体"/>
                <w:color w:val="auto"/>
                <w:highlight w:val="none"/>
                <w:lang w:val="en-US" w:eastAsia="zh-CN"/>
              </w:rPr>
              <w:t>D包为人民币（大写）</w:t>
            </w:r>
            <w:r>
              <w:rPr>
                <w:rFonts w:hint="eastAsia" w:ascii="宋体" w:hAnsi="宋体"/>
                <w:color w:val="auto"/>
                <w:highlight w:val="none"/>
                <w:u w:val="single"/>
                <w:lang w:val="en-US" w:eastAsia="zh-CN"/>
              </w:rPr>
              <w:t>肆万元整</w:t>
            </w:r>
            <w:r>
              <w:rPr>
                <w:rFonts w:hint="eastAsia" w:ascii="宋体" w:hAnsi="宋体"/>
                <w:color w:val="auto"/>
                <w:highlight w:val="none"/>
                <w:lang w:eastAsia="zh-CN"/>
              </w:rPr>
              <w:t>（</w:t>
            </w:r>
            <w:r>
              <w:rPr>
                <w:rFonts w:hint="eastAsia" w:ascii="宋体" w:hAnsi="宋体"/>
                <w:b/>
                <w:bCs/>
                <w:color w:val="auto"/>
                <w:szCs w:val="21"/>
                <w:highlight w:val="none"/>
                <w:lang w:val="en-US" w:eastAsia="zh-CN"/>
              </w:rPr>
              <w:t>¥</w:t>
            </w:r>
            <w:r>
              <w:rPr>
                <w:rFonts w:hint="eastAsia" w:ascii="宋体" w:hAnsi="宋体"/>
                <w:color w:val="auto"/>
                <w:highlight w:val="none"/>
                <w:lang w:val="en-US" w:eastAsia="zh-CN"/>
              </w:rPr>
              <w:t>40,000.00元</w:t>
            </w:r>
            <w:r>
              <w:rPr>
                <w:rFonts w:hint="eastAsia" w:ascii="宋体" w:hAnsi="宋体"/>
                <w:color w:val="auto"/>
                <w:highlight w:val="none"/>
                <w:lang w:eastAsia="zh-CN"/>
              </w:rPr>
              <w:t>）</w:t>
            </w:r>
            <w:r>
              <w:rPr>
                <w:rFonts w:ascii="宋体" w:hAnsi="宋体"/>
                <w:color w:val="auto"/>
                <w:highlight w:val="none"/>
              </w:rPr>
              <w:t>。</w:t>
            </w:r>
          </w:p>
          <w:p w14:paraId="0B307CBE">
            <w:pPr>
              <w:pStyle w:val="39"/>
              <w:ind w:left="853" w:leftChars="406" w:firstLine="4" w:firstLineChars="2"/>
              <w:rPr>
                <w:rFonts w:ascii="宋体" w:hAnsi="宋体"/>
                <w:color w:val="auto"/>
                <w:szCs w:val="21"/>
                <w:highlight w:val="none"/>
              </w:rPr>
            </w:pPr>
            <w:r>
              <w:rPr>
                <w:rFonts w:hint="eastAsia" w:ascii="宋体" w:hAnsi="宋体"/>
                <w:color w:val="auto"/>
                <w:highlight w:val="none"/>
                <w:lang w:val="en-US" w:eastAsia="zh-CN"/>
              </w:rPr>
              <w:t>E包为人民币（大写）</w:t>
            </w:r>
            <w:r>
              <w:rPr>
                <w:rFonts w:hint="eastAsia" w:ascii="宋体" w:hAnsi="宋体"/>
                <w:color w:val="auto"/>
                <w:highlight w:val="none"/>
                <w:u w:val="single"/>
                <w:lang w:val="en-US" w:eastAsia="zh-CN"/>
              </w:rPr>
              <w:t>伍万陆仟</w:t>
            </w:r>
            <w:r>
              <w:rPr>
                <w:rFonts w:hint="eastAsia" w:ascii="宋体" w:hAnsi="宋体"/>
                <w:color w:val="auto"/>
                <w:highlight w:val="none"/>
              </w:rPr>
              <w:t>元</w:t>
            </w:r>
            <w:r>
              <w:rPr>
                <w:rFonts w:hint="eastAsia" w:ascii="宋体" w:hAnsi="宋体"/>
                <w:color w:val="auto"/>
                <w:highlight w:val="none"/>
                <w:lang w:val="en-US" w:eastAsia="zh-CN"/>
              </w:rPr>
              <w:t>整</w:t>
            </w:r>
            <w:r>
              <w:rPr>
                <w:rFonts w:hint="eastAsia" w:ascii="宋体" w:hAnsi="宋体"/>
                <w:color w:val="auto"/>
                <w:highlight w:val="none"/>
                <w:lang w:eastAsia="zh-CN"/>
              </w:rPr>
              <w:t>（</w:t>
            </w:r>
            <w:r>
              <w:rPr>
                <w:rFonts w:hint="eastAsia" w:ascii="宋体" w:hAnsi="宋体"/>
                <w:b/>
                <w:bCs/>
                <w:color w:val="auto"/>
                <w:szCs w:val="21"/>
                <w:highlight w:val="none"/>
                <w:lang w:val="en-US" w:eastAsia="zh-CN"/>
              </w:rPr>
              <w:t>¥</w:t>
            </w:r>
            <w:r>
              <w:rPr>
                <w:rFonts w:hint="eastAsia" w:ascii="宋体" w:hAnsi="宋体"/>
                <w:color w:val="auto"/>
                <w:highlight w:val="none"/>
                <w:lang w:val="en-US" w:eastAsia="zh-CN"/>
              </w:rPr>
              <w:t>56,000.00元</w:t>
            </w:r>
            <w:r>
              <w:rPr>
                <w:rFonts w:hint="eastAsia" w:ascii="宋体" w:hAnsi="宋体"/>
                <w:color w:val="auto"/>
                <w:highlight w:val="none"/>
                <w:lang w:eastAsia="zh-CN"/>
              </w:rPr>
              <w:t>）</w:t>
            </w:r>
            <w:r>
              <w:rPr>
                <w:rFonts w:ascii="宋体" w:hAnsi="宋体"/>
                <w:color w:val="auto"/>
                <w:highlight w:val="none"/>
              </w:rPr>
              <w:t>。</w:t>
            </w:r>
          </w:p>
        </w:tc>
      </w:tr>
      <w:tr w14:paraId="3442C0FB">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273" w:hRule="atLeast"/>
        </w:trPr>
        <w:tc>
          <w:tcPr>
            <w:tcW w:w="878" w:type="dxa"/>
            <w:vMerge w:val="continue"/>
            <w:tcBorders>
              <w:tl2br w:val="nil"/>
              <w:tr2bl w:val="nil"/>
            </w:tcBorders>
            <w:vAlign w:val="center"/>
          </w:tcPr>
          <w:p w14:paraId="48D62032">
            <w:pPr>
              <w:jc w:val="center"/>
              <w:rPr>
                <w:rFonts w:ascii="宋体" w:hAnsi="宋体"/>
                <w:color w:val="auto"/>
                <w:szCs w:val="21"/>
                <w:highlight w:val="none"/>
              </w:rPr>
            </w:pPr>
          </w:p>
        </w:tc>
        <w:tc>
          <w:tcPr>
            <w:tcW w:w="7532" w:type="dxa"/>
            <w:gridSpan w:val="2"/>
            <w:tcBorders>
              <w:tl2br w:val="nil"/>
              <w:tr2bl w:val="nil"/>
            </w:tcBorders>
            <w:vAlign w:val="center"/>
          </w:tcPr>
          <w:p w14:paraId="0365747C">
            <w:pPr>
              <w:tabs>
                <w:tab w:val="left" w:pos="567"/>
              </w:tabs>
              <w:jc w:val="both"/>
              <w:rPr>
                <w:rFonts w:hAnsi="宋体"/>
                <w:color w:val="auto"/>
                <w:kern w:val="2"/>
                <w:szCs w:val="21"/>
                <w:highlight w:val="none"/>
                <w:lang w:val="zh-CN"/>
              </w:rPr>
            </w:pPr>
            <w:r>
              <w:rPr>
                <w:rFonts w:hint="eastAsia" w:ascii="宋体" w:hAnsi="宋体"/>
                <w:color w:val="auto"/>
                <w:szCs w:val="21"/>
                <w:highlight w:val="none"/>
              </w:rPr>
              <w:t>（2）</w:t>
            </w:r>
            <w:r>
              <w:rPr>
                <w:rFonts w:hint="eastAsia" w:hAnsi="宋体"/>
                <w:color w:val="auto"/>
                <w:kern w:val="2"/>
                <w:szCs w:val="21"/>
                <w:highlight w:val="none"/>
                <w:lang w:val="zh-CN"/>
              </w:rPr>
              <w:t>投标保证金采用转账、电汇方式提交，应符合以下要求：采用银行转账、电汇方式提交的，保证金汇入以下投标保证金专用账户，不接收由以投标人分支机构、私人账户和其他单位转入的保证金。投标保证金必须在投标文件递交截止前到账，投标保证金未按规定时间到达指定账户或提交金额不足的，将被视为无效投标。且在备注或用途中注明本项目的项目编号。</w:t>
            </w:r>
          </w:p>
          <w:p w14:paraId="03E7F632">
            <w:pPr>
              <w:tabs>
                <w:tab w:val="left" w:pos="567"/>
              </w:tabs>
              <w:ind w:left="567" w:hanging="567"/>
              <w:jc w:val="both"/>
              <w:rPr>
                <w:rFonts w:hAnsi="宋体"/>
                <w:color w:val="auto"/>
                <w:kern w:val="2"/>
                <w:szCs w:val="21"/>
                <w:highlight w:val="none"/>
                <w:lang w:val="zh-CN"/>
              </w:rPr>
            </w:pPr>
            <w:r>
              <w:rPr>
                <w:rFonts w:hint="eastAsia" w:hAnsi="宋体"/>
                <w:color w:val="auto"/>
                <w:kern w:val="2"/>
                <w:szCs w:val="21"/>
                <w:highlight w:val="none"/>
                <w:lang w:val="zh-CN"/>
              </w:rPr>
              <w:t>投标保证金专用账户如下：</w:t>
            </w:r>
          </w:p>
          <w:p w14:paraId="6C7B274C">
            <w:pPr>
              <w:tabs>
                <w:tab w:val="left" w:pos="567"/>
              </w:tabs>
              <w:ind w:firstLine="420" w:firstLineChars="200"/>
              <w:jc w:val="both"/>
              <w:rPr>
                <w:rFonts w:hAnsi="宋体" w:cs="宋体"/>
                <w:color w:val="auto"/>
                <w:kern w:val="2"/>
                <w:szCs w:val="21"/>
                <w:highlight w:val="none"/>
                <w:lang w:val="zh-CN"/>
              </w:rPr>
            </w:pPr>
            <w:r>
              <w:rPr>
                <w:rFonts w:hint="eastAsia" w:hAnsi="宋体" w:cs="宋体"/>
                <w:color w:val="auto"/>
                <w:kern w:val="2"/>
                <w:szCs w:val="21"/>
                <w:highlight w:val="none"/>
                <w:lang w:val="zh-CN"/>
              </w:rPr>
              <w:t xml:space="preserve">账户名称： </w:t>
            </w:r>
            <w:r>
              <w:rPr>
                <w:rFonts w:hint="eastAsia" w:hAnsi="宋体" w:cs="宋体"/>
                <w:color w:val="auto"/>
                <w:kern w:val="2"/>
                <w:szCs w:val="21"/>
                <w:highlight w:val="none"/>
                <w:u w:val="single"/>
              </w:rPr>
              <w:t xml:space="preserve"> 东莞市新东欣环保投资有限公司 </w:t>
            </w:r>
            <w:r>
              <w:rPr>
                <w:rFonts w:hint="eastAsia" w:hAnsi="宋体" w:cs="宋体"/>
                <w:color w:val="auto"/>
                <w:kern w:val="2"/>
                <w:szCs w:val="21"/>
                <w:highlight w:val="none"/>
                <w:lang w:val="zh-CN"/>
              </w:rPr>
              <w:t>；</w:t>
            </w:r>
          </w:p>
          <w:p w14:paraId="59FA0893">
            <w:pPr>
              <w:tabs>
                <w:tab w:val="left" w:pos="567"/>
              </w:tabs>
              <w:ind w:firstLine="420" w:firstLineChars="200"/>
              <w:jc w:val="both"/>
              <w:rPr>
                <w:rFonts w:hAnsi="宋体" w:cs="宋体"/>
                <w:color w:val="auto"/>
                <w:kern w:val="2"/>
                <w:szCs w:val="21"/>
                <w:highlight w:val="none"/>
                <w:lang w:val="zh-CN"/>
              </w:rPr>
            </w:pPr>
            <w:r>
              <w:rPr>
                <w:rFonts w:hint="eastAsia" w:hAnsi="宋体" w:cs="宋体"/>
                <w:color w:val="auto"/>
                <w:kern w:val="2"/>
                <w:szCs w:val="21"/>
                <w:highlight w:val="none"/>
                <w:lang w:val="zh-CN"/>
              </w:rPr>
              <w:t xml:space="preserve">开户银行： </w:t>
            </w:r>
            <w:r>
              <w:rPr>
                <w:rFonts w:hint="eastAsia" w:hAnsi="宋体" w:cs="宋体"/>
                <w:color w:val="auto"/>
                <w:kern w:val="2"/>
                <w:szCs w:val="21"/>
                <w:highlight w:val="none"/>
                <w:u w:val="single"/>
              </w:rPr>
              <w:t xml:space="preserve"> 中信银行东莞麻涌支行   </w:t>
            </w:r>
            <w:r>
              <w:rPr>
                <w:rFonts w:hint="eastAsia" w:hAnsi="宋体" w:cs="宋体"/>
                <w:color w:val="auto"/>
                <w:kern w:val="2"/>
                <w:szCs w:val="21"/>
                <w:highlight w:val="none"/>
                <w:lang w:val="zh-CN"/>
              </w:rPr>
              <w:t>；</w:t>
            </w:r>
          </w:p>
          <w:p w14:paraId="566E7188">
            <w:pPr>
              <w:tabs>
                <w:tab w:val="left" w:pos="567"/>
              </w:tabs>
              <w:ind w:firstLine="420" w:firstLineChars="200"/>
              <w:jc w:val="both"/>
              <w:rPr>
                <w:rFonts w:hAnsi="宋体" w:cs="宋体"/>
                <w:color w:val="auto"/>
                <w:kern w:val="2"/>
                <w:szCs w:val="21"/>
                <w:highlight w:val="none"/>
                <w:lang w:val="zh-CN"/>
              </w:rPr>
            </w:pPr>
            <w:r>
              <w:rPr>
                <w:rFonts w:hint="eastAsia" w:hAnsi="宋体" w:cs="宋体"/>
                <w:color w:val="auto"/>
                <w:kern w:val="2"/>
                <w:szCs w:val="21"/>
                <w:highlight w:val="none"/>
                <w:lang w:val="zh-CN"/>
              </w:rPr>
              <w:t xml:space="preserve">银行账号： </w:t>
            </w:r>
            <w:r>
              <w:rPr>
                <w:rFonts w:hint="eastAsia" w:hAnsi="宋体" w:cs="宋体"/>
                <w:color w:val="auto"/>
                <w:kern w:val="2"/>
                <w:szCs w:val="21"/>
                <w:highlight w:val="none"/>
                <w:u w:val="single"/>
              </w:rPr>
              <w:t xml:space="preserve"> </w:t>
            </w:r>
            <w:r>
              <w:rPr>
                <w:rFonts w:hint="eastAsia" w:ascii="宋体" w:hAnsi="宋体" w:cs="宋体"/>
                <w:color w:val="auto"/>
                <w:kern w:val="2"/>
                <w:szCs w:val="21"/>
                <w:highlight w:val="none"/>
                <w:u w:val="single"/>
              </w:rPr>
              <w:t>8114 8010 1420 0219 007</w:t>
            </w:r>
            <w:r>
              <w:rPr>
                <w:rFonts w:hint="eastAsia" w:hAnsi="宋体" w:cs="宋体"/>
                <w:color w:val="auto"/>
                <w:kern w:val="2"/>
                <w:szCs w:val="21"/>
                <w:highlight w:val="none"/>
                <w:u w:val="single"/>
              </w:rPr>
              <w:t xml:space="preserve">  </w:t>
            </w:r>
            <w:r>
              <w:rPr>
                <w:rFonts w:hint="eastAsia" w:hAnsi="宋体" w:cs="宋体"/>
                <w:color w:val="auto"/>
                <w:kern w:val="2"/>
                <w:szCs w:val="21"/>
                <w:highlight w:val="none"/>
                <w:lang w:val="zh-CN"/>
              </w:rPr>
              <w:t>；</w:t>
            </w:r>
          </w:p>
          <w:p w14:paraId="5DD89258">
            <w:pPr>
              <w:tabs>
                <w:tab w:val="left" w:pos="567"/>
              </w:tabs>
              <w:ind w:firstLine="422" w:firstLineChars="200"/>
              <w:jc w:val="both"/>
              <w:rPr>
                <w:rFonts w:ascii="宋体" w:hAnsi="宋体"/>
                <w:b/>
                <w:color w:val="auto"/>
                <w:szCs w:val="21"/>
                <w:highlight w:val="none"/>
              </w:rPr>
            </w:pPr>
            <w:r>
              <w:rPr>
                <w:rFonts w:hint="eastAsia" w:hAnsi="宋体" w:cs="宋体"/>
                <w:b/>
                <w:color w:val="auto"/>
                <w:szCs w:val="21"/>
                <w:highlight w:val="none"/>
              </w:rPr>
              <w:t>（注：各投标人在转</w:t>
            </w:r>
            <w:r>
              <w:rPr>
                <w:rFonts w:hint="eastAsia" w:hAnsi="宋体" w:cs="宋体"/>
                <w:b/>
                <w:color w:val="auto"/>
                <w:szCs w:val="21"/>
                <w:highlight w:val="none"/>
                <w:lang w:eastAsia="zh-CN"/>
              </w:rPr>
              <w:t>账</w:t>
            </w:r>
            <w:r>
              <w:rPr>
                <w:rFonts w:hint="eastAsia" w:hAnsi="宋体" w:cs="宋体"/>
                <w:b/>
                <w:color w:val="auto"/>
                <w:szCs w:val="21"/>
                <w:highlight w:val="none"/>
              </w:rPr>
              <w:t>或电汇时须在用途栏上备注项目编号，及项目名称，如有字数限制项目名称可简写。）</w:t>
            </w:r>
          </w:p>
        </w:tc>
      </w:tr>
      <w:tr w14:paraId="5BBE2A74">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520" w:hRule="atLeast"/>
        </w:trPr>
        <w:tc>
          <w:tcPr>
            <w:tcW w:w="878" w:type="dxa"/>
            <w:vMerge w:val="restart"/>
            <w:tcBorders>
              <w:tl2br w:val="nil"/>
              <w:tr2bl w:val="nil"/>
            </w:tcBorders>
            <w:vAlign w:val="center"/>
          </w:tcPr>
          <w:p w14:paraId="2E5D68F9">
            <w:pPr>
              <w:jc w:val="center"/>
              <w:rPr>
                <w:rFonts w:ascii="宋体" w:hAnsi="宋体"/>
                <w:color w:val="auto"/>
                <w:szCs w:val="21"/>
                <w:highlight w:val="none"/>
              </w:rPr>
            </w:pPr>
            <w:r>
              <w:rPr>
                <w:rFonts w:hint="eastAsia" w:ascii="宋体" w:hAnsi="宋体"/>
                <w:color w:val="auto"/>
                <w:szCs w:val="21"/>
                <w:highlight w:val="none"/>
              </w:rPr>
              <w:t>9</w:t>
            </w:r>
          </w:p>
        </w:tc>
        <w:tc>
          <w:tcPr>
            <w:tcW w:w="7532" w:type="dxa"/>
            <w:gridSpan w:val="2"/>
            <w:tcBorders>
              <w:tl2br w:val="nil"/>
              <w:tr2bl w:val="nil"/>
            </w:tcBorders>
            <w:vAlign w:val="center"/>
          </w:tcPr>
          <w:p w14:paraId="2EEF282F">
            <w:pPr>
              <w:jc w:val="both"/>
              <w:rPr>
                <w:rFonts w:ascii="宋体" w:hAnsi="宋体"/>
                <w:b/>
                <w:bCs/>
                <w:color w:val="auto"/>
                <w:szCs w:val="21"/>
                <w:highlight w:val="none"/>
                <w:lang w:val="zh-CN"/>
              </w:rPr>
            </w:pPr>
            <w:r>
              <w:rPr>
                <w:rFonts w:hint="eastAsia" w:ascii="宋体" w:hAnsi="宋体"/>
                <w:b/>
                <w:bCs/>
                <w:color w:val="auto"/>
                <w:szCs w:val="21"/>
                <w:highlight w:val="none"/>
                <w:lang w:val="zh-CN"/>
              </w:rPr>
              <w:t>投标保证金退还</w:t>
            </w:r>
          </w:p>
        </w:tc>
      </w:tr>
      <w:tr w14:paraId="0EE144ED">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1535" w:hRule="atLeast"/>
        </w:trPr>
        <w:tc>
          <w:tcPr>
            <w:tcW w:w="878" w:type="dxa"/>
            <w:vMerge w:val="continue"/>
            <w:tcBorders>
              <w:tl2br w:val="nil"/>
              <w:tr2bl w:val="nil"/>
            </w:tcBorders>
            <w:vAlign w:val="center"/>
          </w:tcPr>
          <w:p w14:paraId="57283B0E">
            <w:pPr>
              <w:jc w:val="center"/>
              <w:rPr>
                <w:rFonts w:ascii="宋体" w:hAnsi="宋体"/>
                <w:color w:val="auto"/>
                <w:szCs w:val="21"/>
                <w:highlight w:val="none"/>
              </w:rPr>
            </w:pPr>
          </w:p>
        </w:tc>
        <w:tc>
          <w:tcPr>
            <w:tcW w:w="7532" w:type="dxa"/>
            <w:gridSpan w:val="2"/>
            <w:tcBorders>
              <w:tl2br w:val="nil"/>
              <w:tr2bl w:val="nil"/>
            </w:tcBorders>
            <w:vAlign w:val="center"/>
          </w:tcPr>
          <w:p w14:paraId="0D53D7E5">
            <w:pPr>
              <w:jc w:val="both"/>
              <w:rPr>
                <w:rFonts w:ascii="宋体" w:hAnsi="宋体"/>
                <w:color w:val="auto"/>
                <w:szCs w:val="21"/>
                <w:highlight w:val="none"/>
                <w:lang w:val="zh-CN"/>
              </w:rPr>
            </w:pPr>
            <w:r>
              <w:rPr>
                <w:rFonts w:hint="eastAsia" w:ascii="宋体" w:hAnsi="宋体"/>
                <w:color w:val="auto"/>
                <w:szCs w:val="21"/>
                <w:highlight w:val="none"/>
                <w:lang w:val="zh-CN"/>
              </w:rPr>
              <w:t>（</w:t>
            </w:r>
            <w:r>
              <w:rPr>
                <w:rFonts w:hint="eastAsia" w:ascii="宋体" w:hAnsi="宋体"/>
                <w:color w:val="auto"/>
                <w:szCs w:val="21"/>
                <w:highlight w:val="none"/>
              </w:rPr>
              <w:t>1</w:t>
            </w:r>
            <w:r>
              <w:rPr>
                <w:rFonts w:hint="eastAsia" w:ascii="宋体" w:hAnsi="宋体"/>
                <w:color w:val="auto"/>
                <w:szCs w:val="21"/>
                <w:highlight w:val="none"/>
                <w:lang w:val="zh-CN"/>
              </w:rPr>
              <w:t>）未中标的投标人的保证金应当在中标通知书发出后退还，中标</w:t>
            </w:r>
            <w:r>
              <w:rPr>
                <w:rFonts w:hint="eastAsia" w:ascii="宋体" w:hAnsi="宋体"/>
                <w:color w:val="auto"/>
                <w:szCs w:val="21"/>
                <w:highlight w:val="none"/>
              </w:rPr>
              <w:t>的</w:t>
            </w:r>
            <w:r>
              <w:rPr>
                <w:rFonts w:hint="eastAsia" w:ascii="宋体" w:hAnsi="宋体"/>
                <w:color w:val="auto"/>
                <w:szCs w:val="21"/>
                <w:highlight w:val="none"/>
                <w:lang w:val="zh-CN"/>
              </w:rPr>
              <w:t>投标人的保证金应当在采购合同签订</w:t>
            </w:r>
            <w:r>
              <w:rPr>
                <w:rFonts w:hint="eastAsia" w:ascii="宋体" w:hAnsi="宋体"/>
                <w:color w:val="auto"/>
                <w:szCs w:val="21"/>
                <w:highlight w:val="none"/>
              </w:rPr>
              <w:t>并缴纳履约保证金</w:t>
            </w:r>
            <w:r>
              <w:rPr>
                <w:rFonts w:hint="eastAsia" w:ascii="宋体" w:hAnsi="宋体"/>
                <w:color w:val="auto"/>
                <w:szCs w:val="21"/>
                <w:highlight w:val="none"/>
                <w:lang w:val="zh-CN"/>
              </w:rPr>
              <w:t>后退还。</w:t>
            </w:r>
          </w:p>
          <w:p w14:paraId="7A6FAFD6">
            <w:pPr>
              <w:jc w:val="both"/>
              <w:rPr>
                <w:color w:val="auto"/>
                <w:highlight w:val="none"/>
              </w:rPr>
            </w:pPr>
            <w:r>
              <w:rPr>
                <w:rFonts w:hint="eastAsia" w:ascii="宋体" w:hAnsi="宋体"/>
                <w:color w:val="auto"/>
                <w:szCs w:val="21"/>
                <w:highlight w:val="none"/>
                <w:lang w:val="zh-CN"/>
              </w:rPr>
              <w:t>（</w:t>
            </w:r>
            <w:r>
              <w:rPr>
                <w:rFonts w:hint="eastAsia" w:ascii="宋体" w:hAnsi="宋体"/>
                <w:color w:val="auto"/>
                <w:szCs w:val="21"/>
                <w:highlight w:val="none"/>
              </w:rPr>
              <w:t>2</w:t>
            </w:r>
            <w:r>
              <w:rPr>
                <w:rFonts w:hint="eastAsia" w:ascii="宋体" w:hAnsi="宋体"/>
                <w:color w:val="auto"/>
                <w:szCs w:val="21"/>
                <w:highlight w:val="none"/>
                <w:lang w:val="zh-CN"/>
              </w:rPr>
              <w:t>）为方便退还未中标的投标人的保证金，投标人应制作《投标保证金汇入情况说明》随唱标信封一并递交。</w:t>
            </w:r>
          </w:p>
        </w:tc>
      </w:tr>
      <w:tr w14:paraId="1BC7FCF5">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restart"/>
            <w:tcBorders>
              <w:tl2br w:val="nil"/>
              <w:tr2bl w:val="nil"/>
            </w:tcBorders>
            <w:vAlign w:val="center"/>
          </w:tcPr>
          <w:p w14:paraId="34A484D3">
            <w:pPr>
              <w:jc w:val="center"/>
              <w:rPr>
                <w:rFonts w:hint="default" w:ascii="宋体" w:hAnsi="宋体" w:eastAsia="宋体"/>
                <w:color w:val="auto"/>
                <w:szCs w:val="21"/>
                <w:highlight w:val="none"/>
                <w:lang w:val="en-US" w:eastAsia="zh-CN"/>
              </w:rPr>
            </w:pPr>
            <w:r>
              <w:rPr>
                <w:rFonts w:hint="eastAsia" w:ascii="宋体" w:hAnsi="宋体"/>
                <w:color w:val="auto"/>
                <w:szCs w:val="21"/>
                <w:highlight w:val="none"/>
                <w:lang w:val="en-US" w:eastAsia="zh-CN"/>
              </w:rPr>
              <w:t>10</w:t>
            </w:r>
          </w:p>
        </w:tc>
        <w:tc>
          <w:tcPr>
            <w:tcW w:w="7532" w:type="dxa"/>
            <w:gridSpan w:val="2"/>
            <w:tcBorders>
              <w:tl2br w:val="nil"/>
              <w:tr2bl w:val="nil"/>
            </w:tcBorders>
            <w:vAlign w:val="center"/>
          </w:tcPr>
          <w:p w14:paraId="40323853">
            <w:pPr>
              <w:jc w:val="both"/>
              <w:rPr>
                <w:rFonts w:hint="eastAsia" w:ascii="宋体" w:hAnsi="宋体" w:eastAsia="宋体" w:cstheme="minorBidi"/>
                <w:color w:val="auto"/>
                <w:sz w:val="21"/>
                <w:szCs w:val="21"/>
                <w:highlight w:val="none"/>
                <w:lang w:val="en-US" w:eastAsia="zh-CN" w:bidi="ar-SA"/>
              </w:rPr>
            </w:pPr>
            <w:r>
              <w:rPr>
                <w:rFonts w:hint="eastAsia" w:ascii="宋体" w:hAnsi="宋体"/>
                <w:b/>
                <w:bCs/>
                <w:color w:val="auto"/>
                <w:szCs w:val="21"/>
                <w:highlight w:val="none"/>
              </w:rPr>
              <w:t>报价方式</w:t>
            </w:r>
          </w:p>
        </w:tc>
      </w:tr>
      <w:tr w14:paraId="483CC35A">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continue"/>
            <w:tcBorders>
              <w:tl2br w:val="nil"/>
              <w:tr2bl w:val="nil"/>
            </w:tcBorders>
            <w:vAlign w:val="center"/>
          </w:tcPr>
          <w:p w14:paraId="53518C04">
            <w:pPr>
              <w:jc w:val="center"/>
              <w:rPr>
                <w:rFonts w:hint="eastAsia" w:ascii="宋体" w:hAnsi="宋体"/>
                <w:color w:val="auto"/>
                <w:szCs w:val="21"/>
                <w:highlight w:val="none"/>
              </w:rPr>
            </w:pPr>
          </w:p>
        </w:tc>
        <w:tc>
          <w:tcPr>
            <w:tcW w:w="7532" w:type="dxa"/>
            <w:gridSpan w:val="2"/>
            <w:tcBorders>
              <w:tl2br w:val="nil"/>
              <w:tr2bl w:val="nil"/>
            </w:tcBorders>
            <w:vAlign w:val="center"/>
          </w:tcPr>
          <w:p w14:paraId="15D82357">
            <w:pPr>
              <w:jc w:val="both"/>
              <w:rPr>
                <w:rFonts w:hint="eastAsia" w:ascii="宋体" w:hAnsi="宋体" w:eastAsia="宋体" w:cstheme="minorBidi"/>
                <w:color w:val="auto"/>
                <w:sz w:val="21"/>
                <w:szCs w:val="21"/>
                <w:highlight w:val="none"/>
                <w:lang w:val="en-US" w:eastAsia="zh-CN" w:bidi="ar-SA"/>
              </w:rPr>
            </w:pPr>
            <w:r>
              <w:rPr>
                <w:rFonts w:hint="eastAsia" w:ascii="宋体" w:hAnsi="宋体"/>
                <w:color w:val="auto"/>
                <w:szCs w:val="21"/>
                <w:highlight w:val="none"/>
              </w:rPr>
              <w:t>本项目采用固定单价暂定总价方式报价，投标人必须根据</w:t>
            </w:r>
            <w:r>
              <w:rPr>
                <w:rFonts w:hint="eastAsia" w:ascii="宋体" w:hAnsi="宋体"/>
                <w:b/>
                <w:bCs/>
                <w:color w:val="auto"/>
                <w:szCs w:val="21"/>
                <w:highlight w:val="none"/>
              </w:rPr>
              <w:t>附件《</w:t>
            </w:r>
            <w:r>
              <w:rPr>
                <w:rFonts w:hint="eastAsia" w:ascii="Times New Roman" w:hAnsi="Times New Roman" w:cs="Times New Roman"/>
                <w:b/>
                <w:color w:val="auto"/>
                <w:szCs w:val="21"/>
                <w:highlight w:val="none"/>
              </w:rPr>
              <w:t>危险废物运输费单价表</w:t>
            </w:r>
            <w:r>
              <w:rPr>
                <w:rFonts w:hint="eastAsia" w:ascii="宋体" w:hAnsi="宋体"/>
                <w:b/>
                <w:bCs/>
                <w:color w:val="auto"/>
                <w:szCs w:val="21"/>
                <w:highlight w:val="none"/>
              </w:rPr>
              <w:t>》</w:t>
            </w:r>
            <w:r>
              <w:rPr>
                <w:rFonts w:hint="eastAsia" w:ascii="宋体" w:hAnsi="宋体"/>
                <w:color w:val="auto"/>
                <w:szCs w:val="21"/>
                <w:highlight w:val="none"/>
              </w:rPr>
              <w:t>规定的各标段、各区域、各车型的单价限价（元/车次）范围内进行报价（报价为含税价且保留至个位数），并结合相应的预计车次计算出暂定总价</w:t>
            </w:r>
            <w:r>
              <w:rPr>
                <w:rFonts w:hint="eastAsia" w:ascii="宋体" w:hAnsi="宋体"/>
                <w:color w:val="auto"/>
                <w:szCs w:val="21"/>
                <w:highlight w:val="none"/>
                <w:lang w:eastAsia="zh-CN"/>
              </w:rPr>
              <w:t>（</w:t>
            </w:r>
            <w:r>
              <w:rPr>
                <w:rFonts w:hint="eastAsia" w:ascii="宋体" w:hAnsi="宋体"/>
                <w:color w:val="auto"/>
                <w:szCs w:val="21"/>
                <w:highlight w:val="none"/>
                <w:lang w:val="en-US" w:eastAsia="zh-CN"/>
              </w:rPr>
              <w:t>含税价</w:t>
            </w:r>
            <w:r>
              <w:rPr>
                <w:rFonts w:hint="eastAsia" w:ascii="宋体" w:hAnsi="宋体"/>
                <w:color w:val="auto"/>
                <w:szCs w:val="21"/>
                <w:highlight w:val="none"/>
                <w:lang w:eastAsia="zh-CN"/>
              </w:rPr>
              <w:t>）</w:t>
            </w:r>
            <w:r>
              <w:rPr>
                <w:rFonts w:hint="eastAsia" w:ascii="宋体" w:hAnsi="宋体"/>
                <w:color w:val="auto"/>
                <w:szCs w:val="21"/>
                <w:highlight w:val="none"/>
              </w:rPr>
              <w:t>，即某标段所有区域各车型供应商所投运输单价报价与对应预计次数的乘积之和；</w:t>
            </w:r>
            <w:r>
              <w:rPr>
                <w:rFonts w:hint="eastAsia" w:ascii="宋体" w:hAnsi="宋体"/>
                <w:b/>
                <w:bCs/>
                <w:color w:val="auto"/>
                <w:szCs w:val="21"/>
                <w:highlight w:val="none"/>
              </w:rPr>
              <w:t>投标人必须严格按照附件《</w:t>
            </w:r>
            <w:r>
              <w:rPr>
                <w:rFonts w:hint="eastAsia" w:ascii="宋体" w:hAnsi="宋体"/>
                <w:b/>
                <w:bCs/>
                <w:color w:val="auto"/>
                <w:szCs w:val="21"/>
                <w:highlight w:val="none"/>
                <w:lang w:val="en-US" w:eastAsia="zh-CN"/>
              </w:rPr>
              <w:t>危险废物运输费单价表</w:t>
            </w:r>
            <w:r>
              <w:rPr>
                <w:rFonts w:hint="eastAsia" w:ascii="宋体" w:hAnsi="宋体"/>
                <w:b/>
                <w:bCs/>
                <w:color w:val="auto"/>
                <w:szCs w:val="21"/>
                <w:highlight w:val="none"/>
              </w:rPr>
              <w:t>》进行填写，漏写、错写或报价超过单价限价的，将被视为非实质性响应而予以投标无效处理。</w:t>
            </w:r>
          </w:p>
        </w:tc>
      </w:tr>
      <w:tr w14:paraId="0FC842BC">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restart"/>
            <w:tcBorders>
              <w:tl2br w:val="nil"/>
              <w:tr2bl w:val="nil"/>
            </w:tcBorders>
            <w:vAlign w:val="center"/>
          </w:tcPr>
          <w:p w14:paraId="2053A820">
            <w:pPr>
              <w:jc w:val="center"/>
              <w:rPr>
                <w:rFonts w:hint="default" w:ascii="宋体" w:hAnsi="宋体" w:eastAsia="宋体"/>
                <w:color w:val="auto"/>
                <w:szCs w:val="21"/>
                <w:highlight w:val="none"/>
                <w:lang w:val="en-US" w:eastAsia="zh-CN"/>
              </w:rPr>
            </w:pPr>
            <w:r>
              <w:rPr>
                <w:rFonts w:hint="eastAsia" w:ascii="宋体" w:hAnsi="宋体"/>
                <w:color w:val="auto"/>
                <w:szCs w:val="21"/>
                <w:highlight w:val="none"/>
                <w:lang w:val="en-US" w:eastAsia="zh-CN"/>
              </w:rPr>
              <w:t>11</w:t>
            </w:r>
          </w:p>
        </w:tc>
        <w:tc>
          <w:tcPr>
            <w:tcW w:w="7532" w:type="dxa"/>
            <w:gridSpan w:val="2"/>
            <w:tcBorders>
              <w:tl2br w:val="nil"/>
              <w:tr2bl w:val="nil"/>
            </w:tcBorders>
            <w:vAlign w:val="center"/>
          </w:tcPr>
          <w:p w14:paraId="1E9A7B2C">
            <w:pPr>
              <w:jc w:val="both"/>
              <w:rPr>
                <w:rFonts w:hint="eastAsia" w:ascii="宋体" w:hAnsi="宋体" w:eastAsia="宋体" w:cstheme="minorBidi"/>
                <w:color w:val="auto"/>
                <w:sz w:val="21"/>
                <w:szCs w:val="21"/>
                <w:highlight w:val="none"/>
                <w:lang w:val="en-US" w:eastAsia="zh-CN" w:bidi="ar-SA"/>
              </w:rPr>
            </w:pPr>
            <w:r>
              <w:rPr>
                <w:rFonts w:hint="eastAsia" w:ascii="宋体" w:hAnsi="宋体"/>
                <w:b/>
                <w:bCs/>
                <w:color w:val="auto"/>
                <w:szCs w:val="21"/>
                <w:highlight w:val="none"/>
              </w:rPr>
              <w:t>成交方式及推荐原则</w:t>
            </w:r>
          </w:p>
        </w:tc>
      </w:tr>
      <w:tr w14:paraId="14621012">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continue"/>
            <w:tcBorders>
              <w:tl2br w:val="nil"/>
              <w:tr2bl w:val="nil"/>
            </w:tcBorders>
            <w:vAlign w:val="center"/>
          </w:tcPr>
          <w:p w14:paraId="4FF617B3">
            <w:pPr>
              <w:jc w:val="center"/>
              <w:rPr>
                <w:rFonts w:hint="eastAsia" w:ascii="宋体" w:hAnsi="宋体"/>
                <w:color w:val="auto"/>
                <w:szCs w:val="21"/>
                <w:highlight w:val="none"/>
              </w:rPr>
            </w:pPr>
          </w:p>
        </w:tc>
        <w:tc>
          <w:tcPr>
            <w:tcW w:w="7532" w:type="dxa"/>
            <w:gridSpan w:val="2"/>
            <w:tcBorders>
              <w:tl2br w:val="nil"/>
              <w:tr2bl w:val="nil"/>
            </w:tcBorders>
            <w:vAlign w:val="center"/>
          </w:tcPr>
          <w:p w14:paraId="754DE6A8">
            <w:pPr>
              <w:jc w:val="both"/>
              <w:rPr>
                <w:rFonts w:ascii="宋体" w:hAnsi="宋体"/>
                <w:color w:val="auto"/>
                <w:szCs w:val="21"/>
                <w:highlight w:val="none"/>
              </w:rPr>
            </w:pPr>
            <w:r>
              <w:rPr>
                <w:rFonts w:hint="eastAsia" w:ascii="宋体" w:hAnsi="宋体"/>
                <w:color w:val="auto"/>
                <w:szCs w:val="21"/>
                <w:highlight w:val="none"/>
              </w:rPr>
              <w:t>本项目按标段A、B、C、D</w:t>
            </w:r>
            <w:r>
              <w:rPr>
                <w:rFonts w:hint="eastAsia" w:ascii="宋体" w:hAnsi="宋体"/>
                <w:color w:val="auto"/>
                <w:szCs w:val="21"/>
                <w:highlight w:val="none"/>
                <w:lang w:eastAsia="zh-CN"/>
              </w:rPr>
              <w:t>、</w:t>
            </w:r>
            <w:r>
              <w:rPr>
                <w:rFonts w:hint="eastAsia" w:ascii="宋体" w:hAnsi="宋体"/>
                <w:color w:val="auto"/>
                <w:szCs w:val="21"/>
                <w:highlight w:val="none"/>
                <w:lang w:val="en-US" w:eastAsia="zh-CN"/>
              </w:rPr>
              <w:t>E</w:t>
            </w:r>
            <w:r>
              <w:rPr>
                <w:rFonts w:hint="eastAsia" w:ascii="宋体" w:hAnsi="宋体"/>
                <w:color w:val="auto"/>
                <w:szCs w:val="21"/>
                <w:highlight w:val="none"/>
              </w:rPr>
              <w:t>顺序进行评审，各标段根据上述“报价方式”计算出的暂定总价</w:t>
            </w:r>
            <w:r>
              <w:rPr>
                <w:rFonts w:hint="eastAsia" w:ascii="宋体" w:hAnsi="宋体"/>
                <w:color w:val="auto"/>
                <w:szCs w:val="21"/>
                <w:highlight w:val="none"/>
                <w:lang w:eastAsia="zh-CN"/>
              </w:rPr>
              <w:t>（</w:t>
            </w:r>
            <w:r>
              <w:rPr>
                <w:rFonts w:hint="eastAsia" w:ascii="宋体" w:hAnsi="宋体"/>
                <w:color w:val="auto"/>
                <w:szCs w:val="21"/>
                <w:highlight w:val="none"/>
                <w:lang w:val="en-US" w:eastAsia="zh-CN"/>
              </w:rPr>
              <w:t>含税价</w:t>
            </w:r>
            <w:r>
              <w:rPr>
                <w:rFonts w:hint="eastAsia" w:ascii="宋体" w:hAnsi="宋体"/>
                <w:color w:val="auto"/>
                <w:szCs w:val="21"/>
                <w:highlight w:val="none"/>
                <w:lang w:eastAsia="zh-CN"/>
              </w:rPr>
              <w:t>）</w:t>
            </w:r>
            <w:r>
              <w:rPr>
                <w:rFonts w:hint="eastAsia" w:ascii="宋体" w:hAnsi="宋体"/>
                <w:color w:val="auto"/>
                <w:szCs w:val="21"/>
                <w:highlight w:val="none"/>
              </w:rPr>
              <w:t>进行价格评审，暂定总价</w:t>
            </w:r>
            <w:r>
              <w:rPr>
                <w:rFonts w:hint="eastAsia" w:ascii="宋体" w:hAnsi="宋体"/>
                <w:color w:val="auto"/>
                <w:szCs w:val="21"/>
                <w:highlight w:val="none"/>
                <w:lang w:eastAsia="zh-CN"/>
              </w:rPr>
              <w:t>（</w:t>
            </w:r>
            <w:r>
              <w:rPr>
                <w:rFonts w:hint="eastAsia" w:ascii="宋体" w:hAnsi="宋体"/>
                <w:color w:val="auto"/>
                <w:szCs w:val="21"/>
                <w:highlight w:val="none"/>
                <w:lang w:val="en-US" w:eastAsia="zh-CN"/>
              </w:rPr>
              <w:t>含税价</w:t>
            </w:r>
            <w:r>
              <w:rPr>
                <w:rFonts w:hint="eastAsia" w:ascii="宋体" w:hAnsi="宋体"/>
                <w:color w:val="auto"/>
                <w:szCs w:val="21"/>
                <w:highlight w:val="none"/>
                <w:lang w:eastAsia="zh-CN"/>
              </w:rPr>
              <w:t>）</w:t>
            </w:r>
            <w:r>
              <w:rPr>
                <w:rFonts w:hint="eastAsia" w:ascii="宋体" w:hAnsi="宋体"/>
                <w:color w:val="auto"/>
                <w:szCs w:val="21"/>
                <w:highlight w:val="none"/>
              </w:rPr>
              <w:t>最低者为第一成交候选人，暂定总价</w:t>
            </w:r>
            <w:r>
              <w:rPr>
                <w:rFonts w:hint="eastAsia" w:ascii="宋体" w:hAnsi="宋体"/>
                <w:color w:val="auto"/>
                <w:szCs w:val="21"/>
                <w:highlight w:val="none"/>
                <w:lang w:eastAsia="zh-CN"/>
              </w:rPr>
              <w:t>（</w:t>
            </w:r>
            <w:r>
              <w:rPr>
                <w:rFonts w:hint="eastAsia" w:ascii="宋体" w:hAnsi="宋体"/>
                <w:color w:val="auto"/>
                <w:szCs w:val="21"/>
                <w:highlight w:val="none"/>
                <w:lang w:val="en-US" w:eastAsia="zh-CN"/>
              </w:rPr>
              <w:t>含税价</w:t>
            </w:r>
            <w:r>
              <w:rPr>
                <w:rFonts w:hint="eastAsia" w:ascii="宋体" w:hAnsi="宋体"/>
                <w:color w:val="auto"/>
                <w:szCs w:val="21"/>
                <w:highlight w:val="none"/>
                <w:lang w:eastAsia="zh-CN"/>
              </w:rPr>
              <w:t>）</w:t>
            </w:r>
            <w:r>
              <w:rPr>
                <w:rFonts w:hint="eastAsia" w:ascii="宋体" w:hAnsi="宋体"/>
                <w:color w:val="auto"/>
                <w:szCs w:val="21"/>
                <w:highlight w:val="none"/>
              </w:rPr>
              <w:t>次低者为第二成交候选人，如此类推；每个标段各推荐2名</w:t>
            </w:r>
            <w:r>
              <w:rPr>
                <w:rFonts w:hint="eastAsia" w:ascii="宋体" w:hAnsi="宋体"/>
                <w:color w:val="auto"/>
                <w:szCs w:val="21"/>
                <w:highlight w:val="none"/>
                <w:lang w:eastAsia="zh-CN"/>
              </w:rPr>
              <w:t>成交人</w:t>
            </w:r>
            <w:r>
              <w:rPr>
                <w:rFonts w:hint="eastAsia" w:ascii="宋体" w:hAnsi="宋体"/>
                <w:color w:val="auto"/>
                <w:szCs w:val="21"/>
                <w:highlight w:val="none"/>
              </w:rPr>
              <w:t>。以“一用一备，优先使用最低价服务单位（派单比例不少于60%）”的派单原则开展服务。</w:t>
            </w:r>
          </w:p>
          <w:p w14:paraId="59B1DF45">
            <w:pPr>
              <w:jc w:val="both"/>
              <w:rPr>
                <w:rFonts w:hint="eastAsia" w:ascii="宋体" w:hAnsi="宋体" w:eastAsia="宋体" w:cstheme="minorBidi"/>
                <w:color w:val="auto"/>
                <w:sz w:val="21"/>
                <w:szCs w:val="21"/>
                <w:highlight w:val="none"/>
                <w:lang w:val="en-US" w:eastAsia="zh-CN" w:bidi="ar-SA"/>
              </w:rPr>
            </w:pPr>
            <w:r>
              <w:rPr>
                <w:rFonts w:hint="eastAsia" w:ascii="宋体" w:hAnsi="宋体"/>
                <w:color w:val="auto"/>
                <w:szCs w:val="21"/>
                <w:highlight w:val="none"/>
              </w:rPr>
              <w:t>如出现投标暂定总价</w:t>
            </w:r>
            <w:r>
              <w:rPr>
                <w:rFonts w:hint="eastAsia" w:ascii="宋体" w:hAnsi="宋体"/>
                <w:color w:val="auto"/>
                <w:szCs w:val="21"/>
                <w:highlight w:val="none"/>
                <w:lang w:eastAsia="zh-CN"/>
              </w:rPr>
              <w:t>（</w:t>
            </w:r>
            <w:r>
              <w:rPr>
                <w:rFonts w:hint="eastAsia" w:ascii="宋体" w:hAnsi="宋体"/>
                <w:color w:val="auto"/>
                <w:szCs w:val="21"/>
                <w:highlight w:val="none"/>
                <w:lang w:val="en-US" w:eastAsia="zh-CN"/>
              </w:rPr>
              <w:t>含税价</w:t>
            </w:r>
            <w:r>
              <w:rPr>
                <w:rFonts w:hint="eastAsia" w:ascii="宋体" w:hAnsi="宋体"/>
                <w:color w:val="auto"/>
                <w:szCs w:val="21"/>
                <w:highlight w:val="none"/>
                <w:lang w:eastAsia="zh-CN"/>
              </w:rPr>
              <w:t>）</w:t>
            </w:r>
            <w:r>
              <w:rPr>
                <w:rFonts w:hint="eastAsia" w:ascii="宋体" w:hAnsi="宋体"/>
                <w:color w:val="auto"/>
                <w:szCs w:val="21"/>
                <w:highlight w:val="none"/>
              </w:rPr>
              <w:t>一致的情况，则采用随机抽取的方法，确定报价排序。抽取方法及具体步骤：①确定球数及球号：按报价一致的投标人家数确定球数，并按1、2、3、4……的顺序编号；②确定编号：按投标人签到的先后顺序对报价一致的投标人进行编号，如1、2、3、4……；③将球放入不透明的抽签箱中；④由评标委员会组长进行抽取，优先抽取出的球号对应的投标人报价排序在前，后续抽取出的球号对应的投标人报价排序在后，以此类推。</w:t>
            </w:r>
          </w:p>
        </w:tc>
      </w:tr>
      <w:tr w14:paraId="2B65E4FA">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restart"/>
            <w:tcBorders>
              <w:tl2br w:val="nil"/>
              <w:tr2bl w:val="nil"/>
            </w:tcBorders>
            <w:vAlign w:val="center"/>
          </w:tcPr>
          <w:p w14:paraId="284A6A18">
            <w:pPr>
              <w:jc w:val="center"/>
              <w:rPr>
                <w:rFonts w:hint="default" w:ascii="宋体" w:hAnsi="宋体" w:eastAsia="宋体"/>
                <w:color w:val="auto"/>
                <w:szCs w:val="21"/>
                <w:highlight w:val="none"/>
                <w:lang w:val="en-US" w:eastAsia="zh-CN"/>
              </w:rPr>
            </w:pPr>
            <w:r>
              <w:rPr>
                <w:rFonts w:hint="eastAsia" w:ascii="宋体" w:hAnsi="宋体"/>
                <w:color w:val="auto"/>
                <w:szCs w:val="21"/>
                <w:highlight w:val="none"/>
                <w:lang w:val="en-US" w:eastAsia="zh-CN"/>
              </w:rPr>
              <w:t>12</w:t>
            </w:r>
          </w:p>
        </w:tc>
        <w:tc>
          <w:tcPr>
            <w:tcW w:w="7532" w:type="dxa"/>
            <w:gridSpan w:val="2"/>
            <w:tcBorders>
              <w:tl2br w:val="nil"/>
              <w:tr2bl w:val="nil"/>
            </w:tcBorders>
            <w:vAlign w:val="center"/>
          </w:tcPr>
          <w:p w14:paraId="64D5772C">
            <w:pPr>
              <w:jc w:val="both"/>
              <w:rPr>
                <w:rFonts w:hint="eastAsia" w:ascii="宋体" w:hAnsi="宋体" w:eastAsia="宋体" w:cstheme="minorBidi"/>
                <w:color w:val="auto"/>
                <w:sz w:val="21"/>
                <w:szCs w:val="21"/>
                <w:highlight w:val="none"/>
                <w:lang w:val="en-US" w:eastAsia="zh-CN" w:bidi="ar-SA"/>
              </w:rPr>
            </w:pPr>
            <w:r>
              <w:rPr>
                <w:rFonts w:hint="eastAsia" w:ascii="宋体" w:hAnsi="宋体"/>
                <w:b/>
                <w:bCs/>
                <w:color w:val="auto"/>
                <w:szCs w:val="21"/>
                <w:highlight w:val="none"/>
              </w:rPr>
              <w:t>投标文件的制作及提交</w:t>
            </w:r>
          </w:p>
        </w:tc>
      </w:tr>
      <w:tr w14:paraId="01925CC7">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continue"/>
            <w:tcBorders>
              <w:tl2br w:val="nil"/>
              <w:tr2bl w:val="nil"/>
            </w:tcBorders>
            <w:vAlign w:val="center"/>
          </w:tcPr>
          <w:p w14:paraId="2C62A216">
            <w:pPr>
              <w:jc w:val="center"/>
              <w:rPr>
                <w:rFonts w:hint="eastAsia" w:ascii="宋体" w:hAnsi="宋体"/>
                <w:color w:val="auto"/>
                <w:szCs w:val="21"/>
                <w:highlight w:val="none"/>
              </w:rPr>
            </w:pPr>
          </w:p>
        </w:tc>
        <w:tc>
          <w:tcPr>
            <w:tcW w:w="7532" w:type="dxa"/>
            <w:gridSpan w:val="2"/>
            <w:tcBorders>
              <w:tl2br w:val="nil"/>
              <w:tr2bl w:val="nil"/>
            </w:tcBorders>
            <w:vAlign w:val="center"/>
          </w:tcPr>
          <w:p w14:paraId="65A4D686">
            <w:pPr>
              <w:jc w:val="both"/>
              <w:rPr>
                <w:rFonts w:hint="eastAsia" w:ascii="宋体" w:hAnsi="宋体" w:eastAsia="宋体" w:cstheme="minorBidi"/>
                <w:color w:val="auto"/>
                <w:sz w:val="21"/>
                <w:szCs w:val="21"/>
                <w:highlight w:val="none"/>
                <w:lang w:val="en-US" w:eastAsia="zh-CN" w:bidi="ar-SA"/>
              </w:rPr>
            </w:pPr>
            <w:r>
              <w:rPr>
                <w:rFonts w:hint="eastAsia" w:ascii="宋体" w:hAnsi="宋体"/>
                <w:color w:val="auto"/>
                <w:szCs w:val="21"/>
                <w:highlight w:val="none"/>
              </w:rPr>
              <w:t>投标人如同时投取本项目多个标段的，应当按照采购文件要求分别制作对应标段的投标文件，分标段提交投标文件。</w:t>
            </w:r>
          </w:p>
        </w:tc>
      </w:tr>
      <w:tr w14:paraId="47BC7B4E">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restart"/>
            <w:tcBorders>
              <w:tl2br w:val="nil"/>
              <w:tr2bl w:val="nil"/>
            </w:tcBorders>
            <w:vAlign w:val="center"/>
          </w:tcPr>
          <w:p w14:paraId="7B2FDBD5">
            <w:pPr>
              <w:jc w:val="center"/>
              <w:rPr>
                <w:rFonts w:hint="default" w:ascii="宋体" w:hAnsi="宋体" w:eastAsia="宋体"/>
                <w:color w:val="auto"/>
                <w:szCs w:val="21"/>
                <w:highlight w:val="none"/>
                <w:lang w:val="en-US" w:eastAsia="zh-CN"/>
              </w:rPr>
            </w:pPr>
            <w:r>
              <w:rPr>
                <w:rFonts w:hint="eastAsia" w:ascii="宋体" w:hAnsi="宋体"/>
                <w:color w:val="auto"/>
                <w:szCs w:val="21"/>
                <w:highlight w:val="none"/>
                <w:lang w:val="en-US" w:eastAsia="zh-CN"/>
              </w:rPr>
              <w:t>13</w:t>
            </w:r>
          </w:p>
        </w:tc>
        <w:tc>
          <w:tcPr>
            <w:tcW w:w="7532" w:type="dxa"/>
            <w:gridSpan w:val="2"/>
            <w:tcBorders>
              <w:tl2br w:val="nil"/>
              <w:tr2bl w:val="nil"/>
            </w:tcBorders>
            <w:vAlign w:val="center"/>
          </w:tcPr>
          <w:p w14:paraId="6793CA32">
            <w:pPr>
              <w:jc w:val="both"/>
              <w:rPr>
                <w:rFonts w:hint="eastAsia" w:ascii="宋体" w:hAnsi="宋体" w:eastAsia="宋体" w:cstheme="minorBidi"/>
                <w:color w:val="auto"/>
                <w:sz w:val="21"/>
                <w:szCs w:val="21"/>
                <w:highlight w:val="none"/>
                <w:lang w:val="en-US" w:eastAsia="zh-CN" w:bidi="ar-SA"/>
              </w:rPr>
            </w:pPr>
            <w:r>
              <w:rPr>
                <w:rFonts w:hint="eastAsia" w:ascii="宋体" w:hAnsi="宋体"/>
                <w:b/>
                <w:bCs/>
                <w:color w:val="auto"/>
                <w:szCs w:val="21"/>
                <w:highlight w:val="none"/>
              </w:rPr>
              <w:t>实质性响应要求</w:t>
            </w:r>
          </w:p>
        </w:tc>
      </w:tr>
      <w:tr w14:paraId="39BE67BC">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continue"/>
            <w:tcBorders>
              <w:tl2br w:val="nil"/>
              <w:tr2bl w:val="nil"/>
            </w:tcBorders>
            <w:vAlign w:val="center"/>
          </w:tcPr>
          <w:p w14:paraId="2E26A92C">
            <w:pPr>
              <w:jc w:val="center"/>
              <w:rPr>
                <w:rFonts w:hint="eastAsia" w:ascii="宋体" w:hAnsi="宋体"/>
                <w:color w:val="auto"/>
                <w:szCs w:val="21"/>
                <w:highlight w:val="none"/>
              </w:rPr>
            </w:pPr>
          </w:p>
        </w:tc>
        <w:tc>
          <w:tcPr>
            <w:tcW w:w="7532" w:type="dxa"/>
            <w:gridSpan w:val="2"/>
            <w:tcBorders>
              <w:tl2br w:val="nil"/>
              <w:tr2bl w:val="nil"/>
            </w:tcBorders>
            <w:vAlign w:val="center"/>
          </w:tcPr>
          <w:p w14:paraId="0F69FAF7">
            <w:pPr>
              <w:jc w:val="both"/>
              <w:rPr>
                <w:rFonts w:hint="eastAsia" w:ascii="宋体" w:hAnsi="宋体" w:eastAsia="宋体" w:cstheme="minorBidi"/>
                <w:color w:val="auto"/>
                <w:sz w:val="21"/>
                <w:szCs w:val="21"/>
                <w:highlight w:val="none"/>
                <w:lang w:val="en-US" w:eastAsia="zh-CN" w:bidi="ar-SA"/>
              </w:rPr>
            </w:pPr>
            <w:r>
              <w:rPr>
                <w:rFonts w:hint="eastAsia" w:ascii="宋体" w:hAnsi="宋体"/>
                <w:color w:val="auto"/>
                <w:szCs w:val="21"/>
                <w:highlight w:val="none"/>
              </w:rPr>
              <w:t>本项目用户需求书标注有“★”为实质性响应条款，投标人应当按用户需求书要求进行响应或提供具体证明材料。</w:t>
            </w:r>
          </w:p>
        </w:tc>
      </w:tr>
      <w:tr w14:paraId="3963C049">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restart"/>
            <w:tcBorders>
              <w:tl2br w:val="nil"/>
              <w:tr2bl w:val="nil"/>
            </w:tcBorders>
            <w:vAlign w:val="center"/>
          </w:tcPr>
          <w:p w14:paraId="464744FC">
            <w:pPr>
              <w:jc w:val="center"/>
              <w:rPr>
                <w:rFonts w:hint="default" w:ascii="宋体" w:hAnsi="宋体" w:eastAsia="宋体"/>
                <w:color w:val="auto"/>
                <w:szCs w:val="21"/>
                <w:highlight w:val="none"/>
                <w:lang w:val="en-US" w:eastAsia="zh-CN"/>
              </w:rPr>
            </w:pPr>
            <w:r>
              <w:rPr>
                <w:rFonts w:hint="eastAsia" w:ascii="宋体" w:hAnsi="宋体"/>
                <w:color w:val="auto"/>
                <w:szCs w:val="21"/>
                <w:highlight w:val="none"/>
                <w:lang w:val="en-US" w:eastAsia="zh-CN"/>
              </w:rPr>
              <w:t>14</w:t>
            </w:r>
          </w:p>
        </w:tc>
        <w:tc>
          <w:tcPr>
            <w:tcW w:w="7532" w:type="dxa"/>
            <w:gridSpan w:val="2"/>
            <w:tcBorders>
              <w:tl2br w:val="nil"/>
              <w:tr2bl w:val="nil"/>
            </w:tcBorders>
            <w:vAlign w:val="center"/>
          </w:tcPr>
          <w:p w14:paraId="4A1156D8">
            <w:pPr>
              <w:jc w:val="both"/>
              <w:rPr>
                <w:rFonts w:ascii="宋体" w:hAnsi="宋体"/>
                <w:b/>
                <w:color w:val="auto"/>
                <w:szCs w:val="21"/>
                <w:highlight w:val="none"/>
              </w:rPr>
            </w:pPr>
            <w:r>
              <w:rPr>
                <w:rFonts w:hint="eastAsia" w:ascii="宋体" w:hAnsi="宋体"/>
                <w:b/>
                <w:color w:val="auto"/>
                <w:szCs w:val="21"/>
                <w:highlight w:val="none"/>
              </w:rPr>
              <w:t>投标有效期</w:t>
            </w:r>
          </w:p>
        </w:tc>
      </w:tr>
      <w:tr w14:paraId="2C7B320E">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878" w:type="dxa"/>
            <w:vMerge w:val="continue"/>
            <w:tcBorders>
              <w:tl2br w:val="nil"/>
              <w:tr2bl w:val="nil"/>
            </w:tcBorders>
            <w:vAlign w:val="center"/>
          </w:tcPr>
          <w:p w14:paraId="23034425">
            <w:pPr>
              <w:jc w:val="center"/>
              <w:rPr>
                <w:rFonts w:ascii="宋体" w:hAnsi="宋体"/>
                <w:color w:val="auto"/>
                <w:szCs w:val="21"/>
                <w:highlight w:val="none"/>
              </w:rPr>
            </w:pPr>
          </w:p>
        </w:tc>
        <w:tc>
          <w:tcPr>
            <w:tcW w:w="7532" w:type="dxa"/>
            <w:gridSpan w:val="2"/>
            <w:tcBorders>
              <w:tl2br w:val="nil"/>
              <w:tr2bl w:val="nil"/>
            </w:tcBorders>
            <w:vAlign w:val="center"/>
          </w:tcPr>
          <w:p w14:paraId="0C71B258">
            <w:pPr>
              <w:jc w:val="both"/>
              <w:rPr>
                <w:rFonts w:ascii="宋体" w:hAnsi="宋体"/>
                <w:b/>
                <w:color w:val="auto"/>
                <w:szCs w:val="21"/>
                <w:highlight w:val="none"/>
              </w:rPr>
            </w:pPr>
            <w:r>
              <w:rPr>
                <w:rFonts w:hint="eastAsia" w:ascii="宋体" w:hAnsi="宋体"/>
                <w:color w:val="auto"/>
                <w:szCs w:val="21"/>
                <w:highlight w:val="none"/>
              </w:rPr>
              <w:t>九十天。</w:t>
            </w:r>
          </w:p>
        </w:tc>
      </w:tr>
      <w:tr w14:paraId="3A0ACEF7">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94" w:hRule="atLeast"/>
        </w:trPr>
        <w:tc>
          <w:tcPr>
            <w:tcW w:w="878" w:type="dxa"/>
            <w:vMerge w:val="restart"/>
            <w:tcBorders>
              <w:tl2br w:val="nil"/>
              <w:tr2bl w:val="nil"/>
            </w:tcBorders>
            <w:vAlign w:val="center"/>
          </w:tcPr>
          <w:p w14:paraId="688B65FA">
            <w:pPr>
              <w:jc w:val="center"/>
              <w:rPr>
                <w:rFonts w:hint="default" w:ascii="宋体" w:hAnsi="宋体" w:eastAsia="宋体"/>
                <w:color w:val="auto"/>
                <w:szCs w:val="21"/>
                <w:highlight w:val="none"/>
                <w:lang w:val="en-US" w:eastAsia="zh-CN"/>
              </w:rPr>
            </w:pPr>
            <w:r>
              <w:rPr>
                <w:rFonts w:hint="eastAsia" w:ascii="宋体" w:hAnsi="宋体"/>
                <w:color w:val="auto"/>
                <w:szCs w:val="21"/>
                <w:highlight w:val="none"/>
                <w:lang w:val="en-US" w:eastAsia="zh-CN"/>
              </w:rPr>
              <w:t>15</w:t>
            </w:r>
          </w:p>
        </w:tc>
        <w:tc>
          <w:tcPr>
            <w:tcW w:w="7532" w:type="dxa"/>
            <w:gridSpan w:val="2"/>
            <w:tcBorders>
              <w:tl2br w:val="nil"/>
              <w:tr2bl w:val="nil"/>
            </w:tcBorders>
            <w:vAlign w:val="center"/>
          </w:tcPr>
          <w:p w14:paraId="780003A6">
            <w:pPr>
              <w:jc w:val="both"/>
              <w:rPr>
                <w:rFonts w:ascii="宋体" w:hAnsi="宋体"/>
                <w:b/>
                <w:color w:val="auto"/>
                <w:szCs w:val="21"/>
                <w:highlight w:val="none"/>
              </w:rPr>
            </w:pPr>
            <w:r>
              <w:rPr>
                <w:rFonts w:hint="eastAsia" w:ascii="宋体" w:hAnsi="宋体"/>
                <w:b/>
                <w:color w:val="auto"/>
                <w:szCs w:val="21"/>
                <w:highlight w:val="none"/>
              </w:rPr>
              <w:t>投标人应提交以下投标文件（投标文件由唱标信封、价格文件、商务文件、技术文件、电子文档五部分组成；价格文件、商务文件、技术文件分别单独装订成册，电子文档装入唱标信封一同封装；具体编制和封装要求详见第四部分投标人须知）</w:t>
            </w:r>
          </w:p>
        </w:tc>
      </w:tr>
      <w:tr w14:paraId="24D3892D">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94" w:hRule="atLeast"/>
        </w:trPr>
        <w:tc>
          <w:tcPr>
            <w:tcW w:w="878" w:type="dxa"/>
            <w:vMerge w:val="continue"/>
            <w:tcBorders>
              <w:tl2br w:val="nil"/>
              <w:tr2bl w:val="nil"/>
            </w:tcBorders>
            <w:vAlign w:val="center"/>
          </w:tcPr>
          <w:p w14:paraId="1C37F712">
            <w:pPr>
              <w:jc w:val="center"/>
              <w:rPr>
                <w:rFonts w:ascii="宋体" w:hAnsi="宋体"/>
                <w:color w:val="auto"/>
                <w:szCs w:val="21"/>
                <w:highlight w:val="none"/>
              </w:rPr>
            </w:pPr>
          </w:p>
        </w:tc>
        <w:tc>
          <w:tcPr>
            <w:tcW w:w="2608" w:type="dxa"/>
            <w:tcBorders>
              <w:tl2br w:val="nil"/>
              <w:tr2bl w:val="nil"/>
            </w:tcBorders>
            <w:vAlign w:val="center"/>
          </w:tcPr>
          <w:p w14:paraId="2FFBE845">
            <w:pPr>
              <w:jc w:val="center"/>
              <w:rPr>
                <w:rFonts w:ascii="宋体" w:hAnsi="宋体"/>
                <w:b/>
                <w:color w:val="auto"/>
                <w:szCs w:val="21"/>
                <w:highlight w:val="none"/>
              </w:rPr>
            </w:pPr>
            <w:r>
              <w:rPr>
                <w:rFonts w:hint="eastAsia" w:ascii="宋体" w:hAnsi="宋体"/>
                <w:b/>
                <w:color w:val="auto"/>
                <w:szCs w:val="21"/>
                <w:highlight w:val="none"/>
              </w:rPr>
              <w:t>投标文件类型</w:t>
            </w:r>
          </w:p>
        </w:tc>
        <w:tc>
          <w:tcPr>
            <w:tcW w:w="4924" w:type="dxa"/>
            <w:tcBorders>
              <w:tl2br w:val="nil"/>
              <w:tr2bl w:val="nil"/>
            </w:tcBorders>
            <w:vAlign w:val="center"/>
          </w:tcPr>
          <w:p w14:paraId="223E8A25">
            <w:pPr>
              <w:jc w:val="center"/>
              <w:rPr>
                <w:rFonts w:ascii="宋体" w:hAnsi="宋体"/>
                <w:b/>
                <w:color w:val="auto"/>
                <w:szCs w:val="21"/>
                <w:highlight w:val="none"/>
              </w:rPr>
            </w:pPr>
            <w:r>
              <w:rPr>
                <w:rFonts w:hint="eastAsia" w:ascii="宋体" w:hAnsi="宋体"/>
                <w:b/>
                <w:color w:val="auto"/>
                <w:szCs w:val="21"/>
                <w:highlight w:val="none"/>
              </w:rPr>
              <w:t>份数</w:t>
            </w:r>
          </w:p>
        </w:tc>
      </w:tr>
      <w:tr w14:paraId="18E41A0F">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94" w:hRule="atLeast"/>
        </w:trPr>
        <w:tc>
          <w:tcPr>
            <w:tcW w:w="878" w:type="dxa"/>
            <w:vMerge w:val="continue"/>
            <w:tcBorders>
              <w:tl2br w:val="nil"/>
              <w:tr2bl w:val="nil"/>
            </w:tcBorders>
            <w:vAlign w:val="center"/>
          </w:tcPr>
          <w:p w14:paraId="3BB20D37">
            <w:pPr>
              <w:jc w:val="center"/>
              <w:rPr>
                <w:rFonts w:ascii="宋体" w:hAnsi="宋体"/>
                <w:color w:val="auto"/>
                <w:szCs w:val="21"/>
                <w:highlight w:val="none"/>
              </w:rPr>
            </w:pPr>
          </w:p>
        </w:tc>
        <w:tc>
          <w:tcPr>
            <w:tcW w:w="2608" w:type="dxa"/>
            <w:tcBorders>
              <w:tl2br w:val="nil"/>
              <w:tr2bl w:val="nil"/>
            </w:tcBorders>
            <w:vAlign w:val="center"/>
          </w:tcPr>
          <w:p w14:paraId="6867121F">
            <w:pPr>
              <w:jc w:val="center"/>
              <w:rPr>
                <w:rFonts w:ascii="宋体" w:hAnsi="宋体"/>
                <w:b/>
                <w:color w:val="auto"/>
                <w:szCs w:val="21"/>
                <w:highlight w:val="none"/>
              </w:rPr>
            </w:pPr>
            <w:r>
              <w:rPr>
                <w:rFonts w:hint="eastAsia" w:ascii="宋体" w:hAnsi="宋体"/>
                <w:b/>
                <w:color w:val="auto"/>
                <w:szCs w:val="21"/>
                <w:highlight w:val="none"/>
              </w:rPr>
              <w:t>唱标信封</w:t>
            </w:r>
          </w:p>
        </w:tc>
        <w:tc>
          <w:tcPr>
            <w:tcW w:w="4924" w:type="dxa"/>
            <w:tcBorders>
              <w:tl2br w:val="nil"/>
              <w:tr2bl w:val="nil"/>
            </w:tcBorders>
            <w:vAlign w:val="center"/>
          </w:tcPr>
          <w:p w14:paraId="2FEBB03F">
            <w:pPr>
              <w:jc w:val="center"/>
              <w:rPr>
                <w:rFonts w:ascii="宋体" w:hAnsi="宋体"/>
                <w:b/>
                <w:color w:val="auto"/>
                <w:szCs w:val="21"/>
                <w:highlight w:val="none"/>
              </w:rPr>
            </w:pPr>
            <w:r>
              <w:rPr>
                <w:rFonts w:hint="eastAsia" w:ascii="宋体" w:hAnsi="宋体"/>
                <w:b/>
                <w:color w:val="auto"/>
                <w:szCs w:val="21"/>
                <w:highlight w:val="none"/>
              </w:rPr>
              <w:t>1</w:t>
            </w:r>
          </w:p>
        </w:tc>
      </w:tr>
      <w:tr w14:paraId="4616B7E7">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94" w:hRule="atLeast"/>
        </w:trPr>
        <w:tc>
          <w:tcPr>
            <w:tcW w:w="878" w:type="dxa"/>
            <w:vMerge w:val="continue"/>
            <w:tcBorders>
              <w:tl2br w:val="nil"/>
              <w:tr2bl w:val="nil"/>
            </w:tcBorders>
            <w:vAlign w:val="center"/>
          </w:tcPr>
          <w:p w14:paraId="61B46170">
            <w:pPr>
              <w:jc w:val="center"/>
              <w:rPr>
                <w:rFonts w:ascii="宋体" w:hAnsi="宋体"/>
                <w:color w:val="auto"/>
                <w:szCs w:val="21"/>
                <w:highlight w:val="none"/>
              </w:rPr>
            </w:pPr>
          </w:p>
        </w:tc>
        <w:tc>
          <w:tcPr>
            <w:tcW w:w="2608" w:type="dxa"/>
            <w:tcBorders>
              <w:tl2br w:val="nil"/>
              <w:tr2bl w:val="nil"/>
            </w:tcBorders>
            <w:vAlign w:val="center"/>
          </w:tcPr>
          <w:p w14:paraId="2A8943E5">
            <w:pPr>
              <w:jc w:val="center"/>
              <w:rPr>
                <w:rFonts w:ascii="宋体" w:hAnsi="宋体"/>
                <w:b/>
                <w:color w:val="auto"/>
                <w:szCs w:val="21"/>
                <w:highlight w:val="none"/>
              </w:rPr>
            </w:pPr>
            <w:r>
              <w:rPr>
                <w:rFonts w:hint="eastAsia" w:ascii="宋体" w:hAnsi="宋体"/>
                <w:b/>
                <w:color w:val="auto"/>
                <w:szCs w:val="21"/>
                <w:highlight w:val="none"/>
              </w:rPr>
              <w:t>投标文件正本</w:t>
            </w:r>
          </w:p>
        </w:tc>
        <w:tc>
          <w:tcPr>
            <w:tcW w:w="4924" w:type="dxa"/>
            <w:tcBorders>
              <w:tl2br w:val="nil"/>
              <w:tr2bl w:val="nil"/>
            </w:tcBorders>
            <w:vAlign w:val="center"/>
          </w:tcPr>
          <w:p w14:paraId="4940C139">
            <w:pPr>
              <w:jc w:val="center"/>
              <w:rPr>
                <w:rFonts w:ascii="宋体" w:hAnsi="宋体"/>
                <w:b/>
                <w:color w:val="auto"/>
                <w:szCs w:val="21"/>
                <w:highlight w:val="none"/>
              </w:rPr>
            </w:pPr>
            <w:r>
              <w:rPr>
                <w:rFonts w:hint="eastAsia" w:ascii="宋体" w:hAnsi="宋体"/>
                <w:b/>
                <w:color w:val="auto"/>
                <w:szCs w:val="21"/>
                <w:highlight w:val="none"/>
              </w:rPr>
              <w:t>1</w:t>
            </w:r>
          </w:p>
        </w:tc>
      </w:tr>
      <w:tr w14:paraId="45C6DE24">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537" w:hRule="atLeast"/>
        </w:trPr>
        <w:tc>
          <w:tcPr>
            <w:tcW w:w="878" w:type="dxa"/>
            <w:vMerge w:val="continue"/>
            <w:tcBorders>
              <w:tl2br w:val="nil"/>
              <w:tr2bl w:val="nil"/>
            </w:tcBorders>
            <w:vAlign w:val="center"/>
          </w:tcPr>
          <w:p w14:paraId="7216B9DF">
            <w:pPr>
              <w:jc w:val="center"/>
              <w:rPr>
                <w:rFonts w:ascii="宋体" w:hAnsi="宋体"/>
                <w:color w:val="auto"/>
                <w:szCs w:val="21"/>
                <w:highlight w:val="none"/>
              </w:rPr>
            </w:pPr>
          </w:p>
        </w:tc>
        <w:tc>
          <w:tcPr>
            <w:tcW w:w="2608" w:type="dxa"/>
            <w:tcBorders>
              <w:tl2br w:val="nil"/>
              <w:tr2bl w:val="nil"/>
            </w:tcBorders>
            <w:vAlign w:val="center"/>
          </w:tcPr>
          <w:p w14:paraId="29F416B0">
            <w:pPr>
              <w:jc w:val="center"/>
              <w:rPr>
                <w:rFonts w:ascii="宋体" w:hAnsi="宋体"/>
                <w:b/>
                <w:color w:val="auto"/>
                <w:szCs w:val="21"/>
                <w:highlight w:val="none"/>
              </w:rPr>
            </w:pPr>
            <w:r>
              <w:rPr>
                <w:rFonts w:hint="eastAsia" w:ascii="宋体" w:hAnsi="宋体"/>
                <w:b/>
                <w:color w:val="auto"/>
                <w:szCs w:val="21"/>
                <w:highlight w:val="none"/>
              </w:rPr>
              <w:t>投标文件副本</w:t>
            </w:r>
          </w:p>
        </w:tc>
        <w:tc>
          <w:tcPr>
            <w:tcW w:w="4924" w:type="dxa"/>
            <w:tcBorders>
              <w:tl2br w:val="nil"/>
              <w:tr2bl w:val="nil"/>
            </w:tcBorders>
            <w:vAlign w:val="center"/>
          </w:tcPr>
          <w:p w14:paraId="4491980D">
            <w:pPr>
              <w:jc w:val="center"/>
              <w:rPr>
                <w:rFonts w:ascii="宋体" w:hAnsi="宋体"/>
                <w:b/>
                <w:color w:val="auto"/>
                <w:szCs w:val="21"/>
                <w:highlight w:val="none"/>
              </w:rPr>
            </w:pPr>
            <w:r>
              <w:rPr>
                <w:rFonts w:hint="eastAsia" w:ascii="宋体" w:hAnsi="宋体"/>
                <w:b/>
                <w:color w:val="auto"/>
                <w:szCs w:val="21"/>
                <w:highlight w:val="none"/>
              </w:rPr>
              <w:sym w:font="Wingdings 2" w:char="00A3"/>
            </w:r>
            <w:r>
              <w:rPr>
                <w:rFonts w:hint="eastAsia" w:ascii="宋体" w:hAnsi="宋体"/>
                <w:b/>
                <w:color w:val="auto"/>
                <w:szCs w:val="21"/>
                <w:highlight w:val="none"/>
              </w:rPr>
              <w:t xml:space="preserve">5  </w:t>
            </w:r>
            <w:r>
              <w:rPr>
                <w:rFonts w:hint="eastAsia" w:ascii="宋体" w:hAnsi="宋体"/>
                <w:b/>
                <w:color w:val="auto"/>
                <w:szCs w:val="21"/>
                <w:highlight w:val="none"/>
              </w:rPr>
              <w:sym w:font="Wingdings 2" w:char="0052"/>
            </w:r>
            <w:r>
              <w:rPr>
                <w:rFonts w:hint="eastAsia" w:ascii="宋体" w:hAnsi="宋体"/>
                <w:b/>
                <w:color w:val="auto"/>
                <w:szCs w:val="21"/>
                <w:highlight w:val="none"/>
              </w:rPr>
              <w:t>7</w:t>
            </w:r>
          </w:p>
        </w:tc>
      </w:tr>
      <w:tr w14:paraId="0FBE7DDC">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94" w:hRule="atLeast"/>
        </w:trPr>
        <w:tc>
          <w:tcPr>
            <w:tcW w:w="878" w:type="dxa"/>
            <w:vMerge w:val="continue"/>
            <w:tcBorders>
              <w:tl2br w:val="nil"/>
              <w:tr2bl w:val="nil"/>
            </w:tcBorders>
            <w:vAlign w:val="center"/>
          </w:tcPr>
          <w:p w14:paraId="74BE099A">
            <w:pPr>
              <w:jc w:val="center"/>
              <w:rPr>
                <w:rFonts w:ascii="宋体" w:hAnsi="宋体"/>
                <w:color w:val="auto"/>
                <w:szCs w:val="21"/>
                <w:highlight w:val="none"/>
              </w:rPr>
            </w:pPr>
          </w:p>
        </w:tc>
        <w:tc>
          <w:tcPr>
            <w:tcW w:w="2608" w:type="dxa"/>
            <w:vMerge w:val="restart"/>
            <w:tcBorders>
              <w:tl2br w:val="nil"/>
              <w:tr2bl w:val="nil"/>
            </w:tcBorders>
            <w:vAlign w:val="center"/>
          </w:tcPr>
          <w:p w14:paraId="06A7DBB7">
            <w:pPr>
              <w:jc w:val="center"/>
              <w:rPr>
                <w:rFonts w:ascii="宋体" w:hAnsi="宋体"/>
                <w:b/>
                <w:color w:val="auto"/>
                <w:szCs w:val="21"/>
                <w:highlight w:val="none"/>
              </w:rPr>
            </w:pPr>
            <w:r>
              <w:rPr>
                <w:rFonts w:hint="eastAsia" w:ascii="宋体" w:hAnsi="宋体"/>
                <w:b/>
                <w:color w:val="auto"/>
                <w:szCs w:val="21"/>
                <w:highlight w:val="none"/>
              </w:rPr>
              <w:t>电子文档</w:t>
            </w:r>
          </w:p>
        </w:tc>
        <w:tc>
          <w:tcPr>
            <w:tcW w:w="4924" w:type="dxa"/>
            <w:tcBorders>
              <w:tl2br w:val="nil"/>
              <w:tr2bl w:val="nil"/>
            </w:tcBorders>
            <w:vAlign w:val="center"/>
          </w:tcPr>
          <w:p w14:paraId="5BB3C91D">
            <w:pPr>
              <w:jc w:val="center"/>
              <w:rPr>
                <w:rFonts w:ascii="宋体" w:hAnsi="宋体"/>
                <w:b/>
                <w:color w:val="auto"/>
                <w:szCs w:val="21"/>
                <w:highlight w:val="none"/>
              </w:rPr>
            </w:pPr>
            <w:r>
              <w:rPr>
                <w:rFonts w:hint="eastAsia" w:ascii="宋体" w:hAnsi="宋体"/>
                <w:b/>
                <w:color w:val="auto"/>
                <w:szCs w:val="21"/>
                <w:highlight w:val="none"/>
              </w:rPr>
              <w:t>1</w:t>
            </w:r>
          </w:p>
        </w:tc>
      </w:tr>
      <w:tr w14:paraId="359D8FEB">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94" w:hRule="atLeast"/>
        </w:trPr>
        <w:tc>
          <w:tcPr>
            <w:tcW w:w="878" w:type="dxa"/>
            <w:vMerge w:val="continue"/>
            <w:tcBorders>
              <w:tl2br w:val="nil"/>
              <w:tr2bl w:val="nil"/>
            </w:tcBorders>
            <w:vAlign w:val="center"/>
          </w:tcPr>
          <w:p w14:paraId="354AF279">
            <w:pPr>
              <w:jc w:val="center"/>
              <w:rPr>
                <w:rFonts w:ascii="宋体" w:hAnsi="宋体"/>
                <w:color w:val="auto"/>
                <w:szCs w:val="21"/>
                <w:highlight w:val="none"/>
              </w:rPr>
            </w:pPr>
          </w:p>
        </w:tc>
        <w:tc>
          <w:tcPr>
            <w:tcW w:w="2608" w:type="dxa"/>
            <w:vMerge w:val="continue"/>
            <w:tcBorders>
              <w:tl2br w:val="nil"/>
              <w:tr2bl w:val="nil"/>
            </w:tcBorders>
            <w:vAlign w:val="center"/>
          </w:tcPr>
          <w:p w14:paraId="11B4043B">
            <w:pPr>
              <w:jc w:val="center"/>
              <w:rPr>
                <w:rFonts w:ascii="宋体" w:hAnsi="宋体"/>
                <w:b/>
                <w:color w:val="auto"/>
                <w:szCs w:val="21"/>
                <w:highlight w:val="none"/>
              </w:rPr>
            </w:pPr>
          </w:p>
        </w:tc>
        <w:tc>
          <w:tcPr>
            <w:tcW w:w="4924" w:type="dxa"/>
            <w:tcBorders>
              <w:tl2br w:val="nil"/>
              <w:tr2bl w:val="nil"/>
            </w:tcBorders>
            <w:vAlign w:val="center"/>
          </w:tcPr>
          <w:p w14:paraId="248D001B">
            <w:pPr>
              <w:jc w:val="center"/>
              <w:rPr>
                <w:rFonts w:ascii="宋体" w:hAnsi="宋体"/>
                <w:b/>
                <w:color w:val="auto"/>
                <w:szCs w:val="21"/>
                <w:highlight w:val="none"/>
              </w:rPr>
            </w:pPr>
            <w:r>
              <w:rPr>
                <w:rFonts w:hint="eastAsia" w:ascii="宋体" w:hAnsi="宋体" w:cs="Times New Roman"/>
                <w:b/>
                <w:color w:val="auto"/>
                <w:szCs w:val="21"/>
                <w:highlight w:val="none"/>
              </w:rPr>
              <w:t>U盘，须含盖章版PDF投标文件和WORD版投标文件各一版，文字采用WORD文档，计算表格采用 EXCEL文档。</w:t>
            </w:r>
          </w:p>
        </w:tc>
      </w:tr>
      <w:tr w14:paraId="1F747955">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857" w:hRule="atLeast"/>
        </w:trPr>
        <w:tc>
          <w:tcPr>
            <w:tcW w:w="8410" w:type="dxa"/>
            <w:gridSpan w:val="3"/>
            <w:tcBorders>
              <w:tl2br w:val="nil"/>
              <w:tr2bl w:val="nil"/>
            </w:tcBorders>
            <w:vAlign w:val="center"/>
          </w:tcPr>
          <w:p w14:paraId="1A637169">
            <w:pPr>
              <w:jc w:val="center"/>
              <w:rPr>
                <w:rFonts w:ascii="宋体" w:hAnsi="宋体"/>
                <w:b/>
                <w:color w:val="auto"/>
                <w:szCs w:val="21"/>
                <w:highlight w:val="none"/>
              </w:rPr>
            </w:pPr>
            <w:r>
              <w:rPr>
                <w:rFonts w:hint="eastAsia" w:ascii="宋体" w:hAnsi="宋体"/>
                <w:b/>
                <w:color w:val="auto"/>
                <w:szCs w:val="21"/>
                <w:highlight w:val="none"/>
              </w:rPr>
              <w:t>三、开标与评标</w:t>
            </w:r>
          </w:p>
        </w:tc>
      </w:tr>
      <w:tr w14:paraId="2285AB3A">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restart"/>
            <w:tcBorders>
              <w:tl2br w:val="nil"/>
              <w:tr2bl w:val="nil"/>
            </w:tcBorders>
            <w:vAlign w:val="center"/>
          </w:tcPr>
          <w:p w14:paraId="00C7D24F">
            <w:pPr>
              <w:jc w:val="center"/>
              <w:rPr>
                <w:rFonts w:hint="default" w:ascii="宋体" w:hAnsi="宋体" w:eastAsia="宋体"/>
                <w:color w:val="auto"/>
                <w:szCs w:val="21"/>
                <w:highlight w:val="none"/>
                <w:lang w:val="en-US" w:eastAsia="zh-CN"/>
              </w:rPr>
            </w:pPr>
            <w:r>
              <w:rPr>
                <w:rFonts w:hint="eastAsia" w:ascii="宋体" w:hAnsi="宋体"/>
                <w:color w:val="auto"/>
                <w:szCs w:val="21"/>
                <w:highlight w:val="none"/>
                <w:lang w:val="en-US" w:eastAsia="zh-CN"/>
              </w:rPr>
              <w:t>16</w:t>
            </w:r>
          </w:p>
        </w:tc>
        <w:tc>
          <w:tcPr>
            <w:tcW w:w="7532" w:type="dxa"/>
            <w:gridSpan w:val="2"/>
            <w:tcBorders>
              <w:tl2br w:val="nil"/>
              <w:tr2bl w:val="nil"/>
            </w:tcBorders>
            <w:vAlign w:val="center"/>
          </w:tcPr>
          <w:p w14:paraId="4550B54F">
            <w:pPr>
              <w:jc w:val="both"/>
              <w:rPr>
                <w:rFonts w:ascii="宋体" w:hAnsi="宋体"/>
                <w:color w:val="auto"/>
                <w:szCs w:val="21"/>
                <w:highlight w:val="none"/>
              </w:rPr>
            </w:pPr>
            <w:r>
              <w:rPr>
                <w:rFonts w:hint="eastAsia" w:ascii="宋体" w:hAnsi="宋体"/>
                <w:b/>
                <w:color w:val="auto"/>
                <w:szCs w:val="21"/>
                <w:highlight w:val="none"/>
              </w:rPr>
              <w:t>本项目评标方法</w:t>
            </w:r>
          </w:p>
        </w:tc>
      </w:tr>
      <w:tr w14:paraId="5EE09183">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878" w:type="dxa"/>
            <w:vMerge w:val="continue"/>
            <w:tcBorders>
              <w:tl2br w:val="nil"/>
              <w:tr2bl w:val="nil"/>
            </w:tcBorders>
            <w:vAlign w:val="center"/>
          </w:tcPr>
          <w:p w14:paraId="29739247">
            <w:pPr>
              <w:jc w:val="center"/>
              <w:rPr>
                <w:rFonts w:ascii="宋体" w:hAnsi="宋体"/>
                <w:color w:val="auto"/>
                <w:szCs w:val="21"/>
                <w:highlight w:val="none"/>
              </w:rPr>
            </w:pPr>
          </w:p>
        </w:tc>
        <w:tc>
          <w:tcPr>
            <w:tcW w:w="7532" w:type="dxa"/>
            <w:gridSpan w:val="2"/>
            <w:tcBorders>
              <w:tl2br w:val="nil"/>
              <w:tr2bl w:val="nil"/>
            </w:tcBorders>
            <w:vAlign w:val="center"/>
          </w:tcPr>
          <w:p w14:paraId="28A294A6">
            <w:pPr>
              <w:jc w:val="both"/>
              <w:rPr>
                <w:rFonts w:ascii="宋体" w:hAnsi="宋体"/>
                <w:b/>
                <w:color w:val="auto"/>
                <w:szCs w:val="21"/>
                <w:highlight w:val="none"/>
              </w:rPr>
            </w:pPr>
            <w:r>
              <w:rPr>
                <w:rFonts w:hint="eastAsia" w:ascii="宋体" w:hAnsi="宋体"/>
                <w:color w:val="auto"/>
                <w:szCs w:val="21"/>
                <w:highlight w:val="none"/>
              </w:rPr>
              <w:t>最低评标价法。</w:t>
            </w:r>
          </w:p>
        </w:tc>
      </w:tr>
      <w:tr w14:paraId="4C422522">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restart"/>
            <w:tcBorders>
              <w:tl2br w:val="nil"/>
              <w:tr2bl w:val="nil"/>
            </w:tcBorders>
            <w:vAlign w:val="center"/>
          </w:tcPr>
          <w:p w14:paraId="41812782">
            <w:pPr>
              <w:jc w:val="center"/>
              <w:rPr>
                <w:rFonts w:hint="default" w:ascii="宋体" w:hAnsi="宋体" w:eastAsia="宋体"/>
                <w:color w:val="auto"/>
                <w:szCs w:val="21"/>
                <w:highlight w:val="none"/>
                <w:lang w:val="en-US" w:eastAsia="zh-CN"/>
              </w:rPr>
            </w:pPr>
            <w:r>
              <w:rPr>
                <w:rFonts w:hint="eastAsia" w:ascii="宋体" w:hAnsi="宋体"/>
                <w:color w:val="auto"/>
                <w:szCs w:val="21"/>
                <w:highlight w:val="none"/>
                <w:lang w:val="en-US" w:eastAsia="zh-CN"/>
              </w:rPr>
              <w:t>17</w:t>
            </w:r>
          </w:p>
        </w:tc>
        <w:tc>
          <w:tcPr>
            <w:tcW w:w="7532" w:type="dxa"/>
            <w:gridSpan w:val="2"/>
            <w:tcBorders>
              <w:tl2br w:val="nil"/>
              <w:tr2bl w:val="nil"/>
            </w:tcBorders>
            <w:vAlign w:val="center"/>
          </w:tcPr>
          <w:p w14:paraId="78C87817">
            <w:pPr>
              <w:jc w:val="both"/>
              <w:rPr>
                <w:rFonts w:hint="eastAsia" w:ascii="宋体" w:hAnsi="宋体" w:eastAsia="宋体"/>
                <w:b/>
                <w:color w:val="auto"/>
                <w:szCs w:val="21"/>
                <w:highlight w:val="none"/>
                <w:lang w:eastAsia="zh-CN"/>
              </w:rPr>
            </w:pPr>
            <w:r>
              <w:rPr>
                <w:rFonts w:hint="eastAsia" w:ascii="宋体" w:hAnsi="宋体"/>
                <w:b/>
                <w:color w:val="auto"/>
                <w:szCs w:val="21"/>
                <w:highlight w:val="none"/>
              </w:rPr>
              <w:t>最低评标价法，是指投标文件满足采购文件全部实质性要求，且投标报价最低的投标人为</w:t>
            </w:r>
            <w:r>
              <w:rPr>
                <w:rFonts w:hint="eastAsia" w:ascii="宋体" w:hAnsi="宋体"/>
                <w:b/>
                <w:color w:val="auto"/>
                <w:szCs w:val="21"/>
                <w:highlight w:val="none"/>
                <w:lang w:eastAsia="zh-CN"/>
              </w:rPr>
              <w:t>成交候选人</w:t>
            </w:r>
            <w:r>
              <w:rPr>
                <w:rFonts w:hint="eastAsia" w:ascii="宋体" w:hAnsi="宋体"/>
                <w:b/>
                <w:color w:val="auto"/>
                <w:szCs w:val="21"/>
                <w:highlight w:val="none"/>
              </w:rPr>
              <w:t>的评标方法。本项目以投标暂定总价</w:t>
            </w:r>
            <w:r>
              <w:rPr>
                <w:rFonts w:hint="eastAsia" w:ascii="宋体" w:hAnsi="宋体"/>
                <w:b/>
                <w:color w:val="auto"/>
                <w:szCs w:val="21"/>
                <w:highlight w:val="none"/>
                <w:lang w:eastAsia="zh-CN"/>
              </w:rPr>
              <w:t>（</w:t>
            </w:r>
            <w:r>
              <w:rPr>
                <w:rFonts w:hint="eastAsia" w:ascii="宋体" w:hAnsi="宋体"/>
                <w:b/>
                <w:color w:val="auto"/>
                <w:szCs w:val="21"/>
                <w:highlight w:val="none"/>
                <w:lang w:val="en-US" w:eastAsia="zh-CN"/>
              </w:rPr>
              <w:t>含税价</w:t>
            </w:r>
            <w:r>
              <w:rPr>
                <w:rFonts w:hint="eastAsia" w:ascii="宋体" w:hAnsi="宋体"/>
                <w:b/>
                <w:color w:val="auto"/>
                <w:szCs w:val="21"/>
                <w:highlight w:val="none"/>
                <w:lang w:eastAsia="zh-CN"/>
              </w:rPr>
              <w:t>）</w:t>
            </w:r>
            <w:r>
              <w:rPr>
                <w:rFonts w:hint="eastAsia" w:ascii="宋体" w:hAnsi="宋体"/>
                <w:b/>
                <w:color w:val="auto"/>
                <w:szCs w:val="21"/>
                <w:highlight w:val="none"/>
              </w:rPr>
              <w:t>报价进行价格评审。</w:t>
            </w:r>
          </w:p>
        </w:tc>
      </w:tr>
      <w:tr w14:paraId="512CAF9B">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878" w:type="dxa"/>
            <w:vMerge w:val="continue"/>
            <w:tcBorders>
              <w:tl2br w:val="nil"/>
              <w:tr2bl w:val="nil"/>
            </w:tcBorders>
            <w:vAlign w:val="center"/>
          </w:tcPr>
          <w:p w14:paraId="5B850412">
            <w:pPr>
              <w:jc w:val="center"/>
              <w:rPr>
                <w:rFonts w:ascii="宋体" w:hAnsi="宋体"/>
                <w:color w:val="auto"/>
                <w:szCs w:val="21"/>
                <w:highlight w:val="none"/>
              </w:rPr>
            </w:pPr>
          </w:p>
        </w:tc>
        <w:tc>
          <w:tcPr>
            <w:tcW w:w="7532" w:type="dxa"/>
            <w:gridSpan w:val="2"/>
            <w:tcBorders>
              <w:tl2br w:val="nil"/>
              <w:tr2bl w:val="nil"/>
            </w:tcBorders>
            <w:vAlign w:val="center"/>
          </w:tcPr>
          <w:p w14:paraId="6D018F68">
            <w:pPr>
              <w:jc w:val="both"/>
              <w:rPr>
                <w:rFonts w:hint="eastAsia" w:ascii="宋体" w:hAnsi="宋体" w:eastAsia="宋体"/>
                <w:b/>
                <w:color w:val="auto"/>
                <w:szCs w:val="21"/>
                <w:highlight w:val="none"/>
                <w:lang w:eastAsia="zh-CN"/>
              </w:rPr>
            </w:pPr>
            <w:r>
              <w:rPr>
                <w:rFonts w:hint="eastAsia" w:ascii="宋体" w:hAnsi="宋体"/>
                <w:b w:val="0"/>
                <w:bCs w:val="0"/>
                <w:color w:val="auto"/>
                <w:szCs w:val="21"/>
                <w:highlight w:val="none"/>
                <w:lang w:val="en-US" w:eastAsia="zh-CN"/>
              </w:rPr>
              <w:t>/</w:t>
            </w:r>
          </w:p>
        </w:tc>
      </w:tr>
      <w:tr w14:paraId="1CF9B11A">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878" w:type="dxa"/>
            <w:vMerge w:val="restart"/>
            <w:tcBorders>
              <w:tl2br w:val="nil"/>
              <w:tr2bl w:val="nil"/>
            </w:tcBorders>
            <w:vAlign w:val="center"/>
          </w:tcPr>
          <w:p w14:paraId="30771DAE">
            <w:pPr>
              <w:jc w:val="center"/>
              <w:rPr>
                <w:rFonts w:hint="default" w:ascii="宋体" w:hAnsi="宋体" w:eastAsia="宋体"/>
                <w:color w:val="auto"/>
                <w:szCs w:val="21"/>
                <w:highlight w:val="none"/>
                <w:lang w:val="en-US" w:eastAsia="zh-CN"/>
              </w:rPr>
            </w:pPr>
            <w:r>
              <w:rPr>
                <w:rFonts w:hint="eastAsia" w:ascii="宋体" w:hAnsi="宋体"/>
                <w:color w:val="auto"/>
                <w:szCs w:val="21"/>
                <w:highlight w:val="none"/>
                <w:lang w:val="en-US" w:eastAsia="zh-CN"/>
              </w:rPr>
              <w:t>18</w:t>
            </w:r>
          </w:p>
        </w:tc>
        <w:tc>
          <w:tcPr>
            <w:tcW w:w="7532" w:type="dxa"/>
            <w:gridSpan w:val="2"/>
            <w:tcBorders>
              <w:tl2br w:val="nil"/>
              <w:tr2bl w:val="nil"/>
            </w:tcBorders>
            <w:vAlign w:val="center"/>
          </w:tcPr>
          <w:p w14:paraId="4554945D">
            <w:pPr>
              <w:jc w:val="both"/>
              <w:rPr>
                <w:rFonts w:ascii="宋体" w:hAnsi="宋体"/>
                <w:color w:val="auto"/>
                <w:szCs w:val="21"/>
                <w:highlight w:val="none"/>
              </w:rPr>
            </w:pPr>
            <w:r>
              <w:rPr>
                <w:rFonts w:hint="eastAsia" w:ascii="宋体" w:hAnsi="宋体"/>
                <w:b/>
                <w:color w:val="auto"/>
                <w:szCs w:val="21"/>
                <w:highlight w:val="none"/>
              </w:rPr>
              <w:t>评标委员会</w:t>
            </w:r>
          </w:p>
        </w:tc>
      </w:tr>
      <w:tr w14:paraId="71F573C7">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878" w:type="dxa"/>
            <w:vMerge w:val="continue"/>
            <w:tcBorders>
              <w:tl2br w:val="nil"/>
              <w:tr2bl w:val="nil"/>
            </w:tcBorders>
            <w:vAlign w:val="center"/>
          </w:tcPr>
          <w:p w14:paraId="70151ED9">
            <w:pPr>
              <w:jc w:val="center"/>
              <w:rPr>
                <w:rFonts w:ascii="宋体" w:hAnsi="宋体"/>
                <w:color w:val="auto"/>
                <w:szCs w:val="21"/>
                <w:highlight w:val="none"/>
              </w:rPr>
            </w:pPr>
          </w:p>
        </w:tc>
        <w:tc>
          <w:tcPr>
            <w:tcW w:w="7532" w:type="dxa"/>
            <w:gridSpan w:val="2"/>
            <w:tcBorders>
              <w:tl2br w:val="nil"/>
              <w:tr2bl w:val="nil"/>
            </w:tcBorders>
            <w:vAlign w:val="center"/>
          </w:tcPr>
          <w:p w14:paraId="7D8B2CA8">
            <w:pPr>
              <w:jc w:val="both"/>
              <w:rPr>
                <w:rFonts w:ascii="宋体" w:hAnsi="宋体"/>
                <w:color w:val="auto"/>
                <w:szCs w:val="21"/>
                <w:highlight w:val="none"/>
              </w:rPr>
            </w:pPr>
            <w:r>
              <w:rPr>
                <w:rFonts w:hint="eastAsia" w:ascii="宋体" w:hAnsi="宋体"/>
                <w:color w:val="auto"/>
                <w:szCs w:val="21"/>
                <w:highlight w:val="none"/>
              </w:rPr>
              <w:t>评标委员会成员共</w:t>
            </w:r>
            <w:r>
              <w:rPr>
                <w:rFonts w:hint="eastAsia" w:ascii="宋体" w:hAnsi="宋体"/>
                <w:color w:val="auto"/>
                <w:szCs w:val="21"/>
                <w:highlight w:val="none"/>
                <w:u w:val="single"/>
              </w:rPr>
              <w:t xml:space="preserve"> </w:t>
            </w:r>
            <w:r>
              <w:rPr>
                <w:rFonts w:hint="eastAsia" w:ascii="宋体" w:hAnsi="宋体"/>
                <w:color w:val="auto"/>
                <w:szCs w:val="21"/>
                <w:highlight w:val="none"/>
                <w:u w:val="single"/>
                <w:lang w:val="en-US" w:eastAsia="zh-CN"/>
              </w:rPr>
              <w:t>7</w:t>
            </w:r>
            <w:r>
              <w:rPr>
                <w:rFonts w:hint="eastAsia" w:ascii="宋体" w:hAnsi="宋体"/>
                <w:color w:val="auto"/>
                <w:szCs w:val="21"/>
                <w:highlight w:val="none"/>
              </w:rPr>
              <w:t>人：</w:t>
            </w:r>
            <w:r>
              <w:rPr>
                <w:rFonts w:hint="eastAsia" w:ascii="宋体" w:hAnsi="宋体"/>
                <w:color w:val="auto"/>
                <w:szCs w:val="21"/>
                <w:highlight w:val="none"/>
                <w:lang w:val="zh-CN"/>
              </w:rPr>
              <w:t>评标委员会由采购人</w:t>
            </w:r>
            <w:r>
              <w:rPr>
                <w:rFonts w:hint="eastAsia" w:ascii="宋体" w:hAnsi="宋体"/>
                <w:color w:val="auto"/>
                <w:szCs w:val="21"/>
                <w:highlight w:val="none"/>
              </w:rPr>
              <w:t>的</w:t>
            </w:r>
            <w:r>
              <w:rPr>
                <w:rFonts w:hint="eastAsia" w:ascii="宋体" w:hAnsi="宋体"/>
                <w:color w:val="auto"/>
                <w:szCs w:val="21"/>
                <w:highlight w:val="none"/>
                <w:lang w:val="zh-CN"/>
              </w:rPr>
              <w:t>代表和</w:t>
            </w:r>
            <w:r>
              <w:rPr>
                <w:rFonts w:hint="eastAsia" w:ascii="宋体" w:hAnsi="宋体"/>
                <w:color w:val="auto"/>
                <w:szCs w:val="21"/>
                <w:highlight w:val="none"/>
              </w:rPr>
              <w:t>有关方面的</w:t>
            </w:r>
            <w:r>
              <w:rPr>
                <w:rFonts w:hint="eastAsia" w:ascii="宋体" w:hAnsi="宋体"/>
                <w:color w:val="auto"/>
                <w:szCs w:val="21"/>
                <w:highlight w:val="none"/>
                <w:lang w:val="zh-CN"/>
              </w:rPr>
              <w:t>专家组成，</w:t>
            </w:r>
            <w:r>
              <w:rPr>
                <w:rFonts w:hint="eastAsia" w:ascii="宋体" w:hAnsi="宋体"/>
                <w:color w:val="auto"/>
                <w:szCs w:val="21"/>
                <w:highlight w:val="none"/>
              </w:rPr>
              <w:t>成员人数为</w:t>
            </w:r>
            <w:r>
              <w:rPr>
                <w:rFonts w:hint="eastAsia" w:ascii="宋体" w:hAnsi="宋体"/>
                <w:color w:val="auto"/>
                <w:szCs w:val="21"/>
                <w:highlight w:val="none"/>
                <w:lang w:val="en-US" w:eastAsia="zh-CN"/>
              </w:rPr>
              <w:t>七</w:t>
            </w:r>
            <w:r>
              <w:rPr>
                <w:rFonts w:hint="eastAsia" w:ascii="宋体" w:hAnsi="宋体"/>
                <w:color w:val="auto"/>
                <w:szCs w:val="21"/>
                <w:highlight w:val="none"/>
              </w:rPr>
              <w:t>人或</w:t>
            </w:r>
            <w:r>
              <w:rPr>
                <w:rFonts w:hint="eastAsia" w:ascii="宋体" w:hAnsi="宋体"/>
                <w:color w:val="auto"/>
                <w:szCs w:val="21"/>
                <w:highlight w:val="none"/>
                <w:lang w:val="en-US" w:eastAsia="zh-CN"/>
              </w:rPr>
              <w:t>七</w:t>
            </w:r>
            <w:r>
              <w:rPr>
                <w:rFonts w:hint="eastAsia" w:ascii="宋体" w:hAnsi="宋体"/>
                <w:color w:val="auto"/>
                <w:szCs w:val="21"/>
                <w:highlight w:val="none"/>
              </w:rPr>
              <w:t>人以上单数</w:t>
            </w:r>
            <w:r>
              <w:rPr>
                <w:rFonts w:hint="eastAsia" w:ascii="宋体" w:hAnsi="宋体"/>
                <w:color w:val="auto"/>
                <w:szCs w:val="21"/>
                <w:highlight w:val="none"/>
                <w:lang w:val="zh-CN"/>
              </w:rPr>
              <w:t>，其中专家不得少于成员总数的三分之二。</w:t>
            </w:r>
          </w:p>
        </w:tc>
      </w:tr>
      <w:tr w14:paraId="4F0D84D3">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cantSplit/>
          <w:trHeight w:val="748" w:hRule="atLeast"/>
        </w:trPr>
        <w:tc>
          <w:tcPr>
            <w:tcW w:w="8410" w:type="dxa"/>
            <w:gridSpan w:val="3"/>
            <w:tcBorders>
              <w:tl2br w:val="nil"/>
              <w:tr2bl w:val="nil"/>
            </w:tcBorders>
            <w:vAlign w:val="center"/>
          </w:tcPr>
          <w:p w14:paraId="6E9965E4">
            <w:pPr>
              <w:jc w:val="center"/>
              <w:rPr>
                <w:rFonts w:ascii="宋体" w:hAnsi="宋体"/>
                <w:b/>
                <w:color w:val="auto"/>
                <w:szCs w:val="21"/>
                <w:highlight w:val="none"/>
              </w:rPr>
            </w:pPr>
            <w:r>
              <w:rPr>
                <w:rFonts w:hint="eastAsia" w:ascii="宋体" w:hAnsi="宋体"/>
                <w:b/>
                <w:color w:val="auto"/>
                <w:szCs w:val="21"/>
                <w:highlight w:val="none"/>
              </w:rPr>
              <w:t>四、授予合同</w:t>
            </w:r>
          </w:p>
        </w:tc>
      </w:tr>
      <w:tr w14:paraId="40E3F285">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539" w:hRule="atLeast"/>
        </w:trPr>
        <w:tc>
          <w:tcPr>
            <w:tcW w:w="878" w:type="dxa"/>
            <w:vMerge w:val="restart"/>
            <w:tcBorders>
              <w:tl2br w:val="nil"/>
              <w:tr2bl w:val="nil"/>
            </w:tcBorders>
            <w:vAlign w:val="center"/>
          </w:tcPr>
          <w:p w14:paraId="5966CCD7">
            <w:pPr>
              <w:jc w:val="center"/>
              <w:rPr>
                <w:rFonts w:hint="default" w:ascii="宋体" w:hAnsi="宋体" w:eastAsia="宋体"/>
                <w:color w:val="auto"/>
                <w:szCs w:val="21"/>
                <w:highlight w:val="none"/>
                <w:lang w:val="en-US" w:eastAsia="zh-CN"/>
              </w:rPr>
            </w:pPr>
            <w:r>
              <w:rPr>
                <w:rFonts w:hint="eastAsia" w:ascii="宋体" w:hAnsi="宋体"/>
                <w:color w:val="auto"/>
                <w:szCs w:val="21"/>
                <w:highlight w:val="none"/>
                <w:lang w:val="en-US" w:eastAsia="zh-CN"/>
              </w:rPr>
              <w:t>19</w:t>
            </w:r>
          </w:p>
        </w:tc>
        <w:tc>
          <w:tcPr>
            <w:tcW w:w="7532" w:type="dxa"/>
            <w:gridSpan w:val="2"/>
            <w:tcBorders>
              <w:tl2br w:val="nil"/>
              <w:tr2bl w:val="nil"/>
            </w:tcBorders>
            <w:shd w:val="clear" w:color="auto" w:fill="auto"/>
            <w:vAlign w:val="center"/>
          </w:tcPr>
          <w:p w14:paraId="663A919D">
            <w:pPr>
              <w:jc w:val="both"/>
              <w:rPr>
                <w:rFonts w:ascii="宋体" w:hAnsi="宋体"/>
                <w:b/>
                <w:color w:val="auto"/>
                <w:szCs w:val="21"/>
                <w:highlight w:val="none"/>
              </w:rPr>
            </w:pPr>
            <w:r>
              <w:rPr>
                <w:rFonts w:hint="eastAsia" w:ascii="宋体" w:hAnsi="宋体"/>
                <w:b/>
                <w:color w:val="auto"/>
                <w:szCs w:val="21"/>
                <w:highlight w:val="none"/>
              </w:rPr>
              <w:t>履约担保</w:t>
            </w:r>
          </w:p>
        </w:tc>
      </w:tr>
      <w:tr w14:paraId="34A5066F">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540" w:hRule="atLeast"/>
        </w:trPr>
        <w:tc>
          <w:tcPr>
            <w:tcW w:w="878" w:type="dxa"/>
            <w:vMerge w:val="continue"/>
            <w:tcBorders>
              <w:tl2br w:val="nil"/>
              <w:tr2bl w:val="nil"/>
            </w:tcBorders>
            <w:vAlign w:val="center"/>
          </w:tcPr>
          <w:p w14:paraId="025DCBCC">
            <w:pPr>
              <w:jc w:val="center"/>
              <w:rPr>
                <w:rFonts w:ascii="宋体" w:hAnsi="宋体"/>
                <w:color w:val="auto"/>
                <w:szCs w:val="21"/>
                <w:highlight w:val="none"/>
              </w:rPr>
            </w:pPr>
          </w:p>
        </w:tc>
        <w:tc>
          <w:tcPr>
            <w:tcW w:w="7532" w:type="dxa"/>
            <w:gridSpan w:val="2"/>
            <w:tcBorders>
              <w:tl2br w:val="nil"/>
              <w:tr2bl w:val="nil"/>
            </w:tcBorders>
            <w:shd w:val="clear" w:color="auto" w:fill="auto"/>
            <w:vAlign w:val="center"/>
          </w:tcPr>
          <w:p w14:paraId="3D5D784D">
            <w:pPr>
              <w:jc w:val="both"/>
              <w:rPr>
                <w:rFonts w:hint="eastAsia" w:ascii="宋体" w:hAnsi="宋体"/>
                <w:color w:val="auto"/>
                <w:szCs w:val="21"/>
                <w:highlight w:val="none"/>
              </w:rPr>
            </w:pPr>
            <w:r>
              <w:rPr>
                <w:rFonts w:hint="eastAsia" w:ascii="宋体" w:hAnsi="宋体"/>
                <w:color w:val="auto"/>
                <w:szCs w:val="21"/>
                <w:highlight w:val="none"/>
              </w:rPr>
              <w:t>1.履约</w:t>
            </w:r>
            <w:r>
              <w:rPr>
                <w:rFonts w:hint="eastAsia" w:ascii="宋体" w:hAnsi="宋体"/>
                <w:color w:val="auto"/>
                <w:szCs w:val="21"/>
                <w:highlight w:val="none"/>
                <w:lang w:val="en-US" w:eastAsia="zh-CN"/>
              </w:rPr>
              <w:t>保证金</w:t>
            </w:r>
            <w:r>
              <w:rPr>
                <w:rFonts w:hint="eastAsia" w:ascii="宋体" w:hAnsi="宋体"/>
                <w:color w:val="auto"/>
                <w:szCs w:val="21"/>
                <w:highlight w:val="none"/>
              </w:rPr>
              <w:t>额</w:t>
            </w:r>
            <w:r>
              <w:rPr>
                <w:rFonts w:hint="eastAsia" w:ascii="宋体" w:hAnsi="宋体"/>
                <w:color w:val="auto"/>
                <w:szCs w:val="21"/>
                <w:highlight w:val="none"/>
                <w:lang w:val="en-US" w:eastAsia="zh-CN"/>
              </w:rPr>
              <w:t>如下</w:t>
            </w:r>
            <w:r>
              <w:rPr>
                <w:rFonts w:hint="eastAsia" w:ascii="宋体" w:hAnsi="宋体"/>
                <w:color w:val="auto"/>
                <w:szCs w:val="21"/>
                <w:highlight w:val="none"/>
              </w:rPr>
              <w:t>：</w:t>
            </w:r>
          </w:p>
          <w:p w14:paraId="350C4756">
            <w:pPr>
              <w:jc w:val="both"/>
              <w:rPr>
                <w:rFonts w:hint="eastAsia" w:ascii="宋体" w:hAnsi="宋体"/>
                <w:color w:val="auto"/>
                <w:szCs w:val="21"/>
                <w:highlight w:val="none"/>
                <w:u w:val="single"/>
              </w:rPr>
            </w:pPr>
            <w:r>
              <w:rPr>
                <w:rFonts w:hint="eastAsia" w:ascii="宋体" w:hAnsi="宋体"/>
                <w:color w:val="auto"/>
                <w:szCs w:val="21"/>
                <w:highlight w:val="none"/>
                <w:u w:val="single"/>
              </w:rPr>
              <w:t>A包广州区域：</w:t>
            </w:r>
            <w:r>
              <w:rPr>
                <w:rFonts w:hint="eastAsia" w:ascii="宋体" w:hAnsi="宋体"/>
                <w:color w:val="auto"/>
                <w:szCs w:val="21"/>
                <w:highlight w:val="none"/>
                <w:u w:val="single"/>
                <w:lang w:val="en-US" w:eastAsia="zh-CN"/>
              </w:rPr>
              <w:t>11.25</w:t>
            </w:r>
            <w:r>
              <w:rPr>
                <w:rFonts w:hint="eastAsia" w:ascii="宋体" w:hAnsi="宋体"/>
                <w:color w:val="auto"/>
                <w:szCs w:val="21"/>
                <w:highlight w:val="none"/>
                <w:u w:val="single"/>
              </w:rPr>
              <w:t>万元整</w:t>
            </w:r>
          </w:p>
          <w:p w14:paraId="6F0B9AB5">
            <w:pPr>
              <w:jc w:val="both"/>
              <w:rPr>
                <w:rFonts w:hint="eastAsia" w:ascii="宋体" w:hAnsi="宋体"/>
                <w:color w:val="auto"/>
                <w:szCs w:val="21"/>
                <w:highlight w:val="none"/>
                <w:u w:val="single"/>
              </w:rPr>
            </w:pPr>
            <w:r>
              <w:rPr>
                <w:rFonts w:hint="eastAsia" w:ascii="宋体" w:hAnsi="宋体"/>
                <w:color w:val="auto"/>
                <w:szCs w:val="21"/>
                <w:highlight w:val="none"/>
                <w:u w:val="single"/>
              </w:rPr>
              <w:t>B包深圳区域：</w:t>
            </w:r>
            <w:r>
              <w:rPr>
                <w:rFonts w:hint="eastAsia" w:ascii="宋体" w:hAnsi="宋体"/>
                <w:color w:val="auto"/>
                <w:szCs w:val="21"/>
                <w:highlight w:val="none"/>
                <w:u w:val="single"/>
                <w:lang w:val="en-US" w:eastAsia="zh-CN"/>
              </w:rPr>
              <w:t>6</w:t>
            </w:r>
            <w:r>
              <w:rPr>
                <w:rFonts w:hint="eastAsia" w:ascii="宋体" w:hAnsi="宋体"/>
                <w:color w:val="auto"/>
                <w:szCs w:val="21"/>
                <w:highlight w:val="none"/>
                <w:u w:val="single"/>
              </w:rPr>
              <w:t>万元整</w:t>
            </w:r>
          </w:p>
          <w:p w14:paraId="1A3EFD32">
            <w:pPr>
              <w:jc w:val="both"/>
              <w:rPr>
                <w:rFonts w:hint="eastAsia" w:ascii="宋体" w:hAnsi="宋体"/>
                <w:color w:val="auto"/>
                <w:szCs w:val="21"/>
                <w:highlight w:val="none"/>
                <w:u w:val="single"/>
              </w:rPr>
            </w:pPr>
            <w:r>
              <w:rPr>
                <w:rFonts w:hint="eastAsia" w:ascii="宋体" w:hAnsi="宋体"/>
                <w:color w:val="auto"/>
                <w:szCs w:val="21"/>
                <w:highlight w:val="none"/>
                <w:u w:val="single"/>
              </w:rPr>
              <w:t>C包莞惠区域：</w:t>
            </w:r>
            <w:r>
              <w:rPr>
                <w:rFonts w:hint="eastAsia" w:ascii="宋体" w:hAnsi="宋体"/>
                <w:color w:val="auto"/>
                <w:szCs w:val="21"/>
                <w:highlight w:val="none"/>
                <w:u w:val="single"/>
                <w:lang w:val="en-US" w:eastAsia="zh-CN"/>
              </w:rPr>
              <w:t>22.5</w:t>
            </w:r>
            <w:r>
              <w:rPr>
                <w:rFonts w:hint="eastAsia" w:ascii="宋体" w:hAnsi="宋体"/>
                <w:color w:val="auto"/>
                <w:szCs w:val="21"/>
                <w:highlight w:val="none"/>
                <w:u w:val="single"/>
              </w:rPr>
              <w:t>万元整</w:t>
            </w:r>
          </w:p>
          <w:p w14:paraId="26F2CFA7">
            <w:pPr>
              <w:jc w:val="both"/>
              <w:rPr>
                <w:rFonts w:hint="eastAsia" w:ascii="宋体" w:hAnsi="宋体"/>
                <w:color w:val="auto"/>
                <w:szCs w:val="21"/>
                <w:highlight w:val="none"/>
                <w:u w:val="single"/>
              </w:rPr>
            </w:pPr>
            <w:r>
              <w:rPr>
                <w:rFonts w:hint="eastAsia" w:ascii="宋体" w:hAnsi="宋体"/>
                <w:color w:val="auto"/>
                <w:szCs w:val="21"/>
                <w:highlight w:val="none"/>
                <w:u w:val="single"/>
              </w:rPr>
              <w:t>D包其他区域：</w:t>
            </w:r>
            <w:r>
              <w:rPr>
                <w:rFonts w:hint="eastAsia" w:ascii="宋体" w:hAnsi="宋体"/>
                <w:color w:val="auto"/>
                <w:szCs w:val="21"/>
                <w:highlight w:val="none"/>
                <w:u w:val="single"/>
                <w:lang w:val="en-US" w:eastAsia="zh-CN"/>
              </w:rPr>
              <w:t>10</w:t>
            </w:r>
            <w:r>
              <w:rPr>
                <w:rFonts w:hint="eastAsia" w:ascii="宋体" w:hAnsi="宋体"/>
                <w:color w:val="auto"/>
                <w:szCs w:val="21"/>
                <w:highlight w:val="none"/>
                <w:u w:val="single"/>
              </w:rPr>
              <w:t>万元整</w:t>
            </w:r>
          </w:p>
          <w:p w14:paraId="102BE616">
            <w:pPr>
              <w:jc w:val="both"/>
              <w:rPr>
                <w:rFonts w:ascii="宋体" w:hAnsi="宋体"/>
                <w:color w:val="auto"/>
                <w:szCs w:val="21"/>
                <w:highlight w:val="none"/>
              </w:rPr>
            </w:pPr>
            <w:r>
              <w:rPr>
                <w:rFonts w:hint="eastAsia" w:ascii="宋体" w:hAnsi="宋体"/>
                <w:color w:val="auto"/>
                <w:szCs w:val="21"/>
                <w:highlight w:val="none"/>
                <w:u w:val="single"/>
              </w:rPr>
              <w:t>E包广东省全域：</w:t>
            </w:r>
            <w:r>
              <w:rPr>
                <w:rFonts w:hint="eastAsia" w:ascii="宋体" w:hAnsi="宋体"/>
                <w:color w:val="auto"/>
                <w:szCs w:val="21"/>
                <w:highlight w:val="none"/>
                <w:u w:val="single"/>
                <w:lang w:val="en-US" w:eastAsia="zh-CN"/>
              </w:rPr>
              <w:t>14</w:t>
            </w:r>
            <w:r>
              <w:rPr>
                <w:rFonts w:hint="eastAsia" w:ascii="宋体" w:hAnsi="宋体"/>
                <w:color w:val="auto"/>
                <w:szCs w:val="21"/>
                <w:highlight w:val="none"/>
                <w:u w:val="single"/>
              </w:rPr>
              <w:t>万元整</w:t>
            </w:r>
          </w:p>
          <w:p w14:paraId="2F950147">
            <w:pPr>
              <w:jc w:val="both"/>
              <w:rPr>
                <w:rFonts w:ascii="宋体" w:hAnsi="宋体"/>
                <w:color w:val="auto"/>
                <w:szCs w:val="21"/>
                <w:highlight w:val="none"/>
              </w:rPr>
            </w:pPr>
            <w:r>
              <w:rPr>
                <w:rFonts w:hint="eastAsia" w:ascii="宋体" w:hAnsi="宋体"/>
                <w:color w:val="auto"/>
                <w:szCs w:val="21"/>
                <w:highlight w:val="none"/>
              </w:rPr>
              <w:t>2</w:t>
            </w:r>
            <w:r>
              <w:rPr>
                <w:rFonts w:ascii="宋体" w:hAnsi="宋体"/>
                <w:color w:val="auto"/>
                <w:szCs w:val="21"/>
                <w:highlight w:val="none"/>
              </w:rPr>
              <w:t>.</w:t>
            </w:r>
            <w:r>
              <w:rPr>
                <w:rFonts w:hint="eastAsia" w:ascii="宋体" w:hAnsi="宋体"/>
                <w:color w:val="auto"/>
                <w:szCs w:val="21"/>
                <w:highlight w:val="none"/>
              </w:rPr>
              <w:t>履约保证金账户信息：</w:t>
            </w:r>
          </w:p>
          <w:p w14:paraId="582EAF3E">
            <w:pPr>
              <w:ind w:firstLine="0" w:firstLineChars="0"/>
              <w:jc w:val="both"/>
              <w:rPr>
                <w:rFonts w:hint="eastAsia" w:ascii="宋体" w:hAnsi="宋体"/>
                <w:color w:val="auto"/>
                <w:szCs w:val="21"/>
                <w:highlight w:val="none"/>
              </w:rPr>
            </w:pPr>
            <w:r>
              <w:rPr>
                <w:rFonts w:hint="eastAsia" w:ascii="宋体" w:hAnsi="宋体"/>
                <w:color w:val="auto"/>
                <w:szCs w:val="21"/>
                <w:highlight w:val="none"/>
              </w:rPr>
              <w:t>账户名称：</w:t>
            </w:r>
            <w:r>
              <w:rPr>
                <w:rFonts w:hint="eastAsia" w:ascii="宋体" w:hAnsi="宋体" w:cstheme="minorBidi"/>
                <w:color w:val="auto"/>
                <w:kern w:val="0"/>
                <w:szCs w:val="21"/>
                <w:highlight w:val="none"/>
                <w:u w:val="single"/>
              </w:rPr>
              <w:t>东莞市新东欣环保投资有限公司</w:t>
            </w:r>
            <w:r>
              <w:rPr>
                <w:rFonts w:hint="eastAsia" w:ascii="宋体" w:hAnsi="宋体" w:cstheme="minorBidi"/>
                <w:color w:val="auto"/>
                <w:kern w:val="0"/>
                <w:szCs w:val="21"/>
                <w:highlight w:val="none"/>
                <w:lang w:val="zh-CN"/>
              </w:rPr>
              <w:t>；</w:t>
            </w:r>
          </w:p>
          <w:p w14:paraId="0B388C27">
            <w:pPr>
              <w:ind w:firstLine="0" w:firstLineChars="0"/>
              <w:jc w:val="both"/>
              <w:rPr>
                <w:rFonts w:ascii="宋体" w:hAnsi="宋体"/>
                <w:color w:val="auto"/>
                <w:szCs w:val="21"/>
                <w:highlight w:val="none"/>
              </w:rPr>
            </w:pPr>
            <w:r>
              <w:rPr>
                <w:rFonts w:hint="eastAsia" w:ascii="宋体" w:hAnsi="宋体"/>
                <w:color w:val="auto"/>
                <w:szCs w:val="21"/>
                <w:highlight w:val="none"/>
              </w:rPr>
              <w:t>开户银行：</w:t>
            </w:r>
            <w:r>
              <w:rPr>
                <w:rFonts w:hint="eastAsia" w:ascii="宋体" w:hAnsi="宋体" w:cstheme="minorBidi"/>
                <w:color w:val="auto"/>
                <w:kern w:val="0"/>
                <w:szCs w:val="21"/>
                <w:highlight w:val="none"/>
                <w:u w:val="single"/>
              </w:rPr>
              <w:t>中信银行东莞麻涌支行</w:t>
            </w:r>
            <w:r>
              <w:rPr>
                <w:rFonts w:hint="eastAsia" w:ascii="宋体" w:hAnsi="宋体" w:cstheme="minorBidi"/>
                <w:color w:val="auto"/>
                <w:kern w:val="0"/>
                <w:szCs w:val="21"/>
                <w:highlight w:val="none"/>
                <w:lang w:val="zh-CN"/>
              </w:rPr>
              <w:t>；</w:t>
            </w:r>
          </w:p>
          <w:p w14:paraId="46FA73B4">
            <w:pPr>
              <w:ind w:firstLine="0" w:firstLineChars="0"/>
              <w:jc w:val="both"/>
              <w:rPr>
                <w:rFonts w:ascii="宋体" w:hAnsi="宋体"/>
                <w:color w:val="auto"/>
                <w:szCs w:val="21"/>
                <w:highlight w:val="none"/>
              </w:rPr>
            </w:pPr>
            <w:r>
              <w:rPr>
                <w:rFonts w:hint="eastAsia" w:ascii="宋体" w:hAnsi="宋体"/>
                <w:color w:val="auto"/>
                <w:szCs w:val="21"/>
                <w:highlight w:val="none"/>
              </w:rPr>
              <w:t>银行账号：</w:t>
            </w:r>
            <w:r>
              <w:rPr>
                <w:rFonts w:hint="eastAsia" w:ascii="宋体" w:hAnsi="宋体" w:cstheme="minorBidi"/>
                <w:color w:val="auto"/>
                <w:kern w:val="0"/>
                <w:szCs w:val="21"/>
                <w:highlight w:val="none"/>
                <w:u w:val="single"/>
              </w:rPr>
              <w:t>8114 8010 1420 0219 007</w:t>
            </w:r>
            <w:r>
              <w:rPr>
                <w:rFonts w:hint="eastAsia" w:ascii="宋体" w:hAnsi="宋体" w:cstheme="minorBidi"/>
                <w:color w:val="auto"/>
                <w:kern w:val="0"/>
                <w:szCs w:val="21"/>
                <w:highlight w:val="none"/>
                <w:lang w:val="zh-CN"/>
              </w:rPr>
              <w:t>；</w:t>
            </w:r>
          </w:p>
          <w:p w14:paraId="0B68C39D">
            <w:pPr>
              <w:jc w:val="both"/>
              <w:rPr>
                <w:rFonts w:hint="eastAsia" w:ascii="宋体" w:hAnsi="宋体"/>
                <w:color w:val="auto"/>
                <w:szCs w:val="21"/>
                <w:highlight w:val="none"/>
              </w:rPr>
            </w:pPr>
            <w:r>
              <w:rPr>
                <w:rFonts w:hint="eastAsia" w:ascii="宋体" w:hAnsi="宋体"/>
                <w:color w:val="auto"/>
                <w:szCs w:val="21"/>
                <w:highlight w:val="none"/>
              </w:rPr>
              <w:t>3.</w:t>
            </w:r>
            <w:r>
              <w:rPr>
                <w:rFonts w:hint="eastAsia" w:ascii="宋体" w:hAnsi="宋体"/>
                <w:color w:val="auto"/>
                <w:szCs w:val="21"/>
                <w:highlight w:val="none"/>
                <w:lang w:eastAsia="zh-CN"/>
              </w:rPr>
              <w:t>成交人</w:t>
            </w:r>
            <w:r>
              <w:rPr>
                <w:rFonts w:hint="eastAsia" w:ascii="宋体" w:hAnsi="宋体"/>
                <w:color w:val="auto"/>
                <w:szCs w:val="21"/>
                <w:highlight w:val="none"/>
              </w:rPr>
              <w:t>在合同签订之日起</w:t>
            </w:r>
            <w:r>
              <w:rPr>
                <w:rFonts w:hint="eastAsia" w:ascii="宋体" w:hAnsi="宋体"/>
                <w:color w:val="auto"/>
                <w:szCs w:val="21"/>
                <w:highlight w:val="none"/>
                <w:lang w:eastAsia="zh-CN"/>
              </w:rPr>
              <w:t>1</w:t>
            </w:r>
            <w:r>
              <w:rPr>
                <w:rFonts w:hint="eastAsia" w:ascii="宋体" w:hAnsi="宋体"/>
                <w:color w:val="auto"/>
                <w:szCs w:val="21"/>
                <w:highlight w:val="none"/>
                <w:lang w:val="en-US" w:eastAsia="zh-CN"/>
              </w:rPr>
              <w:t>0</w:t>
            </w:r>
            <w:r>
              <w:rPr>
                <w:rFonts w:hint="eastAsia" w:ascii="宋体" w:hAnsi="宋体"/>
                <w:color w:val="auto"/>
                <w:szCs w:val="21"/>
                <w:highlight w:val="none"/>
              </w:rPr>
              <w:t>个工作日内，按照成交标段向采购人提交对应标段金额的履约保证金作为履行合同的担保。</w:t>
            </w:r>
          </w:p>
          <w:p w14:paraId="309C6A64">
            <w:pPr>
              <w:jc w:val="both"/>
              <w:rPr>
                <w:rFonts w:hint="default" w:ascii="宋体" w:hAnsi="宋体"/>
                <w:color w:val="auto"/>
                <w:szCs w:val="21"/>
                <w:highlight w:val="none"/>
                <w:lang w:val="en-US"/>
              </w:rPr>
            </w:pPr>
            <w:r>
              <w:rPr>
                <w:rFonts w:hint="eastAsia" w:ascii="宋体" w:hAnsi="宋体"/>
                <w:color w:val="auto"/>
                <w:szCs w:val="21"/>
                <w:highlight w:val="none"/>
              </w:rPr>
              <w:t>4.履约担保期限从合同签订之日起至</w:t>
            </w:r>
            <w:r>
              <w:rPr>
                <w:rFonts w:hint="eastAsia" w:ascii="宋体" w:hAnsi="宋体"/>
                <w:color w:val="auto"/>
                <w:szCs w:val="21"/>
                <w:highlight w:val="none"/>
                <w:lang w:val="en-US" w:eastAsia="zh-CN"/>
              </w:rPr>
              <w:t>合同期满止，合同期满且成交人无违约行为的，成交人提交退款申请，采购人收到申请后30个日历日内无息退回。</w:t>
            </w:r>
          </w:p>
          <w:p w14:paraId="70D2ACC1">
            <w:pPr>
              <w:jc w:val="both"/>
              <w:rPr>
                <w:rFonts w:ascii="宋体" w:hAnsi="宋体"/>
                <w:color w:val="auto"/>
                <w:szCs w:val="21"/>
                <w:highlight w:val="none"/>
              </w:rPr>
            </w:pPr>
            <w:r>
              <w:rPr>
                <w:rFonts w:hint="eastAsia" w:ascii="宋体" w:hAnsi="宋体"/>
                <w:color w:val="auto"/>
                <w:szCs w:val="21"/>
                <w:highlight w:val="none"/>
              </w:rPr>
              <w:t>5、履约担保要求：</w:t>
            </w:r>
          </w:p>
          <w:p w14:paraId="46BB6700">
            <w:pPr>
              <w:jc w:val="both"/>
              <w:rPr>
                <w:rFonts w:ascii="宋体" w:hAnsi="宋体"/>
                <w:color w:val="auto"/>
                <w:szCs w:val="21"/>
                <w:highlight w:val="none"/>
              </w:rPr>
            </w:pPr>
            <w:r>
              <w:rPr>
                <w:rFonts w:hint="eastAsia" w:ascii="宋体" w:hAnsi="宋体"/>
                <w:color w:val="auto"/>
                <w:szCs w:val="21"/>
                <w:highlight w:val="none"/>
              </w:rPr>
              <w:t>（</w:t>
            </w:r>
            <w:r>
              <w:rPr>
                <w:rFonts w:hint="eastAsia" w:ascii="宋体" w:hAnsi="宋体"/>
                <w:color w:val="auto"/>
                <w:szCs w:val="21"/>
                <w:highlight w:val="none"/>
                <w:lang w:val="en-US" w:eastAsia="zh-CN"/>
              </w:rPr>
              <w:t>1</w:t>
            </w:r>
            <w:r>
              <w:rPr>
                <w:rFonts w:hint="eastAsia" w:ascii="宋体" w:hAnsi="宋体"/>
                <w:color w:val="auto"/>
                <w:szCs w:val="21"/>
                <w:highlight w:val="none"/>
              </w:rPr>
              <w:t>）</w:t>
            </w:r>
            <w:r>
              <w:rPr>
                <w:rFonts w:hint="eastAsia" w:ascii="宋体" w:hAnsi="宋体"/>
                <w:color w:val="auto"/>
                <w:szCs w:val="21"/>
                <w:highlight w:val="none"/>
                <w:lang w:val="en-US" w:eastAsia="zh-CN"/>
              </w:rPr>
              <w:t>成交人须缴纳</w:t>
            </w:r>
            <w:r>
              <w:rPr>
                <w:rFonts w:hint="eastAsia" w:ascii="宋体" w:hAnsi="宋体"/>
                <w:color w:val="auto"/>
                <w:szCs w:val="21"/>
                <w:highlight w:val="none"/>
              </w:rPr>
              <w:t>履约保证金</w:t>
            </w:r>
            <w:r>
              <w:rPr>
                <w:rFonts w:hint="eastAsia" w:ascii="宋体" w:hAnsi="宋体"/>
                <w:color w:val="auto"/>
                <w:szCs w:val="21"/>
                <w:highlight w:val="none"/>
                <w:lang w:val="en-US" w:eastAsia="zh-CN"/>
              </w:rPr>
              <w:t>作为合同履约担保</w:t>
            </w:r>
            <w:r>
              <w:rPr>
                <w:rFonts w:hint="eastAsia" w:ascii="宋体" w:hAnsi="宋体"/>
                <w:color w:val="auto"/>
                <w:szCs w:val="21"/>
                <w:highlight w:val="none"/>
              </w:rPr>
              <w:t>。可采用银行转账、电汇方式等银行转</w:t>
            </w:r>
            <w:r>
              <w:rPr>
                <w:rFonts w:hint="eastAsia" w:ascii="宋体" w:hAnsi="宋体"/>
                <w:color w:val="auto"/>
                <w:szCs w:val="21"/>
                <w:highlight w:val="none"/>
                <w:lang w:eastAsia="zh-CN"/>
              </w:rPr>
              <w:t>账</w:t>
            </w:r>
            <w:r>
              <w:rPr>
                <w:rFonts w:hint="eastAsia" w:ascii="宋体" w:hAnsi="宋体"/>
                <w:color w:val="auto"/>
                <w:szCs w:val="21"/>
                <w:highlight w:val="none"/>
              </w:rPr>
              <w:t>方式提交，但不可以采用现金方式提交。</w:t>
            </w:r>
            <w:r>
              <w:rPr>
                <w:rFonts w:hint="eastAsia" w:ascii="宋体" w:hAnsi="宋体"/>
                <w:color w:val="auto"/>
                <w:szCs w:val="21"/>
                <w:highlight w:val="none"/>
                <w:lang w:eastAsia="zh-CN"/>
              </w:rPr>
              <w:t>成交人</w:t>
            </w:r>
            <w:r>
              <w:rPr>
                <w:rFonts w:hint="eastAsia" w:ascii="宋体" w:hAnsi="宋体"/>
                <w:color w:val="auto"/>
                <w:szCs w:val="21"/>
                <w:highlight w:val="none"/>
              </w:rPr>
              <w:t>必须保证履约保证金以</w:t>
            </w:r>
            <w:r>
              <w:rPr>
                <w:rFonts w:hint="eastAsia" w:ascii="宋体" w:hAnsi="宋体"/>
                <w:color w:val="auto"/>
                <w:szCs w:val="21"/>
                <w:highlight w:val="none"/>
                <w:lang w:eastAsia="zh-CN"/>
              </w:rPr>
              <w:t>成交人</w:t>
            </w:r>
            <w:r>
              <w:rPr>
                <w:rFonts w:hint="eastAsia" w:ascii="宋体" w:hAnsi="宋体"/>
                <w:color w:val="auto"/>
                <w:szCs w:val="21"/>
                <w:highlight w:val="none"/>
              </w:rPr>
              <w:t>名称在(合同约定的日期)前提交至采购人指定账户。</w:t>
            </w:r>
          </w:p>
          <w:p w14:paraId="4164BCB9">
            <w:pPr>
              <w:jc w:val="both"/>
              <w:rPr>
                <w:rFonts w:ascii="宋体" w:hAnsi="宋体"/>
                <w:color w:val="auto"/>
                <w:szCs w:val="21"/>
                <w:highlight w:val="none"/>
              </w:rPr>
            </w:pPr>
            <w:r>
              <w:rPr>
                <w:rFonts w:hint="eastAsia" w:ascii="宋体" w:hAnsi="宋体"/>
                <w:color w:val="auto"/>
                <w:szCs w:val="21"/>
                <w:highlight w:val="none"/>
              </w:rPr>
              <w:t>（</w:t>
            </w:r>
            <w:r>
              <w:rPr>
                <w:rFonts w:hint="eastAsia" w:ascii="宋体" w:hAnsi="宋体"/>
                <w:color w:val="auto"/>
                <w:szCs w:val="21"/>
                <w:highlight w:val="none"/>
                <w:lang w:val="en-US" w:eastAsia="zh-CN"/>
              </w:rPr>
              <w:t>2</w:t>
            </w:r>
            <w:r>
              <w:rPr>
                <w:rFonts w:hint="eastAsia" w:ascii="宋体" w:hAnsi="宋体"/>
                <w:color w:val="auto"/>
                <w:szCs w:val="21"/>
                <w:highlight w:val="none"/>
              </w:rPr>
              <w:t>）若</w:t>
            </w:r>
            <w:r>
              <w:rPr>
                <w:rFonts w:hint="eastAsia" w:ascii="宋体" w:hAnsi="宋体"/>
                <w:color w:val="auto"/>
                <w:szCs w:val="21"/>
                <w:highlight w:val="none"/>
                <w:lang w:eastAsia="zh-CN"/>
              </w:rPr>
              <w:t>成交人</w:t>
            </w:r>
            <w:r>
              <w:rPr>
                <w:rFonts w:hint="eastAsia" w:ascii="宋体" w:hAnsi="宋体"/>
                <w:color w:val="auto"/>
                <w:szCs w:val="21"/>
                <w:highlight w:val="none"/>
              </w:rPr>
              <w:t>不能按本采购文件的规定提交履约保证金的，采购人将有权取消</w:t>
            </w:r>
            <w:r>
              <w:rPr>
                <w:rFonts w:hint="eastAsia" w:ascii="宋体" w:hAnsi="宋体"/>
                <w:color w:val="auto"/>
                <w:szCs w:val="21"/>
                <w:highlight w:val="none"/>
                <w:lang w:eastAsia="zh-CN"/>
              </w:rPr>
              <w:t>成交人</w:t>
            </w:r>
            <w:r>
              <w:rPr>
                <w:rFonts w:hint="eastAsia" w:ascii="宋体" w:hAnsi="宋体"/>
                <w:color w:val="auto"/>
                <w:szCs w:val="21"/>
                <w:highlight w:val="none"/>
              </w:rPr>
              <w:t>的中标资格（采购人可以按照评标委员会提出的</w:t>
            </w:r>
            <w:r>
              <w:rPr>
                <w:rFonts w:hint="eastAsia" w:ascii="宋体" w:hAnsi="宋体"/>
                <w:color w:val="auto"/>
                <w:szCs w:val="21"/>
                <w:highlight w:val="none"/>
                <w:lang w:eastAsia="zh-CN"/>
              </w:rPr>
              <w:t>成交候选人</w:t>
            </w:r>
            <w:r>
              <w:rPr>
                <w:rFonts w:hint="eastAsia" w:ascii="宋体" w:hAnsi="宋体"/>
                <w:color w:val="auto"/>
                <w:szCs w:val="21"/>
                <w:highlight w:val="none"/>
              </w:rPr>
              <w:t>名单排序依次确定其他</w:t>
            </w:r>
            <w:r>
              <w:rPr>
                <w:rFonts w:hint="eastAsia" w:ascii="宋体" w:hAnsi="宋体"/>
                <w:color w:val="auto"/>
                <w:szCs w:val="21"/>
                <w:highlight w:val="none"/>
                <w:lang w:eastAsia="zh-CN"/>
              </w:rPr>
              <w:t>成交候选人</w:t>
            </w:r>
            <w:r>
              <w:rPr>
                <w:rFonts w:hint="eastAsia" w:ascii="宋体" w:hAnsi="宋体"/>
                <w:color w:val="auto"/>
                <w:szCs w:val="21"/>
                <w:highlight w:val="none"/>
              </w:rPr>
              <w:t>为</w:t>
            </w:r>
            <w:r>
              <w:rPr>
                <w:rFonts w:hint="eastAsia" w:ascii="宋体" w:hAnsi="宋体"/>
                <w:color w:val="auto"/>
                <w:szCs w:val="21"/>
                <w:highlight w:val="none"/>
                <w:lang w:eastAsia="zh-CN"/>
              </w:rPr>
              <w:t>成交人</w:t>
            </w:r>
            <w:r>
              <w:rPr>
                <w:rFonts w:hint="eastAsia" w:ascii="宋体" w:hAnsi="宋体"/>
                <w:color w:val="auto"/>
                <w:szCs w:val="21"/>
                <w:highlight w:val="none"/>
              </w:rPr>
              <w:t>，也可以重新采购），投标保证金不予退还，给采购人造成的损失如果超过投标保证金数额的，还应当对超过部分予以赔偿；如已签订合同的，采购人有权没收投标保证金并单方面无责解除合同，如造成采购人损失，采购人有权追责。</w:t>
            </w:r>
          </w:p>
          <w:p w14:paraId="06B817F9">
            <w:pPr>
              <w:jc w:val="both"/>
              <w:rPr>
                <w:rFonts w:ascii="宋体" w:hAnsi="宋体"/>
                <w:color w:val="auto"/>
                <w:szCs w:val="21"/>
                <w:highlight w:val="none"/>
              </w:rPr>
            </w:pPr>
            <w:r>
              <w:rPr>
                <w:rFonts w:hint="eastAsia" w:ascii="宋体" w:hAnsi="宋体"/>
                <w:color w:val="auto"/>
                <w:szCs w:val="21"/>
                <w:highlight w:val="none"/>
              </w:rPr>
              <w:t>（</w:t>
            </w:r>
            <w:r>
              <w:rPr>
                <w:rFonts w:hint="eastAsia" w:ascii="宋体" w:hAnsi="宋体"/>
                <w:color w:val="auto"/>
                <w:szCs w:val="21"/>
                <w:highlight w:val="none"/>
                <w:lang w:val="en-US" w:eastAsia="zh-CN"/>
              </w:rPr>
              <w:t>3</w:t>
            </w:r>
            <w:r>
              <w:rPr>
                <w:rFonts w:hint="eastAsia" w:ascii="宋体" w:hAnsi="宋体"/>
                <w:color w:val="auto"/>
                <w:szCs w:val="21"/>
                <w:highlight w:val="none"/>
              </w:rPr>
              <w:t>）为取得履约担保所需的费用，由</w:t>
            </w:r>
            <w:r>
              <w:rPr>
                <w:rFonts w:hint="eastAsia" w:ascii="宋体" w:hAnsi="宋体"/>
                <w:color w:val="auto"/>
                <w:szCs w:val="21"/>
                <w:highlight w:val="none"/>
                <w:lang w:eastAsia="zh-CN"/>
              </w:rPr>
              <w:t>成交人</w:t>
            </w:r>
            <w:r>
              <w:rPr>
                <w:rFonts w:hint="eastAsia" w:ascii="宋体" w:hAnsi="宋体"/>
                <w:color w:val="auto"/>
                <w:szCs w:val="21"/>
                <w:highlight w:val="none"/>
              </w:rPr>
              <w:t>承担；若工期延误，履约担保时间延长，延长费用由</w:t>
            </w:r>
            <w:r>
              <w:rPr>
                <w:rFonts w:hint="eastAsia" w:ascii="宋体" w:hAnsi="宋体"/>
                <w:color w:val="auto"/>
                <w:szCs w:val="21"/>
                <w:highlight w:val="none"/>
                <w:lang w:eastAsia="zh-CN"/>
              </w:rPr>
              <w:t>成交人</w:t>
            </w:r>
            <w:r>
              <w:rPr>
                <w:rFonts w:hint="eastAsia" w:ascii="宋体" w:hAnsi="宋体"/>
                <w:color w:val="auto"/>
                <w:szCs w:val="21"/>
                <w:highlight w:val="none"/>
              </w:rPr>
              <w:t>承担。</w:t>
            </w:r>
          </w:p>
          <w:p w14:paraId="1A2E23D0">
            <w:pPr>
              <w:jc w:val="both"/>
              <w:rPr>
                <w:rFonts w:ascii="宋体" w:hAnsi="宋体"/>
                <w:color w:val="auto"/>
                <w:szCs w:val="21"/>
                <w:highlight w:val="none"/>
              </w:rPr>
            </w:pPr>
            <w:r>
              <w:rPr>
                <w:rFonts w:hint="eastAsia" w:ascii="宋体" w:hAnsi="宋体"/>
                <w:color w:val="auto"/>
                <w:szCs w:val="21"/>
                <w:highlight w:val="none"/>
              </w:rPr>
              <w:t>（</w:t>
            </w:r>
            <w:r>
              <w:rPr>
                <w:rFonts w:hint="eastAsia" w:ascii="宋体" w:hAnsi="宋体"/>
                <w:color w:val="auto"/>
                <w:szCs w:val="21"/>
                <w:highlight w:val="none"/>
                <w:lang w:val="en-US" w:eastAsia="zh-CN"/>
              </w:rPr>
              <w:t>4</w:t>
            </w:r>
            <w:r>
              <w:rPr>
                <w:rFonts w:hint="eastAsia" w:ascii="宋体" w:hAnsi="宋体"/>
                <w:color w:val="auto"/>
                <w:szCs w:val="21"/>
                <w:highlight w:val="none"/>
              </w:rPr>
              <w:t>）若</w:t>
            </w:r>
            <w:r>
              <w:rPr>
                <w:rFonts w:hint="eastAsia" w:ascii="宋体" w:hAnsi="宋体"/>
                <w:color w:val="auto"/>
                <w:szCs w:val="21"/>
                <w:highlight w:val="none"/>
                <w:lang w:eastAsia="zh-CN"/>
              </w:rPr>
              <w:t>成交人</w:t>
            </w:r>
            <w:r>
              <w:rPr>
                <w:rFonts w:hint="eastAsia" w:ascii="宋体" w:hAnsi="宋体"/>
                <w:color w:val="auto"/>
                <w:szCs w:val="21"/>
                <w:highlight w:val="none"/>
              </w:rPr>
              <w:t>在合同履行过程中出现项目质量事故、工期拖延、欠付工人工资、欠付材料款等情况，采购人在经核查属实后，有权将履约保函金额转为现金存入履约保证金账户；</w:t>
            </w:r>
            <w:r>
              <w:rPr>
                <w:rFonts w:hint="eastAsia" w:ascii="宋体" w:hAnsi="宋体"/>
                <w:color w:val="auto"/>
                <w:szCs w:val="21"/>
                <w:highlight w:val="none"/>
                <w:lang w:eastAsia="zh-CN"/>
              </w:rPr>
              <w:t>成交人</w:t>
            </w:r>
            <w:r>
              <w:rPr>
                <w:rFonts w:hint="eastAsia" w:ascii="宋体" w:hAnsi="宋体"/>
                <w:color w:val="auto"/>
                <w:szCs w:val="21"/>
                <w:highlight w:val="none"/>
              </w:rPr>
              <w:t>造成采购人损失的，采购人有权立即没收其履约担保，若造成损失超过履约担保的，还应当对超过部分予以赔偿。</w:t>
            </w:r>
          </w:p>
          <w:p w14:paraId="3CD8F555">
            <w:pPr>
              <w:jc w:val="both"/>
              <w:rPr>
                <w:rFonts w:ascii="宋体" w:hAnsi="宋体"/>
                <w:color w:val="auto"/>
                <w:szCs w:val="21"/>
                <w:highlight w:val="none"/>
              </w:rPr>
            </w:pPr>
            <w:r>
              <w:rPr>
                <w:rFonts w:hint="eastAsia" w:ascii="宋体" w:hAnsi="宋体"/>
                <w:color w:val="auto"/>
                <w:szCs w:val="21"/>
                <w:highlight w:val="none"/>
              </w:rPr>
              <w:t>（</w:t>
            </w:r>
            <w:r>
              <w:rPr>
                <w:rFonts w:hint="default" w:ascii="宋体" w:hAnsi="宋体"/>
                <w:color w:val="auto"/>
                <w:szCs w:val="21"/>
                <w:highlight w:val="none"/>
                <w:lang w:val="en-US" w:eastAsia="zh-CN"/>
              </w:rPr>
              <w:t>5</w:t>
            </w:r>
            <w:r>
              <w:rPr>
                <w:rFonts w:hint="eastAsia" w:ascii="宋体" w:hAnsi="宋体"/>
                <w:color w:val="auto"/>
                <w:szCs w:val="21"/>
                <w:highlight w:val="none"/>
              </w:rPr>
              <w:t>）下列任何情况发生时，采购人有权行使享有的担保权利：</w:t>
            </w:r>
          </w:p>
          <w:p w14:paraId="3F81BDE8">
            <w:pPr>
              <w:jc w:val="both"/>
              <w:rPr>
                <w:rFonts w:ascii="宋体" w:hAnsi="宋体"/>
                <w:color w:val="auto"/>
                <w:szCs w:val="21"/>
                <w:highlight w:val="none"/>
              </w:rPr>
            </w:pPr>
            <w:r>
              <w:rPr>
                <w:rFonts w:hint="eastAsia" w:ascii="宋体" w:hAnsi="宋体"/>
                <w:color w:val="auto"/>
                <w:szCs w:val="21"/>
                <w:highlight w:val="none"/>
              </w:rPr>
              <w:t>①</w:t>
            </w:r>
            <w:r>
              <w:rPr>
                <w:rFonts w:hint="eastAsia" w:ascii="宋体" w:hAnsi="宋体"/>
                <w:color w:val="auto"/>
                <w:szCs w:val="21"/>
                <w:highlight w:val="none"/>
                <w:lang w:eastAsia="zh-CN"/>
              </w:rPr>
              <w:t>成交人</w:t>
            </w:r>
            <w:r>
              <w:rPr>
                <w:rFonts w:hint="eastAsia" w:ascii="宋体" w:hAnsi="宋体"/>
                <w:color w:val="auto"/>
                <w:szCs w:val="21"/>
                <w:highlight w:val="none"/>
              </w:rPr>
              <w:t>将本项目转让给他人，或者在投标文件中未说明，且未经采购人同意，将中标项目分包给他人的；</w:t>
            </w:r>
          </w:p>
          <w:p w14:paraId="73E14D04">
            <w:pPr>
              <w:jc w:val="both"/>
              <w:rPr>
                <w:rFonts w:ascii="宋体" w:hAnsi="宋体"/>
                <w:color w:val="auto"/>
                <w:szCs w:val="21"/>
                <w:highlight w:val="none"/>
              </w:rPr>
            </w:pPr>
            <w:r>
              <w:rPr>
                <w:rFonts w:hint="eastAsia" w:ascii="宋体" w:hAnsi="宋体"/>
                <w:color w:val="auto"/>
                <w:szCs w:val="21"/>
                <w:highlight w:val="none"/>
              </w:rPr>
              <w:t>②</w:t>
            </w:r>
            <w:r>
              <w:rPr>
                <w:rFonts w:hint="eastAsia" w:ascii="宋体" w:hAnsi="宋体"/>
                <w:color w:val="auto"/>
                <w:szCs w:val="21"/>
                <w:highlight w:val="none"/>
                <w:lang w:eastAsia="zh-CN"/>
              </w:rPr>
              <w:t>成交人</w:t>
            </w:r>
            <w:r>
              <w:rPr>
                <w:rFonts w:hint="eastAsia" w:ascii="宋体" w:hAnsi="宋体"/>
                <w:color w:val="auto"/>
                <w:szCs w:val="21"/>
                <w:highlight w:val="none"/>
              </w:rPr>
              <w:t>在履行采购合同期间，违反有关法律法规的规定及合同约定的条款，损害了采购人的利益。</w:t>
            </w:r>
          </w:p>
          <w:p w14:paraId="5C8116C0">
            <w:pPr>
              <w:jc w:val="both"/>
              <w:rPr>
                <w:rFonts w:ascii="宋体" w:hAnsi="宋体"/>
                <w:b/>
                <w:color w:val="auto"/>
                <w:szCs w:val="21"/>
                <w:highlight w:val="none"/>
              </w:rPr>
            </w:pPr>
            <w:r>
              <w:rPr>
                <w:rFonts w:hint="eastAsia" w:ascii="宋体" w:hAnsi="宋体"/>
                <w:color w:val="auto"/>
                <w:szCs w:val="21"/>
                <w:highlight w:val="none"/>
              </w:rPr>
              <w:t>（</w:t>
            </w:r>
            <w:r>
              <w:rPr>
                <w:rFonts w:hint="eastAsia" w:ascii="宋体" w:hAnsi="宋体"/>
                <w:color w:val="auto"/>
                <w:szCs w:val="21"/>
                <w:highlight w:val="none"/>
                <w:lang w:val="en-US" w:eastAsia="zh-CN"/>
              </w:rPr>
              <w:t>6</w:t>
            </w:r>
            <w:r>
              <w:rPr>
                <w:rFonts w:hint="eastAsia" w:ascii="宋体" w:hAnsi="宋体"/>
                <w:color w:val="auto"/>
                <w:szCs w:val="21"/>
                <w:highlight w:val="none"/>
              </w:rPr>
              <w:t>）</w:t>
            </w:r>
            <w:r>
              <w:rPr>
                <w:rFonts w:hint="eastAsia" w:ascii="宋体" w:hAnsi="宋体"/>
                <w:color w:val="auto"/>
                <w:szCs w:val="21"/>
                <w:highlight w:val="none"/>
                <w:lang w:val="en-US" w:eastAsia="zh-CN"/>
              </w:rPr>
              <w:t>在合同期满</w:t>
            </w:r>
            <w:r>
              <w:rPr>
                <w:rFonts w:hint="eastAsia" w:ascii="宋体" w:hAnsi="宋体"/>
                <w:color w:val="auto"/>
                <w:szCs w:val="21"/>
                <w:highlight w:val="none"/>
              </w:rPr>
              <w:t>后，</w:t>
            </w:r>
            <w:r>
              <w:rPr>
                <w:rFonts w:hint="eastAsia" w:ascii="宋体" w:hAnsi="宋体"/>
                <w:color w:val="auto"/>
                <w:szCs w:val="21"/>
                <w:highlight w:val="none"/>
                <w:lang w:eastAsia="zh-CN"/>
              </w:rPr>
              <w:t>成交人</w:t>
            </w:r>
            <w:r>
              <w:rPr>
                <w:rFonts w:hint="eastAsia" w:ascii="宋体" w:hAnsi="宋体"/>
                <w:color w:val="auto"/>
                <w:szCs w:val="21"/>
                <w:highlight w:val="none"/>
              </w:rPr>
              <w:t>向采购人提交退回履约</w:t>
            </w:r>
            <w:r>
              <w:rPr>
                <w:rFonts w:hint="eastAsia" w:ascii="宋体" w:hAnsi="宋体"/>
                <w:color w:val="auto"/>
                <w:szCs w:val="21"/>
                <w:highlight w:val="none"/>
                <w:lang w:val="en-US" w:eastAsia="zh-CN"/>
              </w:rPr>
              <w:t>保证金</w:t>
            </w:r>
            <w:r>
              <w:rPr>
                <w:rFonts w:hint="eastAsia" w:ascii="宋体" w:hAnsi="宋体"/>
                <w:color w:val="auto"/>
                <w:szCs w:val="21"/>
                <w:highlight w:val="none"/>
              </w:rPr>
              <w:t>的申请，采购人办理履约担保退还手续。</w:t>
            </w:r>
          </w:p>
        </w:tc>
      </w:tr>
      <w:tr w14:paraId="5517AC0D">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52" w:hRule="atLeast"/>
        </w:trPr>
        <w:tc>
          <w:tcPr>
            <w:tcW w:w="878" w:type="dxa"/>
            <w:vMerge w:val="restart"/>
            <w:tcBorders>
              <w:tl2br w:val="nil"/>
              <w:tr2bl w:val="nil"/>
            </w:tcBorders>
            <w:vAlign w:val="center"/>
          </w:tcPr>
          <w:p w14:paraId="7EE74338">
            <w:pPr>
              <w:jc w:val="center"/>
              <w:rPr>
                <w:rFonts w:hint="default" w:ascii="宋体" w:hAnsi="宋体" w:eastAsia="宋体"/>
                <w:color w:val="auto"/>
                <w:szCs w:val="21"/>
                <w:highlight w:val="none"/>
                <w:lang w:val="en-US" w:eastAsia="zh-CN"/>
              </w:rPr>
            </w:pPr>
            <w:r>
              <w:rPr>
                <w:rFonts w:hint="eastAsia" w:ascii="宋体" w:hAnsi="宋体"/>
                <w:color w:val="auto"/>
                <w:szCs w:val="21"/>
                <w:highlight w:val="none"/>
                <w:lang w:val="en-US" w:eastAsia="zh-CN"/>
              </w:rPr>
              <w:t>20</w:t>
            </w:r>
          </w:p>
        </w:tc>
        <w:tc>
          <w:tcPr>
            <w:tcW w:w="7532" w:type="dxa"/>
            <w:gridSpan w:val="2"/>
            <w:tcBorders>
              <w:tl2br w:val="nil"/>
              <w:tr2bl w:val="nil"/>
            </w:tcBorders>
            <w:vAlign w:val="center"/>
          </w:tcPr>
          <w:p w14:paraId="0AE9CD73">
            <w:pPr>
              <w:jc w:val="both"/>
              <w:rPr>
                <w:rFonts w:ascii="宋体" w:hAnsi="宋体"/>
                <w:b/>
                <w:color w:val="auto"/>
                <w:szCs w:val="21"/>
                <w:highlight w:val="none"/>
              </w:rPr>
            </w:pPr>
            <w:r>
              <w:rPr>
                <w:rFonts w:hint="eastAsia" w:ascii="宋体" w:hAnsi="宋体"/>
                <w:b/>
                <w:color w:val="auto"/>
                <w:szCs w:val="21"/>
                <w:highlight w:val="none"/>
              </w:rPr>
              <w:t>中标服务费</w:t>
            </w:r>
          </w:p>
        </w:tc>
      </w:tr>
      <w:tr w14:paraId="14828F08">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52" w:hRule="atLeast"/>
        </w:trPr>
        <w:tc>
          <w:tcPr>
            <w:tcW w:w="878" w:type="dxa"/>
            <w:vMerge w:val="continue"/>
            <w:tcBorders>
              <w:tl2br w:val="nil"/>
              <w:tr2bl w:val="nil"/>
            </w:tcBorders>
            <w:vAlign w:val="center"/>
          </w:tcPr>
          <w:p w14:paraId="364D3670">
            <w:pPr>
              <w:jc w:val="center"/>
              <w:rPr>
                <w:rFonts w:ascii="宋体" w:hAnsi="宋体"/>
                <w:color w:val="auto"/>
                <w:szCs w:val="21"/>
                <w:highlight w:val="none"/>
              </w:rPr>
            </w:pPr>
          </w:p>
        </w:tc>
        <w:tc>
          <w:tcPr>
            <w:tcW w:w="7532" w:type="dxa"/>
            <w:gridSpan w:val="2"/>
            <w:tcBorders>
              <w:tl2br w:val="nil"/>
              <w:tr2bl w:val="nil"/>
            </w:tcBorders>
            <w:vAlign w:val="center"/>
          </w:tcPr>
          <w:p w14:paraId="6646888E">
            <w:pPr>
              <w:widowControl w:val="0"/>
              <w:tabs>
                <w:tab w:val="left" w:pos="907"/>
              </w:tabs>
              <w:adjustRightInd/>
              <w:snapToGrid/>
              <w:spacing w:line="360" w:lineRule="exact"/>
              <w:jc w:val="both"/>
              <w:rPr>
                <w:rFonts w:ascii="宋体" w:hAnsi="宋体"/>
                <w:color w:val="auto"/>
                <w:szCs w:val="21"/>
                <w:highlight w:val="none"/>
              </w:rPr>
            </w:pPr>
            <w:r>
              <w:rPr>
                <w:rFonts w:hint="eastAsia" w:ascii="宋体" w:hAnsi="宋体"/>
                <w:color w:val="auto"/>
                <w:szCs w:val="21"/>
                <w:highlight w:val="none"/>
              </w:rPr>
              <w:t>本项目中标服务费由采购人支付。</w:t>
            </w:r>
          </w:p>
        </w:tc>
      </w:tr>
      <w:tr w14:paraId="4185F1EA">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820" w:hRule="atLeast"/>
        </w:trPr>
        <w:tc>
          <w:tcPr>
            <w:tcW w:w="8410" w:type="dxa"/>
            <w:gridSpan w:val="3"/>
            <w:tcBorders>
              <w:tl2br w:val="nil"/>
              <w:tr2bl w:val="nil"/>
            </w:tcBorders>
            <w:vAlign w:val="center"/>
          </w:tcPr>
          <w:p w14:paraId="291AFAB3">
            <w:pPr>
              <w:widowControl w:val="0"/>
              <w:tabs>
                <w:tab w:val="left" w:pos="907"/>
              </w:tabs>
              <w:adjustRightInd/>
              <w:snapToGrid/>
              <w:ind w:firstLine="420" w:firstLineChars="200"/>
              <w:jc w:val="both"/>
              <w:rPr>
                <w:rFonts w:ascii="宋体" w:hAnsi="宋体"/>
                <w:color w:val="auto"/>
                <w:szCs w:val="21"/>
                <w:highlight w:val="none"/>
              </w:rPr>
            </w:pPr>
            <w:r>
              <w:rPr>
                <w:rFonts w:hint="eastAsia" w:ascii="宋体" w:hAnsi="宋体"/>
                <w:color w:val="auto"/>
                <w:szCs w:val="21"/>
                <w:highlight w:val="none"/>
              </w:rPr>
              <w:t>注：本表关于要采购项目的具体资料，是对投标人须知的具体补充和修改，如有矛盾，应以本资料表为准。不满足采购文件中 “★”条款的投标文件将作无效投标处理。</w:t>
            </w:r>
          </w:p>
        </w:tc>
      </w:tr>
    </w:tbl>
    <w:p w14:paraId="606D85AE">
      <w:pPr>
        <w:jc w:val="both"/>
        <w:rPr>
          <w:color w:val="auto"/>
          <w:highlight w:val="none"/>
        </w:rPr>
      </w:pPr>
      <w:r>
        <w:rPr>
          <w:rFonts w:hint="eastAsia"/>
          <w:color w:val="auto"/>
          <w:highlight w:val="none"/>
        </w:rPr>
        <w:br w:type="page"/>
      </w:r>
    </w:p>
    <w:p w14:paraId="039C130C">
      <w:pPr>
        <w:pStyle w:val="3"/>
        <w:spacing w:before="0" w:after="0" w:line="240" w:lineRule="auto"/>
        <w:rPr>
          <w:color w:val="auto"/>
          <w:sz w:val="36"/>
          <w:szCs w:val="36"/>
          <w:highlight w:val="none"/>
        </w:rPr>
      </w:pPr>
      <w:bookmarkStart w:id="44" w:name="_Toc18401"/>
      <w:bookmarkStart w:id="45" w:name="_Toc2962"/>
      <w:bookmarkStart w:id="46" w:name="_Toc20180"/>
      <w:bookmarkStart w:id="47" w:name="_Toc9416"/>
      <w:bookmarkStart w:id="48" w:name="_Toc864"/>
      <w:bookmarkStart w:id="49" w:name="_Toc28088"/>
      <w:bookmarkStart w:id="50" w:name="_Toc27269"/>
      <w:bookmarkStart w:id="51" w:name="_Toc17010"/>
      <w:bookmarkStart w:id="52" w:name="_Toc8918"/>
      <w:bookmarkStart w:id="53" w:name="_Toc15621"/>
      <w:bookmarkStart w:id="54" w:name="_Toc10875"/>
      <w:r>
        <w:rPr>
          <w:rFonts w:hint="eastAsia"/>
          <w:color w:val="auto"/>
          <w:sz w:val="28"/>
          <w:szCs w:val="28"/>
          <w:highlight w:val="none"/>
        </w:rPr>
        <w:t>第三部分用户需求书</w:t>
      </w:r>
      <w:bookmarkEnd w:id="44"/>
      <w:bookmarkEnd w:id="45"/>
      <w:bookmarkEnd w:id="46"/>
      <w:bookmarkEnd w:id="47"/>
      <w:bookmarkEnd w:id="48"/>
      <w:bookmarkEnd w:id="49"/>
      <w:bookmarkEnd w:id="50"/>
      <w:bookmarkEnd w:id="51"/>
      <w:bookmarkEnd w:id="52"/>
      <w:bookmarkEnd w:id="53"/>
      <w:bookmarkEnd w:id="54"/>
    </w:p>
    <w:p w14:paraId="67E7B8E6">
      <w:pPr>
        <w:pStyle w:val="3"/>
        <w:spacing w:before="0" w:after="0" w:line="360" w:lineRule="auto"/>
        <w:jc w:val="center"/>
        <w:outlineLvl w:val="1"/>
        <w:rPr>
          <w:rFonts w:ascii="宋体" w:hAnsi="宋体"/>
          <w:color w:val="auto"/>
          <w:highlight w:val="none"/>
        </w:rPr>
      </w:pPr>
      <w:bookmarkStart w:id="55" w:name="_Toc1593"/>
      <w:bookmarkStart w:id="56" w:name="_Toc10764"/>
      <w:bookmarkStart w:id="57" w:name="_Toc31825"/>
      <w:bookmarkStart w:id="58" w:name="_Toc9605"/>
      <w:bookmarkStart w:id="59" w:name="_Toc2703"/>
      <w:bookmarkStart w:id="60" w:name="_Toc24440"/>
      <w:bookmarkStart w:id="61" w:name="_Toc10004"/>
      <w:bookmarkStart w:id="62" w:name="_Toc13035"/>
      <w:bookmarkStart w:id="63" w:name="_Toc11543"/>
      <w:bookmarkStart w:id="64" w:name="_Toc21439"/>
      <w:bookmarkStart w:id="65" w:name="_Toc22090"/>
      <w:bookmarkStart w:id="66" w:name="_Toc5775"/>
      <w:bookmarkStart w:id="67" w:name="_Toc308786492"/>
      <w:bookmarkStart w:id="68" w:name="_Toc24679"/>
      <w:bookmarkStart w:id="69" w:name="_Toc14462"/>
      <w:bookmarkStart w:id="70" w:name="_Toc13112"/>
      <w:bookmarkStart w:id="71" w:name="_Toc31278"/>
      <w:r>
        <w:rPr>
          <w:rFonts w:hint="eastAsia" w:ascii="宋体" w:hAnsi="宋体"/>
          <w:color w:val="auto"/>
          <w:sz w:val="28"/>
          <w:szCs w:val="28"/>
          <w:highlight w:val="none"/>
        </w:rPr>
        <w:t>第一章 商务需求书</w:t>
      </w:r>
      <w:bookmarkEnd w:id="55"/>
      <w:bookmarkEnd w:id="56"/>
      <w:bookmarkEnd w:id="57"/>
      <w:bookmarkEnd w:id="58"/>
      <w:bookmarkEnd w:id="59"/>
      <w:bookmarkEnd w:id="60"/>
      <w:bookmarkEnd w:id="61"/>
      <w:bookmarkEnd w:id="62"/>
      <w:bookmarkEnd w:id="63"/>
      <w:bookmarkEnd w:id="64"/>
      <w:bookmarkEnd w:id="65"/>
      <w:bookmarkEnd w:id="66"/>
    </w:p>
    <w:tbl>
      <w:tblPr>
        <w:tblStyle w:val="28"/>
        <w:tblW w:w="8685" w:type="dxa"/>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718"/>
        <w:gridCol w:w="1501"/>
        <w:gridCol w:w="6466"/>
      </w:tblGrid>
      <w:tr w14:paraId="42E98D5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718" w:type="dxa"/>
            <w:tcBorders>
              <w:bottom w:val="single" w:color="auto" w:sz="4" w:space="0"/>
              <w:right w:val="single" w:color="auto" w:sz="4" w:space="0"/>
            </w:tcBorders>
            <w:vAlign w:val="center"/>
          </w:tcPr>
          <w:p w14:paraId="466F7EDD">
            <w:pPr>
              <w:jc w:val="center"/>
              <w:rPr>
                <w:rFonts w:ascii="宋体" w:hAnsi="宋体" w:cs="宋体"/>
                <w:color w:val="auto"/>
                <w:szCs w:val="21"/>
                <w:highlight w:val="none"/>
              </w:rPr>
            </w:pPr>
            <w:r>
              <w:rPr>
                <w:rFonts w:hint="eastAsia" w:ascii="宋体" w:hAnsi="宋体" w:cs="宋体"/>
                <w:color w:val="auto"/>
                <w:szCs w:val="21"/>
                <w:highlight w:val="none"/>
              </w:rPr>
              <w:t>序号</w:t>
            </w:r>
          </w:p>
        </w:tc>
        <w:tc>
          <w:tcPr>
            <w:tcW w:w="1501" w:type="dxa"/>
            <w:tcBorders>
              <w:left w:val="single" w:color="auto" w:sz="4" w:space="0"/>
              <w:bottom w:val="single" w:color="auto" w:sz="4" w:space="0"/>
              <w:right w:val="single" w:color="auto" w:sz="4" w:space="0"/>
            </w:tcBorders>
            <w:vAlign w:val="center"/>
          </w:tcPr>
          <w:p w14:paraId="0ECEF57C">
            <w:pPr>
              <w:jc w:val="center"/>
              <w:rPr>
                <w:rFonts w:ascii="宋体" w:hAnsi="宋体" w:cs="宋体"/>
                <w:color w:val="auto"/>
                <w:szCs w:val="21"/>
                <w:highlight w:val="none"/>
              </w:rPr>
            </w:pPr>
            <w:r>
              <w:rPr>
                <w:rFonts w:hint="eastAsia" w:ascii="宋体" w:hAnsi="宋体" w:cs="宋体"/>
                <w:color w:val="auto"/>
                <w:szCs w:val="21"/>
                <w:highlight w:val="none"/>
              </w:rPr>
              <w:t>条款名称</w:t>
            </w:r>
          </w:p>
        </w:tc>
        <w:tc>
          <w:tcPr>
            <w:tcW w:w="6466" w:type="dxa"/>
            <w:tcBorders>
              <w:left w:val="single" w:color="auto" w:sz="4" w:space="0"/>
              <w:bottom w:val="single" w:color="auto" w:sz="4" w:space="0"/>
            </w:tcBorders>
            <w:vAlign w:val="center"/>
          </w:tcPr>
          <w:p w14:paraId="03B86D79">
            <w:pPr>
              <w:jc w:val="center"/>
              <w:rPr>
                <w:rFonts w:ascii="宋体" w:hAnsi="宋体" w:cs="宋体"/>
                <w:color w:val="auto"/>
                <w:szCs w:val="21"/>
                <w:highlight w:val="none"/>
              </w:rPr>
            </w:pPr>
            <w:r>
              <w:rPr>
                <w:rFonts w:hint="eastAsia" w:ascii="宋体" w:hAnsi="宋体" w:cs="宋体"/>
                <w:color w:val="auto"/>
                <w:szCs w:val="21"/>
                <w:highlight w:val="none"/>
              </w:rPr>
              <w:t>说  明</w:t>
            </w:r>
          </w:p>
        </w:tc>
      </w:tr>
      <w:tr w14:paraId="116F325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6" w:hRule="atLeast"/>
        </w:trPr>
        <w:tc>
          <w:tcPr>
            <w:tcW w:w="718" w:type="dxa"/>
            <w:tcBorders>
              <w:top w:val="single" w:color="auto" w:sz="4" w:space="0"/>
              <w:bottom w:val="single" w:color="auto" w:sz="4" w:space="0"/>
              <w:right w:val="single" w:color="auto" w:sz="4" w:space="0"/>
            </w:tcBorders>
            <w:vAlign w:val="center"/>
          </w:tcPr>
          <w:p w14:paraId="51A83873">
            <w:pPr>
              <w:jc w:val="center"/>
              <w:rPr>
                <w:rFonts w:ascii="宋体" w:hAnsi="宋体" w:cs="宋体"/>
                <w:color w:val="auto"/>
                <w:szCs w:val="21"/>
                <w:highlight w:val="none"/>
              </w:rPr>
            </w:pPr>
            <w:r>
              <w:rPr>
                <w:rFonts w:hint="eastAsia" w:ascii="宋体" w:hAnsi="宋体" w:cs="宋体"/>
                <w:color w:val="auto"/>
                <w:szCs w:val="21"/>
                <w:highlight w:val="none"/>
              </w:rPr>
              <w:t>1</w:t>
            </w:r>
          </w:p>
        </w:tc>
        <w:tc>
          <w:tcPr>
            <w:tcW w:w="1501" w:type="dxa"/>
            <w:tcBorders>
              <w:top w:val="single" w:color="auto" w:sz="4" w:space="0"/>
              <w:left w:val="single" w:color="auto" w:sz="4" w:space="0"/>
              <w:bottom w:val="single" w:color="auto" w:sz="4" w:space="0"/>
              <w:right w:val="single" w:color="auto" w:sz="4" w:space="0"/>
            </w:tcBorders>
            <w:vAlign w:val="center"/>
          </w:tcPr>
          <w:p w14:paraId="36DAB3A9">
            <w:pPr>
              <w:jc w:val="center"/>
              <w:rPr>
                <w:rFonts w:ascii="宋体" w:hAnsi="宋体" w:cs="宋体"/>
                <w:color w:val="auto"/>
                <w:szCs w:val="21"/>
                <w:highlight w:val="none"/>
              </w:rPr>
            </w:pPr>
            <w:r>
              <w:rPr>
                <w:rFonts w:hint="eastAsia" w:ascii="宋体" w:hAnsi="宋体" w:cs="宋体"/>
                <w:color w:val="auto"/>
                <w:szCs w:val="21"/>
                <w:highlight w:val="none"/>
              </w:rPr>
              <w:t>合格投标人</w:t>
            </w:r>
          </w:p>
        </w:tc>
        <w:tc>
          <w:tcPr>
            <w:tcW w:w="6466" w:type="dxa"/>
            <w:tcBorders>
              <w:top w:val="single" w:color="auto" w:sz="4" w:space="0"/>
              <w:left w:val="single" w:color="auto" w:sz="4" w:space="0"/>
              <w:bottom w:val="single" w:color="auto" w:sz="4" w:space="0"/>
            </w:tcBorders>
            <w:vAlign w:val="center"/>
          </w:tcPr>
          <w:p w14:paraId="6173125D">
            <w:pPr>
              <w:pStyle w:val="39"/>
              <w:rPr>
                <w:rFonts w:ascii="宋体" w:hAnsi="宋体" w:cs="宋体"/>
                <w:bCs/>
                <w:color w:val="auto"/>
                <w:kern w:val="44"/>
                <w:szCs w:val="21"/>
                <w:highlight w:val="none"/>
              </w:rPr>
            </w:pPr>
            <w:r>
              <w:rPr>
                <w:rFonts w:hint="eastAsia" w:ascii="宋体" w:hAnsi="宋体" w:cs="宋体"/>
                <w:color w:val="auto"/>
                <w:szCs w:val="21"/>
                <w:highlight w:val="none"/>
              </w:rPr>
              <w:t>详见“第一部分 投标邀请”中“二、投标人资格要求”</w:t>
            </w:r>
          </w:p>
        </w:tc>
      </w:tr>
      <w:tr w14:paraId="6A0F1ED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1" w:hRule="atLeast"/>
        </w:trPr>
        <w:tc>
          <w:tcPr>
            <w:tcW w:w="718" w:type="dxa"/>
            <w:tcBorders>
              <w:top w:val="single" w:color="auto" w:sz="4" w:space="0"/>
              <w:bottom w:val="single" w:color="auto" w:sz="4" w:space="0"/>
              <w:right w:val="single" w:color="auto" w:sz="4" w:space="0"/>
            </w:tcBorders>
            <w:vAlign w:val="center"/>
          </w:tcPr>
          <w:p w14:paraId="28ACF028">
            <w:pPr>
              <w:jc w:val="center"/>
              <w:rPr>
                <w:rFonts w:ascii="宋体" w:hAnsi="宋体" w:cs="宋体"/>
                <w:color w:val="auto"/>
                <w:szCs w:val="21"/>
                <w:highlight w:val="none"/>
              </w:rPr>
            </w:pPr>
            <w:r>
              <w:rPr>
                <w:rFonts w:hint="eastAsia" w:ascii="宋体" w:hAnsi="宋体" w:cs="宋体"/>
                <w:color w:val="auto"/>
                <w:szCs w:val="21"/>
                <w:highlight w:val="none"/>
              </w:rPr>
              <w:t>2</w:t>
            </w:r>
          </w:p>
        </w:tc>
        <w:tc>
          <w:tcPr>
            <w:tcW w:w="1501" w:type="dxa"/>
            <w:tcBorders>
              <w:top w:val="single" w:color="auto" w:sz="4" w:space="0"/>
              <w:left w:val="single" w:color="auto" w:sz="4" w:space="0"/>
              <w:bottom w:val="single" w:color="auto" w:sz="4" w:space="0"/>
              <w:right w:val="single" w:color="auto" w:sz="4" w:space="0"/>
            </w:tcBorders>
            <w:vAlign w:val="center"/>
          </w:tcPr>
          <w:p w14:paraId="069C18F0">
            <w:pPr>
              <w:jc w:val="center"/>
              <w:rPr>
                <w:rFonts w:ascii="宋体" w:hAnsi="宋体" w:cs="宋体"/>
                <w:color w:val="auto"/>
                <w:szCs w:val="21"/>
                <w:highlight w:val="none"/>
              </w:rPr>
            </w:pPr>
            <w:r>
              <w:rPr>
                <w:rFonts w:hint="eastAsia" w:ascii="宋体" w:hAnsi="宋体" w:cs="宋体"/>
                <w:color w:val="auto"/>
                <w:szCs w:val="21"/>
                <w:highlight w:val="none"/>
              </w:rPr>
              <w:t>服务期</w:t>
            </w:r>
          </w:p>
        </w:tc>
        <w:tc>
          <w:tcPr>
            <w:tcW w:w="6466" w:type="dxa"/>
            <w:tcBorders>
              <w:top w:val="single" w:color="auto" w:sz="4" w:space="0"/>
              <w:left w:val="single" w:color="auto" w:sz="4" w:space="0"/>
              <w:bottom w:val="single" w:color="auto" w:sz="4" w:space="0"/>
            </w:tcBorders>
            <w:vAlign w:val="center"/>
          </w:tcPr>
          <w:p w14:paraId="41F5520C">
            <w:pPr>
              <w:pStyle w:val="36"/>
              <w:spacing w:line="360" w:lineRule="auto"/>
              <w:ind w:firstLine="400"/>
              <w:rPr>
                <w:rFonts w:ascii="宋体" w:hAnsi="宋体" w:cs="宋体"/>
                <w:color w:val="auto"/>
                <w:szCs w:val="21"/>
                <w:highlight w:val="none"/>
              </w:rPr>
            </w:pPr>
            <w:r>
              <w:rPr>
                <w:rFonts w:hint="eastAsia" w:ascii="宋体" w:hAnsi="宋体" w:eastAsia="宋体" w:cs="宋体"/>
                <w:color w:val="auto"/>
                <w:sz w:val="21"/>
                <w:szCs w:val="21"/>
                <w:highlight w:val="none"/>
              </w:rPr>
              <w:t>合同服务期限自签订运输服务合同之日起一年。</w:t>
            </w:r>
          </w:p>
        </w:tc>
      </w:tr>
      <w:tr w14:paraId="03679EC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18" w:hRule="atLeast"/>
        </w:trPr>
        <w:tc>
          <w:tcPr>
            <w:tcW w:w="718" w:type="dxa"/>
            <w:tcBorders>
              <w:top w:val="single" w:color="auto" w:sz="4" w:space="0"/>
              <w:bottom w:val="single" w:color="auto" w:sz="4" w:space="0"/>
              <w:right w:val="single" w:color="auto" w:sz="4" w:space="0"/>
            </w:tcBorders>
            <w:vAlign w:val="center"/>
          </w:tcPr>
          <w:p w14:paraId="36A7CF9F">
            <w:pPr>
              <w:jc w:val="center"/>
              <w:rPr>
                <w:rFonts w:ascii="宋体" w:hAnsi="宋体" w:cs="宋体"/>
                <w:color w:val="auto"/>
                <w:szCs w:val="21"/>
                <w:highlight w:val="none"/>
              </w:rPr>
            </w:pPr>
            <w:r>
              <w:rPr>
                <w:rFonts w:hint="eastAsia" w:ascii="宋体" w:hAnsi="宋体" w:cs="宋体"/>
                <w:color w:val="auto"/>
                <w:szCs w:val="21"/>
                <w:highlight w:val="none"/>
              </w:rPr>
              <w:t>3</w:t>
            </w:r>
          </w:p>
        </w:tc>
        <w:tc>
          <w:tcPr>
            <w:tcW w:w="1501" w:type="dxa"/>
            <w:tcBorders>
              <w:top w:val="single" w:color="auto" w:sz="4" w:space="0"/>
              <w:left w:val="single" w:color="auto" w:sz="4" w:space="0"/>
              <w:bottom w:val="single" w:color="auto" w:sz="4" w:space="0"/>
              <w:right w:val="single" w:color="auto" w:sz="4" w:space="0"/>
            </w:tcBorders>
            <w:vAlign w:val="center"/>
          </w:tcPr>
          <w:p w14:paraId="628FEBD3">
            <w:pPr>
              <w:jc w:val="center"/>
              <w:rPr>
                <w:rFonts w:ascii="宋体" w:hAnsi="宋体" w:cs="宋体"/>
                <w:color w:val="auto"/>
                <w:szCs w:val="21"/>
                <w:highlight w:val="none"/>
              </w:rPr>
            </w:pPr>
            <w:r>
              <w:rPr>
                <w:rFonts w:hint="eastAsia" w:ascii="宋体" w:hAnsi="宋体" w:cs="宋体"/>
                <w:color w:val="auto"/>
                <w:szCs w:val="21"/>
                <w:highlight w:val="none"/>
                <w:lang w:val="en-US" w:eastAsia="zh-CN"/>
              </w:rPr>
              <w:t>结算</w:t>
            </w:r>
            <w:r>
              <w:rPr>
                <w:rFonts w:hint="eastAsia" w:ascii="宋体" w:hAnsi="宋体" w:cs="宋体"/>
                <w:color w:val="auto"/>
                <w:szCs w:val="21"/>
                <w:highlight w:val="none"/>
              </w:rPr>
              <w:t>方式</w:t>
            </w:r>
          </w:p>
        </w:tc>
        <w:tc>
          <w:tcPr>
            <w:tcW w:w="6466" w:type="dxa"/>
            <w:tcBorders>
              <w:top w:val="single" w:color="auto" w:sz="4" w:space="0"/>
              <w:left w:val="single" w:color="auto" w:sz="4" w:space="0"/>
              <w:bottom w:val="single" w:color="auto" w:sz="4" w:space="0"/>
            </w:tcBorders>
            <w:vAlign w:val="center"/>
          </w:tcPr>
          <w:p w14:paraId="7F7FB77C">
            <w:pPr>
              <w:spacing w:line="360" w:lineRule="auto"/>
              <w:ind w:firstLine="420" w:firstLineChars="200"/>
              <w:jc w:val="both"/>
              <w:rPr>
                <w:color w:val="auto"/>
                <w:highlight w:val="none"/>
              </w:rPr>
            </w:pPr>
            <w:r>
              <w:rPr>
                <w:rFonts w:hint="eastAsia" w:ascii="宋体" w:hAnsi="宋体" w:cs="宋体"/>
                <w:color w:val="auto"/>
                <w:szCs w:val="21"/>
                <w:highlight w:val="none"/>
              </w:rPr>
              <w:t>按月结算，甲方以合同附件3《危险废物运输费单价表》为计费基准，结合当月实际各区域、车型、派出车次的情况，根据合同附件4《运输杂费及计费规则》、合同附件7《运输单位搬运费分级标准》据实核算相应的运输杂费等，并扣除合同附件5《东莞市新东欣环保投资有限公司承运单位违规行为处罚条款》违约金，经甲方和乙方核实无误后，计算出当月实际结算费用，即当月实际产生运输费用+运输杂费-违约金=当月实际结算费用。</w:t>
            </w:r>
          </w:p>
        </w:tc>
      </w:tr>
      <w:tr w14:paraId="57D6107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741" w:hRule="atLeast"/>
        </w:trPr>
        <w:tc>
          <w:tcPr>
            <w:tcW w:w="718" w:type="dxa"/>
            <w:tcBorders>
              <w:top w:val="single" w:color="auto" w:sz="4" w:space="0"/>
              <w:bottom w:val="single" w:color="auto" w:sz="4" w:space="0"/>
              <w:right w:val="single" w:color="auto" w:sz="4" w:space="0"/>
            </w:tcBorders>
            <w:vAlign w:val="center"/>
          </w:tcPr>
          <w:p w14:paraId="03F73B58">
            <w:pPr>
              <w:jc w:val="center"/>
              <w:rPr>
                <w:rFonts w:ascii="宋体" w:hAnsi="宋体" w:cs="宋体"/>
                <w:color w:val="auto"/>
                <w:szCs w:val="21"/>
                <w:highlight w:val="none"/>
              </w:rPr>
            </w:pPr>
            <w:r>
              <w:rPr>
                <w:rFonts w:hint="eastAsia" w:ascii="宋体" w:hAnsi="宋体" w:cs="宋体"/>
                <w:color w:val="auto"/>
                <w:szCs w:val="21"/>
                <w:highlight w:val="none"/>
              </w:rPr>
              <w:t>4</w:t>
            </w:r>
          </w:p>
        </w:tc>
        <w:tc>
          <w:tcPr>
            <w:tcW w:w="1501" w:type="dxa"/>
            <w:tcBorders>
              <w:top w:val="single" w:color="auto" w:sz="4" w:space="0"/>
              <w:left w:val="single" w:color="auto" w:sz="4" w:space="0"/>
              <w:bottom w:val="single" w:color="auto" w:sz="4" w:space="0"/>
              <w:right w:val="single" w:color="auto" w:sz="4" w:space="0"/>
            </w:tcBorders>
            <w:vAlign w:val="center"/>
          </w:tcPr>
          <w:p w14:paraId="4A917E70">
            <w:pPr>
              <w:jc w:val="center"/>
              <w:rPr>
                <w:rFonts w:ascii="宋体" w:hAnsi="宋体" w:eastAsia="宋体" w:cs="宋体"/>
                <w:color w:val="auto"/>
                <w:sz w:val="21"/>
                <w:szCs w:val="21"/>
                <w:highlight w:val="none"/>
                <w:lang w:val="en-US" w:eastAsia="zh-CN" w:bidi="ar-SA"/>
              </w:rPr>
            </w:pPr>
            <w:r>
              <w:rPr>
                <w:rFonts w:hint="eastAsia" w:ascii="宋体" w:hAnsi="宋体" w:cs="宋体"/>
                <w:color w:val="auto"/>
                <w:szCs w:val="21"/>
                <w:highlight w:val="none"/>
              </w:rPr>
              <w:t>付款方式</w:t>
            </w:r>
          </w:p>
        </w:tc>
        <w:tc>
          <w:tcPr>
            <w:tcW w:w="6466" w:type="dxa"/>
            <w:tcBorders>
              <w:top w:val="single" w:color="auto" w:sz="4" w:space="0"/>
              <w:left w:val="single" w:color="auto" w:sz="4" w:space="0"/>
              <w:bottom w:val="single" w:color="auto" w:sz="4" w:space="0"/>
            </w:tcBorders>
            <w:vAlign w:val="center"/>
          </w:tcPr>
          <w:p w14:paraId="12126642">
            <w:pPr>
              <w:spacing w:line="360" w:lineRule="auto"/>
              <w:ind w:firstLine="420" w:firstLineChars="200"/>
              <w:jc w:val="both"/>
              <w:rPr>
                <w:rFonts w:ascii="Tahoma" w:hAnsi="Tahoma" w:eastAsia="宋体" w:cstheme="minorBidi"/>
                <w:color w:val="auto"/>
                <w:sz w:val="21"/>
                <w:szCs w:val="22"/>
                <w:highlight w:val="none"/>
                <w:lang w:val="en-US" w:eastAsia="zh-CN" w:bidi="ar-SA"/>
              </w:rPr>
            </w:pPr>
            <w:r>
              <w:rPr>
                <w:rFonts w:hint="eastAsia" w:ascii="宋体" w:hAnsi="宋体" w:cs="宋体"/>
                <w:color w:val="auto"/>
                <w:szCs w:val="21"/>
                <w:highlight w:val="none"/>
              </w:rPr>
              <w:t>①按月对账，乙方每月26日提交当月（上月26日至本月25日）运费对账单及对应承运单等凭证发出请款需求，甲方收到上述请款资料在10个工作日内进行核实，双方确认无误后，乙方在5个工作日内开出9%增值税专用服务发票。②甲方在收到乙方发票后十五个工作日内将运输服务费支付给乙方。支付方式仅限于双方签约运输服务合同所列公司银行账号进行公对公银行转账。</w:t>
            </w:r>
          </w:p>
        </w:tc>
      </w:tr>
      <w:tr w14:paraId="51A7981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trPr>
        <w:tc>
          <w:tcPr>
            <w:tcW w:w="718" w:type="dxa"/>
            <w:tcBorders>
              <w:top w:val="single" w:color="auto" w:sz="4" w:space="0"/>
              <w:bottom w:val="single" w:color="auto" w:sz="4" w:space="0"/>
              <w:right w:val="single" w:color="auto" w:sz="4" w:space="0"/>
            </w:tcBorders>
            <w:vAlign w:val="center"/>
          </w:tcPr>
          <w:p w14:paraId="68CF72CF">
            <w:pPr>
              <w:jc w:val="center"/>
              <w:rPr>
                <w:rFonts w:ascii="宋体" w:hAnsi="宋体" w:cs="宋体"/>
                <w:color w:val="auto"/>
                <w:szCs w:val="21"/>
                <w:highlight w:val="none"/>
              </w:rPr>
            </w:pPr>
            <w:r>
              <w:rPr>
                <w:rFonts w:hint="eastAsia" w:ascii="宋体" w:hAnsi="宋体" w:cs="宋体"/>
                <w:color w:val="auto"/>
                <w:szCs w:val="21"/>
                <w:highlight w:val="none"/>
              </w:rPr>
              <w:t>5</w:t>
            </w:r>
          </w:p>
        </w:tc>
        <w:tc>
          <w:tcPr>
            <w:tcW w:w="1501" w:type="dxa"/>
            <w:tcBorders>
              <w:top w:val="single" w:color="auto" w:sz="4" w:space="0"/>
              <w:left w:val="single" w:color="auto" w:sz="4" w:space="0"/>
              <w:bottom w:val="single" w:color="auto" w:sz="4" w:space="0"/>
              <w:right w:val="single" w:color="auto" w:sz="4" w:space="0"/>
            </w:tcBorders>
            <w:vAlign w:val="center"/>
          </w:tcPr>
          <w:p w14:paraId="7847E872">
            <w:pPr>
              <w:jc w:val="center"/>
              <w:rPr>
                <w:rFonts w:ascii="宋体" w:hAnsi="宋体" w:eastAsia="宋体" w:cs="宋体"/>
                <w:color w:val="auto"/>
                <w:sz w:val="21"/>
                <w:szCs w:val="21"/>
                <w:highlight w:val="none"/>
                <w:lang w:val="en-US" w:eastAsia="zh-CN" w:bidi="ar-SA"/>
              </w:rPr>
            </w:pPr>
            <w:r>
              <w:rPr>
                <w:rFonts w:hint="eastAsia" w:ascii="宋体" w:hAnsi="宋体" w:cs="宋体"/>
                <w:color w:val="auto"/>
                <w:szCs w:val="21"/>
                <w:highlight w:val="none"/>
              </w:rPr>
              <w:t>项目地点</w:t>
            </w:r>
          </w:p>
        </w:tc>
        <w:tc>
          <w:tcPr>
            <w:tcW w:w="6466" w:type="dxa"/>
            <w:tcBorders>
              <w:top w:val="single" w:color="auto" w:sz="4" w:space="0"/>
              <w:left w:val="single" w:color="auto" w:sz="4" w:space="0"/>
              <w:bottom w:val="single" w:color="auto" w:sz="4" w:space="0"/>
            </w:tcBorders>
            <w:vAlign w:val="center"/>
          </w:tcPr>
          <w:p w14:paraId="022B79B8">
            <w:pPr>
              <w:ind w:firstLine="420" w:firstLineChars="200"/>
              <w:rPr>
                <w:rFonts w:ascii="宋体" w:hAnsi="宋体" w:eastAsia="宋体" w:cs="宋体"/>
                <w:color w:val="auto"/>
                <w:sz w:val="21"/>
                <w:szCs w:val="21"/>
                <w:highlight w:val="none"/>
                <w:lang w:val="en-US" w:eastAsia="zh-CN" w:bidi="ar-SA"/>
              </w:rPr>
            </w:pPr>
            <w:r>
              <w:rPr>
                <w:rFonts w:hint="eastAsia" w:ascii="宋体" w:hAnsi="宋体" w:cs="宋体"/>
                <w:color w:val="auto"/>
                <w:szCs w:val="21"/>
                <w:highlight w:val="none"/>
              </w:rPr>
              <w:t>采购人指定地点。</w:t>
            </w:r>
          </w:p>
        </w:tc>
      </w:tr>
      <w:tr w14:paraId="10A64C9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811" w:hRule="atLeast"/>
        </w:trPr>
        <w:tc>
          <w:tcPr>
            <w:tcW w:w="718" w:type="dxa"/>
            <w:tcBorders>
              <w:top w:val="single" w:color="auto" w:sz="4" w:space="0"/>
              <w:bottom w:val="single" w:color="auto" w:sz="4" w:space="0"/>
              <w:right w:val="single" w:color="auto" w:sz="4" w:space="0"/>
            </w:tcBorders>
            <w:vAlign w:val="center"/>
          </w:tcPr>
          <w:p w14:paraId="0E3A55C5">
            <w:pPr>
              <w:jc w:val="center"/>
              <w:rPr>
                <w:rFonts w:ascii="宋体" w:hAnsi="宋体" w:cs="宋体"/>
                <w:color w:val="auto"/>
                <w:szCs w:val="21"/>
                <w:highlight w:val="none"/>
              </w:rPr>
            </w:pPr>
            <w:r>
              <w:rPr>
                <w:rFonts w:hint="eastAsia" w:ascii="宋体" w:hAnsi="宋体" w:cs="宋体"/>
                <w:color w:val="auto"/>
                <w:szCs w:val="21"/>
                <w:highlight w:val="none"/>
              </w:rPr>
              <w:t>6</w:t>
            </w:r>
          </w:p>
        </w:tc>
        <w:tc>
          <w:tcPr>
            <w:tcW w:w="1501" w:type="dxa"/>
            <w:tcBorders>
              <w:top w:val="single" w:color="auto" w:sz="4" w:space="0"/>
              <w:left w:val="single" w:color="auto" w:sz="4" w:space="0"/>
              <w:bottom w:val="single" w:color="auto" w:sz="4" w:space="0"/>
              <w:right w:val="single" w:color="auto" w:sz="4" w:space="0"/>
            </w:tcBorders>
            <w:vAlign w:val="center"/>
          </w:tcPr>
          <w:p w14:paraId="6DDD3F32">
            <w:pPr>
              <w:jc w:val="center"/>
              <w:rPr>
                <w:rFonts w:ascii="宋体" w:hAnsi="宋体" w:eastAsia="宋体" w:cs="宋体"/>
                <w:color w:val="auto"/>
                <w:sz w:val="21"/>
                <w:szCs w:val="21"/>
                <w:highlight w:val="none"/>
                <w:lang w:val="en-US" w:eastAsia="zh-CN" w:bidi="ar-SA"/>
              </w:rPr>
            </w:pPr>
            <w:r>
              <w:rPr>
                <w:rFonts w:hint="eastAsia" w:ascii="宋体" w:hAnsi="宋体" w:cs="宋体"/>
                <w:color w:val="auto"/>
                <w:szCs w:val="21"/>
                <w:highlight w:val="none"/>
              </w:rPr>
              <w:t>报价要求</w:t>
            </w:r>
          </w:p>
        </w:tc>
        <w:tc>
          <w:tcPr>
            <w:tcW w:w="6466" w:type="dxa"/>
            <w:tcBorders>
              <w:top w:val="single" w:color="auto" w:sz="4" w:space="0"/>
              <w:left w:val="single" w:color="auto" w:sz="4" w:space="0"/>
              <w:bottom w:val="single" w:color="auto" w:sz="4" w:space="0"/>
            </w:tcBorders>
            <w:vAlign w:val="center"/>
          </w:tcPr>
          <w:p w14:paraId="081D2850">
            <w:pPr>
              <w:ind w:firstLineChars="200"/>
              <w:jc w:val="both"/>
              <w:rPr>
                <w:rFonts w:hint="eastAsia" w:ascii="宋体" w:hAnsi="宋体" w:cs="宋体"/>
                <w:color w:val="auto"/>
                <w:szCs w:val="21"/>
                <w:highlight w:val="none"/>
                <w:lang w:eastAsia="zh-CN"/>
              </w:rPr>
            </w:pPr>
            <w:r>
              <w:rPr>
                <w:rFonts w:hint="eastAsia" w:ascii="宋体" w:hAnsi="宋体" w:cs="宋体"/>
                <w:color w:val="auto"/>
                <w:szCs w:val="21"/>
                <w:highlight w:val="none"/>
              </w:rPr>
              <w:t>投标报价应包括本次采购所有服务内容的费用，包括但不限于人工、</w:t>
            </w:r>
            <w:r>
              <w:rPr>
                <w:rFonts w:hint="eastAsia" w:ascii="宋体" w:eastAsia="宋体" w:cs="宋体"/>
                <w:color w:val="auto"/>
                <w:sz w:val="21"/>
                <w:szCs w:val="21"/>
                <w:highlight w:val="none"/>
                <w:lang w:val="en-US" w:eastAsia="zh-CN"/>
              </w:rPr>
              <w:t>油料、保险</w:t>
            </w:r>
            <w:r>
              <w:rPr>
                <w:rFonts w:hint="eastAsia" w:ascii="宋体" w:cs="宋体"/>
                <w:color w:val="auto"/>
                <w:sz w:val="21"/>
                <w:szCs w:val="21"/>
                <w:highlight w:val="none"/>
                <w:lang w:val="en-US" w:eastAsia="zh-CN"/>
              </w:rPr>
              <w:t>（含人员及车辆保险等）、车辆维修保养</w:t>
            </w:r>
            <w:r>
              <w:rPr>
                <w:rFonts w:hint="eastAsia" w:ascii="宋体" w:eastAsia="宋体" w:cs="宋体"/>
                <w:color w:val="auto"/>
                <w:sz w:val="21"/>
                <w:szCs w:val="21"/>
                <w:highlight w:val="none"/>
              </w:rPr>
              <w:t>、</w:t>
            </w:r>
            <w:r>
              <w:rPr>
                <w:rFonts w:hint="eastAsia" w:ascii="宋体" w:hAnsi="宋体" w:cs="宋体"/>
                <w:color w:val="auto"/>
                <w:szCs w:val="21"/>
                <w:highlight w:val="none"/>
              </w:rPr>
              <w:t>成本、利润、措施费、税费以及合同实施过程中的不可预见费用等全部费用</w:t>
            </w:r>
            <w:r>
              <w:rPr>
                <w:rFonts w:hint="eastAsia" w:ascii="宋体" w:hAnsi="宋体" w:cs="宋体"/>
                <w:color w:val="auto"/>
                <w:szCs w:val="21"/>
                <w:highlight w:val="none"/>
                <w:lang w:eastAsia="zh-CN"/>
              </w:rPr>
              <w:t>，</w:t>
            </w:r>
            <w:r>
              <w:rPr>
                <w:rFonts w:hint="eastAsia" w:ascii="宋体" w:hAnsi="宋体" w:cs="宋体"/>
                <w:color w:val="auto"/>
                <w:szCs w:val="21"/>
                <w:highlight w:val="none"/>
              </w:rPr>
              <w:t>但不含运输杂费及搬运费等，运输杂费及搬运费根据</w:t>
            </w:r>
            <w:r>
              <w:rPr>
                <w:rFonts w:hint="eastAsia" w:ascii="宋体" w:eastAsia="宋体" w:cs="宋体"/>
                <w:b w:val="0"/>
                <w:bCs w:val="0"/>
                <w:color w:val="auto"/>
                <w:sz w:val="21"/>
                <w:szCs w:val="21"/>
                <w:highlight w:val="none"/>
                <w:lang w:val="en-US" w:eastAsia="zh-CN"/>
              </w:rPr>
              <w:t>合同</w:t>
            </w:r>
            <w:r>
              <w:rPr>
                <w:rFonts w:hint="eastAsia" w:ascii="宋体" w:eastAsia="宋体" w:cs="宋体"/>
                <w:color w:val="auto"/>
                <w:sz w:val="21"/>
                <w:szCs w:val="21"/>
                <w:highlight w:val="none"/>
              </w:rPr>
              <w:t>附件</w:t>
            </w:r>
            <w:r>
              <w:rPr>
                <w:rFonts w:hint="eastAsia" w:ascii="宋体" w:hAnsi="宋体" w:cs="宋体"/>
                <w:color w:val="auto"/>
                <w:szCs w:val="21"/>
                <w:highlight w:val="none"/>
              </w:rPr>
              <w:t>4《运输杂费及计费规则》和</w:t>
            </w:r>
            <w:r>
              <w:rPr>
                <w:rFonts w:hint="eastAsia" w:ascii="宋体" w:eastAsia="宋体" w:cs="宋体"/>
                <w:b w:val="0"/>
                <w:bCs w:val="0"/>
                <w:color w:val="auto"/>
                <w:sz w:val="21"/>
                <w:szCs w:val="21"/>
                <w:highlight w:val="none"/>
                <w:lang w:val="en-US" w:eastAsia="zh-CN"/>
              </w:rPr>
              <w:t>合同</w:t>
            </w:r>
            <w:r>
              <w:rPr>
                <w:rFonts w:hint="eastAsia" w:ascii="宋体" w:eastAsia="宋体" w:cs="宋体"/>
                <w:color w:val="auto"/>
                <w:sz w:val="21"/>
                <w:szCs w:val="21"/>
                <w:highlight w:val="none"/>
              </w:rPr>
              <w:t>附件</w:t>
            </w:r>
            <w:r>
              <w:rPr>
                <w:rFonts w:hint="eastAsia" w:ascii="宋体" w:hAnsi="宋体" w:cs="宋体"/>
                <w:color w:val="auto"/>
                <w:szCs w:val="21"/>
                <w:highlight w:val="none"/>
              </w:rPr>
              <w:t>7《运输单位搬运费分级标准》据实结算</w:t>
            </w:r>
            <w:r>
              <w:rPr>
                <w:rFonts w:hint="eastAsia" w:ascii="宋体" w:hAnsi="宋体" w:cs="宋体"/>
                <w:color w:val="auto"/>
                <w:szCs w:val="21"/>
                <w:highlight w:val="none"/>
                <w:lang w:eastAsia="zh-CN"/>
              </w:rPr>
              <w:t>。</w:t>
            </w:r>
          </w:p>
          <w:p w14:paraId="74BAFCD1">
            <w:pPr>
              <w:ind w:firstLineChars="200"/>
              <w:jc w:val="both"/>
              <w:rPr>
                <w:rFonts w:hint="eastAsia" w:ascii="宋体" w:hAnsi="宋体" w:cs="宋体"/>
                <w:color w:val="auto"/>
                <w:szCs w:val="21"/>
                <w:highlight w:val="none"/>
                <w:lang w:val="en-US" w:eastAsia="zh-CN"/>
              </w:rPr>
            </w:pPr>
            <w:r>
              <w:rPr>
                <w:rFonts w:hint="eastAsia" w:ascii="宋体" w:hAnsi="宋体" w:cs="宋体"/>
                <w:color w:val="auto"/>
                <w:szCs w:val="21"/>
                <w:highlight w:val="none"/>
              </w:rPr>
              <w:t>本项目采用固定单价暂定总价方式报价，投标人必须根据附件《</w:t>
            </w:r>
            <w:r>
              <w:rPr>
                <w:rFonts w:hint="eastAsia" w:ascii="宋体" w:hAnsi="宋体" w:cs="宋体"/>
                <w:color w:val="auto"/>
                <w:szCs w:val="21"/>
                <w:highlight w:val="none"/>
                <w:lang w:val="en-US" w:eastAsia="zh-CN"/>
              </w:rPr>
              <w:t>危险废物运输费单价表</w:t>
            </w:r>
            <w:r>
              <w:rPr>
                <w:rFonts w:hint="eastAsia" w:ascii="宋体" w:hAnsi="宋体" w:cs="宋体"/>
                <w:color w:val="auto"/>
                <w:szCs w:val="21"/>
                <w:highlight w:val="none"/>
              </w:rPr>
              <w:t>》规定的各标段、各区域、各车型的单价限价（元/车次）范围内进行报价（报价为含税价且保留至个位数），并结合相应的预计车次计算出暂定总价（含税价），即某标段所有区域各车型供应商所投运输单价报价与对应预计次数的乘积之和；投标人必须严格按照附件《</w:t>
            </w:r>
            <w:r>
              <w:rPr>
                <w:rFonts w:hint="eastAsia" w:ascii="宋体" w:hAnsi="宋体" w:cs="宋体"/>
                <w:color w:val="auto"/>
                <w:szCs w:val="21"/>
                <w:highlight w:val="none"/>
                <w:lang w:val="en-US" w:eastAsia="zh-CN"/>
              </w:rPr>
              <w:t>危险废物运输费单价表</w:t>
            </w:r>
            <w:r>
              <w:rPr>
                <w:rFonts w:hint="eastAsia" w:ascii="宋体" w:hAnsi="宋体" w:cs="宋体"/>
                <w:color w:val="auto"/>
                <w:szCs w:val="21"/>
                <w:highlight w:val="none"/>
              </w:rPr>
              <w:t>》进行填写，漏写、错写或报价超过单价限价的，将被视为非实质性响应而予以投标无效处理。</w:t>
            </w:r>
          </w:p>
        </w:tc>
      </w:tr>
      <w:tr w14:paraId="191B034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26" w:hRule="atLeast"/>
        </w:trPr>
        <w:tc>
          <w:tcPr>
            <w:tcW w:w="718" w:type="dxa"/>
            <w:tcBorders>
              <w:top w:val="single" w:color="auto" w:sz="4" w:space="0"/>
              <w:bottom w:val="single" w:color="auto" w:sz="4" w:space="0"/>
              <w:right w:val="single" w:color="auto" w:sz="4" w:space="0"/>
            </w:tcBorders>
            <w:vAlign w:val="center"/>
          </w:tcPr>
          <w:p w14:paraId="40BCCF53">
            <w:pPr>
              <w:jc w:val="center"/>
              <w:rPr>
                <w:rFonts w:ascii="宋体" w:hAnsi="宋体" w:cs="宋体"/>
                <w:color w:val="auto"/>
                <w:szCs w:val="21"/>
                <w:highlight w:val="none"/>
              </w:rPr>
            </w:pPr>
            <w:r>
              <w:rPr>
                <w:rFonts w:hint="eastAsia" w:ascii="宋体" w:hAnsi="宋体" w:cs="宋体"/>
                <w:color w:val="auto"/>
                <w:szCs w:val="21"/>
                <w:highlight w:val="none"/>
              </w:rPr>
              <w:t>7</w:t>
            </w:r>
          </w:p>
        </w:tc>
        <w:tc>
          <w:tcPr>
            <w:tcW w:w="1501" w:type="dxa"/>
            <w:tcBorders>
              <w:top w:val="single" w:color="auto" w:sz="4" w:space="0"/>
              <w:left w:val="single" w:color="auto" w:sz="4" w:space="0"/>
              <w:bottom w:val="single" w:color="auto" w:sz="4" w:space="0"/>
              <w:right w:val="single" w:color="auto" w:sz="4" w:space="0"/>
            </w:tcBorders>
            <w:vAlign w:val="center"/>
          </w:tcPr>
          <w:p w14:paraId="677009B9">
            <w:pPr>
              <w:jc w:val="center"/>
              <w:rPr>
                <w:rFonts w:ascii="宋体" w:hAnsi="宋体" w:eastAsia="宋体" w:cs="宋体"/>
                <w:color w:val="auto"/>
                <w:sz w:val="21"/>
                <w:szCs w:val="21"/>
                <w:highlight w:val="none"/>
                <w:lang w:val="en-US" w:eastAsia="zh-CN" w:bidi="ar-SA"/>
              </w:rPr>
            </w:pPr>
            <w:r>
              <w:rPr>
                <w:rFonts w:hint="eastAsia" w:ascii="宋体" w:hAnsi="宋体" w:cs="宋体"/>
                <w:color w:val="auto"/>
                <w:szCs w:val="21"/>
                <w:highlight w:val="none"/>
              </w:rPr>
              <w:t>投标有效期</w:t>
            </w:r>
          </w:p>
        </w:tc>
        <w:tc>
          <w:tcPr>
            <w:tcW w:w="6466" w:type="dxa"/>
            <w:tcBorders>
              <w:top w:val="single" w:color="auto" w:sz="4" w:space="0"/>
              <w:left w:val="single" w:color="auto" w:sz="4" w:space="0"/>
              <w:bottom w:val="single" w:color="auto" w:sz="4" w:space="0"/>
            </w:tcBorders>
            <w:vAlign w:val="center"/>
          </w:tcPr>
          <w:p w14:paraId="22D476AD">
            <w:pPr>
              <w:tabs>
                <w:tab w:val="center" w:pos="3125"/>
              </w:tabs>
              <w:ind w:firstLine="420" w:firstLineChars="200"/>
              <w:rPr>
                <w:rFonts w:ascii="宋体" w:hAnsi="宋体" w:eastAsia="宋体" w:cs="宋体"/>
                <w:color w:val="auto"/>
                <w:sz w:val="21"/>
                <w:szCs w:val="21"/>
                <w:highlight w:val="none"/>
                <w:lang w:val="en-US" w:eastAsia="zh-CN" w:bidi="ar-SA"/>
              </w:rPr>
            </w:pPr>
            <w:r>
              <w:rPr>
                <w:rFonts w:hint="eastAsia" w:ascii="宋体" w:hAnsi="宋体" w:cs="宋体"/>
                <w:color w:val="auto"/>
                <w:szCs w:val="21"/>
                <w:highlight w:val="none"/>
              </w:rPr>
              <w:t>自开标之日起90天。</w:t>
            </w:r>
          </w:p>
        </w:tc>
      </w:tr>
      <w:tr w14:paraId="1D09974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101" w:hRule="atLeast"/>
        </w:trPr>
        <w:tc>
          <w:tcPr>
            <w:tcW w:w="718" w:type="dxa"/>
            <w:tcBorders>
              <w:top w:val="single" w:color="auto" w:sz="4" w:space="0"/>
              <w:bottom w:val="single" w:color="auto" w:sz="12" w:space="0"/>
              <w:right w:val="single" w:color="auto" w:sz="4" w:space="0"/>
            </w:tcBorders>
            <w:vAlign w:val="center"/>
          </w:tcPr>
          <w:p w14:paraId="55B4EA9C">
            <w:pPr>
              <w:jc w:val="center"/>
              <w:rPr>
                <w:rFonts w:ascii="宋体" w:hAnsi="宋体" w:cs="宋体"/>
                <w:color w:val="auto"/>
                <w:szCs w:val="21"/>
                <w:highlight w:val="none"/>
              </w:rPr>
            </w:pPr>
            <w:r>
              <w:rPr>
                <w:rFonts w:hint="eastAsia" w:ascii="宋体" w:hAnsi="宋体" w:cs="宋体"/>
                <w:color w:val="auto"/>
                <w:szCs w:val="21"/>
                <w:highlight w:val="none"/>
              </w:rPr>
              <w:t>8</w:t>
            </w:r>
          </w:p>
        </w:tc>
        <w:tc>
          <w:tcPr>
            <w:tcW w:w="1501" w:type="dxa"/>
            <w:tcBorders>
              <w:top w:val="single" w:color="auto" w:sz="4" w:space="0"/>
              <w:left w:val="single" w:color="auto" w:sz="4" w:space="0"/>
              <w:bottom w:val="single" w:color="auto" w:sz="12" w:space="0"/>
              <w:right w:val="single" w:color="auto" w:sz="4" w:space="0"/>
            </w:tcBorders>
            <w:vAlign w:val="center"/>
          </w:tcPr>
          <w:p w14:paraId="45578346">
            <w:pPr>
              <w:jc w:val="center"/>
              <w:rPr>
                <w:rFonts w:ascii="宋体" w:hAnsi="宋体" w:eastAsia="宋体" w:cs="宋体"/>
                <w:color w:val="auto"/>
                <w:sz w:val="21"/>
                <w:szCs w:val="21"/>
                <w:highlight w:val="none"/>
                <w:lang w:val="en-US" w:eastAsia="zh-CN" w:bidi="ar-SA"/>
              </w:rPr>
            </w:pPr>
            <w:r>
              <w:rPr>
                <w:rFonts w:hint="eastAsia" w:ascii="宋体" w:hAnsi="宋体" w:cs="宋体"/>
                <w:color w:val="auto"/>
                <w:szCs w:val="21"/>
                <w:highlight w:val="none"/>
              </w:rPr>
              <w:t>合同条款</w:t>
            </w:r>
          </w:p>
        </w:tc>
        <w:tc>
          <w:tcPr>
            <w:tcW w:w="6466" w:type="dxa"/>
            <w:tcBorders>
              <w:top w:val="single" w:color="auto" w:sz="4" w:space="0"/>
              <w:left w:val="single" w:color="auto" w:sz="4" w:space="0"/>
              <w:bottom w:val="single" w:color="auto" w:sz="12" w:space="0"/>
            </w:tcBorders>
            <w:vAlign w:val="center"/>
          </w:tcPr>
          <w:p w14:paraId="42AD331F">
            <w:pPr>
              <w:ind w:firstLine="420" w:firstLineChars="200"/>
              <w:rPr>
                <w:rFonts w:ascii="宋体" w:hAnsi="宋体" w:cs="宋体"/>
                <w:color w:val="auto"/>
                <w:szCs w:val="21"/>
                <w:highlight w:val="none"/>
              </w:rPr>
            </w:pPr>
            <w:r>
              <w:rPr>
                <w:rFonts w:hint="eastAsia" w:ascii="宋体" w:hAnsi="宋体" w:cs="宋体"/>
                <w:color w:val="auto"/>
                <w:szCs w:val="21"/>
                <w:highlight w:val="none"/>
              </w:rPr>
              <w:t>①投标人实质响应合同各条款。</w:t>
            </w:r>
          </w:p>
          <w:p w14:paraId="29BA1698">
            <w:pPr>
              <w:ind w:firstLine="420" w:firstLineChars="200"/>
              <w:jc w:val="both"/>
              <w:rPr>
                <w:rFonts w:ascii="宋体" w:hAnsi="宋体" w:eastAsia="宋体" w:cs="宋体"/>
                <w:color w:val="auto"/>
                <w:sz w:val="21"/>
                <w:szCs w:val="21"/>
                <w:highlight w:val="none"/>
                <w:lang w:val="en-US" w:eastAsia="zh-CN" w:bidi="ar-SA"/>
              </w:rPr>
            </w:pPr>
            <w:r>
              <w:rPr>
                <w:rFonts w:hint="eastAsia" w:ascii="宋体" w:hAnsi="宋体" w:cs="宋体"/>
                <w:color w:val="auto"/>
                <w:szCs w:val="21"/>
                <w:highlight w:val="none"/>
              </w:rPr>
              <w:t>②</w:t>
            </w:r>
            <w:r>
              <w:rPr>
                <w:rFonts w:hint="eastAsia" w:ascii="宋体" w:hAnsi="宋体"/>
                <w:color w:val="auto"/>
                <w:szCs w:val="21"/>
                <w:highlight w:val="none"/>
              </w:rPr>
              <w:t>本项目按标段签订采购合同。</w:t>
            </w:r>
          </w:p>
        </w:tc>
      </w:tr>
    </w:tbl>
    <w:p w14:paraId="40F71D73">
      <w:pPr>
        <w:rPr>
          <w:color w:val="auto"/>
          <w:highlight w:val="none"/>
        </w:rPr>
      </w:pPr>
    </w:p>
    <w:p w14:paraId="1ABE9E6C">
      <w:pPr>
        <w:pStyle w:val="9"/>
        <w:rPr>
          <w:color w:val="auto"/>
          <w:highlight w:val="none"/>
          <w:lang w:val="en-US"/>
        </w:rPr>
      </w:pPr>
    </w:p>
    <w:p w14:paraId="69E33E39">
      <w:pPr>
        <w:rPr>
          <w:color w:val="auto"/>
          <w:highlight w:val="none"/>
          <w:lang w:val="en-US"/>
        </w:rPr>
      </w:pPr>
    </w:p>
    <w:p w14:paraId="55754256">
      <w:pPr>
        <w:rPr>
          <w:color w:val="auto"/>
          <w:highlight w:val="none"/>
          <w:lang w:val="en-US"/>
        </w:rPr>
      </w:pPr>
    </w:p>
    <w:p w14:paraId="7E20740D">
      <w:pPr>
        <w:rPr>
          <w:color w:val="auto"/>
          <w:highlight w:val="none"/>
          <w:lang w:val="en-US"/>
        </w:rPr>
      </w:pPr>
    </w:p>
    <w:p w14:paraId="3619B344">
      <w:pPr>
        <w:rPr>
          <w:color w:val="auto"/>
          <w:highlight w:val="none"/>
          <w:lang w:val="en-US"/>
        </w:rPr>
      </w:pPr>
      <w:r>
        <w:rPr>
          <w:color w:val="auto"/>
          <w:highlight w:val="none"/>
          <w:lang w:val="en-US"/>
        </w:rPr>
        <w:br w:type="page"/>
      </w:r>
    </w:p>
    <w:p w14:paraId="6728DEDC">
      <w:pPr>
        <w:pStyle w:val="3"/>
        <w:spacing w:before="0" w:after="0" w:line="360" w:lineRule="auto"/>
        <w:jc w:val="center"/>
        <w:outlineLvl w:val="1"/>
        <w:rPr>
          <w:color w:val="auto"/>
          <w:sz w:val="28"/>
          <w:szCs w:val="28"/>
          <w:highlight w:val="none"/>
        </w:rPr>
      </w:pPr>
      <w:bookmarkStart w:id="72" w:name="_Toc30209"/>
      <w:bookmarkStart w:id="73" w:name="_Toc9999"/>
      <w:bookmarkStart w:id="74" w:name="_Toc29487"/>
      <w:bookmarkStart w:id="75" w:name="_Toc3755"/>
      <w:bookmarkStart w:id="76" w:name="_Toc14601"/>
      <w:bookmarkStart w:id="77" w:name="_Toc12113"/>
      <w:bookmarkStart w:id="78" w:name="_Toc16980"/>
      <w:bookmarkStart w:id="79" w:name="_Toc19316"/>
      <w:bookmarkStart w:id="80" w:name="_Toc30771"/>
      <w:bookmarkStart w:id="81" w:name="_Toc15837"/>
      <w:bookmarkStart w:id="82" w:name="_Toc3736"/>
      <w:bookmarkStart w:id="83" w:name="_Toc9843"/>
      <w:r>
        <w:rPr>
          <w:rFonts w:hint="eastAsia" w:ascii="宋体" w:hAnsi="宋体"/>
          <w:color w:val="auto"/>
          <w:sz w:val="28"/>
          <w:szCs w:val="28"/>
          <w:highlight w:val="none"/>
        </w:rPr>
        <w:t>第二章 技术需求书</w:t>
      </w:r>
      <w:bookmarkEnd w:id="72"/>
      <w:bookmarkEnd w:id="73"/>
      <w:bookmarkEnd w:id="74"/>
      <w:bookmarkEnd w:id="75"/>
      <w:bookmarkEnd w:id="76"/>
      <w:bookmarkEnd w:id="77"/>
      <w:bookmarkEnd w:id="78"/>
      <w:bookmarkEnd w:id="79"/>
      <w:bookmarkEnd w:id="80"/>
      <w:bookmarkEnd w:id="81"/>
      <w:bookmarkEnd w:id="82"/>
      <w:bookmarkEnd w:id="83"/>
    </w:p>
    <w:bookmarkEnd w:id="67"/>
    <w:p w14:paraId="3B1CEC80">
      <w:pPr>
        <w:keepNext w:val="0"/>
        <w:keepLines w:val="0"/>
        <w:pageBreakBefore w:val="0"/>
        <w:widowControl/>
        <w:kinsoku/>
        <w:wordWrap/>
        <w:overflowPunct/>
        <w:topLinePunct w:val="0"/>
        <w:autoSpaceDE/>
        <w:autoSpaceDN/>
        <w:bidi w:val="0"/>
        <w:adjustRightInd w:val="0"/>
        <w:snapToGrid w:val="0"/>
        <w:spacing w:line="360" w:lineRule="auto"/>
        <w:ind w:firstLine="420" w:firstLineChars="200"/>
        <w:jc w:val="both"/>
        <w:textAlignment w:val="auto"/>
        <w:rPr>
          <w:rFonts w:hint="eastAsia" w:ascii="宋体" w:hAnsi="宋体" w:eastAsia="宋体" w:cs="宋体"/>
          <w:color w:val="auto"/>
          <w:sz w:val="21"/>
          <w:szCs w:val="21"/>
          <w:highlight w:val="none"/>
        </w:rPr>
      </w:pPr>
      <w:bookmarkStart w:id="84" w:name="_Toc10505"/>
      <w:bookmarkStart w:id="85" w:name="_Toc46433891"/>
      <w:r>
        <w:rPr>
          <w:rFonts w:hint="eastAsia" w:ascii="宋体" w:hAnsi="宋体" w:eastAsia="宋体" w:cs="宋体"/>
          <w:color w:val="auto"/>
          <w:sz w:val="21"/>
          <w:szCs w:val="21"/>
          <w:highlight w:val="none"/>
        </w:rPr>
        <w:t>海心沙绿色工业服务项目自2020年12月24日顺利取得《危险废物经营许可证》起，已持续有序开展各项危废处理经营业务。为满足客户危险废物运输、贮存、处置一体化服务需求。为保障本项目运输工作安全、高效开展，我司需再次启动新一轮 “东莞市新东欣环保投资有限公司危险废物运输服务项目”采购工作；继续委托有危险废物运输资质且能提高高质量服务的运输单位进行危废运输工作。现将相关情况介绍如下：</w:t>
      </w:r>
    </w:p>
    <w:p w14:paraId="0E41869F">
      <w:pPr>
        <w:keepNext w:val="0"/>
        <w:keepLines w:val="0"/>
        <w:pageBreakBefore w:val="0"/>
        <w:widowControl/>
        <w:numPr>
          <w:ilvl w:val="0"/>
          <w:numId w:val="0"/>
        </w:numPr>
        <w:kinsoku/>
        <w:wordWrap/>
        <w:overflowPunct/>
        <w:topLinePunct w:val="0"/>
        <w:autoSpaceDE/>
        <w:autoSpaceDN/>
        <w:bidi w:val="0"/>
        <w:adjustRightInd w:val="0"/>
        <w:snapToGrid w:val="0"/>
        <w:spacing w:line="360" w:lineRule="auto"/>
        <w:ind w:firstLine="482" w:firstLineChars="200"/>
        <w:jc w:val="both"/>
        <w:textAlignment w:val="auto"/>
        <w:outlineLvl w:val="2"/>
        <w:rPr>
          <w:rFonts w:hint="eastAsia" w:ascii="宋体" w:hAnsi="宋体" w:eastAsia="宋体" w:cs="宋体"/>
          <w:b/>
          <w:bCs/>
          <w:color w:val="auto"/>
          <w:sz w:val="24"/>
          <w:szCs w:val="24"/>
          <w:highlight w:val="none"/>
        </w:rPr>
      </w:pPr>
      <w:bookmarkStart w:id="86" w:name="_Toc13223"/>
      <w:bookmarkStart w:id="87" w:name="_Toc27176"/>
      <w:bookmarkStart w:id="88" w:name="_Toc5789"/>
      <w:bookmarkStart w:id="89" w:name="_Toc652"/>
      <w:bookmarkStart w:id="90" w:name="_Toc1229"/>
      <w:bookmarkStart w:id="91" w:name="_Toc17594"/>
      <w:bookmarkStart w:id="92" w:name="_Toc10361"/>
      <w:bookmarkStart w:id="93" w:name="_Toc18463"/>
      <w:bookmarkStart w:id="94" w:name="_Toc23225"/>
      <w:bookmarkStart w:id="95" w:name="_Toc16311"/>
      <w:r>
        <w:rPr>
          <w:rFonts w:hint="eastAsia" w:ascii="宋体" w:hAnsi="宋体" w:eastAsia="宋体" w:cs="宋体"/>
          <w:b/>
          <w:bCs/>
          <w:color w:val="auto"/>
          <w:sz w:val="24"/>
          <w:szCs w:val="24"/>
          <w:highlight w:val="none"/>
          <w:lang w:val="en-US" w:eastAsia="zh-CN" w:bidi="ar-SA"/>
        </w:rPr>
        <w:t>一、</w:t>
      </w:r>
      <w:r>
        <w:rPr>
          <w:rFonts w:hint="eastAsia" w:ascii="宋体" w:hAnsi="宋体" w:eastAsia="宋体" w:cs="宋体"/>
          <w:b/>
          <w:bCs/>
          <w:color w:val="auto"/>
          <w:sz w:val="24"/>
          <w:szCs w:val="24"/>
          <w:highlight w:val="none"/>
        </w:rPr>
        <w:t>项目</w:t>
      </w:r>
      <w:bookmarkEnd w:id="84"/>
      <w:bookmarkEnd w:id="85"/>
      <w:r>
        <w:rPr>
          <w:rFonts w:hint="eastAsia" w:ascii="宋体" w:hAnsi="宋体" w:eastAsia="宋体" w:cs="宋体"/>
          <w:b/>
          <w:bCs/>
          <w:color w:val="auto"/>
          <w:sz w:val="24"/>
          <w:szCs w:val="24"/>
          <w:highlight w:val="none"/>
        </w:rPr>
        <w:t>概况</w:t>
      </w:r>
      <w:bookmarkEnd w:id="86"/>
      <w:bookmarkEnd w:id="87"/>
      <w:bookmarkEnd w:id="88"/>
      <w:bookmarkEnd w:id="89"/>
      <w:bookmarkEnd w:id="90"/>
      <w:bookmarkEnd w:id="91"/>
      <w:bookmarkEnd w:id="92"/>
      <w:bookmarkEnd w:id="93"/>
      <w:bookmarkEnd w:id="94"/>
      <w:bookmarkEnd w:id="95"/>
    </w:p>
    <w:p w14:paraId="008DBC2C">
      <w:pPr>
        <w:keepNext w:val="0"/>
        <w:keepLines w:val="0"/>
        <w:pageBreakBefore w:val="0"/>
        <w:widowControl/>
        <w:kinsoku/>
        <w:wordWrap/>
        <w:overflowPunct/>
        <w:topLinePunct w:val="0"/>
        <w:autoSpaceDE/>
        <w:autoSpaceDN/>
        <w:bidi w:val="0"/>
        <w:adjustRightInd w:val="0"/>
        <w:snapToGrid w:val="0"/>
        <w:spacing w:line="360" w:lineRule="auto"/>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东莞市新东欣环保投资有限公司（以下简称“我司”）成立于2018年4月，位于东莞市麻涌镇与洪梅镇交界的海心沙岛，是东莞市国有企业东实集团旗下环保产业的全资子公司，主要负责东莞市海心沙绿色工业服务项目（危险废物处置项目）的建设运营，业务涵盖危险废物处理处置、收集/暂存、综合利用，以及环境监测、技术咨询与服务。项目可暂存及处理38大类危险废物，处理能力共计31.679万吨/年（包括：危险废物焚烧处置6万吨/年、工业废水物化处理5.53万吨/年、表面处理废物火法冶炼13.3万吨/年、废矿物油综合利用5万吨/年、收集暂存资质1.239万吨/年）。</w:t>
      </w:r>
    </w:p>
    <w:p w14:paraId="1C62245B">
      <w:pPr>
        <w:keepNext w:val="0"/>
        <w:keepLines w:val="0"/>
        <w:pageBreakBefore w:val="0"/>
        <w:widowControl/>
        <w:numPr>
          <w:ilvl w:val="0"/>
          <w:numId w:val="0"/>
        </w:numPr>
        <w:kinsoku/>
        <w:wordWrap/>
        <w:overflowPunct/>
        <w:topLinePunct w:val="0"/>
        <w:autoSpaceDE/>
        <w:autoSpaceDN/>
        <w:bidi w:val="0"/>
        <w:adjustRightInd w:val="0"/>
        <w:snapToGrid w:val="0"/>
        <w:spacing w:line="360" w:lineRule="auto"/>
        <w:ind w:firstLine="482" w:firstLineChars="200"/>
        <w:jc w:val="both"/>
        <w:textAlignment w:val="auto"/>
        <w:outlineLvl w:val="2"/>
        <w:rPr>
          <w:rFonts w:hint="eastAsia" w:ascii="宋体" w:hAnsi="宋体" w:eastAsia="宋体" w:cs="宋体"/>
          <w:b/>
          <w:bCs/>
          <w:color w:val="auto"/>
          <w:sz w:val="24"/>
          <w:szCs w:val="24"/>
          <w:highlight w:val="none"/>
        </w:rPr>
      </w:pPr>
      <w:bookmarkStart w:id="96" w:name="_Toc27462"/>
      <w:bookmarkStart w:id="97" w:name="_Toc13396"/>
      <w:bookmarkStart w:id="98" w:name="_Toc8475"/>
      <w:bookmarkStart w:id="99" w:name="_Toc8467"/>
      <w:bookmarkStart w:id="100" w:name="_Toc1665"/>
      <w:bookmarkStart w:id="101" w:name="_Toc12180"/>
      <w:bookmarkStart w:id="102" w:name="_Toc7522"/>
      <w:bookmarkStart w:id="103" w:name="_Toc17970"/>
      <w:bookmarkStart w:id="104" w:name="_Toc5213"/>
      <w:bookmarkStart w:id="105" w:name="_Toc19746"/>
      <w:r>
        <w:rPr>
          <w:rFonts w:hint="eastAsia" w:ascii="宋体" w:hAnsi="宋体" w:eastAsia="宋体" w:cs="宋体"/>
          <w:b/>
          <w:bCs/>
          <w:color w:val="auto"/>
          <w:sz w:val="24"/>
          <w:szCs w:val="24"/>
          <w:highlight w:val="none"/>
          <w:lang w:val="en-US" w:eastAsia="zh-CN" w:bidi="ar-SA"/>
        </w:rPr>
        <w:t>二、</w:t>
      </w:r>
      <w:r>
        <w:rPr>
          <w:rFonts w:hint="eastAsia" w:ascii="宋体" w:hAnsi="宋体" w:eastAsia="宋体" w:cs="宋体"/>
          <w:b/>
          <w:bCs/>
          <w:color w:val="auto"/>
          <w:sz w:val="24"/>
          <w:szCs w:val="24"/>
          <w:highlight w:val="none"/>
        </w:rPr>
        <w:t>服务内容</w:t>
      </w:r>
      <w:bookmarkEnd w:id="96"/>
      <w:bookmarkEnd w:id="97"/>
      <w:bookmarkEnd w:id="98"/>
      <w:bookmarkEnd w:id="99"/>
      <w:bookmarkEnd w:id="100"/>
      <w:bookmarkEnd w:id="101"/>
      <w:bookmarkEnd w:id="102"/>
      <w:bookmarkEnd w:id="103"/>
      <w:bookmarkEnd w:id="104"/>
      <w:bookmarkEnd w:id="105"/>
    </w:p>
    <w:p w14:paraId="3838FF91">
      <w:pPr>
        <w:keepNext w:val="0"/>
        <w:keepLines w:val="0"/>
        <w:pageBreakBefore w:val="0"/>
        <w:widowControl/>
        <w:kinsoku/>
        <w:wordWrap/>
        <w:overflowPunct/>
        <w:topLinePunct w:val="0"/>
        <w:autoSpaceDE/>
        <w:autoSpaceDN/>
        <w:bidi w:val="0"/>
        <w:adjustRightInd w:val="0"/>
        <w:snapToGrid w:val="0"/>
        <w:spacing w:line="360" w:lineRule="auto"/>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成交单位与我司签订《危险废物运输服务合同》，接受我司委托，为我司提供安全、准确、合规、高效的危险废物运输服务。我司根据《合同》及其附件，对运输服务进行考核并支付运输服务费用。</w:t>
      </w:r>
    </w:p>
    <w:p w14:paraId="6C587632">
      <w:pPr>
        <w:keepNext w:val="0"/>
        <w:keepLines w:val="0"/>
        <w:pageBreakBefore w:val="0"/>
        <w:widowControl/>
        <w:numPr>
          <w:ilvl w:val="0"/>
          <w:numId w:val="0"/>
        </w:numPr>
        <w:kinsoku/>
        <w:wordWrap/>
        <w:overflowPunct/>
        <w:topLinePunct w:val="0"/>
        <w:autoSpaceDE/>
        <w:autoSpaceDN/>
        <w:bidi w:val="0"/>
        <w:adjustRightInd w:val="0"/>
        <w:snapToGrid w:val="0"/>
        <w:spacing w:line="360" w:lineRule="auto"/>
        <w:ind w:firstLine="482" w:firstLineChars="200"/>
        <w:jc w:val="both"/>
        <w:textAlignment w:val="auto"/>
        <w:outlineLvl w:val="2"/>
        <w:rPr>
          <w:rFonts w:hint="eastAsia" w:ascii="宋体" w:hAnsi="宋体" w:eastAsia="宋体" w:cs="宋体"/>
          <w:b/>
          <w:bCs/>
          <w:color w:val="auto"/>
          <w:sz w:val="24"/>
          <w:szCs w:val="24"/>
          <w:highlight w:val="none"/>
        </w:rPr>
      </w:pPr>
      <w:bookmarkStart w:id="106" w:name="_Toc31202"/>
      <w:bookmarkStart w:id="107" w:name="_Toc19321"/>
      <w:bookmarkStart w:id="108" w:name="_Toc32201"/>
      <w:bookmarkStart w:id="109" w:name="_Toc2509"/>
      <w:bookmarkStart w:id="110" w:name="_Toc8797"/>
      <w:bookmarkStart w:id="111" w:name="_Toc27145"/>
      <w:bookmarkStart w:id="112" w:name="_Toc3086"/>
      <w:bookmarkStart w:id="113" w:name="_Toc32128"/>
      <w:bookmarkStart w:id="114" w:name="_Toc27562"/>
      <w:bookmarkStart w:id="115" w:name="_Toc17507"/>
      <w:r>
        <w:rPr>
          <w:rFonts w:hint="eastAsia" w:ascii="宋体" w:hAnsi="宋体" w:eastAsia="宋体" w:cs="宋体"/>
          <w:b/>
          <w:bCs/>
          <w:color w:val="auto"/>
          <w:sz w:val="24"/>
          <w:szCs w:val="24"/>
          <w:highlight w:val="none"/>
          <w:lang w:val="en-US" w:eastAsia="zh-CN" w:bidi="ar-SA"/>
        </w:rPr>
        <w:t>三、</w:t>
      </w:r>
      <w:r>
        <w:rPr>
          <w:rFonts w:hint="eastAsia" w:ascii="宋体" w:hAnsi="宋体" w:eastAsia="宋体" w:cs="宋体"/>
          <w:b/>
          <w:bCs/>
          <w:color w:val="auto"/>
          <w:sz w:val="24"/>
          <w:szCs w:val="24"/>
          <w:highlight w:val="none"/>
        </w:rPr>
        <w:t>服务承接范围</w:t>
      </w:r>
      <w:bookmarkEnd w:id="106"/>
      <w:bookmarkEnd w:id="107"/>
      <w:bookmarkEnd w:id="108"/>
      <w:bookmarkEnd w:id="109"/>
      <w:bookmarkEnd w:id="110"/>
      <w:bookmarkEnd w:id="111"/>
      <w:bookmarkEnd w:id="112"/>
      <w:bookmarkEnd w:id="113"/>
      <w:bookmarkEnd w:id="114"/>
      <w:bookmarkEnd w:id="115"/>
    </w:p>
    <w:p w14:paraId="6D38A10C">
      <w:pPr>
        <w:keepNext w:val="0"/>
        <w:keepLines w:val="0"/>
        <w:pageBreakBefore w:val="0"/>
        <w:widowControl/>
        <w:kinsoku/>
        <w:wordWrap/>
        <w:overflowPunct/>
        <w:topLinePunct w:val="0"/>
        <w:autoSpaceDE/>
        <w:autoSpaceDN/>
        <w:bidi w:val="0"/>
        <w:adjustRightInd w:val="0"/>
        <w:snapToGrid w:val="0"/>
        <w:spacing w:line="360" w:lineRule="auto"/>
        <w:ind w:firstLine="422" w:firstLineChars="200"/>
        <w:jc w:val="both"/>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（一）采购车型、区域划分及预算</w:t>
      </w:r>
    </w:p>
    <w:p w14:paraId="4A44A19D">
      <w:pPr>
        <w:keepNext w:val="0"/>
        <w:keepLines w:val="0"/>
        <w:pageBreakBefore w:val="0"/>
        <w:widowControl/>
        <w:kinsoku/>
        <w:wordWrap/>
        <w:overflowPunct/>
        <w:topLinePunct w:val="0"/>
        <w:autoSpaceDE/>
        <w:autoSpaceDN/>
        <w:bidi w:val="0"/>
        <w:adjustRightInd w:val="0"/>
        <w:snapToGrid w:val="0"/>
        <w:spacing w:line="360" w:lineRule="auto"/>
        <w:ind w:firstLine="422" w:firstLineChars="200"/>
        <w:jc w:val="both"/>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1、项目范围</w:t>
      </w:r>
    </w:p>
    <w:p w14:paraId="35A7A9E9">
      <w:pPr>
        <w:keepNext w:val="0"/>
        <w:keepLines w:val="0"/>
        <w:pageBreakBefore w:val="0"/>
        <w:widowControl/>
        <w:kinsoku/>
        <w:wordWrap/>
        <w:overflowPunct/>
        <w:topLinePunct w:val="0"/>
        <w:autoSpaceDE/>
        <w:autoSpaceDN/>
        <w:bidi w:val="0"/>
        <w:adjustRightInd w:val="0"/>
        <w:snapToGrid w:val="0"/>
        <w:spacing w:line="360" w:lineRule="auto"/>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cs="宋体"/>
          <w:color w:val="auto"/>
          <w:sz w:val="21"/>
          <w:szCs w:val="21"/>
          <w:highlight w:val="none"/>
          <w:lang w:eastAsia="zh-CN"/>
        </w:rPr>
        <w:t>成交人</w:t>
      </w:r>
      <w:r>
        <w:rPr>
          <w:rFonts w:hint="eastAsia" w:ascii="宋体" w:hAnsi="宋体" w:eastAsia="宋体" w:cs="宋体"/>
          <w:color w:val="auto"/>
          <w:sz w:val="21"/>
          <w:szCs w:val="21"/>
          <w:highlight w:val="none"/>
        </w:rPr>
        <w:t>负责对应车型及采购区域内运输服务，车型包括：厢车及槽车，其中厢车包括：广州区域、深圳区域、莞惠区域和其他区域，槽车涵盖广东省全域，具体区域划分详见</w:t>
      </w:r>
      <w:r>
        <w:rPr>
          <w:rFonts w:hint="eastAsia" w:ascii="宋体" w:hAnsi="宋体" w:cs="宋体"/>
          <w:color w:val="auto"/>
          <w:sz w:val="21"/>
          <w:szCs w:val="21"/>
          <w:highlight w:val="none"/>
          <w:lang w:val="en-US" w:eastAsia="zh-CN"/>
        </w:rPr>
        <w:t>技术需求书</w:t>
      </w:r>
      <w:r>
        <w:rPr>
          <w:rFonts w:hint="eastAsia" w:ascii="宋体" w:hAnsi="宋体" w:eastAsia="宋体" w:cs="宋体"/>
          <w:color w:val="auto"/>
          <w:sz w:val="21"/>
          <w:szCs w:val="21"/>
          <w:highlight w:val="none"/>
        </w:rPr>
        <w:t>附件</w:t>
      </w:r>
      <w:r>
        <w:rPr>
          <w:rFonts w:hint="eastAsia" w:ascii="宋体" w:hAnsi="宋体" w:cs="宋体"/>
          <w:color w:val="auto"/>
          <w:sz w:val="21"/>
          <w:szCs w:val="21"/>
          <w:highlight w:val="none"/>
          <w:lang w:val="en-US" w:eastAsia="zh-CN"/>
        </w:rPr>
        <w:t>3</w:t>
      </w:r>
      <w:r>
        <w:rPr>
          <w:rFonts w:hint="eastAsia" w:ascii="宋体" w:hAnsi="宋体" w:eastAsia="宋体" w:cs="宋体"/>
          <w:color w:val="auto"/>
          <w:sz w:val="21"/>
          <w:szCs w:val="21"/>
          <w:highlight w:val="none"/>
        </w:rPr>
        <w:t>《</w:t>
      </w:r>
      <w:r>
        <w:rPr>
          <w:rFonts w:hint="eastAsia" w:ascii="宋体" w:hAnsi="宋体" w:cs="宋体"/>
          <w:color w:val="auto"/>
          <w:sz w:val="21"/>
          <w:szCs w:val="21"/>
          <w:highlight w:val="none"/>
          <w:lang w:eastAsia="zh-CN"/>
        </w:rPr>
        <w:t>危险废物运输</w:t>
      </w:r>
      <w:r>
        <w:rPr>
          <w:rFonts w:hint="eastAsia" w:ascii="宋体" w:hAnsi="宋体" w:cs="宋体"/>
          <w:color w:val="auto"/>
          <w:sz w:val="21"/>
          <w:szCs w:val="21"/>
          <w:highlight w:val="none"/>
          <w:lang w:val="en-US" w:eastAsia="zh-CN"/>
        </w:rPr>
        <w:t>预计车次</w:t>
      </w:r>
      <w:r>
        <w:rPr>
          <w:rFonts w:hint="eastAsia" w:ascii="宋体" w:hAnsi="宋体" w:eastAsia="宋体" w:cs="宋体"/>
          <w:color w:val="auto"/>
          <w:sz w:val="21"/>
          <w:szCs w:val="21"/>
          <w:highlight w:val="none"/>
        </w:rPr>
        <w:t>》，划分如下：</w:t>
      </w:r>
    </w:p>
    <w:tbl>
      <w:tblPr>
        <w:tblStyle w:val="28"/>
        <w:tblW w:w="8280" w:type="dxa"/>
        <w:tblInd w:w="93" w:type="dxa"/>
        <w:tblLayout w:type="autofit"/>
        <w:tblCellMar>
          <w:top w:w="0" w:type="dxa"/>
          <w:left w:w="108" w:type="dxa"/>
          <w:bottom w:w="0" w:type="dxa"/>
          <w:right w:w="108" w:type="dxa"/>
        </w:tblCellMar>
      </w:tblPr>
      <w:tblGrid>
        <w:gridCol w:w="979"/>
        <w:gridCol w:w="1266"/>
        <w:gridCol w:w="5040"/>
        <w:gridCol w:w="995"/>
      </w:tblGrid>
      <w:tr w14:paraId="42727D33">
        <w:tblPrEx>
          <w:tblCellMar>
            <w:top w:w="0" w:type="dxa"/>
            <w:left w:w="108" w:type="dxa"/>
            <w:bottom w:w="0" w:type="dxa"/>
            <w:right w:w="108" w:type="dxa"/>
          </w:tblCellMar>
        </w:tblPrEx>
        <w:trPr>
          <w:trHeight w:val="600" w:hRule="atLeast"/>
        </w:trPr>
        <w:tc>
          <w:tcPr>
            <w:tcW w:w="10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D167AD">
            <w:pPr>
              <w:widowControl/>
              <w:spacing w:line="240" w:lineRule="auto"/>
              <w:jc w:val="center"/>
              <w:textAlignment w:val="center"/>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bidi="ar"/>
              </w:rPr>
              <w:t>车型</w:t>
            </w:r>
          </w:p>
        </w:tc>
        <w:tc>
          <w:tcPr>
            <w:tcW w:w="108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264E54">
            <w:pPr>
              <w:widowControl/>
              <w:spacing w:line="240" w:lineRule="auto"/>
              <w:jc w:val="center"/>
              <w:textAlignment w:val="center"/>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bidi="ar"/>
              </w:rPr>
              <w:t>采购区域</w:t>
            </w:r>
          </w:p>
        </w:tc>
        <w:tc>
          <w:tcPr>
            <w:tcW w:w="50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4CFB49">
            <w:pPr>
              <w:widowControl/>
              <w:spacing w:line="240" w:lineRule="auto"/>
              <w:jc w:val="center"/>
              <w:textAlignment w:val="center"/>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bidi="ar"/>
              </w:rPr>
              <w:t>详细说明</w:t>
            </w:r>
          </w:p>
        </w:tc>
        <w:tc>
          <w:tcPr>
            <w:tcW w:w="10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14A684">
            <w:pPr>
              <w:widowControl/>
              <w:spacing w:line="240" w:lineRule="auto"/>
              <w:jc w:val="center"/>
              <w:textAlignment w:val="center"/>
              <w:rPr>
                <w:rFonts w:hint="eastAsia" w:ascii="宋体" w:hAnsi="宋体" w:eastAsia="宋体" w:cs="宋体"/>
                <w:b/>
                <w:bCs/>
                <w:color w:val="auto"/>
                <w:sz w:val="21"/>
                <w:szCs w:val="21"/>
                <w:highlight w:val="none"/>
              </w:rPr>
            </w:pPr>
            <w:r>
              <w:rPr>
                <w:rFonts w:hint="eastAsia" w:ascii="宋体" w:hAnsi="宋体" w:cs="宋体"/>
                <w:b/>
                <w:bCs/>
                <w:color w:val="auto"/>
                <w:kern w:val="0"/>
                <w:sz w:val="21"/>
                <w:szCs w:val="21"/>
                <w:highlight w:val="none"/>
                <w:lang w:val="en-US" w:eastAsia="zh-CN" w:bidi="ar"/>
              </w:rPr>
              <w:t>车次</w:t>
            </w:r>
            <w:r>
              <w:rPr>
                <w:rFonts w:hint="eastAsia" w:ascii="宋体" w:hAnsi="宋体" w:eastAsia="宋体" w:cs="宋体"/>
                <w:b/>
                <w:bCs/>
                <w:color w:val="auto"/>
                <w:kern w:val="0"/>
                <w:sz w:val="21"/>
                <w:szCs w:val="21"/>
                <w:highlight w:val="none"/>
                <w:lang w:bidi="ar"/>
              </w:rPr>
              <w:t>占比估计</w:t>
            </w:r>
          </w:p>
        </w:tc>
      </w:tr>
      <w:tr w14:paraId="3956F69A">
        <w:tblPrEx>
          <w:tblCellMar>
            <w:top w:w="0" w:type="dxa"/>
            <w:left w:w="108" w:type="dxa"/>
            <w:bottom w:w="0" w:type="dxa"/>
            <w:right w:w="108" w:type="dxa"/>
          </w:tblCellMar>
        </w:tblPrEx>
        <w:trPr>
          <w:trHeight w:val="600" w:hRule="atLeast"/>
        </w:trPr>
        <w:tc>
          <w:tcPr>
            <w:tcW w:w="108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F5EA682">
            <w:pPr>
              <w:widowControl/>
              <w:spacing w:line="240" w:lineRule="auto"/>
              <w:jc w:val="center"/>
              <w:textAlignment w:val="center"/>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bidi="ar"/>
              </w:rPr>
              <w:t>厢车</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93419E">
            <w:pPr>
              <w:widowControl/>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广州区域</w:t>
            </w:r>
          </w:p>
        </w:tc>
        <w:tc>
          <w:tcPr>
            <w:tcW w:w="5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8C589E">
            <w:pPr>
              <w:widowControl/>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广州（含限行区）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50B0B6">
            <w:pPr>
              <w:widowControl/>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21%</w:t>
            </w:r>
          </w:p>
        </w:tc>
      </w:tr>
      <w:tr w14:paraId="2260FA2E">
        <w:tblPrEx>
          <w:tblCellMar>
            <w:top w:w="0" w:type="dxa"/>
            <w:left w:w="108" w:type="dxa"/>
            <w:bottom w:w="0" w:type="dxa"/>
            <w:right w:w="108" w:type="dxa"/>
          </w:tblCellMar>
        </w:tblPrEx>
        <w:trPr>
          <w:trHeight w:val="60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E1C82E9">
            <w:pPr>
              <w:spacing w:line="240" w:lineRule="auto"/>
              <w:jc w:val="center"/>
              <w:rPr>
                <w:rFonts w:hint="eastAsia" w:ascii="宋体" w:hAnsi="宋体" w:eastAsia="宋体" w:cs="宋体"/>
                <w:b/>
                <w:bCs/>
                <w:color w:val="auto"/>
                <w:sz w:val="21"/>
                <w:szCs w:val="21"/>
                <w:highlight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DBBF72">
            <w:pPr>
              <w:widowControl/>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深圳区域</w:t>
            </w:r>
          </w:p>
        </w:tc>
        <w:tc>
          <w:tcPr>
            <w:tcW w:w="5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4EE186">
            <w:pPr>
              <w:widowControl/>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深圳（含限行区）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C137E4">
            <w:pPr>
              <w:widowControl/>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10%</w:t>
            </w:r>
          </w:p>
        </w:tc>
      </w:tr>
      <w:tr w14:paraId="54A38101">
        <w:tblPrEx>
          <w:tblCellMar>
            <w:top w:w="0" w:type="dxa"/>
            <w:left w:w="108" w:type="dxa"/>
            <w:bottom w:w="0" w:type="dxa"/>
            <w:right w:w="108" w:type="dxa"/>
          </w:tblCellMar>
        </w:tblPrEx>
        <w:trPr>
          <w:trHeight w:val="60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374A822">
            <w:pPr>
              <w:spacing w:line="240" w:lineRule="auto"/>
              <w:jc w:val="center"/>
              <w:rPr>
                <w:rFonts w:hint="eastAsia" w:ascii="宋体" w:hAnsi="宋体" w:eastAsia="宋体" w:cs="宋体"/>
                <w:b/>
                <w:bCs/>
                <w:color w:val="auto"/>
                <w:sz w:val="21"/>
                <w:szCs w:val="21"/>
                <w:highlight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0C4D2D">
            <w:pPr>
              <w:widowControl/>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莞惠区域</w:t>
            </w:r>
          </w:p>
        </w:tc>
        <w:tc>
          <w:tcPr>
            <w:tcW w:w="5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1ABF60">
            <w:pPr>
              <w:widowControl/>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东莞、惠州；（含以上城市限行区）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DC146B">
            <w:pPr>
              <w:widowControl/>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4</w:t>
            </w:r>
            <w:r>
              <w:rPr>
                <w:rFonts w:hint="eastAsia" w:ascii="宋体" w:hAnsi="宋体" w:cs="宋体"/>
                <w:color w:val="auto"/>
                <w:kern w:val="0"/>
                <w:sz w:val="21"/>
                <w:szCs w:val="21"/>
                <w:highlight w:val="none"/>
                <w:lang w:val="en-US" w:eastAsia="zh-CN" w:bidi="ar"/>
              </w:rPr>
              <w:t>2</w:t>
            </w:r>
            <w:r>
              <w:rPr>
                <w:rFonts w:hint="eastAsia" w:ascii="宋体" w:hAnsi="宋体" w:eastAsia="宋体" w:cs="宋体"/>
                <w:color w:val="auto"/>
                <w:kern w:val="0"/>
                <w:sz w:val="21"/>
                <w:szCs w:val="21"/>
                <w:highlight w:val="none"/>
                <w:lang w:bidi="ar"/>
              </w:rPr>
              <w:t>%</w:t>
            </w:r>
          </w:p>
        </w:tc>
      </w:tr>
      <w:tr w14:paraId="6E5DD43C">
        <w:tblPrEx>
          <w:tblCellMar>
            <w:top w:w="0" w:type="dxa"/>
            <w:left w:w="108" w:type="dxa"/>
            <w:bottom w:w="0" w:type="dxa"/>
            <w:right w:w="108" w:type="dxa"/>
          </w:tblCellMar>
        </w:tblPrEx>
        <w:trPr>
          <w:trHeight w:val="1140" w:hRule="atLeast"/>
        </w:trPr>
        <w:tc>
          <w:tcPr>
            <w:tcW w:w="108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1F0AA57">
            <w:pPr>
              <w:spacing w:line="240" w:lineRule="auto"/>
              <w:jc w:val="center"/>
              <w:rPr>
                <w:rFonts w:hint="eastAsia" w:ascii="宋体" w:hAnsi="宋体" w:eastAsia="宋体" w:cs="宋体"/>
                <w:b/>
                <w:bCs/>
                <w:color w:val="auto"/>
                <w:sz w:val="21"/>
                <w:szCs w:val="21"/>
                <w:highlight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E4078B">
            <w:pPr>
              <w:widowControl/>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其他区域</w:t>
            </w:r>
          </w:p>
        </w:tc>
        <w:tc>
          <w:tcPr>
            <w:tcW w:w="5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3EC168">
            <w:pPr>
              <w:widowControl/>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韶关、汕尾、河源、梅州、汕头、潮州、揭阳、肇庆、佛山、中山、珠海、江门、阳江、茂名、云浮、湛江、清远；（含以上城市限行区）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98BE1D">
            <w:pPr>
              <w:widowControl/>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cs="宋体"/>
                <w:color w:val="auto"/>
                <w:kern w:val="0"/>
                <w:sz w:val="21"/>
                <w:szCs w:val="21"/>
                <w:highlight w:val="none"/>
                <w:lang w:val="en-US" w:eastAsia="zh-CN" w:bidi="ar"/>
              </w:rPr>
              <w:t>13</w:t>
            </w:r>
            <w:r>
              <w:rPr>
                <w:rFonts w:hint="eastAsia" w:ascii="宋体" w:hAnsi="宋体" w:eastAsia="宋体" w:cs="宋体"/>
                <w:color w:val="auto"/>
                <w:kern w:val="0"/>
                <w:sz w:val="21"/>
                <w:szCs w:val="21"/>
                <w:highlight w:val="none"/>
                <w:lang w:bidi="ar"/>
              </w:rPr>
              <w:t>%</w:t>
            </w:r>
          </w:p>
        </w:tc>
      </w:tr>
      <w:tr w14:paraId="68D728EA">
        <w:tblPrEx>
          <w:tblCellMar>
            <w:top w:w="0" w:type="dxa"/>
            <w:left w:w="108" w:type="dxa"/>
            <w:bottom w:w="0" w:type="dxa"/>
            <w:right w:w="108" w:type="dxa"/>
          </w:tblCellMar>
        </w:tblPrEx>
        <w:trPr>
          <w:trHeight w:val="600" w:hRule="atLeast"/>
        </w:trPr>
        <w:tc>
          <w:tcPr>
            <w:tcW w:w="108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9C6BC8">
            <w:pPr>
              <w:widowControl/>
              <w:spacing w:line="240" w:lineRule="auto"/>
              <w:jc w:val="center"/>
              <w:textAlignment w:val="center"/>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bidi="ar"/>
              </w:rPr>
              <w:t>槽车</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CEB77D">
            <w:pPr>
              <w:widowControl/>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广东省全域</w:t>
            </w:r>
          </w:p>
        </w:tc>
        <w:tc>
          <w:tcPr>
            <w:tcW w:w="5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97CA2B">
            <w:pPr>
              <w:widowControl/>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韶关、惠州、汕尾、河源、梅州、汕头、潮州、揭阳、广州、深圳、东莞、肇庆、佛山、中山、珠海、江门、阳江、茂名、云浮、湛江、清远；（</w:t>
            </w:r>
            <w:r>
              <w:rPr>
                <w:rStyle w:val="84"/>
                <w:rFonts w:hint="eastAsia" w:ascii="宋体" w:hAnsi="宋体" w:eastAsia="宋体" w:cs="宋体"/>
                <w:color w:val="auto"/>
                <w:sz w:val="21"/>
                <w:szCs w:val="21"/>
                <w:highlight w:val="none"/>
                <w:lang w:bidi="ar"/>
              </w:rPr>
              <w:t>含以上城市限行区</w:t>
            </w:r>
            <w:r>
              <w:rPr>
                <w:rStyle w:val="85"/>
                <w:rFonts w:hint="eastAsia" w:ascii="宋体" w:hAnsi="宋体" w:eastAsia="宋体" w:cs="宋体"/>
                <w:color w:val="auto"/>
                <w:sz w:val="21"/>
                <w:szCs w:val="21"/>
                <w:highlight w:val="none"/>
                <w:lang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7A6A84">
            <w:pPr>
              <w:widowControl/>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1</w:t>
            </w:r>
            <w:r>
              <w:rPr>
                <w:rFonts w:hint="eastAsia" w:ascii="宋体" w:hAnsi="宋体" w:cs="宋体"/>
                <w:color w:val="auto"/>
                <w:kern w:val="0"/>
                <w:sz w:val="21"/>
                <w:szCs w:val="21"/>
                <w:highlight w:val="none"/>
                <w:lang w:val="en-US" w:eastAsia="zh-CN" w:bidi="ar"/>
              </w:rPr>
              <w:t>4</w:t>
            </w:r>
            <w:r>
              <w:rPr>
                <w:rFonts w:hint="eastAsia" w:ascii="宋体" w:hAnsi="宋体" w:eastAsia="宋体" w:cs="宋体"/>
                <w:color w:val="auto"/>
                <w:kern w:val="0"/>
                <w:sz w:val="21"/>
                <w:szCs w:val="21"/>
                <w:highlight w:val="none"/>
                <w:lang w:bidi="ar"/>
              </w:rPr>
              <w:t>%</w:t>
            </w:r>
          </w:p>
        </w:tc>
      </w:tr>
    </w:tbl>
    <w:p w14:paraId="33CA0B55">
      <w:pPr>
        <w:spacing w:line="360" w:lineRule="auto"/>
        <w:ind w:firstLine="422" w:firstLineChars="200"/>
        <w:jc w:val="both"/>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2、采购预算</w:t>
      </w:r>
    </w:p>
    <w:p w14:paraId="6C733D28">
      <w:pPr>
        <w:spacing w:line="360" w:lineRule="auto"/>
        <w:ind w:firstLine="420" w:firstLineChars="200"/>
        <w:jc w:val="both"/>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本次采购自签订合同1年，综合测评的本次招采购全年预算约1275万元，其中各采购区域的预算</w:t>
      </w:r>
      <w:r>
        <w:rPr>
          <w:rFonts w:hint="eastAsia" w:ascii="宋体" w:hAnsi="宋体" w:cs="宋体"/>
          <w:color w:val="auto"/>
          <w:sz w:val="21"/>
          <w:szCs w:val="21"/>
          <w:highlight w:val="none"/>
          <w:lang w:val="en-US" w:eastAsia="zh-CN"/>
        </w:rPr>
        <w:t>测算</w:t>
      </w:r>
      <w:r>
        <w:rPr>
          <w:rFonts w:hint="eastAsia" w:ascii="宋体" w:hAnsi="宋体" w:eastAsia="宋体" w:cs="宋体"/>
          <w:color w:val="auto"/>
          <w:sz w:val="21"/>
          <w:szCs w:val="21"/>
          <w:highlight w:val="none"/>
        </w:rPr>
        <w:t>如下所示：</w:t>
      </w:r>
    </w:p>
    <w:tbl>
      <w:tblPr>
        <w:tblStyle w:val="28"/>
        <w:tblW w:w="4999" w:type="pct"/>
        <w:tblInd w:w="0" w:type="dxa"/>
        <w:tblLayout w:type="autofit"/>
        <w:tblCellMar>
          <w:top w:w="0" w:type="dxa"/>
          <w:left w:w="108" w:type="dxa"/>
          <w:bottom w:w="0" w:type="dxa"/>
          <w:right w:w="108" w:type="dxa"/>
        </w:tblCellMar>
      </w:tblPr>
      <w:tblGrid>
        <w:gridCol w:w="2500"/>
        <w:gridCol w:w="3462"/>
        <w:gridCol w:w="2558"/>
      </w:tblGrid>
      <w:tr w14:paraId="17D56610">
        <w:tblPrEx>
          <w:tblCellMar>
            <w:top w:w="0" w:type="dxa"/>
            <w:left w:w="108" w:type="dxa"/>
            <w:bottom w:w="0" w:type="dxa"/>
            <w:right w:w="108" w:type="dxa"/>
          </w:tblCellMar>
        </w:tblPrEx>
        <w:trPr>
          <w:trHeight w:val="103" w:hRule="atLeast"/>
        </w:trPr>
        <w:tc>
          <w:tcPr>
            <w:tcW w:w="14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D38184">
            <w:pPr>
              <w:widowControl/>
              <w:jc w:val="center"/>
              <w:textAlignment w:val="center"/>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bidi="ar"/>
              </w:rPr>
              <w:t>车型</w:t>
            </w:r>
          </w:p>
        </w:tc>
        <w:tc>
          <w:tcPr>
            <w:tcW w:w="20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ABC89E">
            <w:pPr>
              <w:widowControl/>
              <w:jc w:val="center"/>
              <w:textAlignment w:val="center"/>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bidi="ar"/>
              </w:rPr>
              <w:t>采购区域</w:t>
            </w:r>
          </w:p>
        </w:tc>
        <w:tc>
          <w:tcPr>
            <w:tcW w:w="15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DDA9FF">
            <w:pPr>
              <w:widowControl/>
              <w:jc w:val="center"/>
              <w:textAlignment w:val="center"/>
              <w:rPr>
                <w:rFonts w:hint="default" w:ascii="宋体" w:hAnsi="宋体" w:eastAsia="宋体" w:cs="宋体"/>
                <w:b/>
                <w:bCs/>
                <w:color w:val="auto"/>
                <w:sz w:val="21"/>
                <w:szCs w:val="21"/>
                <w:highlight w:val="none"/>
                <w:lang w:val="en-US" w:eastAsia="zh-CN"/>
              </w:rPr>
            </w:pPr>
            <w:r>
              <w:rPr>
                <w:rFonts w:hint="eastAsia" w:ascii="宋体" w:hAnsi="宋体" w:cs="宋体"/>
                <w:b/>
                <w:bCs/>
                <w:color w:val="auto"/>
                <w:kern w:val="0"/>
                <w:sz w:val="21"/>
                <w:szCs w:val="21"/>
                <w:highlight w:val="none"/>
                <w:lang w:val="en-US" w:eastAsia="zh-CN" w:bidi="ar"/>
              </w:rPr>
              <w:t>各区域预算（万元）</w:t>
            </w:r>
          </w:p>
        </w:tc>
      </w:tr>
      <w:tr w14:paraId="6040F050">
        <w:tblPrEx>
          <w:tblCellMar>
            <w:top w:w="0" w:type="dxa"/>
            <w:left w:w="108" w:type="dxa"/>
            <w:bottom w:w="0" w:type="dxa"/>
            <w:right w:w="108" w:type="dxa"/>
          </w:tblCellMar>
        </w:tblPrEx>
        <w:trPr>
          <w:trHeight w:val="90" w:hRule="atLeast"/>
        </w:trPr>
        <w:tc>
          <w:tcPr>
            <w:tcW w:w="146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76BE3F9">
            <w:pPr>
              <w:widowControl/>
              <w:jc w:val="center"/>
              <w:textAlignment w:val="center"/>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bidi="ar"/>
              </w:rPr>
              <w:t>厢车</w:t>
            </w:r>
          </w:p>
        </w:tc>
        <w:tc>
          <w:tcPr>
            <w:tcW w:w="20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1F3FF9">
            <w:pPr>
              <w:widowControl/>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广州区域</w:t>
            </w:r>
          </w:p>
        </w:tc>
        <w:tc>
          <w:tcPr>
            <w:tcW w:w="15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D7E559">
            <w:pPr>
              <w:widowControl/>
              <w:jc w:val="center"/>
              <w:textAlignment w:val="center"/>
              <w:rPr>
                <w:rFonts w:hint="default" w:ascii="宋体" w:hAnsi="宋体" w:eastAsia="宋体" w:cs="宋体"/>
                <w:color w:val="auto"/>
                <w:sz w:val="21"/>
                <w:szCs w:val="21"/>
                <w:highlight w:val="none"/>
                <w:lang w:val="en-US" w:eastAsia="zh-CN"/>
              </w:rPr>
            </w:pPr>
            <w:r>
              <w:rPr>
                <w:rFonts w:hint="eastAsia" w:ascii="宋体" w:hAnsi="宋体" w:cs="宋体"/>
                <w:color w:val="auto"/>
                <w:kern w:val="0"/>
                <w:sz w:val="21"/>
                <w:szCs w:val="21"/>
                <w:highlight w:val="none"/>
                <w:lang w:val="en-US" w:eastAsia="zh-CN" w:bidi="ar"/>
              </w:rPr>
              <w:t>225</w:t>
            </w:r>
          </w:p>
        </w:tc>
      </w:tr>
      <w:tr w14:paraId="137B7A55">
        <w:tblPrEx>
          <w:tblCellMar>
            <w:top w:w="0" w:type="dxa"/>
            <w:left w:w="108" w:type="dxa"/>
            <w:bottom w:w="0" w:type="dxa"/>
            <w:right w:w="108" w:type="dxa"/>
          </w:tblCellMar>
        </w:tblPrEx>
        <w:trPr>
          <w:trHeight w:val="90" w:hRule="atLeast"/>
        </w:trPr>
        <w:tc>
          <w:tcPr>
            <w:tcW w:w="146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9F81032">
            <w:pPr>
              <w:jc w:val="center"/>
              <w:rPr>
                <w:rFonts w:hint="eastAsia" w:ascii="宋体" w:hAnsi="宋体" w:eastAsia="宋体" w:cs="宋体"/>
                <w:b/>
                <w:bCs/>
                <w:color w:val="auto"/>
                <w:sz w:val="21"/>
                <w:szCs w:val="21"/>
                <w:highlight w:val="none"/>
              </w:rPr>
            </w:pPr>
          </w:p>
        </w:tc>
        <w:tc>
          <w:tcPr>
            <w:tcW w:w="20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9262A0">
            <w:pPr>
              <w:widowControl/>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深圳区域</w:t>
            </w:r>
          </w:p>
        </w:tc>
        <w:tc>
          <w:tcPr>
            <w:tcW w:w="15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A0E61C">
            <w:pPr>
              <w:widowControl/>
              <w:jc w:val="center"/>
              <w:textAlignment w:val="center"/>
              <w:rPr>
                <w:rFonts w:hint="default" w:ascii="宋体" w:hAnsi="宋体" w:eastAsia="宋体" w:cs="宋体"/>
                <w:color w:val="auto"/>
                <w:sz w:val="21"/>
                <w:szCs w:val="21"/>
                <w:highlight w:val="none"/>
                <w:lang w:val="en-US" w:eastAsia="zh-CN"/>
              </w:rPr>
            </w:pPr>
            <w:r>
              <w:rPr>
                <w:rFonts w:hint="eastAsia" w:ascii="宋体" w:hAnsi="宋体" w:cs="宋体"/>
                <w:color w:val="auto"/>
                <w:kern w:val="0"/>
                <w:sz w:val="21"/>
                <w:szCs w:val="21"/>
                <w:highlight w:val="none"/>
                <w:lang w:val="en-US" w:eastAsia="zh-CN" w:bidi="ar"/>
              </w:rPr>
              <w:t>120</w:t>
            </w:r>
          </w:p>
        </w:tc>
      </w:tr>
      <w:tr w14:paraId="3FBBA745">
        <w:tblPrEx>
          <w:tblCellMar>
            <w:top w:w="0" w:type="dxa"/>
            <w:left w:w="108" w:type="dxa"/>
            <w:bottom w:w="0" w:type="dxa"/>
            <w:right w:w="108" w:type="dxa"/>
          </w:tblCellMar>
        </w:tblPrEx>
        <w:trPr>
          <w:trHeight w:val="90" w:hRule="atLeast"/>
        </w:trPr>
        <w:tc>
          <w:tcPr>
            <w:tcW w:w="146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B2873D9">
            <w:pPr>
              <w:jc w:val="center"/>
              <w:rPr>
                <w:rFonts w:hint="eastAsia" w:ascii="宋体" w:hAnsi="宋体" w:eastAsia="宋体" w:cs="宋体"/>
                <w:b/>
                <w:bCs/>
                <w:color w:val="auto"/>
                <w:sz w:val="21"/>
                <w:szCs w:val="21"/>
                <w:highlight w:val="none"/>
              </w:rPr>
            </w:pPr>
          </w:p>
        </w:tc>
        <w:tc>
          <w:tcPr>
            <w:tcW w:w="20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06FE7D">
            <w:pPr>
              <w:widowControl/>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莞惠区域</w:t>
            </w:r>
          </w:p>
        </w:tc>
        <w:tc>
          <w:tcPr>
            <w:tcW w:w="15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E772E4">
            <w:pPr>
              <w:widowControl/>
              <w:jc w:val="center"/>
              <w:textAlignment w:val="center"/>
              <w:rPr>
                <w:rFonts w:hint="default" w:ascii="宋体" w:hAnsi="宋体" w:eastAsia="宋体" w:cs="宋体"/>
                <w:color w:val="auto"/>
                <w:sz w:val="21"/>
                <w:szCs w:val="21"/>
                <w:highlight w:val="none"/>
                <w:lang w:val="en-US" w:eastAsia="zh-CN"/>
              </w:rPr>
            </w:pPr>
            <w:r>
              <w:rPr>
                <w:rFonts w:hint="eastAsia" w:ascii="宋体" w:hAnsi="宋体" w:cs="宋体"/>
                <w:color w:val="auto"/>
                <w:kern w:val="0"/>
                <w:sz w:val="21"/>
                <w:szCs w:val="21"/>
                <w:highlight w:val="none"/>
                <w:lang w:val="en-US" w:eastAsia="zh-CN" w:bidi="ar"/>
              </w:rPr>
              <w:t>450</w:t>
            </w:r>
          </w:p>
        </w:tc>
      </w:tr>
      <w:tr w14:paraId="655C77E9">
        <w:tblPrEx>
          <w:tblCellMar>
            <w:top w:w="0" w:type="dxa"/>
            <w:left w:w="108" w:type="dxa"/>
            <w:bottom w:w="0" w:type="dxa"/>
            <w:right w:w="108" w:type="dxa"/>
          </w:tblCellMar>
        </w:tblPrEx>
        <w:trPr>
          <w:trHeight w:val="90" w:hRule="atLeast"/>
        </w:trPr>
        <w:tc>
          <w:tcPr>
            <w:tcW w:w="146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8066DF1">
            <w:pPr>
              <w:jc w:val="center"/>
              <w:rPr>
                <w:rFonts w:hint="eastAsia" w:ascii="宋体" w:hAnsi="宋体" w:eastAsia="宋体" w:cs="宋体"/>
                <w:b/>
                <w:bCs/>
                <w:color w:val="auto"/>
                <w:sz w:val="21"/>
                <w:szCs w:val="21"/>
                <w:highlight w:val="none"/>
              </w:rPr>
            </w:pPr>
          </w:p>
        </w:tc>
        <w:tc>
          <w:tcPr>
            <w:tcW w:w="20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206D3E">
            <w:pPr>
              <w:widowControl/>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其他区域</w:t>
            </w:r>
          </w:p>
        </w:tc>
        <w:tc>
          <w:tcPr>
            <w:tcW w:w="15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A6C048">
            <w:pPr>
              <w:widowControl/>
              <w:jc w:val="center"/>
              <w:textAlignment w:val="center"/>
              <w:rPr>
                <w:rFonts w:hint="default" w:ascii="宋体" w:hAnsi="宋体" w:eastAsia="宋体" w:cs="宋体"/>
                <w:color w:val="auto"/>
                <w:sz w:val="21"/>
                <w:szCs w:val="21"/>
                <w:highlight w:val="none"/>
                <w:lang w:val="en-US" w:eastAsia="zh-CN"/>
              </w:rPr>
            </w:pPr>
            <w:r>
              <w:rPr>
                <w:rFonts w:hint="eastAsia" w:ascii="宋体" w:hAnsi="宋体" w:cs="宋体"/>
                <w:color w:val="auto"/>
                <w:kern w:val="0"/>
                <w:sz w:val="21"/>
                <w:szCs w:val="21"/>
                <w:highlight w:val="none"/>
                <w:lang w:val="en-US" w:eastAsia="zh-CN" w:bidi="ar"/>
              </w:rPr>
              <w:t>200</w:t>
            </w:r>
          </w:p>
        </w:tc>
      </w:tr>
      <w:tr w14:paraId="1EDDC2CF">
        <w:tblPrEx>
          <w:tblCellMar>
            <w:top w:w="0" w:type="dxa"/>
            <w:left w:w="108" w:type="dxa"/>
            <w:bottom w:w="0" w:type="dxa"/>
            <w:right w:w="108" w:type="dxa"/>
          </w:tblCellMar>
        </w:tblPrEx>
        <w:trPr>
          <w:trHeight w:val="90" w:hRule="atLeast"/>
        </w:trPr>
        <w:tc>
          <w:tcPr>
            <w:tcW w:w="14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44D93C">
            <w:pPr>
              <w:widowControl/>
              <w:jc w:val="center"/>
              <w:textAlignment w:val="center"/>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bidi="ar"/>
              </w:rPr>
              <w:t>槽车</w:t>
            </w:r>
          </w:p>
        </w:tc>
        <w:tc>
          <w:tcPr>
            <w:tcW w:w="203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E68FB8">
            <w:pPr>
              <w:widowControl/>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广东省全域</w:t>
            </w:r>
          </w:p>
        </w:tc>
        <w:tc>
          <w:tcPr>
            <w:tcW w:w="15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4117A2">
            <w:pPr>
              <w:widowControl/>
              <w:jc w:val="center"/>
              <w:textAlignment w:val="center"/>
              <w:rPr>
                <w:rFonts w:hint="default" w:ascii="宋体" w:hAnsi="宋体" w:eastAsia="宋体" w:cs="宋体"/>
                <w:color w:val="auto"/>
                <w:sz w:val="21"/>
                <w:szCs w:val="21"/>
                <w:highlight w:val="none"/>
                <w:lang w:val="en-US" w:eastAsia="zh-CN"/>
              </w:rPr>
            </w:pPr>
            <w:r>
              <w:rPr>
                <w:rFonts w:hint="eastAsia" w:ascii="宋体" w:hAnsi="宋体" w:cs="宋体"/>
                <w:color w:val="auto"/>
                <w:kern w:val="0"/>
                <w:sz w:val="21"/>
                <w:szCs w:val="21"/>
                <w:highlight w:val="none"/>
                <w:lang w:val="en-US" w:eastAsia="zh-CN" w:bidi="ar"/>
              </w:rPr>
              <w:t>280</w:t>
            </w:r>
          </w:p>
        </w:tc>
      </w:tr>
      <w:tr w14:paraId="6F0EDD23">
        <w:tblPrEx>
          <w:tblCellMar>
            <w:top w:w="0" w:type="dxa"/>
            <w:left w:w="108" w:type="dxa"/>
            <w:bottom w:w="0" w:type="dxa"/>
            <w:right w:w="108" w:type="dxa"/>
          </w:tblCellMar>
        </w:tblPrEx>
        <w:trPr>
          <w:trHeight w:val="90" w:hRule="atLeast"/>
        </w:trPr>
        <w:tc>
          <w:tcPr>
            <w:tcW w:w="34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DA281E6">
            <w:pPr>
              <w:widowControl/>
              <w:jc w:val="center"/>
              <w:textAlignment w:val="center"/>
              <w:rPr>
                <w:rFonts w:hint="eastAsia" w:ascii="宋体" w:hAnsi="宋体" w:eastAsia="宋体" w:cs="宋体"/>
                <w:color w:val="auto"/>
                <w:kern w:val="0"/>
                <w:sz w:val="21"/>
                <w:szCs w:val="21"/>
                <w:highlight w:val="none"/>
                <w:lang w:bidi="ar"/>
              </w:rPr>
            </w:pPr>
            <w:r>
              <w:rPr>
                <w:rFonts w:hint="eastAsia" w:ascii="宋体" w:hAnsi="宋体" w:eastAsia="宋体" w:cs="宋体"/>
                <w:color w:val="auto"/>
                <w:kern w:val="0"/>
                <w:sz w:val="21"/>
                <w:szCs w:val="21"/>
                <w:highlight w:val="none"/>
                <w:lang w:bidi="ar"/>
              </w:rPr>
              <w:t>合计</w:t>
            </w:r>
          </w:p>
        </w:tc>
        <w:tc>
          <w:tcPr>
            <w:tcW w:w="15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DD3163">
            <w:pPr>
              <w:widowControl/>
              <w:jc w:val="center"/>
              <w:textAlignment w:val="center"/>
              <w:rPr>
                <w:rFonts w:hint="default" w:ascii="宋体" w:hAnsi="宋体" w:eastAsia="宋体" w:cs="宋体"/>
                <w:color w:val="auto"/>
                <w:kern w:val="0"/>
                <w:sz w:val="21"/>
                <w:szCs w:val="21"/>
                <w:highlight w:val="none"/>
                <w:lang w:val="en-US" w:eastAsia="zh-CN" w:bidi="ar"/>
              </w:rPr>
            </w:pPr>
            <w:r>
              <w:rPr>
                <w:rFonts w:hint="eastAsia" w:ascii="宋体" w:hAnsi="宋体" w:cs="宋体"/>
                <w:color w:val="auto"/>
                <w:kern w:val="0"/>
                <w:sz w:val="21"/>
                <w:szCs w:val="21"/>
                <w:highlight w:val="none"/>
                <w:lang w:val="en-US" w:eastAsia="zh-CN" w:bidi="ar"/>
              </w:rPr>
              <w:t>1275</w:t>
            </w:r>
          </w:p>
        </w:tc>
      </w:tr>
    </w:tbl>
    <w:p w14:paraId="062DF19E">
      <w:pPr>
        <w:spacing w:line="360" w:lineRule="auto"/>
        <w:ind w:left="0" w:leftChars="0" w:firstLine="422" w:firstLineChars="200"/>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3、车型需求</w:t>
      </w:r>
    </w:p>
    <w:p w14:paraId="632472C3">
      <w:pPr>
        <w:keepNext w:val="0"/>
        <w:keepLines w:val="0"/>
        <w:pageBreakBefore w:val="0"/>
        <w:widowControl/>
        <w:kinsoku/>
        <w:wordWrap/>
        <w:overflowPunct/>
        <w:topLinePunct w:val="0"/>
        <w:autoSpaceDE/>
        <w:autoSpaceDN/>
        <w:bidi w:val="0"/>
        <w:adjustRightInd w:val="0"/>
        <w:snapToGrid w:val="0"/>
        <w:spacing w:line="360" w:lineRule="auto"/>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此次采购需求车型为以下几种：</w:t>
      </w:r>
    </w:p>
    <w:p w14:paraId="0BC43FD5">
      <w:pPr>
        <w:keepNext w:val="0"/>
        <w:keepLines w:val="0"/>
        <w:pageBreakBefore w:val="0"/>
        <w:widowControl/>
        <w:kinsoku/>
        <w:wordWrap/>
        <w:overflowPunct/>
        <w:topLinePunct w:val="0"/>
        <w:autoSpaceDE/>
        <w:autoSpaceDN/>
        <w:bidi w:val="0"/>
        <w:adjustRightInd w:val="0"/>
        <w:snapToGrid w:val="0"/>
        <w:spacing w:line="360" w:lineRule="auto"/>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（1）厢车车型主要包括，5.2米厢车、7.6米厢车、9.6米厢车、12米-13米挂车。</w:t>
      </w:r>
    </w:p>
    <w:p w14:paraId="719D2FE6">
      <w:pPr>
        <w:keepNext w:val="0"/>
        <w:keepLines w:val="0"/>
        <w:pageBreakBefore w:val="0"/>
        <w:widowControl/>
        <w:kinsoku/>
        <w:wordWrap/>
        <w:overflowPunct/>
        <w:topLinePunct w:val="0"/>
        <w:autoSpaceDE/>
        <w:autoSpaceDN/>
        <w:bidi w:val="0"/>
        <w:adjustRightInd w:val="0"/>
        <w:snapToGrid w:val="0"/>
        <w:spacing w:line="360" w:lineRule="auto"/>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（2）槽车车型：18立方米槽车、30立方米槽车</w:t>
      </w:r>
    </w:p>
    <w:p w14:paraId="0AE4AEDA">
      <w:pPr>
        <w:keepNext w:val="0"/>
        <w:keepLines w:val="0"/>
        <w:pageBreakBefore w:val="0"/>
        <w:widowControl/>
        <w:kinsoku/>
        <w:wordWrap/>
        <w:overflowPunct/>
        <w:topLinePunct w:val="0"/>
        <w:autoSpaceDE/>
        <w:autoSpaceDN/>
        <w:bidi w:val="0"/>
        <w:adjustRightInd w:val="0"/>
        <w:snapToGrid w:val="0"/>
        <w:ind w:firstLine="422" w:firstLineChars="200"/>
        <w:jc w:val="both"/>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（二）采购说明</w:t>
      </w:r>
    </w:p>
    <w:p w14:paraId="73D274CA">
      <w:pPr>
        <w:keepNext w:val="0"/>
        <w:keepLines w:val="0"/>
        <w:pageBreakBefore w:val="0"/>
        <w:widowControl/>
        <w:kinsoku/>
        <w:wordWrap/>
        <w:overflowPunct/>
        <w:topLinePunct w:val="0"/>
        <w:autoSpaceDE/>
        <w:autoSpaceDN/>
        <w:bidi w:val="0"/>
        <w:adjustRightInd w:val="0"/>
        <w:snapToGrid w:val="0"/>
        <w:spacing w:line="360" w:lineRule="auto"/>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1、车型需求，此次采购需求车型为以下几种：</w:t>
      </w:r>
    </w:p>
    <w:p w14:paraId="6E0B24C3">
      <w:pPr>
        <w:keepNext w:val="0"/>
        <w:keepLines w:val="0"/>
        <w:pageBreakBefore w:val="0"/>
        <w:widowControl/>
        <w:kinsoku/>
        <w:wordWrap/>
        <w:overflowPunct/>
        <w:topLinePunct w:val="0"/>
        <w:autoSpaceDE/>
        <w:autoSpaceDN/>
        <w:bidi w:val="0"/>
        <w:adjustRightInd w:val="0"/>
        <w:snapToGrid w:val="0"/>
        <w:spacing w:line="360" w:lineRule="auto"/>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（1）厢车车型主要包括：5.2米厢车、7.6米厢车、9.6米厢车、12.5米挂车。</w:t>
      </w:r>
    </w:p>
    <w:p w14:paraId="750DF035">
      <w:pPr>
        <w:keepNext w:val="0"/>
        <w:keepLines w:val="0"/>
        <w:pageBreakBefore w:val="0"/>
        <w:widowControl/>
        <w:kinsoku/>
        <w:wordWrap/>
        <w:overflowPunct/>
        <w:topLinePunct w:val="0"/>
        <w:autoSpaceDE/>
        <w:autoSpaceDN/>
        <w:bidi w:val="0"/>
        <w:adjustRightInd w:val="0"/>
        <w:snapToGrid w:val="0"/>
        <w:spacing w:line="360" w:lineRule="auto"/>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（2）槽车车型：18立方米槽车、30立方米槽车</w:t>
      </w:r>
    </w:p>
    <w:p w14:paraId="0AB3E176">
      <w:pPr>
        <w:keepNext w:val="0"/>
        <w:keepLines w:val="0"/>
        <w:pageBreakBefore w:val="0"/>
        <w:widowControl/>
        <w:kinsoku/>
        <w:wordWrap/>
        <w:overflowPunct/>
        <w:topLinePunct w:val="0"/>
        <w:autoSpaceDE/>
        <w:autoSpaceDN/>
        <w:bidi w:val="0"/>
        <w:adjustRightInd w:val="0"/>
        <w:snapToGrid w:val="0"/>
        <w:spacing w:line="360" w:lineRule="auto"/>
        <w:ind w:firstLine="420" w:firstLineChars="200"/>
        <w:jc w:val="both"/>
        <w:textAlignment w:val="auto"/>
        <w:rPr>
          <w:rFonts w:hint="eastAsia" w:ascii="宋体" w:hAnsi="宋体" w:eastAsia="宋体" w:cs="宋体"/>
          <w:b/>
          <w:bCs/>
          <w:color w:val="auto"/>
          <w:sz w:val="21"/>
          <w:szCs w:val="21"/>
          <w:highlight w:val="none"/>
        </w:rPr>
      </w:pPr>
      <w:r>
        <w:rPr>
          <w:rFonts w:hint="eastAsia" w:ascii="宋体" w:hAnsi="宋体" w:eastAsia="宋体" w:cs="宋体"/>
          <w:color w:val="auto"/>
          <w:sz w:val="21"/>
          <w:szCs w:val="21"/>
          <w:highlight w:val="none"/>
        </w:rPr>
        <w:t>2、派单原则：报价人可对上述各采购区域进行多区域兼投兼中，各采购区域确定 2 家服务单位，以“一用一备，优先使用最低价服务单位</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lang w:val="en-US" w:eastAsia="zh-CN"/>
        </w:rPr>
        <w:t>派单比例不少于60%）</w:t>
      </w:r>
      <w:r>
        <w:rPr>
          <w:rFonts w:hint="eastAsia" w:ascii="宋体" w:hAnsi="宋体" w:eastAsia="宋体" w:cs="宋体"/>
          <w:color w:val="auto"/>
          <w:sz w:val="21"/>
          <w:szCs w:val="21"/>
          <w:highlight w:val="none"/>
        </w:rPr>
        <w:t>”的派单原则开展服务，</w:t>
      </w:r>
      <w:r>
        <w:rPr>
          <w:rFonts w:hint="eastAsia" w:ascii="宋体" w:hAnsi="宋体" w:eastAsia="宋体" w:cs="宋体"/>
          <w:b/>
          <w:bCs/>
          <w:color w:val="auto"/>
          <w:sz w:val="21"/>
          <w:szCs w:val="21"/>
          <w:highlight w:val="none"/>
        </w:rPr>
        <w:t>若</w:t>
      </w:r>
      <w:r>
        <w:rPr>
          <w:rFonts w:hint="eastAsia" w:ascii="宋体" w:hAnsi="宋体" w:cs="宋体"/>
          <w:b/>
          <w:bCs/>
          <w:color w:val="auto"/>
          <w:sz w:val="21"/>
          <w:szCs w:val="21"/>
          <w:highlight w:val="none"/>
          <w:lang w:eastAsia="zh-CN"/>
        </w:rPr>
        <w:t>成交人</w:t>
      </w:r>
      <w:r>
        <w:rPr>
          <w:rFonts w:hint="eastAsia" w:ascii="宋体" w:hAnsi="宋体" w:eastAsia="宋体" w:cs="宋体"/>
          <w:b/>
          <w:bCs/>
          <w:color w:val="auto"/>
          <w:sz w:val="21"/>
          <w:szCs w:val="21"/>
          <w:highlight w:val="none"/>
        </w:rPr>
        <w:t>产生跳单情况，采购人有权降低给其的派单数量。</w:t>
      </w:r>
    </w:p>
    <w:p w14:paraId="5C336DB5">
      <w:pPr>
        <w:keepNext w:val="0"/>
        <w:keepLines w:val="0"/>
        <w:pageBreakBefore w:val="0"/>
        <w:widowControl/>
        <w:kinsoku/>
        <w:wordWrap/>
        <w:overflowPunct/>
        <w:topLinePunct w:val="0"/>
        <w:autoSpaceDE/>
        <w:autoSpaceDN/>
        <w:bidi w:val="0"/>
        <w:adjustRightInd w:val="0"/>
        <w:snapToGrid w:val="0"/>
        <w:spacing w:line="360" w:lineRule="auto"/>
        <w:ind w:firstLine="420" w:firstLineChars="200"/>
        <w:jc w:val="both"/>
        <w:textAlignment w:val="auto"/>
        <w:rPr>
          <w:rFonts w:hint="eastAsia" w:ascii="宋体" w:hAnsi="宋体" w:cs="宋体"/>
          <w:b/>
          <w:bCs/>
          <w:color w:val="auto"/>
          <w:sz w:val="24"/>
          <w:szCs w:val="24"/>
          <w:highlight w:val="none"/>
          <w:lang w:val="en-US" w:eastAsia="zh-CN"/>
        </w:rPr>
      </w:pPr>
      <w:r>
        <w:rPr>
          <w:rFonts w:hint="eastAsia" w:ascii="宋体" w:hAnsi="宋体" w:eastAsia="宋体" w:cs="宋体"/>
          <w:color w:val="auto"/>
          <w:sz w:val="21"/>
          <w:szCs w:val="21"/>
          <w:highlight w:val="none"/>
        </w:rPr>
        <w:t>3、</w:t>
      </w:r>
      <w:r>
        <w:rPr>
          <w:rFonts w:hint="eastAsia" w:ascii="宋体" w:hAnsi="宋体" w:cs="宋体"/>
          <w:color w:val="auto"/>
          <w:sz w:val="21"/>
          <w:szCs w:val="21"/>
          <w:highlight w:val="none"/>
          <w:lang w:eastAsia="zh-CN"/>
        </w:rPr>
        <w:t>成交人</w:t>
      </w:r>
      <w:r>
        <w:rPr>
          <w:rFonts w:hint="eastAsia" w:ascii="宋体" w:hAnsi="宋体" w:eastAsia="宋体" w:cs="宋体"/>
          <w:color w:val="auto"/>
          <w:sz w:val="21"/>
          <w:szCs w:val="21"/>
          <w:highlight w:val="none"/>
        </w:rPr>
        <w:t>收运范围含限行区域（除法定节假日限行，具体时间以相关部门出具文件为准）。</w:t>
      </w:r>
    </w:p>
    <w:p w14:paraId="14F30D0C">
      <w:pPr>
        <w:keepNext w:val="0"/>
        <w:keepLines w:val="0"/>
        <w:pageBreakBefore w:val="0"/>
        <w:widowControl/>
        <w:numPr>
          <w:ilvl w:val="0"/>
          <w:numId w:val="0"/>
        </w:numPr>
        <w:kinsoku/>
        <w:wordWrap/>
        <w:overflowPunct/>
        <w:topLinePunct w:val="0"/>
        <w:autoSpaceDE/>
        <w:autoSpaceDN/>
        <w:bidi w:val="0"/>
        <w:adjustRightInd w:val="0"/>
        <w:snapToGrid w:val="0"/>
        <w:spacing w:line="360" w:lineRule="auto"/>
        <w:ind w:firstLine="482" w:firstLineChars="200"/>
        <w:jc w:val="both"/>
        <w:textAlignment w:val="auto"/>
        <w:outlineLvl w:val="2"/>
        <w:rPr>
          <w:rFonts w:hint="eastAsia" w:ascii="宋体" w:hAnsi="宋体" w:eastAsia="宋体" w:cs="宋体"/>
          <w:color w:val="auto"/>
          <w:sz w:val="21"/>
          <w:szCs w:val="21"/>
          <w:highlight w:val="none"/>
        </w:rPr>
      </w:pPr>
      <w:bookmarkStart w:id="116" w:name="_Toc29749"/>
      <w:bookmarkStart w:id="117" w:name="_Toc19421"/>
      <w:bookmarkStart w:id="118" w:name="_Toc1053"/>
      <w:bookmarkStart w:id="119" w:name="_Toc32302"/>
      <w:bookmarkStart w:id="120" w:name="_Toc21588"/>
      <w:bookmarkStart w:id="121" w:name="_Toc6107"/>
      <w:bookmarkStart w:id="122" w:name="_Toc32570"/>
      <w:bookmarkStart w:id="123" w:name="_Toc30888"/>
      <w:bookmarkStart w:id="124" w:name="_Toc8469"/>
      <w:bookmarkStart w:id="125" w:name="_Toc2188"/>
      <w:r>
        <w:rPr>
          <w:rFonts w:hint="eastAsia" w:ascii="宋体" w:hAnsi="宋体" w:eastAsia="宋体" w:cs="宋体"/>
          <w:b/>
          <w:bCs/>
          <w:color w:val="auto"/>
          <w:sz w:val="24"/>
          <w:szCs w:val="24"/>
          <w:highlight w:val="none"/>
          <w:lang w:val="en-US" w:eastAsia="zh-CN"/>
        </w:rPr>
        <w:t>四</w:t>
      </w:r>
      <w:r>
        <w:rPr>
          <w:rFonts w:hint="eastAsia" w:ascii="宋体" w:hAnsi="宋体" w:eastAsia="宋体" w:cs="宋体"/>
          <w:b/>
          <w:bCs/>
          <w:color w:val="auto"/>
          <w:sz w:val="24"/>
          <w:szCs w:val="24"/>
          <w:highlight w:val="none"/>
        </w:rPr>
        <w:t>、</w:t>
      </w:r>
      <w:r>
        <w:rPr>
          <w:rFonts w:hint="eastAsia" w:ascii="宋体" w:hAnsi="宋体" w:eastAsia="宋体" w:cs="宋体"/>
          <w:b/>
          <w:bCs/>
          <w:color w:val="auto"/>
          <w:sz w:val="24"/>
          <w:szCs w:val="24"/>
          <w:highlight w:val="none"/>
          <w:lang w:val="en-US" w:eastAsia="zh-CN"/>
        </w:rPr>
        <w:t>相关要求</w:t>
      </w:r>
      <w:bookmarkEnd w:id="116"/>
      <w:bookmarkEnd w:id="117"/>
      <w:bookmarkEnd w:id="118"/>
      <w:bookmarkEnd w:id="119"/>
      <w:bookmarkEnd w:id="120"/>
      <w:bookmarkEnd w:id="121"/>
      <w:bookmarkEnd w:id="122"/>
      <w:bookmarkEnd w:id="123"/>
      <w:bookmarkEnd w:id="124"/>
      <w:bookmarkEnd w:id="125"/>
    </w:p>
    <w:p w14:paraId="71761A6A">
      <w:pPr>
        <w:keepNext w:val="0"/>
        <w:keepLines w:val="0"/>
        <w:pageBreakBefore w:val="0"/>
        <w:widowControl/>
        <w:kinsoku/>
        <w:wordWrap/>
        <w:overflowPunct/>
        <w:topLinePunct w:val="0"/>
        <w:autoSpaceDE/>
        <w:autoSpaceDN/>
        <w:bidi w:val="0"/>
        <w:adjustRightInd w:val="0"/>
        <w:snapToGrid w:val="0"/>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w:t>
      </w:r>
      <w:r>
        <w:rPr>
          <w:rFonts w:hint="eastAsia" w:ascii="宋体" w:hAnsi="宋体" w:cs="宋体"/>
          <w:color w:val="auto"/>
          <w:sz w:val="21"/>
          <w:szCs w:val="21"/>
          <w:highlight w:val="none"/>
          <w:lang w:eastAsia="zh-CN"/>
        </w:rPr>
        <w:t>投标人</w:t>
      </w:r>
      <w:r>
        <w:rPr>
          <w:rFonts w:hint="eastAsia" w:ascii="宋体" w:hAnsi="宋体" w:eastAsia="宋体" w:cs="宋体"/>
          <w:color w:val="auto"/>
          <w:sz w:val="21"/>
          <w:szCs w:val="21"/>
          <w:highlight w:val="none"/>
        </w:rPr>
        <w:t>需要为危险废物装卸提供必要设备支持，包含</w:t>
      </w:r>
      <w:r>
        <w:rPr>
          <w:rFonts w:hint="eastAsia" w:ascii="宋体" w:hAnsi="宋体" w:eastAsia="宋体" w:cs="宋体"/>
          <w:b/>
          <w:bCs/>
          <w:color w:val="auto"/>
          <w:sz w:val="21"/>
          <w:szCs w:val="21"/>
          <w:highlight w:val="none"/>
        </w:rPr>
        <w:t>升降尾板、手动（电动）叉车、电子叉车秤、抽液设备及管道</w:t>
      </w:r>
      <w:r>
        <w:rPr>
          <w:rFonts w:hint="eastAsia" w:ascii="宋体" w:hAnsi="宋体" w:eastAsia="宋体" w:cs="宋体"/>
          <w:color w:val="auto"/>
          <w:sz w:val="21"/>
          <w:szCs w:val="21"/>
          <w:highlight w:val="none"/>
        </w:rPr>
        <w:t>。</w:t>
      </w:r>
    </w:p>
    <w:p w14:paraId="0DD456A9">
      <w:pPr>
        <w:keepNext w:val="0"/>
        <w:keepLines w:val="0"/>
        <w:pageBreakBefore w:val="0"/>
        <w:widowControl/>
        <w:kinsoku/>
        <w:wordWrap/>
        <w:overflowPunct/>
        <w:topLinePunct w:val="0"/>
        <w:autoSpaceDE/>
        <w:autoSpaceDN/>
        <w:bidi w:val="0"/>
        <w:adjustRightInd w:val="0"/>
        <w:snapToGrid w:val="0"/>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2、</w:t>
      </w:r>
      <w:r>
        <w:rPr>
          <w:rFonts w:hint="eastAsia" w:ascii="宋体" w:hAnsi="宋体" w:cs="宋体"/>
          <w:color w:val="auto"/>
          <w:sz w:val="21"/>
          <w:szCs w:val="21"/>
          <w:highlight w:val="none"/>
          <w:lang w:eastAsia="zh-CN"/>
        </w:rPr>
        <w:t>投标人</w:t>
      </w:r>
      <w:r>
        <w:rPr>
          <w:rFonts w:hint="eastAsia" w:ascii="宋体" w:hAnsi="宋体" w:cs="宋体"/>
          <w:color w:val="auto"/>
          <w:sz w:val="21"/>
          <w:szCs w:val="21"/>
          <w:highlight w:val="none"/>
          <w:lang w:val="en-US" w:eastAsia="zh-CN"/>
        </w:rPr>
        <w:t>须在中标后提供：</w:t>
      </w:r>
      <w:r>
        <w:rPr>
          <w:rFonts w:hint="eastAsia" w:ascii="宋体" w:hAnsi="宋体" w:eastAsia="宋体" w:cs="宋体"/>
          <w:color w:val="auto"/>
          <w:sz w:val="21"/>
          <w:szCs w:val="21"/>
          <w:highlight w:val="none"/>
        </w:rPr>
        <w:t>司机、押运人员、车辆购买保险（含强制险，商业险、承运险及第三者责任险累计不低于200万等）。</w:t>
      </w:r>
    </w:p>
    <w:p w14:paraId="02833836">
      <w:pPr>
        <w:keepNext w:val="0"/>
        <w:keepLines w:val="0"/>
        <w:pageBreakBefore w:val="0"/>
        <w:widowControl/>
        <w:kinsoku/>
        <w:wordWrap/>
        <w:overflowPunct/>
        <w:topLinePunct w:val="0"/>
        <w:autoSpaceDE/>
        <w:autoSpaceDN/>
        <w:bidi w:val="0"/>
        <w:adjustRightInd w:val="0"/>
        <w:snapToGrid w:val="0"/>
        <w:spacing w:line="360" w:lineRule="auto"/>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3、车辆设施设备完整、车辆必须配置各项应急物资并确保物资及车辆资质证件在期有效，包括但不限于以下：GPS、消防设施、防泄漏物、营运证资等。</w:t>
      </w:r>
    </w:p>
    <w:p w14:paraId="7E91DC5F">
      <w:pPr>
        <w:keepNext w:val="0"/>
        <w:keepLines w:val="0"/>
        <w:pageBreakBefore w:val="0"/>
        <w:widowControl/>
        <w:kinsoku/>
        <w:wordWrap/>
        <w:overflowPunct/>
        <w:topLinePunct w:val="0"/>
        <w:autoSpaceDE/>
        <w:autoSpaceDN/>
        <w:bidi w:val="0"/>
        <w:adjustRightInd w:val="0"/>
        <w:snapToGrid w:val="0"/>
        <w:spacing w:line="360" w:lineRule="auto"/>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4、人员管理：运输人员相关从业资质及证件在期有效。</w:t>
      </w:r>
    </w:p>
    <w:p w14:paraId="7B7218E6">
      <w:pPr>
        <w:keepNext w:val="0"/>
        <w:keepLines w:val="0"/>
        <w:pageBreakBefore w:val="0"/>
        <w:widowControl/>
        <w:kinsoku/>
        <w:wordWrap/>
        <w:overflowPunct/>
        <w:topLinePunct w:val="0"/>
        <w:autoSpaceDE/>
        <w:autoSpaceDN/>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5、过程管控：废物运输途中，必须符合国家有关环保法规要求，运输单位对废物运输过程发生的任何环境污染事故承担法律责任。</w:t>
      </w:r>
    </w:p>
    <w:p w14:paraId="7A1F3636">
      <w:pPr>
        <w:keepNext w:val="0"/>
        <w:keepLines w:val="0"/>
        <w:pageBreakBefore w:val="0"/>
        <w:widowControl/>
        <w:kinsoku/>
        <w:wordWrap/>
        <w:overflowPunct/>
        <w:topLinePunct w:val="0"/>
        <w:autoSpaceDE/>
        <w:autoSpaceDN/>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6、对客户现场危险废物有初步的识别和判断，具备识别我司下达派车单列表中所列危废名称与客户现场危废的一致性，种类及数量的符合性、包装的规范性、废物标签的完整性等。罐车司机和押运具有收运相应危废的工作经验。无法判断时应及时反馈采购人协助处理，或经判断有风险时亦须立刻反馈采购人协助处理。</w:t>
      </w:r>
    </w:p>
    <w:p w14:paraId="23A485DB">
      <w:pPr>
        <w:keepNext w:val="0"/>
        <w:keepLines w:val="0"/>
        <w:pageBreakBefore w:val="0"/>
        <w:widowControl/>
        <w:kinsoku/>
        <w:wordWrap/>
        <w:overflowPunct/>
        <w:topLinePunct w:val="0"/>
        <w:autoSpaceDE/>
        <w:autoSpaceDN/>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7、其他服务质量要求：</w:t>
      </w:r>
    </w:p>
    <w:p w14:paraId="0C0F5484">
      <w:pPr>
        <w:keepNext w:val="0"/>
        <w:keepLines w:val="0"/>
        <w:pageBreakBefore w:val="0"/>
        <w:widowControl/>
        <w:kinsoku/>
        <w:wordWrap/>
        <w:overflowPunct/>
        <w:topLinePunct w:val="0"/>
        <w:autoSpaceDE/>
        <w:autoSpaceDN/>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（一）处罚条款要求</w:t>
      </w:r>
    </w:p>
    <w:p w14:paraId="6C91A2E6">
      <w:pPr>
        <w:keepNext w:val="0"/>
        <w:keepLines w:val="0"/>
        <w:pageBreakBefore w:val="0"/>
        <w:widowControl/>
        <w:kinsoku/>
        <w:wordWrap/>
        <w:overflowPunct/>
        <w:topLinePunct w:val="0"/>
        <w:autoSpaceDE/>
        <w:autoSpaceDN/>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、严格遵守采购人及其客户现场要求，不得违反相关规定；</w:t>
      </w:r>
    </w:p>
    <w:p w14:paraId="2CAA7324">
      <w:pPr>
        <w:keepNext w:val="0"/>
        <w:keepLines w:val="0"/>
        <w:pageBreakBefore w:val="0"/>
        <w:widowControl/>
        <w:kinsoku/>
        <w:wordWrap/>
        <w:overflowPunct/>
        <w:topLinePunct w:val="0"/>
        <w:autoSpaceDE/>
        <w:autoSpaceDN/>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2</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w:t>
      </w:r>
      <w:r>
        <w:rPr>
          <w:rFonts w:hint="eastAsia" w:ascii="宋体" w:hAnsi="宋体" w:cs="宋体"/>
          <w:color w:val="auto"/>
          <w:sz w:val="21"/>
          <w:szCs w:val="21"/>
          <w:highlight w:val="none"/>
          <w:lang w:eastAsia="zh-CN"/>
        </w:rPr>
        <w:t>投标人</w:t>
      </w:r>
      <w:r>
        <w:rPr>
          <w:rFonts w:hint="eastAsia" w:ascii="宋体" w:hAnsi="宋体" w:eastAsia="宋体" w:cs="宋体"/>
          <w:color w:val="auto"/>
          <w:sz w:val="21"/>
          <w:szCs w:val="21"/>
          <w:highlight w:val="none"/>
        </w:rPr>
        <w:t>必须仔细阅读《东莞市新东欣环保投资有限公司承运单位违规行为处罚条款》，必须认可并接受采购人制定的违规处罚条款；违规行为将根据《东莞市新东欣环保投资有限公司承运单位违规行为处罚条款》进行处罚；</w:t>
      </w:r>
    </w:p>
    <w:p w14:paraId="1EECD8F0">
      <w:pPr>
        <w:keepNext w:val="0"/>
        <w:keepLines w:val="0"/>
        <w:pageBreakBefore w:val="0"/>
        <w:widowControl/>
        <w:kinsoku/>
        <w:wordWrap/>
        <w:overflowPunct/>
        <w:topLinePunct w:val="0"/>
        <w:autoSpaceDE/>
        <w:autoSpaceDN/>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w:t>
      </w:r>
      <w:r>
        <w:rPr>
          <w:rFonts w:hint="eastAsia" w:ascii="宋体" w:hAnsi="宋体" w:cs="宋体"/>
          <w:color w:val="auto"/>
          <w:sz w:val="21"/>
          <w:szCs w:val="21"/>
          <w:highlight w:val="none"/>
          <w:lang w:eastAsia="zh-CN"/>
        </w:rPr>
        <w:t>成交人</w:t>
      </w:r>
      <w:r>
        <w:rPr>
          <w:rFonts w:hint="eastAsia" w:ascii="宋体" w:hAnsi="宋体" w:eastAsia="宋体" w:cs="宋体"/>
          <w:color w:val="auto"/>
          <w:sz w:val="21"/>
          <w:szCs w:val="21"/>
          <w:highlight w:val="none"/>
        </w:rPr>
        <w:t>根据采购人提供的整改意见，限时整改；</w:t>
      </w:r>
      <w:r>
        <w:rPr>
          <w:rFonts w:hint="eastAsia" w:ascii="宋体" w:hAnsi="宋体" w:cs="宋体"/>
          <w:color w:val="auto"/>
          <w:sz w:val="21"/>
          <w:szCs w:val="21"/>
          <w:highlight w:val="none"/>
          <w:lang w:eastAsia="zh-CN"/>
        </w:rPr>
        <w:t>成交人</w:t>
      </w:r>
      <w:r>
        <w:rPr>
          <w:rFonts w:hint="eastAsia" w:ascii="宋体" w:hAnsi="宋体" w:eastAsia="宋体" w:cs="宋体"/>
          <w:color w:val="auto"/>
          <w:sz w:val="21"/>
          <w:szCs w:val="21"/>
          <w:highlight w:val="none"/>
        </w:rPr>
        <w:t>可根据实际情况进行举证，经查确不属</w:t>
      </w:r>
      <w:r>
        <w:rPr>
          <w:rFonts w:hint="eastAsia" w:ascii="宋体" w:hAnsi="宋体" w:cs="宋体"/>
          <w:color w:val="auto"/>
          <w:sz w:val="21"/>
          <w:szCs w:val="21"/>
          <w:highlight w:val="none"/>
          <w:lang w:eastAsia="zh-CN"/>
        </w:rPr>
        <w:t>成交人</w:t>
      </w:r>
      <w:r>
        <w:rPr>
          <w:rFonts w:hint="eastAsia" w:ascii="宋体" w:hAnsi="宋体" w:eastAsia="宋体" w:cs="宋体"/>
          <w:color w:val="auto"/>
          <w:sz w:val="21"/>
          <w:szCs w:val="21"/>
          <w:highlight w:val="none"/>
        </w:rPr>
        <w:t>责任的，免于处罚；</w:t>
      </w:r>
    </w:p>
    <w:p w14:paraId="4BBFE249">
      <w:pPr>
        <w:keepNext w:val="0"/>
        <w:keepLines w:val="0"/>
        <w:pageBreakBefore w:val="0"/>
        <w:widowControl/>
        <w:kinsoku/>
        <w:wordWrap/>
        <w:overflowPunct/>
        <w:topLinePunct w:val="0"/>
        <w:autoSpaceDE/>
        <w:autoSpaceDN/>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4</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、携带包装物、处罚标准、装卸费，采购人有最终解释权；</w:t>
      </w:r>
    </w:p>
    <w:p w14:paraId="4AB777E7">
      <w:pPr>
        <w:keepNext w:val="0"/>
        <w:keepLines w:val="0"/>
        <w:pageBreakBefore w:val="0"/>
        <w:widowControl/>
        <w:kinsoku/>
        <w:wordWrap/>
        <w:overflowPunct/>
        <w:topLinePunct w:val="0"/>
        <w:autoSpaceDE/>
        <w:autoSpaceDN/>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5</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w:t>
      </w:r>
      <w:r>
        <w:rPr>
          <w:rFonts w:hint="eastAsia" w:ascii="宋体" w:hAnsi="宋体" w:cs="宋体"/>
          <w:color w:val="auto"/>
          <w:sz w:val="21"/>
          <w:szCs w:val="21"/>
          <w:highlight w:val="none"/>
          <w:lang w:eastAsia="zh-CN"/>
        </w:rPr>
        <w:t>投标人</w:t>
      </w:r>
      <w:r>
        <w:rPr>
          <w:rFonts w:hint="eastAsia" w:ascii="宋体" w:hAnsi="宋体" w:eastAsia="宋体" w:cs="宋体"/>
          <w:color w:val="auto"/>
          <w:sz w:val="21"/>
          <w:szCs w:val="21"/>
          <w:highlight w:val="none"/>
        </w:rPr>
        <w:t>必须具有清晰的公司管理组织架构及权责划分，须提供《道路危险货物运输管理规定》要求的安全生产管理制度、危险货物道路运输事故应急预案、安全生产操作规程。</w:t>
      </w:r>
    </w:p>
    <w:p w14:paraId="7AD36CC7">
      <w:pPr>
        <w:keepNext w:val="0"/>
        <w:keepLines w:val="0"/>
        <w:pageBreakBefore w:val="0"/>
        <w:widowControl/>
        <w:kinsoku/>
        <w:wordWrap/>
        <w:overflowPunct/>
        <w:topLinePunct w:val="0"/>
        <w:autoSpaceDE/>
        <w:autoSpaceDN/>
        <w:bidi w:val="0"/>
        <w:adjustRightInd w:val="0"/>
        <w:snapToGrid w:val="0"/>
        <w:spacing w:line="360" w:lineRule="auto"/>
        <w:ind w:firstLine="420" w:firstLineChars="200"/>
        <w:jc w:val="both"/>
        <w:textAlignment w:val="auto"/>
        <w:rPr>
          <w:rFonts w:hint="eastAsia" w:ascii="宋体" w:hAnsi="宋体" w:eastAsia="宋体" w:cs="宋体"/>
          <w:color w:val="auto"/>
          <w:sz w:val="21"/>
          <w:szCs w:val="21"/>
          <w:highlight w:val="cyan"/>
        </w:rPr>
      </w:pPr>
      <w:r>
        <w:rPr>
          <w:rFonts w:hint="eastAsia" w:ascii="宋体" w:hAnsi="宋体" w:eastAsia="宋体" w:cs="宋体"/>
          <w:color w:val="auto"/>
          <w:sz w:val="21"/>
          <w:szCs w:val="21"/>
          <w:highlight w:val="none"/>
        </w:rPr>
        <w:t>6</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w:t>
      </w:r>
      <w:r>
        <w:rPr>
          <w:rFonts w:hint="eastAsia" w:ascii="宋体" w:hAnsi="宋体" w:cs="宋体"/>
          <w:color w:val="auto"/>
          <w:szCs w:val="21"/>
          <w:highlight w:val="none"/>
        </w:rPr>
        <w:t>槽车标段在为</w:t>
      </w:r>
      <w:r>
        <w:rPr>
          <w:rFonts w:hint="eastAsia" w:ascii="宋体" w:hAnsi="宋体" w:cs="宋体"/>
          <w:color w:val="auto"/>
          <w:szCs w:val="21"/>
          <w:highlight w:val="none"/>
          <w:lang w:val="en-US" w:eastAsia="zh-CN"/>
        </w:rPr>
        <w:t>采购人</w:t>
      </w:r>
      <w:r>
        <w:rPr>
          <w:rFonts w:hint="eastAsia" w:ascii="宋体" w:hAnsi="宋体" w:cs="宋体"/>
          <w:color w:val="auto"/>
          <w:szCs w:val="21"/>
          <w:highlight w:val="none"/>
        </w:rPr>
        <w:t>提供运输服务前后需要洗罐，确保罐体干净和干燥，洗罐费用</w:t>
      </w:r>
      <w:r>
        <w:rPr>
          <w:rFonts w:hint="eastAsia" w:ascii="宋体" w:hAnsi="宋体" w:cs="宋体"/>
          <w:color w:val="auto"/>
          <w:szCs w:val="21"/>
          <w:highlight w:val="none"/>
          <w:lang w:val="en-US" w:eastAsia="zh-CN"/>
        </w:rPr>
        <w:t>成交人</w:t>
      </w:r>
      <w:r>
        <w:rPr>
          <w:rFonts w:hint="eastAsia" w:ascii="宋体" w:hAnsi="宋体" w:cs="宋体"/>
          <w:color w:val="auto"/>
          <w:szCs w:val="21"/>
          <w:highlight w:val="none"/>
        </w:rPr>
        <w:t>自理，以确保提供服务时不因罐体残留物质造成安全隐患或者影响收运的罐体内货物品质。</w:t>
      </w:r>
    </w:p>
    <w:p w14:paraId="09FA3B5B">
      <w:pPr>
        <w:keepNext w:val="0"/>
        <w:keepLines w:val="0"/>
        <w:pageBreakBefore w:val="0"/>
        <w:widowControl/>
        <w:kinsoku/>
        <w:wordWrap/>
        <w:overflowPunct/>
        <w:topLinePunct w:val="0"/>
        <w:autoSpaceDE/>
        <w:autoSpaceDN/>
        <w:bidi w:val="0"/>
        <w:adjustRightInd w:val="0"/>
        <w:snapToGrid w:val="0"/>
        <w:spacing w:line="360" w:lineRule="auto"/>
        <w:ind w:firstLine="420" w:firstLineChars="200"/>
        <w:textAlignment w:val="auto"/>
        <w:rPr>
          <w:rFonts w:hint="eastAsia" w:ascii="宋体" w:hAnsi="宋体" w:cs="宋体"/>
          <w:b/>
          <w:bCs/>
          <w:color w:val="auto"/>
          <w:sz w:val="21"/>
          <w:szCs w:val="21"/>
          <w:highlight w:val="cyan"/>
          <w:lang w:val="en-US" w:eastAsia="zh-CN"/>
        </w:rPr>
      </w:pPr>
      <w:r>
        <w:rPr>
          <w:rFonts w:hint="eastAsia" w:ascii="宋体" w:hAnsi="宋体" w:cs="宋体"/>
          <w:color w:val="auto"/>
          <w:szCs w:val="21"/>
          <w:highlight w:val="none"/>
        </w:rPr>
        <w:t>★</w:t>
      </w:r>
      <w:r>
        <w:rPr>
          <w:rFonts w:hint="eastAsia" w:ascii="宋体" w:hAnsi="宋体" w:eastAsia="宋体" w:cs="宋体"/>
          <w:color w:val="auto"/>
          <w:sz w:val="21"/>
          <w:szCs w:val="21"/>
          <w:highlight w:val="none"/>
          <w:lang w:val="en-US" w:eastAsia="zh-CN"/>
        </w:rPr>
        <w:t>8、</w:t>
      </w:r>
      <w:r>
        <w:rPr>
          <w:rFonts w:hint="eastAsia" w:ascii="宋体" w:hAnsi="宋体" w:cs="宋体"/>
          <w:color w:val="auto"/>
          <w:szCs w:val="21"/>
          <w:highlight w:val="none"/>
          <w:lang w:val="en-US" w:eastAsia="zh-CN"/>
        </w:rPr>
        <w:t>成交人</w:t>
      </w:r>
      <w:r>
        <w:rPr>
          <w:rFonts w:hint="eastAsia" w:ascii="宋体" w:hAnsi="宋体" w:cs="宋体"/>
          <w:color w:val="auto"/>
          <w:szCs w:val="21"/>
          <w:highlight w:val="none"/>
        </w:rPr>
        <w:t>为深圳区域、广州区域承运人时，必须具备该城市内各限行区域的通行证，若交管部门变动限行区域，</w:t>
      </w:r>
      <w:r>
        <w:rPr>
          <w:rFonts w:hint="eastAsia" w:ascii="宋体" w:hAnsi="宋体" w:cs="宋体"/>
          <w:color w:val="auto"/>
          <w:szCs w:val="21"/>
          <w:highlight w:val="none"/>
          <w:lang w:val="en-US" w:eastAsia="zh-CN"/>
        </w:rPr>
        <w:t>成交人</w:t>
      </w:r>
      <w:r>
        <w:rPr>
          <w:rFonts w:hint="eastAsia" w:ascii="宋体" w:hAnsi="宋体" w:cs="宋体"/>
          <w:color w:val="auto"/>
          <w:szCs w:val="21"/>
          <w:highlight w:val="none"/>
        </w:rPr>
        <w:t>需要承诺及时办理通行证，且不得因此拒绝提供服务。</w:t>
      </w:r>
    </w:p>
    <w:p w14:paraId="3A478DB2">
      <w:pPr>
        <w:keepNext w:val="0"/>
        <w:keepLines w:val="0"/>
        <w:pageBreakBefore w:val="0"/>
        <w:widowControl/>
        <w:kinsoku/>
        <w:wordWrap/>
        <w:overflowPunct/>
        <w:topLinePunct w:val="0"/>
        <w:autoSpaceDE/>
        <w:autoSpaceDN/>
        <w:bidi w:val="0"/>
        <w:adjustRightInd w:val="0"/>
        <w:snapToGrid w:val="0"/>
        <w:ind w:firstLine="482" w:firstLineChars="200"/>
        <w:textAlignment w:val="auto"/>
        <w:outlineLvl w:val="2"/>
        <w:rPr>
          <w:rFonts w:hint="eastAsia" w:ascii="宋体" w:hAnsi="宋体" w:eastAsia="宋体" w:cs="宋体"/>
          <w:b/>
          <w:bCs/>
          <w:color w:val="auto"/>
          <w:sz w:val="24"/>
          <w:szCs w:val="24"/>
          <w:highlight w:val="none"/>
        </w:rPr>
      </w:pPr>
      <w:bookmarkStart w:id="126" w:name="_Toc32055"/>
      <w:bookmarkStart w:id="127" w:name="_Toc32566"/>
      <w:bookmarkStart w:id="128" w:name="_Toc5427"/>
      <w:bookmarkStart w:id="129" w:name="_Toc24706"/>
      <w:bookmarkStart w:id="130" w:name="_Toc1972"/>
      <w:bookmarkStart w:id="131" w:name="_Toc30979"/>
      <w:bookmarkStart w:id="132" w:name="_Toc3170"/>
      <w:bookmarkStart w:id="133" w:name="_Toc4902"/>
      <w:bookmarkStart w:id="134" w:name="_Toc13130"/>
      <w:bookmarkStart w:id="135" w:name="_Toc7167"/>
      <w:r>
        <w:rPr>
          <w:rFonts w:hint="eastAsia" w:ascii="宋体" w:hAnsi="宋体" w:cs="宋体"/>
          <w:b/>
          <w:bCs/>
          <w:color w:val="auto"/>
          <w:sz w:val="24"/>
          <w:szCs w:val="24"/>
          <w:highlight w:val="none"/>
          <w:lang w:val="en-US" w:eastAsia="zh-CN"/>
        </w:rPr>
        <w:t>五</w:t>
      </w:r>
      <w:r>
        <w:rPr>
          <w:rFonts w:hint="eastAsia" w:ascii="宋体" w:hAnsi="宋体" w:eastAsia="宋体" w:cs="宋体"/>
          <w:b/>
          <w:bCs/>
          <w:color w:val="auto"/>
          <w:sz w:val="24"/>
          <w:szCs w:val="24"/>
          <w:highlight w:val="none"/>
        </w:rPr>
        <w:t>、服务要求</w:t>
      </w:r>
      <w:bookmarkEnd w:id="126"/>
      <w:bookmarkEnd w:id="127"/>
      <w:bookmarkEnd w:id="128"/>
      <w:bookmarkEnd w:id="129"/>
      <w:bookmarkEnd w:id="130"/>
      <w:bookmarkEnd w:id="131"/>
      <w:bookmarkEnd w:id="132"/>
      <w:bookmarkEnd w:id="133"/>
      <w:bookmarkEnd w:id="134"/>
      <w:bookmarkEnd w:id="135"/>
    </w:p>
    <w:p w14:paraId="1FA8AFE5">
      <w:pPr>
        <w:keepNext w:val="0"/>
        <w:keepLines w:val="0"/>
        <w:pageBreakBefore w:val="0"/>
        <w:widowControl/>
        <w:kinsoku/>
        <w:wordWrap/>
        <w:overflowPunct/>
        <w:topLinePunct w:val="0"/>
        <w:autoSpaceDE/>
        <w:autoSpaceDN/>
        <w:bidi w:val="0"/>
        <w:adjustRightInd w:val="0"/>
        <w:snapToGrid w:val="0"/>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（一）顺路拼车运输：按该车次最远地址运费单价为准结算基础运费，拼车费用另计。同一工业园区的不同客户，不计算拼车费；不同工业园区，</w:t>
      </w:r>
      <w:r>
        <w:rPr>
          <w:rFonts w:hint="eastAsia" w:ascii="宋体" w:hAnsi="宋体" w:eastAsia="宋体" w:cs="宋体"/>
          <w:b/>
          <w:bCs/>
          <w:color w:val="auto"/>
          <w:sz w:val="21"/>
          <w:szCs w:val="21"/>
          <w:highlight w:val="none"/>
        </w:rPr>
        <w:t>同一“区/县/镇”</w:t>
      </w:r>
      <w:r>
        <w:rPr>
          <w:rFonts w:hint="eastAsia" w:ascii="宋体" w:hAnsi="宋体" w:eastAsia="宋体" w:cs="宋体"/>
          <w:color w:val="auto"/>
          <w:sz w:val="21"/>
          <w:szCs w:val="21"/>
          <w:highlight w:val="none"/>
        </w:rPr>
        <w:t>按100元/家计算拼车费；</w:t>
      </w:r>
      <w:r>
        <w:rPr>
          <w:rFonts w:hint="eastAsia" w:ascii="宋体" w:hAnsi="宋体" w:eastAsia="宋体" w:cs="宋体"/>
          <w:b/>
          <w:bCs/>
          <w:color w:val="auto"/>
          <w:sz w:val="21"/>
          <w:szCs w:val="21"/>
          <w:highlight w:val="none"/>
        </w:rPr>
        <w:t>不同“区/县/镇”</w:t>
      </w:r>
      <w:r>
        <w:rPr>
          <w:rFonts w:hint="eastAsia" w:ascii="宋体" w:hAnsi="宋体" w:eastAsia="宋体" w:cs="宋体"/>
          <w:color w:val="auto"/>
          <w:sz w:val="21"/>
          <w:szCs w:val="21"/>
          <w:highlight w:val="none"/>
        </w:rPr>
        <w:t>按150元/家计算拼车费。拼车收运不受成交区域限制，按最远地址委派该区域</w:t>
      </w:r>
      <w:r>
        <w:rPr>
          <w:rFonts w:hint="eastAsia" w:ascii="宋体" w:hAnsi="宋体" w:cs="宋体"/>
          <w:color w:val="auto"/>
          <w:sz w:val="21"/>
          <w:szCs w:val="21"/>
          <w:highlight w:val="none"/>
          <w:lang w:eastAsia="zh-CN"/>
        </w:rPr>
        <w:t>成交人</w:t>
      </w:r>
      <w:r>
        <w:rPr>
          <w:rFonts w:hint="eastAsia" w:ascii="宋体" w:hAnsi="宋体" w:eastAsia="宋体" w:cs="宋体"/>
          <w:color w:val="auto"/>
          <w:sz w:val="21"/>
          <w:szCs w:val="21"/>
          <w:highlight w:val="none"/>
        </w:rPr>
        <w:t>。</w:t>
      </w:r>
    </w:p>
    <w:p w14:paraId="220218D2">
      <w:pPr>
        <w:keepNext w:val="0"/>
        <w:keepLines w:val="0"/>
        <w:pageBreakBefore w:val="0"/>
        <w:widowControl/>
        <w:kinsoku/>
        <w:wordWrap/>
        <w:overflowPunct/>
        <w:topLinePunct w:val="0"/>
        <w:autoSpaceDE/>
        <w:autoSpaceDN/>
        <w:bidi w:val="0"/>
        <w:adjustRightInd w:val="0"/>
        <w:snapToGrid w:val="0"/>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（二）杂费及搬运费：涉及其他杂费内容按《运输杂费及计费规则》执行；涉及收运现场需进行搬运的费用标准《运输单位搬运费分级标准》执行。</w:t>
      </w:r>
    </w:p>
    <w:p w14:paraId="793A9A82">
      <w:pPr>
        <w:keepNext w:val="0"/>
        <w:keepLines w:val="0"/>
        <w:pageBreakBefore w:val="0"/>
        <w:widowControl/>
        <w:numPr>
          <w:ilvl w:val="0"/>
          <w:numId w:val="0"/>
        </w:numPr>
        <w:kinsoku/>
        <w:wordWrap/>
        <w:overflowPunct/>
        <w:topLinePunct w:val="0"/>
        <w:autoSpaceDE/>
        <w:autoSpaceDN/>
        <w:bidi w:val="0"/>
        <w:adjustRightInd w:val="0"/>
        <w:snapToGrid w:val="0"/>
        <w:ind w:firstLine="420" w:firstLineChars="200"/>
        <w:jc w:val="both"/>
        <w:textAlignment w:val="auto"/>
        <w:rPr>
          <w:rFonts w:hint="default" w:ascii="宋体" w:hAnsi="宋体" w:cs="宋体"/>
          <w:color w:val="auto"/>
          <w:szCs w:val="21"/>
          <w:highlight w:val="none"/>
          <w:lang w:val="en-US" w:eastAsia="zh-CN"/>
        </w:rPr>
      </w:pPr>
      <w:r>
        <w:rPr>
          <w:rFonts w:hint="eastAsia" w:ascii="宋体" w:hAnsi="宋体" w:cs="宋体"/>
          <w:color w:val="auto"/>
          <w:szCs w:val="21"/>
          <w:highlight w:val="none"/>
        </w:rPr>
        <w:t>★</w:t>
      </w:r>
      <w:r>
        <w:rPr>
          <w:rFonts w:hint="eastAsia" w:ascii="宋体" w:hAnsi="宋体" w:eastAsia="宋体" w:cs="宋体"/>
          <w:color w:val="auto"/>
          <w:sz w:val="21"/>
          <w:szCs w:val="21"/>
          <w:highlight w:val="none"/>
        </w:rPr>
        <w:t>（</w:t>
      </w:r>
      <w:r>
        <w:rPr>
          <w:rFonts w:hint="eastAsia" w:ascii="宋体" w:hAnsi="宋体" w:cs="宋体"/>
          <w:color w:val="auto"/>
          <w:sz w:val="21"/>
          <w:szCs w:val="21"/>
          <w:highlight w:val="none"/>
          <w:lang w:val="en-US" w:eastAsia="zh-CN"/>
        </w:rPr>
        <w:t>三</w:t>
      </w:r>
      <w:r>
        <w:rPr>
          <w:rFonts w:hint="eastAsia" w:ascii="宋体" w:hAnsi="宋体" w:eastAsia="宋体" w:cs="宋体"/>
          <w:color w:val="auto"/>
          <w:sz w:val="21"/>
          <w:szCs w:val="21"/>
          <w:highlight w:val="none"/>
        </w:rPr>
        <w:t>）跳单处罚：非不可抗力因素无法响应采购人派车需求的均属于跳单行为（例如：无法顺带包装物或者限行区域无通行证拒绝响应均属于跳单）。</w:t>
      </w:r>
      <w:r>
        <w:rPr>
          <w:rFonts w:hint="eastAsia" w:ascii="宋体" w:hAnsi="宋体" w:cs="宋体"/>
          <w:color w:val="auto"/>
          <w:sz w:val="21"/>
          <w:szCs w:val="21"/>
          <w:highlight w:val="none"/>
          <w:lang w:val="en-US" w:eastAsia="zh-CN"/>
        </w:rPr>
        <w:t>采购人</w:t>
      </w:r>
      <w:r>
        <w:rPr>
          <w:rFonts w:hint="eastAsia" w:ascii="宋体" w:hAnsi="宋体" w:eastAsia="宋体" w:cs="宋体"/>
          <w:color w:val="auto"/>
          <w:sz w:val="21"/>
          <w:szCs w:val="21"/>
          <w:highlight w:val="none"/>
        </w:rPr>
        <w:t>安排厢车</w:t>
      </w:r>
      <w:r>
        <w:rPr>
          <w:rFonts w:hint="eastAsia" w:ascii="宋体" w:hAnsi="宋体" w:cs="宋体"/>
          <w:color w:val="auto"/>
          <w:sz w:val="21"/>
          <w:szCs w:val="21"/>
          <w:highlight w:val="none"/>
          <w:lang w:eastAsia="zh-CN"/>
        </w:rPr>
        <w:t>成交人</w:t>
      </w:r>
      <w:r>
        <w:rPr>
          <w:rFonts w:hint="eastAsia" w:ascii="宋体" w:hAnsi="宋体" w:eastAsia="宋体" w:cs="宋体"/>
          <w:color w:val="auto"/>
          <w:sz w:val="21"/>
          <w:szCs w:val="21"/>
          <w:highlight w:val="none"/>
        </w:rPr>
        <w:t>20台车/天及以内，槽车</w:t>
      </w:r>
      <w:r>
        <w:rPr>
          <w:rFonts w:hint="eastAsia" w:ascii="宋体" w:hAnsi="宋体" w:cs="宋体"/>
          <w:color w:val="auto"/>
          <w:sz w:val="21"/>
          <w:szCs w:val="21"/>
          <w:highlight w:val="none"/>
          <w:lang w:eastAsia="zh-CN"/>
        </w:rPr>
        <w:t>成交人</w:t>
      </w:r>
      <w:r>
        <w:rPr>
          <w:rFonts w:hint="eastAsia" w:ascii="宋体" w:hAnsi="宋体" w:eastAsia="宋体" w:cs="宋体"/>
          <w:color w:val="auto"/>
          <w:sz w:val="21"/>
          <w:szCs w:val="21"/>
          <w:highlight w:val="none"/>
        </w:rPr>
        <w:t>5台车/天及以内，</w:t>
      </w:r>
      <w:r>
        <w:rPr>
          <w:rFonts w:hint="eastAsia" w:ascii="宋体" w:hAnsi="宋体" w:cs="宋体"/>
          <w:color w:val="auto"/>
          <w:sz w:val="21"/>
          <w:szCs w:val="21"/>
          <w:highlight w:val="none"/>
          <w:lang w:val="en-US" w:eastAsia="zh-CN"/>
        </w:rPr>
        <w:t>成交人</w:t>
      </w:r>
      <w:r>
        <w:rPr>
          <w:rFonts w:hint="eastAsia" w:ascii="宋体" w:hAnsi="宋体" w:eastAsia="宋体" w:cs="宋体"/>
          <w:color w:val="auto"/>
          <w:sz w:val="21"/>
          <w:szCs w:val="21"/>
          <w:highlight w:val="none"/>
        </w:rPr>
        <w:t>无法响应的，违约金额为</w:t>
      </w:r>
      <w:r>
        <w:rPr>
          <w:rFonts w:hint="eastAsia" w:ascii="宋体" w:hAnsi="宋体" w:cs="宋体"/>
          <w:color w:val="auto"/>
          <w:sz w:val="21"/>
          <w:szCs w:val="21"/>
          <w:highlight w:val="none"/>
          <w:lang w:val="en-US" w:eastAsia="zh-CN"/>
        </w:rPr>
        <w:t>采购人</w:t>
      </w:r>
      <w:r>
        <w:rPr>
          <w:rFonts w:hint="eastAsia" w:ascii="宋体" w:hAnsi="宋体" w:eastAsia="宋体" w:cs="宋体"/>
          <w:color w:val="auto"/>
          <w:sz w:val="21"/>
          <w:szCs w:val="21"/>
          <w:highlight w:val="none"/>
        </w:rPr>
        <w:t>使用其他运输单位支出运输费用的2倍；</w:t>
      </w:r>
      <w:r>
        <w:rPr>
          <w:rFonts w:hint="eastAsia" w:ascii="宋体" w:hAnsi="宋体" w:cs="宋体"/>
          <w:color w:val="auto"/>
          <w:sz w:val="21"/>
          <w:szCs w:val="21"/>
          <w:highlight w:val="none"/>
          <w:lang w:val="en-US" w:eastAsia="zh-CN"/>
        </w:rPr>
        <w:t>采购人</w:t>
      </w:r>
      <w:r>
        <w:rPr>
          <w:rFonts w:hint="eastAsia" w:ascii="宋体" w:hAnsi="宋体" w:eastAsia="宋体" w:cs="宋体"/>
          <w:color w:val="auto"/>
          <w:sz w:val="21"/>
          <w:szCs w:val="21"/>
          <w:highlight w:val="none"/>
        </w:rPr>
        <w:t>安排厢车</w:t>
      </w:r>
      <w:r>
        <w:rPr>
          <w:rFonts w:hint="eastAsia" w:ascii="宋体" w:hAnsi="宋体" w:cs="宋体"/>
          <w:color w:val="auto"/>
          <w:sz w:val="21"/>
          <w:szCs w:val="21"/>
          <w:highlight w:val="none"/>
          <w:lang w:eastAsia="zh-CN"/>
        </w:rPr>
        <w:t>成交人</w:t>
      </w:r>
      <w:r>
        <w:rPr>
          <w:rFonts w:hint="eastAsia" w:ascii="宋体" w:hAnsi="宋体" w:eastAsia="宋体" w:cs="宋体"/>
          <w:color w:val="auto"/>
          <w:sz w:val="21"/>
          <w:szCs w:val="21"/>
          <w:highlight w:val="none"/>
        </w:rPr>
        <w:t>20台车/天以上，槽车</w:t>
      </w:r>
      <w:r>
        <w:rPr>
          <w:rFonts w:hint="eastAsia" w:ascii="宋体" w:hAnsi="宋体" w:cs="宋体"/>
          <w:color w:val="auto"/>
          <w:sz w:val="21"/>
          <w:szCs w:val="21"/>
          <w:highlight w:val="none"/>
          <w:lang w:eastAsia="zh-CN"/>
        </w:rPr>
        <w:t>成交人</w:t>
      </w:r>
      <w:r>
        <w:rPr>
          <w:rFonts w:hint="eastAsia" w:ascii="宋体" w:hAnsi="宋体" w:eastAsia="宋体" w:cs="宋体"/>
          <w:color w:val="auto"/>
          <w:sz w:val="21"/>
          <w:szCs w:val="21"/>
          <w:highlight w:val="none"/>
        </w:rPr>
        <w:t>5台车/天以上时，</w:t>
      </w:r>
      <w:r>
        <w:rPr>
          <w:rFonts w:hint="eastAsia" w:ascii="宋体" w:hAnsi="宋体" w:cs="宋体"/>
          <w:color w:val="auto"/>
          <w:sz w:val="21"/>
          <w:szCs w:val="21"/>
          <w:highlight w:val="none"/>
          <w:lang w:val="en-US" w:eastAsia="zh-CN"/>
        </w:rPr>
        <w:t>成交人</w:t>
      </w:r>
      <w:r>
        <w:rPr>
          <w:rFonts w:hint="eastAsia" w:ascii="宋体" w:hAnsi="宋体" w:eastAsia="宋体" w:cs="宋体"/>
          <w:color w:val="auto"/>
          <w:sz w:val="21"/>
          <w:szCs w:val="21"/>
          <w:highlight w:val="none"/>
        </w:rPr>
        <w:t>无法提供服务的，仅需承担采购人使用其他运输单位支出的运输费用。跳单违约金于跳单所属月份的运输费中扣除。运费不足</w:t>
      </w:r>
      <w:r>
        <w:rPr>
          <w:rFonts w:hint="eastAsia" w:ascii="宋体" w:hAnsi="宋体" w:cs="宋体"/>
          <w:color w:val="auto"/>
          <w:sz w:val="21"/>
          <w:szCs w:val="21"/>
          <w:highlight w:val="none"/>
          <w:lang w:val="en-US" w:eastAsia="zh-CN"/>
        </w:rPr>
        <w:t>以</w:t>
      </w:r>
      <w:r>
        <w:rPr>
          <w:rFonts w:hint="eastAsia" w:ascii="宋体" w:hAnsi="宋体" w:eastAsia="宋体" w:cs="宋体"/>
          <w:color w:val="auto"/>
          <w:sz w:val="21"/>
          <w:szCs w:val="21"/>
          <w:highlight w:val="none"/>
        </w:rPr>
        <w:t>抵扣时，</w:t>
      </w:r>
      <w:r>
        <w:rPr>
          <w:rFonts w:hint="eastAsia" w:ascii="宋体" w:hAnsi="宋体" w:cs="宋体"/>
          <w:color w:val="auto"/>
          <w:sz w:val="21"/>
          <w:szCs w:val="21"/>
          <w:highlight w:val="none"/>
          <w:lang w:val="en-US" w:eastAsia="zh-CN"/>
        </w:rPr>
        <w:t>采购人</w:t>
      </w:r>
      <w:r>
        <w:rPr>
          <w:rFonts w:hint="eastAsia" w:ascii="宋体" w:hAnsi="宋体" w:eastAsia="宋体" w:cs="宋体"/>
          <w:color w:val="auto"/>
          <w:sz w:val="21"/>
          <w:szCs w:val="21"/>
          <w:highlight w:val="none"/>
        </w:rPr>
        <w:t>有权从履约保证金中扣除。备注：跳单考核包括成交人已进行响应派车，后因成交人原因，无法按要求日期抵达客户现场进行收运的情况。</w:t>
      </w:r>
    </w:p>
    <w:p w14:paraId="4A1A0C08">
      <w:pPr>
        <w:keepNext w:val="0"/>
        <w:keepLines w:val="0"/>
        <w:pageBreakBefore w:val="0"/>
        <w:widowControl/>
        <w:numPr>
          <w:ilvl w:val="0"/>
          <w:numId w:val="0"/>
        </w:numPr>
        <w:kinsoku/>
        <w:wordWrap/>
        <w:overflowPunct/>
        <w:topLinePunct w:val="0"/>
        <w:autoSpaceDE/>
        <w:autoSpaceDN/>
        <w:bidi w:val="0"/>
        <w:adjustRightInd w:val="0"/>
        <w:snapToGrid w:val="0"/>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bidi="ar-SA"/>
        </w:rPr>
        <w:t>（</w:t>
      </w:r>
      <w:r>
        <w:rPr>
          <w:rFonts w:hint="eastAsia" w:ascii="宋体" w:hAnsi="宋体" w:cs="宋体"/>
          <w:color w:val="auto"/>
          <w:sz w:val="21"/>
          <w:szCs w:val="21"/>
          <w:highlight w:val="none"/>
          <w:lang w:val="en-US" w:eastAsia="zh-CN" w:bidi="ar-SA"/>
        </w:rPr>
        <w:t>四</w:t>
      </w:r>
      <w:r>
        <w:rPr>
          <w:rFonts w:hint="eastAsia" w:ascii="宋体" w:hAnsi="宋体" w:eastAsia="宋体" w:cs="宋体"/>
          <w:color w:val="auto"/>
          <w:sz w:val="21"/>
          <w:szCs w:val="21"/>
          <w:highlight w:val="none"/>
          <w:lang w:val="en-US" w:eastAsia="zh-CN" w:bidi="ar-SA"/>
        </w:rPr>
        <w:t>）</w:t>
      </w:r>
      <w:r>
        <w:rPr>
          <w:rFonts w:hint="eastAsia" w:ascii="宋体" w:hAnsi="宋体" w:cs="宋体"/>
          <w:color w:val="auto"/>
          <w:szCs w:val="21"/>
          <w:highlight w:val="none"/>
          <w:lang w:val="en-US" w:eastAsia="zh-CN"/>
        </w:rPr>
        <w:t>如成交人每月跳单达3车及以上的，采购人有权暂停派单，并视整改情况评判是否恢复派单；如成交人合同期内累计跳单达3个月（每月跳单达3车及以上）的，采购人有权与成交人解除《危险废物运输服务合同》，并没收履约保证金。</w:t>
      </w:r>
    </w:p>
    <w:p w14:paraId="6B7F5EF6">
      <w:pPr>
        <w:keepNext w:val="0"/>
        <w:keepLines w:val="0"/>
        <w:pageBreakBefore w:val="0"/>
        <w:widowControl/>
        <w:numPr>
          <w:ilvl w:val="0"/>
          <w:numId w:val="0"/>
        </w:numPr>
        <w:kinsoku/>
        <w:wordWrap/>
        <w:overflowPunct/>
        <w:topLinePunct w:val="0"/>
        <w:autoSpaceDE/>
        <w:autoSpaceDN/>
        <w:bidi w:val="0"/>
        <w:adjustRightInd w:val="0"/>
        <w:snapToGrid w:val="0"/>
        <w:ind w:firstLine="482" w:firstLineChars="200"/>
        <w:textAlignment w:val="auto"/>
        <w:outlineLvl w:val="2"/>
        <w:rPr>
          <w:rFonts w:hint="eastAsia" w:ascii="宋体" w:hAnsi="宋体" w:eastAsia="宋体" w:cs="宋体"/>
          <w:b/>
          <w:bCs/>
          <w:color w:val="auto"/>
          <w:sz w:val="24"/>
          <w:szCs w:val="24"/>
          <w:highlight w:val="none"/>
        </w:rPr>
      </w:pPr>
      <w:bookmarkStart w:id="136" w:name="_Toc29711"/>
      <w:bookmarkStart w:id="137" w:name="_Toc31266"/>
      <w:bookmarkStart w:id="138" w:name="_Toc24241"/>
      <w:bookmarkStart w:id="139" w:name="_Toc26815"/>
      <w:bookmarkStart w:id="140" w:name="_Toc22919"/>
      <w:bookmarkStart w:id="141" w:name="_Toc7984"/>
      <w:bookmarkStart w:id="142" w:name="_Toc28067"/>
      <w:bookmarkStart w:id="143" w:name="_Toc12714"/>
      <w:bookmarkStart w:id="144" w:name="_Toc22986"/>
      <w:bookmarkStart w:id="145" w:name="_Toc30589"/>
      <w:r>
        <w:rPr>
          <w:rFonts w:hint="eastAsia" w:ascii="宋体" w:hAnsi="宋体" w:cs="宋体"/>
          <w:b/>
          <w:bCs/>
          <w:color w:val="auto"/>
          <w:sz w:val="24"/>
          <w:szCs w:val="24"/>
          <w:highlight w:val="none"/>
          <w:lang w:val="en-US" w:eastAsia="zh-CN"/>
        </w:rPr>
        <w:t>六</w:t>
      </w:r>
      <w:r>
        <w:rPr>
          <w:rFonts w:hint="eastAsia" w:ascii="宋体" w:hAnsi="宋体" w:eastAsia="宋体" w:cs="宋体"/>
          <w:b/>
          <w:bCs/>
          <w:color w:val="auto"/>
          <w:sz w:val="24"/>
          <w:szCs w:val="24"/>
          <w:highlight w:val="none"/>
        </w:rPr>
        <w:t>、服务质量</w:t>
      </w:r>
      <w:bookmarkEnd w:id="136"/>
      <w:bookmarkEnd w:id="137"/>
      <w:bookmarkEnd w:id="138"/>
      <w:bookmarkEnd w:id="139"/>
      <w:bookmarkEnd w:id="140"/>
      <w:bookmarkEnd w:id="141"/>
      <w:bookmarkEnd w:id="142"/>
      <w:bookmarkEnd w:id="143"/>
      <w:bookmarkEnd w:id="144"/>
      <w:bookmarkEnd w:id="145"/>
    </w:p>
    <w:p w14:paraId="278E3A3A">
      <w:pPr>
        <w:keepNext w:val="0"/>
        <w:keepLines w:val="0"/>
        <w:pageBreakBefore w:val="0"/>
        <w:widowControl/>
        <w:kinsoku/>
        <w:wordWrap/>
        <w:overflowPunct/>
        <w:topLinePunct w:val="0"/>
        <w:autoSpaceDE/>
        <w:autoSpaceDN/>
        <w:bidi w:val="0"/>
        <w:adjustRightInd w:val="0"/>
        <w:snapToGrid w:val="0"/>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w:t>
      </w:r>
      <w:r>
        <w:rPr>
          <w:rFonts w:hint="eastAsia" w:ascii="宋体" w:hAnsi="宋体" w:cs="宋体"/>
          <w:color w:val="auto"/>
          <w:sz w:val="21"/>
          <w:szCs w:val="21"/>
          <w:highlight w:val="none"/>
          <w:lang w:eastAsia="zh-CN"/>
        </w:rPr>
        <w:t>成交人</w:t>
      </w:r>
      <w:r>
        <w:rPr>
          <w:rFonts w:hint="eastAsia" w:ascii="宋体" w:hAnsi="宋体" w:eastAsia="宋体" w:cs="宋体"/>
          <w:color w:val="auto"/>
          <w:sz w:val="21"/>
          <w:szCs w:val="21"/>
          <w:highlight w:val="none"/>
        </w:rPr>
        <w:t>接受采购人委托，为采购人提供危险废物运输服务，服务期间，需严格遵守道路运输、安全生产相关法律法规要求，采购人对</w:t>
      </w:r>
      <w:r>
        <w:rPr>
          <w:rFonts w:hint="eastAsia" w:ascii="宋体" w:hAnsi="宋体" w:cs="宋体"/>
          <w:color w:val="auto"/>
          <w:sz w:val="21"/>
          <w:szCs w:val="21"/>
          <w:highlight w:val="none"/>
          <w:lang w:eastAsia="zh-CN"/>
        </w:rPr>
        <w:t>成交人</w:t>
      </w:r>
      <w:r>
        <w:rPr>
          <w:rFonts w:hint="eastAsia" w:ascii="宋体" w:hAnsi="宋体" w:eastAsia="宋体" w:cs="宋体"/>
          <w:color w:val="auto"/>
          <w:sz w:val="21"/>
          <w:szCs w:val="21"/>
          <w:highlight w:val="none"/>
        </w:rPr>
        <w:t>违法违规行为保留处罚权利。因</w:t>
      </w:r>
      <w:r>
        <w:rPr>
          <w:rFonts w:hint="eastAsia" w:ascii="宋体" w:hAnsi="宋体" w:cs="宋体"/>
          <w:color w:val="auto"/>
          <w:sz w:val="21"/>
          <w:szCs w:val="21"/>
          <w:highlight w:val="none"/>
          <w:lang w:eastAsia="zh-CN"/>
        </w:rPr>
        <w:t>成交人</w:t>
      </w:r>
      <w:r>
        <w:rPr>
          <w:rFonts w:hint="eastAsia" w:ascii="宋体" w:hAnsi="宋体" w:eastAsia="宋体" w:cs="宋体"/>
          <w:color w:val="auto"/>
          <w:sz w:val="21"/>
          <w:szCs w:val="21"/>
          <w:highlight w:val="none"/>
        </w:rPr>
        <w:t>违法相关法律法规、国家标准、行业标准造成的损失由</w:t>
      </w:r>
      <w:r>
        <w:rPr>
          <w:rFonts w:hint="eastAsia" w:ascii="宋体" w:hAnsi="宋体" w:cs="宋体"/>
          <w:color w:val="auto"/>
          <w:sz w:val="21"/>
          <w:szCs w:val="21"/>
          <w:highlight w:val="none"/>
          <w:lang w:eastAsia="zh-CN"/>
        </w:rPr>
        <w:t>成交人</w:t>
      </w:r>
      <w:r>
        <w:rPr>
          <w:rFonts w:hint="eastAsia" w:ascii="宋体" w:hAnsi="宋体" w:eastAsia="宋体" w:cs="宋体"/>
          <w:color w:val="auto"/>
          <w:sz w:val="21"/>
          <w:szCs w:val="21"/>
          <w:highlight w:val="none"/>
        </w:rPr>
        <w:t>自行承担。</w:t>
      </w:r>
    </w:p>
    <w:p w14:paraId="2392C4FE">
      <w:pPr>
        <w:keepNext w:val="0"/>
        <w:keepLines w:val="0"/>
        <w:pageBreakBefore w:val="0"/>
        <w:widowControl/>
        <w:kinsoku/>
        <w:wordWrap/>
        <w:overflowPunct/>
        <w:topLinePunct w:val="0"/>
        <w:autoSpaceDE/>
        <w:autoSpaceDN/>
        <w:bidi w:val="0"/>
        <w:adjustRightInd w:val="0"/>
        <w:snapToGrid w:val="0"/>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cs="宋体"/>
          <w:color w:val="auto"/>
          <w:szCs w:val="21"/>
          <w:highlight w:val="none"/>
        </w:rPr>
        <w:t>★</w:t>
      </w:r>
      <w:r>
        <w:rPr>
          <w:rFonts w:hint="eastAsia" w:ascii="宋体" w:hAnsi="宋体" w:eastAsia="宋体" w:cs="宋体"/>
          <w:color w:val="auto"/>
          <w:sz w:val="21"/>
          <w:szCs w:val="21"/>
          <w:highlight w:val="none"/>
        </w:rPr>
        <w:t>2、</w:t>
      </w:r>
      <w:r>
        <w:rPr>
          <w:rFonts w:hint="eastAsia" w:ascii="宋体" w:hAnsi="宋体" w:cs="宋体"/>
          <w:color w:val="auto"/>
          <w:sz w:val="21"/>
          <w:szCs w:val="21"/>
          <w:highlight w:val="none"/>
          <w:lang w:eastAsia="zh-CN"/>
        </w:rPr>
        <w:t>成交人</w:t>
      </w:r>
      <w:r>
        <w:rPr>
          <w:rFonts w:hint="eastAsia" w:ascii="宋体" w:hAnsi="宋体" w:eastAsia="宋体" w:cs="宋体"/>
          <w:color w:val="auto"/>
          <w:sz w:val="21"/>
          <w:szCs w:val="21"/>
          <w:highlight w:val="none"/>
        </w:rPr>
        <w:t>需严格遵守采购人相关要求，对于违反相关要求，采购人有权进行考核，并对相关人员进行处罚。对于违反相关要求，导致危害后果的，需进行赔偿，相关要求详见《东莞市新东欣环保投资有限公司承运单位违规行为处罚条款》。</w:t>
      </w:r>
    </w:p>
    <w:p w14:paraId="2A7640D0">
      <w:pPr>
        <w:keepNext w:val="0"/>
        <w:keepLines w:val="0"/>
        <w:pageBreakBefore w:val="0"/>
        <w:widowControl/>
        <w:kinsoku/>
        <w:wordWrap/>
        <w:overflowPunct/>
        <w:topLinePunct w:val="0"/>
        <w:autoSpaceDE/>
        <w:autoSpaceDN/>
        <w:bidi w:val="0"/>
        <w:adjustRightInd w:val="0"/>
        <w:snapToGrid w:val="0"/>
        <w:ind w:firstLine="420" w:firstLineChars="200"/>
        <w:jc w:val="both"/>
        <w:textAlignment w:val="auto"/>
        <w:rPr>
          <w:rFonts w:hint="eastAsia" w:ascii="宋体" w:hAnsi="宋体" w:eastAsia="宋体" w:cs="宋体"/>
          <w:color w:val="auto"/>
          <w:sz w:val="21"/>
          <w:szCs w:val="21"/>
          <w:highlight w:val="none"/>
          <w:lang w:eastAsia="zh-CN"/>
        </w:rPr>
      </w:pPr>
      <w:r>
        <w:rPr>
          <w:rFonts w:hint="eastAsia" w:ascii="宋体" w:hAnsi="宋体" w:cs="宋体"/>
          <w:color w:val="auto"/>
          <w:szCs w:val="21"/>
          <w:highlight w:val="none"/>
        </w:rPr>
        <w:t>★</w:t>
      </w:r>
      <w:r>
        <w:rPr>
          <w:rFonts w:hint="eastAsia" w:ascii="宋体" w:hAnsi="宋体" w:eastAsia="宋体" w:cs="宋体"/>
          <w:color w:val="auto"/>
          <w:sz w:val="21"/>
          <w:szCs w:val="21"/>
          <w:highlight w:val="none"/>
        </w:rPr>
        <w:t>3、采购人按季度对</w:t>
      </w:r>
      <w:r>
        <w:rPr>
          <w:rFonts w:hint="eastAsia" w:ascii="宋体" w:hAnsi="宋体" w:cs="宋体"/>
          <w:color w:val="auto"/>
          <w:sz w:val="21"/>
          <w:szCs w:val="21"/>
          <w:highlight w:val="none"/>
          <w:lang w:eastAsia="zh-CN"/>
        </w:rPr>
        <w:t>成交人</w:t>
      </w:r>
      <w:r>
        <w:rPr>
          <w:rFonts w:hint="eastAsia" w:ascii="宋体" w:hAnsi="宋体" w:eastAsia="宋体" w:cs="宋体"/>
          <w:color w:val="auto"/>
          <w:sz w:val="21"/>
          <w:szCs w:val="21"/>
          <w:highlight w:val="none"/>
        </w:rPr>
        <w:t>进行季度评分考核，根据考核结果进行处罚，考核内容详见《运输商季度考核评分表》</w:t>
      </w:r>
      <w:r>
        <w:rPr>
          <w:rFonts w:hint="eastAsia" w:ascii="宋体" w:hAnsi="宋体" w:eastAsia="宋体" w:cs="宋体"/>
          <w:color w:val="auto"/>
          <w:sz w:val="21"/>
          <w:szCs w:val="21"/>
          <w:highlight w:val="none"/>
          <w:lang w:eastAsia="zh-CN"/>
        </w:rPr>
        <w:t>。</w:t>
      </w:r>
    </w:p>
    <w:p w14:paraId="5F60774C">
      <w:pPr>
        <w:ind w:firstLine="420" w:firstLineChars="200"/>
        <w:rPr>
          <w:rFonts w:ascii="宋体" w:hAnsi="宋体" w:cs="Times New Roman"/>
          <w:color w:val="auto"/>
          <w:szCs w:val="21"/>
          <w:highlight w:val="none"/>
        </w:rPr>
      </w:pPr>
    </w:p>
    <w:p w14:paraId="29E8C355">
      <w:pPr>
        <w:rPr>
          <w:color w:val="auto"/>
          <w:highlight w:val="none"/>
        </w:rPr>
      </w:pPr>
    </w:p>
    <w:bookmarkEnd w:id="68"/>
    <w:bookmarkEnd w:id="69"/>
    <w:bookmarkEnd w:id="70"/>
    <w:bookmarkEnd w:id="71"/>
    <w:p w14:paraId="46747A2F">
      <w:pPr>
        <w:outlineLvl w:val="9"/>
        <w:rPr>
          <w:rFonts w:hint="eastAsia" w:ascii="宋体" w:hAnsi="宋体"/>
          <w:b/>
          <w:color w:val="auto"/>
          <w:sz w:val="21"/>
          <w:szCs w:val="21"/>
          <w:highlight w:val="none"/>
        </w:rPr>
      </w:pPr>
      <w:r>
        <w:rPr>
          <w:rFonts w:hint="eastAsia"/>
          <w:color w:val="auto"/>
          <w:sz w:val="28"/>
          <w:szCs w:val="28"/>
          <w:highlight w:val="none"/>
        </w:rPr>
        <w:br w:type="page"/>
      </w:r>
      <w:bookmarkStart w:id="146" w:name="_Toc32587"/>
      <w:bookmarkStart w:id="147" w:name="_Toc12951"/>
      <w:bookmarkStart w:id="148" w:name="_Toc16742"/>
      <w:bookmarkStart w:id="149" w:name="_Toc17304"/>
      <w:bookmarkStart w:id="150" w:name="_Toc7995"/>
    </w:p>
    <w:p w14:paraId="0AE64C00">
      <w:pPr>
        <w:outlineLvl w:val="1"/>
        <w:rPr>
          <w:rFonts w:ascii="宋体" w:hAnsi="宋体"/>
          <w:b/>
          <w:color w:val="auto"/>
          <w:sz w:val="21"/>
          <w:szCs w:val="21"/>
          <w:highlight w:val="none"/>
        </w:rPr>
      </w:pPr>
      <w:bookmarkStart w:id="151" w:name="_Toc3612"/>
      <w:bookmarkStart w:id="152" w:name="_Toc19227"/>
      <w:bookmarkStart w:id="153" w:name="_Toc10294"/>
      <w:bookmarkStart w:id="154" w:name="_Toc22278"/>
      <w:bookmarkStart w:id="155" w:name="_Toc7704"/>
      <w:bookmarkStart w:id="156" w:name="_Toc23782"/>
      <w:r>
        <w:rPr>
          <w:rFonts w:hint="eastAsia" w:ascii="宋体" w:hAnsi="宋体"/>
          <w:b/>
          <w:color w:val="auto"/>
          <w:sz w:val="21"/>
          <w:szCs w:val="21"/>
          <w:highlight w:val="none"/>
        </w:rPr>
        <w:t>技术需求书附件</w:t>
      </w:r>
      <w:r>
        <w:rPr>
          <w:rFonts w:hint="eastAsia" w:ascii="宋体" w:hAnsi="宋体"/>
          <w:b/>
          <w:color w:val="auto"/>
          <w:sz w:val="21"/>
          <w:szCs w:val="21"/>
          <w:highlight w:val="none"/>
          <w:lang w:val="en-US" w:eastAsia="zh-CN"/>
        </w:rPr>
        <w:t>1</w:t>
      </w:r>
      <w:r>
        <w:rPr>
          <w:rFonts w:hint="eastAsia" w:ascii="宋体" w:hAnsi="宋体"/>
          <w:b/>
          <w:color w:val="auto"/>
          <w:sz w:val="21"/>
          <w:szCs w:val="21"/>
          <w:highlight w:val="none"/>
        </w:rPr>
        <w:t>：《运输车辆名册》</w:t>
      </w:r>
      <w:bookmarkEnd w:id="151"/>
      <w:bookmarkEnd w:id="152"/>
      <w:bookmarkEnd w:id="153"/>
      <w:bookmarkEnd w:id="154"/>
      <w:bookmarkEnd w:id="155"/>
      <w:bookmarkEnd w:id="156"/>
    </w:p>
    <w:tbl>
      <w:tblPr>
        <w:tblStyle w:val="28"/>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8"/>
        <w:gridCol w:w="2393"/>
        <w:gridCol w:w="2633"/>
        <w:gridCol w:w="2525"/>
      </w:tblGrid>
      <w:tr w14:paraId="61EE0A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68" w:type="pct"/>
          </w:tcPr>
          <w:p w14:paraId="4FD252D8">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序号</w:t>
            </w:r>
          </w:p>
        </w:tc>
        <w:tc>
          <w:tcPr>
            <w:tcW w:w="1404" w:type="pct"/>
          </w:tcPr>
          <w:p w14:paraId="2E7B6CD1">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车牌号</w:t>
            </w:r>
          </w:p>
        </w:tc>
        <w:tc>
          <w:tcPr>
            <w:tcW w:w="1545" w:type="pct"/>
          </w:tcPr>
          <w:p w14:paraId="5E69E371">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车型</w:t>
            </w:r>
          </w:p>
        </w:tc>
        <w:tc>
          <w:tcPr>
            <w:tcW w:w="1481" w:type="pct"/>
          </w:tcPr>
          <w:p w14:paraId="16C66F95">
            <w:pPr>
              <w:widowControl w:val="0"/>
              <w:adjustRightInd/>
              <w:snapToGrid/>
              <w:spacing w:line="360" w:lineRule="exact"/>
              <w:ind w:firstLine="660" w:firstLineChars="300"/>
              <w:rPr>
                <w:rFonts w:ascii="宋体" w:hAnsi="宋体" w:cs="宋体"/>
                <w:color w:val="auto"/>
                <w:sz w:val="22"/>
                <w:highlight w:val="none"/>
              </w:rPr>
            </w:pPr>
            <w:r>
              <w:rPr>
                <w:rFonts w:hint="eastAsia" w:ascii="宋体" w:hAnsi="宋体" w:cs="宋体"/>
                <w:color w:val="auto"/>
                <w:sz w:val="22"/>
                <w:highlight w:val="none"/>
              </w:rPr>
              <w:t>备注</w:t>
            </w:r>
          </w:p>
        </w:tc>
      </w:tr>
      <w:tr w14:paraId="6AFF5F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14BCA530">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w:t>
            </w:r>
          </w:p>
        </w:tc>
        <w:tc>
          <w:tcPr>
            <w:tcW w:w="1404" w:type="pct"/>
          </w:tcPr>
          <w:p w14:paraId="53F90083">
            <w:pPr>
              <w:widowControl w:val="0"/>
              <w:adjustRightInd/>
              <w:snapToGrid/>
              <w:spacing w:line="360" w:lineRule="exact"/>
              <w:rPr>
                <w:rFonts w:ascii="宋体" w:hAnsi="宋体" w:cs="宋体"/>
                <w:color w:val="auto"/>
                <w:sz w:val="22"/>
                <w:highlight w:val="none"/>
              </w:rPr>
            </w:pPr>
          </w:p>
        </w:tc>
        <w:tc>
          <w:tcPr>
            <w:tcW w:w="1545" w:type="pct"/>
          </w:tcPr>
          <w:p w14:paraId="03869332">
            <w:pPr>
              <w:widowControl w:val="0"/>
              <w:adjustRightInd/>
              <w:snapToGrid/>
              <w:spacing w:line="360" w:lineRule="exact"/>
              <w:rPr>
                <w:rFonts w:ascii="宋体" w:hAnsi="宋体" w:cs="宋体"/>
                <w:color w:val="auto"/>
                <w:sz w:val="22"/>
                <w:highlight w:val="none"/>
              </w:rPr>
            </w:pPr>
          </w:p>
        </w:tc>
        <w:tc>
          <w:tcPr>
            <w:tcW w:w="1481" w:type="pct"/>
          </w:tcPr>
          <w:p w14:paraId="0A40B9F9">
            <w:pPr>
              <w:widowControl w:val="0"/>
              <w:adjustRightInd/>
              <w:snapToGrid/>
              <w:spacing w:line="360" w:lineRule="exact"/>
              <w:rPr>
                <w:rFonts w:ascii="宋体" w:hAnsi="宋体" w:cs="宋体"/>
                <w:color w:val="auto"/>
                <w:sz w:val="22"/>
                <w:highlight w:val="none"/>
              </w:rPr>
            </w:pPr>
          </w:p>
        </w:tc>
      </w:tr>
      <w:tr w14:paraId="1AA537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1DFACFF">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2</w:t>
            </w:r>
          </w:p>
        </w:tc>
        <w:tc>
          <w:tcPr>
            <w:tcW w:w="1404" w:type="pct"/>
          </w:tcPr>
          <w:p w14:paraId="082BA3C4">
            <w:pPr>
              <w:widowControl w:val="0"/>
              <w:adjustRightInd/>
              <w:snapToGrid/>
              <w:spacing w:line="360" w:lineRule="exact"/>
              <w:rPr>
                <w:rFonts w:ascii="宋体" w:hAnsi="宋体" w:cs="宋体"/>
                <w:color w:val="auto"/>
                <w:sz w:val="22"/>
                <w:highlight w:val="none"/>
              </w:rPr>
            </w:pPr>
          </w:p>
        </w:tc>
        <w:tc>
          <w:tcPr>
            <w:tcW w:w="1545" w:type="pct"/>
          </w:tcPr>
          <w:p w14:paraId="29F7A8DA">
            <w:pPr>
              <w:widowControl w:val="0"/>
              <w:adjustRightInd/>
              <w:snapToGrid/>
              <w:spacing w:line="360" w:lineRule="exact"/>
              <w:rPr>
                <w:rFonts w:ascii="宋体" w:hAnsi="宋体" w:cs="宋体"/>
                <w:color w:val="auto"/>
                <w:sz w:val="22"/>
                <w:highlight w:val="none"/>
              </w:rPr>
            </w:pPr>
          </w:p>
        </w:tc>
        <w:tc>
          <w:tcPr>
            <w:tcW w:w="1481" w:type="pct"/>
          </w:tcPr>
          <w:p w14:paraId="7D00D03E">
            <w:pPr>
              <w:widowControl w:val="0"/>
              <w:adjustRightInd/>
              <w:snapToGrid/>
              <w:spacing w:line="360" w:lineRule="exact"/>
              <w:rPr>
                <w:rFonts w:ascii="宋体" w:hAnsi="宋体" w:cs="宋体"/>
                <w:color w:val="auto"/>
                <w:sz w:val="22"/>
                <w:highlight w:val="none"/>
              </w:rPr>
            </w:pPr>
          </w:p>
        </w:tc>
      </w:tr>
      <w:tr w14:paraId="1F6DA4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17CDF8F">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3</w:t>
            </w:r>
          </w:p>
        </w:tc>
        <w:tc>
          <w:tcPr>
            <w:tcW w:w="1404" w:type="pct"/>
          </w:tcPr>
          <w:p w14:paraId="5496AFCE">
            <w:pPr>
              <w:widowControl w:val="0"/>
              <w:adjustRightInd/>
              <w:snapToGrid/>
              <w:spacing w:line="360" w:lineRule="exact"/>
              <w:rPr>
                <w:rFonts w:ascii="宋体" w:hAnsi="宋体" w:cs="宋体"/>
                <w:color w:val="auto"/>
                <w:sz w:val="22"/>
                <w:highlight w:val="none"/>
              </w:rPr>
            </w:pPr>
          </w:p>
        </w:tc>
        <w:tc>
          <w:tcPr>
            <w:tcW w:w="1545" w:type="pct"/>
          </w:tcPr>
          <w:p w14:paraId="3178E28E">
            <w:pPr>
              <w:widowControl w:val="0"/>
              <w:adjustRightInd/>
              <w:snapToGrid/>
              <w:spacing w:line="360" w:lineRule="exact"/>
              <w:rPr>
                <w:rFonts w:ascii="宋体" w:hAnsi="宋体" w:cs="宋体"/>
                <w:color w:val="auto"/>
                <w:sz w:val="22"/>
                <w:highlight w:val="none"/>
              </w:rPr>
            </w:pPr>
          </w:p>
        </w:tc>
        <w:tc>
          <w:tcPr>
            <w:tcW w:w="1481" w:type="pct"/>
          </w:tcPr>
          <w:p w14:paraId="6E642047">
            <w:pPr>
              <w:widowControl w:val="0"/>
              <w:adjustRightInd/>
              <w:snapToGrid/>
              <w:spacing w:line="360" w:lineRule="exact"/>
              <w:rPr>
                <w:rFonts w:ascii="宋体" w:hAnsi="宋体" w:cs="宋体"/>
                <w:color w:val="auto"/>
                <w:sz w:val="22"/>
                <w:highlight w:val="none"/>
              </w:rPr>
            </w:pPr>
          </w:p>
        </w:tc>
      </w:tr>
      <w:tr w14:paraId="4ECC83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AE675F5">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4</w:t>
            </w:r>
          </w:p>
        </w:tc>
        <w:tc>
          <w:tcPr>
            <w:tcW w:w="1404" w:type="pct"/>
          </w:tcPr>
          <w:p w14:paraId="7C7ADE5F">
            <w:pPr>
              <w:widowControl w:val="0"/>
              <w:adjustRightInd/>
              <w:snapToGrid/>
              <w:spacing w:line="360" w:lineRule="exact"/>
              <w:rPr>
                <w:rFonts w:ascii="宋体" w:hAnsi="宋体" w:cs="宋体"/>
                <w:color w:val="auto"/>
                <w:sz w:val="22"/>
                <w:highlight w:val="none"/>
              </w:rPr>
            </w:pPr>
          </w:p>
        </w:tc>
        <w:tc>
          <w:tcPr>
            <w:tcW w:w="1545" w:type="pct"/>
          </w:tcPr>
          <w:p w14:paraId="782756A8">
            <w:pPr>
              <w:widowControl w:val="0"/>
              <w:adjustRightInd/>
              <w:snapToGrid/>
              <w:spacing w:line="360" w:lineRule="exact"/>
              <w:rPr>
                <w:rFonts w:ascii="宋体" w:hAnsi="宋体" w:cs="宋体"/>
                <w:color w:val="auto"/>
                <w:sz w:val="22"/>
                <w:highlight w:val="none"/>
              </w:rPr>
            </w:pPr>
          </w:p>
        </w:tc>
        <w:tc>
          <w:tcPr>
            <w:tcW w:w="1481" w:type="pct"/>
          </w:tcPr>
          <w:p w14:paraId="755DCB99">
            <w:pPr>
              <w:widowControl w:val="0"/>
              <w:adjustRightInd/>
              <w:snapToGrid/>
              <w:spacing w:line="360" w:lineRule="exact"/>
              <w:rPr>
                <w:rFonts w:ascii="宋体" w:hAnsi="宋体" w:cs="宋体"/>
                <w:color w:val="auto"/>
                <w:sz w:val="22"/>
                <w:highlight w:val="none"/>
              </w:rPr>
            </w:pPr>
          </w:p>
        </w:tc>
      </w:tr>
      <w:tr w14:paraId="79FE9B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pct"/>
          </w:tcPr>
          <w:p w14:paraId="474AE3B4">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5</w:t>
            </w:r>
          </w:p>
        </w:tc>
        <w:tc>
          <w:tcPr>
            <w:tcW w:w="1404" w:type="pct"/>
          </w:tcPr>
          <w:p w14:paraId="31178C86">
            <w:pPr>
              <w:widowControl w:val="0"/>
              <w:adjustRightInd/>
              <w:snapToGrid/>
              <w:spacing w:line="360" w:lineRule="exact"/>
              <w:rPr>
                <w:rFonts w:ascii="宋体" w:hAnsi="宋体" w:cs="宋体"/>
                <w:color w:val="auto"/>
                <w:sz w:val="22"/>
                <w:highlight w:val="none"/>
              </w:rPr>
            </w:pPr>
          </w:p>
        </w:tc>
        <w:tc>
          <w:tcPr>
            <w:tcW w:w="1545" w:type="pct"/>
          </w:tcPr>
          <w:p w14:paraId="0C6EA75A">
            <w:pPr>
              <w:widowControl w:val="0"/>
              <w:adjustRightInd/>
              <w:snapToGrid/>
              <w:spacing w:line="360" w:lineRule="exact"/>
              <w:rPr>
                <w:rFonts w:ascii="宋体" w:hAnsi="宋体" w:cs="宋体"/>
                <w:color w:val="auto"/>
                <w:sz w:val="22"/>
                <w:highlight w:val="none"/>
              </w:rPr>
            </w:pPr>
          </w:p>
        </w:tc>
        <w:tc>
          <w:tcPr>
            <w:tcW w:w="1481" w:type="pct"/>
          </w:tcPr>
          <w:p w14:paraId="41175700">
            <w:pPr>
              <w:widowControl w:val="0"/>
              <w:adjustRightInd/>
              <w:snapToGrid/>
              <w:spacing w:line="360" w:lineRule="exact"/>
              <w:rPr>
                <w:rFonts w:ascii="宋体" w:hAnsi="宋体" w:cs="宋体"/>
                <w:color w:val="auto"/>
                <w:sz w:val="22"/>
                <w:highlight w:val="none"/>
              </w:rPr>
            </w:pPr>
          </w:p>
        </w:tc>
      </w:tr>
      <w:tr w14:paraId="2F8D0F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58D30732">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6</w:t>
            </w:r>
          </w:p>
        </w:tc>
        <w:tc>
          <w:tcPr>
            <w:tcW w:w="1404" w:type="pct"/>
          </w:tcPr>
          <w:p w14:paraId="288FA900">
            <w:pPr>
              <w:widowControl w:val="0"/>
              <w:adjustRightInd/>
              <w:snapToGrid/>
              <w:spacing w:line="360" w:lineRule="exact"/>
              <w:rPr>
                <w:rFonts w:ascii="宋体" w:hAnsi="宋体" w:cs="宋体"/>
                <w:color w:val="auto"/>
                <w:sz w:val="22"/>
                <w:highlight w:val="none"/>
              </w:rPr>
            </w:pPr>
          </w:p>
        </w:tc>
        <w:tc>
          <w:tcPr>
            <w:tcW w:w="1545" w:type="pct"/>
          </w:tcPr>
          <w:p w14:paraId="33530C5C">
            <w:pPr>
              <w:widowControl w:val="0"/>
              <w:adjustRightInd/>
              <w:snapToGrid/>
              <w:spacing w:line="360" w:lineRule="exact"/>
              <w:rPr>
                <w:rFonts w:ascii="宋体" w:hAnsi="宋体" w:cs="宋体"/>
                <w:color w:val="auto"/>
                <w:sz w:val="22"/>
                <w:highlight w:val="none"/>
              </w:rPr>
            </w:pPr>
          </w:p>
        </w:tc>
        <w:tc>
          <w:tcPr>
            <w:tcW w:w="1481" w:type="pct"/>
          </w:tcPr>
          <w:p w14:paraId="5598BFE1">
            <w:pPr>
              <w:widowControl w:val="0"/>
              <w:adjustRightInd/>
              <w:snapToGrid/>
              <w:spacing w:line="360" w:lineRule="exact"/>
              <w:rPr>
                <w:rFonts w:ascii="宋体" w:hAnsi="宋体" w:cs="宋体"/>
                <w:color w:val="auto"/>
                <w:sz w:val="22"/>
                <w:highlight w:val="none"/>
              </w:rPr>
            </w:pPr>
          </w:p>
        </w:tc>
      </w:tr>
      <w:tr w14:paraId="0F62AA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22AB276">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7</w:t>
            </w:r>
          </w:p>
        </w:tc>
        <w:tc>
          <w:tcPr>
            <w:tcW w:w="1404" w:type="pct"/>
          </w:tcPr>
          <w:p w14:paraId="649F7CFA">
            <w:pPr>
              <w:widowControl w:val="0"/>
              <w:adjustRightInd/>
              <w:snapToGrid/>
              <w:spacing w:line="360" w:lineRule="exact"/>
              <w:rPr>
                <w:rFonts w:ascii="宋体" w:hAnsi="宋体" w:cs="宋体"/>
                <w:color w:val="auto"/>
                <w:sz w:val="22"/>
                <w:highlight w:val="none"/>
              </w:rPr>
            </w:pPr>
          </w:p>
        </w:tc>
        <w:tc>
          <w:tcPr>
            <w:tcW w:w="1545" w:type="pct"/>
          </w:tcPr>
          <w:p w14:paraId="57986871">
            <w:pPr>
              <w:widowControl w:val="0"/>
              <w:adjustRightInd/>
              <w:snapToGrid/>
              <w:spacing w:line="360" w:lineRule="exact"/>
              <w:rPr>
                <w:rFonts w:ascii="宋体" w:hAnsi="宋体" w:cs="宋体"/>
                <w:color w:val="auto"/>
                <w:sz w:val="22"/>
                <w:highlight w:val="none"/>
              </w:rPr>
            </w:pPr>
          </w:p>
        </w:tc>
        <w:tc>
          <w:tcPr>
            <w:tcW w:w="1481" w:type="pct"/>
          </w:tcPr>
          <w:p w14:paraId="5C1C8509">
            <w:pPr>
              <w:widowControl w:val="0"/>
              <w:adjustRightInd/>
              <w:snapToGrid/>
              <w:spacing w:line="360" w:lineRule="exact"/>
              <w:rPr>
                <w:rFonts w:ascii="宋体" w:hAnsi="宋体" w:cs="宋体"/>
                <w:color w:val="auto"/>
                <w:sz w:val="22"/>
                <w:highlight w:val="none"/>
              </w:rPr>
            </w:pPr>
          </w:p>
        </w:tc>
      </w:tr>
      <w:tr w14:paraId="331E09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639453E6">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8</w:t>
            </w:r>
          </w:p>
        </w:tc>
        <w:tc>
          <w:tcPr>
            <w:tcW w:w="1404" w:type="pct"/>
          </w:tcPr>
          <w:p w14:paraId="1E9BAD84">
            <w:pPr>
              <w:widowControl w:val="0"/>
              <w:adjustRightInd/>
              <w:snapToGrid/>
              <w:spacing w:line="360" w:lineRule="exact"/>
              <w:rPr>
                <w:rFonts w:ascii="宋体" w:hAnsi="宋体" w:cs="宋体"/>
                <w:color w:val="auto"/>
                <w:sz w:val="22"/>
                <w:highlight w:val="none"/>
              </w:rPr>
            </w:pPr>
          </w:p>
        </w:tc>
        <w:tc>
          <w:tcPr>
            <w:tcW w:w="1545" w:type="pct"/>
          </w:tcPr>
          <w:p w14:paraId="6098CAC9">
            <w:pPr>
              <w:widowControl w:val="0"/>
              <w:adjustRightInd/>
              <w:snapToGrid/>
              <w:spacing w:line="360" w:lineRule="exact"/>
              <w:rPr>
                <w:rFonts w:ascii="宋体" w:hAnsi="宋体" w:cs="宋体"/>
                <w:color w:val="auto"/>
                <w:sz w:val="22"/>
                <w:highlight w:val="none"/>
              </w:rPr>
            </w:pPr>
          </w:p>
        </w:tc>
        <w:tc>
          <w:tcPr>
            <w:tcW w:w="1481" w:type="pct"/>
          </w:tcPr>
          <w:p w14:paraId="0746D707">
            <w:pPr>
              <w:widowControl w:val="0"/>
              <w:adjustRightInd/>
              <w:snapToGrid/>
              <w:spacing w:line="360" w:lineRule="exact"/>
              <w:rPr>
                <w:rFonts w:ascii="宋体" w:hAnsi="宋体" w:cs="宋体"/>
                <w:color w:val="auto"/>
                <w:sz w:val="22"/>
                <w:highlight w:val="none"/>
              </w:rPr>
            </w:pPr>
          </w:p>
        </w:tc>
      </w:tr>
      <w:tr w14:paraId="77DB7E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DC39DEB">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9</w:t>
            </w:r>
          </w:p>
        </w:tc>
        <w:tc>
          <w:tcPr>
            <w:tcW w:w="1404" w:type="pct"/>
          </w:tcPr>
          <w:p w14:paraId="3EE174DE">
            <w:pPr>
              <w:widowControl w:val="0"/>
              <w:adjustRightInd/>
              <w:snapToGrid/>
              <w:spacing w:line="360" w:lineRule="exact"/>
              <w:rPr>
                <w:rFonts w:ascii="宋体" w:hAnsi="宋体" w:cs="宋体"/>
                <w:color w:val="auto"/>
                <w:sz w:val="22"/>
                <w:highlight w:val="none"/>
              </w:rPr>
            </w:pPr>
          </w:p>
        </w:tc>
        <w:tc>
          <w:tcPr>
            <w:tcW w:w="1545" w:type="pct"/>
          </w:tcPr>
          <w:p w14:paraId="4104BD0D">
            <w:pPr>
              <w:widowControl w:val="0"/>
              <w:adjustRightInd/>
              <w:snapToGrid/>
              <w:spacing w:line="360" w:lineRule="exact"/>
              <w:rPr>
                <w:rFonts w:ascii="宋体" w:hAnsi="宋体" w:cs="宋体"/>
                <w:color w:val="auto"/>
                <w:sz w:val="22"/>
                <w:highlight w:val="none"/>
              </w:rPr>
            </w:pPr>
          </w:p>
        </w:tc>
        <w:tc>
          <w:tcPr>
            <w:tcW w:w="1481" w:type="pct"/>
          </w:tcPr>
          <w:p w14:paraId="73FB6CE0">
            <w:pPr>
              <w:widowControl w:val="0"/>
              <w:adjustRightInd/>
              <w:snapToGrid/>
              <w:spacing w:line="360" w:lineRule="exact"/>
              <w:rPr>
                <w:rFonts w:ascii="宋体" w:hAnsi="宋体" w:cs="宋体"/>
                <w:color w:val="auto"/>
                <w:sz w:val="22"/>
                <w:highlight w:val="none"/>
              </w:rPr>
            </w:pPr>
          </w:p>
        </w:tc>
      </w:tr>
      <w:tr w14:paraId="00CF59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685DECE">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10</w:t>
            </w:r>
          </w:p>
        </w:tc>
        <w:tc>
          <w:tcPr>
            <w:tcW w:w="1404" w:type="pct"/>
          </w:tcPr>
          <w:p w14:paraId="4BFA623B">
            <w:pPr>
              <w:widowControl w:val="0"/>
              <w:adjustRightInd/>
              <w:snapToGrid/>
              <w:spacing w:line="360" w:lineRule="exact"/>
              <w:rPr>
                <w:rFonts w:ascii="宋体" w:hAnsi="宋体" w:cs="宋体"/>
                <w:color w:val="auto"/>
                <w:sz w:val="22"/>
                <w:highlight w:val="none"/>
              </w:rPr>
            </w:pPr>
          </w:p>
        </w:tc>
        <w:tc>
          <w:tcPr>
            <w:tcW w:w="1545" w:type="pct"/>
          </w:tcPr>
          <w:p w14:paraId="2A64A784">
            <w:pPr>
              <w:widowControl w:val="0"/>
              <w:adjustRightInd/>
              <w:snapToGrid/>
              <w:spacing w:line="360" w:lineRule="exact"/>
              <w:rPr>
                <w:rFonts w:ascii="宋体" w:hAnsi="宋体" w:cs="宋体"/>
                <w:color w:val="auto"/>
                <w:sz w:val="22"/>
                <w:highlight w:val="none"/>
              </w:rPr>
            </w:pPr>
          </w:p>
        </w:tc>
        <w:tc>
          <w:tcPr>
            <w:tcW w:w="1481" w:type="pct"/>
          </w:tcPr>
          <w:p w14:paraId="4BB40E42">
            <w:pPr>
              <w:widowControl w:val="0"/>
              <w:adjustRightInd/>
              <w:snapToGrid/>
              <w:spacing w:line="360" w:lineRule="exact"/>
              <w:rPr>
                <w:rFonts w:ascii="宋体" w:hAnsi="宋体" w:cs="宋体"/>
                <w:color w:val="auto"/>
                <w:sz w:val="22"/>
                <w:highlight w:val="none"/>
              </w:rPr>
            </w:pPr>
          </w:p>
        </w:tc>
      </w:tr>
      <w:tr w14:paraId="159961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5F3C69EC">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11</w:t>
            </w:r>
          </w:p>
        </w:tc>
        <w:tc>
          <w:tcPr>
            <w:tcW w:w="1404" w:type="pct"/>
          </w:tcPr>
          <w:p w14:paraId="27F6C679">
            <w:pPr>
              <w:widowControl w:val="0"/>
              <w:adjustRightInd/>
              <w:snapToGrid/>
              <w:spacing w:line="360" w:lineRule="exact"/>
              <w:rPr>
                <w:rFonts w:ascii="宋体" w:hAnsi="宋体" w:cs="宋体"/>
                <w:color w:val="auto"/>
                <w:sz w:val="22"/>
                <w:highlight w:val="none"/>
              </w:rPr>
            </w:pPr>
          </w:p>
        </w:tc>
        <w:tc>
          <w:tcPr>
            <w:tcW w:w="1545" w:type="pct"/>
          </w:tcPr>
          <w:p w14:paraId="69775061">
            <w:pPr>
              <w:widowControl w:val="0"/>
              <w:adjustRightInd/>
              <w:snapToGrid/>
              <w:spacing w:line="360" w:lineRule="exact"/>
              <w:rPr>
                <w:rFonts w:ascii="宋体" w:hAnsi="宋体" w:cs="宋体"/>
                <w:color w:val="auto"/>
                <w:sz w:val="22"/>
                <w:highlight w:val="none"/>
              </w:rPr>
            </w:pPr>
          </w:p>
        </w:tc>
        <w:tc>
          <w:tcPr>
            <w:tcW w:w="1481" w:type="pct"/>
          </w:tcPr>
          <w:p w14:paraId="66CA3A6D">
            <w:pPr>
              <w:widowControl w:val="0"/>
              <w:adjustRightInd/>
              <w:snapToGrid/>
              <w:spacing w:line="360" w:lineRule="exact"/>
              <w:rPr>
                <w:rFonts w:ascii="宋体" w:hAnsi="宋体" w:cs="宋体"/>
                <w:color w:val="auto"/>
                <w:sz w:val="22"/>
                <w:highlight w:val="none"/>
              </w:rPr>
            </w:pPr>
          </w:p>
        </w:tc>
      </w:tr>
      <w:tr w14:paraId="33408E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A7702A5">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12</w:t>
            </w:r>
          </w:p>
        </w:tc>
        <w:tc>
          <w:tcPr>
            <w:tcW w:w="1404" w:type="pct"/>
          </w:tcPr>
          <w:p w14:paraId="7E67EFC6">
            <w:pPr>
              <w:widowControl w:val="0"/>
              <w:adjustRightInd/>
              <w:snapToGrid/>
              <w:spacing w:line="360" w:lineRule="exact"/>
              <w:rPr>
                <w:rFonts w:ascii="宋体" w:hAnsi="宋体" w:cs="宋体"/>
                <w:color w:val="auto"/>
                <w:sz w:val="22"/>
                <w:highlight w:val="none"/>
              </w:rPr>
            </w:pPr>
          </w:p>
        </w:tc>
        <w:tc>
          <w:tcPr>
            <w:tcW w:w="1545" w:type="pct"/>
          </w:tcPr>
          <w:p w14:paraId="4E54D386">
            <w:pPr>
              <w:widowControl w:val="0"/>
              <w:adjustRightInd/>
              <w:snapToGrid/>
              <w:spacing w:line="360" w:lineRule="exact"/>
              <w:rPr>
                <w:rFonts w:ascii="宋体" w:hAnsi="宋体" w:cs="宋体"/>
                <w:color w:val="auto"/>
                <w:sz w:val="22"/>
                <w:highlight w:val="none"/>
              </w:rPr>
            </w:pPr>
          </w:p>
        </w:tc>
        <w:tc>
          <w:tcPr>
            <w:tcW w:w="1481" w:type="pct"/>
          </w:tcPr>
          <w:p w14:paraId="3CF71DAD">
            <w:pPr>
              <w:widowControl w:val="0"/>
              <w:adjustRightInd/>
              <w:snapToGrid/>
              <w:spacing w:line="360" w:lineRule="exact"/>
              <w:rPr>
                <w:rFonts w:ascii="宋体" w:hAnsi="宋体" w:cs="宋体"/>
                <w:color w:val="auto"/>
                <w:sz w:val="22"/>
                <w:highlight w:val="none"/>
              </w:rPr>
            </w:pPr>
          </w:p>
        </w:tc>
      </w:tr>
      <w:tr w14:paraId="0D75A6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6B6DBF08">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13</w:t>
            </w:r>
          </w:p>
        </w:tc>
        <w:tc>
          <w:tcPr>
            <w:tcW w:w="1404" w:type="pct"/>
          </w:tcPr>
          <w:p w14:paraId="1BAC19F7">
            <w:pPr>
              <w:widowControl w:val="0"/>
              <w:adjustRightInd/>
              <w:snapToGrid/>
              <w:spacing w:line="360" w:lineRule="exact"/>
              <w:rPr>
                <w:rFonts w:ascii="宋体" w:hAnsi="宋体" w:cs="宋体"/>
                <w:color w:val="auto"/>
                <w:sz w:val="22"/>
                <w:highlight w:val="none"/>
              </w:rPr>
            </w:pPr>
          </w:p>
        </w:tc>
        <w:tc>
          <w:tcPr>
            <w:tcW w:w="1545" w:type="pct"/>
          </w:tcPr>
          <w:p w14:paraId="1834E832">
            <w:pPr>
              <w:widowControl w:val="0"/>
              <w:adjustRightInd/>
              <w:snapToGrid/>
              <w:spacing w:line="360" w:lineRule="exact"/>
              <w:rPr>
                <w:rFonts w:ascii="宋体" w:hAnsi="宋体" w:cs="宋体"/>
                <w:color w:val="auto"/>
                <w:sz w:val="22"/>
                <w:highlight w:val="none"/>
              </w:rPr>
            </w:pPr>
          </w:p>
        </w:tc>
        <w:tc>
          <w:tcPr>
            <w:tcW w:w="1481" w:type="pct"/>
          </w:tcPr>
          <w:p w14:paraId="30A49837">
            <w:pPr>
              <w:widowControl w:val="0"/>
              <w:adjustRightInd/>
              <w:snapToGrid/>
              <w:spacing w:line="360" w:lineRule="exact"/>
              <w:rPr>
                <w:rFonts w:ascii="宋体" w:hAnsi="宋体" w:cs="宋体"/>
                <w:color w:val="auto"/>
                <w:sz w:val="22"/>
                <w:highlight w:val="none"/>
              </w:rPr>
            </w:pPr>
          </w:p>
        </w:tc>
      </w:tr>
      <w:tr w14:paraId="50A313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1212806A">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14</w:t>
            </w:r>
          </w:p>
        </w:tc>
        <w:tc>
          <w:tcPr>
            <w:tcW w:w="1404" w:type="pct"/>
          </w:tcPr>
          <w:p w14:paraId="7B6F7490">
            <w:pPr>
              <w:widowControl w:val="0"/>
              <w:adjustRightInd/>
              <w:snapToGrid/>
              <w:spacing w:line="360" w:lineRule="exact"/>
              <w:rPr>
                <w:rFonts w:ascii="宋体" w:hAnsi="宋体" w:cs="宋体"/>
                <w:color w:val="auto"/>
                <w:sz w:val="22"/>
                <w:highlight w:val="none"/>
              </w:rPr>
            </w:pPr>
          </w:p>
        </w:tc>
        <w:tc>
          <w:tcPr>
            <w:tcW w:w="1545" w:type="pct"/>
          </w:tcPr>
          <w:p w14:paraId="5F4A259F">
            <w:pPr>
              <w:widowControl w:val="0"/>
              <w:adjustRightInd/>
              <w:snapToGrid/>
              <w:spacing w:line="360" w:lineRule="exact"/>
              <w:rPr>
                <w:rFonts w:ascii="宋体" w:hAnsi="宋体" w:cs="宋体"/>
                <w:color w:val="auto"/>
                <w:sz w:val="22"/>
                <w:highlight w:val="none"/>
              </w:rPr>
            </w:pPr>
          </w:p>
        </w:tc>
        <w:tc>
          <w:tcPr>
            <w:tcW w:w="1481" w:type="pct"/>
          </w:tcPr>
          <w:p w14:paraId="72C86008">
            <w:pPr>
              <w:widowControl w:val="0"/>
              <w:adjustRightInd/>
              <w:snapToGrid/>
              <w:spacing w:line="360" w:lineRule="exact"/>
              <w:rPr>
                <w:rFonts w:ascii="宋体" w:hAnsi="宋体" w:cs="宋体"/>
                <w:color w:val="auto"/>
                <w:sz w:val="22"/>
                <w:highlight w:val="none"/>
              </w:rPr>
            </w:pPr>
          </w:p>
        </w:tc>
      </w:tr>
      <w:tr w14:paraId="2F3A7E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AD3F49D">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15</w:t>
            </w:r>
          </w:p>
        </w:tc>
        <w:tc>
          <w:tcPr>
            <w:tcW w:w="1404" w:type="pct"/>
          </w:tcPr>
          <w:p w14:paraId="24F53AD1">
            <w:pPr>
              <w:widowControl w:val="0"/>
              <w:adjustRightInd/>
              <w:snapToGrid/>
              <w:spacing w:line="360" w:lineRule="exact"/>
              <w:rPr>
                <w:rFonts w:ascii="宋体" w:hAnsi="宋体" w:cs="宋体"/>
                <w:color w:val="auto"/>
                <w:sz w:val="22"/>
                <w:highlight w:val="none"/>
              </w:rPr>
            </w:pPr>
          </w:p>
        </w:tc>
        <w:tc>
          <w:tcPr>
            <w:tcW w:w="1545" w:type="pct"/>
          </w:tcPr>
          <w:p w14:paraId="706D9645">
            <w:pPr>
              <w:widowControl w:val="0"/>
              <w:adjustRightInd/>
              <w:snapToGrid/>
              <w:spacing w:line="360" w:lineRule="exact"/>
              <w:rPr>
                <w:rFonts w:ascii="宋体" w:hAnsi="宋体" w:cs="宋体"/>
                <w:color w:val="auto"/>
                <w:sz w:val="22"/>
                <w:highlight w:val="none"/>
              </w:rPr>
            </w:pPr>
          </w:p>
        </w:tc>
        <w:tc>
          <w:tcPr>
            <w:tcW w:w="1481" w:type="pct"/>
          </w:tcPr>
          <w:p w14:paraId="5621657D">
            <w:pPr>
              <w:widowControl w:val="0"/>
              <w:adjustRightInd/>
              <w:snapToGrid/>
              <w:spacing w:line="360" w:lineRule="exact"/>
              <w:rPr>
                <w:rFonts w:ascii="宋体" w:hAnsi="宋体" w:cs="宋体"/>
                <w:color w:val="auto"/>
                <w:sz w:val="22"/>
                <w:highlight w:val="none"/>
              </w:rPr>
            </w:pPr>
          </w:p>
        </w:tc>
      </w:tr>
      <w:tr w14:paraId="6B4036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4B0D7345">
            <w:pPr>
              <w:widowControl w:val="0"/>
              <w:adjustRightInd/>
              <w:snapToGrid/>
              <w:spacing w:line="360" w:lineRule="exact"/>
              <w:ind w:firstLine="220" w:firstLineChars="100"/>
              <w:rPr>
                <w:rFonts w:ascii="宋体" w:hAnsi="宋体" w:cs="宋体"/>
                <w:color w:val="auto"/>
                <w:sz w:val="22"/>
                <w:highlight w:val="none"/>
              </w:rPr>
            </w:pPr>
          </w:p>
        </w:tc>
        <w:tc>
          <w:tcPr>
            <w:tcW w:w="1404" w:type="pct"/>
          </w:tcPr>
          <w:p w14:paraId="2CC4B40C">
            <w:pPr>
              <w:widowControl w:val="0"/>
              <w:adjustRightInd/>
              <w:snapToGrid/>
              <w:spacing w:line="360" w:lineRule="exact"/>
              <w:rPr>
                <w:rFonts w:ascii="宋体" w:hAnsi="宋体" w:cs="宋体"/>
                <w:color w:val="auto"/>
                <w:sz w:val="22"/>
                <w:highlight w:val="none"/>
              </w:rPr>
            </w:pPr>
          </w:p>
        </w:tc>
        <w:tc>
          <w:tcPr>
            <w:tcW w:w="1545" w:type="pct"/>
          </w:tcPr>
          <w:p w14:paraId="0928F1AC">
            <w:pPr>
              <w:widowControl w:val="0"/>
              <w:adjustRightInd/>
              <w:snapToGrid/>
              <w:spacing w:line="360" w:lineRule="exact"/>
              <w:rPr>
                <w:rFonts w:ascii="宋体" w:hAnsi="宋体" w:cs="宋体"/>
                <w:color w:val="auto"/>
                <w:sz w:val="22"/>
                <w:highlight w:val="none"/>
              </w:rPr>
            </w:pPr>
          </w:p>
        </w:tc>
        <w:tc>
          <w:tcPr>
            <w:tcW w:w="1481" w:type="pct"/>
          </w:tcPr>
          <w:p w14:paraId="2563F038">
            <w:pPr>
              <w:widowControl w:val="0"/>
              <w:adjustRightInd/>
              <w:snapToGrid/>
              <w:spacing w:line="360" w:lineRule="exact"/>
              <w:rPr>
                <w:rFonts w:ascii="宋体" w:hAnsi="宋体" w:cs="宋体"/>
                <w:color w:val="auto"/>
                <w:sz w:val="22"/>
                <w:highlight w:val="none"/>
              </w:rPr>
            </w:pPr>
          </w:p>
        </w:tc>
      </w:tr>
      <w:tr w14:paraId="16497E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A9EBA37">
            <w:pPr>
              <w:widowControl w:val="0"/>
              <w:adjustRightInd/>
              <w:snapToGrid/>
              <w:spacing w:line="360" w:lineRule="exact"/>
              <w:ind w:firstLine="220" w:firstLineChars="100"/>
              <w:rPr>
                <w:rFonts w:ascii="宋体" w:hAnsi="宋体" w:cs="宋体"/>
                <w:color w:val="auto"/>
                <w:sz w:val="22"/>
                <w:highlight w:val="none"/>
              </w:rPr>
            </w:pPr>
          </w:p>
        </w:tc>
        <w:tc>
          <w:tcPr>
            <w:tcW w:w="1404" w:type="pct"/>
          </w:tcPr>
          <w:p w14:paraId="29ABD797">
            <w:pPr>
              <w:widowControl w:val="0"/>
              <w:adjustRightInd/>
              <w:snapToGrid/>
              <w:spacing w:line="360" w:lineRule="exact"/>
              <w:rPr>
                <w:rFonts w:ascii="宋体" w:hAnsi="宋体" w:cs="宋体"/>
                <w:color w:val="auto"/>
                <w:sz w:val="22"/>
                <w:highlight w:val="none"/>
              </w:rPr>
            </w:pPr>
          </w:p>
        </w:tc>
        <w:tc>
          <w:tcPr>
            <w:tcW w:w="1545" w:type="pct"/>
          </w:tcPr>
          <w:p w14:paraId="657DCB7A">
            <w:pPr>
              <w:widowControl w:val="0"/>
              <w:adjustRightInd/>
              <w:snapToGrid/>
              <w:spacing w:line="360" w:lineRule="exact"/>
              <w:rPr>
                <w:rFonts w:ascii="宋体" w:hAnsi="宋体" w:cs="宋体"/>
                <w:color w:val="auto"/>
                <w:sz w:val="22"/>
                <w:highlight w:val="none"/>
              </w:rPr>
            </w:pPr>
          </w:p>
        </w:tc>
        <w:tc>
          <w:tcPr>
            <w:tcW w:w="1481" w:type="pct"/>
          </w:tcPr>
          <w:p w14:paraId="35522DCC">
            <w:pPr>
              <w:widowControl w:val="0"/>
              <w:adjustRightInd/>
              <w:snapToGrid/>
              <w:spacing w:line="360" w:lineRule="exact"/>
              <w:rPr>
                <w:rFonts w:ascii="宋体" w:hAnsi="宋体" w:cs="宋体"/>
                <w:color w:val="auto"/>
                <w:sz w:val="22"/>
                <w:highlight w:val="none"/>
              </w:rPr>
            </w:pPr>
          </w:p>
        </w:tc>
      </w:tr>
    </w:tbl>
    <w:p w14:paraId="0D36EBD9">
      <w:pPr>
        <w:jc w:val="both"/>
        <w:outlineLvl w:val="9"/>
        <w:rPr>
          <w:rFonts w:hint="eastAsia"/>
          <w:color w:val="auto"/>
          <w:highlight w:val="none"/>
        </w:rPr>
      </w:pPr>
      <w:r>
        <w:rPr>
          <w:rFonts w:hint="eastAsia"/>
          <w:color w:val="auto"/>
          <w:highlight w:val="none"/>
        </w:rPr>
        <w:t>备注：</w:t>
      </w:r>
    </w:p>
    <w:p w14:paraId="201AC998">
      <w:pPr>
        <w:jc w:val="both"/>
        <w:outlineLvl w:val="9"/>
        <w:rPr>
          <w:rFonts w:hint="eastAsia"/>
          <w:color w:val="auto"/>
          <w:highlight w:val="none"/>
        </w:rPr>
      </w:pPr>
      <w:r>
        <w:rPr>
          <w:rFonts w:hint="eastAsia"/>
          <w:color w:val="auto"/>
          <w:highlight w:val="none"/>
        </w:rPr>
        <w:t>1、以上为拟投入本项目不少于5辆运输车辆清单，投标人可根据情况增加，不得减少。</w:t>
      </w:r>
      <w:r>
        <w:rPr>
          <w:rFonts w:hint="eastAsia"/>
          <w:color w:val="auto"/>
          <w:highlight w:val="none"/>
          <w:lang w:val="en-US" w:eastAsia="zh-CN"/>
        </w:rPr>
        <w:t>以上</w:t>
      </w:r>
      <w:r>
        <w:rPr>
          <w:rFonts w:hint="eastAsia"/>
          <w:color w:val="auto"/>
          <w:highlight w:val="none"/>
        </w:rPr>
        <w:t>名单为初步填写，后续如需更换，</w:t>
      </w:r>
      <w:r>
        <w:rPr>
          <w:rFonts w:hint="eastAsia"/>
          <w:color w:val="auto"/>
          <w:highlight w:val="none"/>
          <w:lang w:val="en-US" w:eastAsia="zh-CN"/>
        </w:rPr>
        <w:t>需</w:t>
      </w:r>
      <w:r>
        <w:rPr>
          <w:rFonts w:hint="eastAsia"/>
          <w:color w:val="auto"/>
          <w:highlight w:val="none"/>
        </w:rPr>
        <w:t>征得采购人</w:t>
      </w:r>
      <w:r>
        <w:rPr>
          <w:rFonts w:hint="eastAsia"/>
          <w:color w:val="auto"/>
          <w:highlight w:val="none"/>
          <w:lang w:val="en-US" w:eastAsia="zh-CN"/>
        </w:rPr>
        <w:t>书面</w:t>
      </w:r>
      <w:r>
        <w:rPr>
          <w:rFonts w:hint="eastAsia"/>
          <w:color w:val="auto"/>
          <w:highlight w:val="none"/>
        </w:rPr>
        <w:t>同意后方可更换。</w:t>
      </w:r>
    </w:p>
    <w:p w14:paraId="6CA87B3C">
      <w:pPr>
        <w:jc w:val="both"/>
        <w:outlineLvl w:val="9"/>
        <w:rPr>
          <w:rFonts w:hint="eastAsia"/>
          <w:color w:val="auto"/>
          <w:highlight w:val="none"/>
        </w:rPr>
      </w:pPr>
      <w:r>
        <w:rPr>
          <w:rFonts w:hint="eastAsia"/>
          <w:color w:val="auto"/>
          <w:highlight w:val="none"/>
        </w:rPr>
        <w:t>2、资料要求：</w:t>
      </w:r>
    </w:p>
    <w:p w14:paraId="146B60B9">
      <w:pPr>
        <w:jc w:val="both"/>
        <w:outlineLvl w:val="9"/>
        <w:rPr>
          <w:rFonts w:hint="eastAsia"/>
          <w:color w:val="auto"/>
          <w:highlight w:val="none"/>
        </w:rPr>
      </w:pPr>
      <w:r>
        <w:rPr>
          <w:rFonts w:hint="eastAsia"/>
          <w:color w:val="auto"/>
          <w:highlight w:val="none"/>
        </w:rPr>
        <w:t>【投标时提供】不少于5辆运输车辆的《道路运输证》（加盖公章），其中：厢车标段须为</w:t>
      </w:r>
      <w:r>
        <w:rPr>
          <w:rFonts w:hint="eastAsia"/>
          <w:b/>
          <w:bCs/>
          <w:color w:val="auto"/>
          <w:highlight w:val="none"/>
          <w:lang w:val="en-US" w:eastAsia="zh-CN"/>
        </w:rPr>
        <w:t>投标人</w:t>
      </w:r>
      <w:r>
        <w:rPr>
          <w:rFonts w:hint="eastAsia"/>
          <w:b/>
          <w:bCs/>
          <w:color w:val="auto"/>
          <w:highlight w:val="none"/>
        </w:rPr>
        <w:t>自有厢车</w:t>
      </w:r>
      <w:r>
        <w:rPr>
          <w:rFonts w:hint="eastAsia"/>
          <w:color w:val="auto"/>
          <w:highlight w:val="none"/>
        </w:rPr>
        <w:t>（根据《道路运输证》业务名称与投标人名称是否一致进行判断）；槽车标段</w:t>
      </w:r>
      <w:r>
        <w:rPr>
          <w:rFonts w:hint="eastAsia"/>
          <w:b/>
          <w:bCs/>
          <w:color w:val="auto"/>
          <w:highlight w:val="none"/>
        </w:rPr>
        <w:t>可为</w:t>
      </w:r>
      <w:r>
        <w:rPr>
          <w:rFonts w:hint="eastAsia"/>
          <w:b/>
          <w:bCs/>
          <w:color w:val="auto"/>
          <w:highlight w:val="none"/>
          <w:lang w:val="en-US" w:eastAsia="zh-CN"/>
        </w:rPr>
        <w:t>投标人</w:t>
      </w:r>
      <w:r>
        <w:rPr>
          <w:rFonts w:hint="eastAsia"/>
          <w:b/>
          <w:bCs/>
          <w:color w:val="auto"/>
          <w:highlight w:val="none"/>
        </w:rPr>
        <w:t>自有槽车</w:t>
      </w:r>
      <w:r>
        <w:rPr>
          <w:rFonts w:hint="eastAsia"/>
          <w:color w:val="auto"/>
          <w:highlight w:val="none"/>
        </w:rPr>
        <w:t>（根据《道路运输证》业户名称与投标人名称是否一致进行判断）</w:t>
      </w:r>
      <w:r>
        <w:rPr>
          <w:rFonts w:hint="eastAsia"/>
          <w:b/>
          <w:bCs/>
          <w:color w:val="auto"/>
          <w:highlight w:val="none"/>
        </w:rPr>
        <w:t>或合作方槽车</w:t>
      </w:r>
      <w:r>
        <w:rPr>
          <w:rFonts w:hint="eastAsia"/>
          <w:color w:val="auto"/>
          <w:highlight w:val="none"/>
        </w:rPr>
        <w:t>（提供合作方的合同或合作协议，根据投标列示</w:t>
      </w:r>
      <w:r>
        <w:rPr>
          <w:rFonts w:hint="eastAsia"/>
          <w:color w:val="auto"/>
          <w:highlight w:val="none"/>
          <w:lang w:val="en-US" w:eastAsia="zh-CN"/>
        </w:rPr>
        <w:t>的</w:t>
      </w:r>
      <w:r>
        <w:rPr>
          <w:rFonts w:hint="eastAsia"/>
          <w:color w:val="auto"/>
          <w:highlight w:val="none"/>
        </w:rPr>
        <w:t>《道路运输证》业户名称与合同或合作协议上的名称是否一致进行判断）</w:t>
      </w:r>
    </w:p>
    <w:p w14:paraId="4C9334A1">
      <w:pPr>
        <w:widowControl w:val="0"/>
        <w:adjustRightInd/>
        <w:snapToGrid/>
        <w:spacing w:line="360" w:lineRule="exact"/>
        <w:ind w:firstLine="0" w:firstLineChars="0"/>
        <w:rPr>
          <w:highlight w:val="none"/>
        </w:rPr>
      </w:pPr>
      <w:r>
        <w:rPr>
          <w:rFonts w:hint="eastAsia"/>
          <w:color w:val="auto"/>
          <w:highlight w:val="none"/>
        </w:rPr>
        <w:t>【中标后向甲方备案】不少于5辆运输车辆的行驶证、道路运输证、强制险保单、商业险保单、危险货物承运人保单、GPS定位系统安装证明、视频监控接入证明等。</w:t>
      </w:r>
    </w:p>
    <w:p w14:paraId="302490F5">
      <w:pPr>
        <w:widowControl w:val="0"/>
        <w:adjustRightInd/>
        <w:snapToGrid/>
        <w:spacing w:line="360" w:lineRule="exact"/>
        <w:ind w:firstLine="0" w:firstLineChars="0"/>
        <w:rPr>
          <w:highlight w:val="none"/>
        </w:rPr>
      </w:pPr>
    </w:p>
    <w:p w14:paraId="75786CB3">
      <w:pPr>
        <w:outlineLvl w:val="9"/>
        <w:rPr>
          <w:rFonts w:hint="eastAsia" w:ascii="宋体" w:hAnsi="宋体"/>
          <w:b/>
          <w:color w:val="auto"/>
          <w:sz w:val="21"/>
          <w:szCs w:val="21"/>
          <w:highlight w:val="none"/>
        </w:rPr>
      </w:pPr>
    </w:p>
    <w:p w14:paraId="297E4222">
      <w:pPr>
        <w:outlineLvl w:val="9"/>
        <w:rPr>
          <w:rFonts w:hint="eastAsia"/>
          <w:highlight w:val="none"/>
        </w:rPr>
      </w:pPr>
    </w:p>
    <w:p w14:paraId="7468EF62">
      <w:pPr>
        <w:outlineLvl w:val="9"/>
        <w:rPr>
          <w:rFonts w:hint="eastAsia" w:ascii="宋体" w:hAnsi="宋体"/>
          <w:b/>
          <w:color w:val="auto"/>
          <w:sz w:val="21"/>
          <w:szCs w:val="21"/>
          <w:highlight w:val="none"/>
        </w:rPr>
      </w:pPr>
    </w:p>
    <w:p w14:paraId="78ECB758">
      <w:pPr>
        <w:outlineLvl w:val="9"/>
        <w:rPr>
          <w:rFonts w:hint="eastAsia" w:ascii="宋体" w:hAnsi="宋体"/>
          <w:b/>
          <w:color w:val="auto"/>
          <w:sz w:val="21"/>
          <w:szCs w:val="21"/>
          <w:highlight w:val="none"/>
        </w:rPr>
      </w:pPr>
      <w:r>
        <w:rPr>
          <w:rFonts w:hint="eastAsia" w:ascii="宋体" w:hAnsi="宋体"/>
          <w:b/>
          <w:color w:val="auto"/>
          <w:sz w:val="21"/>
          <w:szCs w:val="21"/>
          <w:highlight w:val="none"/>
        </w:rPr>
        <w:br w:type="page"/>
      </w:r>
    </w:p>
    <w:p w14:paraId="76A950BB">
      <w:pPr>
        <w:outlineLvl w:val="1"/>
        <w:rPr>
          <w:rFonts w:hint="eastAsia" w:ascii="宋体" w:hAnsi="宋体"/>
          <w:b/>
          <w:color w:val="auto"/>
          <w:sz w:val="21"/>
          <w:szCs w:val="21"/>
          <w:highlight w:val="none"/>
        </w:rPr>
      </w:pPr>
      <w:bookmarkStart w:id="157" w:name="_Toc29928"/>
      <w:bookmarkStart w:id="158" w:name="_Toc15740"/>
      <w:bookmarkStart w:id="159" w:name="_Toc13772"/>
      <w:bookmarkStart w:id="160" w:name="_Toc15014"/>
      <w:bookmarkStart w:id="161" w:name="_Toc2600"/>
      <w:bookmarkStart w:id="162" w:name="_Toc25130"/>
      <w:r>
        <w:rPr>
          <w:rFonts w:hint="eastAsia" w:ascii="宋体" w:hAnsi="宋体"/>
          <w:b/>
          <w:color w:val="auto"/>
          <w:sz w:val="21"/>
          <w:szCs w:val="21"/>
          <w:highlight w:val="none"/>
        </w:rPr>
        <w:t>技术需求书附件</w:t>
      </w:r>
      <w:r>
        <w:rPr>
          <w:rFonts w:hint="eastAsia" w:ascii="宋体" w:hAnsi="宋体"/>
          <w:b/>
          <w:color w:val="auto"/>
          <w:sz w:val="21"/>
          <w:szCs w:val="21"/>
          <w:highlight w:val="none"/>
          <w:lang w:val="en-US" w:eastAsia="zh-CN"/>
        </w:rPr>
        <w:t>2</w:t>
      </w:r>
      <w:r>
        <w:rPr>
          <w:rFonts w:hint="eastAsia" w:ascii="宋体" w:hAnsi="宋体"/>
          <w:b/>
          <w:color w:val="auto"/>
          <w:sz w:val="21"/>
          <w:szCs w:val="21"/>
          <w:highlight w:val="none"/>
        </w:rPr>
        <w:t>：《运输人员花名册》</w:t>
      </w:r>
      <w:bookmarkEnd w:id="146"/>
      <w:bookmarkEnd w:id="147"/>
      <w:bookmarkEnd w:id="148"/>
      <w:bookmarkEnd w:id="149"/>
      <w:bookmarkEnd w:id="157"/>
      <w:bookmarkEnd w:id="158"/>
      <w:r>
        <w:rPr>
          <w:rFonts w:hint="eastAsia" w:ascii="宋体" w:hAnsi="宋体"/>
          <w:b/>
          <w:color w:val="auto"/>
          <w:sz w:val="21"/>
          <w:szCs w:val="21"/>
          <w:highlight w:val="none"/>
        </w:rPr>
        <w:t xml:space="preserve"> </w:t>
      </w:r>
      <w:bookmarkEnd w:id="150"/>
      <w:bookmarkEnd w:id="159"/>
      <w:bookmarkEnd w:id="160"/>
      <w:bookmarkEnd w:id="161"/>
      <w:bookmarkEnd w:id="162"/>
    </w:p>
    <w:tbl>
      <w:tblPr>
        <w:tblStyle w:val="28"/>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8"/>
        <w:gridCol w:w="2393"/>
        <w:gridCol w:w="2634"/>
        <w:gridCol w:w="2525"/>
      </w:tblGrid>
      <w:tr w14:paraId="7950F4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68" w:type="pct"/>
          </w:tcPr>
          <w:p w14:paraId="56C2E43C">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序号</w:t>
            </w:r>
          </w:p>
        </w:tc>
        <w:tc>
          <w:tcPr>
            <w:tcW w:w="1404" w:type="pct"/>
          </w:tcPr>
          <w:p w14:paraId="740E844E">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人员名单</w:t>
            </w:r>
          </w:p>
        </w:tc>
        <w:tc>
          <w:tcPr>
            <w:tcW w:w="1545" w:type="pct"/>
          </w:tcPr>
          <w:p w14:paraId="04FD0933">
            <w:pPr>
              <w:widowControl w:val="0"/>
              <w:adjustRightInd/>
              <w:snapToGrid/>
              <w:spacing w:line="360" w:lineRule="exact"/>
              <w:ind w:firstLine="220" w:firstLineChars="100"/>
              <w:jc w:val="center"/>
              <w:rPr>
                <w:rFonts w:ascii="宋体" w:hAnsi="宋体" w:cs="宋体"/>
                <w:color w:val="auto"/>
                <w:sz w:val="22"/>
                <w:highlight w:val="none"/>
              </w:rPr>
            </w:pPr>
            <w:r>
              <w:rPr>
                <w:rFonts w:hint="eastAsia" w:ascii="宋体" w:hAnsi="宋体" w:cs="宋体"/>
                <w:color w:val="auto"/>
                <w:sz w:val="22"/>
                <w:highlight w:val="none"/>
              </w:rPr>
              <w:t>证照（类别）</w:t>
            </w:r>
          </w:p>
        </w:tc>
        <w:tc>
          <w:tcPr>
            <w:tcW w:w="1481" w:type="pct"/>
          </w:tcPr>
          <w:p w14:paraId="53922E41">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备注</w:t>
            </w:r>
          </w:p>
        </w:tc>
      </w:tr>
      <w:tr w14:paraId="7C63DD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886162A">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1</w:t>
            </w:r>
          </w:p>
        </w:tc>
        <w:tc>
          <w:tcPr>
            <w:tcW w:w="1404" w:type="pct"/>
          </w:tcPr>
          <w:p w14:paraId="6C0BB857">
            <w:pPr>
              <w:widowControl w:val="0"/>
              <w:adjustRightInd/>
              <w:snapToGrid/>
              <w:spacing w:line="360" w:lineRule="exact"/>
              <w:jc w:val="center"/>
              <w:rPr>
                <w:rFonts w:ascii="宋体" w:hAnsi="宋体" w:cs="宋体"/>
                <w:color w:val="auto"/>
                <w:sz w:val="22"/>
                <w:highlight w:val="none"/>
              </w:rPr>
            </w:pPr>
          </w:p>
        </w:tc>
        <w:tc>
          <w:tcPr>
            <w:tcW w:w="1545" w:type="pct"/>
          </w:tcPr>
          <w:p w14:paraId="53C7ED48">
            <w:pPr>
              <w:widowControl w:val="0"/>
              <w:adjustRightInd/>
              <w:snapToGrid/>
              <w:spacing w:line="360" w:lineRule="exact"/>
              <w:jc w:val="center"/>
              <w:rPr>
                <w:rFonts w:ascii="宋体" w:hAnsi="宋体" w:cs="宋体"/>
                <w:color w:val="auto"/>
                <w:sz w:val="22"/>
                <w:highlight w:val="none"/>
              </w:rPr>
            </w:pPr>
          </w:p>
        </w:tc>
        <w:tc>
          <w:tcPr>
            <w:tcW w:w="1481" w:type="pct"/>
          </w:tcPr>
          <w:p w14:paraId="40F14C14">
            <w:pPr>
              <w:widowControl w:val="0"/>
              <w:adjustRightInd/>
              <w:snapToGrid/>
              <w:spacing w:line="360" w:lineRule="exact"/>
              <w:jc w:val="center"/>
              <w:rPr>
                <w:rFonts w:ascii="宋体" w:hAnsi="宋体" w:cs="宋体"/>
                <w:color w:val="auto"/>
                <w:sz w:val="22"/>
                <w:highlight w:val="none"/>
              </w:rPr>
            </w:pPr>
          </w:p>
        </w:tc>
      </w:tr>
      <w:tr w14:paraId="1A5112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7C4511F">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2</w:t>
            </w:r>
          </w:p>
        </w:tc>
        <w:tc>
          <w:tcPr>
            <w:tcW w:w="1404" w:type="pct"/>
          </w:tcPr>
          <w:p w14:paraId="39170A28">
            <w:pPr>
              <w:widowControl w:val="0"/>
              <w:adjustRightInd/>
              <w:snapToGrid/>
              <w:spacing w:line="360" w:lineRule="exact"/>
              <w:jc w:val="center"/>
              <w:rPr>
                <w:rFonts w:ascii="宋体" w:hAnsi="宋体" w:cs="宋体"/>
                <w:color w:val="auto"/>
                <w:sz w:val="22"/>
                <w:highlight w:val="none"/>
              </w:rPr>
            </w:pPr>
          </w:p>
        </w:tc>
        <w:tc>
          <w:tcPr>
            <w:tcW w:w="1545" w:type="pct"/>
          </w:tcPr>
          <w:p w14:paraId="30731D28">
            <w:pPr>
              <w:widowControl w:val="0"/>
              <w:adjustRightInd/>
              <w:snapToGrid/>
              <w:spacing w:line="360" w:lineRule="exact"/>
              <w:jc w:val="center"/>
              <w:rPr>
                <w:rFonts w:ascii="宋体" w:hAnsi="宋体" w:cs="宋体"/>
                <w:color w:val="auto"/>
                <w:sz w:val="22"/>
                <w:highlight w:val="none"/>
              </w:rPr>
            </w:pPr>
          </w:p>
        </w:tc>
        <w:tc>
          <w:tcPr>
            <w:tcW w:w="1481" w:type="pct"/>
          </w:tcPr>
          <w:p w14:paraId="34A1A61F">
            <w:pPr>
              <w:widowControl w:val="0"/>
              <w:adjustRightInd/>
              <w:snapToGrid/>
              <w:spacing w:line="360" w:lineRule="exact"/>
              <w:jc w:val="center"/>
              <w:rPr>
                <w:rFonts w:ascii="宋体" w:hAnsi="宋体" w:cs="宋体"/>
                <w:color w:val="auto"/>
                <w:sz w:val="22"/>
                <w:highlight w:val="none"/>
              </w:rPr>
            </w:pPr>
          </w:p>
        </w:tc>
      </w:tr>
      <w:tr w14:paraId="34249A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87D0770">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3</w:t>
            </w:r>
          </w:p>
        </w:tc>
        <w:tc>
          <w:tcPr>
            <w:tcW w:w="1404" w:type="pct"/>
          </w:tcPr>
          <w:p w14:paraId="106DCF03">
            <w:pPr>
              <w:widowControl w:val="0"/>
              <w:adjustRightInd/>
              <w:snapToGrid/>
              <w:spacing w:line="360" w:lineRule="exact"/>
              <w:jc w:val="center"/>
              <w:rPr>
                <w:rFonts w:ascii="宋体" w:hAnsi="宋体" w:cs="宋体"/>
                <w:color w:val="auto"/>
                <w:sz w:val="22"/>
                <w:highlight w:val="none"/>
              </w:rPr>
            </w:pPr>
          </w:p>
        </w:tc>
        <w:tc>
          <w:tcPr>
            <w:tcW w:w="1545" w:type="pct"/>
          </w:tcPr>
          <w:p w14:paraId="64BF9BC9">
            <w:pPr>
              <w:widowControl w:val="0"/>
              <w:adjustRightInd/>
              <w:snapToGrid/>
              <w:spacing w:line="360" w:lineRule="exact"/>
              <w:jc w:val="center"/>
              <w:rPr>
                <w:rFonts w:ascii="宋体" w:hAnsi="宋体" w:cs="宋体"/>
                <w:color w:val="auto"/>
                <w:sz w:val="22"/>
                <w:highlight w:val="none"/>
              </w:rPr>
            </w:pPr>
          </w:p>
        </w:tc>
        <w:tc>
          <w:tcPr>
            <w:tcW w:w="1481" w:type="pct"/>
          </w:tcPr>
          <w:p w14:paraId="4E5C5C6D">
            <w:pPr>
              <w:widowControl w:val="0"/>
              <w:adjustRightInd/>
              <w:snapToGrid/>
              <w:spacing w:line="360" w:lineRule="exact"/>
              <w:jc w:val="center"/>
              <w:rPr>
                <w:rFonts w:ascii="宋体" w:hAnsi="宋体" w:cs="宋体"/>
                <w:color w:val="auto"/>
                <w:sz w:val="22"/>
                <w:highlight w:val="none"/>
              </w:rPr>
            </w:pPr>
          </w:p>
        </w:tc>
      </w:tr>
      <w:tr w14:paraId="414814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51A862BA">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4</w:t>
            </w:r>
          </w:p>
        </w:tc>
        <w:tc>
          <w:tcPr>
            <w:tcW w:w="1404" w:type="pct"/>
          </w:tcPr>
          <w:p w14:paraId="21737C17">
            <w:pPr>
              <w:widowControl w:val="0"/>
              <w:adjustRightInd/>
              <w:snapToGrid/>
              <w:spacing w:line="360" w:lineRule="exact"/>
              <w:jc w:val="center"/>
              <w:rPr>
                <w:rFonts w:ascii="宋体" w:hAnsi="宋体" w:cs="宋体"/>
                <w:color w:val="auto"/>
                <w:sz w:val="22"/>
                <w:highlight w:val="none"/>
              </w:rPr>
            </w:pPr>
          </w:p>
        </w:tc>
        <w:tc>
          <w:tcPr>
            <w:tcW w:w="1545" w:type="pct"/>
          </w:tcPr>
          <w:p w14:paraId="51083BC9">
            <w:pPr>
              <w:widowControl w:val="0"/>
              <w:adjustRightInd/>
              <w:snapToGrid/>
              <w:spacing w:line="360" w:lineRule="exact"/>
              <w:jc w:val="center"/>
              <w:rPr>
                <w:rFonts w:ascii="宋体" w:hAnsi="宋体" w:cs="宋体"/>
                <w:color w:val="auto"/>
                <w:sz w:val="22"/>
                <w:highlight w:val="none"/>
              </w:rPr>
            </w:pPr>
          </w:p>
        </w:tc>
        <w:tc>
          <w:tcPr>
            <w:tcW w:w="1481" w:type="pct"/>
          </w:tcPr>
          <w:p w14:paraId="168A5ECE">
            <w:pPr>
              <w:widowControl w:val="0"/>
              <w:adjustRightInd/>
              <w:snapToGrid/>
              <w:spacing w:line="360" w:lineRule="exact"/>
              <w:jc w:val="center"/>
              <w:rPr>
                <w:rFonts w:ascii="宋体" w:hAnsi="宋体" w:cs="宋体"/>
                <w:color w:val="auto"/>
                <w:sz w:val="22"/>
                <w:highlight w:val="none"/>
              </w:rPr>
            </w:pPr>
          </w:p>
        </w:tc>
      </w:tr>
      <w:tr w14:paraId="60BEFD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C418141">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5</w:t>
            </w:r>
          </w:p>
        </w:tc>
        <w:tc>
          <w:tcPr>
            <w:tcW w:w="1404" w:type="pct"/>
          </w:tcPr>
          <w:p w14:paraId="3DC11C85">
            <w:pPr>
              <w:widowControl w:val="0"/>
              <w:adjustRightInd/>
              <w:snapToGrid/>
              <w:spacing w:line="360" w:lineRule="exact"/>
              <w:jc w:val="center"/>
              <w:rPr>
                <w:rFonts w:ascii="宋体" w:hAnsi="宋体" w:cs="宋体"/>
                <w:color w:val="auto"/>
                <w:sz w:val="22"/>
                <w:highlight w:val="none"/>
              </w:rPr>
            </w:pPr>
          </w:p>
        </w:tc>
        <w:tc>
          <w:tcPr>
            <w:tcW w:w="1545" w:type="pct"/>
          </w:tcPr>
          <w:p w14:paraId="785E68F8">
            <w:pPr>
              <w:widowControl w:val="0"/>
              <w:adjustRightInd/>
              <w:snapToGrid/>
              <w:spacing w:line="360" w:lineRule="exact"/>
              <w:jc w:val="center"/>
              <w:rPr>
                <w:rFonts w:ascii="宋体" w:hAnsi="宋体" w:cs="宋体"/>
                <w:color w:val="auto"/>
                <w:sz w:val="22"/>
                <w:highlight w:val="none"/>
              </w:rPr>
            </w:pPr>
          </w:p>
        </w:tc>
        <w:tc>
          <w:tcPr>
            <w:tcW w:w="1481" w:type="pct"/>
          </w:tcPr>
          <w:p w14:paraId="56AC8CE9">
            <w:pPr>
              <w:widowControl w:val="0"/>
              <w:adjustRightInd/>
              <w:snapToGrid/>
              <w:spacing w:line="360" w:lineRule="exact"/>
              <w:jc w:val="center"/>
              <w:rPr>
                <w:rFonts w:ascii="宋体" w:hAnsi="宋体" w:cs="宋体"/>
                <w:color w:val="auto"/>
                <w:sz w:val="22"/>
                <w:highlight w:val="none"/>
              </w:rPr>
            </w:pPr>
          </w:p>
        </w:tc>
      </w:tr>
      <w:tr w14:paraId="5B7A23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7EF744F">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6</w:t>
            </w:r>
          </w:p>
        </w:tc>
        <w:tc>
          <w:tcPr>
            <w:tcW w:w="1404" w:type="pct"/>
          </w:tcPr>
          <w:p w14:paraId="3EF9D26D">
            <w:pPr>
              <w:widowControl w:val="0"/>
              <w:adjustRightInd/>
              <w:snapToGrid/>
              <w:spacing w:line="360" w:lineRule="exact"/>
              <w:jc w:val="center"/>
              <w:rPr>
                <w:rFonts w:ascii="宋体" w:hAnsi="宋体" w:cs="宋体"/>
                <w:color w:val="auto"/>
                <w:sz w:val="22"/>
                <w:highlight w:val="none"/>
              </w:rPr>
            </w:pPr>
          </w:p>
        </w:tc>
        <w:tc>
          <w:tcPr>
            <w:tcW w:w="1545" w:type="pct"/>
          </w:tcPr>
          <w:p w14:paraId="247EE63F">
            <w:pPr>
              <w:widowControl w:val="0"/>
              <w:adjustRightInd/>
              <w:snapToGrid/>
              <w:spacing w:line="360" w:lineRule="exact"/>
              <w:jc w:val="center"/>
              <w:rPr>
                <w:rFonts w:ascii="宋体" w:hAnsi="宋体" w:cs="宋体"/>
                <w:color w:val="auto"/>
                <w:sz w:val="22"/>
                <w:highlight w:val="none"/>
              </w:rPr>
            </w:pPr>
          </w:p>
        </w:tc>
        <w:tc>
          <w:tcPr>
            <w:tcW w:w="1481" w:type="pct"/>
          </w:tcPr>
          <w:p w14:paraId="69324C92">
            <w:pPr>
              <w:widowControl w:val="0"/>
              <w:adjustRightInd/>
              <w:snapToGrid/>
              <w:spacing w:line="360" w:lineRule="exact"/>
              <w:jc w:val="center"/>
              <w:rPr>
                <w:rFonts w:ascii="宋体" w:hAnsi="宋体" w:cs="宋体"/>
                <w:color w:val="auto"/>
                <w:sz w:val="22"/>
                <w:highlight w:val="none"/>
              </w:rPr>
            </w:pPr>
          </w:p>
        </w:tc>
      </w:tr>
      <w:tr w14:paraId="4FCC00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14AC35AD">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7</w:t>
            </w:r>
          </w:p>
        </w:tc>
        <w:tc>
          <w:tcPr>
            <w:tcW w:w="1404" w:type="pct"/>
          </w:tcPr>
          <w:p w14:paraId="714409E8">
            <w:pPr>
              <w:widowControl w:val="0"/>
              <w:adjustRightInd/>
              <w:snapToGrid/>
              <w:spacing w:line="360" w:lineRule="exact"/>
              <w:jc w:val="center"/>
              <w:rPr>
                <w:rFonts w:ascii="宋体" w:hAnsi="宋体" w:cs="宋体"/>
                <w:color w:val="auto"/>
                <w:sz w:val="22"/>
                <w:highlight w:val="none"/>
              </w:rPr>
            </w:pPr>
          </w:p>
        </w:tc>
        <w:tc>
          <w:tcPr>
            <w:tcW w:w="1545" w:type="pct"/>
          </w:tcPr>
          <w:p w14:paraId="1131941A">
            <w:pPr>
              <w:widowControl w:val="0"/>
              <w:adjustRightInd/>
              <w:snapToGrid/>
              <w:spacing w:line="360" w:lineRule="exact"/>
              <w:jc w:val="center"/>
              <w:rPr>
                <w:rFonts w:ascii="宋体" w:hAnsi="宋体" w:cs="宋体"/>
                <w:color w:val="auto"/>
                <w:sz w:val="22"/>
                <w:highlight w:val="none"/>
              </w:rPr>
            </w:pPr>
          </w:p>
        </w:tc>
        <w:tc>
          <w:tcPr>
            <w:tcW w:w="1481" w:type="pct"/>
          </w:tcPr>
          <w:p w14:paraId="36FEBAC7">
            <w:pPr>
              <w:widowControl w:val="0"/>
              <w:adjustRightInd/>
              <w:snapToGrid/>
              <w:spacing w:line="360" w:lineRule="exact"/>
              <w:jc w:val="center"/>
              <w:rPr>
                <w:rFonts w:ascii="宋体" w:hAnsi="宋体" w:cs="宋体"/>
                <w:color w:val="auto"/>
                <w:sz w:val="22"/>
                <w:highlight w:val="none"/>
              </w:rPr>
            </w:pPr>
          </w:p>
        </w:tc>
      </w:tr>
      <w:tr w14:paraId="2D9FC4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E9D364B">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8</w:t>
            </w:r>
          </w:p>
        </w:tc>
        <w:tc>
          <w:tcPr>
            <w:tcW w:w="1404" w:type="pct"/>
          </w:tcPr>
          <w:p w14:paraId="1FD2C9FB">
            <w:pPr>
              <w:widowControl w:val="0"/>
              <w:adjustRightInd/>
              <w:snapToGrid/>
              <w:spacing w:line="360" w:lineRule="exact"/>
              <w:jc w:val="center"/>
              <w:rPr>
                <w:rFonts w:ascii="宋体" w:hAnsi="宋体" w:cs="宋体"/>
                <w:color w:val="auto"/>
                <w:sz w:val="22"/>
                <w:highlight w:val="none"/>
              </w:rPr>
            </w:pPr>
          </w:p>
        </w:tc>
        <w:tc>
          <w:tcPr>
            <w:tcW w:w="1545" w:type="pct"/>
          </w:tcPr>
          <w:p w14:paraId="32A71571">
            <w:pPr>
              <w:widowControl w:val="0"/>
              <w:adjustRightInd/>
              <w:snapToGrid/>
              <w:spacing w:line="360" w:lineRule="exact"/>
              <w:jc w:val="center"/>
              <w:rPr>
                <w:rFonts w:ascii="宋体" w:hAnsi="宋体" w:cs="宋体"/>
                <w:color w:val="auto"/>
                <w:sz w:val="22"/>
                <w:highlight w:val="none"/>
              </w:rPr>
            </w:pPr>
          </w:p>
        </w:tc>
        <w:tc>
          <w:tcPr>
            <w:tcW w:w="1481" w:type="pct"/>
          </w:tcPr>
          <w:p w14:paraId="464ADD67">
            <w:pPr>
              <w:widowControl w:val="0"/>
              <w:adjustRightInd/>
              <w:snapToGrid/>
              <w:spacing w:line="360" w:lineRule="exact"/>
              <w:jc w:val="center"/>
              <w:rPr>
                <w:rFonts w:ascii="宋体" w:hAnsi="宋体" w:cs="宋体"/>
                <w:color w:val="auto"/>
                <w:sz w:val="22"/>
                <w:highlight w:val="none"/>
              </w:rPr>
            </w:pPr>
          </w:p>
        </w:tc>
      </w:tr>
      <w:tr w14:paraId="36FDFD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1FA974AE">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9</w:t>
            </w:r>
          </w:p>
        </w:tc>
        <w:tc>
          <w:tcPr>
            <w:tcW w:w="1404" w:type="pct"/>
          </w:tcPr>
          <w:p w14:paraId="7FB4BA93">
            <w:pPr>
              <w:widowControl w:val="0"/>
              <w:adjustRightInd/>
              <w:snapToGrid/>
              <w:spacing w:line="360" w:lineRule="exact"/>
              <w:jc w:val="center"/>
              <w:rPr>
                <w:rFonts w:ascii="宋体" w:hAnsi="宋体" w:cs="宋体"/>
                <w:color w:val="auto"/>
                <w:sz w:val="22"/>
                <w:highlight w:val="none"/>
              </w:rPr>
            </w:pPr>
          </w:p>
        </w:tc>
        <w:tc>
          <w:tcPr>
            <w:tcW w:w="1545" w:type="pct"/>
          </w:tcPr>
          <w:p w14:paraId="487CAFE4">
            <w:pPr>
              <w:widowControl w:val="0"/>
              <w:adjustRightInd/>
              <w:snapToGrid/>
              <w:spacing w:line="360" w:lineRule="exact"/>
              <w:jc w:val="center"/>
              <w:rPr>
                <w:rFonts w:ascii="宋体" w:hAnsi="宋体" w:cs="宋体"/>
                <w:color w:val="auto"/>
                <w:sz w:val="22"/>
                <w:highlight w:val="none"/>
              </w:rPr>
            </w:pPr>
          </w:p>
        </w:tc>
        <w:tc>
          <w:tcPr>
            <w:tcW w:w="1481" w:type="pct"/>
          </w:tcPr>
          <w:p w14:paraId="3B3751FC">
            <w:pPr>
              <w:widowControl w:val="0"/>
              <w:adjustRightInd/>
              <w:snapToGrid/>
              <w:spacing w:line="360" w:lineRule="exact"/>
              <w:jc w:val="center"/>
              <w:rPr>
                <w:rFonts w:ascii="宋体" w:hAnsi="宋体" w:cs="宋体"/>
                <w:color w:val="auto"/>
                <w:sz w:val="22"/>
                <w:highlight w:val="none"/>
              </w:rPr>
            </w:pPr>
          </w:p>
        </w:tc>
      </w:tr>
      <w:tr w14:paraId="3A48CD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A9CDEC9">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10</w:t>
            </w:r>
          </w:p>
        </w:tc>
        <w:tc>
          <w:tcPr>
            <w:tcW w:w="1404" w:type="pct"/>
          </w:tcPr>
          <w:p w14:paraId="0E7EF282">
            <w:pPr>
              <w:widowControl w:val="0"/>
              <w:adjustRightInd/>
              <w:snapToGrid/>
              <w:spacing w:line="360" w:lineRule="exact"/>
              <w:jc w:val="center"/>
              <w:rPr>
                <w:rFonts w:ascii="宋体" w:hAnsi="宋体" w:cs="宋体"/>
                <w:color w:val="auto"/>
                <w:sz w:val="22"/>
                <w:highlight w:val="none"/>
              </w:rPr>
            </w:pPr>
          </w:p>
        </w:tc>
        <w:tc>
          <w:tcPr>
            <w:tcW w:w="1545" w:type="pct"/>
          </w:tcPr>
          <w:p w14:paraId="46A83B76">
            <w:pPr>
              <w:widowControl w:val="0"/>
              <w:adjustRightInd/>
              <w:snapToGrid/>
              <w:spacing w:line="360" w:lineRule="exact"/>
              <w:jc w:val="center"/>
              <w:rPr>
                <w:rFonts w:ascii="宋体" w:hAnsi="宋体" w:cs="宋体"/>
                <w:color w:val="auto"/>
                <w:sz w:val="22"/>
                <w:highlight w:val="none"/>
              </w:rPr>
            </w:pPr>
          </w:p>
        </w:tc>
        <w:tc>
          <w:tcPr>
            <w:tcW w:w="1481" w:type="pct"/>
          </w:tcPr>
          <w:p w14:paraId="74899C82">
            <w:pPr>
              <w:widowControl w:val="0"/>
              <w:adjustRightInd/>
              <w:snapToGrid/>
              <w:spacing w:line="360" w:lineRule="exact"/>
              <w:jc w:val="center"/>
              <w:rPr>
                <w:rFonts w:ascii="宋体" w:hAnsi="宋体" w:cs="宋体"/>
                <w:color w:val="auto"/>
                <w:sz w:val="22"/>
                <w:highlight w:val="none"/>
              </w:rPr>
            </w:pPr>
          </w:p>
        </w:tc>
      </w:tr>
      <w:tr w14:paraId="384E6F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F63BE09">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11</w:t>
            </w:r>
          </w:p>
        </w:tc>
        <w:tc>
          <w:tcPr>
            <w:tcW w:w="1404" w:type="pct"/>
          </w:tcPr>
          <w:p w14:paraId="7D1F3FD2">
            <w:pPr>
              <w:widowControl w:val="0"/>
              <w:adjustRightInd/>
              <w:snapToGrid/>
              <w:spacing w:line="360" w:lineRule="exact"/>
              <w:jc w:val="center"/>
              <w:rPr>
                <w:rFonts w:ascii="宋体" w:hAnsi="宋体" w:cs="宋体"/>
                <w:color w:val="auto"/>
                <w:sz w:val="22"/>
                <w:highlight w:val="none"/>
              </w:rPr>
            </w:pPr>
          </w:p>
        </w:tc>
        <w:tc>
          <w:tcPr>
            <w:tcW w:w="1545" w:type="pct"/>
          </w:tcPr>
          <w:p w14:paraId="50C4FFA3">
            <w:pPr>
              <w:widowControl w:val="0"/>
              <w:adjustRightInd/>
              <w:snapToGrid/>
              <w:spacing w:line="360" w:lineRule="exact"/>
              <w:jc w:val="center"/>
              <w:rPr>
                <w:rFonts w:ascii="宋体" w:hAnsi="宋体" w:cs="宋体"/>
                <w:color w:val="auto"/>
                <w:sz w:val="22"/>
                <w:highlight w:val="none"/>
              </w:rPr>
            </w:pPr>
          </w:p>
        </w:tc>
        <w:tc>
          <w:tcPr>
            <w:tcW w:w="1481" w:type="pct"/>
          </w:tcPr>
          <w:p w14:paraId="333F0637">
            <w:pPr>
              <w:widowControl w:val="0"/>
              <w:adjustRightInd/>
              <w:snapToGrid/>
              <w:spacing w:line="360" w:lineRule="exact"/>
              <w:jc w:val="center"/>
              <w:rPr>
                <w:rFonts w:ascii="宋体" w:hAnsi="宋体" w:cs="宋体"/>
                <w:color w:val="auto"/>
                <w:sz w:val="22"/>
                <w:highlight w:val="none"/>
              </w:rPr>
            </w:pPr>
          </w:p>
        </w:tc>
      </w:tr>
      <w:tr w14:paraId="1D5A0D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191A77A">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12</w:t>
            </w:r>
          </w:p>
        </w:tc>
        <w:tc>
          <w:tcPr>
            <w:tcW w:w="1404" w:type="pct"/>
          </w:tcPr>
          <w:p w14:paraId="37193F63">
            <w:pPr>
              <w:widowControl w:val="0"/>
              <w:adjustRightInd/>
              <w:snapToGrid/>
              <w:spacing w:line="360" w:lineRule="exact"/>
              <w:jc w:val="center"/>
              <w:rPr>
                <w:rFonts w:ascii="宋体" w:hAnsi="宋体" w:cs="宋体"/>
                <w:color w:val="auto"/>
                <w:sz w:val="22"/>
                <w:highlight w:val="none"/>
              </w:rPr>
            </w:pPr>
          </w:p>
        </w:tc>
        <w:tc>
          <w:tcPr>
            <w:tcW w:w="1545" w:type="pct"/>
          </w:tcPr>
          <w:p w14:paraId="5EFA9D3B">
            <w:pPr>
              <w:widowControl w:val="0"/>
              <w:adjustRightInd/>
              <w:snapToGrid/>
              <w:spacing w:line="360" w:lineRule="exact"/>
              <w:jc w:val="center"/>
              <w:rPr>
                <w:rFonts w:ascii="宋体" w:hAnsi="宋体" w:cs="宋体"/>
                <w:color w:val="auto"/>
                <w:sz w:val="22"/>
                <w:highlight w:val="none"/>
              </w:rPr>
            </w:pPr>
          </w:p>
        </w:tc>
        <w:tc>
          <w:tcPr>
            <w:tcW w:w="1481" w:type="pct"/>
          </w:tcPr>
          <w:p w14:paraId="485FF0EE">
            <w:pPr>
              <w:widowControl w:val="0"/>
              <w:adjustRightInd/>
              <w:snapToGrid/>
              <w:spacing w:line="360" w:lineRule="exact"/>
              <w:jc w:val="center"/>
              <w:rPr>
                <w:rFonts w:ascii="宋体" w:hAnsi="宋体" w:cs="宋体"/>
                <w:color w:val="auto"/>
                <w:sz w:val="22"/>
                <w:highlight w:val="none"/>
              </w:rPr>
            </w:pPr>
          </w:p>
        </w:tc>
      </w:tr>
      <w:tr w14:paraId="2EF722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18F1E15">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13</w:t>
            </w:r>
          </w:p>
        </w:tc>
        <w:tc>
          <w:tcPr>
            <w:tcW w:w="1404" w:type="pct"/>
          </w:tcPr>
          <w:p w14:paraId="5BBB8842">
            <w:pPr>
              <w:widowControl w:val="0"/>
              <w:adjustRightInd/>
              <w:snapToGrid/>
              <w:spacing w:line="360" w:lineRule="exact"/>
              <w:jc w:val="center"/>
              <w:rPr>
                <w:rFonts w:ascii="宋体" w:hAnsi="宋体" w:cs="宋体"/>
                <w:color w:val="auto"/>
                <w:sz w:val="22"/>
                <w:highlight w:val="none"/>
              </w:rPr>
            </w:pPr>
          </w:p>
        </w:tc>
        <w:tc>
          <w:tcPr>
            <w:tcW w:w="1545" w:type="pct"/>
          </w:tcPr>
          <w:p w14:paraId="691BEB56">
            <w:pPr>
              <w:widowControl w:val="0"/>
              <w:adjustRightInd/>
              <w:snapToGrid/>
              <w:spacing w:line="360" w:lineRule="exact"/>
              <w:jc w:val="center"/>
              <w:rPr>
                <w:rFonts w:ascii="宋体" w:hAnsi="宋体" w:cs="宋体"/>
                <w:color w:val="auto"/>
                <w:sz w:val="22"/>
                <w:highlight w:val="none"/>
              </w:rPr>
            </w:pPr>
          </w:p>
        </w:tc>
        <w:tc>
          <w:tcPr>
            <w:tcW w:w="1481" w:type="pct"/>
          </w:tcPr>
          <w:p w14:paraId="25229B69">
            <w:pPr>
              <w:widowControl w:val="0"/>
              <w:adjustRightInd/>
              <w:snapToGrid/>
              <w:spacing w:line="360" w:lineRule="exact"/>
              <w:jc w:val="center"/>
              <w:rPr>
                <w:rFonts w:ascii="宋体" w:hAnsi="宋体" w:cs="宋体"/>
                <w:color w:val="auto"/>
                <w:sz w:val="22"/>
                <w:highlight w:val="none"/>
              </w:rPr>
            </w:pPr>
          </w:p>
        </w:tc>
      </w:tr>
      <w:tr w14:paraId="2B4657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9BFD93A">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14</w:t>
            </w:r>
          </w:p>
        </w:tc>
        <w:tc>
          <w:tcPr>
            <w:tcW w:w="1404" w:type="pct"/>
          </w:tcPr>
          <w:p w14:paraId="62EDD2F1">
            <w:pPr>
              <w:widowControl w:val="0"/>
              <w:adjustRightInd/>
              <w:snapToGrid/>
              <w:spacing w:line="360" w:lineRule="exact"/>
              <w:jc w:val="center"/>
              <w:rPr>
                <w:rFonts w:ascii="宋体" w:hAnsi="宋体" w:cs="宋体"/>
                <w:color w:val="auto"/>
                <w:sz w:val="22"/>
                <w:highlight w:val="none"/>
              </w:rPr>
            </w:pPr>
          </w:p>
        </w:tc>
        <w:tc>
          <w:tcPr>
            <w:tcW w:w="1545" w:type="pct"/>
          </w:tcPr>
          <w:p w14:paraId="3202B41F">
            <w:pPr>
              <w:widowControl w:val="0"/>
              <w:adjustRightInd/>
              <w:snapToGrid/>
              <w:spacing w:line="360" w:lineRule="exact"/>
              <w:jc w:val="center"/>
              <w:rPr>
                <w:rFonts w:ascii="宋体" w:hAnsi="宋体" w:cs="宋体"/>
                <w:color w:val="auto"/>
                <w:sz w:val="22"/>
                <w:highlight w:val="none"/>
              </w:rPr>
            </w:pPr>
          </w:p>
        </w:tc>
        <w:tc>
          <w:tcPr>
            <w:tcW w:w="1481" w:type="pct"/>
          </w:tcPr>
          <w:p w14:paraId="12CF2004">
            <w:pPr>
              <w:widowControl w:val="0"/>
              <w:adjustRightInd/>
              <w:snapToGrid/>
              <w:spacing w:line="360" w:lineRule="exact"/>
              <w:jc w:val="center"/>
              <w:rPr>
                <w:rFonts w:ascii="宋体" w:hAnsi="宋体" w:cs="宋体"/>
                <w:color w:val="auto"/>
                <w:sz w:val="22"/>
                <w:highlight w:val="none"/>
              </w:rPr>
            </w:pPr>
          </w:p>
        </w:tc>
      </w:tr>
      <w:tr w14:paraId="4141AC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58C85CA">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15</w:t>
            </w:r>
          </w:p>
        </w:tc>
        <w:tc>
          <w:tcPr>
            <w:tcW w:w="1404" w:type="pct"/>
          </w:tcPr>
          <w:p w14:paraId="12ABE037">
            <w:pPr>
              <w:widowControl w:val="0"/>
              <w:adjustRightInd/>
              <w:snapToGrid/>
              <w:spacing w:line="360" w:lineRule="exact"/>
              <w:jc w:val="center"/>
              <w:rPr>
                <w:rFonts w:ascii="宋体" w:hAnsi="宋体" w:cs="宋体"/>
                <w:color w:val="auto"/>
                <w:sz w:val="22"/>
                <w:highlight w:val="none"/>
              </w:rPr>
            </w:pPr>
          </w:p>
        </w:tc>
        <w:tc>
          <w:tcPr>
            <w:tcW w:w="1545" w:type="pct"/>
          </w:tcPr>
          <w:p w14:paraId="3C2D6CA7">
            <w:pPr>
              <w:widowControl w:val="0"/>
              <w:adjustRightInd/>
              <w:snapToGrid/>
              <w:spacing w:line="360" w:lineRule="exact"/>
              <w:jc w:val="center"/>
              <w:rPr>
                <w:rFonts w:ascii="宋体" w:hAnsi="宋体" w:cs="宋体"/>
                <w:color w:val="auto"/>
                <w:sz w:val="22"/>
                <w:highlight w:val="none"/>
              </w:rPr>
            </w:pPr>
          </w:p>
        </w:tc>
        <w:tc>
          <w:tcPr>
            <w:tcW w:w="1481" w:type="pct"/>
          </w:tcPr>
          <w:p w14:paraId="3025C251">
            <w:pPr>
              <w:widowControl w:val="0"/>
              <w:adjustRightInd/>
              <w:snapToGrid/>
              <w:spacing w:line="360" w:lineRule="exact"/>
              <w:jc w:val="center"/>
              <w:rPr>
                <w:rFonts w:ascii="宋体" w:hAnsi="宋体" w:cs="宋体"/>
                <w:color w:val="auto"/>
                <w:sz w:val="22"/>
                <w:highlight w:val="none"/>
              </w:rPr>
            </w:pPr>
          </w:p>
        </w:tc>
      </w:tr>
      <w:tr w14:paraId="377908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AAE6DF3">
            <w:pPr>
              <w:widowControl w:val="0"/>
              <w:adjustRightInd/>
              <w:snapToGrid/>
              <w:spacing w:line="360" w:lineRule="exact"/>
              <w:jc w:val="center"/>
              <w:rPr>
                <w:rFonts w:ascii="宋体" w:hAnsi="宋体" w:cs="宋体"/>
                <w:color w:val="auto"/>
                <w:sz w:val="22"/>
                <w:highlight w:val="none"/>
              </w:rPr>
            </w:pPr>
          </w:p>
        </w:tc>
        <w:tc>
          <w:tcPr>
            <w:tcW w:w="1404" w:type="pct"/>
          </w:tcPr>
          <w:p w14:paraId="10FEFCAA">
            <w:pPr>
              <w:widowControl w:val="0"/>
              <w:adjustRightInd/>
              <w:snapToGrid/>
              <w:spacing w:line="360" w:lineRule="exact"/>
              <w:jc w:val="center"/>
              <w:rPr>
                <w:rFonts w:ascii="宋体" w:hAnsi="宋体" w:cs="宋体"/>
                <w:color w:val="auto"/>
                <w:sz w:val="22"/>
                <w:highlight w:val="none"/>
              </w:rPr>
            </w:pPr>
          </w:p>
        </w:tc>
        <w:tc>
          <w:tcPr>
            <w:tcW w:w="1545" w:type="pct"/>
          </w:tcPr>
          <w:p w14:paraId="564EBFA9">
            <w:pPr>
              <w:widowControl w:val="0"/>
              <w:adjustRightInd/>
              <w:snapToGrid/>
              <w:spacing w:line="360" w:lineRule="exact"/>
              <w:jc w:val="center"/>
              <w:rPr>
                <w:rFonts w:ascii="宋体" w:hAnsi="宋体" w:cs="宋体"/>
                <w:color w:val="auto"/>
                <w:sz w:val="22"/>
                <w:highlight w:val="none"/>
              </w:rPr>
            </w:pPr>
          </w:p>
        </w:tc>
        <w:tc>
          <w:tcPr>
            <w:tcW w:w="1481" w:type="pct"/>
          </w:tcPr>
          <w:p w14:paraId="2566121B">
            <w:pPr>
              <w:widowControl w:val="0"/>
              <w:adjustRightInd/>
              <w:snapToGrid/>
              <w:spacing w:line="360" w:lineRule="exact"/>
              <w:jc w:val="center"/>
              <w:rPr>
                <w:rFonts w:ascii="宋体" w:hAnsi="宋体" w:cs="宋体"/>
                <w:color w:val="auto"/>
                <w:sz w:val="22"/>
                <w:highlight w:val="none"/>
              </w:rPr>
            </w:pPr>
          </w:p>
        </w:tc>
      </w:tr>
      <w:tr w14:paraId="6CA786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471403F7">
            <w:pPr>
              <w:widowControl w:val="0"/>
              <w:adjustRightInd/>
              <w:snapToGrid/>
              <w:spacing w:line="360" w:lineRule="exact"/>
              <w:jc w:val="center"/>
              <w:rPr>
                <w:rFonts w:ascii="宋体" w:hAnsi="宋体" w:cs="宋体"/>
                <w:color w:val="auto"/>
                <w:sz w:val="22"/>
                <w:highlight w:val="none"/>
              </w:rPr>
            </w:pPr>
          </w:p>
        </w:tc>
        <w:tc>
          <w:tcPr>
            <w:tcW w:w="1404" w:type="pct"/>
          </w:tcPr>
          <w:p w14:paraId="4313330D">
            <w:pPr>
              <w:widowControl w:val="0"/>
              <w:adjustRightInd/>
              <w:snapToGrid/>
              <w:spacing w:line="360" w:lineRule="exact"/>
              <w:jc w:val="center"/>
              <w:rPr>
                <w:rFonts w:ascii="宋体" w:hAnsi="宋体" w:cs="宋体"/>
                <w:color w:val="auto"/>
                <w:sz w:val="22"/>
                <w:highlight w:val="none"/>
              </w:rPr>
            </w:pPr>
          </w:p>
        </w:tc>
        <w:tc>
          <w:tcPr>
            <w:tcW w:w="1545" w:type="pct"/>
          </w:tcPr>
          <w:p w14:paraId="3DC91494">
            <w:pPr>
              <w:widowControl w:val="0"/>
              <w:adjustRightInd/>
              <w:snapToGrid/>
              <w:spacing w:line="360" w:lineRule="exact"/>
              <w:jc w:val="center"/>
              <w:rPr>
                <w:rFonts w:ascii="宋体" w:hAnsi="宋体" w:cs="宋体"/>
                <w:color w:val="auto"/>
                <w:sz w:val="22"/>
                <w:highlight w:val="none"/>
              </w:rPr>
            </w:pPr>
          </w:p>
        </w:tc>
        <w:tc>
          <w:tcPr>
            <w:tcW w:w="1481" w:type="pct"/>
          </w:tcPr>
          <w:p w14:paraId="28AC74D1">
            <w:pPr>
              <w:widowControl w:val="0"/>
              <w:adjustRightInd/>
              <w:snapToGrid/>
              <w:spacing w:line="360" w:lineRule="exact"/>
              <w:jc w:val="center"/>
              <w:rPr>
                <w:rFonts w:ascii="宋体" w:hAnsi="宋体" w:cs="宋体"/>
                <w:color w:val="auto"/>
                <w:sz w:val="22"/>
                <w:highlight w:val="none"/>
              </w:rPr>
            </w:pPr>
          </w:p>
        </w:tc>
      </w:tr>
    </w:tbl>
    <w:p w14:paraId="236239DF">
      <w:pPr>
        <w:widowControl w:val="0"/>
        <w:adjustRightInd/>
        <w:snapToGrid/>
        <w:spacing w:line="360" w:lineRule="exact"/>
        <w:ind w:firstLine="440" w:firstLineChars="200"/>
        <w:jc w:val="both"/>
        <w:rPr>
          <w:rFonts w:hint="eastAsia" w:ascii="宋体" w:hAnsi="宋体" w:cs="宋体"/>
          <w:color w:val="auto"/>
          <w:sz w:val="22"/>
          <w:highlight w:val="none"/>
        </w:rPr>
      </w:pPr>
      <w:r>
        <w:rPr>
          <w:rFonts w:hint="eastAsia" w:ascii="宋体" w:hAnsi="宋体" w:cs="宋体"/>
          <w:color w:val="auto"/>
          <w:sz w:val="22"/>
          <w:highlight w:val="none"/>
        </w:rPr>
        <w:t>备注：</w:t>
      </w:r>
    </w:p>
    <w:p w14:paraId="5B54D434">
      <w:pPr>
        <w:widowControl w:val="0"/>
        <w:adjustRightInd/>
        <w:snapToGrid/>
        <w:spacing w:line="360" w:lineRule="exact"/>
        <w:ind w:firstLine="440" w:firstLineChars="200"/>
        <w:jc w:val="both"/>
        <w:rPr>
          <w:rFonts w:hint="eastAsia" w:ascii="宋体" w:hAnsi="宋体" w:cs="宋体"/>
          <w:color w:val="auto"/>
          <w:sz w:val="22"/>
          <w:highlight w:val="none"/>
        </w:rPr>
      </w:pPr>
      <w:r>
        <w:rPr>
          <w:rFonts w:hint="eastAsia" w:ascii="宋体" w:hAnsi="宋体" w:cs="宋体"/>
          <w:color w:val="auto"/>
          <w:sz w:val="22"/>
          <w:highlight w:val="none"/>
        </w:rPr>
        <w:t>1、以上为拟投入本项目不少于5名驾驶员和不少于5名押运员人员名单表，投标人可根据情况增加，不得减少。具体人员名单为初步填写，后续如需更换，</w:t>
      </w:r>
      <w:r>
        <w:rPr>
          <w:rFonts w:hint="eastAsia" w:ascii="宋体" w:hAnsi="宋体" w:cs="宋体"/>
          <w:color w:val="auto"/>
          <w:sz w:val="22"/>
          <w:highlight w:val="none"/>
          <w:lang w:val="en-US" w:eastAsia="zh-CN"/>
        </w:rPr>
        <w:t>需</w:t>
      </w:r>
      <w:r>
        <w:rPr>
          <w:rFonts w:hint="eastAsia" w:ascii="宋体" w:hAnsi="宋体" w:cs="宋体"/>
          <w:color w:val="auto"/>
          <w:sz w:val="22"/>
          <w:highlight w:val="none"/>
        </w:rPr>
        <w:t>征得采购人</w:t>
      </w:r>
      <w:r>
        <w:rPr>
          <w:rFonts w:hint="eastAsia" w:ascii="宋体" w:hAnsi="宋体" w:cs="宋体"/>
          <w:color w:val="auto"/>
          <w:sz w:val="22"/>
          <w:highlight w:val="none"/>
          <w:lang w:val="en-US" w:eastAsia="zh-CN"/>
        </w:rPr>
        <w:t>书面</w:t>
      </w:r>
      <w:r>
        <w:rPr>
          <w:rFonts w:hint="eastAsia" w:ascii="宋体" w:hAnsi="宋体" w:cs="宋体"/>
          <w:color w:val="auto"/>
          <w:sz w:val="22"/>
          <w:highlight w:val="none"/>
        </w:rPr>
        <w:t>同意后方可更换。</w:t>
      </w:r>
    </w:p>
    <w:p w14:paraId="0C5F0106">
      <w:pPr>
        <w:widowControl w:val="0"/>
        <w:adjustRightInd/>
        <w:snapToGrid/>
        <w:spacing w:line="360" w:lineRule="exact"/>
        <w:ind w:firstLine="440" w:firstLineChars="200"/>
        <w:jc w:val="both"/>
        <w:rPr>
          <w:rFonts w:hint="eastAsia" w:ascii="宋体" w:hAnsi="宋体" w:cs="宋体"/>
          <w:color w:val="auto"/>
          <w:sz w:val="22"/>
          <w:highlight w:val="none"/>
        </w:rPr>
      </w:pPr>
      <w:r>
        <w:rPr>
          <w:rFonts w:hint="eastAsia" w:ascii="宋体" w:hAnsi="宋体" w:cs="宋体"/>
          <w:color w:val="auto"/>
          <w:sz w:val="22"/>
          <w:highlight w:val="none"/>
          <w:lang w:val="en-US" w:eastAsia="zh-CN"/>
        </w:rPr>
        <w:t>2</w:t>
      </w:r>
      <w:r>
        <w:rPr>
          <w:rFonts w:hint="eastAsia" w:ascii="宋体" w:hAnsi="宋体" w:cs="宋体"/>
          <w:color w:val="auto"/>
          <w:sz w:val="22"/>
          <w:highlight w:val="none"/>
        </w:rPr>
        <w:t>、资料要求：</w:t>
      </w:r>
    </w:p>
    <w:p w14:paraId="2BC56960">
      <w:pPr>
        <w:widowControl w:val="0"/>
        <w:adjustRightInd/>
        <w:snapToGrid/>
        <w:spacing w:line="360" w:lineRule="exact"/>
        <w:ind w:firstLine="440" w:firstLineChars="200"/>
        <w:jc w:val="both"/>
        <w:rPr>
          <w:rFonts w:hint="eastAsia" w:ascii="宋体" w:hAnsi="宋体" w:cs="宋体"/>
          <w:color w:val="auto"/>
          <w:sz w:val="22"/>
          <w:highlight w:val="none"/>
        </w:rPr>
      </w:pPr>
      <w:r>
        <w:rPr>
          <w:rFonts w:hint="eastAsia" w:ascii="宋体" w:hAnsi="宋体" w:cs="宋体"/>
          <w:color w:val="auto"/>
          <w:sz w:val="22"/>
          <w:highlight w:val="none"/>
        </w:rPr>
        <w:t>【投标时提供】不少于5名驾驶员的《道路运输从业人员从业资格证》及不少于5名押运员的《道路运输从业人员从业资格证》，加盖公章。</w:t>
      </w:r>
    </w:p>
    <w:p w14:paraId="50509B7E">
      <w:pPr>
        <w:widowControl w:val="0"/>
        <w:adjustRightInd/>
        <w:snapToGrid/>
        <w:spacing w:line="360" w:lineRule="exact"/>
        <w:ind w:firstLine="440" w:firstLineChars="200"/>
        <w:jc w:val="both"/>
        <w:rPr>
          <w:rFonts w:hint="default" w:ascii="宋体" w:hAnsi="宋体" w:eastAsia="宋体" w:cs="宋体"/>
          <w:color w:val="auto"/>
          <w:sz w:val="22"/>
          <w:highlight w:val="none"/>
          <w:lang w:val="en-US" w:eastAsia="zh-CN"/>
        </w:rPr>
      </w:pPr>
      <w:r>
        <w:rPr>
          <w:rFonts w:hint="eastAsia" w:ascii="宋体" w:hAnsi="宋体" w:cs="宋体"/>
          <w:color w:val="auto"/>
          <w:sz w:val="22"/>
          <w:highlight w:val="none"/>
        </w:rPr>
        <w:t>【中标后</w:t>
      </w:r>
      <w:r>
        <w:rPr>
          <w:rFonts w:hint="eastAsia" w:ascii="宋体" w:hAnsi="宋体" w:cs="宋体"/>
          <w:color w:val="auto"/>
          <w:sz w:val="22"/>
          <w:highlight w:val="none"/>
          <w:lang w:val="en-US" w:eastAsia="zh-CN"/>
        </w:rPr>
        <w:t>向甲方备案</w:t>
      </w:r>
      <w:r>
        <w:rPr>
          <w:rFonts w:hint="eastAsia" w:ascii="宋体" w:hAnsi="宋体" w:cs="宋体"/>
          <w:color w:val="auto"/>
          <w:sz w:val="22"/>
          <w:highlight w:val="none"/>
        </w:rPr>
        <w:t>】不少于5名驾驶员的身份证、</w:t>
      </w:r>
      <w:r>
        <w:rPr>
          <w:rFonts w:hint="eastAsia" w:ascii="宋体" w:hAnsi="宋体" w:cs="宋体"/>
          <w:color w:val="auto"/>
          <w:sz w:val="22"/>
          <w:highlight w:val="none"/>
          <w:lang w:val="en-US" w:eastAsia="zh-CN"/>
        </w:rPr>
        <w:t>驾驶证、</w:t>
      </w:r>
      <w:r>
        <w:rPr>
          <w:rFonts w:hint="eastAsia" w:ascii="宋体" w:hAnsi="宋体" w:cs="宋体"/>
          <w:color w:val="auto"/>
          <w:sz w:val="22"/>
          <w:highlight w:val="none"/>
        </w:rPr>
        <w:t>《道路运输从业人员从业资格证》</w:t>
      </w:r>
      <w:r>
        <w:rPr>
          <w:rFonts w:hint="eastAsia" w:ascii="宋体" w:hAnsi="宋体" w:cs="宋体"/>
          <w:color w:val="auto"/>
          <w:sz w:val="22"/>
          <w:highlight w:val="none"/>
          <w:lang w:val="en-US" w:eastAsia="zh-CN"/>
        </w:rPr>
        <w:t>和保险证明等；不少于5名</w:t>
      </w:r>
      <w:r>
        <w:rPr>
          <w:rFonts w:hint="eastAsia" w:ascii="宋体" w:hAnsi="宋体" w:cs="宋体"/>
          <w:b w:val="0"/>
          <w:bCs w:val="0"/>
          <w:color w:val="auto"/>
          <w:sz w:val="22"/>
          <w:highlight w:val="none"/>
          <w:lang w:val="en-US" w:eastAsia="zh-CN"/>
        </w:rPr>
        <w:t>押运员</w:t>
      </w:r>
      <w:r>
        <w:rPr>
          <w:rFonts w:hint="eastAsia" w:ascii="宋体" w:hAnsi="宋体" w:cs="宋体"/>
          <w:color w:val="auto"/>
          <w:sz w:val="22"/>
          <w:highlight w:val="none"/>
          <w:lang w:val="en-US" w:eastAsia="zh-CN"/>
        </w:rPr>
        <w:t>的身份证、</w:t>
      </w:r>
      <w:r>
        <w:rPr>
          <w:rFonts w:hint="eastAsia" w:ascii="宋体" w:hAnsi="宋体" w:cs="宋体"/>
          <w:color w:val="auto"/>
          <w:sz w:val="22"/>
          <w:highlight w:val="none"/>
        </w:rPr>
        <w:t>《道路运输从业人员从业资格证》</w:t>
      </w:r>
      <w:r>
        <w:rPr>
          <w:rFonts w:hint="eastAsia" w:ascii="宋体" w:hAnsi="宋体" w:cs="宋体"/>
          <w:color w:val="auto"/>
          <w:sz w:val="22"/>
          <w:highlight w:val="none"/>
          <w:lang w:val="en-US" w:eastAsia="zh-CN"/>
        </w:rPr>
        <w:t>和保险证明等。</w:t>
      </w:r>
    </w:p>
    <w:p w14:paraId="115429BB">
      <w:pPr>
        <w:spacing w:before="180" w:beforeLines="50" w:after="180" w:afterLines="50" w:line="360" w:lineRule="exact"/>
        <w:rPr>
          <w:rFonts w:ascii="Times New Roman" w:hAnsi="Times New Roman" w:cs="Times New Roman"/>
          <w:b/>
          <w:color w:val="auto"/>
          <w:sz w:val="22"/>
          <w:highlight w:val="none"/>
        </w:rPr>
      </w:pPr>
    </w:p>
    <w:p w14:paraId="56B5736C">
      <w:pPr>
        <w:rPr>
          <w:rFonts w:ascii="宋体" w:hAnsi="宋体"/>
          <w:b/>
          <w:color w:val="auto"/>
          <w:sz w:val="24"/>
          <w:highlight w:val="none"/>
        </w:rPr>
      </w:pPr>
      <w:r>
        <w:rPr>
          <w:rFonts w:hint="eastAsia" w:ascii="宋体" w:hAnsi="宋体"/>
          <w:b/>
          <w:color w:val="auto"/>
          <w:sz w:val="24"/>
          <w:highlight w:val="none"/>
        </w:rPr>
        <w:br w:type="page"/>
      </w:r>
    </w:p>
    <w:p w14:paraId="4EA9EF99">
      <w:pPr>
        <w:widowControl w:val="0"/>
        <w:adjustRightInd/>
        <w:snapToGrid/>
        <w:spacing w:line="360" w:lineRule="exact"/>
        <w:ind w:left="0" w:leftChars="0" w:firstLine="0" w:firstLineChars="0"/>
        <w:outlineLvl w:val="1"/>
        <w:rPr>
          <w:rFonts w:ascii="Times New Roman" w:hAnsi="Times New Roman" w:cs="Times New Roman"/>
          <w:b/>
          <w:color w:val="auto"/>
          <w:szCs w:val="21"/>
          <w:highlight w:val="none"/>
        </w:rPr>
      </w:pPr>
      <w:bookmarkStart w:id="163" w:name="_Toc7180"/>
      <w:bookmarkStart w:id="164" w:name="_Toc21152"/>
      <w:bookmarkStart w:id="165" w:name="_Toc31213"/>
      <w:bookmarkStart w:id="166" w:name="_Toc7992"/>
      <w:bookmarkStart w:id="167" w:name="_Toc15633"/>
      <w:bookmarkStart w:id="168" w:name="_Toc9743"/>
      <w:bookmarkStart w:id="169" w:name="_Toc15465"/>
      <w:bookmarkStart w:id="170" w:name="_Toc20379"/>
      <w:bookmarkStart w:id="171" w:name="_Toc6753"/>
      <w:bookmarkStart w:id="172" w:name="_Toc8275"/>
      <w:r>
        <w:rPr>
          <w:rFonts w:hint="eastAsia" w:ascii="宋体" w:hAnsi="宋体"/>
          <w:b/>
          <w:color w:val="auto"/>
          <w:sz w:val="21"/>
          <w:szCs w:val="21"/>
          <w:highlight w:val="none"/>
        </w:rPr>
        <w:t>技术需求书</w:t>
      </w:r>
      <w:r>
        <w:rPr>
          <w:rFonts w:ascii="Times New Roman" w:hAnsi="Times New Roman" w:cs="Times New Roman"/>
          <w:b/>
          <w:color w:val="auto"/>
          <w:szCs w:val="21"/>
          <w:highlight w:val="none"/>
        </w:rPr>
        <w:t>附件</w:t>
      </w:r>
      <w:r>
        <w:rPr>
          <w:rFonts w:hint="eastAsia" w:cs="Times New Roman"/>
          <w:b/>
          <w:color w:val="auto"/>
          <w:szCs w:val="21"/>
          <w:highlight w:val="none"/>
          <w:lang w:val="en-US" w:eastAsia="zh-CN"/>
        </w:rPr>
        <w:t>3：</w:t>
      </w:r>
      <w:r>
        <w:rPr>
          <w:rFonts w:ascii="Times New Roman" w:hAnsi="Times New Roman" w:cs="Times New Roman"/>
          <w:b/>
          <w:color w:val="auto"/>
          <w:szCs w:val="21"/>
          <w:highlight w:val="none"/>
        </w:rPr>
        <w:t>《</w:t>
      </w:r>
      <w:r>
        <w:rPr>
          <w:rFonts w:hint="eastAsia" w:ascii="Times New Roman" w:hAnsi="Times New Roman" w:cs="Times New Roman"/>
          <w:b/>
          <w:color w:val="auto"/>
          <w:szCs w:val="21"/>
          <w:highlight w:val="none"/>
          <w:lang w:eastAsia="zh-CN"/>
        </w:rPr>
        <w:t>危险废物运输</w:t>
      </w:r>
      <w:r>
        <w:rPr>
          <w:rFonts w:hint="eastAsia" w:ascii="Times New Roman" w:hAnsi="Times New Roman" w:cs="Times New Roman"/>
          <w:b/>
          <w:color w:val="auto"/>
          <w:szCs w:val="21"/>
          <w:highlight w:val="none"/>
          <w:lang w:val="en-US" w:eastAsia="zh-CN"/>
        </w:rPr>
        <w:t>预计车次</w:t>
      </w:r>
      <w:r>
        <w:rPr>
          <w:rFonts w:ascii="Times New Roman" w:hAnsi="Times New Roman" w:cs="Times New Roman"/>
          <w:b/>
          <w:color w:val="auto"/>
          <w:szCs w:val="21"/>
          <w:highlight w:val="none"/>
        </w:rPr>
        <w:t>》</w:t>
      </w:r>
      <w:bookmarkEnd w:id="163"/>
      <w:bookmarkEnd w:id="164"/>
      <w:bookmarkEnd w:id="165"/>
      <w:bookmarkEnd w:id="166"/>
      <w:bookmarkEnd w:id="167"/>
      <w:bookmarkEnd w:id="168"/>
      <w:bookmarkEnd w:id="169"/>
      <w:bookmarkEnd w:id="170"/>
      <w:bookmarkEnd w:id="171"/>
      <w:bookmarkEnd w:id="172"/>
    </w:p>
    <w:p w14:paraId="2DA0E4ED">
      <w:pPr>
        <w:rPr>
          <w:rFonts w:hint="default" w:ascii="宋体" w:hAnsi="宋体" w:eastAsia="宋体" w:cs="Times New Roman"/>
          <w:b/>
          <w:bCs/>
          <w:color w:val="auto"/>
          <w:szCs w:val="21"/>
          <w:highlight w:val="none"/>
          <w:lang w:val="en-US" w:eastAsia="zh-CN"/>
        </w:rPr>
      </w:pPr>
      <w:r>
        <w:rPr>
          <w:rFonts w:hint="eastAsia" w:ascii="宋体" w:hAnsi="宋体" w:cs="Times New Roman"/>
          <w:b/>
          <w:bCs/>
          <w:color w:val="auto"/>
          <w:szCs w:val="21"/>
          <w:highlight w:val="none"/>
          <w:lang w:val="en-US" w:eastAsia="zh-CN"/>
        </w:rPr>
        <w:t>A包：广州区域（厢车）</w:t>
      </w:r>
    </w:p>
    <w:tbl>
      <w:tblPr>
        <w:tblStyle w:val="28"/>
        <w:tblW w:w="8950" w:type="dxa"/>
        <w:tblInd w:w="98"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631"/>
        <w:gridCol w:w="2570"/>
        <w:gridCol w:w="1947"/>
        <w:gridCol w:w="1214"/>
        <w:gridCol w:w="1214"/>
        <w:gridCol w:w="1374"/>
      </w:tblGrid>
      <w:tr w14:paraId="244D5E4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75" w:hRule="atLeast"/>
        </w:trPr>
        <w:tc>
          <w:tcPr>
            <w:tcW w:w="578" w:type="dxa"/>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568B1B0">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区域</w:t>
            </w:r>
          </w:p>
        </w:tc>
        <w:tc>
          <w:tcPr>
            <w:tcW w:w="2354" w:type="dxa"/>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CE36A7D">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报价区域</w:t>
            </w:r>
          </w:p>
        </w:tc>
        <w:tc>
          <w:tcPr>
            <w:tcW w:w="178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C59147D">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5.2米厢车</w:t>
            </w:r>
          </w:p>
        </w:tc>
        <w:tc>
          <w:tcPr>
            <w:tcW w:w="111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6C4725F">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7.6米厢车</w:t>
            </w:r>
          </w:p>
        </w:tc>
        <w:tc>
          <w:tcPr>
            <w:tcW w:w="111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06F2179">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9.6米厢车</w:t>
            </w:r>
          </w:p>
        </w:tc>
        <w:tc>
          <w:tcPr>
            <w:tcW w:w="12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CC43BCE">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12.5米厢车</w:t>
            </w:r>
          </w:p>
        </w:tc>
      </w:tr>
      <w:tr w14:paraId="1A3E427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61" w:hRule="atLeast"/>
        </w:trPr>
        <w:tc>
          <w:tcPr>
            <w:tcW w:w="578"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0E9CCE7">
            <w:pPr>
              <w:jc w:val="center"/>
              <w:rPr>
                <w:rFonts w:hint="eastAsia" w:ascii="宋体" w:hAnsi="宋体" w:eastAsia="宋体" w:cs="宋体"/>
                <w:b/>
                <w:bCs/>
                <w:i w:val="0"/>
                <w:iCs w:val="0"/>
                <w:color w:val="000000"/>
                <w:sz w:val="18"/>
                <w:szCs w:val="18"/>
                <w:highlight w:val="none"/>
                <w:u w:val="none"/>
              </w:rPr>
            </w:pPr>
          </w:p>
        </w:tc>
        <w:tc>
          <w:tcPr>
            <w:tcW w:w="2354"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5AF40D5">
            <w:pPr>
              <w:jc w:val="center"/>
              <w:rPr>
                <w:rFonts w:hint="eastAsia" w:ascii="宋体" w:hAnsi="宋体" w:eastAsia="宋体" w:cs="宋体"/>
                <w:b/>
                <w:bCs/>
                <w:i w:val="0"/>
                <w:iCs w:val="0"/>
                <w:color w:val="000000"/>
                <w:sz w:val="18"/>
                <w:szCs w:val="18"/>
                <w:highlight w:val="none"/>
                <w:u w:val="none"/>
              </w:rPr>
            </w:pPr>
          </w:p>
        </w:tc>
        <w:tc>
          <w:tcPr>
            <w:tcW w:w="178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7DC0294">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预计1年</w:t>
            </w:r>
            <w:r>
              <w:rPr>
                <w:rFonts w:hint="eastAsia" w:ascii="宋体" w:hAnsi="宋体" w:eastAsia="宋体" w:cs="宋体"/>
                <w:b/>
                <w:bCs/>
                <w:i w:val="0"/>
                <w:iCs w:val="0"/>
                <w:color w:val="000000"/>
                <w:kern w:val="0"/>
                <w:sz w:val="18"/>
                <w:szCs w:val="18"/>
                <w:highlight w:val="none"/>
                <w:u w:val="none"/>
                <w:lang w:val="en-US" w:eastAsia="zh-CN" w:bidi="ar"/>
              </w:rPr>
              <w:br w:type="textWrapping"/>
            </w:r>
            <w:r>
              <w:rPr>
                <w:rFonts w:hint="eastAsia" w:ascii="宋体" w:hAnsi="宋体" w:eastAsia="宋体" w:cs="宋体"/>
                <w:b/>
                <w:bCs/>
                <w:i w:val="0"/>
                <w:iCs w:val="0"/>
                <w:color w:val="000000"/>
                <w:kern w:val="0"/>
                <w:sz w:val="18"/>
                <w:szCs w:val="18"/>
                <w:highlight w:val="none"/>
                <w:u w:val="none"/>
                <w:lang w:val="en-US" w:eastAsia="zh-CN" w:bidi="ar"/>
              </w:rPr>
              <w:t>车次</w:t>
            </w:r>
          </w:p>
        </w:tc>
        <w:tc>
          <w:tcPr>
            <w:tcW w:w="111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318ED8C">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预计1年</w:t>
            </w:r>
            <w:r>
              <w:rPr>
                <w:rFonts w:hint="eastAsia" w:ascii="宋体" w:hAnsi="宋体" w:eastAsia="宋体" w:cs="宋体"/>
                <w:b/>
                <w:bCs/>
                <w:i w:val="0"/>
                <w:iCs w:val="0"/>
                <w:color w:val="000000"/>
                <w:kern w:val="0"/>
                <w:sz w:val="18"/>
                <w:szCs w:val="18"/>
                <w:highlight w:val="none"/>
                <w:u w:val="none"/>
                <w:lang w:val="en-US" w:eastAsia="zh-CN" w:bidi="ar"/>
              </w:rPr>
              <w:br w:type="textWrapping"/>
            </w:r>
            <w:r>
              <w:rPr>
                <w:rFonts w:hint="eastAsia" w:ascii="宋体" w:hAnsi="宋体" w:eastAsia="宋体" w:cs="宋体"/>
                <w:b/>
                <w:bCs/>
                <w:i w:val="0"/>
                <w:iCs w:val="0"/>
                <w:color w:val="000000"/>
                <w:kern w:val="0"/>
                <w:sz w:val="18"/>
                <w:szCs w:val="18"/>
                <w:highlight w:val="none"/>
                <w:u w:val="none"/>
                <w:lang w:val="en-US" w:eastAsia="zh-CN" w:bidi="ar"/>
              </w:rPr>
              <w:t>车次</w:t>
            </w:r>
          </w:p>
        </w:tc>
        <w:tc>
          <w:tcPr>
            <w:tcW w:w="111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1A1AE0C">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预计1年</w:t>
            </w:r>
            <w:r>
              <w:rPr>
                <w:rFonts w:hint="eastAsia" w:ascii="宋体" w:hAnsi="宋体" w:eastAsia="宋体" w:cs="宋体"/>
                <w:b/>
                <w:bCs/>
                <w:i w:val="0"/>
                <w:iCs w:val="0"/>
                <w:color w:val="000000"/>
                <w:kern w:val="0"/>
                <w:sz w:val="18"/>
                <w:szCs w:val="18"/>
                <w:highlight w:val="none"/>
                <w:u w:val="none"/>
                <w:lang w:val="en-US" w:eastAsia="zh-CN" w:bidi="ar"/>
              </w:rPr>
              <w:br w:type="textWrapping"/>
            </w:r>
            <w:r>
              <w:rPr>
                <w:rFonts w:hint="eastAsia" w:ascii="宋体" w:hAnsi="宋体" w:eastAsia="宋体" w:cs="宋体"/>
                <w:b/>
                <w:bCs/>
                <w:i w:val="0"/>
                <w:iCs w:val="0"/>
                <w:color w:val="000000"/>
                <w:kern w:val="0"/>
                <w:sz w:val="18"/>
                <w:szCs w:val="18"/>
                <w:highlight w:val="none"/>
                <w:u w:val="none"/>
                <w:lang w:val="en-US" w:eastAsia="zh-CN" w:bidi="ar"/>
              </w:rPr>
              <w:t>车次</w:t>
            </w:r>
          </w:p>
        </w:tc>
        <w:tc>
          <w:tcPr>
            <w:tcW w:w="125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B204CEE">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预计1年</w:t>
            </w:r>
            <w:r>
              <w:rPr>
                <w:rFonts w:hint="eastAsia" w:ascii="宋体" w:hAnsi="宋体" w:eastAsia="宋体" w:cs="宋体"/>
                <w:b/>
                <w:bCs/>
                <w:i w:val="0"/>
                <w:iCs w:val="0"/>
                <w:color w:val="000000"/>
                <w:kern w:val="0"/>
                <w:sz w:val="18"/>
                <w:szCs w:val="18"/>
                <w:highlight w:val="none"/>
                <w:u w:val="none"/>
                <w:lang w:val="en-US" w:eastAsia="zh-CN" w:bidi="ar"/>
              </w:rPr>
              <w:br w:type="textWrapping"/>
            </w:r>
            <w:r>
              <w:rPr>
                <w:rFonts w:hint="eastAsia" w:ascii="宋体" w:hAnsi="宋体" w:eastAsia="宋体" w:cs="宋体"/>
                <w:b/>
                <w:bCs/>
                <w:i w:val="0"/>
                <w:iCs w:val="0"/>
                <w:color w:val="000000"/>
                <w:kern w:val="0"/>
                <w:sz w:val="18"/>
                <w:szCs w:val="18"/>
                <w:highlight w:val="none"/>
                <w:u w:val="none"/>
                <w:lang w:val="en-US" w:eastAsia="zh-CN" w:bidi="ar"/>
              </w:rPr>
              <w:t>车次</w:t>
            </w:r>
          </w:p>
        </w:tc>
      </w:tr>
      <w:tr w14:paraId="26D0FBF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75" w:hRule="atLeast"/>
        </w:trPr>
        <w:tc>
          <w:tcPr>
            <w:tcW w:w="578"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26C1F5BE">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广州</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C300257">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黄埔、萝岗</w:t>
            </w:r>
          </w:p>
        </w:tc>
        <w:tc>
          <w:tcPr>
            <w:tcW w:w="178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CC4BE5B">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16</w:t>
            </w:r>
          </w:p>
        </w:tc>
        <w:tc>
          <w:tcPr>
            <w:tcW w:w="111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BDF9FFA">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134</w:t>
            </w:r>
          </w:p>
        </w:tc>
        <w:tc>
          <w:tcPr>
            <w:tcW w:w="111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9CCC9BE">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198</w:t>
            </w:r>
          </w:p>
        </w:tc>
        <w:tc>
          <w:tcPr>
            <w:tcW w:w="12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9C09F9C">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50</w:t>
            </w:r>
          </w:p>
        </w:tc>
      </w:tr>
      <w:tr w14:paraId="601197B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61" w:hRule="atLeast"/>
        </w:trPr>
        <w:tc>
          <w:tcPr>
            <w:tcW w:w="578"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761F0904">
            <w:pPr>
              <w:jc w:val="center"/>
              <w:rPr>
                <w:rFonts w:hint="eastAsia" w:ascii="宋体" w:hAnsi="宋体" w:eastAsia="宋体" w:cs="宋体"/>
                <w:i w:val="0"/>
                <w:iCs w:val="0"/>
                <w:color w:val="000000"/>
                <w:sz w:val="18"/>
                <w:szCs w:val="18"/>
                <w:highlight w:val="none"/>
                <w:u w:val="none"/>
              </w:rPr>
            </w:pP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66A681D">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海珠、番禺、天河、荔湾、越秀、白云（限行区）</w:t>
            </w:r>
          </w:p>
        </w:tc>
        <w:tc>
          <w:tcPr>
            <w:tcW w:w="178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F83F9E2">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92</w:t>
            </w:r>
          </w:p>
        </w:tc>
        <w:tc>
          <w:tcPr>
            <w:tcW w:w="111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0DF2C8B">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162</w:t>
            </w:r>
          </w:p>
        </w:tc>
        <w:tc>
          <w:tcPr>
            <w:tcW w:w="111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9877653">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110</w:t>
            </w:r>
          </w:p>
        </w:tc>
        <w:tc>
          <w:tcPr>
            <w:tcW w:w="12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49894F6">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12</w:t>
            </w:r>
          </w:p>
        </w:tc>
      </w:tr>
      <w:tr w14:paraId="16365BB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75" w:hRule="atLeast"/>
        </w:trPr>
        <w:tc>
          <w:tcPr>
            <w:tcW w:w="578"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23BF3A4C">
            <w:pPr>
              <w:jc w:val="center"/>
              <w:rPr>
                <w:rFonts w:hint="eastAsia" w:ascii="宋体" w:hAnsi="宋体" w:eastAsia="宋体" w:cs="宋体"/>
                <w:i w:val="0"/>
                <w:iCs w:val="0"/>
                <w:color w:val="000000"/>
                <w:sz w:val="18"/>
                <w:szCs w:val="18"/>
                <w:highlight w:val="none"/>
                <w:u w:val="none"/>
              </w:rPr>
            </w:pP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42E0674">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增城、花都</w:t>
            </w:r>
          </w:p>
        </w:tc>
        <w:tc>
          <w:tcPr>
            <w:tcW w:w="178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00860C8">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111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9F07B2C">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240</w:t>
            </w:r>
          </w:p>
        </w:tc>
        <w:tc>
          <w:tcPr>
            <w:tcW w:w="111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5EB4991">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164</w:t>
            </w:r>
          </w:p>
        </w:tc>
        <w:tc>
          <w:tcPr>
            <w:tcW w:w="12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5F6A592">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40</w:t>
            </w:r>
          </w:p>
        </w:tc>
      </w:tr>
      <w:tr w14:paraId="19CD5C1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4" w:hRule="atLeast"/>
        </w:trPr>
        <w:tc>
          <w:tcPr>
            <w:tcW w:w="578"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1F38C3DC">
            <w:pPr>
              <w:jc w:val="center"/>
              <w:rPr>
                <w:rFonts w:hint="eastAsia" w:ascii="宋体" w:hAnsi="宋体" w:eastAsia="宋体" w:cs="宋体"/>
                <w:i w:val="0"/>
                <w:iCs w:val="0"/>
                <w:color w:val="000000"/>
                <w:sz w:val="18"/>
                <w:szCs w:val="18"/>
                <w:highlight w:val="none"/>
                <w:u w:val="none"/>
              </w:rPr>
            </w:pP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E99E977">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从化、南沙</w:t>
            </w:r>
          </w:p>
        </w:tc>
        <w:tc>
          <w:tcPr>
            <w:tcW w:w="178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5DCA598">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20</w:t>
            </w:r>
          </w:p>
        </w:tc>
        <w:tc>
          <w:tcPr>
            <w:tcW w:w="111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6DB38A9">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82</w:t>
            </w:r>
          </w:p>
        </w:tc>
        <w:tc>
          <w:tcPr>
            <w:tcW w:w="111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A8A466F">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142</w:t>
            </w:r>
          </w:p>
        </w:tc>
        <w:tc>
          <w:tcPr>
            <w:tcW w:w="12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52387E1">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18</w:t>
            </w:r>
          </w:p>
        </w:tc>
      </w:tr>
    </w:tbl>
    <w:p w14:paraId="6A724411">
      <w:pPr>
        <w:rPr>
          <w:rFonts w:hint="eastAsia" w:ascii="宋体" w:hAnsi="宋体" w:cs="Times New Roman"/>
          <w:color w:val="auto"/>
          <w:szCs w:val="21"/>
          <w:highlight w:val="none"/>
          <w:lang w:val="en-US" w:eastAsia="zh-CN"/>
        </w:rPr>
      </w:pPr>
    </w:p>
    <w:p w14:paraId="1201C0A0">
      <w:pPr>
        <w:rPr>
          <w:rFonts w:hint="default" w:ascii="宋体" w:hAnsi="宋体" w:eastAsia="宋体" w:cs="Times New Roman"/>
          <w:b/>
          <w:bCs/>
          <w:color w:val="auto"/>
          <w:szCs w:val="21"/>
          <w:highlight w:val="none"/>
          <w:lang w:val="en-US" w:eastAsia="zh-CN"/>
        </w:rPr>
      </w:pPr>
      <w:r>
        <w:rPr>
          <w:rFonts w:hint="eastAsia" w:ascii="宋体" w:hAnsi="宋体" w:cs="Times New Roman"/>
          <w:b/>
          <w:bCs/>
          <w:color w:val="auto"/>
          <w:szCs w:val="21"/>
          <w:highlight w:val="none"/>
          <w:lang w:val="en-US" w:eastAsia="zh-CN"/>
        </w:rPr>
        <w:t>B包：深圳区域（厢车）</w:t>
      </w:r>
    </w:p>
    <w:tbl>
      <w:tblPr>
        <w:tblStyle w:val="28"/>
        <w:tblW w:w="8950" w:type="dxa"/>
        <w:tblInd w:w="98"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631"/>
        <w:gridCol w:w="2569"/>
        <w:gridCol w:w="1393"/>
        <w:gridCol w:w="1393"/>
        <w:gridCol w:w="1393"/>
        <w:gridCol w:w="1571"/>
      </w:tblGrid>
      <w:tr w14:paraId="104DD34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47" w:hRule="atLeast"/>
        </w:trPr>
        <w:tc>
          <w:tcPr>
            <w:tcW w:w="578" w:type="dxa"/>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1B8CD69">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区域</w:t>
            </w:r>
          </w:p>
        </w:tc>
        <w:tc>
          <w:tcPr>
            <w:tcW w:w="2353" w:type="dxa"/>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29BD41E">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报价区域</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66D2B2C">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5.2米厢车</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5D34704">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7.6米厢车</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B1E2636">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9.6米厢车</w:t>
            </w:r>
          </w:p>
        </w:tc>
        <w:tc>
          <w:tcPr>
            <w:tcW w:w="143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6805529">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12.5米厢车</w:t>
            </w:r>
          </w:p>
        </w:tc>
      </w:tr>
      <w:tr w14:paraId="65A200C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21" w:hRule="atLeast"/>
        </w:trPr>
        <w:tc>
          <w:tcPr>
            <w:tcW w:w="578"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308546C">
            <w:pPr>
              <w:jc w:val="center"/>
              <w:rPr>
                <w:rFonts w:hint="eastAsia" w:ascii="宋体" w:hAnsi="宋体" w:eastAsia="宋体" w:cs="宋体"/>
                <w:b/>
                <w:bCs/>
                <w:i w:val="0"/>
                <w:iCs w:val="0"/>
                <w:color w:val="000000"/>
                <w:sz w:val="18"/>
                <w:szCs w:val="18"/>
                <w:highlight w:val="none"/>
                <w:u w:val="none"/>
              </w:rPr>
            </w:pPr>
          </w:p>
        </w:tc>
        <w:tc>
          <w:tcPr>
            <w:tcW w:w="2353"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CF9A58E">
            <w:pPr>
              <w:jc w:val="center"/>
              <w:rPr>
                <w:rFonts w:hint="eastAsia" w:ascii="宋体" w:hAnsi="宋体" w:eastAsia="宋体" w:cs="宋体"/>
                <w:b/>
                <w:bCs/>
                <w:i w:val="0"/>
                <w:iCs w:val="0"/>
                <w:color w:val="000000"/>
                <w:sz w:val="18"/>
                <w:szCs w:val="18"/>
                <w:highlight w:val="none"/>
                <w:u w:val="none"/>
              </w:rPr>
            </w:pPr>
          </w:p>
        </w:tc>
        <w:tc>
          <w:tcPr>
            <w:tcW w:w="127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AD67B8A">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预计1年</w:t>
            </w:r>
            <w:r>
              <w:rPr>
                <w:rFonts w:hint="eastAsia" w:ascii="宋体" w:hAnsi="宋体" w:eastAsia="宋体" w:cs="宋体"/>
                <w:b/>
                <w:bCs/>
                <w:i w:val="0"/>
                <w:iCs w:val="0"/>
                <w:color w:val="000000"/>
                <w:kern w:val="0"/>
                <w:sz w:val="18"/>
                <w:szCs w:val="18"/>
                <w:highlight w:val="none"/>
                <w:u w:val="none"/>
                <w:lang w:val="en-US" w:eastAsia="zh-CN" w:bidi="ar"/>
              </w:rPr>
              <w:br w:type="textWrapping"/>
            </w:r>
            <w:r>
              <w:rPr>
                <w:rFonts w:hint="eastAsia" w:ascii="宋体" w:hAnsi="宋体" w:eastAsia="宋体" w:cs="宋体"/>
                <w:b/>
                <w:bCs/>
                <w:i w:val="0"/>
                <w:iCs w:val="0"/>
                <w:color w:val="000000"/>
                <w:kern w:val="0"/>
                <w:sz w:val="18"/>
                <w:szCs w:val="18"/>
                <w:highlight w:val="none"/>
                <w:u w:val="none"/>
                <w:lang w:val="en-US" w:eastAsia="zh-CN" w:bidi="ar"/>
              </w:rPr>
              <w:t>车次</w:t>
            </w:r>
          </w:p>
        </w:tc>
        <w:tc>
          <w:tcPr>
            <w:tcW w:w="127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2DE77A0">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预计1年</w:t>
            </w:r>
            <w:r>
              <w:rPr>
                <w:rFonts w:hint="eastAsia" w:ascii="宋体" w:hAnsi="宋体" w:eastAsia="宋体" w:cs="宋体"/>
                <w:b/>
                <w:bCs/>
                <w:i w:val="0"/>
                <w:iCs w:val="0"/>
                <w:color w:val="000000"/>
                <w:kern w:val="0"/>
                <w:sz w:val="18"/>
                <w:szCs w:val="18"/>
                <w:highlight w:val="none"/>
                <w:u w:val="none"/>
                <w:lang w:val="en-US" w:eastAsia="zh-CN" w:bidi="ar"/>
              </w:rPr>
              <w:br w:type="textWrapping"/>
            </w:r>
            <w:r>
              <w:rPr>
                <w:rFonts w:hint="eastAsia" w:ascii="宋体" w:hAnsi="宋体" w:eastAsia="宋体" w:cs="宋体"/>
                <w:b/>
                <w:bCs/>
                <w:i w:val="0"/>
                <w:iCs w:val="0"/>
                <w:color w:val="000000"/>
                <w:kern w:val="0"/>
                <w:sz w:val="18"/>
                <w:szCs w:val="18"/>
                <w:highlight w:val="none"/>
                <w:u w:val="none"/>
                <w:lang w:val="en-US" w:eastAsia="zh-CN" w:bidi="ar"/>
              </w:rPr>
              <w:t>车次</w:t>
            </w:r>
          </w:p>
        </w:tc>
        <w:tc>
          <w:tcPr>
            <w:tcW w:w="127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508553F">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预计1年</w:t>
            </w:r>
            <w:r>
              <w:rPr>
                <w:rFonts w:hint="eastAsia" w:ascii="宋体" w:hAnsi="宋体" w:eastAsia="宋体" w:cs="宋体"/>
                <w:b/>
                <w:bCs/>
                <w:i w:val="0"/>
                <w:iCs w:val="0"/>
                <w:color w:val="000000"/>
                <w:kern w:val="0"/>
                <w:sz w:val="18"/>
                <w:szCs w:val="18"/>
                <w:highlight w:val="none"/>
                <w:u w:val="none"/>
                <w:lang w:val="en-US" w:eastAsia="zh-CN" w:bidi="ar"/>
              </w:rPr>
              <w:br w:type="textWrapping"/>
            </w:r>
            <w:r>
              <w:rPr>
                <w:rFonts w:hint="eastAsia" w:ascii="宋体" w:hAnsi="宋体" w:eastAsia="宋体" w:cs="宋体"/>
                <w:b/>
                <w:bCs/>
                <w:i w:val="0"/>
                <w:iCs w:val="0"/>
                <w:color w:val="000000"/>
                <w:kern w:val="0"/>
                <w:sz w:val="18"/>
                <w:szCs w:val="18"/>
                <w:highlight w:val="none"/>
                <w:u w:val="none"/>
                <w:lang w:val="en-US" w:eastAsia="zh-CN" w:bidi="ar"/>
              </w:rPr>
              <w:t>车次</w:t>
            </w:r>
          </w:p>
        </w:tc>
        <w:tc>
          <w:tcPr>
            <w:tcW w:w="143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0207758">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预计1年</w:t>
            </w:r>
            <w:r>
              <w:rPr>
                <w:rFonts w:hint="eastAsia" w:ascii="宋体" w:hAnsi="宋体" w:eastAsia="宋体" w:cs="宋体"/>
                <w:b/>
                <w:bCs/>
                <w:i w:val="0"/>
                <w:iCs w:val="0"/>
                <w:color w:val="000000"/>
                <w:kern w:val="0"/>
                <w:sz w:val="18"/>
                <w:szCs w:val="18"/>
                <w:highlight w:val="none"/>
                <w:u w:val="none"/>
                <w:lang w:val="en-US" w:eastAsia="zh-CN" w:bidi="ar"/>
              </w:rPr>
              <w:br w:type="textWrapping"/>
            </w:r>
            <w:r>
              <w:rPr>
                <w:rFonts w:hint="eastAsia" w:ascii="宋体" w:hAnsi="宋体" w:eastAsia="宋体" w:cs="宋体"/>
                <w:b/>
                <w:bCs/>
                <w:i w:val="0"/>
                <w:iCs w:val="0"/>
                <w:color w:val="000000"/>
                <w:kern w:val="0"/>
                <w:sz w:val="18"/>
                <w:szCs w:val="18"/>
                <w:highlight w:val="none"/>
                <w:u w:val="none"/>
                <w:lang w:val="en-US" w:eastAsia="zh-CN" w:bidi="ar"/>
              </w:rPr>
              <w:t>车次</w:t>
            </w:r>
          </w:p>
        </w:tc>
      </w:tr>
      <w:tr w14:paraId="740BD0F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47" w:hRule="atLeast"/>
        </w:trPr>
        <w:tc>
          <w:tcPr>
            <w:tcW w:w="578"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46B4DB7A">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深圳</w:t>
            </w:r>
          </w:p>
        </w:tc>
        <w:tc>
          <w:tcPr>
            <w:tcW w:w="235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F891D42">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光明</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6D6B4E4">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DACA387">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62</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0076038">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44</w:t>
            </w:r>
          </w:p>
        </w:tc>
        <w:tc>
          <w:tcPr>
            <w:tcW w:w="143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F7C1251">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36</w:t>
            </w:r>
          </w:p>
        </w:tc>
      </w:tr>
      <w:tr w14:paraId="7681591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47" w:hRule="atLeast"/>
        </w:trPr>
        <w:tc>
          <w:tcPr>
            <w:tcW w:w="578"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37413379">
            <w:pPr>
              <w:jc w:val="center"/>
              <w:rPr>
                <w:rFonts w:hint="eastAsia" w:ascii="宋体" w:hAnsi="宋体" w:eastAsia="宋体" w:cs="宋体"/>
                <w:i w:val="0"/>
                <w:iCs w:val="0"/>
                <w:color w:val="000000"/>
                <w:sz w:val="18"/>
                <w:szCs w:val="18"/>
                <w:highlight w:val="none"/>
                <w:u w:val="none"/>
              </w:rPr>
            </w:pPr>
          </w:p>
        </w:tc>
        <w:tc>
          <w:tcPr>
            <w:tcW w:w="235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E837068">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龙华、宝安</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54CB97A">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D003769">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138</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36472C5">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92</w:t>
            </w:r>
          </w:p>
        </w:tc>
        <w:tc>
          <w:tcPr>
            <w:tcW w:w="143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B11F2DE">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r>
      <w:tr w14:paraId="27677A4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21" w:hRule="atLeast"/>
        </w:trPr>
        <w:tc>
          <w:tcPr>
            <w:tcW w:w="578"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5BF1C304">
            <w:pPr>
              <w:jc w:val="center"/>
              <w:rPr>
                <w:rFonts w:hint="eastAsia" w:ascii="宋体" w:hAnsi="宋体" w:eastAsia="宋体" w:cs="宋体"/>
                <w:i w:val="0"/>
                <w:iCs w:val="0"/>
                <w:color w:val="000000"/>
                <w:sz w:val="18"/>
                <w:szCs w:val="18"/>
                <w:highlight w:val="none"/>
                <w:u w:val="none"/>
              </w:rPr>
            </w:pPr>
          </w:p>
        </w:tc>
        <w:tc>
          <w:tcPr>
            <w:tcW w:w="235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13F0418">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南山区、福田区、罗湖区（限行）</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47E04B0">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55C40DD">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20</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610E7EE">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143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CC55B1B">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2EFF8C8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47" w:hRule="atLeast"/>
        </w:trPr>
        <w:tc>
          <w:tcPr>
            <w:tcW w:w="578"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0E76572D">
            <w:pPr>
              <w:jc w:val="center"/>
              <w:rPr>
                <w:rFonts w:hint="eastAsia" w:ascii="宋体" w:hAnsi="宋体" w:eastAsia="宋体" w:cs="宋体"/>
                <w:i w:val="0"/>
                <w:iCs w:val="0"/>
                <w:color w:val="000000"/>
                <w:sz w:val="18"/>
                <w:szCs w:val="18"/>
                <w:highlight w:val="none"/>
                <w:u w:val="none"/>
              </w:rPr>
            </w:pPr>
          </w:p>
        </w:tc>
        <w:tc>
          <w:tcPr>
            <w:tcW w:w="235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1D862D3">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龙岗区、坪山区（部分限行）</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3F53130">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47C9A07">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66</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073879B">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84</w:t>
            </w:r>
          </w:p>
        </w:tc>
        <w:tc>
          <w:tcPr>
            <w:tcW w:w="143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AF82315">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14</w:t>
            </w:r>
          </w:p>
        </w:tc>
      </w:tr>
      <w:tr w14:paraId="21121DA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47" w:hRule="atLeast"/>
        </w:trPr>
        <w:tc>
          <w:tcPr>
            <w:tcW w:w="578"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5646F883">
            <w:pPr>
              <w:jc w:val="center"/>
              <w:rPr>
                <w:rFonts w:hint="eastAsia" w:ascii="宋体" w:hAnsi="宋体" w:eastAsia="宋体" w:cs="宋体"/>
                <w:i w:val="0"/>
                <w:iCs w:val="0"/>
                <w:color w:val="000000"/>
                <w:sz w:val="18"/>
                <w:szCs w:val="18"/>
                <w:highlight w:val="none"/>
                <w:u w:val="none"/>
              </w:rPr>
            </w:pPr>
          </w:p>
        </w:tc>
        <w:tc>
          <w:tcPr>
            <w:tcW w:w="235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D55C75A">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盐田区（限行）</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84CD989">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9C54BB3">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A1E7467">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143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7A9E443">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3AFB185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47" w:hRule="atLeast"/>
        </w:trPr>
        <w:tc>
          <w:tcPr>
            <w:tcW w:w="578"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639EBD9C">
            <w:pPr>
              <w:jc w:val="center"/>
              <w:rPr>
                <w:rFonts w:hint="eastAsia" w:ascii="宋体" w:hAnsi="宋体" w:eastAsia="宋体" w:cs="宋体"/>
                <w:i w:val="0"/>
                <w:iCs w:val="0"/>
                <w:color w:val="000000"/>
                <w:sz w:val="18"/>
                <w:szCs w:val="18"/>
                <w:highlight w:val="none"/>
                <w:u w:val="none"/>
              </w:rPr>
            </w:pPr>
          </w:p>
        </w:tc>
        <w:tc>
          <w:tcPr>
            <w:tcW w:w="235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F5E1B4B">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大鹏新区（限行）</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5A216FD">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14</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80EA0CA">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398B7EC">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43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C65C2F9">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2A3344F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5" w:hRule="atLeast"/>
        </w:trPr>
        <w:tc>
          <w:tcPr>
            <w:tcW w:w="578"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6BE4F033">
            <w:pPr>
              <w:jc w:val="center"/>
              <w:rPr>
                <w:rFonts w:hint="eastAsia" w:ascii="宋体" w:hAnsi="宋体" w:eastAsia="宋体" w:cs="宋体"/>
                <w:i w:val="0"/>
                <w:iCs w:val="0"/>
                <w:color w:val="000000"/>
                <w:sz w:val="18"/>
                <w:szCs w:val="18"/>
                <w:highlight w:val="none"/>
                <w:u w:val="none"/>
              </w:rPr>
            </w:pPr>
          </w:p>
        </w:tc>
        <w:tc>
          <w:tcPr>
            <w:tcW w:w="235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45363C8">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深汕合作区（位于汕尾）</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2498683">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B4C28A7">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1145B86">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32</w:t>
            </w:r>
          </w:p>
        </w:tc>
        <w:tc>
          <w:tcPr>
            <w:tcW w:w="143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14E5D25">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16</w:t>
            </w:r>
          </w:p>
        </w:tc>
      </w:tr>
    </w:tbl>
    <w:p w14:paraId="7C82E9D0">
      <w:pPr>
        <w:rPr>
          <w:rFonts w:hint="eastAsia" w:ascii="宋体" w:hAnsi="宋体" w:cs="Times New Roman"/>
          <w:color w:val="auto"/>
          <w:szCs w:val="21"/>
          <w:highlight w:val="none"/>
          <w:lang w:val="en-US" w:eastAsia="zh-CN"/>
        </w:rPr>
      </w:pPr>
    </w:p>
    <w:p w14:paraId="599BCCC2">
      <w:pPr>
        <w:rPr>
          <w:rFonts w:hint="eastAsia" w:ascii="宋体" w:hAnsi="宋体" w:cs="Times New Roman"/>
          <w:color w:val="auto"/>
          <w:szCs w:val="21"/>
          <w:highlight w:val="none"/>
          <w:lang w:val="en-US" w:eastAsia="zh-CN"/>
        </w:rPr>
      </w:pPr>
    </w:p>
    <w:p w14:paraId="4B241A0C">
      <w:pPr>
        <w:rPr>
          <w:rFonts w:hint="eastAsia" w:ascii="宋体" w:hAnsi="宋体" w:cs="Times New Roman"/>
          <w:color w:val="auto"/>
          <w:szCs w:val="21"/>
          <w:highlight w:val="none"/>
          <w:lang w:val="en-US" w:eastAsia="zh-CN"/>
        </w:rPr>
      </w:pPr>
    </w:p>
    <w:p w14:paraId="4E2D29B0">
      <w:pPr>
        <w:outlineLvl w:val="9"/>
        <w:rPr>
          <w:rFonts w:hint="eastAsia"/>
          <w:highlight w:val="none"/>
          <w:lang w:val="en-US" w:eastAsia="zh-CN"/>
        </w:rPr>
      </w:pPr>
    </w:p>
    <w:p w14:paraId="762AFDC7">
      <w:pPr>
        <w:rPr>
          <w:rFonts w:hint="eastAsia" w:ascii="宋体" w:hAnsi="宋体" w:cs="Times New Roman"/>
          <w:color w:val="auto"/>
          <w:szCs w:val="21"/>
          <w:highlight w:val="none"/>
          <w:lang w:val="en-US" w:eastAsia="zh-CN"/>
        </w:rPr>
      </w:pPr>
    </w:p>
    <w:p w14:paraId="2DF356F3">
      <w:pPr>
        <w:rPr>
          <w:rFonts w:hint="eastAsia" w:ascii="宋体" w:hAnsi="宋体" w:cs="Times New Roman"/>
          <w:color w:val="auto"/>
          <w:szCs w:val="21"/>
          <w:highlight w:val="none"/>
          <w:lang w:val="en-US" w:eastAsia="zh-CN"/>
        </w:rPr>
      </w:pPr>
    </w:p>
    <w:p w14:paraId="6AEE78D7">
      <w:pPr>
        <w:rPr>
          <w:rFonts w:hint="eastAsia" w:ascii="宋体" w:hAnsi="宋体" w:cs="Times New Roman"/>
          <w:color w:val="auto"/>
          <w:szCs w:val="21"/>
          <w:highlight w:val="none"/>
          <w:lang w:val="en-US" w:eastAsia="zh-CN"/>
        </w:rPr>
      </w:pPr>
    </w:p>
    <w:p w14:paraId="1CBCEF36">
      <w:pPr>
        <w:rPr>
          <w:rFonts w:hint="eastAsia" w:ascii="宋体" w:hAnsi="宋体" w:cs="Times New Roman"/>
          <w:b/>
          <w:bCs/>
          <w:color w:val="auto"/>
          <w:szCs w:val="21"/>
          <w:highlight w:val="none"/>
          <w:lang w:val="en-US" w:eastAsia="zh-CN"/>
        </w:rPr>
      </w:pPr>
    </w:p>
    <w:p w14:paraId="4CCE360B">
      <w:pPr>
        <w:rPr>
          <w:rFonts w:hint="eastAsia" w:ascii="宋体" w:hAnsi="宋体" w:cs="Times New Roman"/>
          <w:b/>
          <w:bCs/>
          <w:color w:val="auto"/>
          <w:szCs w:val="21"/>
          <w:highlight w:val="none"/>
          <w:lang w:val="en-US" w:eastAsia="zh-CN"/>
        </w:rPr>
      </w:pPr>
    </w:p>
    <w:p w14:paraId="3E6A8657">
      <w:pPr>
        <w:rPr>
          <w:rFonts w:hint="eastAsia" w:ascii="宋体" w:hAnsi="宋体" w:cs="Times New Roman"/>
          <w:b/>
          <w:bCs/>
          <w:color w:val="auto"/>
          <w:szCs w:val="21"/>
          <w:highlight w:val="none"/>
          <w:lang w:val="en-US" w:eastAsia="zh-CN"/>
        </w:rPr>
      </w:pPr>
    </w:p>
    <w:p w14:paraId="27FA4558">
      <w:pPr>
        <w:rPr>
          <w:rFonts w:hint="eastAsia" w:ascii="宋体" w:hAnsi="宋体" w:cs="Times New Roman"/>
          <w:b/>
          <w:bCs/>
          <w:color w:val="auto"/>
          <w:szCs w:val="21"/>
          <w:highlight w:val="none"/>
          <w:lang w:val="en-US" w:eastAsia="zh-CN"/>
        </w:rPr>
      </w:pPr>
    </w:p>
    <w:p w14:paraId="1034680A">
      <w:pPr>
        <w:rPr>
          <w:rFonts w:hint="default" w:ascii="宋体" w:hAnsi="宋体" w:eastAsia="宋体" w:cs="Times New Roman"/>
          <w:b/>
          <w:bCs/>
          <w:color w:val="auto"/>
          <w:szCs w:val="21"/>
          <w:highlight w:val="none"/>
          <w:lang w:val="en-US" w:eastAsia="zh-CN"/>
        </w:rPr>
      </w:pPr>
      <w:r>
        <w:rPr>
          <w:rFonts w:hint="eastAsia" w:ascii="宋体" w:hAnsi="宋体" w:cs="Times New Roman"/>
          <w:b/>
          <w:bCs/>
          <w:color w:val="auto"/>
          <w:szCs w:val="21"/>
          <w:highlight w:val="none"/>
          <w:lang w:val="en-US" w:eastAsia="zh-CN"/>
        </w:rPr>
        <w:t>C包：莞惠区域（厢车）</w:t>
      </w:r>
    </w:p>
    <w:tbl>
      <w:tblPr>
        <w:tblStyle w:val="28"/>
        <w:tblW w:w="8950" w:type="dxa"/>
        <w:tblInd w:w="98"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631"/>
        <w:gridCol w:w="2571"/>
        <w:gridCol w:w="1391"/>
        <w:gridCol w:w="1391"/>
        <w:gridCol w:w="1391"/>
        <w:gridCol w:w="1575"/>
      </w:tblGrid>
      <w:tr w14:paraId="16E7525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20" w:hRule="atLeast"/>
        </w:trPr>
        <w:tc>
          <w:tcPr>
            <w:tcW w:w="585" w:type="dxa"/>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F9EA537">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区域</w:t>
            </w:r>
          </w:p>
        </w:tc>
        <w:tc>
          <w:tcPr>
            <w:tcW w:w="2383" w:type="dxa"/>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CC1A1D2">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报价区域</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399D776">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5.2米厢车</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B66D7EC">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7.6米厢车</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F5F9DDF">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9.6米厢车</w:t>
            </w:r>
          </w:p>
        </w:tc>
        <w:tc>
          <w:tcPr>
            <w:tcW w:w="14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2E47C40">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12.5米厢车</w:t>
            </w:r>
          </w:p>
        </w:tc>
      </w:tr>
      <w:tr w14:paraId="2D11CE0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4" w:hRule="atLeast"/>
        </w:trPr>
        <w:tc>
          <w:tcPr>
            <w:tcW w:w="585"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7EE20AF">
            <w:pPr>
              <w:jc w:val="center"/>
              <w:rPr>
                <w:rFonts w:hint="eastAsia" w:ascii="宋体" w:hAnsi="宋体" w:eastAsia="宋体" w:cs="宋体"/>
                <w:b/>
                <w:bCs/>
                <w:i w:val="0"/>
                <w:iCs w:val="0"/>
                <w:color w:val="000000"/>
                <w:sz w:val="18"/>
                <w:szCs w:val="18"/>
                <w:highlight w:val="none"/>
                <w:u w:val="none"/>
              </w:rPr>
            </w:pPr>
          </w:p>
        </w:tc>
        <w:tc>
          <w:tcPr>
            <w:tcW w:w="2383"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F576789">
            <w:pPr>
              <w:jc w:val="center"/>
              <w:rPr>
                <w:rFonts w:hint="eastAsia" w:ascii="宋体" w:hAnsi="宋体" w:eastAsia="宋体" w:cs="宋体"/>
                <w:b/>
                <w:bCs/>
                <w:i w:val="0"/>
                <w:iCs w:val="0"/>
                <w:color w:val="000000"/>
                <w:sz w:val="18"/>
                <w:szCs w:val="18"/>
                <w:highlight w:val="none"/>
                <w:u w:val="none"/>
              </w:rPr>
            </w:pPr>
          </w:p>
        </w:tc>
        <w:tc>
          <w:tcPr>
            <w:tcW w:w="12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E91C54D">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预计1年</w:t>
            </w:r>
            <w:r>
              <w:rPr>
                <w:rFonts w:hint="eastAsia" w:ascii="宋体" w:hAnsi="宋体" w:eastAsia="宋体" w:cs="宋体"/>
                <w:b/>
                <w:bCs/>
                <w:i w:val="0"/>
                <w:iCs w:val="0"/>
                <w:color w:val="000000"/>
                <w:kern w:val="0"/>
                <w:sz w:val="18"/>
                <w:szCs w:val="18"/>
                <w:highlight w:val="none"/>
                <w:u w:val="none"/>
                <w:lang w:val="en-US" w:eastAsia="zh-CN" w:bidi="ar"/>
              </w:rPr>
              <w:br w:type="textWrapping"/>
            </w:r>
            <w:r>
              <w:rPr>
                <w:rFonts w:hint="eastAsia" w:ascii="宋体" w:hAnsi="宋体" w:eastAsia="宋体" w:cs="宋体"/>
                <w:b/>
                <w:bCs/>
                <w:i w:val="0"/>
                <w:iCs w:val="0"/>
                <w:color w:val="000000"/>
                <w:kern w:val="0"/>
                <w:sz w:val="18"/>
                <w:szCs w:val="18"/>
                <w:highlight w:val="none"/>
                <w:u w:val="none"/>
                <w:lang w:val="en-US" w:eastAsia="zh-CN" w:bidi="ar"/>
              </w:rPr>
              <w:t>车次</w:t>
            </w:r>
          </w:p>
        </w:tc>
        <w:tc>
          <w:tcPr>
            <w:tcW w:w="12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1383D58">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预计1年</w:t>
            </w:r>
            <w:r>
              <w:rPr>
                <w:rFonts w:hint="eastAsia" w:ascii="宋体" w:hAnsi="宋体" w:eastAsia="宋体" w:cs="宋体"/>
                <w:b/>
                <w:bCs/>
                <w:i w:val="0"/>
                <w:iCs w:val="0"/>
                <w:color w:val="000000"/>
                <w:kern w:val="0"/>
                <w:sz w:val="18"/>
                <w:szCs w:val="18"/>
                <w:highlight w:val="none"/>
                <w:u w:val="none"/>
                <w:lang w:val="en-US" w:eastAsia="zh-CN" w:bidi="ar"/>
              </w:rPr>
              <w:br w:type="textWrapping"/>
            </w:r>
            <w:r>
              <w:rPr>
                <w:rFonts w:hint="eastAsia" w:ascii="宋体" w:hAnsi="宋体" w:eastAsia="宋体" w:cs="宋体"/>
                <w:b/>
                <w:bCs/>
                <w:i w:val="0"/>
                <w:iCs w:val="0"/>
                <w:color w:val="000000"/>
                <w:kern w:val="0"/>
                <w:sz w:val="18"/>
                <w:szCs w:val="18"/>
                <w:highlight w:val="none"/>
                <w:u w:val="none"/>
                <w:lang w:val="en-US" w:eastAsia="zh-CN" w:bidi="ar"/>
              </w:rPr>
              <w:t>车次</w:t>
            </w:r>
          </w:p>
        </w:tc>
        <w:tc>
          <w:tcPr>
            <w:tcW w:w="12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16F2849">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预计1年</w:t>
            </w:r>
            <w:r>
              <w:rPr>
                <w:rFonts w:hint="eastAsia" w:ascii="宋体" w:hAnsi="宋体" w:eastAsia="宋体" w:cs="宋体"/>
                <w:b/>
                <w:bCs/>
                <w:i w:val="0"/>
                <w:iCs w:val="0"/>
                <w:color w:val="000000"/>
                <w:kern w:val="0"/>
                <w:sz w:val="18"/>
                <w:szCs w:val="18"/>
                <w:highlight w:val="none"/>
                <w:u w:val="none"/>
                <w:lang w:val="en-US" w:eastAsia="zh-CN" w:bidi="ar"/>
              </w:rPr>
              <w:br w:type="textWrapping"/>
            </w:r>
            <w:r>
              <w:rPr>
                <w:rFonts w:hint="eastAsia" w:ascii="宋体" w:hAnsi="宋体" w:eastAsia="宋体" w:cs="宋体"/>
                <w:b/>
                <w:bCs/>
                <w:i w:val="0"/>
                <w:iCs w:val="0"/>
                <w:color w:val="000000"/>
                <w:kern w:val="0"/>
                <w:sz w:val="18"/>
                <w:szCs w:val="18"/>
                <w:highlight w:val="none"/>
                <w:u w:val="none"/>
                <w:lang w:val="en-US" w:eastAsia="zh-CN" w:bidi="ar"/>
              </w:rPr>
              <w:t>车次</w:t>
            </w:r>
          </w:p>
        </w:tc>
        <w:tc>
          <w:tcPr>
            <w:tcW w:w="1460"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1710F2F">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预计1年</w:t>
            </w:r>
            <w:r>
              <w:rPr>
                <w:rFonts w:hint="eastAsia" w:ascii="宋体" w:hAnsi="宋体" w:eastAsia="宋体" w:cs="宋体"/>
                <w:b/>
                <w:bCs/>
                <w:i w:val="0"/>
                <w:iCs w:val="0"/>
                <w:color w:val="000000"/>
                <w:kern w:val="0"/>
                <w:sz w:val="18"/>
                <w:szCs w:val="18"/>
                <w:highlight w:val="none"/>
                <w:u w:val="none"/>
                <w:lang w:val="en-US" w:eastAsia="zh-CN" w:bidi="ar"/>
              </w:rPr>
              <w:br w:type="textWrapping"/>
            </w:r>
            <w:r>
              <w:rPr>
                <w:rFonts w:hint="eastAsia" w:ascii="宋体" w:hAnsi="宋体" w:eastAsia="宋体" w:cs="宋体"/>
                <w:b/>
                <w:bCs/>
                <w:i w:val="0"/>
                <w:iCs w:val="0"/>
                <w:color w:val="000000"/>
                <w:kern w:val="0"/>
                <w:sz w:val="18"/>
                <w:szCs w:val="18"/>
                <w:highlight w:val="none"/>
                <w:u w:val="none"/>
                <w:lang w:val="en-US" w:eastAsia="zh-CN" w:bidi="ar"/>
              </w:rPr>
              <w:t>车次</w:t>
            </w:r>
          </w:p>
        </w:tc>
      </w:tr>
      <w:tr w14:paraId="310881A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4" w:hRule="atLeast"/>
        </w:trPr>
        <w:tc>
          <w:tcPr>
            <w:tcW w:w="585"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423CD214">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东莞</w:t>
            </w:r>
          </w:p>
        </w:tc>
        <w:tc>
          <w:tcPr>
            <w:tcW w:w="238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044BE58">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洪梅、麻涌、望牛墩、道滘</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92A808E">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E9AA9E3">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74</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9CE0AD9">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54</w:t>
            </w:r>
          </w:p>
        </w:tc>
        <w:tc>
          <w:tcPr>
            <w:tcW w:w="14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993BD70">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16</w:t>
            </w:r>
          </w:p>
        </w:tc>
      </w:tr>
      <w:tr w14:paraId="3DB7D52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4" w:hRule="atLeast"/>
        </w:trPr>
        <w:tc>
          <w:tcPr>
            <w:tcW w:w="58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74CA989B">
            <w:pPr>
              <w:jc w:val="center"/>
              <w:rPr>
                <w:rFonts w:hint="eastAsia" w:ascii="宋体" w:hAnsi="宋体" w:eastAsia="宋体" w:cs="宋体"/>
                <w:i w:val="0"/>
                <w:iCs w:val="0"/>
                <w:color w:val="000000"/>
                <w:sz w:val="18"/>
                <w:szCs w:val="18"/>
                <w:highlight w:val="none"/>
                <w:u w:val="none"/>
              </w:rPr>
            </w:pPr>
          </w:p>
        </w:tc>
        <w:tc>
          <w:tcPr>
            <w:tcW w:w="238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96A60BF">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莞城、东城、南城、万江（限行）</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2CFBDA5">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2381F3D">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188</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BC9C440">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86</w:t>
            </w:r>
          </w:p>
        </w:tc>
        <w:tc>
          <w:tcPr>
            <w:tcW w:w="14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A14F19A">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4CBBAC9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4" w:hRule="atLeast"/>
        </w:trPr>
        <w:tc>
          <w:tcPr>
            <w:tcW w:w="58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56B55A29">
            <w:pPr>
              <w:jc w:val="center"/>
              <w:rPr>
                <w:rFonts w:hint="eastAsia" w:ascii="宋体" w:hAnsi="宋体" w:eastAsia="宋体" w:cs="宋体"/>
                <w:i w:val="0"/>
                <w:iCs w:val="0"/>
                <w:color w:val="000000"/>
                <w:sz w:val="18"/>
                <w:szCs w:val="18"/>
                <w:highlight w:val="none"/>
                <w:u w:val="none"/>
              </w:rPr>
            </w:pPr>
          </w:p>
        </w:tc>
        <w:tc>
          <w:tcPr>
            <w:tcW w:w="238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AD93B5A">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中堂、高埗、万江、厚街</w:t>
            </w:r>
            <w:r>
              <w:rPr>
                <w:rFonts w:hint="eastAsia" w:ascii="宋体" w:hAnsi="宋体" w:eastAsia="宋体" w:cs="宋体"/>
                <w:i w:val="0"/>
                <w:iCs w:val="0"/>
                <w:color w:val="000000"/>
                <w:kern w:val="0"/>
                <w:sz w:val="18"/>
                <w:szCs w:val="18"/>
                <w:highlight w:val="none"/>
                <w:u w:val="none"/>
                <w:lang w:val="en-US" w:eastAsia="zh-CN" w:bidi="ar"/>
              </w:rPr>
              <w:br w:type="textWrapping"/>
            </w:r>
            <w:r>
              <w:rPr>
                <w:rFonts w:hint="eastAsia" w:ascii="宋体" w:hAnsi="宋体" w:eastAsia="宋体" w:cs="宋体"/>
                <w:i w:val="0"/>
                <w:iCs w:val="0"/>
                <w:color w:val="000000"/>
                <w:kern w:val="0"/>
                <w:sz w:val="18"/>
                <w:szCs w:val="18"/>
                <w:highlight w:val="none"/>
                <w:u w:val="none"/>
                <w:lang w:val="en-US" w:eastAsia="zh-CN" w:bidi="ar"/>
              </w:rPr>
              <w:t>沙田</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4300F1D">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14</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75DC612">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90</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32C9186">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62</w:t>
            </w:r>
          </w:p>
        </w:tc>
        <w:tc>
          <w:tcPr>
            <w:tcW w:w="14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4513CF9">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r>
      <w:tr w14:paraId="23715BB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20" w:hRule="atLeast"/>
        </w:trPr>
        <w:tc>
          <w:tcPr>
            <w:tcW w:w="58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26A22A96">
            <w:pPr>
              <w:jc w:val="center"/>
              <w:rPr>
                <w:rFonts w:hint="eastAsia" w:ascii="宋体" w:hAnsi="宋体" w:eastAsia="宋体" w:cs="宋体"/>
                <w:i w:val="0"/>
                <w:iCs w:val="0"/>
                <w:color w:val="000000"/>
                <w:sz w:val="18"/>
                <w:szCs w:val="18"/>
                <w:highlight w:val="none"/>
                <w:u w:val="none"/>
              </w:rPr>
            </w:pPr>
          </w:p>
        </w:tc>
        <w:tc>
          <w:tcPr>
            <w:tcW w:w="238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FE3A709">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石碣、石龙、茶山</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68527D8">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C3C27F4">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74</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BA23F90">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34</w:t>
            </w:r>
          </w:p>
        </w:tc>
        <w:tc>
          <w:tcPr>
            <w:tcW w:w="14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6990894">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r>
      <w:tr w14:paraId="7D36F56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20" w:hRule="atLeast"/>
        </w:trPr>
        <w:tc>
          <w:tcPr>
            <w:tcW w:w="58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649C7213">
            <w:pPr>
              <w:jc w:val="center"/>
              <w:rPr>
                <w:rFonts w:hint="eastAsia" w:ascii="宋体" w:hAnsi="宋体" w:eastAsia="宋体" w:cs="宋体"/>
                <w:i w:val="0"/>
                <w:iCs w:val="0"/>
                <w:color w:val="000000"/>
                <w:sz w:val="18"/>
                <w:szCs w:val="18"/>
                <w:highlight w:val="none"/>
                <w:u w:val="none"/>
              </w:rPr>
            </w:pPr>
          </w:p>
        </w:tc>
        <w:tc>
          <w:tcPr>
            <w:tcW w:w="238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821BFFB">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石排、横沥、寮步、东坑</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B802F51">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29F7263">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70</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5C331E1">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46</w:t>
            </w:r>
          </w:p>
        </w:tc>
        <w:tc>
          <w:tcPr>
            <w:tcW w:w="14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959F89E">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r>
      <w:tr w14:paraId="3241C88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20" w:hRule="atLeast"/>
        </w:trPr>
        <w:tc>
          <w:tcPr>
            <w:tcW w:w="58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1D9C76D5">
            <w:pPr>
              <w:jc w:val="center"/>
              <w:rPr>
                <w:rFonts w:hint="eastAsia" w:ascii="宋体" w:hAnsi="宋体" w:eastAsia="宋体" w:cs="宋体"/>
                <w:i w:val="0"/>
                <w:iCs w:val="0"/>
                <w:color w:val="000000"/>
                <w:sz w:val="18"/>
                <w:szCs w:val="18"/>
                <w:highlight w:val="none"/>
                <w:u w:val="none"/>
              </w:rPr>
            </w:pPr>
          </w:p>
        </w:tc>
        <w:tc>
          <w:tcPr>
            <w:tcW w:w="238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DDF6290">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松山湖（限行）</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E24F5DE">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2921F96">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122</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3493C6E">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66</w:t>
            </w:r>
          </w:p>
        </w:tc>
        <w:tc>
          <w:tcPr>
            <w:tcW w:w="14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50A3946">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12</w:t>
            </w:r>
          </w:p>
        </w:tc>
      </w:tr>
      <w:tr w14:paraId="6127B54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20" w:hRule="atLeast"/>
        </w:trPr>
        <w:tc>
          <w:tcPr>
            <w:tcW w:w="58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228FCACC">
            <w:pPr>
              <w:jc w:val="center"/>
              <w:rPr>
                <w:rFonts w:hint="eastAsia" w:ascii="宋体" w:hAnsi="宋体" w:eastAsia="宋体" w:cs="宋体"/>
                <w:i w:val="0"/>
                <w:iCs w:val="0"/>
                <w:color w:val="000000"/>
                <w:sz w:val="18"/>
                <w:szCs w:val="18"/>
                <w:highlight w:val="none"/>
                <w:u w:val="none"/>
              </w:rPr>
            </w:pPr>
          </w:p>
        </w:tc>
        <w:tc>
          <w:tcPr>
            <w:tcW w:w="238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1EA3FC5">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大岭山、虎门、长安</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BEB90F9">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D0BBEC2">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108</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B7D09A3">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86</w:t>
            </w:r>
          </w:p>
        </w:tc>
        <w:tc>
          <w:tcPr>
            <w:tcW w:w="14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0B88ABF">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18</w:t>
            </w:r>
          </w:p>
        </w:tc>
      </w:tr>
      <w:tr w14:paraId="1DBD759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4" w:hRule="atLeast"/>
        </w:trPr>
        <w:tc>
          <w:tcPr>
            <w:tcW w:w="58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064EE6D1">
            <w:pPr>
              <w:jc w:val="center"/>
              <w:rPr>
                <w:rFonts w:hint="eastAsia" w:ascii="宋体" w:hAnsi="宋体" w:eastAsia="宋体" w:cs="宋体"/>
                <w:i w:val="0"/>
                <w:iCs w:val="0"/>
                <w:color w:val="000000"/>
                <w:sz w:val="18"/>
                <w:szCs w:val="18"/>
                <w:highlight w:val="none"/>
                <w:u w:val="none"/>
              </w:rPr>
            </w:pPr>
          </w:p>
        </w:tc>
        <w:tc>
          <w:tcPr>
            <w:tcW w:w="238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8C49E01">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大朗、企石、黄江、常平、桥头</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1F84E61">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EB2734A">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190</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2139987">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212</w:t>
            </w:r>
          </w:p>
        </w:tc>
        <w:tc>
          <w:tcPr>
            <w:tcW w:w="14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46A1E15">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0D2D9EB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4" w:hRule="atLeast"/>
        </w:trPr>
        <w:tc>
          <w:tcPr>
            <w:tcW w:w="58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1F6495D6">
            <w:pPr>
              <w:jc w:val="center"/>
              <w:rPr>
                <w:rFonts w:hint="eastAsia" w:ascii="宋体" w:hAnsi="宋体" w:eastAsia="宋体" w:cs="宋体"/>
                <w:i w:val="0"/>
                <w:iCs w:val="0"/>
                <w:color w:val="000000"/>
                <w:sz w:val="18"/>
                <w:szCs w:val="18"/>
                <w:highlight w:val="none"/>
                <w:u w:val="none"/>
              </w:rPr>
            </w:pPr>
          </w:p>
        </w:tc>
        <w:tc>
          <w:tcPr>
            <w:tcW w:w="238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6C60769">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樟木头、塘厦、谢岗、凤岗、清溪</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0E44119">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A4EFD1F">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134</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A064F55">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72</w:t>
            </w:r>
          </w:p>
        </w:tc>
        <w:tc>
          <w:tcPr>
            <w:tcW w:w="14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F3C01F1">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r>
      <w:tr w14:paraId="336C1A9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20" w:hRule="atLeast"/>
        </w:trPr>
        <w:tc>
          <w:tcPr>
            <w:tcW w:w="585"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0EF93B41">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惠州</w:t>
            </w:r>
          </w:p>
        </w:tc>
        <w:tc>
          <w:tcPr>
            <w:tcW w:w="238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6A0D23E">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博罗</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60C0100">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B95948D">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108</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FFC667A">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64</w:t>
            </w:r>
          </w:p>
        </w:tc>
        <w:tc>
          <w:tcPr>
            <w:tcW w:w="14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2319977">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1C6441F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20" w:hRule="atLeast"/>
        </w:trPr>
        <w:tc>
          <w:tcPr>
            <w:tcW w:w="58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4DAA63BC">
            <w:pPr>
              <w:jc w:val="center"/>
              <w:rPr>
                <w:rFonts w:hint="eastAsia" w:ascii="宋体" w:hAnsi="宋体" w:eastAsia="宋体" w:cs="宋体"/>
                <w:i w:val="0"/>
                <w:iCs w:val="0"/>
                <w:color w:val="000000"/>
                <w:sz w:val="18"/>
                <w:szCs w:val="18"/>
                <w:highlight w:val="none"/>
                <w:u w:val="none"/>
              </w:rPr>
            </w:pPr>
          </w:p>
        </w:tc>
        <w:tc>
          <w:tcPr>
            <w:tcW w:w="238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C41BC84">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惠城、惠阳</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8BB2250">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25DECA1">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164</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F6D7AF2">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312</w:t>
            </w:r>
          </w:p>
        </w:tc>
        <w:tc>
          <w:tcPr>
            <w:tcW w:w="14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EA6C94D">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w:t>
            </w:r>
          </w:p>
        </w:tc>
      </w:tr>
      <w:tr w14:paraId="228644B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20" w:hRule="atLeast"/>
        </w:trPr>
        <w:tc>
          <w:tcPr>
            <w:tcW w:w="58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6EA0F2DA">
            <w:pPr>
              <w:jc w:val="center"/>
              <w:rPr>
                <w:rFonts w:hint="eastAsia" w:ascii="宋体" w:hAnsi="宋体" w:eastAsia="宋体" w:cs="宋体"/>
                <w:i w:val="0"/>
                <w:iCs w:val="0"/>
                <w:color w:val="000000"/>
                <w:sz w:val="18"/>
                <w:szCs w:val="18"/>
                <w:highlight w:val="none"/>
                <w:u w:val="none"/>
              </w:rPr>
            </w:pPr>
          </w:p>
        </w:tc>
        <w:tc>
          <w:tcPr>
            <w:tcW w:w="238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04CD831">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大亚湾（含石化区）</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96AD9E3">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8B925CC">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18</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B0BDCFE">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236</w:t>
            </w:r>
          </w:p>
        </w:tc>
        <w:tc>
          <w:tcPr>
            <w:tcW w:w="14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61CBF68">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98</w:t>
            </w:r>
          </w:p>
        </w:tc>
      </w:tr>
      <w:tr w14:paraId="2C5CE2C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58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2949D205">
            <w:pPr>
              <w:jc w:val="center"/>
              <w:rPr>
                <w:rFonts w:hint="eastAsia" w:ascii="宋体" w:hAnsi="宋体" w:eastAsia="宋体" w:cs="宋体"/>
                <w:i w:val="0"/>
                <w:iCs w:val="0"/>
                <w:color w:val="000000"/>
                <w:sz w:val="18"/>
                <w:szCs w:val="18"/>
                <w:highlight w:val="none"/>
                <w:u w:val="none"/>
              </w:rPr>
            </w:pPr>
          </w:p>
        </w:tc>
        <w:tc>
          <w:tcPr>
            <w:tcW w:w="238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BA57850">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龙门县、惠东</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95C14F8">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5C3C1FD">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44</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F1C2DD2">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28</w:t>
            </w:r>
          </w:p>
        </w:tc>
        <w:tc>
          <w:tcPr>
            <w:tcW w:w="14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52E6F83">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bl>
    <w:p w14:paraId="275F2348">
      <w:pPr>
        <w:rPr>
          <w:rFonts w:hint="eastAsia" w:ascii="宋体" w:hAnsi="宋体" w:cs="Times New Roman"/>
          <w:b/>
          <w:bCs/>
          <w:color w:val="auto"/>
          <w:szCs w:val="21"/>
          <w:highlight w:val="none"/>
          <w:lang w:val="en-US" w:eastAsia="zh-CN"/>
        </w:rPr>
      </w:pPr>
    </w:p>
    <w:p w14:paraId="2C0B03A4">
      <w:pPr>
        <w:rPr>
          <w:rFonts w:hint="eastAsia" w:ascii="宋体" w:hAnsi="宋体" w:cs="Times New Roman"/>
          <w:b/>
          <w:bCs/>
          <w:color w:val="auto"/>
          <w:szCs w:val="21"/>
          <w:highlight w:val="none"/>
          <w:lang w:val="en-US" w:eastAsia="zh-CN"/>
        </w:rPr>
      </w:pPr>
    </w:p>
    <w:p w14:paraId="25CF2389">
      <w:pPr>
        <w:rPr>
          <w:rFonts w:hint="eastAsia" w:ascii="宋体" w:hAnsi="宋体" w:cs="Times New Roman"/>
          <w:b/>
          <w:bCs/>
          <w:color w:val="auto"/>
          <w:szCs w:val="21"/>
          <w:highlight w:val="none"/>
          <w:lang w:val="en-US" w:eastAsia="zh-CN"/>
        </w:rPr>
      </w:pPr>
    </w:p>
    <w:p w14:paraId="0C2393CA">
      <w:pPr>
        <w:rPr>
          <w:rFonts w:hint="eastAsia" w:ascii="宋体" w:hAnsi="宋体" w:cs="Times New Roman"/>
          <w:b/>
          <w:bCs/>
          <w:color w:val="auto"/>
          <w:szCs w:val="21"/>
          <w:highlight w:val="none"/>
          <w:lang w:val="en-US" w:eastAsia="zh-CN"/>
        </w:rPr>
      </w:pPr>
    </w:p>
    <w:p w14:paraId="3635D77F">
      <w:pPr>
        <w:outlineLvl w:val="9"/>
        <w:rPr>
          <w:rFonts w:hint="eastAsia"/>
          <w:highlight w:val="none"/>
          <w:lang w:val="en-US" w:eastAsia="zh-CN"/>
        </w:rPr>
      </w:pPr>
    </w:p>
    <w:p w14:paraId="1E41E6F1">
      <w:pPr>
        <w:rPr>
          <w:rFonts w:hint="eastAsia" w:ascii="宋体" w:hAnsi="宋体" w:cs="Times New Roman"/>
          <w:b/>
          <w:bCs/>
          <w:color w:val="auto"/>
          <w:szCs w:val="21"/>
          <w:highlight w:val="none"/>
          <w:lang w:val="en-US" w:eastAsia="zh-CN"/>
        </w:rPr>
      </w:pPr>
    </w:p>
    <w:p w14:paraId="3D201DC7">
      <w:pPr>
        <w:rPr>
          <w:rFonts w:hint="eastAsia" w:ascii="宋体" w:hAnsi="宋体" w:cs="Times New Roman"/>
          <w:b/>
          <w:bCs/>
          <w:color w:val="auto"/>
          <w:szCs w:val="21"/>
          <w:highlight w:val="none"/>
          <w:lang w:val="en-US" w:eastAsia="zh-CN"/>
        </w:rPr>
      </w:pPr>
    </w:p>
    <w:p w14:paraId="27CE0EB6">
      <w:pPr>
        <w:rPr>
          <w:rFonts w:hint="eastAsia" w:ascii="宋体" w:hAnsi="宋体" w:cs="Times New Roman"/>
          <w:b/>
          <w:bCs/>
          <w:color w:val="auto"/>
          <w:szCs w:val="21"/>
          <w:highlight w:val="none"/>
          <w:lang w:val="en-US" w:eastAsia="zh-CN"/>
        </w:rPr>
      </w:pPr>
    </w:p>
    <w:p w14:paraId="59C52C0A">
      <w:pPr>
        <w:rPr>
          <w:rFonts w:hint="eastAsia" w:ascii="宋体" w:hAnsi="宋体" w:cs="Times New Roman"/>
          <w:b/>
          <w:bCs/>
          <w:color w:val="auto"/>
          <w:szCs w:val="21"/>
          <w:highlight w:val="none"/>
          <w:lang w:val="en-US" w:eastAsia="zh-CN"/>
        </w:rPr>
      </w:pPr>
    </w:p>
    <w:p w14:paraId="512BEA9B">
      <w:pPr>
        <w:rPr>
          <w:rFonts w:hint="eastAsia" w:ascii="宋体" w:hAnsi="宋体" w:cs="Times New Roman"/>
          <w:b/>
          <w:bCs/>
          <w:color w:val="auto"/>
          <w:szCs w:val="21"/>
          <w:highlight w:val="none"/>
          <w:lang w:val="en-US" w:eastAsia="zh-CN"/>
        </w:rPr>
      </w:pPr>
    </w:p>
    <w:p w14:paraId="2CDFA376">
      <w:pPr>
        <w:rPr>
          <w:rFonts w:hint="eastAsia" w:ascii="宋体" w:hAnsi="宋体" w:cs="Times New Roman"/>
          <w:b/>
          <w:bCs/>
          <w:color w:val="auto"/>
          <w:szCs w:val="21"/>
          <w:highlight w:val="none"/>
          <w:lang w:val="en-US" w:eastAsia="zh-CN"/>
        </w:rPr>
      </w:pPr>
    </w:p>
    <w:p w14:paraId="0FFEB0DC">
      <w:pPr>
        <w:rPr>
          <w:rFonts w:hint="default" w:ascii="宋体" w:hAnsi="宋体" w:eastAsia="宋体" w:cs="Times New Roman"/>
          <w:b/>
          <w:bCs/>
          <w:color w:val="auto"/>
          <w:szCs w:val="21"/>
          <w:highlight w:val="none"/>
          <w:lang w:val="en-US" w:eastAsia="zh-CN"/>
        </w:rPr>
      </w:pPr>
      <w:r>
        <w:rPr>
          <w:rFonts w:hint="eastAsia" w:ascii="宋体" w:hAnsi="宋体" w:cs="Times New Roman"/>
          <w:b/>
          <w:bCs/>
          <w:color w:val="auto"/>
          <w:szCs w:val="21"/>
          <w:highlight w:val="none"/>
          <w:lang w:val="en-US" w:eastAsia="zh-CN"/>
        </w:rPr>
        <w:t>D包：莞惠区域（厢车）</w:t>
      </w:r>
    </w:p>
    <w:tbl>
      <w:tblPr>
        <w:tblStyle w:val="28"/>
        <w:tblW w:w="8950" w:type="dxa"/>
        <w:tblInd w:w="98"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632"/>
        <w:gridCol w:w="2570"/>
        <w:gridCol w:w="1391"/>
        <w:gridCol w:w="1391"/>
        <w:gridCol w:w="1391"/>
        <w:gridCol w:w="1575"/>
      </w:tblGrid>
      <w:tr w14:paraId="311023F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91" w:hRule="atLeast"/>
        </w:trPr>
        <w:tc>
          <w:tcPr>
            <w:tcW w:w="587" w:type="dxa"/>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5CEA793">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区域</w:t>
            </w:r>
          </w:p>
        </w:tc>
        <w:tc>
          <w:tcPr>
            <w:tcW w:w="2389" w:type="dxa"/>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D7EB50D">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报价区域</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45E0A26">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5.2米厢车</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E698489">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7.6米厢车</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821FD3A">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9.6米厢车</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010D990">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12.5米厢车</w:t>
            </w:r>
          </w:p>
        </w:tc>
      </w:tr>
      <w:tr w14:paraId="361D233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84"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07F227C">
            <w:pPr>
              <w:jc w:val="center"/>
              <w:rPr>
                <w:rFonts w:hint="eastAsia" w:ascii="宋体" w:hAnsi="宋体" w:eastAsia="宋体" w:cs="宋体"/>
                <w:b/>
                <w:bCs/>
                <w:i w:val="0"/>
                <w:iCs w:val="0"/>
                <w:color w:val="000000"/>
                <w:sz w:val="18"/>
                <w:szCs w:val="18"/>
                <w:highlight w:val="none"/>
                <w:u w:val="none"/>
              </w:rPr>
            </w:pPr>
          </w:p>
        </w:tc>
        <w:tc>
          <w:tcPr>
            <w:tcW w:w="2389"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8E179E4">
            <w:pPr>
              <w:jc w:val="center"/>
              <w:rPr>
                <w:rFonts w:hint="eastAsia" w:ascii="宋体" w:hAnsi="宋体" w:eastAsia="宋体" w:cs="宋体"/>
                <w:b/>
                <w:bCs/>
                <w:i w:val="0"/>
                <w:iCs w:val="0"/>
                <w:color w:val="000000"/>
                <w:sz w:val="18"/>
                <w:szCs w:val="18"/>
                <w:highlight w:val="none"/>
                <w:u w:val="none"/>
              </w:rPr>
            </w:pPr>
          </w:p>
        </w:tc>
        <w:tc>
          <w:tcPr>
            <w:tcW w:w="129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2F747D9">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预计1年</w:t>
            </w:r>
            <w:r>
              <w:rPr>
                <w:rFonts w:hint="eastAsia" w:ascii="宋体" w:hAnsi="宋体" w:eastAsia="宋体" w:cs="宋体"/>
                <w:b/>
                <w:bCs/>
                <w:i w:val="0"/>
                <w:iCs w:val="0"/>
                <w:color w:val="000000"/>
                <w:kern w:val="0"/>
                <w:sz w:val="18"/>
                <w:szCs w:val="18"/>
                <w:highlight w:val="none"/>
                <w:u w:val="none"/>
                <w:lang w:val="en-US" w:eastAsia="zh-CN" w:bidi="ar"/>
              </w:rPr>
              <w:br w:type="textWrapping"/>
            </w:r>
            <w:r>
              <w:rPr>
                <w:rFonts w:hint="eastAsia" w:ascii="宋体" w:hAnsi="宋体" w:eastAsia="宋体" w:cs="宋体"/>
                <w:b/>
                <w:bCs/>
                <w:i w:val="0"/>
                <w:iCs w:val="0"/>
                <w:color w:val="000000"/>
                <w:kern w:val="0"/>
                <w:sz w:val="18"/>
                <w:szCs w:val="18"/>
                <w:highlight w:val="none"/>
                <w:u w:val="none"/>
                <w:lang w:val="en-US" w:eastAsia="zh-CN" w:bidi="ar"/>
              </w:rPr>
              <w:t>车次</w:t>
            </w:r>
          </w:p>
        </w:tc>
        <w:tc>
          <w:tcPr>
            <w:tcW w:w="129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B98E4F4">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预计1年</w:t>
            </w:r>
            <w:r>
              <w:rPr>
                <w:rFonts w:hint="eastAsia" w:ascii="宋体" w:hAnsi="宋体" w:eastAsia="宋体" w:cs="宋体"/>
                <w:b/>
                <w:bCs/>
                <w:i w:val="0"/>
                <w:iCs w:val="0"/>
                <w:color w:val="000000"/>
                <w:kern w:val="0"/>
                <w:sz w:val="18"/>
                <w:szCs w:val="18"/>
                <w:highlight w:val="none"/>
                <w:u w:val="none"/>
                <w:lang w:val="en-US" w:eastAsia="zh-CN" w:bidi="ar"/>
              </w:rPr>
              <w:br w:type="textWrapping"/>
            </w:r>
            <w:r>
              <w:rPr>
                <w:rFonts w:hint="eastAsia" w:ascii="宋体" w:hAnsi="宋体" w:eastAsia="宋体" w:cs="宋体"/>
                <w:b/>
                <w:bCs/>
                <w:i w:val="0"/>
                <w:iCs w:val="0"/>
                <w:color w:val="000000"/>
                <w:kern w:val="0"/>
                <w:sz w:val="18"/>
                <w:szCs w:val="18"/>
                <w:highlight w:val="none"/>
                <w:u w:val="none"/>
                <w:lang w:val="en-US" w:eastAsia="zh-CN" w:bidi="ar"/>
              </w:rPr>
              <w:t>车次</w:t>
            </w:r>
          </w:p>
        </w:tc>
        <w:tc>
          <w:tcPr>
            <w:tcW w:w="129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51DFDEA">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预计1年</w:t>
            </w:r>
            <w:r>
              <w:rPr>
                <w:rFonts w:hint="eastAsia" w:ascii="宋体" w:hAnsi="宋体" w:eastAsia="宋体" w:cs="宋体"/>
                <w:b/>
                <w:bCs/>
                <w:i w:val="0"/>
                <w:iCs w:val="0"/>
                <w:color w:val="000000"/>
                <w:kern w:val="0"/>
                <w:sz w:val="18"/>
                <w:szCs w:val="18"/>
                <w:highlight w:val="none"/>
                <w:u w:val="none"/>
                <w:lang w:val="en-US" w:eastAsia="zh-CN" w:bidi="ar"/>
              </w:rPr>
              <w:br w:type="textWrapping"/>
            </w:r>
            <w:r>
              <w:rPr>
                <w:rFonts w:hint="eastAsia" w:ascii="宋体" w:hAnsi="宋体" w:eastAsia="宋体" w:cs="宋体"/>
                <w:b/>
                <w:bCs/>
                <w:i w:val="0"/>
                <w:iCs w:val="0"/>
                <w:color w:val="000000"/>
                <w:kern w:val="0"/>
                <w:sz w:val="18"/>
                <w:szCs w:val="18"/>
                <w:highlight w:val="none"/>
                <w:u w:val="none"/>
                <w:lang w:val="en-US" w:eastAsia="zh-CN" w:bidi="ar"/>
              </w:rPr>
              <w:t>车次</w:t>
            </w:r>
          </w:p>
        </w:tc>
        <w:tc>
          <w:tcPr>
            <w:tcW w:w="146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838574F">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预计1年</w:t>
            </w:r>
            <w:r>
              <w:rPr>
                <w:rFonts w:hint="eastAsia" w:ascii="宋体" w:hAnsi="宋体" w:eastAsia="宋体" w:cs="宋体"/>
                <w:b/>
                <w:bCs/>
                <w:i w:val="0"/>
                <w:iCs w:val="0"/>
                <w:color w:val="000000"/>
                <w:kern w:val="0"/>
                <w:sz w:val="18"/>
                <w:szCs w:val="18"/>
                <w:highlight w:val="none"/>
                <w:u w:val="none"/>
                <w:lang w:val="en-US" w:eastAsia="zh-CN" w:bidi="ar"/>
              </w:rPr>
              <w:br w:type="textWrapping"/>
            </w:r>
            <w:r>
              <w:rPr>
                <w:rFonts w:hint="eastAsia" w:ascii="宋体" w:hAnsi="宋体" w:eastAsia="宋体" w:cs="宋体"/>
                <w:b/>
                <w:bCs/>
                <w:i w:val="0"/>
                <w:iCs w:val="0"/>
                <w:color w:val="000000"/>
                <w:kern w:val="0"/>
                <w:sz w:val="18"/>
                <w:szCs w:val="18"/>
                <w:highlight w:val="none"/>
                <w:u w:val="none"/>
                <w:lang w:val="en-US" w:eastAsia="zh-CN" w:bidi="ar"/>
              </w:rPr>
              <w:t>车次</w:t>
            </w:r>
          </w:p>
        </w:tc>
      </w:tr>
      <w:tr w14:paraId="23A8824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357" w:hRule="atLeast"/>
        </w:trPr>
        <w:tc>
          <w:tcPr>
            <w:tcW w:w="587"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1CBBC69A">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中山</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88F91CE">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三角、民众、黄圃、南头、东凤、阜沙、南朗、港口、沙溪、沙朗、坦背、浪网、翠亨村、横门、东区、南区</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89E66CA">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4F113F6">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A3521B3">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24</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73ACB36">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r>
      <w:tr w14:paraId="5D61995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20"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4C9055B1">
            <w:pPr>
              <w:jc w:val="center"/>
              <w:rPr>
                <w:rFonts w:hint="eastAsia" w:ascii="宋体" w:hAnsi="宋体" w:eastAsia="宋体" w:cs="宋体"/>
                <w:i w:val="0"/>
                <w:iCs w:val="0"/>
                <w:color w:val="000000"/>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E32EB01">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东升、小榄、古镇、横栏、大涌、板芙、火炬、五桂山、石岐区、西区</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4CD1E1E">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FB2CB68">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54</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3AF7A81">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AD58A46">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35A562B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23190791">
            <w:pPr>
              <w:jc w:val="center"/>
              <w:rPr>
                <w:rFonts w:hint="eastAsia" w:ascii="宋体" w:hAnsi="宋体" w:eastAsia="宋体" w:cs="宋体"/>
                <w:i w:val="0"/>
                <w:iCs w:val="0"/>
                <w:color w:val="000000"/>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A44AF65">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三乡、神湾、坦洲</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CDFF517">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A63EF5A">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14</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D9E9B6B">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E3832BA">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r>
      <w:tr w14:paraId="6F48FFF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trPr>
        <w:tc>
          <w:tcPr>
            <w:tcW w:w="587"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36B3BD6B">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江门</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76DEE63">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鹤山、蓬江、江海、新会</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47A4947">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14</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0DB1A9F">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48</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693D383">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87</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6C94FA0">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34</w:t>
            </w:r>
          </w:p>
        </w:tc>
      </w:tr>
      <w:tr w14:paraId="0AEEA49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140862DE">
            <w:pPr>
              <w:jc w:val="center"/>
              <w:rPr>
                <w:rFonts w:hint="eastAsia" w:ascii="宋体" w:hAnsi="宋体" w:eastAsia="宋体" w:cs="宋体"/>
                <w:i w:val="0"/>
                <w:iCs w:val="0"/>
                <w:color w:val="000000"/>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5B992F0">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开平、台山</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900E0E4">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13BF5BF">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C207B09">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819670B">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w:t>
            </w:r>
          </w:p>
        </w:tc>
      </w:tr>
      <w:tr w14:paraId="682E468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13DC95D6">
            <w:pPr>
              <w:jc w:val="center"/>
              <w:rPr>
                <w:rFonts w:hint="eastAsia" w:ascii="宋体" w:hAnsi="宋体" w:eastAsia="宋体" w:cs="宋体"/>
                <w:i w:val="0"/>
                <w:iCs w:val="0"/>
                <w:color w:val="000000"/>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473073D">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恩平</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A50FACB">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9288345">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F831571">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5405A19">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r>
      <w:tr w14:paraId="0FB8751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trPr>
        <w:tc>
          <w:tcPr>
            <w:tcW w:w="587"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7BC82E40">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珠海</w:t>
            </w:r>
          </w:p>
        </w:tc>
        <w:tc>
          <w:tcPr>
            <w:tcW w:w="23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F4FB065">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香洲</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FB68E72">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A444CBB">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D10F89E">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D65AB99">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015675D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7DEB28DB">
            <w:pPr>
              <w:jc w:val="center"/>
              <w:rPr>
                <w:rFonts w:hint="eastAsia" w:ascii="宋体" w:hAnsi="宋体" w:eastAsia="宋体" w:cs="宋体"/>
                <w:i w:val="0"/>
                <w:iCs w:val="0"/>
                <w:color w:val="000000"/>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EE5DD9F">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高新区</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629758C">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D101740">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B0D90E7">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2A72EDA">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431D812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3811ACDE">
            <w:pPr>
              <w:jc w:val="center"/>
              <w:rPr>
                <w:rFonts w:hint="eastAsia" w:ascii="宋体" w:hAnsi="宋体" w:eastAsia="宋体" w:cs="宋体"/>
                <w:i w:val="0"/>
                <w:iCs w:val="0"/>
                <w:color w:val="000000"/>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F841B45">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金湾、横琴、保税区</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3169B19">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55A9B4B">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10</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C6930B1">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451DDAE">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10</w:t>
            </w:r>
          </w:p>
        </w:tc>
      </w:tr>
      <w:tr w14:paraId="1E4C565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60529268">
            <w:pPr>
              <w:jc w:val="center"/>
              <w:rPr>
                <w:rFonts w:hint="eastAsia" w:ascii="宋体" w:hAnsi="宋体" w:eastAsia="宋体" w:cs="宋体"/>
                <w:i w:val="0"/>
                <w:iCs w:val="0"/>
                <w:color w:val="000000"/>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CA4063E">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斗门</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59D7F0B">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C7F4771">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361F07D">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55733DC">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0</w:t>
            </w:r>
          </w:p>
        </w:tc>
      </w:tr>
      <w:tr w14:paraId="77AA450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trPr>
        <w:tc>
          <w:tcPr>
            <w:tcW w:w="587"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03C2CA19">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佛山</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B5731CB">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南海区、禅城区（部分限行）</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A9D1E7D">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18</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78470E0">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65</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057DF96">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C0881D6">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51</w:t>
            </w:r>
          </w:p>
        </w:tc>
      </w:tr>
      <w:tr w14:paraId="2A2D463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1A3BFBEB">
            <w:pPr>
              <w:jc w:val="center"/>
              <w:rPr>
                <w:rFonts w:hint="eastAsia" w:ascii="宋体" w:hAnsi="宋体" w:eastAsia="宋体" w:cs="宋体"/>
                <w:i w:val="0"/>
                <w:iCs w:val="0"/>
                <w:color w:val="000000"/>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A1F96A6">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顺德区</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214C952">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E3E7937">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9CA4923">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CE54524">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4BEA2DB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37135156">
            <w:pPr>
              <w:jc w:val="center"/>
              <w:rPr>
                <w:rFonts w:hint="eastAsia" w:ascii="宋体" w:hAnsi="宋体" w:eastAsia="宋体" w:cs="宋体"/>
                <w:i w:val="0"/>
                <w:iCs w:val="0"/>
                <w:color w:val="000000"/>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EA7FA58">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高明区、三水区</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2AB4615">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B7FEA22">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18F7E7E">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5103694">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7DAE8C8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trPr>
        <w:tc>
          <w:tcPr>
            <w:tcW w:w="587"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18D1D9A7">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肇庆</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B862A5C">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四会、鼎湖、端州、高要</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29E5930">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97689C6">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9E6B0AE">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2690436">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14</w:t>
            </w:r>
          </w:p>
        </w:tc>
      </w:tr>
      <w:tr w14:paraId="0C5B035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84"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4F88CAB4">
            <w:pPr>
              <w:jc w:val="center"/>
              <w:rPr>
                <w:rFonts w:hint="eastAsia" w:ascii="宋体" w:hAnsi="宋体" w:eastAsia="宋体" w:cs="宋体"/>
                <w:i w:val="0"/>
                <w:iCs w:val="0"/>
                <w:color w:val="000000"/>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64C963C">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广宁县、德庆县、怀集县、封开县</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9E0FD83">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B320D94">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F1AC9EF">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2418359">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7AF355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84" w:hRule="atLeast"/>
        </w:trPr>
        <w:tc>
          <w:tcPr>
            <w:tcW w:w="58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0C16AD1">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云浮</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9B6EFA5">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新兴县、云城区、云安区、罗定市、郁南县</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C8AB661">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F8532A7">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05ED450">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14319BA">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24357DC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84" w:hRule="atLeast"/>
        </w:trPr>
        <w:tc>
          <w:tcPr>
            <w:tcW w:w="58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43AA072">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阳江</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3BE762B">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阳东区、江城区、阳春市、阳西县</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EB45AD5">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FE0D934">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10</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90C1211">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BCE877C">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350D535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84" w:hRule="atLeast"/>
        </w:trPr>
        <w:tc>
          <w:tcPr>
            <w:tcW w:w="58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4337B1B">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茂名</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F936A4A">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茂南区、电白区、高州市、信宜市、化州市</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23F4B9B">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71151DE">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C696D25">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9C4819B">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r>
      <w:tr w14:paraId="2E5E1FE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20" w:hRule="atLeast"/>
        </w:trPr>
        <w:tc>
          <w:tcPr>
            <w:tcW w:w="58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A318A35">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湛江</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CE76636">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吴川市、麻章、霞山、坡头、赤坎、遂溪、廉江、雷州市、徐闻县</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C22C6C6">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61D8B34">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B2D51C3">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A4E039A">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7D19601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trPr>
        <w:tc>
          <w:tcPr>
            <w:tcW w:w="587"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2832029E">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清远</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4D8BB42">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佛冈、英德、清城区、清新区</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53EB78B">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3F7E050">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12</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C228356">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3DC28DF">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r>
      <w:tr w14:paraId="26CC78E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7675BB9C">
            <w:pPr>
              <w:jc w:val="center"/>
              <w:rPr>
                <w:rFonts w:hint="eastAsia" w:ascii="宋体" w:hAnsi="宋体" w:eastAsia="宋体" w:cs="宋体"/>
                <w:i w:val="0"/>
                <w:iCs w:val="0"/>
                <w:color w:val="000000"/>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9CF9BA9">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阳山、连州、连南、连山、</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FD89911">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B4E3B52">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26E1A19">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6FC0FA9">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11027CE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84" w:hRule="atLeast"/>
        </w:trPr>
        <w:tc>
          <w:tcPr>
            <w:tcW w:w="587"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5DBEAA1E">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韶关</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DAAFDBD">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信丰县、浈江、武江、曲江、翁源县</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8025A05">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965A74D">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C6B0790">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43C7188">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68B8BB7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84"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3BB8904B">
            <w:pPr>
              <w:jc w:val="center"/>
              <w:rPr>
                <w:rFonts w:hint="eastAsia" w:ascii="宋体" w:hAnsi="宋体" w:eastAsia="宋体" w:cs="宋体"/>
                <w:i w:val="0"/>
                <w:iCs w:val="0"/>
                <w:color w:val="000000"/>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9EED618">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乳源、始兴、南雄、仁化、乐昌</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DBDF291">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C6A709A">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10FC7C2">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8AE6100">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2246186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trPr>
        <w:tc>
          <w:tcPr>
            <w:tcW w:w="587"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06A3FFC9">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河源</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C831165">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源城区、东源县</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B528DF6">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56035DF">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26D1FEA">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14</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D185190">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6B5F535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84"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2E58CCB3">
            <w:pPr>
              <w:jc w:val="center"/>
              <w:rPr>
                <w:rFonts w:hint="eastAsia" w:ascii="宋体" w:hAnsi="宋体" w:eastAsia="宋体" w:cs="宋体"/>
                <w:i w:val="0"/>
                <w:iCs w:val="0"/>
                <w:color w:val="000000"/>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0C08FCD">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紫金县、连平县、和平县、龙川县</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40BD269">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FF677B4">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5450AD0">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05790BF">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6F4222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trPr>
        <w:tc>
          <w:tcPr>
            <w:tcW w:w="587"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51B1E971">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汕尾</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C825756">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海丰县、城区</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9594168">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3303B9E">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3C67226">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5C05DDE">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r>
      <w:tr w14:paraId="7E087CB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40161439">
            <w:pPr>
              <w:jc w:val="center"/>
              <w:rPr>
                <w:rFonts w:hint="eastAsia" w:ascii="宋体" w:hAnsi="宋体" w:eastAsia="宋体" w:cs="宋体"/>
                <w:i w:val="0"/>
                <w:iCs w:val="0"/>
                <w:color w:val="000000"/>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59B0BBA">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陆丰市、陆河县</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1F58BFE">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BEDB7AF">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7E5D609">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73E7B12">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66219D6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84" w:hRule="atLeast"/>
        </w:trPr>
        <w:tc>
          <w:tcPr>
            <w:tcW w:w="58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633BC50">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揭阳</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E8324BA">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揭西县、惠来县、普宁市、榕城区、揭东县</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E03FFCF">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C673986">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42104EC">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646E7F0">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5F65850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84" w:hRule="atLeast"/>
        </w:trPr>
        <w:tc>
          <w:tcPr>
            <w:tcW w:w="58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E71BA2B">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汕头</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F8D5757">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潮南区、朝阳区、金平区、龙湖区、澄海区、南澳县</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412E76D">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F161CB7">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FD82E26">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24</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F577282">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r>
      <w:tr w14:paraId="60A5302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trPr>
        <w:tc>
          <w:tcPr>
            <w:tcW w:w="587"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5CADC961">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梅州</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9BC0967">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五华县、兴宁市</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FBA7D94">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511535C">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B2AD1BB">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8B1B8E3">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557A6BF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84"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074B3A11">
            <w:pPr>
              <w:jc w:val="center"/>
              <w:rPr>
                <w:rFonts w:hint="eastAsia" w:ascii="宋体" w:hAnsi="宋体" w:eastAsia="宋体" w:cs="宋体"/>
                <w:i w:val="0"/>
                <w:iCs w:val="0"/>
                <w:color w:val="000000"/>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4DD8ABE">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丰顺县、梅县、梅江区、蕉岭县、大埔县、平远县</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B51B5F4">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D7D0B0A">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BAA845C">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3B3639C">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5B9329E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1" w:hRule="atLeast"/>
        </w:trPr>
        <w:tc>
          <w:tcPr>
            <w:tcW w:w="58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64C03C0">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潮州</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AEF623F">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湘桥区、潮安区、饶平县</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769E19A">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FE95F43">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E2A4D01">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E589EC2">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bl>
    <w:p w14:paraId="285B648A">
      <w:pPr>
        <w:adjustRightInd/>
        <w:snapToGrid/>
        <w:spacing w:line="360" w:lineRule="exact"/>
        <w:rPr>
          <w:rFonts w:hint="eastAsia" w:ascii="宋体" w:hAnsi="宋体" w:cs="Times New Roman"/>
          <w:b/>
          <w:bCs/>
          <w:color w:val="auto"/>
          <w:szCs w:val="21"/>
          <w:highlight w:val="none"/>
          <w:lang w:val="en-US" w:eastAsia="zh-CN"/>
        </w:rPr>
      </w:pPr>
    </w:p>
    <w:p w14:paraId="1427895D">
      <w:pPr>
        <w:adjustRightInd/>
        <w:snapToGrid/>
        <w:spacing w:line="360" w:lineRule="exact"/>
        <w:rPr>
          <w:rFonts w:hint="eastAsia" w:ascii="宋体" w:hAnsi="宋体" w:cs="Times New Roman"/>
          <w:b/>
          <w:bCs/>
          <w:color w:val="auto"/>
          <w:szCs w:val="21"/>
          <w:highlight w:val="none"/>
          <w:lang w:val="en-US" w:eastAsia="zh-CN"/>
        </w:rPr>
      </w:pPr>
    </w:p>
    <w:p w14:paraId="618D7A6A">
      <w:pPr>
        <w:adjustRightInd/>
        <w:snapToGrid/>
        <w:spacing w:line="360" w:lineRule="exact"/>
        <w:rPr>
          <w:rFonts w:hint="eastAsia" w:ascii="宋体" w:hAnsi="宋体" w:cs="Times New Roman"/>
          <w:b/>
          <w:bCs/>
          <w:color w:val="auto"/>
          <w:szCs w:val="21"/>
          <w:highlight w:val="none"/>
          <w:lang w:val="en-US" w:eastAsia="zh-CN"/>
        </w:rPr>
      </w:pPr>
    </w:p>
    <w:p w14:paraId="78A000E3">
      <w:pPr>
        <w:adjustRightInd/>
        <w:snapToGrid/>
        <w:spacing w:line="360" w:lineRule="exact"/>
        <w:rPr>
          <w:rFonts w:hint="eastAsia" w:ascii="宋体" w:hAnsi="宋体" w:cs="Times New Roman"/>
          <w:b/>
          <w:bCs/>
          <w:color w:val="auto"/>
          <w:szCs w:val="21"/>
          <w:highlight w:val="none"/>
          <w:lang w:val="en-US" w:eastAsia="zh-CN"/>
        </w:rPr>
      </w:pPr>
    </w:p>
    <w:p w14:paraId="05CDF9A4">
      <w:pPr>
        <w:adjustRightInd/>
        <w:snapToGrid/>
        <w:spacing w:line="360" w:lineRule="exact"/>
        <w:rPr>
          <w:rFonts w:hint="eastAsia" w:ascii="宋体" w:hAnsi="宋体" w:cs="Times New Roman"/>
          <w:b/>
          <w:bCs/>
          <w:color w:val="auto"/>
          <w:szCs w:val="21"/>
          <w:highlight w:val="none"/>
          <w:lang w:val="en-US" w:eastAsia="zh-CN"/>
        </w:rPr>
      </w:pPr>
    </w:p>
    <w:p w14:paraId="59ABE41B">
      <w:pPr>
        <w:adjustRightInd/>
        <w:snapToGrid/>
        <w:spacing w:line="360" w:lineRule="exact"/>
        <w:rPr>
          <w:rFonts w:hint="eastAsia" w:ascii="宋体" w:hAnsi="宋体" w:cs="Times New Roman"/>
          <w:b/>
          <w:bCs/>
          <w:color w:val="auto"/>
          <w:szCs w:val="21"/>
          <w:highlight w:val="none"/>
          <w:lang w:val="en-US" w:eastAsia="zh-CN"/>
        </w:rPr>
      </w:pPr>
    </w:p>
    <w:p w14:paraId="5E421A37">
      <w:pPr>
        <w:adjustRightInd/>
        <w:snapToGrid/>
        <w:spacing w:line="360" w:lineRule="exact"/>
        <w:rPr>
          <w:rFonts w:hint="eastAsia" w:ascii="宋体" w:hAnsi="宋体" w:cs="Times New Roman"/>
          <w:b/>
          <w:bCs/>
          <w:color w:val="auto"/>
          <w:szCs w:val="21"/>
          <w:highlight w:val="none"/>
          <w:lang w:val="en-US" w:eastAsia="zh-CN"/>
        </w:rPr>
      </w:pPr>
    </w:p>
    <w:p w14:paraId="56D14F9B">
      <w:pPr>
        <w:adjustRightInd/>
        <w:snapToGrid/>
        <w:spacing w:line="360" w:lineRule="exact"/>
        <w:rPr>
          <w:rFonts w:hint="eastAsia" w:ascii="宋体" w:hAnsi="宋体" w:cs="Times New Roman"/>
          <w:b/>
          <w:bCs/>
          <w:color w:val="auto"/>
          <w:szCs w:val="21"/>
          <w:highlight w:val="none"/>
          <w:lang w:val="en-US" w:eastAsia="zh-CN"/>
        </w:rPr>
      </w:pPr>
    </w:p>
    <w:p w14:paraId="7673F092">
      <w:pPr>
        <w:adjustRightInd/>
        <w:snapToGrid/>
        <w:spacing w:line="360" w:lineRule="exact"/>
        <w:rPr>
          <w:rFonts w:hint="eastAsia" w:ascii="宋体" w:hAnsi="宋体" w:cs="Times New Roman"/>
          <w:b/>
          <w:bCs/>
          <w:color w:val="auto"/>
          <w:szCs w:val="21"/>
          <w:highlight w:val="none"/>
          <w:lang w:val="en-US" w:eastAsia="zh-CN"/>
        </w:rPr>
      </w:pPr>
    </w:p>
    <w:p w14:paraId="218227F3">
      <w:pPr>
        <w:adjustRightInd/>
        <w:snapToGrid/>
        <w:spacing w:line="360" w:lineRule="exact"/>
        <w:rPr>
          <w:rFonts w:hint="eastAsia" w:ascii="宋体" w:hAnsi="宋体" w:cs="Times New Roman"/>
          <w:b/>
          <w:bCs/>
          <w:color w:val="auto"/>
          <w:szCs w:val="21"/>
          <w:highlight w:val="none"/>
          <w:lang w:val="en-US" w:eastAsia="zh-CN"/>
        </w:rPr>
      </w:pPr>
    </w:p>
    <w:p w14:paraId="57DAF0B7">
      <w:pPr>
        <w:adjustRightInd/>
        <w:snapToGrid/>
        <w:spacing w:line="360" w:lineRule="exact"/>
        <w:rPr>
          <w:rFonts w:hint="eastAsia" w:ascii="宋体" w:hAnsi="宋体" w:cs="Times New Roman"/>
          <w:b/>
          <w:bCs/>
          <w:color w:val="auto"/>
          <w:szCs w:val="21"/>
          <w:highlight w:val="none"/>
          <w:lang w:val="en-US" w:eastAsia="zh-CN"/>
        </w:rPr>
      </w:pPr>
    </w:p>
    <w:p w14:paraId="163674AB">
      <w:pPr>
        <w:adjustRightInd/>
        <w:snapToGrid/>
        <w:spacing w:line="360" w:lineRule="exact"/>
        <w:rPr>
          <w:rFonts w:hint="eastAsia" w:ascii="宋体" w:hAnsi="宋体" w:cs="Times New Roman"/>
          <w:b/>
          <w:bCs/>
          <w:color w:val="auto"/>
          <w:szCs w:val="21"/>
          <w:highlight w:val="none"/>
          <w:lang w:val="en-US" w:eastAsia="zh-CN"/>
        </w:rPr>
      </w:pPr>
    </w:p>
    <w:p w14:paraId="7D4EAAAB">
      <w:pPr>
        <w:adjustRightInd/>
        <w:snapToGrid/>
        <w:spacing w:line="360" w:lineRule="exact"/>
        <w:rPr>
          <w:rFonts w:hint="eastAsia" w:ascii="宋体" w:hAnsi="宋体" w:cs="Times New Roman"/>
          <w:b/>
          <w:bCs/>
          <w:color w:val="auto"/>
          <w:szCs w:val="21"/>
          <w:highlight w:val="none"/>
          <w:lang w:val="en-US" w:eastAsia="zh-CN"/>
        </w:rPr>
      </w:pPr>
    </w:p>
    <w:p w14:paraId="4572FB32">
      <w:pPr>
        <w:adjustRightInd/>
        <w:snapToGrid/>
        <w:spacing w:line="360" w:lineRule="exact"/>
        <w:rPr>
          <w:rFonts w:hint="eastAsia" w:ascii="宋体" w:hAnsi="宋体" w:cs="Times New Roman"/>
          <w:b/>
          <w:bCs/>
          <w:color w:val="auto"/>
          <w:szCs w:val="21"/>
          <w:highlight w:val="none"/>
          <w:lang w:val="en-US" w:eastAsia="zh-CN"/>
        </w:rPr>
      </w:pPr>
    </w:p>
    <w:p w14:paraId="14663083">
      <w:pPr>
        <w:adjustRightInd/>
        <w:snapToGrid/>
        <w:spacing w:line="360" w:lineRule="exact"/>
        <w:rPr>
          <w:rFonts w:hint="eastAsia" w:ascii="宋体" w:hAnsi="宋体" w:cs="Times New Roman"/>
          <w:b/>
          <w:bCs/>
          <w:color w:val="auto"/>
          <w:szCs w:val="21"/>
          <w:highlight w:val="none"/>
          <w:lang w:val="en-US" w:eastAsia="zh-CN"/>
        </w:rPr>
      </w:pPr>
      <w:r>
        <w:rPr>
          <w:rFonts w:hint="eastAsia" w:ascii="宋体" w:hAnsi="宋体" w:cs="Times New Roman"/>
          <w:b/>
          <w:bCs/>
          <w:color w:val="auto"/>
          <w:szCs w:val="21"/>
          <w:highlight w:val="none"/>
          <w:lang w:val="en-US" w:eastAsia="zh-CN"/>
        </w:rPr>
        <w:t>E包：广东省全域（槽车）</w:t>
      </w:r>
    </w:p>
    <w:tbl>
      <w:tblPr>
        <w:tblStyle w:val="28"/>
        <w:tblW w:w="8380" w:type="dxa"/>
        <w:tblInd w:w="98"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652"/>
        <w:gridCol w:w="4604"/>
        <w:gridCol w:w="1458"/>
        <w:gridCol w:w="1565"/>
      </w:tblGrid>
      <w:tr w14:paraId="1B29A66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3" w:hRule="atLeast"/>
        </w:trPr>
        <w:tc>
          <w:tcPr>
            <w:tcW w:w="652"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54BEFD79">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地点</w:t>
            </w:r>
          </w:p>
        </w:tc>
        <w:tc>
          <w:tcPr>
            <w:tcW w:w="4604" w:type="dxa"/>
            <w:vMerge w:val="restart"/>
            <w:tcBorders>
              <w:top w:val="single" w:color="000000" w:sz="4" w:space="0"/>
              <w:left w:val="single" w:color="000000" w:sz="4" w:space="0"/>
              <w:bottom w:val="single" w:color="000000" w:sz="4" w:space="0"/>
              <w:right w:val="nil"/>
            </w:tcBorders>
            <w:shd w:val="clear" w:color="auto" w:fill="FFFFFF"/>
            <w:noWrap/>
            <w:vAlign w:val="center"/>
          </w:tcPr>
          <w:p w14:paraId="46F66B0A">
            <w:pPr>
              <w:keepNext w:val="0"/>
              <w:keepLines w:val="0"/>
              <w:widowControl/>
              <w:suppressLineNumbers w:val="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报价区域</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9D9F54A">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18方槽车</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8BDB71D">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30方槽车</w:t>
            </w:r>
          </w:p>
        </w:tc>
      </w:tr>
      <w:tr w14:paraId="564E276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00" w:hRule="atLeast"/>
        </w:trPr>
        <w:tc>
          <w:tcPr>
            <w:tcW w:w="652"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3F80867B">
            <w:pPr>
              <w:jc w:val="center"/>
              <w:rPr>
                <w:rFonts w:hint="eastAsia" w:ascii="宋体" w:hAnsi="宋体" w:eastAsia="宋体" w:cs="宋体"/>
                <w:b/>
                <w:bCs/>
                <w:i w:val="0"/>
                <w:iCs w:val="0"/>
                <w:color w:val="000000"/>
                <w:sz w:val="18"/>
                <w:szCs w:val="18"/>
                <w:highlight w:val="none"/>
                <w:u w:val="none"/>
              </w:rPr>
            </w:pPr>
          </w:p>
        </w:tc>
        <w:tc>
          <w:tcPr>
            <w:tcW w:w="4604" w:type="dxa"/>
            <w:vMerge w:val="continue"/>
            <w:tcBorders>
              <w:top w:val="single" w:color="000000" w:sz="4" w:space="0"/>
              <w:left w:val="single" w:color="000000" w:sz="4" w:space="0"/>
              <w:bottom w:val="single" w:color="000000" w:sz="4" w:space="0"/>
              <w:right w:val="nil"/>
            </w:tcBorders>
            <w:shd w:val="clear" w:color="auto" w:fill="FFFFFF"/>
            <w:noWrap/>
            <w:vAlign w:val="center"/>
          </w:tcPr>
          <w:p w14:paraId="57E15C2C">
            <w:pPr>
              <w:jc w:val="center"/>
              <w:rPr>
                <w:rFonts w:hint="eastAsia" w:ascii="宋体" w:hAnsi="宋体" w:eastAsia="宋体" w:cs="宋体"/>
                <w:b/>
                <w:bCs/>
                <w:i w:val="0"/>
                <w:iCs w:val="0"/>
                <w:color w:val="000000"/>
                <w:sz w:val="22"/>
                <w:szCs w:val="22"/>
                <w:highlight w:val="none"/>
                <w:u w:val="none"/>
              </w:rPr>
            </w:pPr>
          </w:p>
        </w:tc>
        <w:tc>
          <w:tcPr>
            <w:tcW w:w="145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68DF29C">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预计1年</w:t>
            </w:r>
            <w:r>
              <w:rPr>
                <w:rFonts w:hint="eastAsia" w:ascii="宋体" w:hAnsi="宋体" w:eastAsia="宋体" w:cs="宋体"/>
                <w:b/>
                <w:bCs/>
                <w:i w:val="0"/>
                <w:iCs w:val="0"/>
                <w:color w:val="000000"/>
                <w:kern w:val="0"/>
                <w:sz w:val="18"/>
                <w:szCs w:val="18"/>
                <w:highlight w:val="none"/>
                <w:u w:val="none"/>
                <w:lang w:val="en-US" w:eastAsia="zh-CN" w:bidi="ar"/>
              </w:rPr>
              <w:br w:type="textWrapping"/>
            </w:r>
            <w:r>
              <w:rPr>
                <w:rFonts w:hint="eastAsia" w:ascii="宋体" w:hAnsi="宋体" w:eastAsia="宋体" w:cs="宋体"/>
                <w:b/>
                <w:bCs/>
                <w:i w:val="0"/>
                <w:iCs w:val="0"/>
                <w:color w:val="000000"/>
                <w:kern w:val="0"/>
                <w:sz w:val="18"/>
                <w:szCs w:val="18"/>
                <w:highlight w:val="none"/>
                <w:u w:val="none"/>
                <w:lang w:val="en-US" w:eastAsia="zh-CN" w:bidi="ar"/>
              </w:rPr>
              <w:t>车次</w:t>
            </w:r>
          </w:p>
        </w:tc>
        <w:tc>
          <w:tcPr>
            <w:tcW w:w="156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5B729DD">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预计1年</w:t>
            </w:r>
            <w:r>
              <w:rPr>
                <w:rFonts w:hint="eastAsia" w:ascii="宋体" w:hAnsi="宋体" w:eastAsia="宋体" w:cs="宋体"/>
                <w:b/>
                <w:bCs/>
                <w:i w:val="0"/>
                <w:iCs w:val="0"/>
                <w:color w:val="000000"/>
                <w:kern w:val="0"/>
                <w:sz w:val="18"/>
                <w:szCs w:val="18"/>
                <w:highlight w:val="none"/>
                <w:u w:val="none"/>
                <w:lang w:val="en-US" w:eastAsia="zh-CN" w:bidi="ar"/>
              </w:rPr>
              <w:br w:type="textWrapping"/>
            </w:r>
            <w:r>
              <w:rPr>
                <w:rFonts w:hint="eastAsia" w:ascii="宋体" w:hAnsi="宋体" w:eastAsia="宋体" w:cs="宋体"/>
                <w:b/>
                <w:bCs/>
                <w:i w:val="0"/>
                <w:iCs w:val="0"/>
                <w:color w:val="000000"/>
                <w:kern w:val="0"/>
                <w:sz w:val="18"/>
                <w:szCs w:val="18"/>
                <w:highlight w:val="none"/>
                <w:u w:val="none"/>
                <w:lang w:val="en-US" w:eastAsia="zh-CN" w:bidi="ar"/>
              </w:rPr>
              <w:t>车次</w:t>
            </w:r>
          </w:p>
        </w:tc>
      </w:tr>
      <w:tr w14:paraId="73E8124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03" w:hRule="atLeast"/>
        </w:trPr>
        <w:tc>
          <w:tcPr>
            <w:tcW w:w="652"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699185AE">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广州</w:t>
            </w: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54B51E2A">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黄埔、萝岗</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4913C58">
            <w:pPr>
              <w:keepNext w:val="0"/>
              <w:keepLines w:val="0"/>
              <w:widowControl/>
              <w:suppressLineNumbers w:val="0"/>
              <w:jc w:val="center"/>
              <w:textAlignment w:val="center"/>
              <w:rPr>
                <w:rFonts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17</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B9F62CC">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71</w:t>
            </w:r>
          </w:p>
        </w:tc>
      </w:tr>
      <w:tr w14:paraId="13E41E2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3" w:hRule="atLeast"/>
        </w:trPr>
        <w:tc>
          <w:tcPr>
            <w:tcW w:w="652"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32EF3CBB">
            <w:pPr>
              <w:jc w:val="center"/>
              <w:rPr>
                <w:rFonts w:hint="eastAsia" w:ascii="宋体" w:hAnsi="宋体" w:eastAsia="宋体" w:cs="宋体"/>
                <w:b/>
                <w:bCs/>
                <w:i w:val="0"/>
                <w:iCs w:val="0"/>
                <w:color w:val="000000"/>
                <w:sz w:val="18"/>
                <w:szCs w:val="18"/>
                <w:highlight w:val="none"/>
                <w:u w:val="none"/>
              </w:rPr>
            </w:pP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57BBC288">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海珠、番禺、天河、荔湾、越秀、白云（限行区）</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2F0FA18">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229ED0E">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5</w:t>
            </w:r>
          </w:p>
        </w:tc>
      </w:tr>
      <w:tr w14:paraId="51E33A9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3" w:hRule="atLeast"/>
        </w:trPr>
        <w:tc>
          <w:tcPr>
            <w:tcW w:w="652"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5950042E">
            <w:pPr>
              <w:jc w:val="center"/>
              <w:rPr>
                <w:rFonts w:hint="eastAsia" w:ascii="宋体" w:hAnsi="宋体" w:eastAsia="宋体" w:cs="宋体"/>
                <w:b/>
                <w:bCs/>
                <w:i w:val="0"/>
                <w:iCs w:val="0"/>
                <w:color w:val="000000"/>
                <w:sz w:val="18"/>
                <w:szCs w:val="18"/>
                <w:highlight w:val="none"/>
                <w:u w:val="none"/>
              </w:rPr>
            </w:pP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1FCDB126">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增城、花都</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204AC68">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12</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17AB1D9">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9</w:t>
            </w:r>
          </w:p>
        </w:tc>
      </w:tr>
      <w:tr w14:paraId="36DA2AF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03" w:hRule="atLeast"/>
        </w:trPr>
        <w:tc>
          <w:tcPr>
            <w:tcW w:w="652"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21FD229D">
            <w:pPr>
              <w:jc w:val="center"/>
              <w:rPr>
                <w:rFonts w:hint="eastAsia" w:ascii="宋体" w:hAnsi="宋体" w:eastAsia="宋体" w:cs="宋体"/>
                <w:b/>
                <w:bCs/>
                <w:i w:val="0"/>
                <w:iCs w:val="0"/>
                <w:color w:val="000000"/>
                <w:sz w:val="18"/>
                <w:szCs w:val="18"/>
                <w:highlight w:val="none"/>
                <w:u w:val="none"/>
              </w:rPr>
            </w:pP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3C69DB84">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从化、南沙</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D64FE85">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4</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45DAB19">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41</w:t>
            </w:r>
          </w:p>
        </w:tc>
      </w:tr>
      <w:tr w14:paraId="73D40F6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3" w:hRule="atLeast"/>
        </w:trPr>
        <w:tc>
          <w:tcPr>
            <w:tcW w:w="652"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7E4780AF">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深圳</w:t>
            </w:r>
          </w:p>
        </w:tc>
        <w:tc>
          <w:tcPr>
            <w:tcW w:w="4604" w:type="dxa"/>
            <w:tcBorders>
              <w:top w:val="single" w:color="000000" w:sz="4" w:space="0"/>
              <w:left w:val="single" w:color="000000" w:sz="4" w:space="0"/>
              <w:bottom w:val="single" w:color="000000" w:sz="4" w:space="0"/>
              <w:right w:val="nil"/>
            </w:tcBorders>
            <w:shd w:val="clear" w:color="auto" w:fill="FFFFFF"/>
            <w:noWrap/>
            <w:vAlign w:val="center"/>
          </w:tcPr>
          <w:p w14:paraId="2C4859B2">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光明</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247D91B">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09C25C0">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r>
      <w:tr w14:paraId="6482ABD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3" w:hRule="atLeast"/>
        </w:trPr>
        <w:tc>
          <w:tcPr>
            <w:tcW w:w="652"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290255FD">
            <w:pPr>
              <w:jc w:val="center"/>
              <w:rPr>
                <w:rFonts w:hint="eastAsia" w:ascii="宋体" w:hAnsi="宋体" w:eastAsia="宋体" w:cs="宋体"/>
                <w:b/>
                <w:bCs/>
                <w:i w:val="0"/>
                <w:iCs w:val="0"/>
                <w:color w:val="000000"/>
                <w:sz w:val="18"/>
                <w:szCs w:val="18"/>
                <w:highlight w:val="none"/>
                <w:u w:val="none"/>
              </w:rPr>
            </w:pPr>
          </w:p>
        </w:tc>
        <w:tc>
          <w:tcPr>
            <w:tcW w:w="4604" w:type="dxa"/>
            <w:tcBorders>
              <w:top w:val="single" w:color="000000" w:sz="4" w:space="0"/>
              <w:left w:val="single" w:color="000000" w:sz="4" w:space="0"/>
              <w:bottom w:val="single" w:color="000000" w:sz="4" w:space="0"/>
              <w:right w:val="nil"/>
            </w:tcBorders>
            <w:shd w:val="clear" w:color="auto" w:fill="FFFFFF"/>
            <w:noWrap/>
            <w:vAlign w:val="center"/>
          </w:tcPr>
          <w:p w14:paraId="435FE118">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龙华、宝安</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84B9622">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1763D60">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r>
      <w:tr w14:paraId="0D37439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03" w:hRule="atLeast"/>
        </w:trPr>
        <w:tc>
          <w:tcPr>
            <w:tcW w:w="652"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4AEDF1B1">
            <w:pPr>
              <w:jc w:val="center"/>
              <w:rPr>
                <w:rFonts w:hint="eastAsia" w:ascii="宋体" w:hAnsi="宋体" w:eastAsia="宋体" w:cs="宋体"/>
                <w:b/>
                <w:bCs/>
                <w:i w:val="0"/>
                <w:iCs w:val="0"/>
                <w:color w:val="000000"/>
                <w:sz w:val="18"/>
                <w:szCs w:val="18"/>
                <w:highlight w:val="none"/>
                <w:u w:val="none"/>
              </w:rPr>
            </w:pPr>
          </w:p>
        </w:tc>
        <w:tc>
          <w:tcPr>
            <w:tcW w:w="4604" w:type="dxa"/>
            <w:tcBorders>
              <w:top w:val="single" w:color="000000" w:sz="4" w:space="0"/>
              <w:left w:val="single" w:color="000000" w:sz="4" w:space="0"/>
              <w:bottom w:val="single" w:color="000000" w:sz="4" w:space="0"/>
              <w:right w:val="nil"/>
            </w:tcBorders>
            <w:shd w:val="clear" w:color="auto" w:fill="FFFFFF"/>
            <w:noWrap/>
            <w:vAlign w:val="center"/>
          </w:tcPr>
          <w:p w14:paraId="794EF2A3">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南山区、福田区、罗湖区（限行）</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AC99F51">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3</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6A25A37">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5</w:t>
            </w:r>
          </w:p>
        </w:tc>
      </w:tr>
      <w:tr w14:paraId="4D67EFC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03" w:hRule="atLeast"/>
        </w:trPr>
        <w:tc>
          <w:tcPr>
            <w:tcW w:w="652"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7970A221">
            <w:pPr>
              <w:jc w:val="center"/>
              <w:rPr>
                <w:rFonts w:hint="eastAsia" w:ascii="宋体" w:hAnsi="宋体" w:eastAsia="宋体" w:cs="宋体"/>
                <w:b/>
                <w:bCs/>
                <w:i w:val="0"/>
                <w:iCs w:val="0"/>
                <w:color w:val="000000"/>
                <w:sz w:val="18"/>
                <w:szCs w:val="18"/>
                <w:highlight w:val="none"/>
                <w:u w:val="none"/>
              </w:rPr>
            </w:pPr>
          </w:p>
        </w:tc>
        <w:tc>
          <w:tcPr>
            <w:tcW w:w="4604" w:type="dxa"/>
            <w:tcBorders>
              <w:top w:val="single" w:color="000000" w:sz="4" w:space="0"/>
              <w:left w:val="single" w:color="000000" w:sz="4" w:space="0"/>
              <w:bottom w:val="single" w:color="000000" w:sz="4" w:space="0"/>
              <w:right w:val="nil"/>
            </w:tcBorders>
            <w:shd w:val="clear" w:color="auto" w:fill="FFFFFF"/>
            <w:noWrap/>
            <w:vAlign w:val="center"/>
          </w:tcPr>
          <w:p w14:paraId="1D9F55C9">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龙岗区、坪山区（部分限行）</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A93CF54">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8</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9E34197">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11</w:t>
            </w:r>
          </w:p>
        </w:tc>
      </w:tr>
      <w:tr w14:paraId="61129D9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03" w:hRule="atLeast"/>
        </w:trPr>
        <w:tc>
          <w:tcPr>
            <w:tcW w:w="652"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5D7DBD69">
            <w:pPr>
              <w:jc w:val="center"/>
              <w:rPr>
                <w:rFonts w:hint="eastAsia" w:ascii="宋体" w:hAnsi="宋体" w:eastAsia="宋体" w:cs="宋体"/>
                <w:b/>
                <w:bCs/>
                <w:i w:val="0"/>
                <w:iCs w:val="0"/>
                <w:color w:val="000000"/>
                <w:sz w:val="18"/>
                <w:szCs w:val="18"/>
                <w:highlight w:val="none"/>
                <w:u w:val="none"/>
              </w:rPr>
            </w:pPr>
          </w:p>
        </w:tc>
        <w:tc>
          <w:tcPr>
            <w:tcW w:w="4604" w:type="dxa"/>
            <w:tcBorders>
              <w:top w:val="single" w:color="000000" w:sz="4" w:space="0"/>
              <w:left w:val="single" w:color="000000" w:sz="4" w:space="0"/>
              <w:bottom w:val="single" w:color="000000" w:sz="4" w:space="0"/>
              <w:right w:val="nil"/>
            </w:tcBorders>
            <w:shd w:val="clear" w:color="auto" w:fill="FFFFFF"/>
            <w:noWrap/>
            <w:vAlign w:val="center"/>
          </w:tcPr>
          <w:p w14:paraId="79B42A1E">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盐田区（限行）</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85EBFDD">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5EE34FA">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r>
      <w:tr w14:paraId="6CE07BB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3" w:hRule="atLeast"/>
        </w:trPr>
        <w:tc>
          <w:tcPr>
            <w:tcW w:w="652"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7390C0D5">
            <w:pPr>
              <w:jc w:val="center"/>
              <w:rPr>
                <w:rFonts w:hint="eastAsia" w:ascii="宋体" w:hAnsi="宋体" w:eastAsia="宋体" w:cs="宋体"/>
                <w:b/>
                <w:bCs/>
                <w:i w:val="0"/>
                <w:iCs w:val="0"/>
                <w:color w:val="000000"/>
                <w:sz w:val="18"/>
                <w:szCs w:val="18"/>
                <w:highlight w:val="none"/>
                <w:u w:val="none"/>
              </w:rPr>
            </w:pP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6B2B2C45">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大鹏新区（限行）</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A9A5DD1">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BEA3037">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r>
      <w:tr w14:paraId="1AF5B54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3" w:hRule="atLeast"/>
        </w:trPr>
        <w:tc>
          <w:tcPr>
            <w:tcW w:w="652"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5762DD0A">
            <w:pPr>
              <w:jc w:val="center"/>
              <w:rPr>
                <w:rFonts w:hint="eastAsia" w:ascii="宋体" w:hAnsi="宋体" w:eastAsia="宋体" w:cs="宋体"/>
                <w:b/>
                <w:bCs/>
                <w:i w:val="0"/>
                <w:iCs w:val="0"/>
                <w:color w:val="000000"/>
                <w:sz w:val="18"/>
                <w:szCs w:val="18"/>
                <w:highlight w:val="none"/>
                <w:u w:val="none"/>
              </w:rPr>
            </w:pP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5A2590DF">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深汕合作区（位于汕尾）</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6459598">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4FDAE17">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r>
      <w:tr w14:paraId="20B90A8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3" w:hRule="atLeast"/>
        </w:trPr>
        <w:tc>
          <w:tcPr>
            <w:tcW w:w="652"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4BA6845C">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东莞</w:t>
            </w: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66D26B57">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洪梅、麻涌、望牛墩、道滘</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B3183E7">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1</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5595354">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2</w:t>
            </w:r>
          </w:p>
        </w:tc>
      </w:tr>
      <w:tr w14:paraId="141F1FE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3" w:hRule="atLeast"/>
        </w:trPr>
        <w:tc>
          <w:tcPr>
            <w:tcW w:w="652"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0E80632C">
            <w:pPr>
              <w:jc w:val="center"/>
              <w:rPr>
                <w:rFonts w:hint="eastAsia" w:ascii="宋体" w:hAnsi="宋体" w:eastAsia="宋体" w:cs="宋体"/>
                <w:b/>
                <w:bCs/>
                <w:i w:val="0"/>
                <w:iCs w:val="0"/>
                <w:color w:val="000000"/>
                <w:sz w:val="18"/>
                <w:szCs w:val="18"/>
                <w:highlight w:val="none"/>
                <w:u w:val="none"/>
              </w:rPr>
            </w:pP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385D231A">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莞城、东城、南城、万江（限行）</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C288C47">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1</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913B264">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1</w:t>
            </w:r>
          </w:p>
        </w:tc>
      </w:tr>
      <w:tr w14:paraId="0DF606B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00" w:hRule="atLeast"/>
        </w:trPr>
        <w:tc>
          <w:tcPr>
            <w:tcW w:w="652"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4507E49A">
            <w:pPr>
              <w:jc w:val="center"/>
              <w:rPr>
                <w:rFonts w:hint="eastAsia" w:ascii="宋体" w:hAnsi="宋体" w:eastAsia="宋体" w:cs="宋体"/>
                <w:b/>
                <w:bCs/>
                <w:i w:val="0"/>
                <w:iCs w:val="0"/>
                <w:color w:val="000000"/>
                <w:sz w:val="18"/>
                <w:szCs w:val="18"/>
                <w:highlight w:val="none"/>
                <w:u w:val="none"/>
              </w:rPr>
            </w:pP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4D45E703">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中堂、高埗、万江、厚街</w:t>
            </w:r>
            <w:r>
              <w:rPr>
                <w:rFonts w:hint="eastAsia" w:ascii="宋体" w:hAnsi="宋体" w:eastAsia="宋体" w:cs="宋体"/>
                <w:i w:val="0"/>
                <w:iCs w:val="0"/>
                <w:color w:val="000000"/>
                <w:kern w:val="0"/>
                <w:sz w:val="18"/>
                <w:szCs w:val="18"/>
                <w:highlight w:val="none"/>
                <w:u w:val="none"/>
                <w:lang w:val="en-US" w:eastAsia="zh-CN" w:bidi="ar"/>
              </w:rPr>
              <w:br w:type="textWrapping"/>
            </w:r>
            <w:r>
              <w:rPr>
                <w:rFonts w:hint="eastAsia" w:ascii="宋体" w:hAnsi="宋体" w:eastAsia="宋体" w:cs="宋体"/>
                <w:i w:val="0"/>
                <w:iCs w:val="0"/>
                <w:color w:val="000000"/>
                <w:kern w:val="0"/>
                <w:sz w:val="18"/>
                <w:szCs w:val="18"/>
                <w:highlight w:val="none"/>
                <w:u w:val="none"/>
                <w:lang w:val="en-US" w:eastAsia="zh-CN" w:bidi="ar"/>
              </w:rPr>
              <w:t>沙田</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6621AE0">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1</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2FFA4D7">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5</w:t>
            </w:r>
          </w:p>
        </w:tc>
      </w:tr>
      <w:tr w14:paraId="2D03F59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03" w:hRule="atLeast"/>
        </w:trPr>
        <w:tc>
          <w:tcPr>
            <w:tcW w:w="652"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07C3E7BD">
            <w:pPr>
              <w:jc w:val="center"/>
              <w:rPr>
                <w:rFonts w:hint="eastAsia" w:ascii="宋体" w:hAnsi="宋体" w:eastAsia="宋体" w:cs="宋体"/>
                <w:b/>
                <w:bCs/>
                <w:i w:val="0"/>
                <w:iCs w:val="0"/>
                <w:color w:val="000000"/>
                <w:sz w:val="18"/>
                <w:szCs w:val="18"/>
                <w:highlight w:val="none"/>
                <w:u w:val="none"/>
              </w:rPr>
            </w:pP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281A8089">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石碣、石龙、茶山</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D0D30CA">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1</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8392D17">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1</w:t>
            </w:r>
          </w:p>
        </w:tc>
      </w:tr>
      <w:tr w14:paraId="79691CA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3" w:hRule="atLeast"/>
        </w:trPr>
        <w:tc>
          <w:tcPr>
            <w:tcW w:w="652"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4F482D92">
            <w:pPr>
              <w:jc w:val="center"/>
              <w:rPr>
                <w:rFonts w:hint="eastAsia" w:ascii="宋体" w:hAnsi="宋体" w:eastAsia="宋体" w:cs="宋体"/>
                <w:b/>
                <w:bCs/>
                <w:i w:val="0"/>
                <w:iCs w:val="0"/>
                <w:color w:val="000000"/>
                <w:sz w:val="18"/>
                <w:szCs w:val="18"/>
                <w:highlight w:val="none"/>
                <w:u w:val="none"/>
              </w:rPr>
            </w:pP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7865DBCD">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石排、横沥、寮步、东坑</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93050D7">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1</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8E7F7FA">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9</w:t>
            </w:r>
          </w:p>
        </w:tc>
      </w:tr>
      <w:tr w14:paraId="0A2B191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03" w:hRule="atLeast"/>
        </w:trPr>
        <w:tc>
          <w:tcPr>
            <w:tcW w:w="652"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7A749A7B">
            <w:pPr>
              <w:jc w:val="center"/>
              <w:rPr>
                <w:rFonts w:hint="eastAsia" w:ascii="宋体" w:hAnsi="宋体" w:eastAsia="宋体" w:cs="宋体"/>
                <w:b/>
                <w:bCs/>
                <w:i w:val="0"/>
                <w:iCs w:val="0"/>
                <w:color w:val="000000"/>
                <w:sz w:val="18"/>
                <w:szCs w:val="18"/>
                <w:highlight w:val="none"/>
                <w:u w:val="none"/>
              </w:rPr>
            </w:pP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42BFED4D">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松山湖（限行）</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B0505A1">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2</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B2C8E38">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2</w:t>
            </w:r>
          </w:p>
        </w:tc>
      </w:tr>
      <w:tr w14:paraId="08A53E1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03" w:hRule="atLeast"/>
        </w:trPr>
        <w:tc>
          <w:tcPr>
            <w:tcW w:w="652"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2096F609">
            <w:pPr>
              <w:jc w:val="center"/>
              <w:rPr>
                <w:rFonts w:hint="eastAsia" w:ascii="宋体" w:hAnsi="宋体" w:eastAsia="宋体" w:cs="宋体"/>
                <w:b/>
                <w:bCs/>
                <w:i w:val="0"/>
                <w:iCs w:val="0"/>
                <w:color w:val="000000"/>
                <w:sz w:val="18"/>
                <w:szCs w:val="18"/>
                <w:highlight w:val="none"/>
                <w:u w:val="none"/>
              </w:rPr>
            </w:pP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55A39A51">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大岭山、虎门、长安</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CFF3746">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6</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D98380F">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2</w:t>
            </w:r>
          </w:p>
        </w:tc>
      </w:tr>
      <w:tr w14:paraId="68291A0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3" w:hRule="atLeast"/>
        </w:trPr>
        <w:tc>
          <w:tcPr>
            <w:tcW w:w="652"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761A2F50">
            <w:pPr>
              <w:jc w:val="center"/>
              <w:rPr>
                <w:rFonts w:hint="eastAsia" w:ascii="宋体" w:hAnsi="宋体" w:eastAsia="宋体" w:cs="宋体"/>
                <w:b/>
                <w:bCs/>
                <w:i w:val="0"/>
                <w:iCs w:val="0"/>
                <w:color w:val="000000"/>
                <w:sz w:val="18"/>
                <w:szCs w:val="18"/>
                <w:highlight w:val="none"/>
                <w:u w:val="none"/>
              </w:rPr>
            </w:pP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0A4574BC">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大朗、企石、黄江、常平、桥头</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DB670AB">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215</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9C491EF">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87</w:t>
            </w:r>
          </w:p>
        </w:tc>
      </w:tr>
      <w:tr w14:paraId="4EEB044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3" w:hRule="atLeast"/>
        </w:trPr>
        <w:tc>
          <w:tcPr>
            <w:tcW w:w="652"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313D8BF5">
            <w:pPr>
              <w:jc w:val="center"/>
              <w:rPr>
                <w:rFonts w:hint="eastAsia" w:ascii="宋体" w:hAnsi="宋体" w:eastAsia="宋体" w:cs="宋体"/>
                <w:b/>
                <w:bCs/>
                <w:i w:val="0"/>
                <w:iCs w:val="0"/>
                <w:color w:val="000000"/>
                <w:sz w:val="18"/>
                <w:szCs w:val="18"/>
                <w:highlight w:val="none"/>
                <w:u w:val="none"/>
              </w:rPr>
            </w:pP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0876D7C9">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樟木头、塘厦、谢岗、凤岗、清溪</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F8D7570">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21</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5E4B453">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52</w:t>
            </w:r>
          </w:p>
        </w:tc>
      </w:tr>
      <w:tr w14:paraId="765ADEE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3" w:hRule="atLeast"/>
        </w:trPr>
        <w:tc>
          <w:tcPr>
            <w:tcW w:w="652"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6B284B84">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惠州</w:t>
            </w: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613C96AD">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博罗</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B6A0F7D">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2</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6F282ED">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28</w:t>
            </w:r>
          </w:p>
        </w:tc>
      </w:tr>
      <w:tr w14:paraId="3E79352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3" w:hRule="atLeast"/>
        </w:trPr>
        <w:tc>
          <w:tcPr>
            <w:tcW w:w="652"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6F57D19E">
            <w:pPr>
              <w:jc w:val="center"/>
              <w:rPr>
                <w:rFonts w:hint="eastAsia" w:ascii="宋体" w:hAnsi="宋体" w:eastAsia="宋体" w:cs="宋体"/>
                <w:b/>
                <w:bCs/>
                <w:i w:val="0"/>
                <w:iCs w:val="0"/>
                <w:color w:val="000000"/>
                <w:sz w:val="18"/>
                <w:szCs w:val="18"/>
                <w:highlight w:val="none"/>
                <w:u w:val="none"/>
              </w:rPr>
            </w:pP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58FF051E">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惠城、惠阳</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AB3C1AF">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7BD6CD1">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r>
      <w:tr w14:paraId="3E8F542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03" w:hRule="atLeast"/>
        </w:trPr>
        <w:tc>
          <w:tcPr>
            <w:tcW w:w="652"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3221274A">
            <w:pPr>
              <w:jc w:val="center"/>
              <w:rPr>
                <w:rFonts w:hint="eastAsia" w:ascii="宋体" w:hAnsi="宋体" w:eastAsia="宋体" w:cs="宋体"/>
                <w:b/>
                <w:bCs/>
                <w:i w:val="0"/>
                <w:iCs w:val="0"/>
                <w:color w:val="000000"/>
                <w:sz w:val="18"/>
                <w:szCs w:val="18"/>
                <w:highlight w:val="none"/>
                <w:u w:val="none"/>
              </w:rPr>
            </w:pP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7717A048">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大亚湾（含石化区）</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56C44FD">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14</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F14730D">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157</w:t>
            </w:r>
          </w:p>
        </w:tc>
      </w:tr>
      <w:tr w14:paraId="13C2792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03" w:hRule="atLeast"/>
        </w:trPr>
        <w:tc>
          <w:tcPr>
            <w:tcW w:w="652"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786760D5">
            <w:pPr>
              <w:jc w:val="center"/>
              <w:rPr>
                <w:rFonts w:hint="eastAsia" w:ascii="宋体" w:hAnsi="宋体" w:eastAsia="宋体" w:cs="宋体"/>
                <w:b/>
                <w:bCs/>
                <w:i w:val="0"/>
                <w:iCs w:val="0"/>
                <w:color w:val="000000"/>
                <w:sz w:val="18"/>
                <w:szCs w:val="18"/>
                <w:highlight w:val="none"/>
                <w:u w:val="none"/>
              </w:rPr>
            </w:pP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7FCD372F">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龙门县、惠东</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98477BD">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55C3F23">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r>
      <w:tr w14:paraId="31841DD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00" w:hRule="atLeast"/>
        </w:trPr>
        <w:tc>
          <w:tcPr>
            <w:tcW w:w="652"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5F0D1A46">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中山</w:t>
            </w: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0805DFD3">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三角、民众、黄圃、南头、东凤、阜沙、南朗、港口、沙溪、沙朗、坦背、浪网、翠亨村、横门、东区、南区</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9D285EE">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972F8F7">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r>
      <w:tr w14:paraId="31D2EF6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00" w:hRule="atLeast"/>
        </w:trPr>
        <w:tc>
          <w:tcPr>
            <w:tcW w:w="652"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7F4CF1D9">
            <w:pPr>
              <w:jc w:val="center"/>
              <w:rPr>
                <w:rFonts w:hint="eastAsia" w:ascii="宋体" w:hAnsi="宋体" w:eastAsia="宋体" w:cs="宋体"/>
                <w:b/>
                <w:bCs/>
                <w:i w:val="0"/>
                <w:iCs w:val="0"/>
                <w:color w:val="000000"/>
                <w:sz w:val="18"/>
                <w:szCs w:val="18"/>
                <w:highlight w:val="none"/>
                <w:u w:val="none"/>
              </w:rPr>
            </w:pP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18D368AB">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东升、小榄、古镇、横栏、大涌、板芙、火炬、五桂山、石岐区、西区</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98A44A6">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13CC525">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r>
      <w:tr w14:paraId="4E34F4A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03" w:hRule="atLeast"/>
        </w:trPr>
        <w:tc>
          <w:tcPr>
            <w:tcW w:w="652"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090AEDF7">
            <w:pPr>
              <w:jc w:val="center"/>
              <w:rPr>
                <w:rFonts w:hint="eastAsia" w:ascii="宋体" w:hAnsi="宋体" w:eastAsia="宋体" w:cs="宋体"/>
                <w:b/>
                <w:bCs/>
                <w:i w:val="0"/>
                <w:iCs w:val="0"/>
                <w:color w:val="000000"/>
                <w:sz w:val="18"/>
                <w:szCs w:val="18"/>
                <w:highlight w:val="none"/>
                <w:u w:val="none"/>
              </w:rPr>
            </w:pP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6D850D57">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三乡、神湾、坦洲</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B2A8158">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3179B10">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4</w:t>
            </w:r>
          </w:p>
        </w:tc>
      </w:tr>
      <w:tr w14:paraId="09D3057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3" w:hRule="atLeast"/>
        </w:trPr>
        <w:tc>
          <w:tcPr>
            <w:tcW w:w="652"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05AF83D9">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江门</w:t>
            </w: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70B1356F">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鹤山、蓬江、江海、新会</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E93E58B">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27F9173">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4</w:t>
            </w:r>
          </w:p>
        </w:tc>
      </w:tr>
      <w:tr w14:paraId="0C7E047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3" w:hRule="atLeast"/>
        </w:trPr>
        <w:tc>
          <w:tcPr>
            <w:tcW w:w="652"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4264F2E1">
            <w:pPr>
              <w:jc w:val="center"/>
              <w:rPr>
                <w:rFonts w:hint="eastAsia" w:ascii="宋体" w:hAnsi="宋体" w:eastAsia="宋体" w:cs="宋体"/>
                <w:b/>
                <w:bCs/>
                <w:i w:val="0"/>
                <w:iCs w:val="0"/>
                <w:color w:val="000000"/>
                <w:sz w:val="18"/>
                <w:szCs w:val="18"/>
                <w:highlight w:val="none"/>
                <w:u w:val="none"/>
              </w:rPr>
            </w:pP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6CE12683">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开平、台山</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E598C97">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D0D9C9C">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r>
      <w:tr w14:paraId="2141FD3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3" w:hRule="atLeast"/>
        </w:trPr>
        <w:tc>
          <w:tcPr>
            <w:tcW w:w="652"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0F929787">
            <w:pPr>
              <w:jc w:val="center"/>
              <w:rPr>
                <w:rFonts w:hint="eastAsia" w:ascii="宋体" w:hAnsi="宋体" w:eastAsia="宋体" w:cs="宋体"/>
                <w:b/>
                <w:bCs/>
                <w:i w:val="0"/>
                <w:iCs w:val="0"/>
                <w:color w:val="000000"/>
                <w:sz w:val="18"/>
                <w:szCs w:val="18"/>
                <w:highlight w:val="none"/>
                <w:u w:val="none"/>
              </w:rPr>
            </w:pP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27BB4D4D">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恩平</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919C2BE">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04445F6">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r>
      <w:tr w14:paraId="638614C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03" w:hRule="atLeast"/>
        </w:trPr>
        <w:tc>
          <w:tcPr>
            <w:tcW w:w="652"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5AE37B0E">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珠海</w:t>
            </w:r>
          </w:p>
        </w:tc>
        <w:tc>
          <w:tcPr>
            <w:tcW w:w="4604" w:type="dxa"/>
            <w:tcBorders>
              <w:top w:val="single" w:color="000000" w:sz="4" w:space="0"/>
              <w:left w:val="single" w:color="000000" w:sz="4" w:space="0"/>
              <w:bottom w:val="single" w:color="000000" w:sz="4" w:space="0"/>
              <w:right w:val="nil"/>
            </w:tcBorders>
            <w:shd w:val="clear" w:color="auto" w:fill="FFFFFF"/>
            <w:noWrap/>
            <w:vAlign w:val="center"/>
          </w:tcPr>
          <w:p w14:paraId="22DB1ABE">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香洲</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B09F422">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8C4ED93">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r>
      <w:tr w14:paraId="611D3DD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03" w:hRule="atLeast"/>
        </w:trPr>
        <w:tc>
          <w:tcPr>
            <w:tcW w:w="652"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0CCC8EB2">
            <w:pPr>
              <w:jc w:val="center"/>
              <w:rPr>
                <w:rFonts w:hint="eastAsia" w:ascii="宋体" w:hAnsi="宋体" w:eastAsia="宋体" w:cs="宋体"/>
                <w:b/>
                <w:bCs/>
                <w:i w:val="0"/>
                <w:iCs w:val="0"/>
                <w:color w:val="000000"/>
                <w:sz w:val="18"/>
                <w:szCs w:val="18"/>
                <w:highlight w:val="none"/>
                <w:u w:val="none"/>
              </w:rPr>
            </w:pPr>
          </w:p>
        </w:tc>
        <w:tc>
          <w:tcPr>
            <w:tcW w:w="4604" w:type="dxa"/>
            <w:tcBorders>
              <w:top w:val="single" w:color="000000" w:sz="4" w:space="0"/>
              <w:left w:val="single" w:color="000000" w:sz="4" w:space="0"/>
              <w:bottom w:val="single" w:color="000000" w:sz="4" w:space="0"/>
              <w:right w:val="nil"/>
            </w:tcBorders>
            <w:shd w:val="clear" w:color="auto" w:fill="FFFFFF"/>
            <w:noWrap/>
            <w:vAlign w:val="center"/>
          </w:tcPr>
          <w:p w14:paraId="650F7ABC">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高新区</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89E27C1">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5B750F1">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r>
      <w:tr w14:paraId="6071824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3" w:hRule="atLeast"/>
        </w:trPr>
        <w:tc>
          <w:tcPr>
            <w:tcW w:w="652"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3157FDAE">
            <w:pPr>
              <w:jc w:val="center"/>
              <w:rPr>
                <w:rFonts w:hint="eastAsia" w:ascii="宋体" w:hAnsi="宋体" w:eastAsia="宋体" w:cs="宋体"/>
                <w:b/>
                <w:bCs/>
                <w:i w:val="0"/>
                <w:iCs w:val="0"/>
                <w:color w:val="000000"/>
                <w:sz w:val="18"/>
                <w:szCs w:val="18"/>
                <w:highlight w:val="none"/>
                <w:u w:val="none"/>
              </w:rPr>
            </w:pP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339CDB8F">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金湾、横琴、保税区</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66C2B9A">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45416AE">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r>
      <w:tr w14:paraId="581E73A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3" w:hRule="atLeast"/>
        </w:trPr>
        <w:tc>
          <w:tcPr>
            <w:tcW w:w="652"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566E8C9D">
            <w:pPr>
              <w:jc w:val="center"/>
              <w:rPr>
                <w:rFonts w:hint="eastAsia" w:ascii="宋体" w:hAnsi="宋体" w:eastAsia="宋体" w:cs="宋体"/>
                <w:b/>
                <w:bCs/>
                <w:i w:val="0"/>
                <w:iCs w:val="0"/>
                <w:color w:val="000000"/>
                <w:sz w:val="18"/>
                <w:szCs w:val="18"/>
                <w:highlight w:val="none"/>
                <w:u w:val="none"/>
              </w:rPr>
            </w:pPr>
          </w:p>
        </w:tc>
        <w:tc>
          <w:tcPr>
            <w:tcW w:w="4604" w:type="dxa"/>
            <w:tcBorders>
              <w:top w:val="single" w:color="000000" w:sz="4" w:space="0"/>
              <w:left w:val="single" w:color="000000" w:sz="4" w:space="0"/>
              <w:bottom w:val="single" w:color="000000" w:sz="4" w:space="0"/>
              <w:right w:val="nil"/>
            </w:tcBorders>
            <w:shd w:val="clear" w:color="auto" w:fill="FFFFFF"/>
            <w:noWrap/>
            <w:vAlign w:val="center"/>
          </w:tcPr>
          <w:p w14:paraId="0DF82352">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斗门</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4B03B3E">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C00D2DC">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r>
      <w:tr w14:paraId="0DFBDD3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03" w:hRule="atLeast"/>
        </w:trPr>
        <w:tc>
          <w:tcPr>
            <w:tcW w:w="652"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5235AE6A">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佛山</w:t>
            </w: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63F9DAC1">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南海区、禅城区（部分限行）</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C02A62F">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2</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5C98977">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3</w:t>
            </w:r>
          </w:p>
        </w:tc>
      </w:tr>
      <w:tr w14:paraId="759DFA3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03" w:hRule="atLeast"/>
        </w:trPr>
        <w:tc>
          <w:tcPr>
            <w:tcW w:w="652"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77ABF138">
            <w:pPr>
              <w:jc w:val="center"/>
              <w:rPr>
                <w:rFonts w:hint="eastAsia" w:ascii="宋体" w:hAnsi="宋体" w:eastAsia="宋体" w:cs="宋体"/>
                <w:b/>
                <w:bCs/>
                <w:i w:val="0"/>
                <w:iCs w:val="0"/>
                <w:color w:val="000000"/>
                <w:sz w:val="18"/>
                <w:szCs w:val="18"/>
                <w:highlight w:val="none"/>
                <w:u w:val="none"/>
              </w:rPr>
            </w:pP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12726237">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顺德区</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E045124">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2841D23">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2</w:t>
            </w:r>
          </w:p>
        </w:tc>
      </w:tr>
      <w:tr w14:paraId="0D4038D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3" w:hRule="atLeast"/>
        </w:trPr>
        <w:tc>
          <w:tcPr>
            <w:tcW w:w="652"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3DEF95BC">
            <w:pPr>
              <w:jc w:val="center"/>
              <w:rPr>
                <w:rFonts w:hint="eastAsia" w:ascii="宋体" w:hAnsi="宋体" w:eastAsia="宋体" w:cs="宋体"/>
                <w:b/>
                <w:bCs/>
                <w:i w:val="0"/>
                <w:iCs w:val="0"/>
                <w:color w:val="000000"/>
                <w:sz w:val="18"/>
                <w:szCs w:val="18"/>
                <w:highlight w:val="none"/>
                <w:u w:val="none"/>
              </w:rPr>
            </w:pP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724017FE">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高明区、三水区</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75088EA">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1F28B5D">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r>
      <w:tr w14:paraId="1ABAB16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3" w:hRule="atLeast"/>
        </w:trPr>
        <w:tc>
          <w:tcPr>
            <w:tcW w:w="652"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7CE8019A">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肇庆</w:t>
            </w: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7FAD110B">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四会、鼎湖、端州、高要</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DD832E7">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8A66CFE">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r>
      <w:tr w14:paraId="1E09BFC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3" w:hRule="atLeast"/>
        </w:trPr>
        <w:tc>
          <w:tcPr>
            <w:tcW w:w="652"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71209AEE">
            <w:pPr>
              <w:jc w:val="center"/>
              <w:rPr>
                <w:rFonts w:hint="eastAsia" w:ascii="宋体" w:hAnsi="宋体" w:eastAsia="宋体" w:cs="宋体"/>
                <w:b/>
                <w:bCs/>
                <w:i w:val="0"/>
                <w:iCs w:val="0"/>
                <w:color w:val="000000"/>
                <w:sz w:val="18"/>
                <w:szCs w:val="18"/>
                <w:highlight w:val="none"/>
                <w:u w:val="none"/>
              </w:rPr>
            </w:pP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07D54218">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广宁县、德庆县、怀集县、封开县</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08D481A">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F182AB4">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r>
      <w:tr w14:paraId="218E15C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3" w:hRule="atLeast"/>
        </w:trPr>
        <w:tc>
          <w:tcPr>
            <w:tcW w:w="65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B2573F4">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云浮</w:t>
            </w: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7AABB955">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新兴县、云城区、云安区、罗定市、郁南县</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EA912B9">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F102F94">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r>
      <w:tr w14:paraId="77ACBF4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03" w:hRule="atLeast"/>
        </w:trPr>
        <w:tc>
          <w:tcPr>
            <w:tcW w:w="65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6B134E8">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阳江</w:t>
            </w: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31C31975">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阳东区、江城区、阳春市、阳西县</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9A4CE66">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F4039FD">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r>
      <w:tr w14:paraId="2C4AAF8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3" w:hRule="atLeast"/>
        </w:trPr>
        <w:tc>
          <w:tcPr>
            <w:tcW w:w="65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81F1557">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茂名</w:t>
            </w: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3AC31A66">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茂南区、电白区、高州市、信宜市、化州市</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10B251B">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2</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3B3EE47">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6</w:t>
            </w:r>
          </w:p>
        </w:tc>
      </w:tr>
      <w:tr w14:paraId="4785D5C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00" w:hRule="atLeast"/>
        </w:trPr>
        <w:tc>
          <w:tcPr>
            <w:tcW w:w="65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BE2946E">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湛江</w:t>
            </w: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3E8FA514">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吴川市、麻章、霞山、坡头、赤坎、遂溪、廉江、雷州市、徐闻县</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FA672E9">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BC0D368">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4</w:t>
            </w:r>
          </w:p>
        </w:tc>
      </w:tr>
      <w:tr w14:paraId="04F52BB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3" w:hRule="atLeast"/>
        </w:trPr>
        <w:tc>
          <w:tcPr>
            <w:tcW w:w="652"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059BBFB6">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清远</w:t>
            </w: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1A5501A1">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佛冈、英德、清城区、清新区</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8378C11">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F10F04B">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r>
      <w:tr w14:paraId="408784C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3" w:hRule="atLeast"/>
        </w:trPr>
        <w:tc>
          <w:tcPr>
            <w:tcW w:w="652"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524DB7AA">
            <w:pPr>
              <w:jc w:val="center"/>
              <w:rPr>
                <w:rFonts w:hint="eastAsia" w:ascii="宋体" w:hAnsi="宋体" w:eastAsia="宋体" w:cs="宋体"/>
                <w:b/>
                <w:bCs/>
                <w:i w:val="0"/>
                <w:iCs w:val="0"/>
                <w:color w:val="000000"/>
                <w:sz w:val="18"/>
                <w:szCs w:val="18"/>
                <w:highlight w:val="none"/>
                <w:u w:val="none"/>
              </w:rPr>
            </w:pP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4D96E4E7">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阳山、连州、连南、连山、</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0176A9D">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4165C45">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r>
      <w:tr w14:paraId="4852389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3" w:hRule="atLeast"/>
        </w:trPr>
        <w:tc>
          <w:tcPr>
            <w:tcW w:w="652"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62DBB61A">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韶关</w:t>
            </w: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47A046C9">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信丰县、浈江、武江、曲江、翁源县</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EEC6E51">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8673577">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r>
      <w:tr w14:paraId="3727553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3" w:hRule="atLeast"/>
        </w:trPr>
        <w:tc>
          <w:tcPr>
            <w:tcW w:w="652"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08181A00">
            <w:pPr>
              <w:jc w:val="center"/>
              <w:rPr>
                <w:rFonts w:hint="eastAsia" w:ascii="宋体" w:hAnsi="宋体" w:eastAsia="宋体" w:cs="宋体"/>
                <w:b/>
                <w:bCs/>
                <w:i w:val="0"/>
                <w:iCs w:val="0"/>
                <w:color w:val="000000"/>
                <w:sz w:val="18"/>
                <w:szCs w:val="18"/>
                <w:highlight w:val="none"/>
                <w:u w:val="none"/>
              </w:rPr>
            </w:pP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547FAE0E">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乳源、始兴、南雄、仁化、乐昌</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972C84E">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0EB314B">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r>
      <w:tr w14:paraId="62DE4B3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03" w:hRule="atLeast"/>
        </w:trPr>
        <w:tc>
          <w:tcPr>
            <w:tcW w:w="652"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4B5D48A3">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河源</w:t>
            </w: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59C07A60">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源城区、东源县</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5E8B590">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3799397">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r>
      <w:tr w14:paraId="62586AA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03" w:hRule="atLeast"/>
        </w:trPr>
        <w:tc>
          <w:tcPr>
            <w:tcW w:w="652"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4FED4181">
            <w:pPr>
              <w:jc w:val="center"/>
              <w:rPr>
                <w:rFonts w:hint="eastAsia" w:ascii="宋体" w:hAnsi="宋体" w:eastAsia="宋体" w:cs="宋体"/>
                <w:b/>
                <w:bCs/>
                <w:i w:val="0"/>
                <w:iCs w:val="0"/>
                <w:color w:val="000000"/>
                <w:sz w:val="18"/>
                <w:szCs w:val="18"/>
                <w:highlight w:val="none"/>
                <w:u w:val="none"/>
              </w:rPr>
            </w:pP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7956DE6A">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紫金县、连平县、和平县、龙川县</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C909072">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0DD95B1">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r>
      <w:tr w14:paraId="5E6AD40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3" w:hRule="atLeast"/>
        </w:trPr>
        <w:tc>
          <w:tcPr>
            <w:tcW w:w="652"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5D5350B3">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汕尾</w:t>
            </w: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63382735">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海丰县、城区</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CEB4948">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29</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BD5A897">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12</w:t>
            </w:r>
          </w:p>
        </w:tc>
      </w:tr>
      <w:tr w14:paraId="171B64D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3" w:hRule="atLeast"/>
        </w:trPr>
        <w:tc>
          <w:tcPr>
            <w:tcW w:w="652"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3E67C8B8">
            <w:pPr>
              <w:jc w:val="center"/>
              <w:rPr>
                <w:rFonts w:hint="eastAsia" w:ascii="宋体" w:hAnsi="宋体" w:eastAsia="宋体" w:cs="宋体"/>
                <w:b/>
                <w:bCs/>
                <w:i w:val="0"/>
                <w:iCs w:val="0"/>
                <w:color w:val="000000"/>
                <w:sz w:val="18"/>
                <w:szCs w:val="18"/>
                <w:highlight w:val="none"/>
                <w:u w:val="none"/>
              </w:rPr>
            </w:pP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2519D963">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陆丰市、陆河县</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0A33F7A">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C2276D9">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r>
      <w:tr w14:paraId="2BC658F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03" w:hRule="atLeast"/>
        </w:trPr>
        <w:tc>
          <w:tcPr>
            <w:tcW w:w="65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A618AE0">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揭阳</w:t>
            </w: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4F1D0145">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揭西县、惠来县、普宁市、榕城区、揭东县</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0F3FA80">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2EE3E68">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r>
      <w:tr w14:paraId="16190C6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3" w:hRule="atLeast"/>
        </w:trPr>
        <w:tc>
          <w:tcPr>
            <w:tcW w:w="65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7D32BCB">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汕头</w:t>
            </w: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0FF3219E">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潮南区、朝阳区、金平区、龙湖区、澄海区、南澳县</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8267CB2">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BAD45DD">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5</w:t>
            </w:r>
          </w:p>
        </w:tc>
      </w:tr>
      <w:tr w14:paraId="1D65749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3" w:hRule="atLeast"/>
        </w:trPr>
        <w:tc>
          <w:tcPr>
            <w:tcW w:w="652"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18348C9C">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梅州</w:t>
            </w: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04A97B12">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五华县、兴宁市</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38D0871">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5BAB7E8">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r>
      <w:tr w14:paraId="4577FD4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03" w:hRule="atLeast"/>
        </w:trPr>
        <w:tc>
          <w:tcPr>
            <w:tcW w:w="652"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7CCFB7D1">
            <w:pPr>
              <w:jc w:val="center"/>
              <w:rPr>
                <w:rFonts w:hint="eastAsia" w:ascii="宋体" w:hAnsi="宋体" w:eastAsia="宋体" w:cs="宋体"/>
                <w:b/>
                <w:bCs/>
                <w:i w:val="0"/>
                <w:iCs w:val="0"/>
                <w:color w:val="000000"/>
                <w:sz w:val="18"/>
                <w:szCs w:val="18"/>
                <w:highlight w:val="none"/>
                <w:u w:val="none"/>
              </w:rPr>
            </w:pP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518A6756">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丰顺县、梅县、梅江区、蕉岭县、大埔县、平远县</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19B89C4">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6CB0444">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r>
      <w:tr w14:paraId="7883C5D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3" w:hRule="atLeast"/>
        </w:trPr>
        <w:tc>
          <w:tcPr>
            <w:tcW w:w="65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B73DE5A">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潮州</w:t>
            </w:r>
          </w:p>
        </w:tc>
        <w:tc>
          <w:tcPr>
            <w:tcW w:w="4604" w:type="dxa"/>
            <w:tcBorders>
              <w:top w:val="single" w:color="000000" w:sz="4" w:space="0"/>
              <w:left w:val="single" w:color="000000" w:sz="4" w:space="0"/>
              <w:bottom w:val="single" w:color="000000" w:sz="4" w:space="0"/>
              <w:right w:val="nil"/>
            </w:tcBorders>
            <w:shd w:val="clear" w:color="auto" w:fill="FFFFFF"/>
            <w:vAlign w:val="center"/>
          </w:tcPr>
          <w:p w14:paraId="36189BC0">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湘桥区、潮安区、饶平县</w:t>
            </w:r>
          </w:p>
        </w:tc>
        <w:tc>
          <w:tcPr>
            <w:tcW w:w="14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84E7A92">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c>
          <w:tcPr>
            <w:tcW w:w="1565"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64F1B70">
            <w:pPr>
              <w:keepNext w:val="0"/>
              <w:keepLines w:val="0"/>
              <w:widowControl/>
              <w:suppressLineNumbers w:val="0"/>
              <w:jc w:val="center"/>
              <w:textAlignment w:val="center"/>
              <w:rPr>
                <w:rFonts w:hint="eastAsia" w:ascii="微软雅黑" w:hAnsi="微软雅黑" w:eastAsia="微软雅黑" w:cs="微软雅黑"/>
                <w:i w:val="0"/>
                <w:iCs w:val="0"/>
                <w:color w:val="000000"/>
                <w:sz w:val="18"/>
                <w:szCs w:val="18"/>
                <w:highlight w:val="none"/>
                <w:u w:val="none"/>
              </w:rPr>
            </w:pPr>
            <w:r>
              <w:rPr>
                <w:rFonts w:hint="eastAsia" w:ascii="微软雅黑" w:hAnsi="微软雅黑" w:eastAsia="微软雅黑" w:cs="微软雅黑"/>
                <w:i w:val="0"/>
                <w:iCs w:val="0"/>
                <w:color w:val="000000"/>
                <w:kern w:val="0"/>
                <w:sz w:val="18"/>
                <w:szCs w:val="18"/>
                <w:highlight w:val="none"/>
                <w:u w:val="none"/>
                <w:lang w:val="en-US" w:eastAsia="zh-CN" w:bidi="ar"/>
              </w:rPr>
              <w:t>1</w:t>
            </w:r>
          </w:p>
        </w:tc>
      </w:tr>
    </w:tbl>
    <w:p w14:paraId="2F32C141">
      <w:pPr>
        <w:adjustRightInd/>
        <w:snapToGrid/>
        <w:spacing w:line="360" w:lineRule="exact"/>
        <w:rPr>
          <w:rFonts w:ascii="Times New Roman" w:hAnsi="Times New Roman" w:cs="Times New Roman"/>
          <w:b/>
          <w:color w:val="auto"/>
          <w:szCs w:val="21"/>
          <w:highlight w:val="none"/>
        </w:rPr>
      </w:pPr>
    </w:p>
    <w:p w14:paraId="4EB3D539">
      <w:pPr>
        <w:adjustRightInd/>
        <w:snapToGrid/>
        <w:spacing w:line="360" w:lineRule="exact"/>
        <w:rPr>
          <w:rFonts w:ascii="Times New Roman" w:hAnsi="Times New Roman" w:cs="Times New Roman"/>
          <w:b/>
          <w:color w:val="auto"/>
          <w:szCs w:val="21"/>
          <w:highlight w:val="none"/>
        </w:rPr>
      </w:pPr>
    </w:p>
    <w:p w14:paraId="3B132BE1">
      <w:pPr>
        <w:adjustRightInd/>
        <w:snapToGrid/>
        <w:spacing w:line="360" w:lineRule="exact"/>
        <w:rPr>
          <w:rFonts w:ascii="Times New Roman" w:hAnsi="Times New Roman" w:cs="Times New Roman"/>
          <w:b/>
          <w:color w:val="auto"/>
          <w:szCs w:val="21"/>
          <w:highlight w:val="none"/>
        </w:rPr>
      </w:pPr>
    </w:p>
    <w:p w14:paraId="6FE9F81D">
      <w:pPr>
        <w:adjustRightInd/>
        <w:snapToGrid/>
        <w:spacing w:line="360" w:lineRule="exact"/>
        <w:rPr>
          <w:rFonts w:ascii="Times New Roman" w:hAnsi="Times New Roman" w:cs="Times New Roman"/>
          <w:b/>
          <w:color w:val="auto"/>
          <w:szCs w:val="21"/>
          <w:highlight w:val="none"/>
        </w:rPr>
      </w:pPr>
    </w:p>
    <w:p w14:paraId="7479129E">
      <w:pPr>
        <w:adjustRightInd/>
        <w:snapToGrid/>
        <w:spacing w:line="360" w:lineRule="exact"/>
        <w:rPr>
          <w:rFonts w:ascii="Times New Roman" w:hAnsi="Times New Roman" w:cs="Times New Roman"/>
          <w:b/>
          <w:color w:val="auto"/>
          <w:szCs w:val="21"/>
          <w:highlight w:val="none"/>
        </w:rPr>
      </w:pPr>
    </w:p>
    <w:p w14:paraId="443A2258">
      <w:pPr>
        <w:adjustRightInd/>
        <w:snapToGrid/>
        <w:spacing w:line="360" w:lineRule="exact"/>
        <w:rPr>
          <w:rFonts w:ascii="Times New Roman" w:hAnsi="Times New Roman" w:cs="Times New Roman"/>
          <w:b/>
          <w:color w:val="auto"/>
          <w:szCs w:val="21"/>
          <w:highlight w:val="none"/>
        </w:rPr>
      </w:pPr>
    </w:p>
    <w:p w14:paraId="56C48DF5">
      <w:pPr>
        <w:adjustRightInd/>
        <w:snapToGrid/>
        <w:spacing w:line="360" w:lineRule="exact"/>
        <w:rPr>
          <w:rFonts w:ascii="Times New Roman" w:hAnsi="Times New Roman" w:cs="Times New Roman"/>
          <w:b/>
          <w:color w:val="auto"/>
          <w:szCs w:val="21"/>
          <w:highlight w:val="none"/>
        </w:rPr>
      </w:pPr>
    </w:p>
    <w:p w14:paraId="6729BB7F">
      <w:pPr>
        <w:adjustRightInd/>
        <w:snapToGrid/>
        <w:spacing w:line="360" w:lineRule="exact"/>
        <w:rPr>
          <w:rFonts w:ascii="Times New Roman" w:hAnsi="Times New Roman" w:cs="Times New Roman"/>
          <w:b/>
          <w:color w:val="auto"/>
          <w:szCs w:val="21"/>
          <w:highlight w:val="none"/>
        </w:rPr>
      </w:pPr>
    </w:p>
    <w:p w14:paraId="025E78E1">
      <w:pPr>
        <w:adjustRightInd/>
        <w:snapToGrid/>
        <w:spacing w:line="360" w:lineRule="exact"/>
        <w:rPr>
          <w:rFonts w:ascii="Times New Roman" w:hAnsi="Times New Roman" w:cs="Times New Roman"/>
          <w:b/>
          <w:color w:val="auto"/>
          <w:szCs w:val="21"/>
          <w:highlight w:val="none"/>
        </w:rPr>
      </w:pPr>
    </w:p>
    <w:p w14:paraId="42B3D4A8">
      <w:pPr>
        <w:adjustRightInd/>
        <w:snapToGrid/>
        <w:spacing w:line="360" w:lineRule="exact"/>
        <w:outlineLvl w:val="9"/>
        <w:rPr>
          <w:rFonts w:ascii="Times New Roman" w:hAnsi="Times New Roman" w:cs="Times New Roman"/>
          <w:b/>
          <w:color w:val="auto"/>
          <w:szCs w:val="21"/>
          <w:highlight w:val="none"/>
        </w:rPr>
      </w:pPr>
    </w:p>
    <w:p w14:paraId="14BC3589">
      <w:pPr>
        <w:adjustRightInd/>
        <w:snapToGrid/>
        <w:spacing w:line="360" w:lineRule="exact"/>
        <w:outlineLvl w:val="9"/>
        <w:rPr>
          <w:rFonts w:ascii="Times New Roman" w:hAnsi="Times New Roman" w:cs="Times New Roman"/>
          <w:b/>
          <w:color w:val="auto"/>
          <w:szCs w:val="21"/>
          <w:highlight w:val="none"/>
        </w:rPr>
      </w:pPr>
    </w:p>
    <w:p w14:paraId="1F83962F">
      <w:pPr>
        <w:adjustRightInd/>
        <w:snapToGrid/>
        <w:spacing w:line="360" w:lineRule="exact"/>
        <w:outlineLvl w:val="9"/>
        <w:rPr>
          <w:rFonts w:ascii="Times New Roman" w:hAnsi="Times New Roman" w:cs="Times New Roman"/>
          <w:b/>
          <w:color w:val="auto"/>
          <w:szCs w:val="21"/>
          <w:highlight w:val="none"/>
        </w:rPr>
      </w:pPr>
    </w:p>
    <w:p w14:paraId="183A4E20">
      <w:pPr>
        <w:adjustRightInd/>
        <w:snapToGrid/>
        <w:spacing w:line="360" w:lineRule="exact"/>
        <w:outlineLvl w:val="9"/>
        <w:rPr>
          <w:rFonts w:ascii="Times New Roman" w:hAnsi="Times New Roman" w:cs="Times New Roman"/>
          <w:b/>
          <w:color w:val="auto"/>
          <w:szCs w:val="21"/>
          <w:highlight w:val="none"/>
        </w:rPr>
      </w:pPr>
    </w:p>
    <w:p w14:paraId="1A552231">
      <w:pPr>
        <w:adjustRightInd/>
        <w:snapToGrid/>
        <w:spacing w:line="360" w:lineRule="exact"/>
        <w:outlineLvl w:val="9"/>
        <w:rPr>
          <w:rFonts w:ascii="Times New Roman" w:hAnsi="Times New Roman" w:cs="Times New Roman"/>
          <w:b/>
          <w:color w:val="auto"/>
          <w:szCs w:val="21"/>
          <w:highlight w:val="none"/>
        </w:rPr>
      </w:pPr>
    </w:p>
    <w:p w14:paraId="48DD59F0">
      <w:pPr>
        <w:adjustRightInd/>
        <w:snapToGrid/>
        <w:spacing w:line="360" w:lineRule="exact"/>
        <w:outlineLvl w:val="9"/>
        <w:rPr>
          <w:rFonts w:ascii="Times New Roman" w:hAnsi="Times New Roman" w:cs="Times New Roman"/>
          <w:b/>
          <w:color w:val="auto"/>
          <w:szCs w:val="21"/>
          <w:highlight w:val="none"/>
        </w:rPr>
      </w:pPr>
    </w:p>
    <w:p w14:paraId="17E0D3AC">
      <w:pPr>
        <w:adjustRightInd/>
        <w:snapToGrid/>
        <w:spacing w:line="360" w:lineRule="exact"/>
        <w:outlineLvl w:val="9"/>
        <w:rPr>
          <w:rFonts w:ascii="Times New Roman" w:hAnsi="Times New Roman" w:cs="Times New Roman"/>
          <w:b/>
          <w:color w:val="auto"/>
          <w:szCs w:val="21"/>
          <w:highlight w:val="none"/>
        </w:rPr>
      </w:pPr>
    </w:p>
    <w:p w14:paraId="246BF4F7">
      <w:pPr>
        <w:adjustRightInd/>
        <w:snapToGrid/>
        <w:spacing w:line="360" w:lineRule="exact"/>
        <w:outlineLvl w:val="9"/>
        <w:rPr>
          <w:rFonts w:ascii="Times New Roman" w:hAnsi="Times New Roman" w:cs="Times New Roman"/>
          <w:b/>
          <w:color w:val="auto"/>
          <w:szCs w:val="21"/>
          <w:highlight w:val="none"/>
        </w:rPr>
      </w:pPr>
    </w:p>
    <w:p w14:paraId="5543CCDD">
      <w:pPr>
        <w:adjustRightInd/>
        <w:snapToGrid/>
        <w:spacing w:line="360" w:lineRule="exact"/>
        <w:outlineLvl w:val="9"/>
        <w:rPr>
          <w:rFonts w:ascii="Times New Roman" w:hAnsi="Times New Roman" w:cs="Times New Roman"/>
          <w:b/>
          <w:color w:val="auto"/>
          <w:szCs w:val="21"/>
          <w:highlight w:val="none"/>
        </w:rPr>
      </w:pPr>
    </w:p>
    <w:p w14:paraId="43251671">
      <w:pPr>
        <w:adjustRightInd/>
        <w:snapToGrid/>
        <w:spacing w:line="360" w:lineRule="exact"/>
        <w:outlineLvl w:val="9"/>
        <w:rPr>
          <w:rFonts w:ascii="Times New Roman" w:hAnsi="Times New Roman" w:cs="Times New Roman"/>
          <w:b/>
          <w:color w:val="auto"/>
          <w:szCs w:val="21"/>
          <w:highlight w:val="none"/>
        </w:rPr>
      </w:pPr>
    </w:p>
    <w:p w14:paraId="26F2CD87">
      <w:pPr>
        <w:adjustRightInd/>
        <w:snapToGrid/>
        <w:spacing w:line="360" w:lineRule="exact"/>
        <w:outlineLvl w:val="9"/>
        <w:rPr>
          <w:rFonts w:ascii="Times New Roman" w:hAnsi="Times New Roman" w:cs="Times New Roman"/>
          <w:b/>
          <w:color w:val="auto"/>
          <w:szCs w:val="21"/>
          <w:highlight w:val="none"/>
        </w:rPr>
      </w:pPr>
    </w:p>
    <w:p w14:paraId="7E248FBA">
      <w:pPr>
        <w:adjustRightInd/>
        <w:snapToGrid/>
        <w:spacing w:line="360" w:lineRule="exact"/>
        <w:outlineLvl w:val="9"/>
        <w:rPr>
          <w:rFonts w:ascii="Times New Roman" w:hAnsi="Times New Roman" w:cs="Times New Roman"/>
          <w:b/>
          <w:color w:val="auto"/>
          <w:szCs w:val="21"/>
          <w:highlight w:val="none"/>
        </w:rPr>
      </w:pPr>
    </w:p>
    <w:p w14:paraId="5C4A1556">
      <w:pPr>
        <w:adjustRightInd/>
        <w:snapToGrid/>
        <w:spacing w:line="360" w:lineRule="exact"/>
        <w:outlineLvl w:val="9"/>
        <w:rPr>
          <w:rFonts w:ascii="Times New Roman" w:hAnsi="Times New Roman" w:cs="Times New Roman"/>
          <w:b/>
          <w:color w:val="auto"/>
          <w:szCs w:val="21"/>
          <w:highlight w:val="none"/>
        </w:rPr>
      </w:pPr>
    </w:p>
    <w:p w14:paraId="015144C4">
      <w:pPr>
        <w:outlineLvl w:val="9"/>
        <w:rPr>
          <w:highlight w:val="none"/>
        </w:rPr>
      </w:pPr>
    </w:p>
    <w:p w14:paraId="1682D96C">
      <w:pPr>
        <w:adjustRightInd/>
        <w:snapToGrid/>
        <w:spacing w:line="360" w:lineRule="exact"/>
        <w:outlineLvl w:val="9"/>
        <w:rPr>
          <w:rFonts w:ascii="Times New Roman" w:hAnsi="Times New Roman" w:cs="Times New Roman"/>
          <w:b/>
          <w:color w:val="auto"/>
          <w:szCs w:val="21"/>
          <w:highlight w:val="none"/>
        </w:rPr>
      </w:pPr>
    </w:p>
    <w:p w14:paraId="3E418E6C">
      <w:pPr>
        <w:adjustRightInd/>
        <w:snapToGrid/>
        <w:spacing w:line="360" w:lineRule="exact"/>
        <w:outlineLvl w:val="9"/>
        <w:rPr>
          <w:rFonts w:ascii="Times New Roman" w:hAnsi="Times New Roman" w:cs="Times New Roman"/>
          <w:b/>
          <w:color w:val="auto"/>
          <w:szCs w:val="21"/>
          <w:highlight w:val="none"/>
        </w:rPr>
      </w:pPr>
    </w:p>
    <w:p w14:paraId="6BD11B29">
      <w:pPr>
        <w:adjustRightInd/>
        <w:snapToGrid/>
        <w:spacing w:line="360" w:lineRule="exact"/>
        <w:outlineLvl w:val="9"/>
        <w:rPr>
          <w:rFonts w:ascii="Times New Roman" w:hAnsi="Times New Roman" w:cs="Times New Roman"/>
          <w:b/>
          <w:color w:val="auto"/>
          <w:szCs w:val="21"/>
          <w:highlight w:val="none"/>
        </w:rPr>
      </w:pPr>
    </w:p>
    <w:p w14:paraId="39728233">
      <w:pPr>
        <w:adjustRightInd/>
        <w:snapToGrid/>
        <w:spacing w:line="360" w:lineRule="exact"/>
        <w:outlineLvl w:val="9"/>
        <w:rPr>
          <w:rFonts w:ascii="Times New Roman" w:hAnsi="Times New Roman" w:cs="Times New Roman"/>
          <w:b/>
          <w:color w:val="auto"/>
          <w:szCs w:val="21"/>
          <w:highlight w:val="none"/>
        </w:rPr>
      </w:pPr>
    </w:p>
    <w:p w14:paraId="1DDAEC96">
      <w:pPr>
        <w:adjustRightInd/>
        <w:snapToGrid/>
        <w:spacing w:line="360" w:lineRule="exact"/>
        <w:outlineLvl w:val="9"/>
        <w:rPr>
          <w:rFonts w:ascii="Times New Roman" w:hAnsi="Times New Roman" w:cs="Times New Roman"/>
          <w:b/>
          <w:color w:val="auto"/>
          <w:szCs w:val="21"/>
          <w:highlight w:val="none"/>
        </w:rPr>
      </w:pPr>
    </w:p>
    <w:p w14:paraId="277D6B22">
      <w:pPr>
        <w:adjustRightInd/>
        <w:snapToGrid/>
        <w:spacing w:line="360" w:lineRule="exact"/>
        <w:outlineLvl w:val="1"/>
        <w:rPr>
          <w:rFonts w:ascii="Times New Roman" w:hAnsi="Times New Roman" w:cs="Times New Roman"/>
          <w:b/>
          <w:color w:val="auto"/>
          <w:szCs w:val="21"/>
          <w:highlight w:val="none"/>
        </w:rPr>
      </w:pPr>
      <w:bookmarkStart w:id="173" w:name="_Toc17292"/>
      <w:bookmarkStart w:id="174" w:name="_Toc30839"/>
      <w:bookmarkStart w:id="175" w:name="_Toc6561"/>
      <w:bookmarkStart w:id="176" w:name="_Toc32626"/>
      <w:bookmarkStart w:id="177" w:name="_Toc19836"/>
      <w:bookmarkStart w:id="178" w:name="_Toc6526"/>
      <w:bookmarkStart w:id="179" w:name="_Toc1563"/>
      <w:bookmarkStart w:id="180" w:name="_Toc18540"/>
      <w:bookmarkStart w:id="181" w:name="_Toc15526"/>
      <w:bookmarkStart w:id="182" w:name="_Toc4642"/>
      <w:bookmarkStart w:id="183" w:name="_Toc25787"/>
      <w:r>
        <w:rPr>
          <w:rFonts w:hint="eastAsia" w:ascii="宋体" w:hAnsi="宋体"/>
          <w:b/>
          <w:color w:val="auto"/>
          <w:sz w:val="21"/>
          <w:szCs w:val="21"/>
          <w:highlight w:val="none"/>
        </w:rPr>
        <w:t>技术需求书</w:t>
      </w:r>
      <w:r>
        <w:rPr>
          <w:rFonts w:ascii="Times New Roman" w:hAnsi="Times New Roman" w:cs="Times New Roman"/>
          <w:b/>
          <w:color w:val="auto"/>
          <w:szCs w:val="21"/>
          <w:highlight w:val="none"/>
        </w:rPr>
        <w:t>附件</w:t>
      </w:r>
      <w:r>
        <w:rPr>
          <w:rFonts w:hint="eastAsia" w:cs="Times New Roman"/>
          <w:b/>
          <w:color w:val="auto"/>
          <w:szCs w:val="21"/>
          <w:highlight w:val="none"/>
          <w:lang w:val="en-US" w:eastAsia="zh-CN"/>
        </w:rPr>
        <w:t>4：</w:t>
      </w:r>
      <w:r>
        <w:rPr>
          <w:rFonts w:ascii="Times New Roman" w:hAnsi="Times New Roman" w:cs="Times New Roman"/>
          <w:b/>
          <w:color w:val="auto"/>
          <w:szCs w:val="21"/>
          <w:highlight w:val="none"/>
        </w:rPr>
        <w:t>《运输杂费及计费规则》</w:t>
      </w:r>
      <w:bookmarkEnd w:id="173"/>
      <w:bookmarkEnd w:id="174"/>
      <w:bookmarkEnd w:id="175"/>
      <w:bookmarkEnd w:id="176"/>
      <w:bookmarkEnd w:id="177"/>
      <w:bookmarkEnd w:id="178"/>
      <w:bookmarkEnd w:id="179"/>
      <w:bookmarkEnd w:id="180"/>
      <w:bookmarkEnd w:id="181"/>
      <w:bookmarkEnd w:id="182"/>
      <w:bookmarkEnd w:id="183"/>
    </w:p>
    <w:tbl>
      <w:tblPr>
        <w:tblStyle w:val="28"/>
        <w:tblW w:w="8304" w:type="dxa"/>
        <w:tblInd w:w="98"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193"/>
        <w:gridCol w:w="2306"/>
        <w:gridCol w:w="1109"/>
        <w:gridCol w:w="3696"/>
      </w:tblGrid>
      <w:tr w14:paraId="1054302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3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A6B45F">
            <w:pPr>
              <w:keepNext w:val="0"/>
              <w:keepLines w:val="0"/>
              <w:widowControl/>
              <w:suppressLineNumbers w:val="0"/>
              <w:jc w:val="center"/>
              <w:textAlignment w:val="center"/>
              <w:rPr>
                <w:rFonts w:hint="eastAsia" w:ascii="宋体" w:hAnsi="宋体" w:eastAsia="宋体" w:cs="宋体"/>
                <w:b/>
                <w:bCs/>
                <w:i w:val="0"/>
                <w:iCs w:val="0"/>
                <w:color w:val="auto"/>
                <w:sz w:val="21"/>
                <w:szCs w:val="21"/>
                <w:highlight w:val="none"/>
                <w:u w:val="none"/>
              </w:rPr>
            </w:pPr>
            <w:r>
              <w:rPr>
                <w:rFonts w:hint="eastAsia" w:ascii="宋体" w:hAnsi="宋体" w:eastAsia="宋体" w:cs="宋体"/>
                <w:b/>
                <w:bCs/>
                <w:i w:val="0"/>
                <w:iCs w:val="0"/>
                <w:color w:val="auto"/>
                <w:kern w:val="0"/>
                <w:sz w:val="21"/>
                <w:szCs w:val="21"/>
                <w:highlight w:val="none"/>
                <w:u w:val="none"/>
                <w:lang w:val="en-US" w:eastAsia="zh-CN" w:bidi="ar"/>
              </w:rPr>
              <w:t>项目</w:t>
            </w:r>
          </w:p>
        </w:tc>
        <w:tc>
          <w:tcPr>
            <w:tcW w:w="230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E04287">
            <w:pPr>
              <w:keepNext w:val="0"/>
              <w:keepLines w:val="0"/>
              <w:widowControl/>
              <w:suppressLineNumbers w:val="0"/>
              <w:jc w:val="center"/>
              <w:textAlignment w:val="center"/>
              <w:rPr>
                <w:rFonts w:hint="eastAsia" w:ascii="宋体" w:hAnsi="宋体" w:eastAsia="宋体" w:cs="宋体"/>
                <w:b/>
                <w:bCs/>
                <w:i w:val="0"/>
                <w:iCs w:val="0"/>
                <w:color w:val="auto"/>
                <w:sz w:val="21"/>
                <w:szCs w:val="21"/>
                <w:highlight w:val="none"/>
                <w:u w:val="none"/>
              </w:rPr>
            </w:pPr>
            <w:r>
              <w:rPr>
                <w:rFonts w:hint="eastAsia" w:ascii="宋体" w:hAnsi="宋体" w:eastAsia="宋体" w:cs="宋体"/>
                <w:b/>
                <w:bCs/>
                <w:i w:val="0"/>
                <w:iCs w:val="0"/>
                <w:color w:val="auto"/>
                <w:kern w:val="0"/>
                <w:sz w:val="21"/>
                <w:szCs w:val="21"/>
                <w:highlight w:val="none"/>
                <w:u w:val="none"/>
                <w:lang w:val="en-US" w:eastAsia="zh-CN" w:bidi="ar"/>
              </w:rPr>
              <w:t>规则</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948487">
            <w:pPr>
              <w:keepNext w:val="0"/>
              <w:keepLines w:val="0"/>
              <w:widowControl/>
              <w:suppressLineNumbers w:val="0"/>
              <w:jc w:val="center"/>
              <w:textAlignment w:val="center"/>
              <w:rPr>
                <w:rFonts w:hint="eastAsia" w:ascii="宋体" w:hAnsi="宋体" w:eastAsia="宋体" w:cs="宋体"/>
                <w:b/>
                <w:bCs/>
                <w:i w:val="0"/>
                <w:iCs w:val="0"/>
                <w:color w:val="auto"/>
                <w:sz w:val="21"/>
                <w:szCs w:val="21"/>
                <w:highlight w:val="none"/>
                <w:u w:val="none"/>
              </w:rPr>
            </w:pPr>
            <w:r>
              <w:rPr>
                <w:rFonts w:hint="eastAsia" w:ascii="宋体" w:hAnsi="宋体" w:eastAsia="宋体" w:cs="宋体"/>
                <w:b/>
                <w:bCs/>
                <w:i w:val="0"/>
                <w:iCs w:val="0"/>
                <w:color w:val="auto"/>
                <w:kern w:val="0"/>
                <w:sz w:val="21"/>
                <w:szCs w:val="21"/>
                <w:highlight w:val="none"/>
                <w:u w:val="none"/>
                <w:lang w:val="en-US" w:eastAsia="zh-CN" w:bidi="ar"/>
              </w:rPr>
              <w:t>计费</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D2C788">
            <w:pPr>
              <w:keepNext w:val="0"/>
              <w:keepLines w:val="0"/>
              <w:widowControl/>
              <w:suppressLineNumbers w:val="0"/>
              <w:jc w:val="center"/>
              <w:textAlignment w:val="center"/>
              <w:rPr>
                <w:rFonts w:hint="eastAsia" w:ascii="宋体" w:hAnsi="宋体" w:eastAsia="宋体" w:cs="宋体"/>
                <w:b/>
                <w:bCs/>
                <w:i w:val="0"/>
                <w:iCs w:val="0"/>
                <w:color w:val="auto"/>
                <w:sz w:val="21"/>
                <w:szCs w:val="21"/>
                <w:highlight w:val="none"/>
                <w:u w:val="none"/>
              </w:rPr>
            </w:pPr>
            <w:r>
              <w:rPr>
                <w:rFonts w:hint="eastAsia" w:ascii="宋体" w:hAnsi="宋体" w:eastAsia="宋体" w:cs="宋体"/>
                <w:b/>
                <w:bCs/>
                <w:i w:val="0"/>
                <w:iCs w:val="0"/>
                <w:color w:val="auto"/>
                <w:kern w:val="0"/>
                <w:sz w:val="21"/>
                <w:szCs w:val="21"/>
                <w:highlight w:val="none"/>
                <w:u w:val="none"/>
                <w:lang w:val="en-US" w:eastAsia="zh-CN" w:bidi="ar"/>
              </w:rPr>
              <w:t>备注</w:t>
            </w:r>
          </w:p>
        </w:tc>
      </w:tr>
      <w:tr w14:paraId="7AAB60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6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1F223C">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过磅费</w:t>
            </w:r>
          </w:p>
        </w:tc>
        <w:tc>
          <w:tcPr>
            <w:tcW w:w="230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ECA69D">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采购人的客户要求以第三方地磅为准，需在第三方地磅过磅，产生的过磅费用</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AAB6CA">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按实际执行</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663020">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对账需提供：过磅单、收据</w:t>
            </w:r>
          </w:p>
        </w:tc>
      </w:tr>
      <w:tr w14:paraId="1CA8CAE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40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655ECB">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顺带包装物费用</w:t>
            </w:r>
          </w:p>
        </w:tc>
        <w:tc>
          <w:tcPr>
            <w:tcW w:w="230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475590">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顺带包装物按照重量计费：</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1、单车带20个及以上200L桶；</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2、单车带10个及以上吨桶；</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3、单车带50个及以上卡板；</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符合以上任一项即可计费，否则不予计费</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85E2B9">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200元/车</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6DBD51">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对账需提供：包装物交接单，重量核对清单</w:t>
            </w:r>
          </w:p>
        </w:tc>
      </w:tr>
      <w:tr w14:paraId="657C08F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DE14AC">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专车送包装物</w:t>
            </w:r>
          </w:p>
        </w:tc>
        <w:tc>
          <w:tcPr>
            <w:tcW w:w="230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EF00D1">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需专车送包装物的</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7FECF7">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按运价的70%计费</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402778">
            <w:pPr>
              <w:jc w:val="left"/>
              <w:rPr>
                <w:rFonts w:hint="eastAsia" w:ascii="宋体" w:hAnsi="宋体" w:eastAsia="宋体" w:cs="宋体"/>
                <w:i w:val="0"/>
                <w:iCs w:val="0"/>
                <w:color w:val="auto"/>
                <w:sz w:val="21"/>
                <w:szCs w:val="21"/>
                <w:highlight w:val="none"/>
                <w:u w:val="none"/>
              </w:rPr>
            </w:pPr>
          </w:p>
        </w:tc>
      </w:tr>
      <w:tr w14:paraId="0FD02DB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680" w:hRule="atLeast"/>
        </w:trPr>
        <w:tc>
          <w:tcPr>
            <w:tcW w:w="1193" w:type="dxa"/>
            <w:tcBorders>
              <w:top w:val="single" w:color="000000" w:sz="4" w:space="0"/>
              <w:left w:val="single" w:color="000000" w:sz="4" w:space="0"/>
              <w:bottom w:val="single" w:color="auto" w:sz="4" w:space="0"/>
              <w:right w:val="single" w:color="000000" w:sz="4" w:space="0"/>
            </w:tcBorders>
            <w:shd w:val="clear" w:color="auto" w:fill="auto"/>
            <w:noWrap/>
            <w:vAlign w:val="center"/>
          </w:tcPr>
          <w:p w14:paraId="74EB4BB4">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拼车费</w:t>
            </w:r>
          </w:p>
        </w:tc>
        <w:tc>
          <w:tcPr>
            <w:tcW w:w="2306" w:type="dxa"/>
            <w:tcBorders>
              <w:top w:val="single" w:color="000000" w:sz="4" w:space="0"/>
              <w:left w:val="single" w:color="000000" w:sz="4" w:space="0"/>
              <w:bottom w:val="single" w:color="auto" w:sz="4" w:space="0"/>
              <w:right w:val="single" w:color="000000" w:sz="4" w:space="0"/>
            </w:tcBorders>
            <w:shd w:val="clear" w:color="auto" w:fill="auto"/>
            <w:vAlign w:val="center"/>
          </w:tcPr>
          <w:p w14:paraId="5C2F51C8">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1、同一工业园区的不同客户，不计算拼车费；</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2、不同工业园区，同一“区/县/镇”按100元/家计算拼车费；</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3、不同“区/县/镇”按150元/家计算拼车费。</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E31044">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按规则</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100元/家</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或</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150元/家</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C71A9B">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原则上不顺路不予拼车；“区/县/镇”的定义以报价单的“区/县/镇”划分为准。</w:t>
            </w:r>
          </w:p>
        </w:tc>
      </w:tr>
      <w:tr w14:paraId="327A2D1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818" w:hRule="atLeast"/>
        </w:trPr>
        <w:tc>
          <w:tcPr>
            <w:tcW w:w="1193"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0A37B2E">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装卸费</w:t>
            </w:r>
          </w:p>
        </w:tc>
        <w:tc>
          <w:tcPr>
            <w:tcW w:w="2306" w:type="dxa"/>
            <w:tcBorders>
              <w:top w:val="single" w:color="auto" w:sz="4" w:space="0"/>
              <w:left w:val="single" w:color="auto" w:sz="4" w:space="0"/>
              <w:bottom w:val="single" w:color="auto" w:sz="4" w:space="0"/>
              <w:right w:val="single" w:color="auto" w:sz="4" w:space="0"/>
            </w:tcBorders>
            <w:shd w:val="clear" w:color="auto" w:fill="auto"/>
            <w:vAlign w:val="center"/>
          </w:tcPr>
          <w:p w14:paraId="35181A9C">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按装卸费标准执行。</w:t>
            </w:r>
          </w:p>
        </w:tc>
        <w:tc>
          <w:tcPr>
            <w:tcW w:w="1109" w:type="dxa"/>
            <w:tcBorders>
              <w:top w:val="single" w:color="000000" w:sz="4" w:space="0"/>
              <w:left w:val="single" w:color="auto" w:sz="4" w:space="0"/>
              <w:bottom w:val="single" w:color="000000" w:sz="4" w:space="0"/>
              <w:right w:val="single" w:color="000000" w:sz="4" w:space="0"/>
            </w:tcBorders>
            <w:shd w:val="clear" w:color="auto" w:fill="auto"/>
            <w:vAlign w:val="center"/>
          </w:tcPr>
          <w:p w14:paraId="3497177F">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见装卸费标准</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0BDFE1">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费用的申请：</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每月制作搬运打包费申请表，表内必须包含收运日期、客户名称、搬运废物的重量，同时提供对应客户现场能体现打包服务的水印照片和短视频，视频及照片文件名须按“日期+客户+重量”格式命名，并电子版打包发至采购人留存。</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2、提供对账单纸质时，须将对应的水印照片打印出来作为结算凭证，对账纸质资料每页盖章。</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3、无法提供上述资料的不予支付打包费用（客户现场不允许携带手机的，可与客户沟通协助拍摄，协商不成的需要提前告知采购人，以便采购人与客户确认打包服务属实）。</w:t>
            </w:r>
          </w:p>
        </w:tc>
      </w:tr>
      <w:tr w14:paraId="2211808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1193" w:type="dxa"/>
            <w:tcBorders>
              <w:top w:val="single" w:color="auto" w:sz="4" w:space="0"/>
              <w:left w:val="single" w:color="000000" w:sz="4" w:space="0"/>
              <w:bottom w:val="single" w:color="000000" w:sz="4" w:space="0"/>
              <w:right w:val="single" w:color="000000" w:sz="4" w:space="0"/>
            </w:tcBorders>
            <w:shd w:val="clear" w:color="auto" w:fill="auto"/>
            <w:noWrap/>
            <w:vAlign w:val="center"/>
          </w:tcPr>
          <w:p w14:paraId="5FAF670C">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放空费</w:t>
            </w:r>
          </w:p>
        </w:tc>
        <w:tc>
          <w:tcPr>
            <w:tcW w:w="2306" w:type="dxa"/>
            <w:tcBorders>
              <w:top w:val="single" w:color="auto" w:sz="4" w:space="0"/>
              <w:left w:val="single" w:color="000000" w:sz="4" w:space="0"/>
              <w:bottom w:val="single" w:color="000000" w:sz="4" w:space="0"/>
              <w:right w:val="single" w:color="000000" w:sz="4" w:space="0"/>
            </w:tcBorders>
            <w:shd w:val="clear" w:color="auto" w:fill="FFFFFF"/>
            <w:vAlign w:val="center"/>
          </w:tcPr>
          <w:p w14:paraId="5D580E4B">
            <w:pPr>
              <w:keepNext w:val="0"/>
              <w:keepLines w:val="0"/>
              <w:widowControl/>
              <w:suppressLineNumbers w:val="0"/>
              <w:jc w:val="both"/>
              <w:textAlignment w:val="center"/>
              <w:rPr>
                <w:rFonts w:hint="eastAsia" w:ascii="宋体" w:hAnsi="宋体" w:eastAsia="宋体" w:cs="宋体"/>
                <w:i w:val="0"/>
                <w:iCs w:val="0"/>
                <w:color w:val="auto"/>
                <w:sz w:val="21"/>
                <w:szCs w:val="21"/>
                <w:highlight w:val="none"/>
                <w:u w:val="none"/>
              </w:rPr>
            </w:pPr>
            <w:r>
              <w:rPr>
                <w:rFonts w:hint="eastAsia" w:ascii="宋体" w:hAnsi="宋体" w:cs="宋体"/>
                <w:color w:val="auto"/>
                <w:szCs w:val="21"/>
                <w:highlight w:val="none"/>
                <w:u w:val="none"/>
                <w:lang w:bidi="ar"/>
              </w:rPr>
              <w:t>采购人派单给到运输公司，运输公司已开始承接运输任务后，由于采购人或其客户原因导致该批次废物无法收运，运输公司空车往返产生的相关费用</w:t>
            </w:r>
          </w:p>
        </w:tc>
        <w:tc>
          <w:tcPr>
            <w:tcW w:w="110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BFED05C">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运价的60%</w:t>
            </w:r>
          </w:p>
        </w:tc>
        <w:tc>
          <w:tcPr>
            <w:tcW w:w="369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9D9807E">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不提供放空费情况如下：</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1、因不可抗力如台风等因素无法收运的；</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2、运输单位车辆故障无法按时抵达客户现场装货的；</w:t>
            </w:r>
          </w:p>
        </w:tc>
      </w:tr>
      <w:tr w14:paraId="3977ED8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8E47BC">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押车费</w:t>
            </w:r>
          </w:p>
        </w:tc>
        <w:tc>
          <w:tcPr>
            <w:tcW w:w="230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2F1294A">
            <w:pPr>
              <w:keepNext w:val="0"/>
              <w:keepLines w:val="0"/>
              <w:widowControl/>
              <w:suppressLineNumbers w:val="0"/>
              <w:jc w:val="both"/>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采购人派单给到运输公司，运输公司已承接该批次废物，但因采购人或其客户原因导致无法当天完成卸货释放运输公司运力，货物需要滞留在车上过夜产生的相关费用，按车型付压车费</w:t>
            </w:r>
          </w:p>
        </w:tc>
        <w:tc>
          <w:tcPr>
            <w:tcW w:w="110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818DCF3">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5.2米厢车：600元/夜</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7.6米厢车：800元/夜</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9.6米厢车：1000元/夜</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12米挂车：1200元/夜</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18立方槽车：1000元/夜</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30立方槽车：1200元/夜</w:t>
            </w:r>
          </w:p>
        </w:tc>
        <w:tc>
          <w:tcPr>
            <w:tcW w:w="369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7734841">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不提供押车费情况如下：</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1、因客户运距远，无法当天及时返回导致押车的；</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2、因不可抗力如台风等因素无法卸货导致押车的；</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3、运输单位车辆故障无法按时抵达采购人厂区卸货导致押车的；</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4、非工作时间段进场，且未在当天提前报备（下午16时前报备）导致进场后无法卸货押车的；</w:t>
            </w:r>
          </w:p>
        </w:tc>
      </w:tr>
      <w:tr w14:paraId="2434FE0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488CC8">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机械租赁费</w:t>
            </w:r>
          </w:p>
        </w:tc>
        <w:tc>
          <w:tcPr>
            <w:tcW w:w="230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D5432D">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因甲方客户装卸货物需要，经采购人同意，需外请叉车、挖掘机、吸污设备进行装货的。</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CF2FF7">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按照实际价格结算</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78FF78">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对账需提供：带水印的现场照片、收据或付款记录。费用由运输单位垫付，计入当月运输对账单中，于当月开具运输服务发票进行对账结算。</w:t>
            </w:r>
          </w:p>
        </w:tc>
      </w:tr>
      <w:tr w14:paraId="5EC1AE5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619E72">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剧毒运输</w:t>
            </w:r>
          </w:p>
        </w:tc>
        <w:tc>
          <w:tcPr>
            <w:tcW w:w="230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8E0946">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cs="宋体"/>
                <w:i w:val="0"/>
                <w:iCs w:val="0"/>
                <w:color w:val="auto"/>
                <w:kern w:val="0"/>
                <w:sz w:val="21"/>
                <w:szCs w:val="21"/>
                <w:highlight w:val="none"/>
                <w:u w:val="none"/>
                <w:lang w:val="en-US" w:eastAsia="zh-CN" w:bidi="ar"/>
              </w:rPr>
              <w:t>成交人</w:t>
            </w:r>
            <w:r>
              <w:rPr>
                <w:rFonts w:hint="eastAsia" w:ascii="宋体" w:hAnsi="宋体" w:eastAsia="宋体" w:cs="宋体"/>
                <w:i w:val="0"/>
                <w:iCs w:val="0"/>
                <w:color w:val="auto"/>
                <w:kern w:val="0"/>
                <w:sz w:val="21"/>
                <w:szCs w:val="21"/>
                <w:highlight w:val="none"/>
                <w:u w:val="none"/>
                <w:lang w:val="en-US" w:eastAsia="zh-CN" w:bidi="ar"/>
              </w:rPr>
              <w:t>不得因资质问题跳单，</w:t>
            </w:r>
            <w:r>
              <w:rPr>
                <w:rFonts w:hint="eastAsia" w:ascii="宋体" w:hAnsi="宋体" w:cs="宋体"/>
                <w:i w:val="0"/>
                <w:iCs w:val="0"/>
                <w:color w:val="auto"/>
                <w:kern w:val="0"/>
                <w:sz w:val="21"/>
                <w:szCs w:val="21"/>
                <w:highlight w:val="none"/>
                <w:u w:val="none"/>
                <w:lang w:val="en-US" w:eastAsia="zh-CN" w:bidi="ar"/>
              </w:rPr>
              <w:t>采购人</w:t>
            </w:r>
            <w:r>
              <w:rPr>
                <w:rFonts w:hint="eastAsia" w:ascii="宋体" w:hAnsi="宋体" w:eastAsia="宋体" w:cs="宋体"/>
                <w:i w:val="0"/>
                <w:iCs w:val="0"/>
                <w:color w:val="auto"/>
                <w:kern w:val="0"/>
                <w:sz w:val="21"/>
                <w:szCs w:val="21"/>
                <w:highlight w:val="none"/>
                <w:u w:val="none"/>
                <w:lang w:val="en-US" w:eastAsia="zh-CN" w:bidi="ar"/>
              </w:rPr>
              <w:t>按正常运输价格上浮500元/车支付运费</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02E55F">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500元/车</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2BC961">
            <w:pPr>
              <w:jc w:val="left"/>
              <w:rPr>
                <w:rFonts w:hint="eastAsia" w:ascii="宋体" w:hAnsi="宋体" w:eastAsia="宋体" w:cs="宋体"/>
                <w:i w:val="0"/>
                <w:iCs w:val="0"/>
                <w:color w:val="auto"/>
                <w:sz w:val="21"/>
                <w:szCs w:val="21"/>
                <w:highlight w:val="none"/>
                <w:u w:val="none"/>
              </w:rPr>
            </w:pPr>
          </w:p>
        </w:tc>
      </w:tr>
    </w:tbl>
    <w:p w14:paraId="61A54E9B">
      <w:pPr>
        <w:jc w:val="center"/>
        <w:outlineLvl w:val="9"/>
        <w:rPr>
          <w:rFonts w:ascii="黑体" w:eastAsia="黑体"/>
          <w:color w:val="auto"/>
          <w:sz w:val="28"/>
          <w:szCs w:val="28"/>
          <w:highlight w:val="none"/>
        </w:rPr>
        <w:sectPr>
          <w:pgSz w:w="11906" w:h="16838"/>
          <w:pgMar w:top="1418" w:right="1800" w:bottom="1440" w:left="1800" w:header="851" w:footer="992" w:gutter="0"/>
          <w:pgBorders>
            <w:top w:val="none" w:sz="0" w:space="0"/>
            <w:left w:val="none" w:sz="0" w:space="0"/>
            <w:bottom w:val="none" w:sz="0" w:space="0"/>
            <w:right w:val="none" w:sz="0" w:space="0"/>
          </w:pgBorders>
          <w:pgNumType w:fmt="decimal"/>
          <w:cols w:space="720" w:num="1"/>
          <w:docGrid w:type="lines" w:linePitch="312" w:charSpace="0"/>
        </w:sectPr>
      </w:pPr>
    </w:p>
    <w:p w14:paraId="5B24429A">
      <w:pPr>
        <w:jc w:val="left"/>
        <w:outlineLvl w:val="1"/>
        <w:rPr>
          <w:rFonts w:ascii="Times New Roman" w:hAnsi="Times New Roman" w:cs="Times New Roman"/>
          <w:b/>
          <w:color w:val="auto"/>
          <w:szCs w:val="21"/>
          <w:highlight w:val="none"/>
        </w:rPr>
      </w:pPr>
      <w:bookmarkStart w:id="184" w:name="_Toc24751"/>
      <w:bookmarkStart w:id="185" w:name="_Toc2916"/>
      <w:bookmarkStart w:id="186" w:name="_Toc8287"/>
      <w:bookmarkStart w:id="187" w:name="_Toc30801"/>
      <w:bookmarkStart w:id="188" w:name="_Toc21941"/>
      <w:bookmarkStart w:id="189" w:name="_Toc32030"/>
      <w:bookmarkStart w:id="190" w:name="_Toc11871"/>
      <w:bookmarkStart w:id="191" w:name="_Toc5306"/>
      <w:bookmarkStart w:id="192" w:name="_Toc22269"/>
      <w:bookmarkStart w:id="193" w:name="_Toc8103"/>
      <w:bookmarkStart w:id="194" w:name="_Toc32167"/>
      <w:r>
        <w:rPr>
          <w:rFonts w:hint="eastAsia" w:ascii="宋体" w:hAnsi="宋体"/>
          <w:b/>
          <w:color w:val="auto"/>
          <w:sz w:val="21"/>
          <w:szCs w:val="21"/>
          <w:highlight w:val="none"/>
        </w:rPr>
        <w:t>技术需求书</w:t>
      </w:r>
      <w:r>
        <w:rPr>
          <w:rFonts w:ascii="Times New Roman" w:hAnsi="Times New Roman" w:cs="Times New Roman"/>
          <w:b/>
          <w:color w:val="auto"/>
          <w:szCs w:val="21"/>
          <w:highlight w:val="none"/>
        </w:rPr>
        <w:t>附件</w:t>
      </w:r>
      <w:r>
        <w:rPr>
          <w:rFonts w:hint="eastAsia" w:cs="Times New Roman"/>
          <w:b/>
          <w:color w:val="auto"/>
          <w:szCs w:val="21"/>
          <w:highlight w:val="none"/>
          <w:lang w:val="en-US" w:eastAsia="zh-CN"/>
        </w:rPr>
        <w:t>5：</w:t>
      </w:r>
      <w:r>
        <w:rPr>
          <w:rFonts w:ascii="Times New Roman" w:hAnsi="Times New Roman" w:cs="Times New Roman"/>
          <w:b/>
          <w:color w:val="auto"/>
          <w:szCs w:val="21"/>
          <w:highlight w:val="none"/>
        </w:rPr>
        <w:t>《</w:t>
      </w:r>
      <w:r>
        <w:rPr>
          <w:rFonts w:hint="eastAsia" w:ascii="Times New Roman" w:hAnsi="Times New Roman" w:cs="Times New Roman"/>
          <w:b/>
          <w:color w:val="auto"/>
          <w:szCs w:val="21"/>
          <w:highlight w:val="none"/>
        </w:rPr>
        <w:t>东莞市新东欣环保投资有限公司承运单位违规行为处罚条款</w:t>
      </w:r>
      <w:r>
        <w:rPr>
          <w:rFonts w:ascii="Times New Roman" w:hAnsi="Times New Roman" w:cs="Times New Roman"/>
          <w:b/>
          <w:color w:val="auto"/>
          <w:szCs w:val="21"/>
          <w:highlight w:val="none"/>
        </w:rPr>
        <w:t>》</w:t>
      </w:r>
      <w:bookmarkEnd w:id="184"/>
      <w:bookmarkEnd w:id="185"/>
      <w:bookmarkEnd w:id="186"/>
      <w:bookmarkEnd w:id="187"/>
      <w:bookmarkEnd w:id="188"/>
      <w:bookmarkEnd w:id="189"/>
      <w:bookmarkEnd w:id="190"/>
      <w:bookmarkEnd w:id="191"/>
      <w:bookmarkEnd w:id="192"/>
      <w:bookmarkEnd w:id="193"/>
      <w:bookmarkEnd w:id="194"/>
    </w:p>
    <w:tbl>
      <w:tblPr>
        <w:tblStyle w:val="28"/>
        <w:tblW w:w="8271" w:type="dxa"/>
        <w:tblInd w:w="98"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590"/>
        <w:gridCol w:w="879"/>
        <w:gridCol w:w="4745"/>
        <w:gridCol w:w="2057"/>
      </w:tblGrid>
      <w:tr w14:paraId="317249D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40" w:hRule="atLeast"/>
        </w:trPr>
        <w:tc>
          <w:tcPr>
            <w:tcW w:w="8271" w:type="dxa"/>
            <w:gridSpan w:val="4"/>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9F908DB">
            <w:pPr>
              <w:keepNext w:val="0"/>
              <w:keepLines w:val="0"/>
              <w:widowControl/>
              <w:suppressLineNumbers w:val="0"/>
              <w:jc w:val="center"/>
              <w:textAlignment w:val="center"/>
              <w:rPr>
                <w:rFonts w:hint="eastAsia" w:ascii="宋体" w:hAnsi="宋体" w:eastAsia="宋体" w:cs="宋体"/>
                <w:b/>
                <w:bCs/>
                <w:i w:val="0"/>
                <w:iCs w:val="0"/>
                <w:color w:val="auto"/>
                <w:kern w:val="0"/>
                <w:sz w:val="18"/>
                <w:szCs w:val="18"/>
                <w:highlight w:val="none"/>
                <w:u w:val="none"/>
                <w:lang w:val="en-US" w:eastAsia="zh-CN" w:bidi="ar"/>
              </w:rPr>
            </w:pPr>
            <w:r>
              <w:rPr>
                <w:rFonts w:hint="eastAsia" w:ascii="宋体" w:hAnsi="宋体" w:eastAsia="宋体" w:cs="宋体"/>
                <w:b/>
                <w:bCs/>
                <w:i w:val="0"/>
                <w:iCs w:val="0"/>
                <w:color w:val="auto"/>
                <w:kern w:val="0"/>
                <w:sz w:val="18"/>
                <w:szCs w:val="18"/>
                <w:highlight w:val="none"/>
                <w:u w:val="none"/>
                <w:lang w:val="en-US" w:eastAsia="zh-CN" w:bidi="ar"/>
              </w:rPr>
              <w:t>东莞市新东欣环保投资有限公司承运单位违规行为处罚条款</w:t>
            </w:r>
          </w:p>
          <w:p w14:paraId="7360D2D3">
            <w:pPr>
              <w:keepNext w:val="0"/>
              <w:keepLines w:val="0"/>
              <w:widowControl/>
              <w:suppressLineNumbers w:val="0"/>
              <w:jc w:val="both"/>
              <w:textAlignment w:val="center"/>
              <w:rPr>
                <w:rFonts w:hint="eastAsia" w:ascii="宋体" w:hAnsi="宋体" w:eastAsia="宋体" w:cs="宋体"/>
                <w:b/>
                <w:bCs/>
                <w:i w:val="0"/>
                <w:iCs w:val="0"/>
                <w:color w:val="auto"/>
                <w:kern w:val="0"/>
                <w:sz w:val="18"/>
                <w:szCs w:val="18"/>
                <w:highlight w:val="none"/>
                <w:u w:val="none"/>
                <w:lang w:val="en-US" w:eastAsia="zh-CN" w:bidi="ar"/>
              </w:rPr>
            </w:pPr>
            <w:r>
              <w:rPr>
                <w:rFonts w:hint="eastAsia" w:ascii="宋体" w:hAnsi="宋体" w:cs="宋体"/>
                <w:b/>
                <w:bCs/>
                <w:i w:val="0"/>
                <w:iCs w:val="0"/>
                <w:color w:val="auto"/>
                <w:kern w:val="0"/>
                <w:sz w:val="18"/>
                <w:szCs w:val="18"/>
                <w:highlight w:val="none"/>
                <w:u w:val="none"/>
                <w:lang w:val="en-US" w:eastAsia="zh-CN" w:bidi="ar"/>
              </w:rPr>
              <w:t>说明：</w:t>
            </w:r>
            <w:r>
              <w:rPr>
                <w:rFonts w:hint="eastAsia" w:ascii="宋体" w:hAnsi="宋体" w:cs="宋体"/>
                <w:b/>
                <w:bCs/>
                <w:color w:val="auto"/>
                <w:sz w:val="18"/>
                <w:szCs w:val="18"/>
                <w:highlight w:val="none"/>
                <w:u w:val="none"/>
                <w:lang w:val="en-US" w:eastAsia="zh-CN" w:bidi="ar"/>
              </w:rPr>
              <w:t>以下</w:t>
            </w:r>
            <w:r>
              <w:rPr>
                <w:rFonts w:hint="eastAsia" w:ascii="宋体" w:hAnsi="宋体" w:cs="宋体"/>
                <w:b/>
                <w:bCs/>
                <w:color w:val="auto"/>
                <w:sz w:val="18"/>
                <w:szCs w:val="18"/>
                <w:highlight w:val="none"/>
                <w:u w:val="none"/>
                <w:lang w:bidi="ar"/>
              </w:rPr>
              <w:t>罚款属于违约金，均为人民币</w:t>
            </w:r>
            <w:r>
              <w:rPr>
                <w:rFonts w:hint="eastAsia" w:ascii="宋体" w:hAnsi="宋体" w:cs="宋体"/>
                <w:b/>
                <w:bCs/>
                <w:color w:val="auto"/>
                <w:sz w:val="18"/>
                <w:szCs w:val="18"/>
                <w:highlight w:val="none"/>
                <w:u w:val="none"/>
                <w:lang w:eastAsia="zh-CN" w:bidi="ar"/>
              </w:rPr>
              <w:t>。</w:t>
            </w:r>
          </w:p>
        </w:tc>
      </w:tr>
      <w:tr w14:paraId="0089D95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40" w:hRule="atLeast"/>
        </w:trPr>
        <w:tc>
          <w:tcPr>
            <w:tcW w:w="8271" w:type="dxa"/>
            <w:gridSpan w:val="4"/>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EE0B7D0">
            <w:pPr>
              <w:jc w:val="center"/>
              <w:rPr>
                <w:rFonts w:hint="eastAsia" w:ascii="宋体" w:hAnsi="宋体" w:eastAsia="宋体" w:cs="宋体"/>
                <w:b/>
                <w:bCs/>
                <w:i w:val="0"/>
                <w:iCs w:val="0"/>
                <w:color w:val="auto"/>
                <w:sz w:val="18"/>
                <w:szCs w:val="18"/>
                <w:highlight w:val="none"/>
                <w:u w:val="none"/>
              </w:rPr>
            </w:pPr>
          </w:p>
        </w:tc>
      </w:tr>
      <w:tr w14:paraId="7BB6349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590" w:type="dxa"/>
            <w:tcBorders>
              <w:top w:val="single" w:color="000000" w:sz="4" w:space="0"/>
              <w:left w:val="single" w:color="000000" w:sz="4" w:space="0"/>
              <w:bottom w:val="single" w:color="000000" w:sz="4" w:space="0"/>
              <w:right w:val="nil"/>
            </w:tcBorders>
            <w:shd w:val="clear" w:color="auto" w:fill="auto"/>
            <w:vAlign w:val="center"/>
          </w:tcPr>
          <w:p w14:paraId="0FF545B7">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项目分类</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EC6AEC">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序号</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EE41FCA">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违规行为</w:t>
            </w:r>
          </w:p>
        </w:tc>
        <w:tc>
          <w:tcPr>
            <w:tcW w:w="20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CAF0BB">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处罚措施</w:t>
            </w:r>
          </w:p>
        </w:tc>
      </w:tr>
      <w:tr w14:paraId="51B598A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59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5741A69">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条款明细</w:t>
            </w: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6A736F6">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8FF8AD8">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送货单上的废物名称错误、包装物重量错扣、重量错计、数字顺序错填、不同废物重量错调、数量单位写错、现场未与客户一一核对确认送货单数据造成客户漏签字或者代替客户签字、送货单涂改或底联不清晰等造成送货单数据异常引起纠纷后经确认属于运输人员原因造成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7E368CC">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罚款300元/次</w:t>
            </w:r>
          </w:p>
        </w:tc>
      </w:tr>
      <w:tr w14:paraId="3A4CCC1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2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626422F">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48FFAE6">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526FFE9">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运输单位原因错扫、漏扫、迟扫联单，导致联单运输时间与实际运输时间不一致的；或者运输单位原因导致联单作废重新提交的。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C4BAEC5">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罚款300元/次</w:t>
            </w:r>
          </w:p>
        </w:tc>
      </w:tr>
      <w:tr w14:paraId="7C3300E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68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4526634">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122A343">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3</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FE0726D">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人员操作不当导致废物泄露或发生反应的：包括不限于收运前未检查废物包装、液位，包装物破损未及时发现，未按规范打包货装车，缠膜不牢导致废物倾倒，车辆防泄漏措施不当导致废物泄漏至路面。该异常现象发生的地点不限于采购人厂区、运输途中、采购人的客户厂区。</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8D84E8B">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罚款500元/次；</w:t>
            </w:r>
            <w:r>
              <w:rPr>
                <w:rFonts w:hint="eastAsia" w:ascii="宋体" w:hAnsi="宋体" w:eastAsia="宋体" w:cs="宋体"/>
                <w:i w:val="0"/>
                <w:iCs w:val="0"/>
                <w:color w:val="auto"/>
                <w:kern w:val="0"/>
                <w:sz w:val="18"/>
                <w:szCs w:val="18"/>
                <w:highlight w:val="none"/>
                <w:u w:val="none"/>
                <w:lang w:val="en-US" w:eastAsia="zh-CN" w:bidi="ar"/>
              </w:rPr>
              <w:br w:type="textWrapping"/>
            </w:r>
            <w:r>
              <w:rPr>
                <w:rFonts w:hint="eastAsia" w:ascii="宋体" w:hAnsi="宋体" w:eastAsia="宋体" w:cs="宋体"/>
                <w:i w:val="0"/>
                <w:iCs w:val="0"/>
                <w:color w:val="auto"/>
                <w:kern w:val="0"/>
                <w:sz w:val="18"/>
                <w:szCs w:val="18"/>
                <w:highlight w:val="none"/>
                <w:u w:val="none"/>
                <w:lang w:val="en-US" w:eastAsia="zh-CN" w:bidi="ar"/>
              </w:rPr>
              <w:t>造成环境污染事故的另行处罚；</w:t>
            </w:r>
            <w:r>
              <w:rPr>
                <w:rFonts w:hint="eastAsia" w:ascii="宋体" w:hAnsi="宋体" w:eastAsia="宋体" w:cs="宋体"/>
                <w:i w:val="0"/>
                <w:iCs w:val="0"/>
                <w:color w:val="auto"/>
                <w:kern w:val="0"/>
                <w:sz w:val="18"/>
                <w:szCs w:val="18"/>
                <w:highlight w:val="none"/>
                <w:u w:val="none"/>
                <w:lang w:val="en-US" w:eastAsia="zh-CN" w:bidi="ar"/>
              </w:rPr>
              <w:br w:type="textWrapping"/>
            </w:r>
            <w:r>
              <w:rPr>
                <w:rFonts w:hint="eastAsia" w:ascii="宋体" w:hAnsi="宋体" w:eastAsia="宋体" w:cs="宋体"/>
                <w:i w:val="0"/>
                <w:iCs w:val="0"/>
                <w:color w:val="auto"/>
                <w:kern w:val="0"/>
                <w:sz w:val="18"/>
                <w:szCs w:val="18"/>
                <w:highlight w:val="none"/>
                <w:u w:val="none"/>
                <w:lang w:val="en-US" w:eastAsia="zh-CN" w:bidi="ar"/>
              </w:rPr>
              <w:t>采购人的客户方有相关处罚规定并出具罚单的；</w:t>
            </w:r>
            <w:r>
              <w:rPr>
                <w:rFonts w:hint="eastAsia" w:ascii="宋体" w:hAnsi="宋体" w:eastAsia="宋体" w:cs="宋体"/>
                <w:i w:val="0"/>
                <w:iCs w:val="0"/>
                <w:color w:val="auto"/>
                <w:kern w:val="0"/>
                <w:sz w:val="18"/>
                <w:szCs w:val="18"/>
                <w:highlight w:val="none"/>
                <w:u w:val="none"/>
                <w:lang w:val="en-US" w:eastAsia="zh-CN" w:bidi="ar"/>
              </w:rPr>
              <w:br w:type="textWrapping"/>
            </w:r>
            <w:r>
              <w:rPr>
                <w:rFonts w:hint="eastAsia" w:ascii="宋体" w:hAnsi="宋体" w:eastAsia="宋体" w:cs="宋体"/>
                <w:i w:val="0"/>
                <w:iCs w:val="0"/>
                <w:color w:val="auto"/>
                <w:kern w:val="0"/>
                <w:sz w:val="18"/>
                <w:szCs w:val="18"/>
                <w:highlight w:val="none"/>
                <w:u w:val="none"/>
                <w:lang w:val="en-US" w:eastAsia="zh-CN" w:bidi="ar"/>
              </w:rPr>
              <w:t>以上情况择重者处罚</w:t>
            </w:r>
          </w:p>
        </w:tc>
      </w:tr>
      <w:tr w14:paraId="17B4AF8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6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F4DEFF0">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FCEE3CC">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4</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C1D7801">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槽车运输前未清理罐内残留导致我司废物被污染，废物多项指标出现异常，处置成本上升或者有价废物贬值；废物在现场反应，存在安全隐患、或导致未遂事故、安全事故。</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6831176">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1、污染：罚款500元并赔偿因废物指标异常导致的处置成本上涨和有价废物损失；</w:t>
            </w:r>
            <w:r>
              <w:rPr>
                <w:rFonts w:hint="eastAsia" w:ascii="宋体" w:hAnsi="宋体" w:eastAsia="宋体" w:cs="宋体"/>
                <w:i w:val="0"/>
                <w:iCs w:val="0"/>
                <w:color w:val="auto"/>
                <w:kern w:val="0"/>
                <w:sz w:val="18"/>
                <w:szCs w:val="18"/>
                <w:highlight w:val="none"/>
                <w:u w:val="none"/>
                <w:lang w:val="en-US" w:eastAsia="zh-CN" w:bidi="ar"/>
              </w:rPr>
              <w:br w:type="textWrapping"/>
            </w:r>
            <w:r>
              <w:rPr>
                <w:rFonts w:hint="eastAsia" w:ascii="宋体" w:hAnsi="宋体" w:eastAsia="宋体" w:cs="宋体"/>
                <w:i w:val="0"/>
                <w:iCs w:val="0"/>
                <w:color w:val="auto"/>
                <w:kern w:val="0"/>
                <w:sz w:val="18"/>
                <w:szCs w:val="18"/>
                <w:highlight w:val="none"/>
                <w:u w:val="none"/>
                <w:lang w:val="en-US" w:eastAsia="zh-CN" w:bidi="ar"/>
              </w:rPr>
              <w:t>2、反应：废物反应导致其他罚款或人身伤害的，需承担相关处罚，并承担相关行政、刑事处罚、民事责任。</w:t>
            </w:r>
          </w:p>
        </w:tc>
      </w:tr>
      <w:tr w14:paraId="426B533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5DDE778">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C3D02BF">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5</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B30112E">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采购人的客户提出合理收运时间，运输公司确认可按要求时间到达，但最终运输人员未按约定时间抵达，且又未与客户协商达成其他一致的收运时间，导致投诉的，经确认属实。</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0BBCEFF">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罚款500元/次</w:t>
            </w:r>
          </w:p>
        </w:tc>
      </w:tr>
      <w:tr w14:paraId="62E0BAA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D5D5B67">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0F7CA2B">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6</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4E51C39">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运输单位原因导致采购人或者采购人的客户方的设备设施损坏，或者造成人员伤害的。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0F1474F">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据实赔偿并加收罚款500元；采购人的客户方有相关处罚规定，并出具罚单的，择重者处罚。</w:t>
            </w:r>
          </w:p>
        </w:tc>
      </w:tr>
      <w:tr w14:paraId="3A6594B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3BF9175">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F38EBE9">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7</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1C5999B">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运输作业人员在采购人或者采购人的客户厂内禁止吸烟区吸烟，被现场管理人员发现，并出具书面处罚通知。</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91DCC00">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罚款500元/人；</w:t>
            </w:r>
            <w:r>
              <w:rPr>
                <w:rFonts w:hint="eastAsia" w:ascii="宋体" w:hAnsi="宋体" w:eastAsia="宋体" w:cs="宋体"/>
                <w:i w:val="0"/>
                <w:iCs w:val="0"/>
                <w:color w:val="auto"/>
                <w:kern w:val="0"/>
                <w:sz w:val="18"/>
                <w:szCs w:val="18"/>
                <w:highlight w:val="none"/>
                <w:u w:val="none"/>
                <w:lang w:val="en-US" w:eastAsia="zh-CN" w:bidi="ar"/>
              </w:rPr>
              <w:br w:type="textWrapping"/>
            </w:r>
            <w:r>
              <w:rPr>
                <w:rFonts w:hint="eastAsia" w:ascii="宋体" w:hAnsi="宋体" w:eastAsia="宋体" w:cs="宋体"/>
                <w:i w:val="0"/>
                <w:iCs w:val="0"/>
                <w:color w:val="auto"/>
                <w:kern w:val="0"/>
                <w:sz w:val="18"/>
                <w:szCs w:val="18"/>
                <w:highlight w:val="none"/>
                <w:u w:val="none"/>
                <w:lang w:val="en-US" w:eastAsia="zh-CN" w:bidi="ar"/>
              </w:rPr>
              <w:t>采购人的客户有相关处罚规定，并出具罚单的，择重处罚。</w:t>
            </w:r>
          </w:p>
        </w:tc>
      </w:tr>
      <w:tr w14:paraId="2ED2526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6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39A1854">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0D3178E">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0D85ADE">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运输作业人员在采购人或者采购人的客户厂区内未按现场管理要求佩戴劳保用品，被现场管理人员发现，并出具书面处罚通知。</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1EABCD2">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罚款200元/人；</w:t>
            </w:r>
            <w:r>
              <w:rPr>
                <w:rFonts w:hint="eastAsia" w:ascii="宋体" w:hAnsi="宋体" w:eastAsia="宋体" w:cs="宋体"/>
                <w:i w:val="0"/>
                <w:iCs w:val="0"/>
                <w:color w:val="auto"/>
                <w:kern w:val="0"/>
                <w:sz w:val="18"/>
                <w:szCs w:val="18"/>
                <w:highlight w:val="none"/>
                <w:u w:val="none"/>
                <w:lang w:val="en-US" w:eastAsia="zh-CN" w:bidi="ar"/>
              </w:rPr>
              <w:br w:type="textWrapping"/>
            </w:r>
            <w:r>
              <w:rPr>
                <w:rFonts w:hint="eastAsia" w:ascii="宋体" w:hAnsi="宋体" w:eastAsia="宋体" w:cs="宋体"/>
                <w:i w:val="0"/>
                <w:iCs w:val="0"/>
                <w:color w:val="auto"/>
                <w:kern w:val="0"/>
                <w:sz w:val="18"/>
                <w:szCs w:val="18"/>
                <w:highlight w:val="none"/>
                <w:u w:val="none"/>
                <w:lang w:val="en-US" w:eastAsia="zh-CN" w:bidi="ar"/>
              </w:rPr>
              <w:t>采购人的客户有相关处罚规定，并出具罚单的，择重处罚。</w:t>
            </w:r>
          </w:p>
        </w:tc>
      </w:tr>
      <w:tr w14:paraId="08B67A0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9587C5B">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CF7585E">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9</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B0F09D6">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运输作业人员在采购人或者采购人的客户厂内未按限速规定行驶，被现场管理人员发现，并出具书面处罚通知。</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4C5778F">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罚款200元/人；</w:t>
            </w:r>
            <w:r>
              <w:rPr>
                <w:rFonts w:hint="eastAsia" w:ascii="宋体" w:hAnsi="宋体" w:eastAsia="宋体" w:cs="宋体"/>
                <w:i w:val="0"/>
                <w:iCs w:val="0"/>
                <w:color w:val="auto"/>
                <w:kern w:val="0"/>
                <w:sz w:val="18"/>
                <w:szCs w:val="18"/>
                <w:highlight w:val="none"/>
                <w:u w:val="none"/>
                <w:lang w:val="en-US" w:eastAsia="zh-CN" w:bidi="ar"/>
              </w:rPr>
              <w:br w:type="textWrapping"/>
            </w:r>
            <w:r>
              <w:rPr>
                <w:rFonts w:hint="eastAsia" w:ascii="宋体" w:hAnsi="宋体" w:eastAsia="宋体" w:cs="宋体"/>
                <w:i w:val="0"/>
                <w:iCs w:val="0"/>
                <w:color w:val="auto"/>
                <w:kern w:val="0"/>
                <w:sz w:val="18"/>
                <w:szCs w:val="18"/>
                <w:highlight w:val="none"/>
                <w:u w:val="none"/>
                <w:lang w:val="en-US" w:eastAsia="zh-CN" w:bidi="ar"/>
              </w:rPr>
              <w:t>采购人的客户有相关处罚规定，并出具罚单的，择重处罚。</w:t>
            </w:r>
          </w:p>
        </w:tc>
      </w:tr>
      <w:tr w14:paraId="429FAE2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D371216">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539DD25">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10</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00C9F2E">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除上述第6~9点外，运输作业人员在采购人或者采购人的客户厂内未遵守现场管理制度并引发投诉并出具罚单的其他情况。</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2BEDF4C">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每一单罚款500元；客户有相关处罚规定，并出具罚单的，择重处罚。</w:t>
            </w:r>
          </w:p>
        </w:tc>
      </w:tr>
      <w:tr w14:paraId="71AAB0B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2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22B7B2F">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5FFF3CE">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11</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14A82B9">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运输作业人员私自变买采购人有价物资，包括但不限于：委托运输的具有市场价值的废物、具有市场价值的包装物、具有市场价值的其他物资。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C65F282">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等价赔偿并解除合同</w:t>
            </w:r>
            <w:r>
              <w:rPr>
                <w:rFonts w:hint="eastAsia" w:ascii="宋体" w:hAnsi="宋体" w:cs="宋体"/>
                <w:i w:val="0"/>
                <w:iCs w:val="0"/>
                <w:color w:val="auto"/>
                <w:kern w:val="0"/>
                <w:sz w:val="18"/>
                <w:szCs w:val="18"/>
                <w:highlight w:val="none"/>
                <w:u w:val="none"/>
                <w:lang w:val="en-US" w:eastAsia="zh-CN" w:bidi="ar"/>
              </w:rPr>
              <w:t>没收</w:t>
            </w:r>
            <w:r>
              <w:rPr>
                <w:rFonts w:hint="eastAsia" w:ascii="宋体" w:hAnsi="宋体" w:eastAsia="宋体" w:cs="宋体"/>
                <w:i w:val="0"/>
                <w:iCs w:val="0"/>
                <w:color w:val="auto"/>
                <w:kern w:val="0"/>
                <w:sz w:val="18"/>
                <w:szCs w:val="18"/>
                <w:highlight w:val="none"/>
                <w:u w:val="none"/>
                <w:lang w:val="en-US" w:eastAsia="zh-CN" w:bidi="ar"/>
              </w:rPr>
              <w:t>履约</w:t>
            </w:r>
            <w:r>
              <w:rPr>
                <w:rFonts w:hint="eastAsia" w:ascii="宋体" w:hAnsi="宋体" w:cs="宋体"/>
                <w:i w:val="0"/>
                <w:iCs w:val="0"/>
                <w:color w:val="auto"/>
                <w:kern w:val="0"/>
                <w:sz w:val="18"/>
                <w:szCs w:val="18"/>
                <w:highlight w:val="none"/>
                <w:u w:val="none"/>
                <w:lang w:val="en-US" w:eastAsia="zh-CN" w:bidi="ar"/>
              </w:rPr>
              <w:t>保证金</w:t>
            </w:r>
            <w:r>
              <w:rPr>
                <w:rFonts w:hint="eastAsia" w:ascii="宋体" w:hAnsi="宋体" w:eastAsia="宋体" w:cs="宋体"/>
                <w:i w:val="0"/>
                <w:iCs w:val="0"/>
                <w:color w:val="auto"/>
                <w:kern w:val="0"/>
                <w:sz w:val="18"/>
                <w:szCs w:val="18"/>
                <w:highlight w:val="none"/>
                <w:u w:val="none"/>
                <w:lang w:val="en-US" w:eastAsia="zh-CN" w:bidi="ar"/>
              </w:rPr>
              <w:t>；情节严重的报警处理。</w:t>
            </w:r>
          </w:p>
        </w:tc>
      </w:tr>
      <w:tr w14:paraId="4D3ECA4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9479596">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41075A4">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12</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DEA18ED">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在收运现场发现未贴标示、标签的废物，须履行提醒和纠正的义务。未履行前述义务且未使用我司提供的标签填写清楚所收废物名称或采取其他措施进行标识废物，将未贴任何标示、标签的废物收运进入采购人厂区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CC06E7A">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罚款200元/次；若最终因此发生退货时，由运输公司承担退货费用</w:t>
            </w:r>
          </w:p>
        </w:tc>
      </w:tr>
      <w:tr w14:paraId="2EB0574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DB6E87E">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8545210">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13</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7C83321">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运输作业人员中途倾倒危险废物。</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306F4BD">
            <w:pPr>
              <w:keepNext w:val="0"/>
              <w:keepLines w:val="0"/>
              <w:widowControl/>
              <w:suppressLineNumbers w:val="0"/>
              <w:jc w:val="center"/>
              <w:textAlignment w:val="center"/>
              <w:rPr>
                <w:rFonts w:hint="default" w:ascii="宋体" w:hAnsi="宋体" w:eastAsia="宋体" w:cs="宋体"/>
                <w:i w:val="0"/>
                <w:iCs w:val="0"/>
                <w:color w:val="auto"/>
                <w:sz w:val="18"/>
                <w:szCs w:val="18"/>
                <w:highlight w:val="none"/>
                <w:u w:val="none"/>
                <w:lang w:val="en-US"/>
              </w:rPr>
            </w:pPr>
            <w:r>
              <w:rPr>
                <w:rFonts w:hint="eastAsia" w:ascii="宋体" w:hAnsi="宋体" w:eastAsia="宋体" w:cs="宋体"/>
                <w:i w:val="0"/>
                <w:iCs w:val="0"/>
                <w:color w:val="auto"/>
                <w:kern w:val="0"/>
                <w:sz w:val="18"/>
                <w:szCs w:val="18"/>
                <w:highlight w:val="none"/>
                <w:u w:val="none"/>
                <w:lang w:val="en-US" w:eastAsia="zh-CN" w:bidi="ar"/>
              </w:rPr>
              <w:t>报警处理并解除合同</w:t>
            </w:r>
            <w:r>
              <w:rPr>
                <w:rFonts w:hint="eastAsia" w:ascii="宋体" w:hAnsi="宋体" w:cs="宋体"/>
                <w:i w:val="0"/>
                <w:iCs w:val="0"/>
                <w:color w:val="auto"/>
                <w:kern w:val="0"/>
                <w:sz w:val="18"/>
                <w:szCs w:val="18"/>
                <w:highlight w:val="none"/>
                <w:u w:val="none"/>
                <w:lang w:val="en-US" w:eastAsia="zh-CN" w:bidi="ar"/>
              </w:rPr>
              <w:t>没收</w:t>
            </w:r>
            <w:r>
              <w:rPr>
                <w:rFonts w:hint="eastAsia" w:ascii="宋体" w:hAnsi="宋体" w:eastAsia="宋体" w:cs="宋体"/>
                <w:i w:val="0"/>
                <w:iCs w:val="0"/>
                <w:color w:val="auto"/>
                <w:kern w:val="0"/>
                <w:sz w:val="18"/>
                <w:szCs w:val="18"/>
                <w:highlight w:val="none"/>
                <w:u w:val="none"/>
                <w:lang w:val="en-US" w:eastAsia="zh-CN" w:bidi="ar"/>
              </w:rPr>
              <w:t>履约</w:t>
            </w:r>
            <w:r>
              <w:rPr>
                <w:rFonts w:hint="eastAsia" w:ascii="宋体" w:hAnsi="宋体" w:cs="宋体"/>
                <w:i w:val="0"/>
                <w:iCs w:val="0"/>
                <w:color w:val="auto"/>
                <w:kern w:val="0"/>
                <w:sz w:val="18"/>
                <w:szCs w:val="18"/>
                <w:highlight w:val="none"/>
                <w:u w:val="none"/>
                <w:lang w:val="en-US" w:eastAsia="zh-CN" w:bidi="ar"/>
              </w:rPr>
              <w:t>保证金</w:t>
            </w:r>
          </w:p>
        </w:tc>
      </w:tr>
      <w:tr w14:paraId="69FF1A8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4DB2BC7">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2B9F397">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14</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ED93644">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运输作业人员未听从采购人现场调度人员、现场操作人员的指挥，未按要求装货、填写单据、未在指定的地点卸货，不按照要求携带包装物，或私自领取包装物。</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A1B136D">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罚款1000元/次</w:t>
            </w:r>
          </w:p>
        </w:tc>
      </w:tr>
      <w:tr w14:paraId="6BD7499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B179116">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B2778DE">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15</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5423166">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危险货物运输车辆标识不全、无危险标志灯及危险货物标识牌。</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FDC44B5">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罚款300元/车</w:t>
            </w:r>
          </w:p>
        </w:tc>
      </w:tr>
      <w:tr w14:paraId="5015620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6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F134C34">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7F732B2">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16</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32C086A">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未安装防火罩、无导静电胶条或胶条未触地的。危险货物车辆技术等级未达到一级、未在检验有效期内的。危险货物运输车辆未配置相应的消防应急设施；消防应急设施未定期检查、保养、未在有效期限内的。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B91DAED">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罚款1000元/车</w:t>
            </w:r>
          </w:p>
        </w:tc>
      </w:tr>
      <w:tr w14:paraId="674A529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E803B4A">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59BF9AB">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17</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91C6176">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运输作业人员未持证上岗或所持资格证过期失效的。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BF06006">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罚款1000元/人</w:t>
            </w:r>
          </w:p>
        </w:tc>
      </w:tr>
      <w:tr w14:paraId="45B1750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4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F5199EA">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6114883">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18</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78C2BF6">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车辆无危险货物运输许可证或证件过期失效的。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11C673A">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罚款2000元/车</w:t>
            </w:r>
          </w:p>
        </w:tc>
      </w:tr>
      <w:tr w14:paraId="005568D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A020941">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22E42DB">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19</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B380D25">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非因不可抗力因素（包括气象灾害、地质灾害、行政措施/管制、社会异常事件、战争）不安排车辆，或者无理由超时回复派车需求的，视为跳单。</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BAF5FBC">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按采购文件约定处罚条款进行处罚</w:t>
            </w:r>
          </w:p>
        </w:tc>
      </w:tr>
      <w:tr w14:paraId="20E4904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AA6C8F0">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E8A23F4">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20</w:t>
            </w:r>
          </w:p>
        </w:tc>
        <w:tc>
          <w:tcPr>
            <w:tcW w:w="47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B3D5CA">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服务期间在信用中国上查询到运输公司有不良记录的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26B92AD">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解除合同</w:t>
            </w:r>
            <w:r>
              <w:rPr>
                <w:rFonts w:hint="eastAsia" w:ascii="宋体" w:hAnsi="宋体" w:cs="宋体"/>
                <w:b/>
                <w:bCs/>
                <w:i w:val="0"/>
                <w:iCs w:val="0"/>
                <w:color w:val="auto"/>
                <w:kern w:val="0"/>
                <w:sz w:val="18"/>
                <w:szCs w:val="18"/>
                <w:highlight w:val="none"/>
                <w:u w:val="none"/>
                <w:lang w:val="en-US" w:eastAsia="zh-CN" w:bidi="ar"/>
              </w:rPr>
              <w:t>没收</w:t>
            </w:r>
            <w:r>
              <w:rPr>
                <w:rFonts w:hint="eastAsia" w:ascii="宋体" w:hAnsi="宋体" w:eastAsia="宋体" w:cs="宋体"/>
                <w:b/>
                <w:bCs/>
                <w:i w:val="0"/>
                <w:iCs w:val="0"/>
                <w:color w:val="auto"/>
                <w:kern w:val="0"/>
                <w:sz w:val="18"/>
                <w:szCs w:val="18"/>
                <w:highlight w:val="none"/>
                <w:u w:val="none"/>
                <w:lang w:val="en-US" w:eastAsia="zh-CN" w:bidi="ar"/>
              </w:rPr>
              <w:t>履约</w:t>
            </w:r>
            <w:r>
              <w:rPr>
                <w:rFonts w:hint="eastAsia" w:ascii="宋体" w:hAnsi="宋体" w:cs="宋体"/>
                <w:b/>
                <w:bCs/>
                <w:i w:val="0"/>
                <w:iCs w:val="0"/>
                <w:color w:val="auto"/>
                <w:kern w:val="0"/>
                <w:sz w:val="18"/>
                <w:szCs w:val="18"/>
                <w:highlight w:val="none"/>
                <w:u w:val="none"/>
                <w:lang w:val="en-US" w:eastAsia="zh-CN" w:bidi="ar"/>
              </w:rPr>
              <w:t>保证金</w:t>
            </w:r>
          </w:p>
        </w:tc>
      </w:tr>
      <w:tr w14:paraId="0656454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2" w:hRule="atLeast"/>
        </w:trPr>
        <w:tc>
          <w:tcPr>
            <w:tcW w:w="6214" w:type="dxa"/>
            <w:gridSpan w:val="3"/>
            <w:tcBorders>
              <w:top w:val="nil"/>
              <w:left w:val="nil"/>
              <w:bottom w:val="nil"/>
              <w:right w:val="nil"/>
            </w:tcBorders>
            <w:shd w:val="clear" w:color="auto" w:fill="auto"/>
            <w:vAlign w:val="center"/>
          </w:tcPr>
          <w:p w14:paraId="6BE9D423">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我司确认上述条款内容无误，如发生违规行为，愿按照上述条款执行！</w:t>
            </w:r>
          </w:p>
        </w:tc>
        <w:tc>
          <w:tcPr>
            <w:tcW w:w="2057" w:type="dxa"/>
            <w:tcBorders>
              <w:top w:val="nil"/>
              <w:left w:val="nil"/>
              <w:bottom w:val="nil"/>
              <w:right w:val="nil"/>
            </w:tcBorders>
            <w:shd w:val="clear" w:color="auto" w:fill="auto"/>
            <w:vAlign w:val="center"/>
          </w:tcPr>
          <w:p w14:paraId="5760E8E8">
            <w:pPr>
              <w:jc w:val="center"/>
              <w:rPr>
                <w:rFonts w:hint="eastAsia" w:ascii="宋体" w:hAnsi="宋体" w:eastAsia="宋体" w:cs="宋体"/>
                <w:i w:val="0"/>
                <w:iCs w:val="0"/>
                <w:color w:val="auto"/>
                <w:sz w:val="18"/>
                <w:szCs w:val="18"/>
                <w:highlight w:val="none"/>
                <w:u w:val="none"/>
              </w:rPr>
            </w:pPr>
          </w:p>
        </w:tc>
      </w:tr>
      <w:tr w14:paraId="1A4C12A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1" w:hRule="atLeast"/>
        </w:trPr>
        <w:tc>
          <w:tcPr>
            <w:tcW w:w="6214" w:type="dxa"/>
            <w:gridSpan w:val="3"/>
            <w:tcBorders>
              <w:top w:val="nil"/>
              <w:left w:val="nil"/>
              <w:bottom w:val="nil"/>
              <w:right w:val="nil"/>
            </w:tcBorders>
            <w:shd w:val="clear" w:color="auto" w:fill="auto"/>
            <w:vAlign w:val="center"/>
          </w:tcPr>
          <w:p w14:paraId="7D4A5C65">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运输单位签字（盖章）/日期：</w:t>
            </w:r>
          </w:p>
        </w:tc>
        <w:tc>
          <w:tcPr>
            <w:tcW w:w="2057" w:type="dxa"/>
            <w:tcBorders>
              <w:top w:val="nil"/>
              <w:left w:val="nil"/>
              <w:bottom w:val="nil"/>
              <w:right w:val="nil"/>
            </w:tcBorders>
            <w:shd w:val="clear" w:color="auto" w:fill="auto"/>
            <w:vAlign w:val="center"/>
          </w:tcPr>
          <w:p w14:paraId="00833829">
            <w:pPr>
              <w:jc w:val="center"/>
              <w:rPr>
                <w:rFonts w:hint="eastAsia" w:ascii="宋体" w:hAnsi="宋体" w:eastAsia="宋体" w:cs="宋体"/>
                <w:i w:val="0"/>
                <w:iCs w:val="0"/>
                <w:color w:val="auto"/>
                <w:sz w:val="18"/>
                <w:szCs w:val="18"/>
                <w:highlight w:val="none"/>
                <w:u w:val="none"/>
              </w:rPr>
            </w:pPr>
          </w:p>
        </w:tc>
      </w:tr>
    </w:tbl>
    <w:p w14:paraId="2C3F8C18">
      <w:pPr>
        <w:jc w:val="left"/>
        <w:outlineLvl w:val="9"/>
        <w:rPr>
          <w:rFonts w:ascii="黑体" w:eastAsia="黑体"/>
          <w:color w:val="auto"/>
          <w:sz w:val="28"/>
          <w:szCs w:val="28"/>
          <w:highlight w:val="none"/>
        </w:rPr>
        <w:sectPr>
          <w:pgSz w:w="11906" w:h="16838"/>
          <w:pgMar w:top="1418" w:right="1800" w:bottom="1440" w:left="1800" w:header="851" w:footer="992" w:gutter="0"/>
          <w:pgBorders>
            <w:top w:val="none" w:sz="0" w:space="0"/>
            <w:left w:val="none" w:sz="0" w:space="0"/>
            <w:bottom w:val="none" w:sz="0" w:space="0"/>
            <w:right w:val="none" w:sz="0" w:space="0"/>
          </w:pgBorders>
          <w:pgNumType w:fmt="decimal"/>
          <w:cols w:space="720" w:num="1"/>
          <w:docGrid w:type="lines" w:linePitch="312" w:charSpace="0"/>
        </w:sectPr>
      </w:pPr>
    </w:p>
    <w:p w14:paraId="11E484B2">
      <w:pPr>
        <w:jc w:val="left"/>
        <w:outlineLvl w:val="1"/>
        <w:rPr>
          <w:rFonts w:hint="eastAsia" w:cs="Times New Roman"/>
          <w:b/>
          <w:color w:val="auto"/>
          <w:szCs w:val="21"/>
          <w:highlight w:val="none"/>
          <w:lang w:val="en-US" w:eastAsia="zh-CN"/>
        </w:rPr>
      </w:pPr>
      <w:bookmarkStart w:id="195" w:name="_Toc30579"/>
      <w:bookmarkStart w:id="196" w:name="_Toc19343"/>
      <w:bookmarkStart w:id="197" w:name="_Toc11942"/>
      <w:bookmarkStart w:id="198" w:name="_Toc18"/>
      <w:bookmarkStart w:id="199" w:name="_Toc22179"/>
      <w:bookmarkStart w:id="200" w:name="_Toc14141"/>
      <w:bookmarkStart w:id="201" w:name="_Toc5020"/>
      <w:bookmarkStart w:id="202" w:name="_Toc20765"/>
      <w:bookmarkStart w:id="203" w:name="_Toc31987"/>
      <w:bookmarkStart w:id="204" w:name="_Toc1558"/>
      <w:bookmarkStart w:id="205" w:name="_Toc281"/>
      <w:r>
        <w:rPr>
          <w:rFonts w:hint="eastAsia" w:ascii="宋体" w:hAnsi="宋体"/>
          <w:b/>
          <w:color w:val="auto"/>
          <w:sz w:val="21"/>
          <w:szCs w:val="21"/>
          <w:highlight w:val="none"/>
        </w:rPr>
        <w:t>技术需求书</w:t>
      </w:r>
      <w:r>
        <w:rPr>
          <w:rFonts w:ascii="Times New Roman" w:hAnsi="Times New Roman" w:cs="Times New Roman"/>
          <w:b/>
          <w:color w:val="auto"/>
          <w:szCs w:val="21"/>
          <w:highlight w:val="none"/>
        </w:rPr>
        <w:t>附件</w:t>
      </w:r>
      <w:r>
        <w:rPr>
          <w:rFonts w:hint="eastAsia" w:cs="Times New Roman"/>
          <w:b/>
          <w:color w:val="auto"/>
          <w:szCs w:val="21"/>
          <w:highlight w:val="none"/>
          <w:lang w:val="en-US" w:eastAsia="zh-CN"/>
        </w:rPr>
        <w:t>6：</w:t>
      </w:r>
      <w:r>
        <w:rPr>
          <w:rFonts w:ascii="Times New Roman" w:hAnsi="Times New Roman" w:cs="Times New Roman"/>
          <w:b/>
          <w:color w:val="auto"/>
          <w:szCs w:val="21"/>
          <w:highlight w:val="none"/>
        </w:rPr>
        <w:t>《</w:t>
      </w:r>
      <w:r>
        <w:rPr>
          <w:rFonts w:hint="eastAsia" w:cs="Times New Roman"/>
          <w:b/>
          <w:color w:val="auto"/>
          <w:szCs w:val="21"/>
          <w:highlight w:val="none"/>
          <w:lang w:val="en-US" w:eastAsia="zh-CN"/>
        </w:rPr>
        <w:t>运输商季度考核评分表》</w:t>
      </w:r>
      <w:bookmarkEnd w:id="195"/>
      <w:bookmarkEnd w:id="196"/>
      <w:bookmarkEnd w:id="197"/>
      <w:bookmarkEnd w:id="198"/>
      <w:bookmarkEnd w:id="199"/>
      <w:bookmarkEnd w:id="200"/>
      <w:bookmarkEnd w:id="201"/>
      <w:bookmarkEnd w:id="202"/>
      <w:bookmarkEnd w:id="203"/>
      <w:bookmarkEnd w:id="204"/>
      <w:bookmarkEnd w:id="205"/>
    </w:p>
    <w:p w14:paraId="47531FC6">
      <w:pPr>
        <w:jc w:val="left"/>
        <w:outlineLvl w:val="9"/>
        <w:rPr>
          <w:rFonts w:hint="eastAsia" w:cs="Times New Roman"/>
          <w:b/>
          <w:color w:val="auto"/>
          <w:szCs w:val="21"/>
          <w:highlight w:val="none"/>
          <w:lang w:val="en-US" w:eastAsia="zh-CN"/>
        </w:rPr>
      </w:pPr>
      <w:r>
        <w:rPr>
          <w:rFonts w:hint="eastAsia" w:ascii="方正小标宋简体" w:hAnsi="方正小标宋简体" w:eastAsia="方正小标宋简体" w:cs="方正小标宋简体"/>
          <w:color w:val="auto"/>
          <w:sz w:val="28"/>
          <w:szCs w:val="22"/>
          <w:highlight w:val="none"/>
          <w:lang w:val="en-US"/>
        </w:rPr>
        <w:drawing>
          <wp:inline distT="0" distB="0" distL="114300" distR="114300">
            <wp:extent cx="1275080" cy="429895"/>
            <wp:effectExtent l="0" t="0" r="0" b="0"/>
            <wp:docPr id="8" name="图片 8" descr="东实环境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东实环境logo"/>
                    <pic:cNvPicPr>
                      <a:picLocks noChangeAspect="1"/>
                    </pic:cNvPicPr>
                  </pic:nvPicPr>
                  <pic:blipFill>
                    <a:blip r:embed="rId17"/>
                    <a:stretch>
                      <a:fillRect/>
                    </a:stretch>
                  </pic:blipFill>
                  <pic:spPr>
                    <a:xfrm>
                      <a:off x="0" y="0"/>
                      <a:ext cx="1275080" cy="429895"/>
                    </a:xfrm>
                    <a:prstGeom prst="rect">
                      <a:avLst/>
                    </a:prstGeom>
                    <a:noFill/>
                    <a:ln>
                      <a:noFill/>
                    </a:ln>
                  </pic:spPr>
                </pic:pic>
              </a:graphicData>
            </a:graphic>
          </wp:inline>
        </w:drawing>
      </w:r>
    </w:p>
    <w:tbl>
      <w:tblPr>
        <w:tblStyle w:val="28"/>
        <w:tblW w:w="8218" w:type="dxa"/>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8218"/>
      </w:tblGrid>
      <w:tr w14:paraId="28BE200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PrEx>
        <w:trPr>
          <w:trHeight w:val="614" w:hRule="atLeast"/>
          <w:jc w:val="center"/>
        </w:trPr>
        <w:tc>
          <w:tcPr>
            <w:tcW w:w="8218" w:type="dxa"/>
            <w:noWrap w:val="0"/>
            <w:vAlign w:val="center"/>
          </w:tcPr>
          <w:p w14:paraId="43ED8254">
            <w:pPr>
              <w:jc w:val="center"/>
              <w:rPr>
                <w:rFonts w:hint="eastAsia" w:ascii="方正小标宋简体" w:hAnsi="方正小标宋简体" w:eastAsia="方正小标宋简体" w:cs="方正小标宋简体"/>
                <w:color w:val="auto"/>
                <w:sz w:val="28"/>
                <w:szCs w:val="28"/>
                <w:highlight w:val="none"/>
              </w:rPr>
            </w:pPr>
            <w:r>
              <w:rPr>
                <w:rFonts w:hint="eastAsia" w:ascii="方正小标宋简体" w:hAnsi="方正小标宋简体" w:eastAsia="方正小标宋简体" w:cs="方正小标宋简体"/>
                <w:color w:val="auto"/>
                <w:sz w:val="28"/>
                <w:szCs w:val="28"/>
                <w:highlight w:val="none"/>
                <w:lang w:val="en-US"/>
              </w:rPr>
              <w:t>东莞市新东欣环保投资</w:t>
            </w:r>
            <w:r>
              <w:rPr>
                <w:rFonts w:hint="eastAsia" w:ascii="方正小标宋简体" w:hAnsi="方正小标宋简体" w:eastAsia="方正小标宋简体" w:cs="方正小标宋简体"/>
                <w:color w:val="auto"/>
                <w:sz w:val="28"/>
                <w:szCs w:val="28"/>
                <w:highlight w:val="none"/>
              </w:rPr>
              <w:t>有限公司</w:t>
            </w:r>
          </w:p>
          <w:p w14:paraId="3DCA5AE0">
            <w:pPr>
              <w:jc w:val="center"/>
              <w:rPr>
                <w:rFonts w:eastAsia="宋体" w:cs="Arial"/>
                <w:color w:val="auto"/>
                <w:sz w:val="18"/>
                <w:szCs w:val="18"/>
                <w:highlight w:val="none"/>
                <w:lang w:val="fr-FR"/>
              </w:rPr>
            </w:pPr>
            <w:r>
              <w:rPr>
                <w:rFonts w:ascii="Times New Roman" w:hAnsi="Times New Roman" w:eastAsia="宋体"/>
                <w:color w:val="auto"/>
                <w:sz w:val="18"/>
                <w:szCs w:val="18"/>
                <w:highlight w:val="none"/>
                <w:lang w:val="en-US"/>
              </w:rPr>
              <w:t>Dongguan Xin Dongxin Environmental Protection Investment</w:t>
            </w:r>
            <w:r>
              <w:rPr>
                <w:rFonts w:ascii="Times New Roman" w:hAnsi="Times New Roman" w:eastAsia="宋体"/>
                <w:color w:val="auto"/>
                <w:sz w:val="18"/>
                <w:szCs w:val="18"/>
                <w:highlight w:val="none"/>
                <w:lang w:val="fr-FR"/>
              </w:rPr>
              <w:t xml:space="preserve"> Co., Ltd.</w:t>
            </w:r>
          </w:p>
        </w:tc>
      </w:tr>
      <w:tr w14:paraId="4ADEDC3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87" w:hRule="atLeast"/>
          <w:jc w:val="center"/>
        </w:trPr>
        <w:tc>
          <w:tcPr>
            <w:tcW w:w="8218" w:type="dxa"/>
            <w:noWrap w:val="0"/>
            <w:vAlign w:val="center"/>
          </w:tcPr>
          <w:p w14:paraId="50BAABB6">
            <w:pPr>
              <w:jc w:val="center"/>
              <w:rPr>
                <w:rFonts w:ascii="Times New Roman" w:hAnsi="Times New Roman" w:eastAsia="宋体"/>
                <w:color w:val="auto"/>
                <w:sz w:val="18"/>
                <w:szCs w:val="18"/>
                <w:highlight w:val="none"/>
                <w:lang w:val="en-US"/>
              </w:rPr>
            </w:pPr>
            <w:r>
              <w:rPr>
                <w:rFonts w:hint="eastAsia" w:ascii="宋体" w:hAnsi="宋体" w:eastAsia="宋体"/>
                <w:color w:val="auto"/>
                <w:sz w:val="21"/>
                <w:szCs w:val="21"/>
                <w:highlight w:val="none"/>
              </w:rPr>
              <w:t>运输商季度考核评分表</w:t>
            </w:r>
          </w:p>
        </w:tc>
      </w:tr>
    </w:tbl>
    <w:p w14:paraId="498D3215">
      <w:pPr>
        <w:jc w:val="left"/>
        <w:outlineLvl w:val="9"/>
        <w:rPr>
          <w:rFonts w:ascii="黑体" w:eastAsia="黑体"/>
          <w:color w:val="auto"/>
          <w:sz w:val="10"/>
          <w:szCs w:val="10"/>
          <w:highlight w:val="none"/>
        </w:rPr>
      </w:pPr>
    </w:p>
    <w:tbl>
      <w:tblPr>
        <w:tblStyle w:val="28"/>
        <w:tblW w:w="8234" w:type="dxa"/>
        <w:jc w:val="center"/>
        <w:tblLayout w:type="fixed"/>
        <w:tblCellMar>
          <w:top w:w="0" w:type="dxa"/>
          <w:left w:w="108" w:type="dxa"/>
          <w:bottom w:w="0" w:type="dxa"/>
          <w:right w:w="108" w:type="dxa"/>
        </w:tblCellMar>
      </w:tblPr>
      <w:tblGrid>
        <w:gridCol w:w="414"/>
        <w:gridCol w:w="425"/>
        <w:gridCol w:w="64"/>
        <w:gridCol w:w="3104"/>
        <w:gridCol w:w="1320"/>
        <w:gridCol w:w="890"/>
        <w:gridCol w:w="687"/>
        <w:gridCol w:w="1330"/>
      </w:tblGrid>
      <w:tr w14:paraId="6348C70C">
        <w:tblPrEx>
          <w:tblCellMar>
            <w:top w:w="0" w:type="dxa"/>
            <w:left w:w="108" w:type="dxa"/>
            <w:bottom w:w="0" w:type="dxa"/>
            <w:right w:w="108" w:type="dxa"/>
          </w:tblCellMar>
        </w:tblPrEx>
        <w:trPr>
          <w:trHeight w:val="375" w:hRule="atLeast"/>
          <w:jc w:val="center"/>
        </w:trPr>
        <w:tc>
          <w:tcPr>
            <w:tcW w:w="903" w:type="dxa"/>
            <w:gridSpan w:val="3"/>
            <w:tcBorders>
              <w:top w:val="single" w:color="auto" w:sz="4" w:space="0"/>
              <w:left w:val="single" w:color="auto" w:sz="4" w:space="0"/>
              <w:bottom w:val="single" w:color="auto" w:sz="4" w:space="0"/>
              <w:right w:val="single" w:color="auto" w:sz="4" w:space="0"/>
            </w:tcBorders>
            <w:shd w:val="clear" w:color="auto" w:fill="FFFFFF"/>
            <w:noWrap/>
            <w:vAlign w:val="center"/>
          </w:tcPr>
          <w:p w14:paraId="466AC0DB">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考核目的</w:t>
            </w:r>
          </w:p>
        </w:tc>
        <w:tc>
          <w:tcPr>
            <w:tcW w:w="7331" w:type="dxa"/>
            <w:gridSpan w:val="5"/>
            <w:tcBorders>
              <w:top w:val="single" w:color="auto" w:sz="4" w:space="0"/>
              <w:left w:val="single" w:color="auto" w:sz="4" w:space="0"/>
              <w:bottom w:val="single" w:color="auto" w:sz="4" w:space="0"/>
              <w:right w:val="single" w:color="auto" w:sz="4" w:space="0"/>
            </w:tcBorders>
            <w:shd w:val="clear" w:color="auto" w:fill="FFFFFF"/>
            <w:noWrap w:val="0"/>
            <w:vAlign w:val="center"/>
          </w:tcPr>
          <w:p w14:paraId="515EC2FC">
            <w:pPr>
              <w:overflowPunct/>
              <w:autoSpaceDE/>
              <w:autoSpaceDN/>
              <w:adjustRightInd/>
              <w:spacing w:line="320" w:lineRule="exact"/>
              <w:ind w:right="-380" w:rightChars="-181"/>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为规范运输商管理，督促运输商提高运输服务质量制定本考核评分表；</w:t>
            </w:r>
          </w:p>
        </w:tc>
      </w:tr>
      <w:tr w14:paraId="7453AB85">
        <w:tblPrEx>
          <w:tblCellMar>
            <w:top w:w="0" w:type="dxa"/>
            <w:left w:w="108" w:type="dxa"/>
            <w:bottom w:w="0" w:type="dxa"/>
            <w:right w:w="108" w:type="dxa"/>
          </w:tblCellMar>
        </w:tblPrEx>
        <w:trPr>
          <w:trHeight w:val="375" w:hRule="atLeast"/>
          <w:jc w:val="center"/>
        </w:trPr>
        <w:tc>
          <w:tcPr>
            <w:tcW w:w="903" w:type="dxa"/>
            <w:gridSpan w:val="3"/>
            <w:tcBorders>
              <w:top w:val="single" w:color="auto" w:sz="4" w:space="0"/>
              <w:left w:val="single" w:color="auto" w:sz="4" w:space="0"/>
              <w:bottom w:val="single" w:color="auto" w:sz="4" w:space="0"/>
              <w:right w:val="single" w:color="auto" w:sz="4" w:space="0"/>
            </w:tcBorders>
            <w:shd w:val="clear" w:color="auto" w:fill="FFFFFF"/>
            <w:noWrap/>
            <w:vAlign w:val="center"/>
          </w:tcPr>
          <w:p w14:paraId="1A79B6CB">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考核分级</w:t>
            </w:r>
          </w:p>
        </w:tc>
        <w:tc>
          <w:tcPr>
            <w:tcW w:w="7331" w:type="dxa"/>
            <w:gridSpan w:val="5"/>
            <w:tcBorders>
              <w:top w:val="single" w:color="auto" w:sz="4" w:space="0"/>
              <w:left w:val="single" w:color="auto" w:sz="4" w:space="0"/>
              <w:bottom w:val="single" w:color="auto" w:sz="4" w:space="0"/>
              <w:right w:val="single" w:color="auto" w:sz="4" w:space="0"/>
            </w:tcBorders>
            <w:shd w:val="clear" w:color="auto" w:fill="FFFFFF"/>
            <w:noWrap w:val="0"/>
            <w:vAlign w:val="center"/>
          </w:tcPr>
          <w:p w14:paraId="60C5B27E">
            <w:pPr>
              <w:overflowPunct/>
              <w:autoSpaceDE/>
              <w:adjustRightInd/>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总体评分</w:t>
            </w:r>
          </w:p>
          <w:p w14:paraId="778FFA9F">
            <w:pPr>
              <w:overflowPunct/>
              <w:autoSpaceDE/>
              <w:adjustRightInd/>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A级：考评得分＞80分</w:t>
            </w:r>
          </w:p>
          <w:p w14:paraId="5944476E">
            <w:pPr>
              <w:overflowPunct/>
              <w:autoSpaceDE/>
              <w:adjustRightInd/>
              <w:rPr>
                <w:rFonts w:hint="eastAsia" w:ascii="宋体" w:hAnsi="宋体" w:eastAsia="宋体" w:cs="宋体"/>
                <w:color w:val="auto"/>
                <w:sz w:val="18"/>
                <w:szCs w:val="18"/>
                <w:highlight w:val="none"/>
                <w:lang w:val="en-US"/>
              </w:rPr>
            </w:pPr>
            <w:r>
              <w:rPr>
                <w:rFonts w:ascii="宋体" w:hAnsi="宋体" w:eastAsia="宋体" w:cs="宋体"/>
                <w:color w:val="auto"/>
                <w:sz w:val="18"/>
                <w:szCs w:val="18"/>
                <w:highlight w:val="none"/>
                <w:lang w:val="en-US"/>
              </w:rPr>
              <w:t>B</w:t>
            </w:r>
            <w:r>
              <w:rPr>
                <w:rFonts w:hint="eastAsia" w:ascii="宋体" w:hAnsi="宋体" w:eastAsia="宋体" w:cs="宋体"/>
                <w:color w:val="auto"/>
                <w:sz w:val="18"/>
                <w:szCs w:val="18"/>
                <w:highlight w:val="none"/>
                <w:lang w:val="en-US"/>
              </w:rPr>
              <w:t>级：70分＜考评得分≤80分</w:t>
            </w:r>
          </w:p>
          <w:p w14:paraId="32B63A8C">
            <w:pPr>
              <w:overflowPunct/>
              <w:autoSpaceDE/>
              <w:autoSpaceDN/>
              <w:adjustRightInd/>
              <w:ind w:right="-380" w:rightChars="-181"/>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color w:val="auto"/>
                <w:sz w:val="18"/>
                <w:szCs w:val="18"/>
                <w:highlight w:val="none"/>
                <w:lang w:val="en-US"/>
              </w:rPr>
              <w:t>C级：考评得分≤70分</w:t>
            </w:r>
          </w:p>
        </w:tc>
      </w:tr>
      <w:tr w14:paraId="18205EB2">
        <w:tblPrEx>
          <w:tblCellMar>
            <w:top w:w="0" w:type="dxa"/>
            <w:left w:w="108" w:type="dxa"/>
            <w:bottom w:w="0" w:type="dxa"/>
            <w:right w:w="108" w:type="dxa"/>
          </w:tblCellMar>
        </w:tblPrEx>
        <w:trPr>
          <w:trHeight w:val="375" w:hRule="atLeast"/>
          <w:jc w:val="center"/>
        </w:trPr>
        <w:tc>
          <w:tcPr>
            <w:tcW w:w="903" w:type="dxa"/>
            <w:gridSpan w:val="3"/>
            <w:tcBorders>
              <w:top w:val="single" w:color="auto" w:sz="4" w:space="0"/>
              <w:left w:val="single" w:color="auto" w:sz="4" w:space="0"/>
              <w:bottom w:val="single" w:color="auto" w:sz="4" w:space="0"/>
              <w:right w:val="single" w:color="auto" w:sz="4" w:space="0"/>
            </w:tcBorders>
            <w:shd w:val="clear" w:color="auto" w:fill="FFFFFF"/>
            <w:noWrap/>
            <w:vAlign w:val="center"/>
          </w:tcPr>
          <w:p w14:paraId="3747FC93">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考核细则</w:t>
            </w:r>
          </w:p>
        </w:tc>
        <w:tc>
          <w:tcPr>
            <w:tcW w:w="7331" w:type="dxa"/>
            <w:gridSpan w:val="5"/>
            <w:tcBorders>
              <w:top w:val="single" w:color="auto" w:sz="4" w:space="0"/>
              <w:left w:val="single" w:color="auto" w:sz="4" w:space="0"/>
              <w:bottom w:val="single" w:color="auto" w:sz="4" w:space="0"/>
              <w:right w:val="single" w:color="auto" w:sz="4" w:space="0"/>
            </w:tcBorders>
            <w:shd w:val="clear" w:color="auto" w:fill="FFFFFF"/>
            <w:noWrap w:val="0"/>
            <w:vAlign w:val="center"/>
          </w:tcPr>
          <w:p w14:paraId="5B3C16AA">
            <w:pPr>
              <w:numPr>
                <w:ilvl w:val="0"/>
                <w:numId w:val="2"/>
              </w:num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季度考核评分级别为B级，扣除运输款项1</w:t>
            </w:r>
            <w:r>
              <w:rPr>
                <w:rFonts w:ascii="宋体" w:hAnsi="宋体" w:eastAsia="宋体" w:cs="宋体"/>
                <w:color w:val="auto"/>
                <w:sz w:val="18"/>
                <w:szCs w:val="18"/>
                <w:highlight w:val="none"/>
                <w:lang w:val="en-US"/>
              </w:rPr>
              <w:t>000</w:t>
            </w:r>
            <w:r>
              <w:rPr>
                <w:rFonts w:hint="eastAsia" w:ascii="宋体" w:hAnsi="宋体" w:eastAsia="宋体" w:cs="宋体"/>
                <w:color w:val="auto"/>
                <w:sz w:val="18"/>
                <w:szCs w:val="18"/>
                <w:highlight w:val="none"/>
                <w:lang w:val="en-US"/>
              </w:rPr>
              <w:t>元，并在最近的一个月的运输费对账中进</w:t>
            </w:r>
          </w:p>
          <w:p w14:paraId="350D6C06">
            <w:pPr>
              <w:numPr>
                <w:ilvl w:val="0"/>
                <w:numId w:val="0"/>
              </w:num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行扣减；</w:t>
            </w:r>
          </w:p>
          <w:p w14:paraId="2900B8A5">
            <w:pPr>
              <w:numPr>
                <w:ilvl w:val="0"/>
                <w:numId w:val="2"/>
              </w:num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连续2个季度评分为B级，降低其派单数量；</w:t>
            </w:r>
          </w:p>
          <w:p w14:paraId="300B56EF">
            <w:pPr>
              <w:numPr>
                <w:ilvl w:val="0"/>
                <w:numId w:val="2"/>
              </w:num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季度考核评分级别为C级，经评分部门评估，可解除《运输服务合同》；</w:t>
            </w:r>
          </w:p>
          <w:p w14:paraId="6B7D20C3">
            <w:pPr>
              <w:numPr>
                <w:ilvl w:val="0"/>
                <w:numId w:val="2"/>
              </w:num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不同评分部门对同一件事不重复扣分，同一考核扣分事件适用多条考核标准时以最严厉</w:t>
            </w:r>
          </w:p>
          <w:p w14:paraId="3927577E">
            <w:pPr>
              <w:numPr>
                <w:ilvl w:val="0"/>
                <w:numId w:val="0"/>
              </w:num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考核标准扣分且不重复扣分。</w:t>
            </w:r>
          </w:p>
        </w:tc>
      </w:tr>
      <w:tr w14:paraId="74870E10">
        <w:tblPrEx>
          <w:tblCellMar>
            <w:top w:w="0" w:type="dxa"/>
            <w:left w:w="108" w:type="dxa"/>
            <w:bottom w:w="0" w:type="dxa"/>
            <w:right w:w="108" w:type="dxa"/>
          </w:tblCellMar>
        </w:tblPrEx>
        <w:trPr>
          <w:trHeight w:val="375" w:hRule="atLeast"/>
          <w:jc w:val="center"/>
        </w:trPr>
        <w:tc>
          <w:tcPr>
            <w:tcW w:w="903" w:type="dxa"/>
            <w:gridSpan w:val="3"/>
            <w:tcBorders>
              <w:top w:val="single" w:color="auto" w:sz="4" w:space="0"/>
              <w:left w:val="single" w:color="auto" w:sz="4" w:space="0"/>
              <w:bottom w:val="single" w:color="auto" w:sz="4" w:space="0"/>
              <w:right w:val="single" w:color="auto" w:sz="4" w:space="0"/>
            </w:tcBorders>
            <w:shd w:val="clear" w:color="auto" w:fill="FFFFFF"/>
            <w:noWrap/>
            <w:vAlign w:val="center"/>
          </w:tcPr>
          <w:p w14:paraId="72413E63">
            <w:pPr>
              <w:overflowPunct/>
              <w:autoSpaceDE/>
              <w:autoSpaceDN/>
              <w:adjustRightInd/>
              <w:spacing w:line="320" w:lineRule="exact"/>
              <w:ind w:right="-380" w:rightChars="-181"/>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运输单位</w:t>
            </w:r>
          </w:p>
        </w:tc>
        <w:tc>
          <w:tcPr>
            <w:tcW w:w="4424" w:type="dxa"/>
            <w:gridSpan w:val="2"/>
            <w:tcBorders>
              <w:top w:val="single" w:color="auto" w:sz="4" w:space="0"/>
              <w:left w:val="single" w:color="auto" w:sz="4" w:space="0"/>
              <w:bottom w:val="single" w:color="auto" w:sz="4" w:space="0"/>
              <w:right w:val="single" w:color="auto" w:sz="4" w:space="0"/>
            </w:tcBorders>
            <w:shd w:val="clear" w:color="auto" w:fill="FFFFFF"/>
            <w:noWrap w:val="0"/>
            <w:vAlign w:val="center"/>
          </w:tcPr>
          <w:p w14:paraId="156D09A5">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p>
        </w:tc>
        <w:tc>
          <w:tcPr>
            <w:tcW w:w="890" w:type="dxa"/>
            <w:tcBorders>
              <w:top w:val="single" w:color="auto" w:sz="4" w:space="0"/>
              <w:left w:val="single" w:color="auto" w:sz="4" w:space="0"/>
              <w:bottom w:val="single" w:color="auto" w:sz="4" w:space="0"/>
              <w:right w:val="single" w:color="auto" w:sz="4" w:space="0"/>
            </w:tcBorders>
            <w:shd w:val="clear" w:color="auto" w:fill="FFFFFF"/>
            <w:noWrap w:val="0"/>
            <w:vAlign w:val="center"/>
          </w:tcPr>
          <w:p w14:paraId="2E6BED8A">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考核周期</w:t>
            </w:r>
          </w:p>
        </w:tc>
        <w:tc>
          <w:tcPr>
            <w:tcW w:w="2017" w:type="dxa"/>
            <w:gridSpan w:val="2"/>
            <w:tcBorders>
              <w:top w:val="single" w:color="auto" w:sz="4" w:space="0"/>
              <w:left w:val="single" w:color="auto" w:sz="4" w:space="0"/>
              <w:bottom w:val="single" w:color="auto" w:sz="4" w:space="0"/>
              <w:right w:val="single" w:color="auto" w:sz="4" w:space="0"/>
            </w:tcBorders>
            <w:shd w:val="clear" w:color="auto" w:fill="FFFFFF"/>
            <w:noWrap w:val="0"/>
            <w:vAlign w:val="center"/>
          </w:tcPr>
          <w:p w14:paraId="50EAC652">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p>
        </w:tc>
      </w:tr>
      <w:tr w14:paraId="72EC53A9">
        <w:tblPrEx>
          <w:tblCellMar>
            <w:top w:w="0" w:type="dxa"/>
            <w:left w:w="108" w:type="dxa"/>
            <w:bottom w:w="0" w:type="dxa"/>
            <w:right w:w="108" w:type="dxa"/>
          </w:tblCellMar>
        </w:tblPrEx>
        <w:trPr>
          <w:trHeight w:val="375" w:hRule="atLeast"/>
          <w:jc w:val="center"/>
        </w:trPr>
        <w:tc>
          <w:tcPr>
            <w:tcW w:w="8234" w:type="dxa"/>
            <w:gridSpan w:val="8"/>
            <w:tcBorders>
              <w:top w:val="single" w:color="auto" w:sz="4" w:space="0"/>
              <w:left w:val="single" w:color="auto" w:sz="4" w:space="0"/>
              <w:bottom w:val="single" w:color="auto" w:sz="4" w:space="0"/>
              <w:right w:val="single" w:color="auto" w:sz="4" w:space="0"/>
            </w:tcBorders>
            <w:shd w:val="clear" w:color="auto" w:fill="C0C0C0"/>
            <w:noWrap/>
            <w:vAlign w:val="center"/>
          </w:tcPr>
          <w:p w14:paraId="14A6610B">
            <w:pPr>
              <w:overflowPunct/>
              <w:autoSpaceDE/>
              <w:autoSpaceDN/>
              <w:adjustRightInd/>
              <w:spacing w:line="320" w:lineRule="exact"/>
              <w:ind w:right="-380" w:rightChars="-181"/>
              <w:jc w:val="center"/>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A.考核内容</w:t>
            </w:r>
          </w:p>
        </w:tc>
      </w:tr>
      <w:tr w14:paraId="500DCEE4">
        <w:tblPrEx>
          <w:tblCellMar>
            <w:top w:w="0" w:type="dxa"/>
            <w:left w:w="108" w:type="dxa"/>
            <w:bottom w:w="0" w:type="dxa"/>
            <w:right w:w="108" w:type="dxa"/>
          </w:tblCellMar>
        </w:tblPrEx>
        <w:trPr>
          <w:trHeight w:val="495" w:hRule="atLeast"/>
          <w:jc w:val="center"/>
        </w:trPr>
        <w:tc>
          <w:tcPr>
            <w:tcW w:w="4007" w:type="dxa"/>
            <w:gridSpan w:val="4"/>
            <w:tcBorders>
              <w:top w:val="single" w:color="auto" w:sz="4" w:space="0"/>
              <w:left w:val="single" w:color="auto" w:sz="4" w:space="0"/>
              <w:bottom w:val="single" w:color="auto" w:sz="4" w:space="0"/>
              <w:right w:val="single" w:color="auto" w:sz="4" w:space="0"/>
            </w:tcBorders>
            <w:shd w:val="clear" w:color="auto" w:fill="FFFFFF"/>
            <w:noWrap/>
            <w:vAlign w:val="center"/>
          </w:tcPr>
          <w:p w14:paraId="5BFE1056">
            <w:pPr>
              <w:overflowPunct/>
              <w:autoSpaceDE/>
              <w:autoSpaceDN/>
              <w:adjustRightInd/>
              <w:spacing w:line="320" w:lineRule="exact"/>
              <w:jc w:val="center"/>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评分项目</w:t>
            </w:r>
          </w:p>
        </w:tc>
        <w:tc>
          <w:tcPr>
            <w:tcW w:w="1320" w:type="dxa"/>
            <w:tcBorders>
              <w:top w:val="nil"/>
              <w:left w:val="nil"/>
              <w:bottom w:val="single" w:color="auto" w:sz="4" w:space="0"/>
              <w:right w:val="single" w:color="auto" w:sz="4" w:space="0"/>
            </w:tcBorders>
            <w:shd w:val="clear" w:color="auto" w:fill="FFFFFF"/>
            <w:noWrap/>
            <w:vAlign w:val="center"/>
          </w:tcPr>
          <w:p w14:paraId="082126B2">
            <w:pPr>
              <w:overflowPunct/>
              <w:autoSpaceDE/>
              <w:autoSpaceDN/>
              <w:adjustRightInd/>
              <w:spacing w:line="320" w:lineRule="exact"/>
              <w:jc w:val="center"/>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评分部门</w:t>
            </w:r>
          </w:p>
        </w:tc>
        <w:tc>
          <w:tcPr>
            <w:tcW w:w="890" w:type="dxa"/>
            <w:tcBorders>
              <w:top w:val="nil"/>
              <w:left w:val="nil"/>
              <w:bottom w:val="single" w:color="auto" w:sz="4" w:space="0"/>
              <w:right w:val="single" w:color="auto" w:sz="4" w:space="0"/>
            </w:tcBorders>
            <w:shd w:val="clear" w:color="auto" w:fill="FFFFFF"/>
            <w:noWrap w:val="0"/>
            <w:vAlign w:val="center"/>
          </w:tcPr>
          <w:p w14:paraId="067BE3FD">
            <w:pPr>
              <w:overflowPunct/>
              <w:autoSpaceDE/>
              <w:autoSpaceDN/>
              <w:adjustRightInd/>
              <w:spacing w:line="320" w:lineRule="exact"/>
              <w:jc w:val="center"/>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分值</w:t>
            </w:r>
          </w:p>
        </w:tc>
        <w:tc>
          <w:tcPr>
            <w:tcW w:w="687" w:type="dxa"/>
            <w:tcBorders>
              <w:top w:val="nil"/>
              <w:left w:val="nil"/>
              <w:bottom w:val="single" w:color="auto" w:sz="4" w:space="0"/>
              <w:right w:val="single" w:color="auto" w:sz="4" w:space="0"/>
            </w:tcBorders>
            <w:shd w:val="clear" w:color="auto" w:fill="FFFFFF"/>
            <w:noWrap w:val="0"/>
            <w:vAlign w:val="center"/>
          </w:tcPr>
          <w:p w14:paraId="65F004B4">
            <w:pPr>
              <w:overflowPunct/>
              <w:autoSpaceDE/>
              <w:autoSpaceDN/>
              <w:adjustRightInd/>
              <w:spacing w:line="320" w:lineRule="exact"/>
              <w:jc w:val="center"/>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得分</w:t>
            </w:r>
          </w:p>
        </w:tc>
        <w:tc>
          <w:tcPr>
            <w:tcW w:w="1330" w:type="dxa"/>
            <w:tcBorders>
              <w:top w:val="nil"/>
              <w:left w:val="nil"/>
              <w:bottom w:val="single" w:color="auto" w:sz="4" w:space="0"/>
              <w:right w:val="single" w:color="auto" w:sz="4" w:space="0"/>
            </w:tcBorders>
            <w:shd w:val="clear" w:color="auto" w:fill="FFFFFF"/>
            <w:noWrap/>
            <w:vAlign w:val="center"/>
          </w:tcPr>
          <w:p w14:paraId="33228A78">
            <w:pPr>
              <w:overflowPunct/>
              <w:autoSpaceDE/>
              <w:autoSpaceDN/>
              <w:adjustRightInd/>
              <w:spacing w:line="320" w:lineRule="exact"/>
              <w:jc w:val="center"/>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评分说明</w:t>
            </w:r>
          </w:p>
        </w:tc>
      </w:tr>
      <w:tr w14:paraId="514276AE">
        <w:tblPrEx>
          <w:tblCellMar>
            <w:top w:w="0" w:type="dxa"/>
            <w:left w:w="108" w:type="dxa"/>
            <w:bottom w:w="0" w:type="dxa"/>
            <w:right w:w="108" w:type="dxa"/>
          </w:tblCellMar>
        </w:tblPrEx>
        <w:trPr>
          <w:trHeight w:val="535" w:hRule="atLeast"/>
          <w:jc w:val="center"/>
        </w:trPr>
        <w:tc>
          <w:tcPr>
            <w:tcW w:w="414" w:type="dxa"/>
            <w:vMerge w:val="restart"/>
            <w:tcBorders>
              <w:top w:val="nil"/>
              <w:left w:val="single" w:color="auto" w:sz="4" w:space="0"/>
              <w:right w:val="single" w:color="auto" w:sz="4" w:space="0"/>
            </w:tcBorders>
            <w:noWrap w:val="0"/>
            <w:vAlign w:val="center"/>
          </w:tcPr>
          <w:p w14:paraId="2F04C86E">
            <w:pPr>
              <w:jc w:val="center"/>
              <w:rPr>
                <w:rFonts w:ascii="宋体" w:hAnsi="宋体" w:eastAsia="宋体" w:cs="宋体"/>
                <w:color w:val="auto"/>
                <w:sz w:val="21"/>
                <w:szCs w:val="21"/>
                <w:highlight w:val="none"/>
                <w:lang w:val="en-US"/>
              </w:rPr>
            </w:pPr>
            <w:r>
              <w:rPr>
                <w:rFonts w:hint="eastAsia" w:ascii="宋体" w:hAnsi="宋体" w:eastAsia="宋体" w:cs="宋体"/>
                <w:color w:val="auto"/>
                <w:sz w:val="21"/>
                <w:szCs w:val="21"/>
                <w:highlight w:val="none"/>
                <w:lang w:val="en-US"/>
              </w:rPr>
              <w:t>安全环保</w:t>
            </w:r>
          </w:p>
        </w:tc>
        <w:tc>
          <w:tcPr>
            <w:tcW w:w="425" w:type="dxa"/>
            <w:tcBorders>
              <w:top w:val="nil"/>
              <w:left w:val="nil"/>
              <w:bottom w:val="single" w:color="auto" w:sz="4" w:space="0"/>
              <w:right w:val="single" w:color="auto" w:sz="4" w:space="0"/>
            </w:tcBorders>
            <w:noWrap w:val="0"/>
            <w:vAlign w:val="center"/>
          </w:tcPr>
          <w:p w14:paraId="54E5FDC6">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w:t>
            </w:r>
          </w:p>
        </w:tc>
        <w:tc>
          <w:tcPr>
            <w:tcW w:w="3168" w:type="dxa"/>
            <w:gridSpan w:val="2"/>
            <w:tcBorders>
              <w:top w:val="nil"/>
              <w:left w:val="nil"/>
              <w:bottom w:val="single" w:color="auto" w:sz="4" w:space="0"/>
              <w:right w:val="single" w:color="auto" w:sz="4" w:space="0"/>
            </w:tcBorders>
            <w:noWrap w:val="0"/>
            <w:vAlign w:val="center"/>
          </w:tcPr>
          <w:p w14:paraId="3CFB8B13">
            <w:pPr>
              <w:overflowPunct/>
              <w:autoSpaceDE/>
              <w:autoSpaceDN/>
              <w:adjustRightInd/>
              <w:spacing w:line="320" w:lineRule="exact"/>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在“客户现场、运输途中、新东欣公司”发生泄露。</w:t>
            </w:r>
          </w:p>
        </w:tc>
        <w:tc>
          <w:tcPr>
            <w:tcW w:w="1320" w:type="dxa"/>
            <w:tcBorders>
              <w:top w:val="nil"/>
              <w:left w:val="nil"/>
              <w:bottom w:val="single" w:color="auto" w:sz="4" w:space="0"/>
              <w:right w:val="single" w:color="auto" w:sz="4" w:space="0"/>
            </w:tcBorders>
            <w:noWrap w:val="0"/>
            <w:vAlign w:val="center"/>
          </w:tcPr>
          <w:p w14:paraId="3C703C21">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p w14:paraId="59034519">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物控部</w:t>
            </w:r>
          </w:p>
          <w:p w14:paraId="7B6803CE">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安环部</w:t>
            </w:r>
          </w:p>
        </w:tc>
        <w:tc>
          <w:tcPr>
            <w:tcW w:w="890" w:type="dxa"/>
            <w:tcBorders>
              <w:top w:val="nil"/>
              <w:left w:val="nil"/>
              <w:bottom w:val="single" w:color="auto" w:sz="4" w:space="0"/>
              <w:right w:val="single" w:color="auto" w:sz="4" w:space="0"/>
            </w:tcBorders>
            <w:noWrap w:val="0"/>
            <w:vAlign w:val="center"/>
          </w:tcPr>
          <w:p w14:paraId="58DFDDD1">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687" w:type="dxa"/>
            <w:tcBorders>
              <w:top w:val="nil"/>
              <w:left w:val="nil"/>
              <w:bottom w:val="single" w:color="auto" w:sz="4" w:space="0"/>
              <w:right w:val="single" w:color="auto" w:sz="4" w:space="0"/>
            </w:tcBorders>
            <w:noWrap w:val="0"/>
            <w:vAlign w:val="center"/>
          </w:tcPr>
          <w:p w14:paraId="209B84F3">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330" w:type="dxa"/>
            <w:tcBorders>
              <w:top w:val="nil"/>
              <w:left w:val="nil"/>
              <w:bottom w:val="single" w:color="auto" w:sz="4" w:space="0"/>
              <w:right w:val="single" w:color="auto" w:sz="4" w:space="0"/>
            </w:tcBorders>
            <w:noWrap w:val="0"/>
            <w:vAlign w:val="center"/>
          </w:tcPr>
          <w:p w14:paraId="36703199">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未被投诉，每次扣0.5分；被投诉，每次扣1分；</w:t>
            </w:r>
          </w:p>
        </w:tc>
      </w:tr>
      <w:tr w14:paraId="05800485">
        <w:tblPrEx>
          <w:tblCellMar>
            <w:top w:w="0" w:type="dxa"/>
            <w:left w:w="108" w:type="dxa"/>
            <w:bottom w:w="0" w:type="dxa"/>
            <w:right w:w="108" w:type="dxa"/>
          </w:tblCellMar>
        </w:tblPrEx>
        <w:trPr>
          <w:trHeight w:val="420" w:hRule="atLeast"/>
          <w:jc w:val="center"/>
        </w:trPr>
        <w:tc>
          <w:tcPr>
            <w:tcW w:w="414" w:type="dxa"/>
            <w:vMerge w:val="continue"/>
            <w:tcBorders>
              <w:left w:val="single" w:color="auto" w:sz="4" w:space="0"/>
              <w:right w:val="single" w:color="auto" w:sz="4" w:space="0"/>
            </w:tcBorders>
            <w:noWrap w:val="0"/>
            <w:vAlign w:val="center"/>
          </w:tcPr>
          <w:p w14:paraId="26E4D1F4">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nil"/>
              <w:left w:val="nil"/>
              <w:bottom w:val="single" w:color="auto" w:sz="4" w:space="0"/>
              <w:right w:val="single" w:color="auto" w:sz="4" w:space="0"/>
            </w:tcBorders>
            <w:noWrap w:val="0"/>
            <w:vAlign w:val="center"/>
          </w:tcPr>
          <w:p w14:paraId="0163500A">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2</w:t>
            </w:r>
          </w:p>
        </w:tc>
        <w:tc>
          <w:tcPr>
            <w:tcW w:w="3168" w:type="dxa"/>
            <w:gridSpan w:val="2"/>
            <w:tcBorders>
              <w:top w:val="nil"/>
              <w:left w:val="nil"/>
              <w:bottom w:val="single" w:color="auto" w:sz="4" w:space="0"/>
              <w:right w:val="single" w:color="auto" w:sz="4" w:space="0"/>
            </w:tcBorders>
            <w:noWrap w:val="0"/>
            <w:vAlign w:val="center"/>
          </w:tcPr>
          <w:p w14:paraId="0A83D712">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在服务过程中发生“人、车、设备、运输的货物”相关的事故。</w:t>
            </w:r>
          </w:p>
        </w:tc>
        <w:tc>
          <w:tcPr>
            <w:tcW w:w="1320" w:type="dxa"/>
            <w:tcBorders>
              <w:top w:val="nil"/>
              <w:left w:val="nil"/>
              <w:bottom w:val="single" w:color="auto" w:sz="4" w:space="0"/>
              <w:right w:val="single" w:color="auto" w:sz="4" w:space="0"/>
            </w:tcBorders>
            <w:noWrap w:val="0"/>
            <w:vAlign w:val="center"/>
          </w:tcPr>
          <w:p w14:paraId="75D883FD">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p w14:paraId="261DED7F">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物控部</w:t>
            </w:r>
          </w:p>
          <w:p w14:paraId="677A7856">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安环部</w:t>
            </w:r>
          </w:p>
        </w:tc>
        <w:tc>
          <w:tcPr>
            <w:tcW w:w="890" w:type="dxa"/>
            <w:tcBorders>
              <w:top w:val="nil"/>
              <w:left w:val="nil"/>
              <w:bottom w:val="single" w:color="auto" w:sz="4" w:space="0"/>
              <w:right w:val="single" w:color="auto" w:sz="4" w:space="0"/>
            </w:tcBorders>
            <w:noWrap w:val="0"/>
            <w:vAlign w:val="center"/>
          </w:tcPr>
          <w:p w14:paraId="20346B5C">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687" w:type="dxa"/>
            <w:tcBorders>
              <w:top w:val="nil"/>
              <w:left w:val="nil"/>
              <w:bottom w:val="single" w:color="auto" w:sz="4" w:space="0"/>
              <w:right w:val="single" w:color="auto" w:sz="4" w:space="0"/>
            </w:tcBorders>
            <w:noWrap w:val="0"/>
            <w:vAlign w:val="center"/>
          </w:tcPr>
          <w:p w14:paraId="7A5AFBBE">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p>
        </w:tc>
        <w:tc>
          <w:tcPr>
            <w:tcW w:w="1330" w:type="dxa"/>
            <w:tcBorders>
              <w:top w:val="nil"/>
              <w:left w:val="nil"/>
              <w:bottom w:val="single" w:color="auto" w:sz="4" w:space="0"/>
              <w:right w:val="single" w:color="auto" w:sz="4" w:space="0"/>
            </w:tcBorders>
            <w:noWrap w:val="0"/>
            <w:vAlign w:val="center"/>
          </w:tcPr>
          <w:p w14:paraId="26B6AD90">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未被投诉，每次扣0.5分；被投诉，每次扣1分；</w:t>
            </w:r>
          </w:p>
        </w:tc>
      </w:tr>
      <w:tr w14:paraId="3CCF769F">
        <w:tblPrEx>
          <w:tblCellMar>
            <w:top w:w="0" w:type="dxa"/>
            <w:left w:w="108" w:type="dxa"/>
            <w:bottom w:w="0" w:type="dxa"/>
            <w:right w:w="108" w:type="dxa"/>
          </w:tblCellMar>
        </w:tblPrEx>
        <w:trPr>
          <w:trHeight w:val="420" w:hRule="atLeast"/>
          <w:jc w:val="center"/>
        </w:trPr>
        <w:tc>
          <w:tcPr>
            <w:tcW w:w="414" w:type="dxa"/>
            <w:vMerge w:val="continue"/>
            <w:tcBorders>
              <w:left w:val="single" w:color="auto" w:sz="4" w:space="0"/>
              <w:right w:val="single" w:color="auto" w:sz="4" w:space="0"/>
            </w:tcBorders>
            <w:noWrap w:val="0"/>
            <w:vAlign w:val="center"/>
          </w:tcPr>
          <w:p w14:paraId="0E575FFC">
            <w:pPr>
              <w:jc w:val="center"/>
              <w:rPr>
                <w:rFonts w:hint="eastAsia" w:ascii="宋体" w:hAnsi="宋体" w:eastAsia="宋体" w:cs="宋体"/>
                <w:color w:val="auto"/>
                <w:sz w:val="18"/>
                <w:szCs w:val="18"/>
                <w:highlight w:val="none"/>
                <w:lang w:val="en-US"/>
              </w:rPr>
            </w:pPr>
          </w:p>
        </w:tc>
        <w:tc>
          <w:tcPr>
            <w:tcW w:w="425" w:type="dxa"/>
            <w:tcBorders>
              <w:top w:val="single" w:color="auto" w:sz="4" w:space="0"/>
              <w:left w:val="nil"/>
              <w:bottom w:val="single" w:color="auto" w:sz="4" w:space="0"/>
              <w:right w:val="single" w:color="auto" w:sz="4" w:space="0"/>
            </w:tcBorders>
            <w:noWrap w:val="0"/>
            <w:vAlign w:val="center"/>
          </w:tcPr>
          <w:p w14:paraId="7710CE55">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3</w:t>
            </w:r>
          </w:p>
        </w:tc>
        <w:tc>
          <w:tcPr>
            <w:tcW w:w="3168" w:type="dxa"/>
            <w:gridSpan w:val="2"/>
            <w:tcBorders>
              <w:top w:val="nil"/>
              <w:left w:val="nil"/>
              <w:bottom w:val="single" w:color="auto" w:sz="4" w:space="0"/>
              <w:right w:val="single" w:color="auto" w:sz="4" w:space="0"/>
            </w:tcBorders>
            <w:noWrap w:val="0"/>
            <w:vAlign w:val="center"/>
          </w:tcPr>
          <w:p w14:paraId="214520D8">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在服务过程中未正确佩戴劳保用品。</w:t>
            </w:r>
          </w:p>
        </w:tc>
        <w:tc>
          <w:tcPr>
            <w:tcW w:w="1320" w:type="dxa"/>
            <w:tcBorders>
              <w:top w:val="nil"/>
              <w:left w:val="nil"/>
              <w:bottom w:val="single" w:color="auto" w:sz="4" w:space="0"/>
              <w:right w:val="single" w:color="auto" w:sz="4" w:space="0"/>
            </w:tcBorders>
            <w:noWrap w:val="0"/>
            <w:vAlign w:val="center"/>
          </w:tcPr>
          <w:p w14:paraId="06BDE7F1">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p w14:paraId="21AE72AE">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物控部</w:t>
            </w:r>
          </w:p>
          <w:p w14:paraId="0492AB9D">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安环部</w:t>
            </w:r>
          </w:p>
        </w:tc>
        <w:tc>
          <w:tcPr>
            <w:tcW w:w="890" w:type="dxa"/>
            <w:tcBorders>
              <w:top w:val="nil"/>
              <w:left w:val="nil"/>
              <w:bottom w:val="single" w:color="auto" w:sz="4" w:space="0"/>
              <w:right w:val="single" w:color="auto" w:sz="4" w:space="0"/>
            </w:tcBorders>
            <w:noWrap w:val="0"/>
            <w:vAlign w:val="center"/>
          </w:tcPr>
          <w:p w14:paraId="0BFC370B">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687" w:type="dxa"/>
            <w:tcBorders>
              <w:top w:val="nil"/>
              <w:left w:val="nil"/>
              <w:bottom w:val="single" w:color="auto" w:sz="4" w:space="0"/>
              <w:right w:val="single" w:color="auto" w:sz="4" w:space="0"/>
            </w:tcBorders>
            <w:noWrap w:val="0"/>
            <w:vAlign w:val="center"/>
          </w:tcPr>
          <w:p w14:paraId="2C0576F6">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330" w:type="dxa"/>
            <w:tcBorders>
              <w:top w:val="nil"/>
              <w:left w:val="nil"/>
              <w:bottom w:val="single" w:color="auto" w:sz="4" w:space="0"/>
              <w:right w:val="single" w:color="auto" w:sz="4" w:space="0"/>
            </w:tcBorders>
            <w:noWrap w:val="0"/>
            <w:vAlign w:val="center"/>
          </w:tcPr>
          <w:p w14:paraId="21BAAC41">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未被投诉，每次扣0.5分；被投诉，每次扣1分；</w:t>
            </w:r>
          </w:p>
        </w:tc>
      </w:tr>
      <w:tr w14:paraId="7087FE41">
        <w:tblPrEx>
          <w:tblCellMar>
            <w:top w:w="0" w:type="dxa"/>
            <w:left w:w="108" w:type="dxa"/>
            <w:bottom w:w="0" w:type="dxa"/>
            <w:right w:w="108" w:type="dxa"/>
          </w:tblCellMar>
        </w:tblPrEx>
        <w:trPr>
          <w:trHeight w:val="273" w:hRule="atLeast"/>
          <w:jc w:val="center"/>
        </w:trPr>
        <w:tc>
          <w:tcPr>
            <w:tcW w:w="414" w:type="dxa"/>
            <w:vMerge w:val="continue"/>
            <w:tcBorders>
              <w:left w:val="single" w:color="auto" w:sz="4" w:space="0"/>
              <w:bottom w:val="single" w:color="000000" w:sz="4" w:space="0"/>
              <w:right w:val="single" w:color="auto" w:sz="4" w:space="0"/>
            </w:tcBorders>
            <w:noWrap w:val="0"/>
            <w:vAlign w:val="center"/>
          </w:tcPr>
          <w:p w14:paraId="6CF54936">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nil"/>
              <w:left w:val="nil"/>
              <w:bottom w:val="single" w:color="auto" w:sz="4" w:space="0"/>
              <w:right w:val="single" w:color="auto" w:sz="4" w:space="0"/>
            </w:tcBorders>
            <w:noWrap w:val="0"/>
            <w:vAlign w:val="center"/>
          </w:tcPr>
          <w:p w14:paraId="0A6F22AE">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4</w:t>
            </w:r>
          </w:p>
        </w:tc>
        <w:tc>
          <w:tcPr>
            <w:tcW w:w="3168" w:type="dxa"/>
            <w:gridSpan w:val="2"/>
            <w:tcBorders>
              <w:top w:val="nil"/>
              <w:left w:val="nil"/>
              <w:bottom w:val="nil"/>
              <w:right w:val="nil"/>
            </w:tcBorders>
            <w:noWrap/>
            <w:vAlign w:val="center"/>
          </w:tcPr>
          <w:p w14:paraId="30DD3CB5">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服务车辆未配置了合适的消防用品或应急物资。</w:t>
            </w:r>
          </w:p>
        </w:tc>
        <w:tc>
          <w:tcPr>
            <w:tcW w:w="1320" w:type="dxa"/>
            <w:tcBorders>
              <w:top w:val="nil"/>
              <w:left w:val="single" w:color="auto" w:sz="4" w:space="0"/>
              <w:bottom w:val="single" w:color="auto" w:sz="4" w:space="0"/>
              <w:right w:val="single" w:color="auto" w:sz="4" w:space="0"/>
            </w:tcBorders>
            <w:noWrap w:val="0"/>
            <w:vAlign w:val="center"/>
          </w:tcPr>
          <w:p w14:paraId="2CCCCC0E">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p w14:paraId="5FC03878">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物控部</w:t>
            </w:r>
          </w:p>
          <w:p w14:paraId="5455B7EF">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安环部</w:t>
            </w:r>
          </w:p>
        </w:tc>
        <w:tc>
          <w:tcPr>
            <w:tcW w:w="890" w:type="dxa"/>
            <w:tcBorders>
              <w:top w:val="nil"/>
              <w:left w:val="nil"/>
              <w:bottom w:val="single" w:color="auto" w:sz="4" w:space="0"/>
              <w:right w:val="single" w:color="auto" w:sz="4" w:space="0"/>
            </w:tcBorders>
            <w:noWrap w:val="0"/>
            <w:vAlign w:val="center"/>
          </w:tcPr>
          <w:p w14:paraId="79F2B9CC">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687" w:type="dxa"/>
            <w:tcBorders>
              <w:top w:val="nil"/>
              <w:left w:val="nil"/>
              <w:bottom w:val="single" w:color="auto" w:sz="4" w:space="0"/>
              <w:right w:val="single" w:color="auto" w:sz="4" w:space="0"/>
            </w:tcBorders>
            <w:noWrap w:val="0"/>
            <w:vAlign w:val="center"/>
          </w:tcPr>
          <w:p w14:paraId="448C70AB">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p>
        </w:tc>
        <w:tc>
          <w:tcPr>
            <w:tcW w:w="1330" w:type="dxa"/>
            <w:tcBorders>
              <w:top w:val="nil"/>
              <w:left w:val="nil"/>
              <w:bottom w:val="single" w:color="auto" w:sz="4" w:space="0"/>
              <w:right w:val="single" w:color="auto" w:sz="4" w:space="0"/>
            </w:tcBorders>
            <w:noWrap w:val="0"/>
            <w:vAlign w:val="center"/>
          </w:tcPr>
          <w:p w14:paraId="044C0013">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未被投诉，每次扣0.5分；被投诉，每次扣1分；</w:t>
            </w:r>
          </w:p>
        </w:tc>
      </w:tr>
      <w:tr w14:paraId="6C5AA072">
        <w:tblPrEx>
          <w:tblCellMar>
            <w:top w:w="0" w:type="dxa"/>
            <w:left w:w="108" w:type="dxa"/>
            <w:bottom w:w="0" w:type="dxa"/>
            <w:right w:w="108" w:type="dxa"/>
          </w:tblCellMar>
        </w:tblPrEx>
        <w:trPr>
          <w:trHeight w:val="540" w:hRule="atLeast"/>
          <w:jc w:val="center"/>
        </w:trPr>
        <w:tc>
          <w:tcPr>
            <w:tcW w:w="414" w:type="dxa"/>
            <w:vMerge w:val="restart"/>
            <w:tcBorders>
              <w:top w:val="nil"/>
              <w:left w:val="single" w:color="auto" w:sz="4" w:space="0"/>
              <w:right w:val="single" w:color="auto" w:sz="4" w:space="0"/>
            </w:tcBorders>
            <w:noWrap w:val="0"/>
            <w:vAlign w:val="center"/>
          </w:tcPr>
          <w:p w14:paraId="763AB715">
            <w:pPr>
              <w:overflowPunct/>
              <w:autoSpaceDE/>
              <w:autoSpaceDN/>
              <w:adjustRightInd/>
              <w:jc w:val="center"/>
              <w:textAlignment w:val="auto"/>
              <w:rPr>
                <w:rFonts w:ascii="宋体" w:hAnsi="宋体" w:eastAsia="宋体" w:cs="宋体"/>
                <w:color w:val="auto"/>
                <w:sz w:val="21"/>
                <w:szCs w:val="21"/>
                <w:highlight w:val="none"/>
                <w:lang w:val="en-US"/>
              </w:rPr>
            </w:pPr>
            <w:r>
              <w:rPr>
                <w:rFonts w:hint="eastAsia" w:ascii="宋体" w:hAnsi="宋体" w:eastAsia="宋体" w:cs="宋体"/>
                <w:color w:val="auto"/>
                <w:sz w:val="21"/>
                <w:szCs w:val="21"/>
                <w:highlight w:val="none"/>
                <w:lang w:val="en-US"/>
              </w:rPr>
              <w:t>服务质量</w:t>
            </w:r>
          </w:p>
        </w:tc>
        <w:tc>
          <w:tcPr>
            <w:tcW w:w="425" w:type="dxa"/>
            <w:tcBorders>
              <w:top w:val="nil"/>
              <w:left w:val="nil"/>
              <w:bottom w:val="single" w:color="auto" w:sz="4" w:space="0"/>
              <w:right w:val="single" w:color="auto" w:sz="4" w:space="0"/>
            </w:tcBorders>
            <w:noWrap w:val="0"/>
            <w:vAlign w:val="center"/>
          </w:tcPr>
          <w:p w14:paraId="7F848207">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3168" w:type="dxa"/>
            <w:gridSpan w:val="2"/>
            <w:tcBorders>
              <w:top w:val="single" w:color="auto" w:sz="4" w:space="0"/>
              <w:left w:val="nil"/>
              <w:bottom w:val="single" w:color="auto" w:sz="4" w:space="0"/>
              <w:right w:val="single" w:color="auto" w:sz="4" w:space="0"/>
            </w:tcBorders>
            <w:noWrap w:val="0"/>
            <w:vAlign w:val="center"/>
          </w:tcPr>
          <w:p w14:paraId="5473A423">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因运力不足导致跳单。</w:t>
            </w:r>
          </w:p>
        </w:tc>
        <w:tc>
          <w:tcPr>
            <w:tcW w:w="1320" w:type="dxa"/>
            <w:tcBorders>
              <w:top w:val="nil"/>
              <w:left w:val="nil"/>
              <w:bottom w:val="single" w:color="auto" w:sz="4" w:space="0"/>
              <w:right w:val="single" w:color="auto" w:sz="4" w:space="0"/>
            </w:tcBorders>
            <w:noWrap w:val="0"/>
            <w:vAlign w:val="center"/>
          </w:tcPr>
          <w:p w14:paraId="7F24CED3">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nil"/>
              <w:left w:val="nil"/>
              <w:bottom w:val="single" w:color="auto" w:sz="4" w:space="0"/>
              <w:right w:val="single" w:color="auto" w:sz="4" w:space="0"/>
            </w:tcBorders>
            <w:noWrap w:val="0"/>
            <w:vAlign w:val="center"/>
          </w:tcPr>
          <w:p w14:paraId="776280AD">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687" w:type="dxa"/>
            <w:tcBorders>
              <w:top w:val="nil"/>
              <w:left w:val="nil"/>
              <w:bottom w:val="single" w:color="auto" w:sz="4" w:space="0"/>
              <w:right w:val="single" w:color="auto" w:sz="4" w:space="0"/>
            </w:tcBorders>
            <w:noWrap w:val="0"/>
            <w:vAlign w:val="center"/>
          </w:tcPr>
          <w:p w14:paraId="2FAEC7DA">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330" w:type="dxa"/>
            <w:tcBorders>
              <w:top w:val="nil"/>
              <w:left w:val="nil"/>
              <w:bottom w:val="single" w:color="auto" w:sz="4" w:space="0"/>
              <w:right w:val="single" w:color="auto" w:sz="4" w:space="0"/>
            </w:tcBorders>
            <w:noWrap w:val="0"/>
            <w:vAlign w:val="center"/>
          </w:tcPr>
          <w:p w14:paraId="0C4CAEB5">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每次扣1分；</w:t>
            </w:r>
          </w:p>
        </w:tc>
      </w:tr>
      <w:tr w14:paraId="4247206B">
        <w:tblPrEx>
          <w:tblCellMar>
            <w:top w:w="0" w:type="dxa"/>
            <w:left w:w="108" w:type="dxa"/>
            <w:bottom w:w="0" w:type="dxa"/>
            <w:right w:w="108" w:type="dxa"/>
          </w:tblCellMar>
        </w:tblPrEx>
        <w:trPr>
          <w:trHeight w:val="540" w:hRule="atLeast"/>
          <w:jc w:val="center"/>
        </w:trPr>
        <w:tc>
          <w:tcPr>
            <w:tcW w:w="414" w:type="dxa"/>
            <w:vMerge w:val="continue"/>
            <w:tcBorders>
              <w:left w:val="single" w:color="auto" w:sz="4" w:space="0"/>
              <w:right w:val="single" w:color="auto" w:sz="4" w:space="0"/>
            </w:tcBorders>
            <w:noWrap w:val="0"/>
            <w:vAlign w:val="center"/>
          </w:tcPr>
          <w:p w14:paraId="4FF3F3E0">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single" w:color="auto" w:sz="4" w:space="0"/>
              <w:left w:val="single" w:color="auto" w:sz="4" w:space="0"/>
              <w:bottom w:val="single" w:color="auto" w:sz="4" w:space="0"/>
              <w:right w:val="single" w:color="auto" w:sz="4" w:space="0"/>
            </w:tcBorders>
            <w:noWrap w:val="0"/>
            <w:vAlign w:val="center"/>
          </w:tcPr>
          <w:p w14:paraId="2FBAABB3">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6</w:t>
            </w:r>
          </w:p>
        </w:tc>
        <w:tc>
          <w:tcPr>
            <w:tcW w:w="3168" w:type="dxa"/>
            <w:gridSpan w:val="2"/>
            <w:tcBorders>
              <w:top w:val="single" w:color="auto" w:sz="4" w:space="0"/>
              <w:left w:val="nil"/>
              <w:bottom w:val="single" w:color="auto" w:sz="4" w:space="0"/>
              <w:right w:val="single" w:color="auto" w:sz="4" w:space="0"/>
            </w:tcBorders>
            <w:noWrap w:val="0"/>
            <w:vAlign w:val="center"/>
          </w:tcPr>
          <w:p w14:paraId="0F7D345A">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正常派单情况下，未按时响应新东欣派单计划。</w:t>
            </w:r>
          </w:p>
        </w:tc>
        <w:tc>
          <w:tcPr>
            <w:tcW w:w="1320" w:type="dxa"/>
            <w:tcBorders>
              <w:top w:val="single" w:color="auto" w:sz="4" w:space="0"/>
              <w:left w:val="nil"/>
              <w:bottom w:val="single" w:color="auto" w:sz="4" w:space="0"/>
              <w:right w:val="single" w:color="auto" w:sz="4" w:space="0"/>
            </w:tcBorders>
            <w:noWrap w:val="0"/>
            <w:vAlign w:val="center"/>
          </w:tcPr>
          <w:p w14:paraId="5AE4F080">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single" w:color="auto" w:sz="4" w:space="0"/>
              <w:left w:val="nil"/>
              <w:bottom w:val="single" w:color="auto" w:sz="4" w:space="0"/>
              <w:right w:val="single" w:color="auto" w:sz="4" w:space="0"/>
            </w:tcBorders>
            <w:noWrap w:val="0"/>
            <w:vAlign w:val="center"/>
          </w:tcPr>
          <w:p w14:paraId="47592C41">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687" w:type="dxa"/>
            <w:tcBorders>
              <w:top w:val="single" w:color="auto" w:sz="4" w:space="0"/>
              <w:left w:val="nil"/>
              <w:bottom w:val="single" w:color="auto" w:sz="4" w:space="0"/>
              <w:right w:val="single" w:color="auto" w:sz="4" w:space="0"/>
            </w:tcBorders>
            <w:noWrap w:val="0"/>
            <w:vAlign w:val="center"/>
          </w:tcPr>
          <w:p w14:paraId="2C77D512">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330" w:type="dxa"/>
            <w:tcBorders>
              <w:top w:val="single" w:color="auto" w:sz="4" w:space="0"/>
              <w:left w:val="nil"/>
              <w:bottom w:val="single" w:color="auto" w:sz="4" w:space="0"/>
              <w:right w:val="single" w:color="auto" w:sz="4" w:space="0"/>
            </w:tcBorders>
            <w:noWrap w:val="0"/>
            <w:vAlign w:val="center"/>
          </w:tcPr>
          <w:p w14:paraId="713B2B5B">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不按时，每次扣0.5分；</w:t>
            </w:r>
          </w:p>
        </w:tc>
      </w:tr>
      <w:tr w14:paraId="4C90EE5F">
        <w:tblPrEx>
          <w:tblCellMar>
            <w:top w:w="0" w:type="dxa"/>
            <w:left w:w="108" w:type="dxa"/>
            <w:bottom w:w="0" w:type="dxa"/>
            <w:right w:w="108" w:type="dxa"/>
          </w:tblCellMar>
        </w:tblPrEx>
        <w:trPr>
          <w:trHeight w:val="540" w:hRule="atLeast"/>
          <w:jc w:val="center"/>
        </w:trPr>
        <w:tc>
          <w:tcPr>
            <w:tcW w:w="414" w:type="dxa"/>
            <w:vMerge w:val="continue"/>
            <w:tcBorders>
              <w:left w:val="single" w:color="auto" w:sz="4" w:space="0"/>
              <w:right w:val="single" w:color="auto" w:sz="4" w:space="0"/>
            </w:tcBorders>
            <w:noWrap w:val="0"/>
            <w:vAlign w:val="center"/>
          </w:tcPr>
          <w:p w14:paraId="33898838">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single" w:color="auto" w:sz="4" w:space="0"/>
              <w:left w:val="nil"/>
              <w:bottom w:val="single" w:color="auto" w:sz="4" w:space="0"/>
              <w:right w:val="single" w:color="auto" w:sz="4" w:space="0"/>
            </w:tcBorders>
            <w:noWrap w:val="0"/>
            <w:vAlign w:val="center"/>
          </w:tcPr>
          <w:p w14:paraId="5BBFFE66">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7</w:t>
            </w:r>
          </w:p>
        </w:tc>
        <w:tc>
          <w:tcPr>
            <w:tcW w:w="3168" w:type="dxa"/>
            <w:gridSpan w:val="2"/>
            <w:tcBorders>
              <w:top w:val="single" w:color="auto" w:sz="4" w:space="0"/>
              <w:left w:val="nil"/>
              <w:bottom w:val="single" w:color="auto" w:sz="4" w:space="0"/>
              <w:right w:val="single" w:color="auto" w:sz="4" w:space="0"/>
            </w:tcBorders>
            <w:noWrap w:val="0"/>
            <w:vAlign w:val="center"/>
          </w:tcPr>
          <w:p w14:paraId="1950846F">
            <w:pPr>
              <w:overflowPunct/>
              <w:autoSpaceDE/>
              <w:autoSpaceDN/>
              <w:adjustRightInd/>
              <w:spacing w:line="320" w:lineRule="exact"/>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未按约定时间抵达客户现场，且未与客户提供沟通取得同意，导致客户投诉的</w:t>
            </w:r>
          </w:p>
        </w:tc>
        <w:tc>
          <w:tcPr>
            <w:tcW w:w="1320" w:type="dxa"/>
            <w:tcBorders>
              <w:top w:val="single" w:color="auto" w:sz="4" w:space="0"/>
              <w:left w:val="nil"/>
              <w:bottom w:val="single" w:color="auto" w:sz="4" w:space="0"/>
              <w:right w:val="single" w:color="auto" w:sz="4" w:space="0"/>
            </w:tcBorders>
            <w:noWrap w:val="0"/>
            <w:vAlign w:val="center"/>
          </w:tcPr>
          <w:p w14:paraId="4A472219">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single" w:color="auto" w:sz="4" w:space="0"/>
              <w:left w:val="nil"/>
              <w:bottom w:val="single" w:color="auto" w:sz="4" w:space="0"/>
              <w:right w:val="single" w:color="auto" w:sz="4" w:space="0"/>
            </w:tcBorders>
            <w:noWrap w:val="0"/>
            <w:vAlign w:val="center"/>
          </w:tcPr>
          <w:p w14:paraId="563F8C28">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687" w:type="dxa"/>
            <w:tcBorders>
              <w:top w:val="single" w:color="auto" w:sz="4" w:space="0"/>
              <w:left w:val="nil"/>
              <w:bottom w:val="single" w:color="auto" w:sz="4" w:space="0"/>
              <w:right w:val="single" w:color="auto" w:sz="4" w:space="0"/>
            </w:tcBorders>
            <w:noWrap w:val="0"/>
            <w:vAlign w:val="center"/>
          </w:tcPr>
          <w:p w14:paraId="6EEABB4C">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330" w:type="dxa"/>
            <w:tcBorders>
              <w:top w:val="single" w:color="auto" w:sz="4" w:space="0"/>
              <w:left w:val="nil"/>
              <w:bottom w:val="single" w:color="auto" w:sz="4" w:space="0"/>
              <w:right w:val="single" w:color="auto" w:sz="4" w:space="0"/>
            </w:tcBorders>
            <w:noWrap w:val="0"/>
            <w:vAlign w:val="center"/>
          </w:tcPr>
          <w:p w14:paraId="5935677A">
            <w:pPr>
              <w:overflowPunct/>
              <w:autoSpaceDE/>
              <w:autoSpaceDN/>
              <w:adjustRightInd/>
              <w:spacing w:line="320" w:lineRule="exact"/>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造成投诉，每次扣1分；</w:t>
            </w:r>
          </w:p>
        </w:tc>
      </w:tr>
      <w:tr w14:paraId="73621E7B">
        <w:tblPrEx>
          <w:tblCellMar>
            <w:top w:w="0" w:type="dxa"/>
            <w:left w:w="108" w:type="dxa"/>
            <w:bottom w:w="0" w:type="dxa"/>
            <w:right w:w="108" w:type="dxa"/>
          </w:tblCellMar>
        </w:tblPrEx>
        <w:trPr>
          <w:trHeight w:val="540" w:hRule="atLeast"/>
          <w:jc w:val="center"/>
        </w:trPr>
        <w:tc>
          <w:tcPr>
            <w:tcW w:w="414" w:type="dxa"/>
            <w:vMerge w:val="continue"/>
            <w:tcBorders>
              <w:left w:val="single" w:color="auto" w:sz="4" w:space="0"/>
              <w:right w:val="single" w:color="auto" w:sz="4" w:space="0"/>
            </w:tcBorders>
            <w:noWrap w:val="0"/>
            <w:vAlign w:val="center"/>
          </w:tcPr>
          <w:p w14:paraId="45595C45">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nil"/>
              <w:left w:val="nil"/>
              <w:bottom w:val="single" w:color="auto" w:sz="4" w:space="0"/>
              <w:right w:val="single" w:color="auto" w:sz="4" w:space="0"/>
            </w:tcBorders>
            <w:noWrap w:val="0"/>
            <w:vAlign w:val="center"/>
          </w:tcPr>
          <w:p w14:paraId="78188120">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8</w:t>
            </w:r>
          </w:p>
        </w:tc>
        <w:tc>
          <w:tcPr>
            <w:tcW w:w="3168" w:type="dxa"/>
            <w:gridSpan w:val="2"/>
            <w:tcBorders>
              <w:top w:val="nil"/>
              <w:left w:val="nil"/>
              <w:bottom w:val="single" w:color="auto" w:sz="4" w:space="0"/>
              <w:right w:val="single" w:color="auto" w:sz="4" w:space="0"/>
            </w:tcBorders>
            <w:noWrap w:val="0"/>
            <w:vAlign w:val="center"/>
          </w:tcPr>
          <w:p w14:paraId="0FCAB0D5">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运输服务过程发生异常情况，未在30分钟内反馈给新东欣调度人员（包括装卸货、数量异常、废物异常、沟通异常等）。</w:t>
            </w:r>
          </w:p>
        </w:tc>
        <w:tc>
          <w:tcPr>
            <w:tcW w:w="1320" w:type="dxa"/>
            <w:tcBorders>
              <w:top w:val="nil"/>
              <w:left w:val="nil"/>
              <w:bottom w:val="single" w:color="auto" w:sz="4" w:space="0"/>
              <w:right w:val="single" w:color="auto" w:sz="4" w:space="0"/>
            </w:tcBorders>
            <w:noWrap w:val="0"/>
            <w:vAlign w:val="center"/>
          </w:tcPr>
          <w:p w14:paraId="2E1F4BA5">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nil"/>
              <w:left w:val="nil"/>
              <w:bottom w:val="single" w:color="auto" w:sz="4" w:space="0"/>
              <w:right w:val="single" w:color="auto" w:sz="4" w:space="0"/>
            </w:tcBorders>
            <w:noWrap w:val="0"/>
            <w:vAlign w:val="center"/>
          </w:tcPr>
          <w:p w14:paraId="74848FA6">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687" w:type="dxa"/>
            <w:tcBorders>
              <w:top w:val="nil"/>
              <w:left w:val="nil"/>
              <w:bottom w:val="single" w:color="auto" w:sz="4" w:space="0"/>
              <w:right w:val="single" w:color="auto" w:sz="4" w:space="0"/>
            </w:tcBorders>
            <w:noWrap w:val="0"/>
            <w:vAlign w:val="center"/>
          </w:tcPr>
          <w:p w14:paraId="25C0FC92">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330" w:type="dxa"/>
            <w:tcBorders>
              <w:top w:val="nil"/>
              <w:left w:val="nil"/>
              <w:bottom w:val="single" w:color="auto" w:sz="4" w:space="0"/>
              <w:right w:val="single" w:color="auto" w:sz="4" w:space="0"/>
            </w:tcBorders>
            <w:noWrap w:val="0"/>
            <w:vAlign w:val="center"/>
          </w:tcPr>
          <w:p w14:paraId="27D6C67F">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不及时，每次扣0.5分；不反馈，每次扣1分；</w:t>
            </w:r>
          </w:p>
        </w:tc>
      </w:tr>
      <w:tr w14:paraId="76EB259B">
        <w:tblPrEx>
          <w:tblCellMar>
            <w:top w:w="0" w:type="dxa"/>
            <w:left w:w="108" w:type="dxa"/>
            <w:bottom w:w="0" w:type="dxa"/>
            <w:right w:w="108" w:type="dxa"/>
          </w:tblCellMar>
        </w:tblPrEx>
        <w:trPr>
          <w:trHeight w:val="549" w:hRule="atLeast"/>
          <w:jc w:val="center"/>
        </w:trPr>
        <w:tc>
          <w:tcPr>
            <w:tcW w:w="414" w:type="dxa"/>
            <w:vMerge w:val="continue"/>
            <w:tcBorders>
              <w:left w:val="single" w:color="auto" w:sz="4" w:space="0"/>
              <w:right w:val="single" w:color="auto" w:sz="4" w:space="0"/>
            </w:tcBorders>
            <w:noWrap w:val="0"/>
            <w:vAlign w:val="center"/>
          </w:tcPr>
          <w:p w14:paraId="2B6CD5BF">
            <w:pPr>
              <w:overflowPunct/>
              <w:autoSpaceDE/>
              <w:autoSpaceDN/>
              <w:adjustRightInd/>
              <w:spacing w:line="320" w:lineRule="exact"/>
              <w:jc w:val="center"/>
              <w:textAlignment w:val="auto"/>
              <w:rPr>
                <w:rFonts w:ascii="宋体" w:hAnsi="宋体" w:eastAsia="宋体" w:cs="宋体"/>
                <w:color w:val="auto"/>
                <w:sz w:val="21"/>
                <w:szCs w:val="21"/>
                <w:highlight w:val="none"/>
                <w:lang w:val="en-US"/>
              </w:rPr>
            </w:pPr>
          </w:p>
        </w:tc>
        <w:tc>
          <w:tcPr>
            <w:tcW w:w="425" w:type="dxa"/>
            <w:tcBorders>
              <w:top w:val="nil"/>
              <w:left w:val="nil"/>
              <w:bottom w:val="single" w:color="auto" w:sz="4" w:space="0"/>
              <w:right w:val="single" w:color="auto" w:sz="4" w:space="0"/>
            </w:tcBorders>
            <w:noWrap w:val="0"/>
            <w:vAlign w:val="center"/>
          </w:tcPr>
          <w:p w14:paraId="44C493D5">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9</w:t>
            </w:r>
          </w:p>
        </w:tc>
        <w:tc>
          <w:tcPr>
            <w:tcW w:w="3168" w:type="dxa"/>
            <w:gridSpan w:val="2"/>
            <w:tcBorders>
              <w:top w:val="nil"/>
              <w:left w:val="nil"/>
              <w:bottom w:val="single" w:color="auto" w:sz="4" w:space="0"/>
              <w:right w:val="single" w:color="auto" w:sz="4" w:space="0"/>
            </w:tcBorders>
            <w:noWrap w:val="0"/>
            <w:vAlign w:val="center"/>
          </w:tcPr>
          <w:p w14:paraId="4DC219C6">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运输服务过程态度不佳，与客户或新东欣公司人员发生纠纷、冲突、或被投诉且经调查属实的情况。</w:t>
            </w:r>
          </w:p>
        </w:tc>
        <w:tc>
          <w:tcPr>
            <w:tcW w:w="1320" w:type="dxa"/>
            <w:tcBorders>
              <w:top w:val="nil"/>
              <w:left w:val="nil"/>
              <w:bottom w:val="single" w:color="auto" w:sz="4" w:space="0"/>
              <w:right w:val="single" w:color="auto" w:sz="4" w:space="0"/>
            </w:tcBorders>
            <w:noWrap w:val="0"/>
            <w:vAlign w:val="center"/>
          </w:tcPr>
          <w:p w14:paraId="52F293EC">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nil"/>
              <w:left w:val="nil"/>
              <w:bottom w:val="single" w:color="auto" w:sz="4" w:space="0"/>
              <w:right w:val="single" w:color="auto" w:sz="4" w:space="0"/>
            </w:tcBorders>
            <w:noWrap w:val="0"/>
            <w:vAlign w:val="center"/>
          </w:tcPr>
          <w:p w14:paraId="22370D35">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687" w:type="dxa"/>
            <w:tcBorders>
              <w:top w:val="nil"/>
              <w:left w:val="nil"/>
              <w:bottom w:val="single" w:color="auto" w:sz="4" w:space="0"/>
              <w:right w:val="single" w:color="auto" w:sz="4" w:space="0"/>
            </w:tcBorders>
            <w:noWrap w:val="0"/>
            <w:vAlign w:val="center"/>
          </w:tcPr>
          <w:p w14:paraId="1CFE19C0">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p>
        </w:tc>
        <w:tc>
          <w:tcPr>
            <w:tcW w:w="1330" w:type="dxa"/>
            <w:tcBorders>
              <w:top w:val="nil"/>
              <w:left w:val="nil"/>
              <w:bottom w:val="single" w:color="auto" w:sz="4" w:space="0"/>
              <w:right w:val="single" w:color="auto" w:sz="4" w:space="0"/>
            </w:tcBorders>
            <w:noWrap w:val="0"/>
            <w:vAlign w:val="center"/>
          </w:tcPr>
          <w:p w14:paraId="55C502AC">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发生每次扣1分</w:t>
            </w:r>
          </w:p>
        </w:tc>
      </w:tr>
      <w:tr w14:paraId="7D3C8BD6">
        <w:tblPrEx>
          <w:tblCellMar>
            <w:top w:w="0" w:type="dxa"/>
            <w:left w:w="108" w:type="dxa"/>
            <w:bottom w:w="0" w:type="dxa"/>
            <w:right w:w="108" w:type="dxa"/>
          </w:tblCellMar>
        </w:tblPrEx>
        <w:trPr>
          <w:trHeight w:val="459" w:hRule="atLeast"/>
          <w:jc w:val="center"/>
        </w:trPr>
        <w:tc>
          <w:tcPr>
            <w:tcW w:w="414" w:type="dxa"/>
            <w:vMerge w:val="continue"/>
            <w:tcBorders>
              <w:left w:val="single" w:color="auto" w:sz="4" w:space="0"/>
              <w:right w:val="single" w:color="auto" w:sz="4" w:space="0"/>
            </w:tcBorders>
            <w:noWrap w:val="0"/>
            <w:vAlign w:val="center"/>
          </w:tcPr>
          <w:p w14:paraId="10AFA2F5">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nil"/>
              <w:left w:val="nil"/>
              <w:bottom w:val="single" w:color="auto" w:sz="4" w:space="0"/>
              <w:right w:val="single" w:color="auto" w:sz="4" w:space="0"/>
            </w:tcBorders>
            <w:noWrap w:val="0"/>
            <w:vAlign w:val="center"/>
          </w:tcPr>
          <w:p w14:paraId="3F1E7CDA">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3168" w:type="dxa"/>
            <w:gridSpan w:val="2"/>
            <w:tcBorders>
              <w:top w:val="nil"/>
              <w:left w:val="nil"/>
              <w:bottom w:val="single" w:color="auto" w:sz="4" w:space="0"/>
              <w:right w:val="single" w:color="auto" w:sz="4" w:space="0"/>
            </w:tcBorders>
            <w:noWrap w:val="0"/>
            <w:vAlign w:val="center"/>
          </w:tcPr>
          <w:p w14:paraId="39211FFD">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运输服务人员不专业，如：装车不合理、遇到废物发生异常时处置不合理、遇到车辆突发异常时处置不合理</w:t>
            </w:r>
          </w:p>
        </w:tc>
        <w:tc>
          <w:tcPr>
            <w:tcW w:w="1320" w:type="dxa"/>
            <w:tcBorders>
              <w:top w:val="nil"/>
              <w:left w:val="nil"/>
              <w:bottom w:val="single" w:color="auto" w:sz="4" w:space="0"/>
              <w:right w:val="single" w:color="auto" w:sz="4" w:space="0"/>
            </w:tcBorders>
            <w:noWrap w:val="0"/>
            <w:vAlign w:val="top"/>
          </w:tcPr>
          <w:p w14:paraId="486B3B18">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p w14:paraId="332306E4">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物控部</w:t>
            </w:r>
          </w:p>
          <w:p w14:paraId="69E9ABCA">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安环部</w:t>
            </w:r>
          </w:p>
        </w:tc>
        <w:tc>
          <w:tcPr>
            <w:tcW w:w="890" w:type="dxa"/>
            <w:tcBorders>
              <w:top w:val="nil"/>
              <w:left w:val="nil"/>
              <w:bottom w:val="single" w:color="auto" w:sz="4" w:space="0"/>
              <w:right w:val="single" w:color="auto" w:sz="4" w:space="0"/>
            </w:tcBorders>
            <w:noWrap w:val="0"/>
            <w:vAlign w:val="center"/>
          </w:tcPr>
          <w:p w14:paraId="2AADD06B">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15</w:t>
            </w:r>
          </w:p>
        </w:tc>
        <w:tc>
          <w:tcPr>
            <w:tcW w:w="687" w:type="dxa"/>
            <w:tcBorders>
              <w:top w:val="nil"/>
              <w:left w:val="nil"/>
              <w:bottom w:val="single" w:color="auto" w:sz="4" w:space="0"/>
              <w:right w:val="single" w:color="auto" w:sz="4" w:space="0"/>
            </w:tcBorders>
            <w:noWrap w:val="0"/>
            <w:vAlign w:val="center"/>
          </w:tcPr>
          <w:p w14:paraId="6561EC62">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330" w:type="dxa"/>
            <w:tcBorders>
              <w:top w:val="nil"/>
              <w:left w:val="nil"/>
              <w:bottom w:val="single" w:color="auto" w:sz="4" w:space="0"/>
              <w:right w:val="single" w:color="auto" w:sz="4" w:space="0"/>
            </w:tcBorders>
            <w:noWrap w:val="0"/>
            <w:vAlign w:val="center"/>
          </w:tcPr>
          <w:p w14:paraId="4988F3CE">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不专业造成轻微事故每次扣1分；造成严重事故的，每次扣5分</w:t>
            </w:r>
          </w:p>
        </w:tc>
      </w:tr>
      <w:tr w14:paraId="4DE7BCA9">
        <w:tblPrEx>
          <w:tblCellMar>
            <w:top w:w="0" w:type="dxa"/>
            <w:left w:w="108" w:type="dxa"/>
            <w:bottom w:w="0" w:type="dxa"/>
            <w:right w:w="108" w:type="dxa"/>
          </w:tblCellMar>
        </w:tblPrEx>
        <w:trPr>
          <w:trHeight w:val="492" w:hRule="atLeast"/>
          <w:jc w:val="center"/>
        </w:trPr>
        <w:tc>
          <w:tcPr>
            <w:tcW w:w="414" w:type="dxa"/>
            <w:vMerge w:val="restart"/>
            <w:tcBorders>
              <w:top w:val="nil"/>
              <w:left w:val="single" w:color="auto" w:sz="4" w:space="0"/>
              <w:right w:val="single" w:color="auto" w:sz="4" w:space="0"/>
            </w:tcBorders>
            <w:noWrap w:val="0"/>
            <w:vAlign w:val="center"/>
          </w:tcPr>
          <w:p w14:paraId="15FAA302">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其他</w:t>
            </w:r>
          </w:p>
        </w:tc>
        <w:tc>
          <w:tcPr>
            <w:tcW w:w="425" w:type="dxa"/>
            <w:tcBorders>
              <w:top w:val="nil"/>
              <w:left w:val="nil"/>
              <w:bottom w:val="single" w:color="auto" w:sz="4" w:space="0"/>
              <w:right w:val="single" w:color="auto" w:sz="4" w:space="0"/>
            </w:tcBorders>
            <w:noWrap w:val="0"/>
            <w:vAlign w:val="center"/>
          </w:tcPr>
          <w:p w14:paraId="7329A4BC">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11</w:t>
            </w:r>
          </w:p>
        </w:tc>
        <w:tc>
          <w:tcPr>
            <w:tcW w:w="3168" w:type="dxa"/>
            <w:gridSpan w:val="2"/>
            <w:tcBorders>
              <w:top w:val="nil"/>
              <w:left w:val="nil"/>
              <w:bottom w:val="single" w:color="auto" w:sz="4" w:space="0"/>
              <w:right w:val="single" w:color="auto" w:sz="4" w:space="0"/>
            </w:tcBorders>
            <w:noWrap w:val="0"/>
            <w:vAlign w:val="center"/>
          </w:tcPr>
          <w:p w14:paraId="6592ED7F">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现场收货的承运单未与客户确认并签字、或漏签字或代替客户签字，或运输公司人员将废物明细及数量填写错误或错扣皮重，导致新东欣入库后修改数据。</w:t>
            </w:r>
          </w:p>
        </w:tc>
        <w:tc>
          <w:tcPr>
            <w:tcW w:w="1320" w:type="dxa"/>
            <w:tcBorders>
              <w:top w:val="nil"/>
              <w:left w:val="nil"/>
              <w:bottom w:val="single" w:color="auto" w:sz="4" w:space="0"/>
              <w:right w:val="single" w:color="auto" w:sz="4" w:space="0"/>
            </w:tcBorders>
            <w:noWrap w:val="0"/>
            <w:vAlign w:val="center"/>
          </w:tcPr>
          <w:p w14:paraId="4C7AEF15">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p w14:paraId="693A37F6">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物控部</w:t>
            </w:r>
          </w:p>
        </w:tc>
        <w:tc>
          <w:tcPr>
            <w:tcW w:w="890" w:type="dxa"/>
            <w:tcBorders>
              <w:top w:val="nil"/>
              <w:left w:val="nil"/>
              <w:bottom w:val="single" w:color="auto" w:sz="4" w:space="0"/>
              <w:right w:val="single" w:color="auto" w:sz="4" w:space="0"/>
            </w:tcBorders>
            <w:noWrap w:val="0"/>
            <w:vAlign w:val="center"/>
          </w:tcPr>
          <w:p w14:paraId="0BEA627D">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687" w:type="dxa"/>
            <w:tcBorders>
              <w:top w:val="nil"/>
              <w:left w:val="nil"/>
              <w:bottom w:val="single" w:color="auto" w:sz="4" w:space="0"/>
              <w:right w:val="single" w:color="auto" w:sz="4" w:space="0"/>
            </w:tcBorders>
            <w:noWrap w:val="0"/>
            <w:vAlign w:val="center"/>
          </w:tcPr>
          <w:p w14:paraId="1657F9FA">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330" w:type="dxa"/>
            <w:tcBorders>
              <w:top w:val="nil"/>
              <w:left w:val="nil"/>
              <w:bottom w:val="single" w:color="auto" w:sz="4" w:space="0"/>
              <w:right w:val="single" w:color="auto" w:sz="4" w:space="0"/>
            </w:tcBorders>
            <w:noWrap w:val="0"/>
            <w:vAlign w:val="center"/>
          </w:tcPr>
          <w:p w14:paraId="51C7EB6E">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每次扣0.5分</w:t>
            </w:r>
          </w:p>
        </w:tc>
      </w:tr>
      <w:tr w14:paraId="024DAA0F">
        <w:tblPrEx>
          <w:tblCellMar>
            <w:top w:w="0" w:type="dxa"/>
            <w:left w:w="108" w:type="dxa"/>
            <w:bottom w:w="0" w:type="dxa"/>
            <w:right w:w="108" w:type="dxa"/>
          </w:tblCellMar>
        </w:tblPrEx>
        <w:trPr>
          <w:trHeight w:val="400" w:hRule="atLeast"/>
          <w:jc w:val="center"/>
        </w:trPr>
        <w:tc>
          <w:tcPr>
            <w:tcW w:w="414" w:type="dxa"/>
            <w:vMerge w:val="continue"/>
            <w:tcBorders>
              <w:left w:val="single" w:color="auto" w:sz="4" w:space="0"/>
              <w:right w:val="single" w:color="auto" w:sz="4" w:space="0"/>
            </w:tcBorders>
            <w:noWrap w:val="0"/>
            <w:vAlign w:val="center"/>
          </w:tcPr>
          <w:p w14:paraId="7124B1DE">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nil"/>
              <w:left w:val="nil"/>
              <w:bottom w:val="single" w:color="auto" w:sz="4" w:space="0"/>
              <w:right w:val="single" w:color="auto" w:sz="4" w:space="0"/>
            </w:tcBorders>
            <w:noWrap w:val="0"/>
            <w:vAlign w:val="center"/>
          </w:tcPr>
          <w:p w14:paraId="2B1D3EAD">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12</w:t>
            </w:r>
          </w:p>
        </w:tc>
        <w:tc>
          <w:tcPr>
            <w:tcW w:w="3168" w:type="dxa"/>
            <w:gridSpan w:val="2"/>
            <w:tcBorders>
              <w:top w:val="nil"/>
              <w:left w:val="nil"/>
              <w:bottom w:val="single" w:color="auto" w:sz="4" w:space="0"/>
              <w:right w:val="single" w:color="auto" w:sz="4" w:space="0"/>
            </w:tcBorders>
            <w:noWrap w:val="0"/>
            <w:vAlign w:val="center"/>
          </w:tcPr>
          <w:p w14:paraId="712070C9">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因运输人员原因导致漏扫联单或错扫联单</w:t>
            </w:r>
          </w:p>
        </w:tc>
        <w:tc>
          <w:tcPr>
            <w:tcW w:w="1320" w:type="dxa"/>
            <w:tcBorders>
              <w:top w:val="nil"/>
              <w:left w:val="nil"/>
              <w:bottom w:val="single" w:color="auto" w:sz="4" w:space="0"/>
              <w:right w:val="single" w:color="auto" w:sz="4" w:space="0"/>
            </w:tcBorders>
            <w:noWrap w:val="0"/>
            <w:vAlign w:val="center"/>
          </w:tcPr>
          <w:p w14:paraId="07811DF1">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nil"/>
              <w:left w:val="nil"/>
              <w:bottom w:val="single" w:color="auto" w:sz="4" w:space="0"/>
              <w:right w:val="single" w:color="auto" w:sz="4" w:space="0"/>
            </w:tcBorders>
            <w:noWrap w:val="0"/>
            <w:vAlign w:val="center"/>
          </w:tcPr>
          <w:p w14:paraId="6D35725F">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687" w:type="dxa"/>
            <w:tcBorders>
              <w:top w:val="nil"/>
              <w:left w:val="nil"/>
              <w:bottom w:val="single" w:color="auto" w:sz="4" w:space="0"/>
              <w:right w:val="single" w:color="auto" w:sz="4" w:space="0"/>
            </w:tcBorders>
            <w:noWrap w:val="0"/>
            <w:vAlign w:val="center"/>
          </w:tcPr>
          <w:p w14:paraId="4A2CDE29">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330" w:type="dxa"/>
            <w:tcBorders>
              <w:top w:val="nil"/>
              <w:left w:val="nil"/>
              <w:bottom w:val="single" w:color="auto" w:sz="4" w:space="0"/>
              <w:right w:val="single" w:color="auto" w:sz="4" w:space="0"/>
            </w:tcBorders>
            <w:noWrap w:val="0"/>
            <w:vAlign w:val="center"/>
          </w:tcPr>
          <w:p w14:paraId="56A4A55D">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每次扣1分</w:t>
            </w:r>
          </w:p>
        </w:tc>
      </w:tr>
      <w:tr w14:paraId="680B7408">
        <w:tblPrEx>
          <w:tblCellMar>
            <w:top w:w="0" w:type="dxa"/>
            <w:left w:w="108" w:type="dxa"/>
            <w:bottom w:w="0" w:type="dxa"/>
            <w:right w:w="108" w:type="dxa"/>
          </w:tblCellMar>
        </w:tblPrEx>
        <w:trPr>
          <w:trHeight w:val="579" w:hRule="atLeast"/>
          <w:jc w:val="center"/>
        </w:trPr>
        <w:tc>
          <w:tcPr>
            <w:tcW w:w="414" w:type="dxa"/>
            <w:vMerge w:val="continue"/>
            <w:tcBorders>
              <w:left w:val="single" w:color="auto" w:sz="4" w:space="0"/>
              <w:right w:val="single" w:color="auto" w:sz="4" w:space="0"/>
            </w:tcBorders>
            <w:noWrap w:val="0"/>
            <w:vAlign w:val="center"/>
          </w:tcPr>
          <w:p w14:paraId="681CA41F">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nil"/>
              <w:left w:val="nil"/>
              <w:bottom w:val="single" w:color="auto" w:sz="4" w:space="0"/>
              <w:right w:val="single" w:color="auto" w:sz="4" w:space="0"/>
            </w:tcBorders>
            <w:noWrap w:val="0"/>
            <w:vAlign w:val="center"/>
          </w:tcPr>
          <w:p w14:paraId="3661D395">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13</w:t>
            </w:r>
          </w:p>
        </w:tc>
        <w:tc>
          <w:tcPr>
            <w:tcW w:w="3168" w:type="dxa"/>
            <w:gridSpan w:val="2"/>
            <w:tcBorders>
              <w:top w:val="nil"/>
              <w:left w:val="nil"/>
              <w:bottom w:val="single" w:color="auto" w:sz="4" w:space="0"/>
              <w:right w:val="single" w:color="auto" w:sz="4" w:space="0"/>
            </w:tcBorders>
            <w:noWrap w:val="0"/>
            <w:vAlign w:val="center"/>
          </w:tcPr>
          <w:p w14:paraId="4B17446E">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运输费对账资料和发票未按时提交，数据存在反复修改</w:t>
            </w:r>
          </w:p>
        </w:tc>
        <w:tc>
          <w:tcPr>
            <w:tcW w:w="1320" w:type="dxa"/>
            <w:tcBorders>
              <w:top w:val="nil"/>
              <w:left w:val="nil"/>
              <w:bottom w:val="single" w:color="auto" w:sz="4" w:space="0"/>
              <w:right w:val="single" w:color="auto" w:sz="4" w:space="0"/>
            </w:tcBorders>
            <w:noWrap w:val="0"/>
            <w:vAlign w:val="center"/>
          </w:tcPr>
          <w:p w14:paraId="3DFF63EB">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nil"/>
              <w:left w:val="nil"/>
              <w:bottom w:val="single" w:color="auto" w:sz="4" w:space="0"/>
              <w:right w:val="single" w:color="auto" w:sz="4" w:space="0"/>
            </w:tcBorders>
            <w:noWrap w:val="0"/>
            <w:vAlign w:val="center"/>
          </w:tcPr>
          <w:p w14:paraId="0A3802E9">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2</w:t>
            </w:r>
          </w:p>
        </w:tc>
        <w:tc>
          <w:tcPr>
            <w:tcW w:w="687" w:type="dxa"/>
            <w:tcBorders>
              <w:top w:val="nil"/>
              <w:left w:val="nil"/>
              <w:bottom w:val="single" w:color="auto" w:sz="4" w:space="0"/>
              <w:right w:val="single" w:color="auto" w:sz="4" w:space="0"/>
            </w:tcBorders>
            <w:noWrap w:val="0"/>
            <w:vAlign w:val="center"/>
          </w:tcPr>
          <w:p w14:paraId="20ABB471">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p>
        </w:tc>
        <w:tc>
          <w:tcPr>
            <w:tcW w:w="1330" w:type="dxa"/>
            <w:tcBorders>
              <w:top w:val="nil"/>
              <w:left w:val="nil"/>
              <w:bottom w:val="single" w:color="auto" w:sz="4" w:space="0"/>
              <w:right w:val="single" w:color="auto" w:sz="4" w:space="0"/>
            </w:tcBorders>
            <w:noWrap w:val="0"/>
            <w:vAlign w:val="center"/>
          </w:tcPr>
          <w:p w14:paraId="5B4C4ECC">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延迟提交一次扣0.2分；反复修改扣0.5分</w:t>
            </w:r>
          </w:p>
        </w:tc>
      </w:tr>
      <w:tr w14:paraId="31773C99">
        <w:tblPrEx>
          <w:tblCellMar>
            <w:top w:w="0" w:type="dxa"/>
            <w:left w:w="108" w:type="dxa"/>
            <w:bottom w:w="0" w:type="dxa"/>
            <w:right w:w="108" w:type="dxa"/>
          </w:tblCellMar>
        </w:tblPrEx>
        <w:trPr>
          <w:trHeight w:val="486" w:hRule="atLeast"/>
          <w:jc w:val="center"/>
        </w:trPr>
        <w:tc>
          <w:tcPr>
            <w:tcW w:w="414" w:type="dxa"/>
            <w:vMerge w:val="continue"/>
            <w:tcBorders>
              <w:left w:val="single" w:color="auto" w:sz="4" w:space="0"/>
              <w:right w:val="single" w:color="auto" w:sz="4" w:space="0"/>
            </w:tcBorders>
            <w:noWrap w:val="0"/>
            <w:vAlign w:val="center"/>
          </w:tcPr>
          <w:p w14:paraId="11DB7DA1">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nil"/>
              <w:left w:val="nil"/>
              <w:bottom w:val="single" w:color="auto" w:sz="4" w:space="0"/>
              <w:right w:val="single" w:color="auto" w:sz="4" w:space="0"/>
            </w:tcBorders>
            <w:noWrap w:val="0"/>
            <w:vAlign w:val="center"/>
          </w:tcPr>
          <w:p w14:paraId="6ED7F540">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14</w:t>
            </w:r>
          </w:p>
        </w:tc>
        <w:tc>
          <w:tcPr>
            <w:tcW w:w="3168" w:type="dxa"/>
            <w:gridSpan w:val="2"/>
            <w:tcBorders>
              <w:top w:val="nil"/>
              <w:left w:val="nil"/>
              <w:bottom w:val="single" w:color="auto" w:sz="4" w:space="0"/>
              <w:right w:val="single" w:color="auto" w:sz="4" w:space="0"/>
            </w:tcBorders>
            <w:noWrap w:val="0"/>
            <w:vAlign w:val="center"/>
          </w:tcPr>
          <w:p w14:paraId="3F24AAC7">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整改报告未按时提交，整改措施不合理且无效</w:t>
            </w:r>
          </w:p>
        </w:tc>
        <w:tc>
          <w:tcPr>
            <w:tcW w:w="1320" w:type="dxa"/>
            <w:tcBorders>
              <w:top w:val="nil"/>
              <w:left w:val="nil"/>
              <w:bottom w:val="single" w:color="auto" w:sz="4" w:space="0"/>
              <w:right w:val="single" w:color="auto" w:sz="4" w:space="0"/>
            </w:tcBorders>
            <w:noWrap w:val="0"/>
            <w:vAlign w:val="center"/>
          </w:tcPr>
          <w:p w14:paraId="2BFCA225">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nil"/>
              <w:left w:val="nil"/>
              <w:bottom w:val="single" w:color="auto" w:sz="4" w:space="0"/>
              <w:right w:val="single" w:color="auto" w:sz="4" w:space="0"/>
            </w:tcBorders>
            <w:noWrap w:val="0"/>
            <w:vAlign w:val="center"/>
          </w:tcPr>
          <w:p w14:paraId="66AF4F3A">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3</w:t>
            </w:r>
          </w:p>
        </w:tc>
        <w:tc>
          <w:tcPr>
            <w:tcW w:w="687" w:type="dxa"/>
            <w:tcBorders>
              <w:top w:val="nil"/>
              <w:left w:val="nil"/>
              <w:bottom w:val="single" w:color="auto" w:sz="4" w:space="0"/>
              <w:right w:val="single" w:color="auto" w:sz="4" w:space="0"/>
            </w:tcBorders>
            <w:noWrap w:val="0"/>
            <w:vAlign w:val="center"/>
          </w:tcPr>
          <w:p w14:paraId="5976A48B">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p>
        </w:tc>
        <w:tc>
          <w:tcPr>
            <w:tcW w:w="1330" w:type="dxa"/>
            <w:tcBorders>
              <w:top w:val="nil"/>
              <w:left w:val="nil"/>
              <w:bottom w:val="single" w:color="auto" w:sz="4" w:space="0"/>
              <w:right w:val="single" w:color="auto" w:sz="4" w:space="0"/>
            </w:tcBorders>
            <w:noWrap w:val="0"/>
            <w:vAlign w:val="center"/>
          </w:tcPr>
          <w:p w14:paraId="4141FF7F">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不符合一次扣0.5分</w:t>
            </w:r>
          </w:p>
        </w:tc>
      </w:tr>
      <w:tr w14:paraId="7C566C17">
        <w:tblPrEx>
          <w:tblCellMar>
            <w:top w:w="0" w:type="dxa"/>
            <w:left w:w="108" w:type="dxa"/>
            <w:bottom w:w="0" w:type="dxa"/>
            <w:right w:w="108" w:type="dxa"/>
          </w:tblCellMar>
        </w:tblPrEx>
        <w:trPr>
          <w:trHeight w:val="397" w:hRule="exact"/>
          <w:jc w:val="center"/>
        </w:trPr>
        <w:tc>
          <w:tcPr>
            <w:tcW w:w="5327" w:type="dxa"/>
            <w:gridSpan w:val="5"/>
            <w:tcBorders>
              <w:top w:val="single" w:color="auto" w:sz="4" w:space="0"/>
              <w:left w:val="single" w:color="auto" w:sz="4" w:space="0"/>
              <w:bottom w:val="single" w:color="auto" w:sz="4" w:space="0"/>
              <w:right w:val="nil"/>
            </w:tcBorders>
            <w:noWrap w:val="0"/>
            <w:vAlign w:val="center"/>
          </w:tcPr>
          <w:p w14:paraId="7F85F6EC">
            <w:pPr>
              <w:overflowPunct/>
              <w:autoSpaceDE/>
              <w:autoSpaceDN/>
              <w:adjustRightInd/>
              <w:spacing w:line="320" w:lineRule="exact"/>
              <w:jc w:val="center"/>
              <w:textAlignment w:val="auto"/>
              <w:rPr>
                <w:rFonts w:ascii="宋体" w:hAnsi="宋体" w:eastAsia="宋体" w:cs="宋体"/>
                <w:b/>
                <w:color w:val="auto"/>
                <w:sz w:val="18"/>
                <w:szCs w:val="18"/>
                <w:highlight w:val="none"/>
                <w:lang w:val="en-US"/>
              </w:rPr>
            </w:pPr>
            <w:r>
              <w:rPr>
                <w:rFonts w:hint="eastAsia" w:ascii="宋体" w:hAnsi="宋体" w:eastAsia="宋体" w:cs="宋体"/>
                <w:b/>
                <w:color w:val="auto"/>
                <w:sz w:val="18"/>
                <w:szCs w:val="18"/>
                <w:highlight w:val="none"/>
                <w:lang w:val="en-US"/>
              </w:rPr>
              <w:t>合计</w:t>
            </w:r>
          </w:p>
        </w:tc>
        <w:tc>
          <w:tcPr>
            <w:tcW w:w="890" w:type="dxa"/>
            <w:tcBorders>
              <w:top w:val="nil"/>
              <w:left w:val="single" w:color="auto" w:sz="4" w:space="0"/>
              <w:bottom w:val="single" w:color="auto" w:sz="4" w:space="0"/>
              <w:right w:val="single" w:color="auto" w:sz="4" w:space="0"/>
            </w:tcBorders>
            <w:noWrap w:val="0"/>
            <w:vAlign w:val="center"/>
          </w:tcPr>
          <w:p w14:paraId="7DB1A796">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100</w:t>
            </w:r>
          </w:p>
        </w:tc>
        <w:tc>
          <w:tcPr>
            <w:tcW w:w="687" w:type="dxa"/>
            <w:tcBorders>
              <w:top w:val="nil"/>
              <w:left w:val="nil"/>
              <w:bottom w:val="single" w:color="auto" w:sz="4" w:space="0"/>
              <w:right w:val="single" w:color="auto" w:sz="4" w:space="0"/>
            </w:tcBorders>
            <w:noWrap w:val="0"/>
            <w:vAlign w:val="center"/>
          </w:tcPr>
          <w:p w14:paraId="7DB869A6">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330" w:type="dxa"/>
            <w:tcBorders>
              <w:top w:val="nil"/>
              <w:left w:val="nil"/>
              <w:bottom w:val="single" w:color="auto" w:sz="4" w:space="0"/>
              <w:right w:val="single" w:color="auto" w:sz="4" w:space="0"/>
            </w:tcBorders>
            <w:noWrap w:val="0"/>
            <w:vAlign w:val="center"/>
          </w:tcPr>
          <w:p w14:paraId="40F59503">
            <w:pPr>
              <w:overflowPunct/>
              <w:autoSpaceDE/>
              <w:autoSpaceDN/>
              <w:adjustRightInd/>
              <w:spacing w:line="320" w:lineRule="exact"/>
              <w:textAlignment w:val="auto"/>
              <w:rPr>
                <w:rFonts w:ascii="宋体" w:hAnsi="宋体" w:eastAsia="宋体" w:cs="宋体"/>
                <w:color w:val="auto"/>
                <w:sz w:val="18"/>
                <w:szCs w:val="18"/>
                <w:highlight w:val="none"/>
                <w:lang w:val="en-US"/>
              </w:rPr>
            </w:pPr>
          </w:p>
        </w:tc>
      </w:tr>
    </w:tbl>
    <w:p w14:paraId="762F565E">
      <w:pPr>
        <w:tabs>
          <w:tab w:val="left" w:pos="8090"/>
        </w:tabs>
        <w:rPr>
          <w:rFonts w:ascii="宋体" w:hAnsi="宋体" w:eastAsia="宋体"/>
          <w:color w:val="auto"/>
          <w:sz w:val="21"/>
          <w:szCs w:val="21"/>
          <w:highlight w:val="none"/>
          <w:lang w:val="en-US"/>
        </w:rPr>
      </w:pPr>
    </w:p>
    <w:p w14:paraId="43A13A92">
      <w:pPr>
        <w:tabs>
          <w:tab w:val="left" w:pos="8090"/>
        </w:tabs>
        <w:spacing w:line="240" w:lineRule="auto"/>
        <w:rPr>
          <w:rFonts w:ascii="宋体" w:hAnsi="宋体" w:eastAsia="宋体"/>
          <w:color w:val="auto"/>
          <w:sz w:val="21"/>
          <w:szCs w:val="21"/>
          <w:highlight w:val="none"/>
          <w:lang w:val="en-US"/>
        </w:rPr>
      </w:pPr>
      <w:r>
        <w:rPr>
          <w:rFonts w:hint="eastAsia" w:ascii="宋体" w:hAnsi="宋体" w:eastAsia="宋体"/>
          <w:color w:val="auto"/>
          <w:sz w:val="21"/>
          <w:szCs w:val="21"/>
          <w:highlight w:val="none"/>
          <w:lang w:val="en-US"/>
        </w:rPr>
        <w:t xml:space="preserve">市场部签字： </w:t>
      </w:r>
      <w:r>
        <w:rPr>
          <w:rFonts w:ascii="宋体" w:hAnsi="宋体" w:eastAsia="宋体"/>
          <w:color w:val="auto"/>
          <w:sz w:val="21"/>
          <w:szCs w:val="21"/>
          <w:highlight w:val="none"/>
          <w:lang w:val="en-US"/>
        </w:rPr>
        <w:t xml:space="preserve">                                          </w:t>
      </w:r>
      <w:r>
        <w:rPr>
          <w:rFonts w:hint="eastAsia" w:ascii="宋体" w:hAnsi="宋体" w:eastAsia="宋体"/>
          <w:color w:val="auto"/>
          <w:sz w:val="21"/>
          <w:szCs w:val="21"/>
          <w:highlight w:val="none"/>
          <w:lang w:val="en-US"/>
        </w:rPr>
        <w:t>物控部签字：</w:t>
      </w:r>
    </w:p>
    <w:p w14:paraId="65F969A6">
      <w:pPr>
        <w:tabs>
          <w:tab w:val="left" w:pos="8090"/>
        </w:tabs>
        <w:spacing w:line="240" w:lineRule="auto"/>
        <w:rPr>
          <w:rFonts w:ascii="宋体" w:hAnsi="宋体" w:eastAsia="宋体"/>
          <w:color w:val="auto"/>
          <w:sz w:val="21"/>
          <w:szCs w:val="21"/>
          <w:highlight w:val="none"/>
          <w:lang w:val="en-US"/>
        </w:rPr>
      </w:pPr>
    </w:p>
    <w:p w14:paraId="1DFDA526">
      <w:pPr>
        <w:tabs>
          <w:tab w:val="left" w:pos="8090"/>
        </w:tabs>
        <w:spacing w:line="240" w:lineRule="auto"/>
        <w:rPr>
          <w:rFonts w:ascii="宋体" w:hAnsi="宋体" w:eastAsia="宋体"/>
          <w:color w:val="auto"/>
          <w:sz w:val="21"/>
          <w:szCs w:val="21"/>
          <w:highlight w:val="none"/>
          <w:lang w:val="en-US"/>
        </w:rPr>
      </w:pPr>
      <w:r>
        <w:rPr>
          <w:rFonts w:hint="eastAsia" w:ascii="宋体" w:hAnsi="宋体" w:eastAsia="宋体"/>
          <w:color w:val="auto"/>
          <w:sz w:val="21"/>
          <w:szCs w:val="21"/>
          <w:highlight w:val="none"/>
          <w:lang w:val="en-US"/>
        </w:rPr>
        <w:t xml:space="preserve">招采部签字： </w:t>
      </w:r>
      <w:r>
        <w:rPr>
          <w:rFonts w:ascii="宋体" w:hAnsi="宋体" w:eastAsia="宋体"/>
          <w:color w:val="auto"/>
          <w:sz w:val="21"/>
          <w:szCs w:val="21"/>
          <w:highlight w:val="none"/>
          <w:lang w:val="en-US"/>
        </w:rPr>
        <w:t xml:space="preserve">                    </w:t>
      </w:r>
      <w:r>
        <w:rPr>
          <w:rFonts w:hint="eastAsia" w:ascii="宋体" w:hAnsi="宋体" w:eastAsia="宋体"/>
          <w:color w:val="auto"/>
          <w:sz w:val="21"/>
          <w:szCs w:val="21"/>
          <w:highlight w:val="none"/>
          <w:lang w:val="en-US"/>
        </w:rPr>
        <w:t xml:space="preserve"> </w:t>
      </w:r>
      <w:r>
        <w:rPr>
          <w:rFonts w:ascii="宋体" w:hAnsi="宋体" w:eastAsia="宋体"/>
          <w:color w:val="auto"/>
          <w:sz w:val="21"/>
          <w:szCs w:val="21"/>
          <w:highlight w:val="none"/>
          <w:lang w:val="en-US"/>
        </w:rPr>
        <w:t xml:space="preserve">                 </w:t>
      </w:r>
      <w:r>
        <w:rPr>
          <w:rFonts w:hint="eastAsia" w:ascii="宋体" w:hAnsi="宋体" w:eastAsia="宋体"/>
          <w:color w:val="auto"/>
          <w:sz w:val="21"/>
          <w:szCs w:val="21"/>
          <w:highlight w:val="none"/>
          <w:lang w:val="en-US"/>
        </w:rPr>
        <w:t xml:space="preserve">    安环部签字：</w:t>
      </w:r>
    </w:p>
    <w:p w14:paraId="7669991B">
      <w:pPr>
        <w:tabs>
          <w:tab w:val="left" w:pos="8090"/>
        </w:tabs>
        <w:spacing w:line="240" w:lineRule="auto"/>
        <w:rPr>
          <w:rFonts w:ascii="宋体" w:hAnsi="宋体" w:eastAsia="宋体"/>
          <w:color w:val="auto"/>
          <w:sz w:val="21"/>
          <w:szCs w:val="21"/>
          <w:highlight w:val="none"/>
          <w:lang w:val="en-US"/>
        </w:rPr>
      </w:pPr>
    </w:p>
    <w:p w14:paraId="55AC9713">
      <w:pPr>
        <w:spacing w:line="240" w:lineRule="auto"/>
        <w:jc w:val="left"/>
        <w:outlineLvl w:val="9"/>
        <w:rPr>
          <w:rFonts w:ascii="宋体" w:hAnsi="宋体" w:eastAsia="宋体"/>
          <w:color w:val="auto"/>
          <w:sz w:val="21"/>
          <w:szCs w:val="21"/>
          <w:highlight w:val="none"/>
          <w:lang w:val="en-US"/>
        </w:rPr>
      </w:pPr>
      <w:r>
        <w:rPr>
          <w:rFonts w:hint="eastAsia" w:ascii="宋体" w:hAnsi="宋体" w:eastAsia="宋体"/>
          <w:color w:val="auto"/>
          <w:sz w:val="21"/>
          <w:szCs w:val="21"/>
          <w:highlight w:val="none"/>
          <w:lang w:val="en-US"/>
        </w:rPr>
        <w:t xml:space="preserve">运输公司签章： </w:t>
      </w:r>
      <w:r>
        <w:rPr>
          <w:rFonts w:ascii="宋体" w:hAnsi="宋体" w:eastAsia="宋体"/>
          <w:color w:val="auto"/>
          <w:sz w:val="21"/>
          <w:szCs w:val="21"/>
          <w:highlight w:val="none"/>
          <w:lang w:val="en-US"/>
        </w:rPr>
        <w:t xml:space="preserve">     </w:t>
      </w:r>
      <w:bookmarkStart w:id="206" w:name="_Toc6933"/>
      <w:bookmarkStart w:id="207" w:name="_Toc9724"/>
      <w:bookmarkStart w:id="208" w:name="_Toc29098"/>
    </w:p>
    <w:p w14:paraId="600621FE">
      <w:pPr>
        <w:rPr>
          <w:rFonts w:ascii="宋体" w:hAnsi="宋体" w:eastAsia="宋体"/>
          <w:color w:val="auto"/>
          <w:sz w:val="21"/>
          <w:szCs w:val="21"/>
          <w:highlight w:val="none"/>
          <w:lang w:val="en-US"/>
        </w:rPr>
      </w:pPr>
      <w:r>
        <w:rPr>
          <w:rFonts w:ascii="宋体" w:hAnsi="宋体" w:eastAsia="宋体"/>
          <w:color w:val="auto"/>
          <w:sz w:val="21"/>
          <w:szCs w:val="21"/>
          <w:highlight w:val="none"/>
          <w:lang w:val="en-US"/>
        </w:rPr>
        <w:br w:type="page"/>
      </w:r>
    </w:p>
    <w:p w14:paraId="2BB47CB0">
      <w:pPr>
        <w:spacing w:line="240" w:lineRule="auto"/>
        <w:jc w:val="left"/>
        <w:outlineLvl w:val="1"/>
        <w:rPr>
          <w:rFonts w:hint="default" w:ascii="黑体" w:eastAsia="黑体"/>
          <w:color w:val="auto"/>
          <w:sz w:val="28"/>
          <w:szCs w:val="28"/>
          <w:highlight w:val="none"/>
          <w:lang w:val="en-US"/>
        </w:rPr>
      </w:pPr>
      <w:bookmarkStart w:id="209" w:name="_Toc7535"/>
      <w:bookmarkStart w:id="210" w:name="_Toc14514"/>
      <w:bookmarkStart w:id="211" w:name="_Toc8642"/>
      <w:bookmarkStart w:id="212" w:name="_Toc7676"/>
      <w:bookmarkStart w:id="213" w:name="_Toc11092"/>
      <w:bookmarkStart w:id="214" w:name="_Toc3352"/>
      <w:r>
        <w:rPr>
          <w:rFonts w:hint="eastAsia" w:ascii="宋体" w:hAnsi="宋体"/>
          <w:b/>
          <w:color w:val="auto"/>
          <w:sz w:val="21"/>
          <w:szCs w:val="21"/>
          <w:highlight w:val="none"/>
        </w:rPr>
        <w:t>技术需求书</w:t>
      </w:r>
      <w:r>
        <w:rPr>
          <w:rFonts w:ascii="Times New Roman" w:hAnsi="Times New Roman" w:cs="Times New Roman"/>
          <w:b/>
          <w:color w:val="auto"/>
          <w:szCs w:val="21"/>
          <w:highlight w:val="none"/>
        </w:rPr>
        <w:t>附件</w:t>
      </w:r>
      <w:r>
        <w:rPr>
          <w:rFonts w:hint="eastAsia" w:cs="Times New Roman"/>
          <w:b/>
          <w:color w:val="auto"/>
          <w:szCs w:val="21"/>
          <w:highlight w:val="none"/>
          <w:lang w:val="en-US" w:eastAsia="zh-CN"/>
        </w:rPr>
        <w:t>7：</w:t>
      </w:r>
      <w:r>
        <w:rPr>
          <w:rFonts w:ascii="Times New Roman" w:hAnsi="Times New Roman" w:cs="Times New Roman"/>
          <w:b/>
          <w:color w:val="auto"/>
          <w:szCs w:val="21"/>
          <w:highlight w:val="none"/>
        </w:rPr>
        <w:t>《</w:t>
      </w:r>
      <w:r>
        <w:rPr>
          <w:rFonts w:hint="eastAsia" w:cs="Times New Roman"/>
          <w:b/>
          <w:color w:val="auto"/>
          <w:szCs w:val="21"/>
          <w:highlight w:val="none"/>
          <w:lang w:val="en-US" w:eastAsia="zh-CN"/>
        </w:rPr>
        <w:t>运输单位搬运费分级标准》</w:t>
      </w:r>
      <w:bookmarkEnd w:id="206"/>
      <w:bookmarkEnd w:id="207"/>
      <w:bookmarkEnd w:id="208"/>
      <w:bookmarkEnd w:id="209"/>
      <w:bookmarkEnd w:id="210"/>
      <w:bookmarkEnd w:id="211"/>
      <w:bookmarkEnd w:id="212"/>
      <w:bookmarkEnd w:id="213"/>
      <w:bookmarkEnd w:id="214"/>
    </w:p>
    <w:tbl>
      <w:tblPr>
        <w:tblStyle w:val="2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45"/>
        <w:gridCol w:w="6460"/>
        <w:gridCol w:w="988"/>
      </w:tblGrid>
      <w:tr w14:paraId="363581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8" w:hRule="atLeast"/>
        </w:trPr>
        <w:tc>
          <w:tcPr>
            <w:tcW w:w="945" w:type="dxa"/>
          </w:tcPr>
          <w:p w14:paraId="06C7856F">
            <w:pPr>
              <w:spacing w:line="360" w:lineRule="auto"/>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类别</w:t>
            </w:r>
          </w:p>
        </w:tc>
        <w:tc>
          <w:tcPr>
            <w:tcW w:w="6460" w:type="dxa"/>
          </w:tcPr>
          <w:p w14:paraId="772F0AAA">
            <w:pPr>
              <w:spacing w:line="360" w:lineRule="auto"/>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标准</w:t>
            </w:r>
          </w:p>
        </w:tc>
        <w:tc>
          <w:tcPr>
            <w:tcW w:w="988" w:type="dxa"/>
          </w:tcPr>
          <w:p w14:paraId="7C2885FB">
            <w:pPr>
              <w:spacing w:line="360" w:lineRule="auto"/>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打包费</w:t>
            </w:r>
          </w:p>
        </w:tc>
      </w:tr>
      <w:tr w14:paraId="6A9BB0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5" w:type="dxa"/>
          </w:tcPr>
          <w:p w14:paraId="0F0B6E0F">
            <w:pPr>
              <w:tabs>
                <w:tab w:val="left" w:pos="358"/>
              </w:tabs>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正常</w:t>
            </w:r>
          </w:p>
          <w:p w14:paraId="3F1F631D">
            <w:pPr>
              <w:tabs>
                <w:tab w:val="left" w:pos="358"/>
              </w:tabs>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服务</w:t>
            </w:r>
          </w:p>
        </w:tc>
        <w:tc>
          <w:tcPr>
            <w:tcW w:w="6460" w:type="dxa"/>
          </w:tcPr>
          <w:p w14:paraId="3D4F4713">
            <w:pPr>
              <w:jc w:val="left"/>
              <w:rPr>
                <w:rFonts w:hint="eastAsia" w:ascii="宋体" w:hAnsi="宋体" w:eastAsia="宋体" w:cs="宋体"/>
                <w:bCs/>
                <w:color w:val="auto"/>
                <w:sz w:val="21"/>
                <w:szCs w:val="21"/>
                <w:highlight w:val="none"/>
              </w:rPr>
            </w:pPr>
            <w:r>
              <w:rPr>
                <w:rFonts w:hint="eastAsia" w:ascii="宋体" w:hAnsi="宋体" w:eastAsia="宋体" w:cs="宋体"/>
                <w:color w:val="auto"/>
                <w:sz w:val="21"/>
                <w:szCs w:val="21"/>
                <w:highlight w:val="none"/>
              </w:rPr>
              <w:t>收运现场废物已码好卡板，</w:t>
            </w:r>
            <w:r>
              <w:rPr>
                <w:rFonts w:hint="eastAsia" w:ascii="宋体" w:hAnsi="宋体" w:eastAsia="宋体" w:cs="宋体"/>
                <w:bCs/>
                <w:color w:val="auto"/>
                <w:sz w:val="21"/>
                <w:szCs w:val="21"/>
                <w:highlight w:val="none"/>
              </w:rPr>
              <w:t>仅需要缠膜固定（采购人提供拉伸膜）和使用手叉车上车，或者机动叉车装货时需要运输人员协助挂耳操作，属于正常服务，不额外支付装卸服务费。</w:t>
            </w:r>
          </w:p>
        </w:tc>
        <w:tc>
          <w:tcPr>
            <w:tcW w:w="988" w:type="dxa"/>
            <w:vAlign w:val="center"/>
          </w:tcPr>
          <w:p w14:paraId="27BF40F5">
            <w:pPr>
              <w:spacing w:line="360" w:lineRule="auto"/>
              <w:jc w:val="center"/>
              <w:rPr>
                <w:rFonts w:hint="eastAsia" w:ascii="宋体" w:hAnsi="宋体" w:eastAsia="宋体" w:cs="宋体"/>
                <w:bCs/>
                <w:color w:val="auto"/>
                <w:sz w:val="21"/>
                <w:szCs w:val="21"/>
                <w:highlight w:val="none"/>
              </w:rPr>
            </w:pPr>
            <w:r>
              <w:rPr>
                <w:rFonts w:hint="eastAsia" w:ascii="宋体" w:hAnsi="宋体" w:eastAsia="宋体" w:cs="宋体"/>
                <w:bCs/>
                <w:color w:val="auto"/>
                <w:sz w:val="21"/>
                <w:szCs w:val="21"/>
                <w:highlight w:val="none"/>
              </w:rPr>
              <w:t>0元</w:t>
            </w:r>
          </w:p>
        </w:tc>
      </w:tr>
      <w:tr w14:paraId="148FAB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93" w:hRule="atLeast"/>
        </w:trPr>
        <w:tc>
          <w:tcPr>
            <w:tcW w:w="945" w:type="dxa"/>
            <w:vAlign w:val="center"/>
          </w:tcPr>
          <w:p w14:paraId="13C6DD52">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属于</w:t>
            </w:r>
          </w:p>
          <w:p w14:paraId="1E41B2B9">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搬运</w:t>
            </w:r>
          </w:p>
          <w:p w14:paraId="017D6EC4">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打包</w:t>
            </w:r>
          </w:p>
          <w:p w14:paraId="65F34A53">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服务</w:t>
            </w:r>
          </w:p>
          <w:p w14:paraId="30D22226">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的</w:t>
            </w:r>
          </w:p>
          <w:p w14:paraId="0426997B">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类型</w:t>
            </w:r>
          </w:p>
        </w:tc>
        <w:tc>
          <w:tcPr>
            <w:tcW w:w="6460" w:type="dxa"/>
          </w:tcPr>
          <w:p w14:paraId="367C490B">
            <w:pPr>
              <w:numPr>
                <w:ilvl w:val="0"/>
                <w:numId w:val="3"/>
              </w:numPr>
              <w:jc w:val="left"/>
              <w:rPr>
                <w:rFonts w:hint="eastAsia" w:ascii="宋体" w:hAnsi="宋体" w:eastAsia="宋体" w:cs="宋体"/>
                <w:color w:val="auto"/>
                <w:sz w:val="21"/>
                <w:szCs w:val="21"/>
                <w:highlight w:val="none"/>
              </w:rPr>
            </w:pPr>
            <w:r>
              <w:rPr>
                <w:rFonts w:hint="eastAsia" w:ascii="宋体" w:hAnsi="宋体" w:eastAsia="宋体" w:cs="宋体"/>
                <w:bCs/>
                <w:color w:val="auto"/>
                <w:sz w:val="21"/>
                <w:szCs w:val="21"/>
                <w:highlight w:val="none"/>
              </w:rPr>
              <w:t>客户</w:t>
            </w:r>
            <w:r>
              <w:rPr>
                <w:rFonts w:hint="eastAsia" w:ascii="宋体" w:hAnsi="宋体" w:eastAsia="宋体" w:cs="宋体"/>
                <w:color w:val="auto"/>
                <w:sz w:val="21"/>
                <w:szCs w:val="21"/>
                <w:highlight w:val="none"/>
              </w:rPr>
              <w:t>废物码放不规范，需运输人员重新拆包并重新码板打包的。</w:t>
            </w:r>
          </w:p>
          <w:p w14:paraId="75822217">
            <w:pPr>
              <w:numPr>
                <w:ilvl w:val="0"/>
                <w:numId w:val="3"/>
              </w:num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桶装液体类废物，客户未提前码板，需运输人员搬上卡板的。</w:t>
            </w:r>
          </w:p>
          <w:p w14:paraId="1685B460">
            <w:pPr>
              <w:numPr>
                <w:ilvl w:val="0"/>
                <w:numId w:val="3"/>
              </w:num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小袋装的固体废物，客户未提前码板，需运输人员搬上卡板的。</w:t>
            </w:r>
          </w:p>
          <w:p w14:paraId="05E31B28">
            <w:pPr>
              <w:numPr>
                <w:ilvl w:val="0"/>
                <w:numId w:val="3"/>
              </w:num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散装的粉末状或污泥状固体废物，客户未提前装桶或装吨袋的，需要运输人员装桶或者装袋的。</w:t>
            </w:r>
          </w:p>
          <w:p w14:paraId="59B02791">
            <w:pPr>
              <w:numPr>
                <w:ilvl w:val="0"/>
                <w:numId w:val="3"/>
              </w:num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装货现场条件限制，无法使用手动叉车装货（例如台阶，无电梯的楼层），需要人工搬动转移货物的。</w:t>
            </w:r>
          </w:p>
          <w:p w14:paraId="01D62BB1">
            <w:p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6、现场抽取废液的操作环境十分不便，需要人工反复上下或者管线超长</w:t>
            </w:r>
          </w:p>
        </w:tc>
        <w:tc>
          <w:tcPr>
            <w:tcW w:w="988" w:type="dxa"/>
            <w:vAlign w:val="center"/>
          </w:tcPr>
          <w:p w14:paraId="5E6F8AB6">
            <w:pPr>
              <w:spacing w:line="360" w:lineRule="auto"/>
              <w:jc w:val="center"/>
              <w:rPr>
                <w:rFonts w:hint="eastAsia" w:ascii="宋体" w:hAnsi="宋体" w:eastAsia="宋体" w:cs="宋体"/>
                <w:bCs/>
                <w:color w:val="auto"/>
                <w:sz w:val="21"/>
                <w:szCs w:val="21"/>
                <w:highlight w:val="none"/>
              </w:rPr>
            </w:pPr>
            <w:r>
              <w:rPr>
                <w:rFonts w:hint="eastAsia" w:ascii="宋体" w:hAnsi="宋体" w:eastAsia="宋体" w:cs="宋体"/>
                <w:bCs/>
                <w:color w:val="auto"/>
                <w:sz w:val="21"/>
                <w:szCs w:val="21"/>
                <w:highlight w:val="none"/>
              </w:rPr>
              <w:t>按本表的</w:t>
            </w:r>
          </w:p>
          <w:p w14:paraId="35F84808">
            <w:pPr>
              <w:spacing w:line="360" w:lineRule="auto"/>
              <w:jc w:val="center"/>
              <w:rPr>
                <w:rFonts w:hint="eastAsia" w:ascii="宋体" w:hAnsi="宋体" w:eastAsia="宋体" w:cs="宋体"/>
                <w:bCs/>
                <w:color w:val="auto"/>
                <w:sz w:val="21"/>
                <w:szCs w:val="21"/>
                <w:highlight w:val="none"/>
              </w:rPr>
            </w:pPr>
            <w:r>
              <w:rPr>
                <w:rFonts w:hint="eastAsia" w:ascii="宋体" w:hAnsi="宋体" w:eastAsia="宋体" w:cs="宋体"/>
                <w:bCs/>
                <w:color w:val="auto"/>
                <w:sz w:val="21"/>
                <w:szCs w:val="21"/>
                <w:highlight w:val="none"/>
              </w:rPr>
              <w:t>标准付费</w:t>
            </w:r>
          </w:p>
        </w:tc>
      </w:tr>
      <w:tr w14:paraId="7D0BA8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4" w:hRule="atLeast"/>
        </w:trPr>
        <w:tc>
          <w:tcPr>
            <w:tcW w:w="945" w:type="dxa"/>
            <w:vAlign w:val="center"/>
          </w:tcPr>
          <w:p w14:paraId="1F18927F">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5-6米</w:t>
            </w:r>
          </w:p>
          <w:p w14:paraId="385AA828">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厢车</w:t>
            </w:r>
          </w:p>
        </w:tc>
        <w:tc>
          <w:tcPr>
            <w:tcW w:w="6460" w:type="dxa"/>
            <w:vAlign w:val="center"/>
          </w:tcPr>
          <w:p w14:paraId="7A936B09">
            <w:p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符合上述类型</w:t>
            </w:r>
          </w:p>
        </w:tc>
        <w:tc>
          <w:tcPr>
            <w:tcW w:w="988" w:type="dxa"/>
            <w:vAlign w:val="center"/>
          </w:tcPr>
          <w:p w14:paraId="6E61F37E">
            <w:pPr>
              <w:spacing w:line="360" w:lineRule="auto"/>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100元/车</w:t>
            </w:r>
          </w:p>
        </w:tc>
      </w:tr>
      <w:tr w14:paraId="6F54C7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945" w:type="dxa"/>
            <w:vAlign w:val="center"/>
          </w:tcPr>
          <w:p w14:paraId="659B826F">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7-8米</w:t>
            </w:r>
          </w:p>
          <w:p w14:paraId="388D5A3F">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厢车</w:t>
            </w:r>
          </w:p>
        </w:tc>
        <w:tc>
          <w:tcPr>
            <w:tcW w:w="6460" w:type="dxa"/>
            <w:vAlign w:val="center"/>
          </w:tcPr>
          <w:p w14:paraId="07908B7C">
            <w:p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符合上述类型</w:t>
            </w:r>
          </w:p>
        </w:tc>
        <w:tc>
          <w:tcPr>
            <w:tcW w:w="988" w:type="dxa"/>
            <w:vAlign w:val="center"/>
          </w:tcPr>
          <w:p w14:paraId="2EC380F3">
            <w:pPr>
              <w:spacing w:line="360" w:lineRule="auto"/>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150元/车</w:t>
            </w:r>
          </w:p>
        </w:tc>
      </w:tr>
      <w:tr w14:paraId="45982C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1" w:hRule="atLeast"/>
        </w:trPr>
        <w:tc>
          <w:tcPr>
            <w:tcW w:w="945" w:type="dxa"/>
            <w:vAlign w:val="center"/>
          </w:tcPr>
          <w:p w14:paraId="17B5BDB8">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9-10米</w:t>
            </w:r>
          </w:p>
          <w:p w14:paraId="00C1536F">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厢车</w:t>
            </w:r>
          </w:p>
        </w:tc>
        <w:tc>
          <w:tcPr>
            <w:tcW w:w="6460" w:type="dxa"/>
            <w:vAlign w:val="center"/>
          </w:tcPr>
          <w:p w14:paraId="700BF928">
            <w:p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符合上述类型</w:t>
            </w:r>
          </w:p>
        </w:tc>
        <w:tc>
          <w:tcPr>
            <w:tcW w:w="988" w:type="dxa"/>
            <w:vAlign w:val="center"/>
          </w:tcPr>
          <w:p w14:paraId="64345BB1">
            <w:pPr>
              <w:spacing w:line="360" w:lineRule="auto"/>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250元/车</w:t>
            </w:r>
          </w:p>
        </w:tc>
      </w:tr>
      <w:tr w14:paraId="59FDBD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7" w:hRule="atLeast"/>
        </w:trPr>
        <w:tc>
          <w:tcPr>
            <w:tcW w:w="945" w:type="dxa"/>
            <w:vAlign w:val="center"/>
          </w:tcPr>
          <w:p w14:paraId="20FC842D">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槽车</w:t>
            </w:r>
          </w:p>
        </w:tc>
        <w:tc>
          <w:tcPr>
            <w:tcW w:w="6460" w:type="dxa"/>
            <w:vAlign w:val="center"/>
          </w:tcPr>
          <w:p w14:paraId="0BEA6434">
            <w:p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符合上述第6点</w:t>
            </w:r>
          </w:p>
        </w:tc>
        <w:tc>
          <w:tcPr>
            <w:tcW w:w="988" w:type="dxa"/>
            <w:vAlign w:val="center"/>
          </w:tcPr>
          <w:p w14:paraId="0D8C8254">
            <w:pPr>
              <w:spacing w:line="360" w:lineRule="auto"/>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100元/车</w:t>
            </w:r>
          </w:p>
        </w:tc>
      </w:tr>
      <w:tr w14:paraId="506606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5" w:type="dxa"/>
            <w:vAlign w:val="center"/>
          </w:tcPr>
          <w:p w14:paraId="09788876">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特殊</w:t>
            </w:r>
          </w:p>
        </w:tc>
        <w:tc>
          <w:tcPr>
            <w:tcW w:w="6460" w:type="dxa"/>
            <w:vAlign w:val="center"/>
          </w:tcPr>
          <w:p w14:paraId="45D565D8">
            <w:p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现场打包工作量巨大，不适用按车次支付搬运费，提供凭证，可按吨支付搬运费。</w:t>
            </w:r>
          </w:p>
        </w:tc>
        <w:tc>
          <w:tcPr>
            <w:tcW w:w="988" w:type="dxa"/>
            <w:vAlign w:val="center"/>
          </w:tcPr>
          <w:p w14:paraId="57CA0A62">
            <w:pPr>
              <w:spacing w:line="360" w:lineRule="auto"/>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50元/吨</w:t>
            </w:r>
          </w:p>
        </w:tc>
      </w:tr>
      <w:tr w14:paraId="2BA8BF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5" w:type="dxa"/>
            <w:vAlign w:val="center"/>
          </w:tcPr>
          <w:p w14:paraId="22B35F34">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备注</w:t>
            </w:r>
          </w:p>
        </w:tc>
        <w:tc>
          <w:tcPr>
            <w:tcW w:w="7448" w:type="dxa"/>
            <w:gridSpan w:val="2"/>
            <w:vAlign w:val="center"/>
          </w:tcPr>
          <w:p w14:paraId="7A4BBCE3">
            <w:pPr>
              <w:spacing w:line="240" w:lineRule="auto"/>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费用的申请：</w:t>
            </w:r>
          </w:p>
          <w:p w14:paraId="57057D39">
            <w:pPr>
              <w:numPr>
                <w:ilvl w:val="0"/>
                <w:numId w:val="4"/>
              </w:numPr>
              <w:spacing w:line="240" w:lineRule="auto"/>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每月制作搬运打包费申请表，表内必须包含收运日期、客户名称、搬运废物的重量，同时提供对应客户现场能体现打包服务的水印照片和短视频，视频及照片文件名须按“日期+客户+重量”格式命名，并电子版打包发至采购人留存。</w:t>
            </w:r>
          </w:p>
          <w:p w14:paraId="3D16DA2F">
            <w:pPr>
              <w:numPr>
                <w:ilvl w:val="0"/>
                <w:numId w:val="4"/>
              </w:numPr>
              <w:spacing w:line="240" w:lineRule="auto"/>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提供对账单纸质时，须将对应的水印照片打印出来作为结算凭证，对账纸质资料每页盖章。</w:t>
            </w:r>
          </w:p>
          <w:p w14:paraId="6A42160D">
            <w:pPr>
              <w:spacing w:line="240" w:lineRule="auto"/>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3、无法提供上述资料的不予支付打包费用（客户现场不允许携带手机的，可与客户沟通协助拍摄，协商不成的需要提前告知采购人，以便采购人与客户确认打包服务属实）。</w:t>
            </w:r>
          </w:p>
        </w:tc>
      </w:tr>
    </w:tbl>
    <w:p w14:paraId="0BF5121E">
      <w:pPr>
        <w:rPr>
          <w:rFonts w:hint="eastAsia" w:ascii="宋体" w:hAnsi="宋体" w:eastAsia="宋体" w:cs="宋体"/>
          <w:b/>
          <w:color w:val="auto"/>
          <w:sz w:val="21"/>
          <w:szCs w:val="21"/>
          <w:highlight w:val="none"/>
        </w:rPr>
      </w:pPr>
    </w:p>
    <w:p w14:paraId="0BCE9FAB">
      <w:pP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br w:type="page"/>
      </w:r>
    </w:p>
    <w:p w14:paraId="346C5918">
      <w:pPr>
        <w:outlineLvl w:val="1"/>
        <w:rPr>
          <w:rFonts w:hint="eastAsia" w:ascii="宋体" w:hAnsi="宋体" w:eastAsia="宋体" w:cs="宋体"/>
          <w:b/>
          <w:color w:val="auto"/>
          <w:sz w:val="21"/>
          <w:szCs w:val="21"/>
          <w:highlight w:val="none"/>
        </w:rPr>
      </w:pPr>
      <w:bookmarkStart w:id="215" w:name="_Toc25396"/>
      <w:bookmarkStart w:id="216" w:name="_Toc12277"/>
      <w:bookmarkStart w:id="217" w:name="_Toc145"/>
      <w:bookmarkStart w:id="218" w:name="_Toc31602"/>
      <w:bookmarkStart w:id="219" w:name="_Toc28533"/>
      <w:bookmarkStart w:id="220" w:name="_Toc4565"/>
      <w:bookmarkStart w:id="221" w:name="_Toc1897"/>
      <w:bookmarkStart w:id="222" w:name="_Toc19064"/>
      <w:bookmarkStart w:id="223" w:name="_Toc11449"/>
      <w:bookmarkStart w:id="224" w:name="_Toc2153"/>
      <w:r>
        <w:rPr>
          <w:rFonts w:hint="eastAsia" w:ascii="宋体" w:hAnsi="宋体"/>
          <w:b/>
          <w:color w:val="auto"/>
          <w:sz w:val="21"/>
          <w:szCs w:val="21"/>
          <w:highlight w:val="none"/>
        </w:rPr>
        <w:t>技术需求书</w:t>
      </w:r>
      <w:r>
        <w:rPr>
          <w:rFonts w:hint="eastAsia" w:ascii="宋体" w:hAnsi="宋体" w:eastAsia="宋体" w:cs="宋体"/>
          <w:b/>
          <w:color w:val="auto"/>
          <w:sz w:val="21"/>
          <w:szCs w:val="21"/>
          <w:highlight w:val="none"/>
        </w:rPr>
        <w:t>附件</w:t>
      </w:r>
      <w:r>
        <w:rPr>
          <w:rFonts w:hint="eastAsia" w:ascii="宋体" w:hAnsi="宋体" w:cs="宋体"/>
          <w:b/>
          <w:color w:val="auto"/>
          <w:sz w:val="21"/>
          <w:szCs w:val="21"/>
          <w:highlight w:val="none"/>
          <w:lang w:val="en-US" w:eastAsia="zh-CN"/>
        </w:rPr>
        <w:t>8</w:t>
      </w:r>
      <w:r>
        <w:rPr>
          <w:rFonts w:hint="eastAsia" w:ascii="宋体" w:hAnsi="宋体" w:eastAsia="宋体" w:cs="宋体"/>
          <w:b/>
          <w:color w:val="auto"/>
          <w:sz w:val="21"/>
          <w:szCs w:val="21"/>
          <w:highlight w:val="none"/>
        </w:rPr>
        <w:t>：《承运单》</w:t>
      </w:r>
      <w:bookmarkEnd w:id="215"/>
      <w:bookmarkEnd w:id="216"/>
      <w:bookmarkEnd w:id="217"/>
      <w:bookmarkEnd w:id="218"/>
      <w:bookmarkEnd w:id="219"/>
      <w:bookmarkEnd w:id="220"/>
      <w:bookmarkEnd w:id="221"/>
      <w:bookmarkEnd w:id="222"/>
      <w:bookmarkEnd w:id="223"/>
      <w:bookmarkEnd w:id="224"/>
    </w:p>
    <w:tbl>
      <w:tblPr>
        <w:tblStyle w:val="28"/>
        <w:tblW w:w="4999" w:type="pct"/>
        <w:jc w:val="center"/>
        <w:tblLayout w:type="fixed"/>
        <w:tblCellMar>
          <w:top w:w="0" w:type="dxa"/>
          <w:left w:w="108" w:type="dxa"/>
          <w:bottom w:w="0" w:type="dxa"/>
          <w:right w:w="108" w:type="dxa"/>
        </w:tblCellMar>
      </w:tblPr>
      <w:tblGrid>
        <w:gridCol w:w="765"/>
        <w:gridCol w:w="1100"/>
        <w:gridCol w:w="870"/>
        <w:gridCol w:w="790"/>
        <w:gridCol w:w="1180"/>
        <w:gridCol w:w="997"/>
        <w:gridCol w:w="1303"/>
        <w:gridCol w:w="850"/>
        <w:gridCol w:w="666"/>
      </w:tblGrid>
      <w:tr w14:paraId="7F9DAD78">
        <w:tblPrEx>
          <w:tblCellMar>
            <w:top w:w="0" w:type="dxa"/>
            <w:left w:w="108" w:type="dxa"/>
            <w:bottom w:w="0" w:type="dxa"/>
            <w:right w:w="108" w:type="dxa"/>
          </w:tblCellMar>
        </w:tblPrEx>
        <w:trPr>
          <w:trHeight w:val="500" w:hRule="atLeast"/>
          <w:jc w:val="center"/>
        </w:trPr>
        <w:tc>
          <w:tcPr>
            <w:tcW w:w="5000" w:type="pct"/>
            <w:gridSpan w:val="9"/>
            <w:tcBorders>
              <w:top w:val="nil"/>
              <w:left w:val="nil"/>
              <w:bottom w:val="nil"/>
              <w:right w:val="nil"/>
            </w:tcBorders>
            <w:noWrap/>
            <w:vAlign w:val="center"/>
          </w:tcPr>
          <w:p w14:paraId="7EB4F23B">
            <w:pPr>
              <w:jc w:val="both"/>
              <w:textAlignment w:val="center"/>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 xml:space="preserve">承  运  单                                                         </w:t>
            </w:r>
            <w:r>
              <w:rPr>
                <w:rStyle w:val="83"/>
                <w:rFonts w:hint="eastAsia" w:ascii="宋体" w:hAnsi="宋体" w:eastAsia="宋体" w:cs="宋体"/>
                <w:color w:val="auto"/>
                <w:sz w:val="21"/>
                <w:szCs w:val="21"/>
                <w:highlight w:val="none"/>
              </w:rPr>
              <w:t xml:space="preserve"> 编号：  XXXXXXXXX   </w:t>
            </w:r>
          </w:p>
        </w:tc>
      </w:tr>
      <w:tr w14:paraId="360A7050">
        <w:tblPrEx>
          <w:tblCellMar>
            <w:top w:w="0" w:type="dxa"/>
            <w:left w:w="108" w:type="dxa"/>
            <w:bottom w:w="0" w:type="dxa"/>
            <w:right w:w="108" w:type="dxa"/>
          </w:tblCellMar>
        </w:tblPrEx>
        <w:trPr>
          <w:trHeight w:val="547"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0C2A3E56">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产废单位：</w:t>
            </w:r>
          </w:p>
        </w:tc>
        <w:tc>
          <w:tcPr>
            <w:tcW w:w="1619" w:type="pct"/>
            <w:gridSpan w:val="3"/>
            <w:tcBorders>
              <w:top w:val="single" w:color="000000" w:sz="4" w:space="0"/>
              <w:left w:val="single" w:color="000000" w:sz="4" w:space="0"/>
              <w:bottom w:val="single" w:color="000000" w:sz="4" w:space="0"/>
              <w:right w:val="single" w:color="000000" w:sz="4" w:space="0"/>
            </w:tcBorders>
            <w:noWrap/>
            <w:vAlign w:val="center"/>
          </w:tcPr>
          <w:p w14:paraId="54F1CA1C">
            <w:pPr>
              <w:rPr>
                <w:rFonts w:hint="eastAsia" w:ascii="宋体" w:hAnsi="宋体" w:eastAsia="宋体" w:cs="宋体"/>
                <w:color w:val="auto"/>
                <w:sz w:val="21"/>
                <w:szCs w:val="21"/>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3FE3104F">
            <w:pPr>
              <w:jc w:val="both"/>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收运日期：</w:t>
            </w:r>
          </w:p>
        </w:tc>
        <w:tc>
          <w:tcPr>
            <w:tcW w:w="2239" w:type="pct"/>
            <w:gridSpan w:val="4"/>
            <w:tcBorders>
              <w:top w:val="single" w:color="000000" w:sz="4" w:space="0"/>
              <w:left w:val="single" w:color="000000" w:sz="4" w:space="0"/>
              <w:bottom w:val="single" w:color="000000" w:sz="4" w:space="0"/>
              <w:right w:val="single" w:color="000000" w:sz="4" w:space="0"/>
            </w:tcBorders>
            <w:noWrap/>
            <w:vAlign w:val="center"/>
          </w:tcPr>
          <w:p w14:paraId="46E34B0F">
            <w:pP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XX年XX月XX日</w:t>
            </w:r>
          </w:p>
        </w:tc>
      </w:tr>
      <w:tr w14:paraId="14B75419">
        <w:tblPrEx>
          <w:tblCellMar>
            <w:top w:w="0" w:type="dxa"/>
            <w:left w:w="108" w:type="dxa"/>
            <w:bottom w:w="0" w:type="dxa"/>
            <w:right w:w="108" w:type="dxa"/>
          </w:tblCellMar>
        </w:tblPrEx>
        <w:trPr>
          <w:trHeight w:val="500"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41F155C6">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运输单位：</w:t>
            </w:r>
          </w:p>
        </w:tc>
        <w:tc>
          <w:tcPr>
            <w:tcW w:w="1619" w:type="pct"/>
            <w:gridSpan w:val="3"/>
            <w:tcBorders>
              <w:top w:val="single" w:color="000000" w:sz="4" w:space="0"/>
              <w:left w:val="single" w:color="000000" w:sz="4" w:space="0"/>
              <w:bottom w:val="single" w:color="000000" w:sz="4" w:space="0"/>
              <w:right w:val="single" w:color="000000" w:sz="4" w:space="0"/>
            </w:tcBorders>
            <w:noWrap/>
            <w:vAlign w:val="center"/>
          </w:tcPr>
          <w:p w14:paraId="23AA1D3A">
            <w:pPr>
              <w:rPr>
                <w:rFonts w:hint="eastAsia" w:ascii="宋体" w:hAnsi="宋体" w:eastAsia="宋体" w:cs="宋体"/>
                <w:color w:val="auto"/>
                <w:sz w:val="21"/>
                <w:szCs w:val="21"/>
                <w:highlight w:val="none"/>
              </w:rPr>
            </w:pPr>
          </w:p>
        </w:tc>
        <w:tc>
          <w:tcPr>
            <w:tcW w:w="692" w:type="pct"/>
            <w:vMerge w:val="restart"/>
            <w:tcBorders>
              <w:top w:val="single" w:color="000000" w:sz="4" w:space="0"/>
              <w:left w:val="single" w:color="000000" w:sz="4" w:space="0"/>
              <w:bottom w:val="single" w:color="000000" w:sz="4" w:space="0"/>
              <w:right w:val="single" w:color="000000" w:sz="4" w:space="0"/>
            </w:tcBorders>
            <w:vAlign w:val="center"/>
          </w:tcPr>
          <w:p w14:paraId="1464757F">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收运地址</w:t>
            </w:r>
          </w:p>
          <w:p w14:paraId="44CEC224">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所属区域</w:t>
            </w:r>
          </w:p>
        </w:tc>
        <w:tc>
          <w:tcPr>
            <w:tcW w:w="2239" w:type="pct"/>
            <w:gridSpan w:val="4"/>
            <w:vMerge w:val="restart"/>
            <w:tcBorders>
              <w:top w:val="single" w:color="000000" w:sz="4" w:space="0"/>
              <w:left w:val="single" w:color="000000" w:sz="4" w:space="0"/>
              <w:bottom w:val="single" w:color="000000" w:sz="4" w:space="0"/>
              <w:right w:val="single" w:color="000000" w:sz="4" w:space="0"/>
            </w:tcBorders>
            <w:vAlign w:val="center"/>
          </w:tcPr>
          <w:p w14:paraId="693F6420">
            <w:pPr>
              <w:jc w:val="both"/>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□东莞 □广州 □深圳 □惠州 □中山</w:t>
            </w:r>
          </w:p>
          <w:p w14:paraId="7AD9D28D">
            <w:pPr>
              <w:jc w:val="both"/>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□佛山 □珠海 □江门 □肇庆 □云浮</w:t>
            </w:r>
          </w:p>
          <w:p w14:paraId="65E90181">
            <w:pPr>
              <w:jc w:val="both"/>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□清远 □茂名 □湛江 □阳江 □汕尾</w:t>
            </w:r>
          </w:p>
          <w:p w14:paraId="4511F3EF">
            <w:pPr>
              <w:jc w:val="both"/>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□韶关 □揭阳 □河源 □梅州 □潮州</w:t>
            </w:r>
          </w:p>
          <w:p w14:paraId="3D038F6F">
            <w:pPr>
              <w:jc w:val="both"/>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□汕头</w:t>
            </w:r>
          </w:p>
        </w:tc>
      </w:tr>
      <w:tr w14:paraId="2F888082">
        <w:tblPrEx>
          <w:tblCellMar>
            <w:top w:w="0" w:type="dxa"/>
            <w:left w:w="108" w:type="dxa"/>
            <w:bottom w:w="0" w:type="dxa"/>
            <w:right w:w="108" w:type="dxa"/>
          </w:tblCellMar>
        </w:tblPrEx>
        <w:trPr>
          <w:trHeight w:val="500"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43A0DBEB">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处置单位：</w:t>
            </w:r>
          </w:p>
        </w:tc>
        <w:tc>
          <w:tcPr>
            <w:tcW w:w="1619" w:type="pct"/>
            <w:gridSpan w:val="3"/>
            <w:tcBorders>
              <w:top w:val="single" w:color="000000" w:sz="4" w:space="0"/>
              <w:left w:val="single" w:color="000000" w:sz="4" w:space="0"/>
              <w:bottom w:val="single" w:color="000000" w:sz="4" w:space="0"/>
              <w:right w:val="single" w:color="000000" w:sz="4" w:space="0"/>
            </w:tcBorders>
            <w:noWrap/>
            <w:vAlign w:val="center"/>
          </w:tcPr>
          <w:p w14:paraId="775AAA63">
            <w:pP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东莞市新东欣环保投资有限公司</w:t>
            </w:r>
          </w:p>
        </w:tc>
        <w:tc>
          <w:tcPr>
            <w:tcW w:w="692" w:type="pct"/>
            <w:vMerge w:val="continue"/>
            <w:tcBorders>
              <w:top w:val="single" w:color="000000" w:sz="4" w:space="0"/>
              <w:left w:val="single" w:color="000000" w:sz="4" w:space="0"/>
              <w:bottom w:val="single" w:color="000000" w:sz="4" w:space="0"/>
              <w:right w:val="single" w:color="000000" w:sz="4" w:space="0"/>
            </w:tcBorders>
            <w:vAlign w:val="center"/>
          </w:tcPr>
          <w:p w14:paraId="1F90A9DA">
            <w:pPr>
              <w:jc w:val="center"/>
              <w:rPr>
                <w:rFonts w:hint="eastAsia" w:ascii="宋体" w:hAnsi="宋体" w:eastAsia="宋体" w:cs="宋体"/>
                <w:color w:val="auto"/>
                <w:sz w:val="21"/>
                <w:szCs w:val="21"/>
                <w:highlight w:val="none"/>
              </w:rPr>
            </w:pPr>
          </w:p>
        </w:tc>
        <w:tc>
          <w:tcPr>
            <w:tcW w:w="2239" w:type="pct"/>
            <w:gridSpan w:val="4"/>
            <w:vMerge w:val="continue"/>
            <w:tcBorders>
              <w:top w:val="single" w:color="000000" w:sz="4" w:space="0"/>
              <w:left w:val="single" w:color="000000" w:sz="4" w:space="0"/>
              <w:bottom w:val="single" w:color="000000" w:sz="4" w:space="0"/>
              <w:right w:val="single" w:color="000000" w:sz="4" w:space="0"/>
            </w:tcBorders>
            <w:vAlign w:val="center"/>
          </w:tcPr>
          <w:p w14:paraId="284ACFA6">
            <w:pPr>
              <w:jc w:val="both"/>
              <w:rPr>
                <w:rFonts w:hint="eastAsia" w:ascii="宋体" w:hAnsi="宋体" w:eastAsia="宋体" w:cs="宋体"/>
                <w:color w:val="auto"/>
                <w:sz w:val="21"/>
                <w:szCs w:val="21"/>
                <w:highlight w:val="none"/>
              </w:rPr>
            </w:pPr>
          </w:p>
        </w:tc>
      </w:tr>
      <w:tr w14:paraId="4D261587">
        <w:tblPrEx>
          <w:tblCellMar>
            <w:top w:w="0" w:type="dxa"/>
            <w:left w:w="108" w:type="dxa"/>
            <w:bottom w:w="0" w:type="dxa"/>
            <w:right w:w="108" w:type="dxa"/>
          </w:tblCellMar>
        </w:tblPrEx>
        <w:trPr>
          <w:trHeight w:val="810"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06F2DECF">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序号</w:t>
            </w:r>
          </w:p>
        </w:tc>
        <w:tc>
          <w:tcPr>
            <w:tcW w:w="645" w:type="pct"/>
            <w:tcBorders>
              <w:top w:val="single" w:color="000000" w:sz="4" w:space="0"/>
              <w:left w:val="single" w:color="000000" w:sz="4" w:space="0"/>
              <w:bottom w:val="single" w:color="000000" w:sz="4" w:space="0"/>
              <w:right w:val="single" w:color="000000" w:sz="4" w:space="0"/>
            </w:tcBorders>
            <w:vAlign w:val="center"/>
          </w:tcPr>
          <w:p w14:paraId="69A13324">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废物名称</w:t>
            </w:r>
          </w:p>
          <w:p w14:paraId="246C6C5D">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（按合同废物名称，每种废物写一行）</w:t>
            </w:r>
          </w:p>
        </w:tc>
        <w:tc>
          <w:tcPr>
            <w:tcW w:w="510" w:type="pct"/>
            <w:tcBorders>
              <w:top w:val="single" w:color="000000" w:sz="4" w:space="0"/>
              <w:left w:val="single" w:color="000000" w:sz="4" w:space="0"/>
              <w:bottom w:val="single" w:color="000000" w:sz="4" w:space="0"/>
              <w:right w:val="single" w:color="000000" w:sz="4" w:space="0"/>
            </w:tcBorders>
            <w:vAlign w:val="center"/>
          </w:tcPr>
          <w:p w14:paraId="0538AD23">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包装方式</w:t>
            </w:r>
          </w:p>
          <w:p w14:paraId="66B1DB6D">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（桶/袋/散装）</w:t>
            </w:r>
          </w:p>
        </w:tc>
        <w:tc>
          <w:tcPr>
            <w:tcW w:w="463" w:type="pct"/>
            <w:tcBorders>
              <w:top w:val="single" w:color="000000" w:sz="4" w:space="0"/>
              <w:left w:val="single" w:color="000000" w:sz="4" w:space="0"/>
              <w:bottom w:val="single" w:color="000000" w:sz="4" w:space="0"/>
              <w:right w:val="single" w:color="000000" w:sz="4" w:space="0"/>
            </w:tcBorders>
            <w:vAlign w:val="center"/>
          </w:tcPr>
          <w:p w14:paraId="5C8F1624">
            <w:pPr>
              <w:jc w:val="both"/>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包装物规格</w:t>
            </w:r>
          </w:p>
          <w:p w14:paraId="7A198DC1">
            <w:pPr>
              <w:jc w:val="both"/>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(L/KG)</w:t>
            </w:r>
          </w:p>
        </w:tc>
        <w:tc>
          <w:tcPr>
            <w:tcW w:w="692" w:type="pct"/>
            <w:tcBorders>
              <w:top w:val="single" w:color="000000" w:sz="4" w:space="0"/>
              <w:left w:val="single" w:color="000000" w:sz="4" w:space="0"/>
              <w:bottom w:val="single" w:color="000000" w:sz="4" w:space="0"/>
              <w:right w:val="single" w:color="000000" w:sz="4" w:space="0"/>
            </w:tcBorders>
            <w:vAlign w:val="center"/>
          </w:tcPr>
          <w:p w14:paraId="28E93ECF">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数量</w:t>
            </w:r>
          </w:p>
          <w:p w14:paraId="74CC0307">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（个）</w:t>
            </w: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0DB94EAF">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废物毛重</w:t>
            </w:r>
          </w:p>
          <w:p w14:paraId="757FA553">
            <w:pPr>
              <w:jc w:val="center"/>
              <w:textAlignment w:val="center"/>
              <w:rPr>
                <w:rFonts w:hint="eastAsia" w:ascii="宋体" w:hAnsi="宋体" w:eastAsia="宋体" w:cs="宋体"/>
                <w:b/>
                <w:bCs/>
                <w:color w:val="auto"/>
                <w:sz w:val="21"/>
                <w:szCs w:val="21"/>
                <w:highlight w:val="none"/>
              </w:rPr>
            </w:pPr>
            <w:r>
              <w:rPr>
                <w:rFonts w:hint="eastAsia" w:ascii="宋体" w:hAnsi="宋体" w:eastAsia="宋体" w:cs="宋体"/>
                <w:color w:val="auto"/>
                <w:sz w:val="21"/>
                <w:szCs w:val="21"/>
                <w:highlight w:val="none"/>
              </w:rPr>
              <w:t>（KG）</w:t>
            </w: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32CC453A">
            <w:pPr>
              <w:jc w:val="both"/>
              <w:textAlignment w:val="center"/>
              <w:rPr>
                <w:rStyle w:val="86"/>
                <w:rFonts w:hint="eastAsia" w:ascii="宋体" w:hAnsi="宋体" w:eastAsia="宋体" w:cs="宋体"/>
                <w:b w:val="0"/>
                <w:bCs w:val="0"/>
                <w:color w:val="auto"/>
                <w:sz w:val="21"/>
                <w:szCs w:val="21"/>
                <w:highlight w:val="none"/>
              </w:rPr>
            </w:pPr>
            <w:r>
              <w:rPr>
                <w:rStyle w:val="86"/>
                <w:rFonts w:hint="eastAsia" w:ascii="宋体" w:hAnsi="宋体" w:eastAsia="宋体" w:cs="宋体"/>
                <w:b w:val="0"/>
                <w:bCs w:val="0"/>
                <w:color w:val="auto"/>
                <w:sz w:val="21"/>
                <w:szCs w:val="21"/>
                <w:highlight w:val="none"/>
              </w:rPr>
              <w:t>（卡板/桶）皮重</w:t>
            </w:r>
          </w:p>
          <w:p w14:paraId="068F36BA">
            <w:pPr>
              <w:jc w:val="center"/>
              <w:textAlignment w:val="center"/>
              <w:rPr>
                <w:rFonts w:hint="eastAsia" w:ascii="宋体" w:hAnsi="宋体" w:eastAsia="宋体" w:cs="宋体"/>
                <w:b/>
                <w:bCs/>
                <w:color w:val="auto"/>
                <w:sz w:val="21"/>
                <w:szCs w:val="21"/>
                <w:highlight w:val="none"/>
              </w:rPr>
            </w:pPr>
            <w:r>
              <w:rPr>
                <w:rFonts w:hint="eastAsia" w:ascii="宋体" w:hAnsi="宋体" w:eastAsia="宋体" w:cs="宋体"/>
                <w:color w:val="auto"/>
                <w:sz w:val="21"/>
                <w:szCs w:val="21"/>
                <w:highlight w:val="none"/>
              </w:rPr>
              <w:t>（KG）</w:t>
            </w:r>
          </w:p>
        </w:tc>
        <w:tc>
          <w:tcPr>
            <w:tcW w:w="498" w:type="pct"/>
            <w:tcBorders>
              <w:top w:val="single" w:color="000000" w:sz="4" w:space="0"/>
              <w:left w:val="single" w:color="000000" w:sz="4" w:space="0"/>
              <w:bottom w:val="single" w:color="000000" w:sz="4" w:space="0"/>
              <w:right w:val="single" w:color="000000" w:sz="4" w:space="0"/>
            </w:tcBorders>
            <w:noWrap/>
            <w:vAlign w:val="center"/>
          </w:tcPr>
          <w:p w14:paraId="715CCC1C">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废物净重</w:t>
            </w:r>
          </w:p>
          <w:p w14:paraId="16EB2285">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（KG）</w:t>
            </w:r>
          </w:p>
        </w:tc>
        <w:tc>
          <w:tcPr>
            <w:tcW w:w="390" w:type="pct"/>
            <w:tcBorders>
              <w:top w:val="single" w:color="000000" w:sz="4" w:space="0"/>
              <w:left w:val="single" w:color="000000" w:sz="4" w:space="0"/>
              <w:bottom w:val="single" w:color="000000" w:sz="4" w:space="0"/>
              <w:right w:val="single" w:color="000000" w:sz="4" w:space="0"/>
            </w:tcBorders>
            <w:vAlign w:val="center"/>
          </w:tcPr>
          <w:p w14:paraId="1AF5A0CA">
            <w:pPr>
              <w:jc w:val="both"/>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扣皮个数说明或其他备注</w:t>
            </w:r>
          </w:p>
        </w:tc>
      </w:tr>
      <w:tr w14:paraId="35CDFC81">
        <w:tblPrEx>
          <w:tblCellMar>
            <w:top w:w="0" w:type="dxa"/>
            <w:left w:w="108" w:type="dxa"/>
            <w:bottom w:w="0" w:type="dxa"/>
            <w:right w:w="108" w:type="dxa"/>
          </w:tblCellMar>
        </w:tblPrEx>
        <w:trPr>
          <w:trHeight w:val="397"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27DE3261">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w:t>
            </w:r>
          </w:p>
        </w:tc>
        <w:tc>
          <w:tcPr>
            <w:tcW w:w="645" w:type="pct"/>
            <w:tcBorders>
              <w:top w:val="single" w:color="000000" w:sz="4" w:space="0"/>
              <w:left w:val="single" w:color="000000" w:sz="4" w:space="0"/>
              <w:bottom w:val="single" w:color="000000" w:sz="4" w:space="0"/>
              <w:right w:val="single" w:color="000000" w:sz="4" w:space="0"/>
            </w:tcBorders>
            <w:noWrap/>
            <w:vAlign w:val="center"/>
          </w:tcPr>
          <w:p w14:paraId="1AA99A9E">
            <w:pPr>
              <w:jc w:val="center"/>
              <w:rPr>
                <w:rFonts w:hint="eastAsia" w:ascii="宋体" w:hAnsi="宋体" w:eastAsia="宋体" w:cs="宋体"/>
                <w:color w:val="auto"/>
                <w:sz w:val="21"/>
                <w:szCs w:val="21"/>
                <w:highlight w:val="none"/>
              </w:rPr>
            </w:pPr>
          </w:p>
        </w:tc>
        <w:tc>
          <w:tcPr>
            <w:tcW w:w="510" w:type="pct"/>
            <w:tcBorders>
              <w:top w:val="single" w:color="000000" w:sz="4" w:space="0"/>
              <w:left w:val="single" w:color="000000" w:sz="4" w:space="0"/>
              <w:bottom w:val="single" w:color="000000" w:sz="4" w:space="0"/>
              <w:right w:val="single" w:color="000000" w:sz="4" w:space="0"/>
            </w:tcBorders>
            <w:noWrap/>
            <w:vAlign w:val="center"/>
          </w:tcPr>
          <w:p w14:paraId="6A27BD60">
            <w:pPr>
              <w:jc w:val="center"/>
              <w:rPr>
                <w:rFonts w:hint="eastAsia" w:ascii="宋体" w:hAnsi="宋体" w:eastAsia="宋体" w:cs="宋体"/>
                <w:color w:val="auto"/>
                <w:sz w:val="21"/>
                <w:szCs w:val="21"/>
                <w:highlight w:val="none"/>
              </w:rPr>
            </w:pPr>
          </w:p>
        </w:tc>
        <w:tc>
          <w:tcPr>
            <w:tcW w:w="463" w:type="pct"/>
            <w:tcBorders>
              <w:top w:val="single" w:color="000000" w:sz="4" w:space="0"/>
              <w:left w:val="single" w:color="000000" w:sz="4" w:space="0"/>
              <w:bottom w:val="single" w:color="000000" w:sz="4" w:space="0"/>
              <w:right w:val="single" w:color="000000" w:sz="4" w:space="0"/>
            </w:tcBorders>
            <w:noWrap/>
            <w:vAlign w:val="center"/>
          </w:tcPr>
          <w:p w14:paraId="79E8E150">
            <w:pPr>
              <w:jc w:val="center"/>
              <w:rPr>
                <w:rFonts w:hint="eastAsia" w:ascii="宋体" w:hAnsi="宋体" w:eastAsia="宋体" w:cs="宋体"/>
                <w:color w:val="auto"/>
                <w:sz w:val="21"/>
                <w:szCs w:val="21"/>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0006C497">
            <w:pPr>
              <w:jc w:val="center"/>
              <w:rPr>
                <w:rFonts w:hint="eastAsia" w:ascii="宋体" w:hAnsi="宋体" w:eastAsia="宋体" w:cs="宋体"/>
                <w:color w:val="auto"/>
                <w:sz w:val="21"/>
                <w:szCs w:val="21"/>
                <w:highlight w:val="none"/>
              </w:rPr>
            </w:pP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0104EE47">
            <w:pPr>
              <w:jc w:val="center"/>
              <w:rPr>
                <w:rFonts w:hint="eastAsia" w:ascii="宋体" w:hAnsi="宋体" w:eastAsia="宋体" w:cs="宋体"/>
                <w:color w:val="auto"/>
                <w:sz w:val="21"/>
                <w:szCs w:val="21"/>
                <w:highlight w:val="none"/>
              </w:rPr>
            </w:pP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193299A9">
            <w:pPr>
              <w:jc w:val="center"/>
              <w:rPr>
                <w:rFonts w:hint="eastAsia" w:ascii="宋体" w:hAnsi="宋体" w:eastAsia="宋体" w:cs="宋体"/>
                <w:color w:val="auto"/>
                <w:sz w:val="21"/>
                <w:szCs w:val="21"/>
                <w:highlight w:val="none"/>
              </w:rPr>
            </w:pPr>
          </w:p>
        </w:tc>
        <w:tc>
          <w:tcPr>
            <w:tcW w:w="498" w:type="pct"/>
            <w:tcBorders>
              <w:top w:val="single" w:color="000000" w:sz="4" w:space="0"/>
              <w:left w:val="single" w:color="000000" w:sz="4" w:space="0"/>
              <w:bottom w:val="single" w:color="000000" w:sz="4" w:space="0"/>
              <w:right w:val="single" w:color="000000" w:sz="4" w:space="0"/>
            </w:tcBorders>
            <w:noWrap/>
            <w:vAlign w:val="center"/>
          </w:tcPr>
          <w:p w14:paraId="73D45004">
            <w:pPr>
              <w:jc w:val="center"/>
              <w:rPr>
                <w:rFonts w:hint="eastAsia" w:ascii="宋体" w:hAnsi="宋体" w:eastAsia="宋体" w:cs="宋体"/>
                <w:color w:val="auto"/>
                <w:sz w:val="21"/>
                <w:szCs w:val="21"/>
                <w:highlight w:val="none"/>
              </w:rPr>
            </w:pPr>
          </w:p>
        </w:tc>
        <w:tc>
          <w:tcPr>
            <w:tcW w:w="390" w:type="pct"/>
            <w:tcBorders>
              <w:top w:val="single" w:color="000000" w:sz="4" w:space="0"/>
              <w:left w:val="single" w:color="000000" w:sz="4" w:space="0"/>
              <w:bottom w:val="single" w:color="000000" w:sz="4" w:space="0"/>
              <w:right w:val="single" w:color="000000" w:sz="4" w:space="0"/>
            </w:tcBorders>
            <w:noWrap/>
            <w:vAlign w:val="center"/>
          </w:tcPr>
          <w:p w14:paraId="2E3C5E5A">
            <w:pPr>
              <w:jc w:val="center"/>
              <w:rPr>
                <w:rFonts w:hint="eastAsia" w:ascii="宋体" w:hAnsi="宋体" w:eastAsia="宋体" w:cs="宋体"/>
                <w:color w:val="auto"/>
                <w:sz w:val="21"/>
                <w:szCs w:val="21"/>
                <w:highlight w:val="none"/>
              </w:rPr>
            </w:pPr>
          </w:p>
        </w:tc>
      </w:tr>
      <w:tr w14:paraId="7E0D6DDA">
        <w:tblPrEx>
          <w:tblCellMar>
            <w:top w:w="0" w:type="dxa"/>
            <w:left w:w="108" w:type="dxa"/>
            <w:bottom w:w="0" w:type="dxa"/>
            <w:right w:w="108" w:type="dxa"/>
          </w:tblCellMar>
        </w:tblPrEx>
        <w:trPr>
          <w:trHeight w:val="397"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03B1C9E1">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2</w:t>
            </w:r>
          </w:p>
        </w:tc>
        <w:tc>
          <w:tcPr>
            <w:tcW w:w="645" w:type="pct"/>
            <w:tcBorders>
              <w:top w:val="single" w:color="000000" w:sz="4" w:space="0"/>
              <w:left w:val="single" w:color="000000" w:sz="4" w:space="0"/>
              <w:bottom w:val="single" w:color="000000" w:sz="4" w:space="0"/>
              <w:right w:val="single" w:color="000000" w:sz="4" w:space="0"/>
            </w:tcBorders>
            <w:noWrap/>
            <w:vAlign w:val="center"/>
          </w:tcPr>
          <w:p w14:paraId="4853E1AC">
            <w:pPr>
              <w:jc w:val="center"/>
              <w:rPr>
                <w:rFonts w:hint="eastAsia" w:ascii="宋体" w:hAnsi="宋体" w:eastAsia="宋体" w:cs="宋体"/>
                <w:color w:val="auto"/>
                <w:sz w:val="21"/>
                <w:szCs w:val="21"/>
                <w:highlight w:val="none"/>
              </w:rPr>
            </w:pPr>
          </w:p>
        </w:tc>
        <w:tc>
          <w:tcPr>
            <w:tcW w:w="510" w:type="pct"/>
            <w:tcBorders>
              <w:top w:val="single" w:color="000000" w:sz="4" w:space="0"/>
              <w:left w:val="single" w:color="000000" w:sz="4" w:space="0"/>
              <w:bottom w:val="single" w:color="000000" w:sz="4" w:space="0"/>
              <w:right w:val="single" w:color="000000" w:sz="4" w:space="0"/>
            </w:tcBorders>
            <w:noWrap/>
            <w:vAlign w:val="center"/>
          </w:tcPr>
          <w:p w14:paraId="3E7A595C">
            <w:pPr>
              <w:jc w:val="center"/>
              <w:rPr>
                <w:rFonts w:hint="eastAsia" w:ascii="宋体" w:hAnsi="宋体" w:eastAsia="宋体" w:cs="宋体"/>
                <w:color w:val="auto"/>
                <w:sz w:val="21"/>
                <w:szCs w:val="21"/>
                <w:highlight w:val="none"/>
              </w:rPr>
            </w:pPr>
          </w:p>
        </w:tc>
        <w:tc>
          <w:tcPr>
            <w:tcW w:w="463" w:type="pct"/>
            <w:tcBorders>
              <w:top w:val="single" w:color="000000" w:sz="4" w:space="0"/>
              <w:left w:val="single" w:color="000000" w:sz="4" w:space="0"/>
              <w:bottom w:val="single" w:color="000000" w:sz="4" w:space="0"/>
              <w:right w:val="single" w:color="000000" w:sz="4" w:space="0"/>
            </w:tcBorders>
            <w:noWrap/>
            <w:vAlign w:val="center"/>
          </w:tcPr>
          <w:p w14:paraId="378511E2">
            <w:pPr>
              <w:jc w:val="center"/>
              <w:rPr>
                <w:rFonts w:hint="eastAsia" w:ascii="宋体" w:hAnsi="宋体" w:eastAsia="宋体" w:cs="宋体"/>
                <w:color w:val="auto"/>
                <w:sz w:val="21"/>
                <w:szCs w:val="21"/>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0A0F3A89">
            <w:pPr>
              <w:jc w:val="center"/>
              <w:rPr>
                <w:rFonts w:hint="eastAsia" w:ascii="宋体" w:hAnsi="宋体" w:eastAsia="宋体" w:cs="宋体"/>
                <w:color w:val="auto"/>
                <w:sz w:val="21"/>
                <w:szCs w:val="21"/>
                <w:highlight w:val="none"/>
              </w:rPr>
            </w:pP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281FDACF">
            <w:pPr>
              <w:jc w:val="center"/>
              <w:rPr>
                <w:rFonts w:hint="eastAsia" w:ascii="宋体" w:hAnsi="宋体" w:eastAsia="宋体" w:cs="宋体"/>
                <w:color w:val="auto"/>
                <w:sz w:val="21"/>
                <w:szCs w:val="21"/>
                <w:highlight w:val="none"/>
              </w:rPr>
            </w:pP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4A55CC5D">
            <w:pPr>
              <w:jc w:val="center"/>
              <w:rPr>
                <w:rFonts w:hint="eastAsia" w:ascii="宋体" w:hAnsi="宋体" w:eastAsia="宋体" w:cs="宋体"/>
                <w:color w:val="auto"/>
                <w:sz w:val="21"/>
                <w:szCs w:val="21"/>
                <w:highlight w:val="none"/>
              </w:rPr>
            </w:pPr>
          </w:p>
        </w:tc>
        <w:tc>
          <w:tcPr>
            <w:tcW w:w="498" w:type="pct"/>
            <w:tcBorders>
              <w:top w:val="single" w:color="000000" w:sz="4" w:space="0"/>
              <w:left w:val="single" w:color="000000" w:sz="4" w:space="0"/>
              <w:bottom w:val="single" w:color="000000" w:sz="4" w:space="0"/>
              <w:right w:val="single" w:color="000000" w:sz="4" w:space="0"/>
            </w:tcBorders>
            <w:noWrap/>
            <w:vAlign w:val="center"/>
          </w:tcPr>
          <w:p w14:paraId="4AF5C11A">
            <w:pPr>
              <w:jc w:val="center"/>
              <w:rPr>
                <w:rFonts w:hint="eastAsia" w:ascii="宋体" w:hAnsi="宋体" w:eastAsia="宋体" w:cs="宋体"/>
                <w:color w:val="auto"/>
                <w:sz w:val="21"/>
                <w:szCs w:val="21"/>
                <w:highlight w:val="none"/>
              </w:rPr>
            </w:pPr>
          </w:p>
        </w:tc>
        <w:tc>
          <w:tcPr>
            <w:tcW w:w="390" w:type="pct"/>
            <w:tcBorders>
              <w:top w:val="single" w:color="000000" w:sz="4" w:space="0"/>
              <w:left w:val="single" w:color="000000" w:sz="4" w:space="0"/>
              <w:bottom w:val="single" w:color="000000" w:sz="4" w:space="0"/>
              <w:right w:val="single" w:color="000000" w:sz="4" w:space="0"/>
            </w:tcBorders>
            <w:noWrap/>
            <w:vAlign w:val="center"/>
          </w:tcPr>
          <w:p w14:paraId="6D63D914">
            <w:pPr>
              <w:jc w:val="center"/>
              <w:rPr>
                <w:rFonts w:hint="eastAsia" w:ascii="宋体" w:hAnsi="宋体" w:eastAsia="宋体" w:cs="宋体"/>
                <w:color w:val="auto"/>
                <w:sz w:val="21"/>
                <w:szCs w:val="21"/>
                <w:highlight w:val="none"/>
              </w:rPr>
            </w:pPr>
          </w:p>
        </w:tc>
      </w:tr>
      <w:tr w14:paraId="4A622E0C">
        <w:tblPrEx>
          <w:tblCellMar>
            <w:top w:w="0" w:type="dxa"/>
            <w:left w:w="108" w:type="dxa"/>
            <w:bottom w:w="0" w:type="dxa"/>
            <w:right w:w="108" w:type="dxa"/>
          </w:tblCellMar>
        </w:tblPrEx>
        <w:trPr>
          <w:trHeight w:val="397"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2F3C058E">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w:t>
            </w:r>
          </w:p>
        </w:tc>
        <w:tc>
          <w:tcPr>
            <w:tcW w:w="645" w:type="pct"/>
            <w:tcBorders>
              <w:top w:val="single" w:color="000000" w:sz="4" w:space="0"/>
              <w:left w:val="single" w:color="000000" w:sz="4" w:space="0"/>
              <w:bottom w:val="single" w:color="000000" w:sz="4" w:space="0"/>
              <w:right w:val="single" w:color="000000" w:sz="4" w:space="0"/>
            </w:tcBorders>
            <w:noWrap/>
            <w:vAlign w:val="center"/>
          </w:tcPr>
          <w:p w14:paraId="40BB5C52">
            <w:pPr>
              <w:jc w:val="center"/>
              <w:rPr>
                <w:rFonts w:hint="eastAsia" w:ascii="宋体" w:hAnsi="宋体" w:eastAsia="宋体" w:cs="宋体"/>
                <w:color w:val="auto"/>
                <w:sz w:val="21"/>
                <w:szCs w:val="21"/>
                <w:highlight w:val="none"/>
              </w:rPr>
            </w:pPr>
          </w:p>
        </w:tc>
        <w:tc>
          <w:tcPr>
            <w:tcW w:w="510" w:type="pct"/>
            <w:tcBorders>
              <w:top w:val="single" w:color="000000" w:sz="4" w:space="0"/>
              <w:left w:val="single" w:color="000000" w:sz="4" w:space="0"/>
              <w:bottom w:val="single" w:color="000000" w:sz="4" w:space="0"/>
              <w:right w:val="single" w:color="000000" w:sz="4" w:space="0"/>
            </w:tcBorders>
            <w:noWrap/>
            <w:vAlign w:val="center"/>
          </w:tcPr>
          <w:p w14:paraId="72991392">
            <w:pPr>
              <w:jc w:val="center"/>
              <w:rPr>
                <w:rFonts w:hint="eastAsia" w:ascii="宋体" w:hAnsi="宋体" w:eastAsia="宋体" w:cs="宋体"/>
                <w:color w:val="auto"/>
                <w:sz w:val="21"/>
                <w:szCs w:val="21"/>
                <w:highlight w:val="none"/>
              </w:rPr>
            </w:pPr>
          </w:p>
        </w:tc>
        <w:tc>
          <w:tcPr>
            <w:tcW w:w="463" w:type="pct"/>
            <w:tcBorders>
              <w:top w:val="single" w:color="000000" w:sz="4" w:space="0"/>
              <w:left w:val="single" w:color="000000" w:sz="4" w:space="0"/>
              <w:bottom w:val="single" w:color="000000" w:sz="4" w:space="0"/>
              <w:right w:val="single" w:color="000000" w:sz="4" w:space="0"/>
            </w:tcBorders>
            <w:noWrap/>
            <w:vAlign w:val="center"/>
          </w:tcPr>
          <w:p w14:paraId="083F104F">
            <w:pPr>
              <w:jc w:val="center"/>
              <w:rPr>
                <w:rFonts w:hint="eastAsia" w:ascii="宋体" w:hAnsi="宋体" w:eastAsia="宋体" w:cs="宋体"/>
                <w:color w:val="auto"/>
                <w:sz w:val="21"/>
                <w:szCs w:val="21"/>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1B643C48">
            <w:pPr>
              <w:jc w:val="center"/>
              <w:rPr>
                <w:rFonts w:hint="eastAsia" w:ascii="宋体" w:hAnsi="宋体" w:eastAsia="宋体" w:cs="宋体"/>
                <w:color w:val="auto"/>
                <w:sz w:val="21"/>
                <w:szCs w:val="21"/>
                <w:highlight w:val="none"/>
              </w:rPr>
            </w:pP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442566ED">
            <w:pPr>
              <w:jc w:val="center"/>
              <w:rPr>
                <w:rFonts w:hint="eastAsia" w:ascii="宋体" w:hAnsi="宋体" w:eastAsia="宋体" w:cs="宋体"/>
                <w:color w:val="auto"/>
                <w:sz w:val="21"/>
                <w:szCs w:val="21"/>
                <w:highlight w:val="none"/>
              </w:rPr>
            </w:pP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5263BA78">
            <w:pPr>
              <w:jc w:val="center"/>
              <w:rPr>
                <w:rFonts w:hint="eastAsia" w:ascii="宋体" w:hAnsi="宋体" w:eastAsia="宋体" w:cs="宋体"/>
                <w:color w:val="auto"/>
                <w:sz w:val="21"/>
                <w:szCs w:val="21"/>
                <w:highlight w:val="none"/>
              </w:rPr>
            </w:pPr>
          </w:p>
        </w:tc>
        <w:tc>
          <w:tcPr>
            <w:tcW w:w="498" w:type="pct"/>
            <w:tcBorders>
              <w:top w:val="single" w:color="000000" w:sz="4" w:space="0"/>
              <w:left w:val="single" w:color="000000" w:sz="4" w:space="0"/>
              <w:bottom w:val="single" w:color="000000" w:sz="4" w:space="0"/>
              <w:right w:val="single" w:color="000000" w:sz="4" w:space="0"/>
            </w:tcBorders>
            <w:noWrap/>
            <w:vAlign w:val="center"/>
          </w:tcPr>
          <w:p w14:paraId="67F2917E">
            <w:pPr>
              <w:jc w:val="center"/>
              <w:rPr>
                <w:rFonts w:hint="eastAsia" w:ascii="宋体" w:hAnsi="宋体" w:eastAsia="宋体" w:cs="宋体"/>
                <w:color w:val="auto"/>
                <w:sz w:val="21"/>
                <w:szCs w:val="21"/>
                <w:highlight w:val="none"/>
              </w:rPr>
            </w:pPr>
          </w:p>
        </w:tc>
        <w:tc>
          <w:tcPr>
            <w:tcW w:w="390" w:type="pct"/>
            <w:tcBorders>
              <w:top w:val="single" w:color="000000" w:sz="4" w:space="0"/>
              <w:left w:val="single" w:color="000000" w:sz="4" w:space="0"/>
              <w:bottom w:val="single" w:color="000000" w:sz="4" w:space="0"/>
              <w:right w:val="single" w:color="000000" w:sz="4" w:space="0"/>
            </w:tcBorders>
            <w:noWrap/>
            <w:vAlign w:val="center"/>
          </w:tcPr>
          <w:p w14:paraId="1171EE37">
            <w:pPr>
              <w:jc w:val="center"/>
              <w:rPr>
                <w:rFonts w:hint="eastAsia" w:ascii="宋体" w:hAnsi="宋体" w:eastAsia="宋体" w:cs="宋体"/>
                <w:color w:val="auto"/>
                <w:sz w:val="21"/>
                <w:szCs w:val="21"/>
                <w:highlight w:val="none"/>
              </w:rPr>
            </w:pPr>
          </w:p>
        </w:tc>
      </w:tr>
      <w:tr w14:paraId="614DDFC0">
        <w:tblPrEx>
          <w:tblCellMar>
            <w:top w:w="0" w:type="dxa"/>
            <w:left w:w="108" w:type="dxa"/>
            <w:bottom w:w="0" w:type="dxa"/>
            <w:right w:w="108" w:type="dxa"/>
          </w:tblCellMar>
        </w:tblPrEx>
        <w:trPr>
          <w:trHeight w:val="397"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69C94C29">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4</w:t>
            </w:r>
          </w:p>
        </w:tc>
        <w:tc>
          <w:tcPr>
            <w:tcW w:w="645" w:type="pct"/>
            <w:tcBorders>
              <w:top w:val="single" w:color="000000" w:sz="4" w:space="0"/>
              <w:left w:val="single" w:color="000000" w:sz="4" w:space="0"/>
              <w:bottom w:val="single" w:color="000000" w:sz="4" w:space="0"/>
              <w:right w:val="single" w:color="000000" w:sz="4" w:space="0"/>
            </w:tcBorders>
            <w:noWrap/>
            <w:vAlign w:val="center"/>
          </w:tcPr>
          <w:p w14:paraId="44C4FDC7">
            <w:pPr>
              <w:jc w:val="center"/>
              <w:rPr>
                <w:rFonts w:hint="eastAsia" w:ascii="宋体" w:hAnsi="宋体" w:eastAsia="宋体" w:cs="宋体"/>
                <w:color w:val="auto"/>
                <w:sz w:val="21"/>
                <w:szCs w:val="21"/>
                <w:highlight w:val="none"/>
              </w:rPr>
            </w:pPr>
          </w:p>
        </w:tc>
        <w:tc>
          <w:tcPr>
            <w:tcW w:w="510" w:type="pct"/>
            <w:tcBorders>
              <w:top w:val="single" w:color="000000" w:sz="4" w:space="0"/>
              <w:left w:val="single" w:color="000000" w:sz="4" w:space="0"/>
              <w:bottom w:val="single" w:color="000000" w:sz="4" w:space="0"/>
              <w:right w:val="single" w:color="000000" w:sz="4" w:space="0"/>
            </w:tcBorders>
            <w:noWrap/>
            <w:vAlign w:val="center"/>
          </w:tcPr>
          <w:p w14:paraId="2411A9E7">
            <w:pPr>
              <w:jc w:val="center"/>
              <w:rPr>
                <w:rFonts w:hint="eastAsia" w:ascii="宋体" w:hAnsi="宋体" w:eastAsia="宋体" w:cs="宋体"/>
                <w:color w:val="auto"/>
                <w:sz w:val="21"/>
                <w:szCs w:val="21"/>
                <w:highlight w:val="none"/>
              </w:rPr>
            </w:pPr>
          </w:p>
        </w:tc>
        <w:tc>
          <w:tcPr>
            <w:tcW w:w="463" w:type="pct"/>
            <w:tcBorders>
              <w:top w:val="single" w:color="000000" w:sz="4" w:space="0"/>
              <w:left w:val="single" w:color="000000" w:sz="4" w:space="0"/>
              <w:bottom w:val="single" w:color="000000" w:sz="4" w:space="0"/>
              <w:right w:val="single" w:color="000000" w:sz="4" w:space="0"/>
            </w:tcBorders>
            <w:noWrap/>
            <w:vAlign w:val="center"/>
          </w:tcPr>
          <w:p w14:paraId="383EB4A9">
            <w:pPr>
              <w:jc w:val="center"/>
              <w:rPr>
                <w:rFonts w:hint="eastAsia" w:ascii="宋体" w:hAnsi="宋体" w:eastAsia="宋体" w:cs="宋体"/>
                <w:color w:val="auto"/>
                <w:sz w:val="21"/>
                <w:szCs w:val="21"/>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42A70D01">
            <w:pPr>
              <w:jc w:val="center"/>
              <w:rPr>
                <w:rFonts w:hint="eastAsia" w:ascii="宋体" w:hAnsi="宋体" w:eastAsia="宋体" w:cs="宋体"/>
                <w:color w:val="auto"/>
                <w:sz w:val="21"/>
                <w:szCs w:val="21"/>
                <w:highlight w:val="none"/>
              </w:rPr>
            </w:pP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19AACEDA">
            <w:pPr>
              <w:jc w:val="center"/>
              <w:rPr>
                <w:rFonts w:hint="eastAsia" w:ascii="宋体" w:hAnsi="宋体" w:eastAsia="宋体" w:cs="宋体"/>
                <w:color w:val="auto"/>
                <w:sz w:val="21"/>
                <w:szCs w:val="21"/>
                <w:highlight w:val="none"/>
              </w:rPr>
            </w:pP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1BA10C10">
            <w:pPr>
              <w:jc w:val="center"/>
              <w:rPr>
                <w:rFonts w:hint="eastAsia" w:ascii="宋体" w:hAnsi="宋体" w:eastAsia="宋体" w:cs="宋体"/>
                <w:color w:val="auto"/>
                <w:sz w:val="21"/>
                <w:szCs w:val="21"/>
                <w:highlight w:val="none"/>
              </w:rPr>
            </w:pPr>
          </w:p>
        </w:tc>
        <w:tc>
          <w:tcPr>
            <w:tcW w:w="498" w:type="pct"/>
            <w:tcBorders>
              <w:top w:val="single" w:color="000000" w:sz="4" w:space="0"/>
              <w:left w:val="single" w:color="000000" w:sz="4" w:space="0"/>
              <w:bottom w:val="single" w:color="000000" w:sz="4" w:space="0"/>
              <w:right w:val="single" w:color="000000" w:sz="4" w:space="0"/>
            </w:tcBorders>
            <w:noWrap/>
            <w:vAlign w:val="center"/>
          </w:tcPr>
          <w:p w14:paraId="5B5A4084">
            <w:pPr>
              <w:jc w:val="center"/>
              <w:rPr>
                <w:rFonts w:hint="eastAsia" w:ascii="宋体" w:hAnsi="宋体" w:eastAsia="宋体" w:cs="宋体"/>
                <w:color w:val="auto"/>
                <w:sz w:val="21"/>
                <w:szCs w:val="21"/>
                <w:highlight w:val="none"/>
              </w:rPr>
            </w:pPr>
          </w:p>
        </w:tc>
        <w:tc>
          <w:tcPr>
            <w:tcW w:w="390" w:type="pct"/>
            <w:tcBorders>
              <w:top w:val="single" w:color="000000" w:sz="4" w:space="0"/>
              <w:left w:val="single" w:color="000000" w:sz="4" w:space="0"/>
              <w:bottom w:val="single" w:color="000000" w:sz="4" w:space="0"/>
              <w:right w:val="single" w:color="000000" w:sz="4" w:space="0"/>
            </w:tcBorders>
            <w:noWrap/>
            <w:vAlign w:val="center"/>
          </w:tcPr>
          <w:p w14:paraId="580982C8">
            <w:pPr>
              <w:jc w:val="center"/>
              <w:rPr>
                <w:rFonts w:hint="eastAsia" w:ascii="宋体" w:hAnsi="宋体" w:eastAsia="宋体" w:cs="宋体"/>
                <w:color w:val="auto"/>
                <w:sz w:val="21"/>
                <w:szCs w:val="21"/>
                <w:highlight w:val="none"/>
              </w:rPr>
            </w:pPr>
          </w:p>
        </w:tc>
      </w:tr>
      <w:tr w14:paraId="3ED58991">
        <w:tblPrEx>
          <w:tblCellMar>
            <w:top w:w="0" w:type="dxa"/>
            <w:left w:w="108" w:type="dxa"/>
            <w:bottom w:w="0" w:type="dxa"/>
            <w:right w:w="108" w:type="dxa"/>
          </w:tblCellMar>
        </w:tblPrEx>
        <w:trPr>
          <w:trHeight w:val="397"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736F533B">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5</w:t>
            </w:r>
          </w:p>
        </w:tc>
        <w:tc>
          <w:tcPr>
            <w:tcW w:w="645" w:type="pct"/>
            <w:tcBorders>
              <w:top w:val="single" w:color="000000" w:sz="4" w:space="0"/>
              <w:left w:val="single" w:color="000000" w:sz="4" w:space="0"/>
              <w:bottom w:val="single" w:color="000000" w:sz="4" w:space="0"/>
              <w:right w:val="single" w:color="000000" w:sz="4" w:space="0"/>
            </w:tcBorders>
            <w:noWrap/>
            <w:vAlign w:val="center"/>
          </w:tcPr>
          <w:p w14:paraId="41CD03DD">
            <w:pPr>
              <w:jc w:val="center"/>
              <w:rPr>
                <w:rFonts w:hint="eastAsia" w:ascii="宋体" w:hAnsi="宋体" w:eastAsia="宋体" w:cs="宋体"/>
                <w:color w:val="auto"/>
                <w:sz w:val="21"/>
                <w:szCs w:val="21"/>
                <w:highlight w:val="none"/>
              </w:rPr>
            </w:pPr>
          </w:p>
        </w:tc>
        <w:tc>
          <w:tcPr>
            <w:tcW w:w="510" w:type="pct"/>
            <w:tcBorders>
              <w:top w:val="single" w:color="000000" w:sz="4" w:space="0"/>
              <w:left w:val="single" w:color="000000" w:sz="4" w:space="0"/>
              <w:bottom w:val="single" w:color="000000" w:sz="4" w:space="0"/>
              <w:right w:val="single" w:color="000000" w:sz="4" w:space="0"/>
            </w:tcBorders>
            <w:noWrap/>
            <w:vAlign w:val="center"/>
          </w:tcPr>
          <w:p w14:paraId="07CA84BA">
            <w:pPr>
              <w:jc w:val="center"/>
              <w:rPr>
                <w:rFonts w:hint="eastAsia" w:ascii="宋体" w:hAnsi="宋体" w:eastAsia="宋体" w:cs="宋体"/>
                <w:color w:val="auto"/>
                <w:sz w:val="21"/>
                <w:szCs w:val="21"/>
                <w:highlight w:val="none"/>
              </w:rPr>
            </w:pPr>
          </w:p>
        </w:tc>
        <w:tc>
          <w:tcPr>
            <w:tcW w:w="463" w:type="pct"/>
            <w:tcBorders>
              <w:top w:val="single" w:color="000000" w:sz="4" w:space="0"/>
              <w:left w:val="single" w:color="000000" w:sz="4" w:space="0"/>
              <w:bottom w:val="single" w:color="000000" w:sz="4" w:space="0"/>
              <w:right w:val="single" w:color="000000" w:sz="4" w:space="0"/>
            </w:tcBorders>
            <w:noWrap/>
            <w:vAlign w:val="center"/>
          </w:tcPr>
          <w:p w14:paraId="2B8A43D2">
            <w:pPr>
              <w:jc w:val="center"/>
              <w:rPr>
                <w:rFonts w:hint="eastAsia" w:ascii="宋体" w:hAnsi="宋体" w:eastAsia="宋体" w:cs="宋体"/>
                <w:color w:val="auto"/>
                <w:sz w:val="21"/>
                <w:szCs w:val="21"/>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69DC5FE9">
            <w:pPr>
              <w:jc w:val="center"/>
              <w:rPr>
                <w:rFonts w:hint="eastAsia" w:ascii="宋体" w:hAnsi="宋体" w:eastAsia="宋体" w:cs="宋体"/>
                <w:color w:val="auto"/>
                <w:sz w:val="21"/>
                <w:szCs w:val="21"/>
                <w:highlight w:val="none"/>
              </w:rPr>
            </w:pP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0F6664EF">
            <w:pPr>
              <w:jc w:val="center"/>
              <w:rPr>
                <w:rFonts w:hint="eastAsia" w:ascii="宋体" w:hAnsi="宋体" w:eastAsia="宋体" w:cs="宋体"/>
                <w:color w:val="auto"/>
                <w:sz w:val="21"/>
                <w:szCs w:val="21"/>
                <w:highlight w:val="none"/>
              </w:rPr>
            </w:pP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1259423A">
            <w:pPr>
              <w:jc w:val="center"/>
              <w:rPr>
                <w:rFonts w:hint="eastAsia" w:ascii="宋体" w:hAnsi="宋体" w:eastAsia="宋体" w:cs="宋体"/>
                <w:color w:val="auto"/>
                <w:sz w:val="21"/>
                <w:szCs w:val="21"/>
                <w:highlight w:val="none"/>
              </w:rPr>
            </w:pPr>
          </w:p>
        </w:tc>
        <w:tc>
          <w:tcPr>
            <w:tcW w:w="498" w:type="pct"/>
            <w:tcBorders>
              <w:top w:val="single" w:color="000000" w:sz="4" w:space="0"/>
              <w:left w:val="single" w:color="000000" w:sz="4" w:space="0"/>
              <w:bottom w:val="single" w:color="000000" w:sz="4" w:space="0"/>
              <w:right w:val="single" w:color="000000" w:sz="4" w:space="0"/>
            </w:tcBorders>
            <w:noWrap/>
            <w:vAlign w:val="center"/>
          </w:tcPr>
          <w:p w14:paraId="72E8578D">
            <w:pPr>
              <w:jc w:val="center"/>
              <w:rPr>
                <w:rFonts w:hint="eastAsia" w:ascii="宋体" w:hAnsi="宋体" w:eastAsia="宋体" w:cs="宋体"/>
                <w:color w:val="auto"/>
                <w:sz w:val="21"/>
                <w:szCs w:val="21"/>
                <w:highlight w:val="none"/>
              </w:rPr>
            </w:pPr>
          </w:p>
        </w:tc>
        <w:tc>
          <w:tcPr>
            <w:tcW w:w="390" w:type="pct"/>
            <w:tcBorders>
              <w:top w:val="single" w:color="000000" w:sz="4" w:space="0"/>
              <w:left w:val="single" w:color="000000" w:sz="4" w:space="0"/>
              <w:bottom w:val="single" w:color="000000" w:sz="4" w:space="0"/>
              <w:right w:val="single" w:color="000000" w:sz="4" w:space="0"/>
            </w:tcBorders>
            <w:noWrap/>
            <w:vAlign w:val="center"/>
          </w:tcPr>
          <w:p w14:paraId="174EC29C">
            <w:pPr>
              <w:jc w:val="center"/>
              <w:rPr>
                <w:rFonts w:hint="eastAsia" w:ascii="宋体" w:hAnsi="宋体" w:eastAsia="宋体" w:cs="宋体"/>
                <w:color w:val="auto"/>
                <w:sz w:val="21"/>
                <w:szCs w:val="21"/>
                <w:highlight w:val="none"/>
              </w:rPr>
            </w:pPr>
          </w:p>
        </w:tc>
      </w:tr>
      <w:tr w14:paraId="6C191BCE">
        <w:tblPrEx>
          <w:tblCellMar>
            <w:top w:w="0" w:type="dxa"/>
            <w:left w:w="108" w:type="dxa"/>
            <w:bottom w:w="0" w:type="dxa"/>
            <w:right w:w="108" w:type="dxa"/>
          </w:tblCellMar>
        </w:tblPrEx>
        <w:trPr>
          <w:trHeight w:val="397"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37698A92">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6</w:t>
            </w:r>
          </w:p>
        </w:tc>
        <w:tc>
          <w:tcPr>
            <w:tcW w:w="645" w:type="pct"/>
            <w:tcBorders>
              <w:top w:val="single" w:color="000000" w:sz="4" w:space="0"/>
              <w:left w:val="single" w:color="000000" w:sz="4" w:space="0"/>
              <w:bottom w:val="single" w:color="000000" w:sz="4" w:space="0"/>
              <w:right w:val="single" w:color="000000" w:sz="4" w:space="0"/>
            </w:tcBorders>
            <w:noWrap/>
            <w:vAlign w:val="center"/>
          </w:tcPr>
          <w:p w14:paraId="56365493">
            <w:pPr>
              <w:jc w:val="center"/>
              <w:rPr>
                <w:rFonts w:hint="eastAsia" w:ascii="宋体" w:hAnsi="宋体" w:eastAsia="宋体" w:cs="宋体"/>
                <w:color w:val="auto"/>
                <w:sz w:val="21"/>
                <w:szCs w:val="21"/>
                <w:highlight w:val="none"/>
              </w:rPr>
            </w:pPr>
          </w:p>
        </w:tc>
        <w:tc>
          <w:tcPr>
            <w:tcW w:w="510" w:type="pct"/>
            <w:tcBorders>
              <w:top w:val="single" w:color="000000" w:sz="4" w:space="0"/>
              <w:left w:val="single" w:color="000000" w:sz="4" w:space="0"/>
              <w:bottom w:val="single" w:color="000000" w:sz="4" w:space="0"/>
              <w:right w:val="single" w:color="000000" w:sz="4" w:space="0"/>
            </w:tcBorders>
            <w:noWrap/>
            <w:vAlign w:val="center"/>
          </w:tcPr>
          <w:p w14:paraId="05676C25">
            <w:pPr>
              <w:jc w:val="center"/>
              <w:rPr>
                <w:rFonts w:hint="eastAsia" w:ascii="宋体" w:hAnsi="宋体" w:eastAsia="宋体" w:cs="宋体"/>
                <w:color w:val="auto"/>
                <w:sz w:val="21"/>
                <w:szCs w:val="21"/>
                <w:highlight w:val="none"/>
              </w:rPr>
            </w:pPr>
          </w:p>
        </w:tc>
        <w:tc>
          <w:tcPr>
            <w:tcW w:w="463" w:type="pct"/>
            <w:tcBorders>
              <w:top w:val="single" w:color="000000" w:sz="4" w:space="0"/>
              <w:left w:val="single" w:color="000000" w:sz="4" w:space="0"/>
              <w:bottom w:val="single" w:color="000000" w:sz="4" w:space="0"/>
              <w:right w:val="single" w:color="000000" w:sz="4" w:space="0"/>
            </w:tcBorders>
            <w:noWrap/>
            <w:vAlign w:val="center"/>
          </w:tcPr>
          <w:p w14:paraId="3E329E05">
            <w:pPr>
              <w:jc w:val="center"/>
              <w:rPr>
                <w:rFonts w:hint="eastAsia" w:ascii="宋体" w:hAnsi="宋体" w:eastAsia="宋体" w:cs="宋体"/>
                <w:color w:val="auto"/>
                <w:sz w:val="21"/>
                <w:szCs w:val="21"/>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4882AA94">
            <w:pPr>
              <w:jc w:val="center"/>
              <w:rPr>
                <w:rFonts w:hint="eastAsia" w:ascii="宋体" w:hAnsi="宋体" w:eastAsia="宋体" w:cs="宋体"/>
                <w:color w:val="auto"/>
                <w:sz w:val="21"/>
                <w:szCs w:val="21"/>
                <w:highlight w:val="none"/>
              </w:rPr>
            </w:pP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5852D7A5">
            <w:pPr>
              <w:jc w:val="center"/>
              <w:rPr>
                <w:rFonts w:hint="eastAsia" w:ascii="宋体" w:hAnsi="宋体" w:eastAsia="宋体" w:cs="宋体"/>
                <w:color w:val="auto"/>
                <w:sz w:val="21"/>
                <w:szCs w:val="21"/>
                <w:highlight w:val="none"/>
              </w:rPr>
            </w:pP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7D6BB61E">
            <w:pPr>
              <w:jc w:val="center"/>
              <w:rPr>
                <w:rFonts w:hint="eastAsia" w:ascii="宋体" w:hAnsi="宋体" w:eastAsia="宋体" w:cs="宋体"/>
                <w:color w:val="auto"/>
                <w:sz w:val="21"/>
                <w:szCs w:val="21"/>
                <w:highlight w:val="none"/>
              </w:rPr>
            </w:pPr>
          </w:p>
        </w:tc>
        <w:tc>
          <w:tcPr>
            <w:tcW w:w="498" w:type="pct"/>
            <w:tcBorders>
              <w:top w:val="single" w:color="000000" w:sz="4" w:space="0"/>
              <w:left w:val="single" w:color="000000" w:sz="4" w:space="0"/>
              <w:bottom w:val="single" w:color="000000" w:sz="4" w:space="0"/>
              <w:right w:val="single" w:color="000000" w:sz="4" w:space="0"/>
            </w:tcBorders>
            <w:noWrap/>
            <w:vAlign w:val="center"/>
          </w:tcPr>
          <w:p w14:paraId="0CD4F211">
            <w:pPr>
              <w:jc w:val="center"/>
              <w:rPr>
                <w:rFonts w:hint="eastAsia" w:ascii="宋体" w:hAnsi="宋体" w:eastAsia="宋体" w:cs="宋体"/>
                <w:color w:val="auto"/>
                <w:sz w:val="21"/>
                <w:szCs w:val="21"/>
                <w:highlight w:val="none"/>
              </w:rPr>
            </w:pPr>
          </w:p>
        </w:tc>
        <w:tc>
          <w:tcPr>
            <w:tcW w:w="390" w:type="pct"/>
            <w:tcBorders>
              <w:top w:val="single" w:color="000000" w:sz="4" w:space="0"/>
              <w:left w:val="single" w:color="000000" w:sz="4" w:space="0"/>
              <w:bottom w:val="single" w:color="000000" w:sz="4" w:space="0"/>
              <w:right w:val="single" w:color="000000" w:sz="4" w:space="0"/>
            </w:tcBorders>
            <w:noWrap/>
            <w:vAlign w:val="center"/>
          </w:tcPr>
          <w:p w14:paraId="120226CF">
            <w:pPr>
              <w:jc w:val="center"/>
              <w:rPr>
                <w:rFonts w:hint="eastAsia" w:ascii="宋体" w:hAnsi="宋体" w:eastAsia="宋体" w:cs="宋体"/>
                <w:color w:val="auto"/>
                <w:sz w:val="21"/>
                <w:szCs w:val="21"/>
                <w:highlight w:val="none"/>
              </w:rPr>
            </w:pPr>
          </w:p>
        </w:tc>
      </w:tr>
      <w:tr w14:paraId="3566B4D6">
        <w:tblPrEx>
          <w:tblCellMar>
            <w:top w:w="0" w:type="dxa"/>
            <w:left w:w="108" w:type="dxa"/>
            <w:bottom w:w="0" w:type="dxa"/>
            <w:right w:w="108" w:type="dxa"/>
          </w:tblCellMar>
        </w:tblPrEx>
        <w:trPr>
          <w:trHeight w:val="397"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41271665">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7</w:t>
            </w:r>
          </w:p>
        </w:tc>
        <w:tc>
          <w:tcPr>
            <w:tcW w:w="645" w:type="pct"/>
            <w:tcBorders>
              <w:top w:val="single" w:color="000000" w:sz="4" w:space="0"/>
              <w:left w:val="single" w:color="000000" w:sz="4" w:space="0"/>
              <w:bottom w:val="single" w:color="000000" w:sz="4" w:space="0"/>
              <w:right w:val="single" w:color="000000" w:sz="4" w:space="0"/>
            </w:tcBorders>
            <w:noWrap/>
            <w:vAlign w:val="center"/>
          </w:tcPr>
          <w:p w14:paraId="5FA2B425">
            <w:pPr>
              <w:jc w:val="center"/>
              <w:rPr>
                <w:rFonts w:hint="eastAsia" w:ascii="宋体" w:hAnsi="宋体" w:eastAsia="宋体" w:cs="宋体"/>
                <w:color w:val="auto"/>
                <w:sz w:val="21"/>
                <w:szCs w:val="21"/>
                <w:highlight w:val="none"/>
              </w:rPr>
            </w:pPr>
          </w:p>
        </w:tc>
        <w:tc>
          <w:tcPr>
            <w:tcW w:w="510" w:type="pct"/>
            <w:tcBorders>
              <w:top w:val="single" w:color="000000" w:sz="4" w:space="0"/>
              <w:left w:val="single" w:color="000000" w:sz="4" w:space="0"/>
              <w:bottom w:val="single" w:color="000000" w:sz="4" w:space="0"/>
              <w:right w:val="single" w:color="000000" w:sz="4" w:space="0"/>
            </w:tcBorders>
            <w:noWrap/>
            <w:vAlign w:val="center"/>
          </w:tcPr>
          <w:p w14:paraId="08469053">
            <w:pPr>
              <w:jc w:val="center"/>
              <w:rPr>
                <w:rFonts w:hint="eastAsia" w:ascii="宋体" w:hAnsi="宋体" w:eastAsia="宋体" w:cs="宋体"/>
                <w:color w:val="auto"/>
                <w:sz w:val="21"/>
                <w:szCs w:val="21"/>
                <w:highlight w:val="none"/>
              </w:rPr>
            </w:pPr>
          </w:p>
        </w:tc>
        <w:tc>
          <w:tcPr>
            <w:tcW w:w="463" w:type="pct"/>
            <w:tcBorders>
              <w:top w:val="single" w:color="000000" w:sz="4" w:space="0"/>
              <w:left w:val="single" w:color="000000" w:sz="4" w:space="0"/>
              <w:bottom w:val="single" w:color="000000" w:sz="4" w:space="0"/>
              <w:right w:val="single" w:color="000000" w:sz="4" w:space="0"/>
            </w:tcBorders>
            <w:noWrap/>
            <w:vAlign w:val="center"/>
          </w:tcPr>
          <w:p w14:paraId="0B8A22FE">
            <w:pPr>
              <w:jc w:val="center"/>
              <w:rPr>
                <w:rFonts w:hint="eastAsia" w:ascii="宋体" w:hAnsi="宋体" w:eastAsia="宋体" w:cs="宋体"/>
                <w:color w:val="auto"/>
                <w:sz w:val="21"/>
                <w:szCs w:val="21"/>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158A0FBB">
            <w:pPr>
              <w:jc w:val="center"/>
              <w:rPr>
                <w:rFonts w:hint="eastAsia" w:ascii="宋体" w:hAnsi="宋体" w:eastAsia="宋体" w:cs="宋体"/>
                <w:color w:val="auto"/>
                <w:sz w:val="21"/>
                <w:szCs w:val="21"/>
                <w:highlight w:val="none"/>
              </w:rPr>
            </w:pP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4A705C1B">
            <w:pPr>
              <w:jc w:val="center"/>
              <w:rPr>
                <w:rFonts w:hint="eastAsia" w:ascii="宋体" w:hAnsi="宋体" w:eastAsia="宋体" w:cs="宋体"/>
                <w:color w:val="auto"/>
                <w:sz w:val="21"/>
                <w:szCs w:val="21"/>
                <w:highlight w:val="none"/>
              </w:rPr>
            </w:pP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3844DE0A">
            <w:pPr>
              <w:jc w:val="center"/>
              <w:rPr>
                <w:rFonts w:hint="eastAsia" w:ascii="宋体" w:hAnsi="宋体" w:eastAsia="宋体" w:cs="宋体"/>
                <w:color w:val="auto"/>
                <w:sz w:val="21"/>
                <w:szCs w:val="21"/>
                <w:highlight w:val="none"/>
              </w:rPr>
            </w:pPr>
          </w:p>
        </w:tc>
        <w:tc>
          <w:tcPr>
            <w:tcW w:w="498" w:type="pct"/>
            <w:tcBorders>
              <w:top w:val="single" w:color="000000" w:sz="4" w:space="0"/>
              <w:left w:val="single" w:color="000000" w:sz="4" w:space="0"/>
              <w:bottom w:val="single" w:color="000000" w:sz="4" w:space="0"/>
              <w:right w:val="single" w:color="000000" w:sz="4" w:space="0"/>
            </w:tcBorders>
            <w:noWrap/>
            <w:vAlign w:val="center"/>
          </w:tcPr>
          <w:p w14:paraId="3150F368">
            <w:pPr>
              <w:jc w:val="center"/>
              <w:rPr>
                <w:rFonts w:hint="eastAsia" w:ascii="宋体" w:hAnsi="宋体" w:eastAsia="宋体" w:cs="宋体"/>
                <w:color w:val="auto"/>
                <w:sz w:val="21"/>
                <w:szCs w:val="21"/>
                <w:highlight w:val="none"/>
              </w:rPr>
            </w:pPr>
          </w:p>
        </w:tc>
        <w:tc>
          <w:tcPr>
            <w:tcW w:w="390" w:type="pct"/>
            <w:tcBorders>
              <w:top w:val="single" w:color="000000" w:sz="4" w:space="0"/>
              <w:left w:val="single" w:color="000000" w:sz="4" w:space="0"/>
              <w:bottom w:val="single" w:color="000000" w:sz="4" w:space="0"/>
              <w:right w:val="single" w:color="000000" w:sz="4" w:space="0"/>
            </w:tcBorders>
            <w:noWrap/>
            <w:vAlign w:val="center"/>
          </w:tcPr>
          <w:p w14:paraId="15FFECE0">
            <w:pPr>
              <w:jc w:val="center"/>
              <w:rPr>
                <w:rFonts w:hint="eastAsia" w:ascii="宋体" w:hAnsi="宋体" w:eastAsia="宋体" w:cs="宋体"/>
                <w:color w:val="auto"/>
                <w:sz w:val="21"/>
                <w:szCs w:val="21"/>
                <w:highlight w:val="none"/>
              </w:rPr>
            </w:pPr>
          </w:p>
        </w:tc>
      </w:tr>
      <w:tr w14:paraId="6856CE9B">
        <w:tblPrEx>
          <w:tblCellMar>
            <w:top w:w="0" w:type="dxa"/>
            <w:left w:w="108" w:type="dxa"/>
            <w:bottom w:w="0" w:type="dxa"/>
            <w:right w:w="108" w:type="dxa"/>
          </w:tblCellMar>
        </w:tblPrEx>
        <w:trPr>
          <w:trHeight w:val="397"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0DFE30D7">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8</w:t>
            </w:r>
          </w:p>
        </w:tc>
        <w:tc>
          <w:tcPr>
            <w:tcW w:w="645" w:type="pct"/>
            <w:tcBorders>
              <w:top w:val="single" w:color="000000" w:sz="4" w:space="0"/>
              <w:left w:val="single" w:color="000000" w:sz="4" w:space="0"/>
              <w:bottom w:val="single" w:color="000000" w:sz="4" w:space="0"/>
              <w:right w:val="single" w:color="000000" w:sz="4" w:space="0"/>
            </w:tcBorders>
            <w:noWrap/>
            <w:vAlign w:val="center"/>
          </w:tcPr>
          <w:p w14:paraId="1FCC1F5B">
            <w:pPr>
              <w:jc w:val="center"/>
              <w:rPr>
                <w:rFonts w:hint="eastAsia" w:ascii="宋体" w:hAnsi="宋体" w:eastAsia="宋体" w:cs="宋体"/>
                <w:color w:val="auto"/>
                <w:sz w:val="21"/>
                <w:szCs w:val="21"/>
                <w:highlight w:val="none"/>
              </w:rPr>
            </w:pPr>
          </w:p>
        </w:tc>
        <w:tc>
          <w:tcPr>
            <w:tcW w:w="510" w:type="pct"/>
            <w:tcBorders>
              <w:top w:val="single" w:color="000000" w:sz="4" w:space="0"/>
              <w:left w:val="single" w:color="000000" w:sz="4" w:space="0"/>
              <w:bottom w:val="single" w:color="000000" w:sz="4" w:space="0"/>
              <w:right w:val="single" w:color="000000" w:sz="4" w:space="0"/>
            </w:tcBorders>
            <w:noWrap/>
            <w:vAlign w:val="center"/>
          </w:tcPr>
          <w:p w14:paraId="6A50EDA2">
            <w:pPr>
              <w:jc w:val="center"/>
              <w:rPr>
                <w:rFonts w:hint="eastAsia" w:ascii="宋体" w:hAnsi="宋体" w:eastAsia="宋体" w:cs="宋体"/>
                <w:color w:val="auto"/>
                <w:sz w:val="21"/>
                <w:szCs w:val="21"/>
                <w:highlight w:val="none"/>
              </w:rPr>
            </w:pPr>
          </w:p>
        </w:tc>
        <w:tc>
          <w:tcPr>
            <w:tcW w:w="463" w:type="pct"/>
            <w:tcBorders>
              <w:top w:val="single" w:color="000000" w:sz="4" w:space="0"/>
              <w:left w:val="single" w:color="000000" w:sz="4" w:space="0"/>
              <w:bottom w:val="single" w:color="000000" w:sz="4" w:space="0"/>
              <w:right w:val="single" w:color="000000" w:sz="4" w:space="0"/>
            </w:tcBorders>
            <w:noWrap/>
            <w:vAlign w:val="center"/>
          </w:tcPr>
          <w:p w14:paraId="172BDD91">
            <w:pPr>
              <w:jc w:val="center"/>
              <w:rPr>
                <w:rFonts w:hint="eastAsia" w:ascii="宋体" w:hAnsi="宋体" w:eastAsia="宋体" w:cs="宋体"/>
                <w:color w:val="auto"/>
                <w:sz w:val="21"/>
                <w:szCs w:val="21"/>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57553950">
            <w:pPr>
              <w:jc w:val="center"/>
              <w:rPr>
                <w:rFonts w:hint="eastAsia" w:ascii="宋体" w:hAnsi="宋体" w:eastAsia="宋体" w:cs="宋体"/>
                <w:color w:val="auto"/>
                <w:sz w:val="21"/>
                <w:szCs w:val="21"/>
                <w:highlight w:val="none"/>
              </w:rPr>
            </w:pP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5FF55179">
            <w:pPr>
              <w:jc w:val="center"/>
              <w:rPr>
                <w:rFonts w:hint="eastAsia" w:ascii="宋体" w:hAnsi="宋体" w:eastAsia="宋体" w:cs="宋体"/>
                <w:color w:val="auto"/>
                <w:sz w:val="21"/>
                <w:szCs w:val="21"/>
                <w:highlight w:val="none"/>
              </w:rPr>
            </w:pP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1BDFDFA6">
            <w:pPr>
              <w:jc w:val="center"/>
              <w:rPr>
                <w:rFonts w:hint="eastAsia" w:ascii="宋体" w:hAnsi="宋体" w:eastAsia="宋体" w:cs="宋体"/>
                <w:color w:val="auto"/>
                <w:sz w:val="21"/>
                <w:szCs w:val="21"/>
                <w:highlight w:val="none"/>
              </w:rPr>
            </w:pPr>
          </w:p>
        </w:tc>
        <w:tc>
          <w:tcPr>
            <w:tcW w:w="498" w:type="pct"/>
            <w:tcBorders>
              <w:top w:val="single" w:color="000000" w:sz="4" w:space="0"/>
              <w:left w:val="single" w:color="000000" w:sz="4" w:space="0"/>
              <w:bottom w:val="single" w:color="000000" w:sz="4" w:space="0"/>
              <w:right w:val="single" w:color="000000" w:sz="4" w:space="0"/>
            </w:tcBorders>
            <w:noWrap/>
            <w:vAlign w:val="center"/>
          </w:tcPr>
          <w:p w14:paraId="738B53DF">
            <w:pPr>
              <w:jc w:val="center"/>
              <w:rPr>
                <w:rFonts w:hint="eastAsia" w:ascii="宋体" w:hAnsi="宋体" w:eastAsia="宋体" w:cs="宋体"/>
                <w:color w:val="auto"/>
                <w:sz w:val="21"/>
                <w:szCs w:val="21"/>
                <w:highlight w:val="none"/>
              </w:rPr>
            </w:pPr>
          </w:p>
        </w:tc>
        <w:tc>
          <w:tcPr>
            <w:tcW w:w="390" w:type="pct"/>
            <w:tcBorders>
              <w:top w:val="single" w:color="000000" w:sz="4" w:space="0"/>
              <w:left w:val="single" w:color="000000" w:sz="4" w:space="0"/>
              <w:bottom w:val="single" w:color="000000" w:sz="4" w:space="0"/>
              <w:right w:val="single" w:color="000000" w:sz="4" w:space="0"/>
            </w:tcBorders>
            <w:noWrap/>
            <w:vAlign w:val="center"/>
          </w:tcPr>
          <w:p w14:paraId="329FDA22">
            <w:pPr>
              <w:jc w:val="center"/>
              <w:rPr>
                <w:rFonts w:hint="eastAsia" w:ascii="宋体" w:hAnsi="宋体" w:eastAsia="宋体" w:cs="宋体"/>
                <w:color w:val="auto"/>
                <w:sz w:val="21"/>
                <w:szCs w:val="21"/>
                <w:highlight w:val="none"/>
              </w:rPr>
            </w:pPr>
          </w:p>
        </w:tc>
      </w:tr>
      <w:tr w14:paraId="054EFEC4">
        <w:tblPrEx>
          <w:tblCellMar>
            <w:top w:w="0" w:type="dxa"/>
            <w:left w:w="108" w:type="dxa"/>
            <w:bottom w:w="0" w:type="dxa"/>
            <w:right w:w="108" w:type="dxa"/>
          </w:tblCellMar>
        </w:tblPrEx>
        <w:trPr>
          <w:trHeight w:val="397"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79FD3CD0">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9</w:t>
            </w:r>
          </w:p>
        </w:tc>
        <w:tc>
          <w:tcPr>
            <w:tcW w:w="645" w:type="pct"/>
            <w:tcBorders>
              <w:top w:val="single" w:color="000000" w:sz="4" w:space="0"/>
              <w:left w:val="single" w:color="000000" w:sz="4" w:space="0"/>
              <w:bottom w:val="single" w:color="000000" w:sz="4" w:space="0"/>
              <w:right w:val="single" w:color="000000" w:sz="4" w:space="0"/>
            </w:tcBorders>
            <w:noWrap/>
            <w:vAlign w:val="center"/>
          </w:tcPr>
          <w:p w14:paraId="4A84EEEE">
            <w:pPr>
              <w:jc w:val="center"/>
              <w:rPr>
                <w:rFonts w:hint="eastAsia" w:ascii="宋体" w:hAnsi="宋体" w:eastAsia="宋体" w:cs="宋体"/>
                <w:color w:val="auto"/>
                <w:sz w:val="21"/>
                <w:szCs w:val="21"/>
                <w:highlight w:val="none"/>
              </w:rPr>
            </w:pPr>
          </w:p>
        </w:tc>
        <w:tc>
          <w:tcPr>
            <w:tcW w:w="510" w:type="pct"/>
            <w:tcBorders>
              <w:top w:val="single" w:color="000000" w:sz="4" w:space="0"/>
              <w:left w:val="single" w:color="000000" w:sz="4" w:space="0"/>
              <w:bottom w:val="single" w:color="000000" w:sz="4" w:space="0"/>
              <w:right w:val="single" w:color="000000" w:sz="4" w:space="0"/>
            </w:tcBorders>
            <w:noWrap/>
            <w:vAlign w:val="center"/>
          </w:tcPr>
          <w:p w14:paraId="00B496A7">
            <w:pPr>
              <w:jc w:val="center"/>
              <w:rPr>
                <w:rFonts w:hint="eastAsia" w:ascii="宋体" w:hAnsi="宋体" w:eastAsia="宋体" w:cs="宋体"/>
                <w:color w:val="auto"/>
                <w:sz w:val="21"/>
                <w:szCs w:val="21"/>
                <w:highlight w:val="none"/>
              </w:rPr>
            </w:pPr>
          </w:p>
        </w:tc>
        <w:tc>
          <w:tcPr>
            <w:tcW w:w="463" w:type="pct"/>
            <w:tcBorders>
              <w:top w:val="single" w:color="000000" w:sz="4" w:space="0"/>
              <w:left w:val="single" w:color="000000" w:sz="4" w:space="0"/>
              <w:bottom w:val="single" w:color="000000" w:sz="4" w:space="0"/>
              <w:right w:val="single" w:color="000000" w:sz="4" w:space="0"/>
            </w:tcBorders>
            <w:noWrap/>
            <w:vAlign w:val="center"/>
          </w:tcPr>
          <w:p w14:paraId="5670002D">
            <w:pPr>
              <w:jc w:val="center"/>
              <w:rPr>
                <w:rFonts w:hint="eastAsia" w:ascii="宋体" w:hAnsi="宋体" w:eastAsia="宋体" w:cs="宋体"/>
                <w:color w:val="auto"/>
                <w:sz w:val="21"/>
                <w:szCs w:val="21"/>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72FB73D4">
            <w:pPr>
              <w:jc w:val="center"/>
              <w:rPr>
                <w:rFonts w:hint="eastAsia" w:ascii="宋体" w:hAnsi="宋体" w:eastAsia="宋体" w:cs="宋体"/>
                <w:color w:val="auto"/>
                <w:sz w:val="21"/>
                <w:szCs w:val="21"/>
                <w:highlight w:val="none"/>
              </w:rPr>
            </w:pP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130A0755">
            <w:pPr>
              <w:jc w:val="center"/>
              <w:rPr>
                <w:rFonts w:hint="eastAsia" w:ascii="宋体" w:hAnsi="宋体" w:eastAsia="宋体" w:cs="宋体"/>
                <w:color w:val="auto"/>
                <w:sz w:val="21"/>
                <w:szCs w:val="21"/>
                <w:highlight w:val="none"/>
              </w:rPr>
            </w:pP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220015AA">
            <w:pPr>
              <w:jc w:val="center"/>
              <w:rPr>
                <w:rFonts w:hint="eastAsia" w:ascii="宋体" w:hAnsi="宋体" w:eastAsia="宋体" w:cs="宋体"/>
                <w:color w:val="auto"/>
                <w:sz w:val="21"/>
                <w:szCs w:val="21"/>
                <w:highlight w:val="none"/>
              </w:rPr>
            </w:pPr>
          </w:p>
        </w:tc>
        <w:tc>
          <w:tcPr>
            <w:tcW w:w="498" w:type="pct"/>
            <w:tcBorders>
              <w:top w:val="single" w:color="000000" w:sz="4" w:space="0"/>
              <w:left w:val="single" w:color="000000" w:sz="4" w:space="0"/>
              <w:bottom w:val="single" w:color="000000" w:sz="4" w:space="0"/>
              <w:right w:val="single" w:color="000000" w:sz="4" w:space="0"/>
            </w:tcBorders>
            <w:noWrap/>
            <w:vAlign w:val="center"/>
          </w:tcPr>
          <w:p w14:paraId="0CE93492">
            <w:pPr>
              <w:jc w:val="center"/>
              <w:rPr>
                <w:rFonts w:hint="eastAsia" w:ascii="宋体" w:hAnsi="宋体" w:eastAsia="宋体" w:cs="宋体"/>
                <w:color w:val="auto"/>
                <w:sz w:val="21"/>
                <w:szCs w:val="21"/>
                <w:highlight w:val="none"/>
              </w:rPr>
            </w:pPr>
          </w:p>
        </w:tc>
        <w:tc>
          <w:tcPr>
            <w:tcW w:w="390" w:type="pct"/>
            <w:tcBorders>
              <w:top w:val="single" w:color="000000" w:sz="4" w:space="0"/>
              <w:left w:val="single" w:color="000000" w:sz="4" w:space="0"/>
              <w:bottom w:val="single" w:color="000000" w:sz="4" w:space="0"/>
              <w:right w:val="single" w:color="000000" w:sz="4" w:space="0"/>
            </w:tcBorders>
            <w:noWrap/>
            <w:vAlign w:val="center"/>
          </w:tcPr>
          <w:p w14:paraId="6F79005C">
            <w:pPr>
              <w:jc w:val="center"/>
              <w:rPr>
                <w:rFonts w:hint="eastAsia" w:ascii="宋体" w:hAnsi="宋体" w:eastAsia="宋体" w:cs="宋体"/>
                <w:color w:val="auto"/>
                <w:sz w:val="21"/>
                <w:szCs w:val="21"/>
                <w:highlight w:val="none"/>
              </w:rPr>
            </w:pPr>
          </w:p>
        </w:tc>
      </w:tr>
      <w:tr w14:paraId="6C58F775">
        <w:tblPrEx>
          <w:tblCellMar>
            <w:top w:w="0" w:type="dxa"/>
            <w:left w:w="108" w:type="dxa"/>
            <w:bottom w:w="0" w:type="dxa"/>
            <w:right w:w="108" w:type="dxa"/>
          </w:tblCellMar>
        </w:tblPrEx>
        <w:trPr>
          <w:trHeight w:val="397"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1CA328FC">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10</w:t>
            </w:r>
          </w:p>
        </w:tc>
        <w:tc>
          <w:tcPr>
            <w:tcW w:w="645" w:type="pct"/>
            <w:tcBorders>
              <w:top w:val="single" w:color="000000" w:sz="4" w:space="0"/>
              <w:left w:val="single" w:color="000000" w:sz="4" w:space="0"/>
              <w:bottom w:val="single" w:color="000000" w:sz="4" w:space="0"/>
              <w:right w:val="single" w:color="000000" w:sz="4" w:space="0"/>
            </w:tcBorders>
            <w:noWrap/>
            <w:vAlign w:val="center"/>
          </w:tcPr>
          <w:p w14:paraId="50D56C3F">
            <w:pPr>
              <w:jc w:val="center"/>
              <w:rPr>
                <w:rFonts w:hint="eastAsia" w:ascii="宋体" w:hAnsi="宋体" w:eastAsia="宋体" w:cs="宋体"/>
                <w:color w:val="auto"/>
                <w:sz w:val="21"/>
                <w:szCs w:val="21"/>
                <w:highlight w:val="none"/>
              </w:rPr>
            </w:pPr>
          </w:p>
        </w:tc>
        <w:tc>
          <w:tcPr>
            <w:tcW w:w="510" w:type="pct"/>
            <w:tcBorders>
              <w:top w:val="single" w:color="000000" w:sz="4" w:space="0"/>
              <w:left w:val="single" w:color="000000" w:sz="4" w:space="0"/>
              <w:bottom w:val="single" w:color="000000" w:sz="4" w:space="0"/>
              <w:right w:val="single" w:color="000000" w:sz="4" w:space="0"/>
            </w:tcBorders>
            <w:noWrap/>
            <w:vAlign w:val="center"/>
          </w:tcPr>
          <w:p w14:paraId="5B838B40">
            <w:pPr>
              <w:jc w:val="center"/>
              <w:rPr>
                <w:rFonts w:hint="eastAsia" w:ascii="宋体" w:hAnsi="宋体" w:eastAsia="宋体" w:cs="宋体"/>
                <w:color w:val="auto"/>
                <w:sz w:val="21"/>
                <w:szCs w:val="21"/>
                <w:highlight w:val="none"/>
              </w:rPr>
            </w:pPr>
          </w:p>
        </w:tc>
        <w:tc>
          <w:tcPr>
            <w:tcW w:w="463" w:type="pct"/>
            <w:tcBorders>
              <w:top w:val="single" w:color="000000" w:sz="4" w:space="0"/>
              <w:left w:val="single" w:color="000000" w:sz="4" w:space="0"/>
              <w:bottom w:val="single" w:color="000000" w:sz="4" w:space="0"/>
              <w:right w:val="single" w:color="000000" w:sz="4" w:space="0"/>
            </w:tcBorders>
            <w:noWrap/>
            <w:vAlign w:val="center"/>
          </w:tcPr>
          <w:p w14:paraId="3E20DC48">
            <w:pPr>
              <w:jc w:val="center"/>
              <w:rPr>
                <w:rFonts w:hint="eastAsia" w:ascii="宋体" w:hAnsi="宋体" w:eastAsia="宋体" w:cs="宋体"/>
                <w:color w:val="auto"/>
                <w:sz w:val="21"/>
                <w:szCs w:val="21"/>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0855E6D6">
            <w:pPr>
              <w:jc w:val="center"/>
              <w:rPr>
                <w:rFonts w:hint="eastAsia" w:ascii="宋体" w:hAnsi="宋体" w:eastAsia="宋体" w:cs="宋体"/>
                <w:color w:val="auto"/>
                <w:sz w:val="21"/>
                <w:szCs w:val="21"/>
                <w:highlight w:val="none"/>
              </w:rPr>
            </w:pP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0B2B4AC8">
            <w:pPr>
              <w:jc w:val="center"/>
              <w:rPr>
                <w:rFonts w:hint="eastAsia" w:ascii="宋体" w:hAnsi="宋体" w:eastAsia="宋体" w:cs="宋体"/>
                <w:color w:val="auto"/>
                <w:sz w:val="21"/>
                <w:szCs w:val="21"/>
                <w:highlight w:val="none"/>
              </w:rPr>
            </w:pP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259870A9">
            <w:pPr>
              <w:jc w:val="center"/>
              <w:rPr>
                <w:rFonts w:hint="eastAsia" w:ascii="宋体" w:hAnsi="宋体" w:eastAsia="宋体" w:cs="宋体"/>
                <w:color w:val="auto"/>
                <w:sz w:val="21"/>
                <w:szCs w:val="21"/>
                <w:highlight w:val="none"/>
              </w:rPr>
            </w:pPr>
          </w:p>
        </w:tc>
        <w:tc>
          <w:tcPr>
            <w:tcW w:w="498" w:type="pct"/>
            <w:tcBorders>
              <w:top w:val="single" w:color="000000" w:sz="4" w:space="0"/>
              <w:left w:val="single" w:color="000000" w:sz="4" w:space="0"/>
              <w:bottom w:val="single" w:color="000000" w:sz="4" w:space="0"/>
              <w:right w:val="single" w:color="000000" w:sz="4" w:space="0"/>
            </w:tcBorders>
            <w:noWrap/>
            <w:vAlign w:val="center"/>
          </w:tcPr>
          <w:p w14:paraId="167FB760">
            <w:pPr>
              <w:jc w:val="center"/>
              <w:rPr>
                <w:rFonts w:hint="eastAsia" w:ascii="宋体" w:hAnsi="宋体" w:eastAsia="宋体" w:cs="宋体"/>
                <w:color w:val="auto"/>
                <w:sz w:val="21"/>
                <w:szCs w:val="21"/>
                <w:highlight w:val="none"/>
              </w:rPr>
            </w:pPr>
          </w:p>
        </w:tc>
        <w:tc>
          <w:tcPr>
            <w:tcW w:w="390" w:type="pct"/>
            <w:tcBorders>
              <w:top w:val="single" w:color="000000" w:sz="4" w:space="0"/>
              <w:left w:val="single" w:color="000000" w:sz="4" w:space="0"/>
              <w:bottom w:val="single" w:color="000000" w:sz="4" w:space="0"/>
              <w:right w:val="single" w:color="000000" w:sz="4" w:space="0"/>
            </w:tcBorders>
            <w:noWrap/>
            <w:vAlign w:val="center"/>
          </w:tcPr>
          <w:p w14:paraId="7C9A014C">
            <w:pPr>
              <w:jc w:val="center"/>
              <w:rPr>
                <w:rFonts w:hint="eastAsia" w:ascii="宋体" w:hAnsi="宋体" w:eastAsia="宋体" w:cs="宋体"/>
                <w:color w:val="auto"/>
                <w:sz w:val="21"/>
                <w:szCs w:val="21"/>
                <w:highlight w:val="none"/>
              </w:rPr>
            </w:pPr>
          </w:p>
        </w:tc>
      </w:tr>
      <w:tr w14:paraId="24259916">
        <w:tblPrEx>
          <w:tblCellMar>
            <w:top w:w="0" w:type="dxa"/>
            <w:left w:w="108" w:type="dxa"/>
            <w:bottom w:w="0" w:type="dxa"/>
            <w:right w:w="108" w:type="dxa"/>
          </w:tblCellMar>
        </w:tblPrEx>
        <w:trPr>
          <w:trHeight w:val="860" w:hRule="atLeast"/>
          <w:jc w:val="center"/>
        </w:trPr>
        <w:tc>
          <w:tcPr>
            <w:tcW w:w="5000" w:type="pct"/>
            <w:gridSpan w:val="9"/>
            <w:tcBorders>
              <w:top w:val="single" w:color="000000" w:sz="4" w:space="0"/>
              <w:left w:val="single" w:color="000000" w:sz="4" w:space="0"/>
              <w:bottom w:val="single" w:color="000000" w:sz="4" w:space="0"/>
              <w:right w:val="single" w:color="000000" w:sz="4" w:space="0"/>
            </w:tcBorders>
            <w:vAlign w:val="center"/>
          </w:tcPr>
          <w:p w14:paraId="73B74B1F">
            <w:pPr>
              <w:spacing w:line="240" w:lineRule="auto"/>
              <w:jc w:val="both"/>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备注：</w:t>
            </w:r>
          </w:p>
          <w:p w14:paraId="621CD7B3">
            <w:pPr>
              <w:spacing w:line="240" w:lineRule="auto"/>
              <w:jc w:val="both"/>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1、此承运单一式四联，白联存根，其余三联三方各执一联；</w:t>
            </w:r>
          </w:p>
          <w:p w14:paraId="675A7FC9">
            <w:pPr>
              <w:spacing w:line="240" w:lineRule="auto"/>
              <w:jc w:val="both"/>
              <w:textAlignment w:val="center"/>
              <w:rPr>
                <w:rFonts w:hint="eastAsia" w:ascii="宋体" w:hAnsi="宋体" w:eastAsia="宋体" w:cs="宋体"/>
                <w:color w:val="auto"/>
                <w:sz w:val="21"/>
                <w:szCs w:val="21"/>
                <w:highlight w:val="none"/>
              </w:rPr>
            </w:pPr>
            <w:r>
              <w:rPr>
                <w:rFonts w:hint="eastAsia" w:ascii="宋体" w:hAnsi="宋体" w:eastAsia="宋体" w:cs="宋体"/>
                <w:b/>
                <w:bCs/>
                <w:color w:val="auto"/>
                <w:sz w:val="21"/>
                <w:szCs w:val="21"/>
                <w:highlight w:val="none"/>
              </w:rPr>
              <w:t>2、袋装不扣皮，200L以下桶不扣皮，卡板和200L及以上桶按实际情况扣皮。</w:t>
            </w:r>
          </w:p>
        </w:tc>
      </w:tr>
      <w:tr w14:paraId="36ECDE7B">
        <w:tblPrEx>
          <w:tblCellMar>
            <w:top w:w="0" w:type="dxa"/>
            <w:left w:w="108" w:type="dxa"/>
            <w:bottom w:w="0" w:type="dxa"/>
            <w:right w:w="108" w:type="dxa"/>
          </w:tblCellMar>
        </w:tblPrEx>
        <w:trPr>
          <w:trHeight w:val="493"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1D778770">
            <w:pPr>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车牌号：</w:t>
            </w:r>
          </w:p>
        </w:tc>
        <w:tc>
          <w:tcPr>
            <w:tcW w:w="645" w:type="pct"/>
            <w:tcBorders>
              <w:top w:val="single" w:color="000000" w:sz="4" w:space="0"/>
              <w:left w:val="single" w:color="000000" w:sz="4" w:space="0"/>
              <w:bottom w:val="single" w:color="000000" w:sz="4" w:space="0"/>
              <w:right w:val="single" w:color="000000" w:sz="4" w:space="0"/>
            </w:tcBorders>
            <w:noWrap/>
            <w:vAlign w:val="center"/>
          </w:tcPr>
          <w:p w14:paraId="1D7D76F5">
            <w:pPr>
              <w:spacing w:line="240" w:lineRule="auto"/>
              <w:jc w:val="center"/>
              <w:rPr>
                <w:rFonts w:hint="eastAsia" w:ascii="宋体" w:hAnsi="宋体" w:eastAsia="宋体" w:cs="宋体"/>
                <w:color w:val="auto"/>
                <w:sz w:val="21"/>
                <w:szCs w:val="21"/>
                <w:highlight w:val="none"/>
              </w:rPr>
            </w:pPr>
          </w:p>
        </w:tc>
        <w:tc>
          <w:tcPr>
            <w:tcW w:w="510" w:type="pct"/>
            <w:tcBorders>
              <w:top w:val="single" w:color="000000" w:sz="4" w:space="0"/>
              <w:left w:val="single" w:color="000000" w:sz="4" w:space="0"/>
              <w:bottom w:val="single" w:color="000000" w:sz="4" w:space="0"/>
              <w:right w:val="single" w:color="000000" w:sz="4" w:space="0"/>
            </w:tcBorders>
            <w:noWrap/>
            <w:vAlign w:val="center"/>
          </w:tcPr>
          <w:p w14:paraId="0F28E7D4">
            <w:pPr>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司机/押运：</w:t>
            </w:r>
          </w:p>
        </w:tc>
        <w:tc>
          <w:tcPr>
            <w:tcW w:w="463" w:type="pct"/>
            <w:tcBorders>
              <w:top w:val="single" w:color="000000" w:sz="4" w:space="0"/>
              <w:left w:val="single" w:color="000000" w:sz="4" w:space="0"/>
              <w:bottom w:val="single" w:color="000000" w:sz="4" w:space="0"/>
              <w:right w:val="single" w:color="000000" w:sz="4" w:space="0"/>
            </w:tcBorders>
            <w:noWrap/>
            <w:vAlign w:val="center"/>
          </w:tcPr>
          <w:p w14:paraId="31682A04">
            <w:pPr>
              <w:spacing w:line="240" w:lineRule="auto"/>
              <w:jc w:val="center"/>
              <w:rPr>
                <w:rFonts w:hint="eastAsia" w:ascii="宋体" w:hAnsi="宋体" w:eastAsia="宋体" w:cs="宋体"/>
                <w:color w:val="auto"/>
                <w:sz w:val="21"/>
                <w:szCs w:val="21"/>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64258FF5">
            <w:pPr>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产废单位签名：</w:t>
            </w: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760CBB02">
            <w:pPr>
              <w:spacing w:line="240" w:lineRule="auto"/>
              <w:jc w:val="center"/>
              <w:rPr>
                <w:rFonts w:hint="eastAsia" w:ascii="宋体" w:hAnsi="宋体" w:eastAsia="宋体" w:cs="宋体"/>
                <w:color w:val="auto"/>
                <w:sz w:val="21"/>
                <w:szCs w:val="21"/>
                <w:highlight w:val="none"/>
              </w:rPr>
            </w:pP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2E5B5B8A">
            <w:pPr>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处置单位签字/日期：</w:t>
            </w:r>
          </w:p>
        </w:tc>
        <w:tc>
          <w:tcPr>
            <w:tcW w:w="889" w:type="pct"/>
            <w:gridSpan w:val="2"/>
            <w:tcBorders>
              <w:top w:val="single" w:color="000000" w:sz="4" w:space="0"/>
              <w:left w:val="single" w:color="000000" w:sz="4" w:space="0"/>
              <w:bottom w:val="single" w:color="000000" w:sz="4" w:space="0"/>
              <w:right w:val="single" w:color="000000" w:sz="4" w:space="0"/>
            </w:tcBorders>
            <w:noWrap/>
            <w:vAlign w:val="center"/>
          </w:tcPr>
          <w:p w14:paraId="0619F789">
            <w:pPr>
              <w:spacing w:line="240" w:lineRule="auto"/>
              <w:jc w:val="center"/>
              <w:rPr>
                <w:rFonts w:hint="eastAsia" w:ascii="宋体" w:hAnsi="宋体" w:eastAsia="宋体" w:cs="宋体"/>
                <w:color w:val="auto"/>
                <w:sz w:val="21"/>
                <w:szCs w:val="21"/>
                <w:highlight w:val="none"/>
              </w:rPr>
            </w:pPr>
          </w:p>
        </w:tc>
      </w:tr>
    </w:tbl>
    <w:p w14:paraId="0A666165">
      <w:pPr>
        <w:outlineLvl w:val="9"/>
        <w:rPr>
          <w:rFonts w:hint="eastAsia" w:ascii="宋体" w:hAnsi="宋体"/>
          <w:b/>
          <w:color w:val="auto"/>
          <w:sz w:val="21"/>
          <w:szCs w:val="21"/>
          <w:highlight w:val="none"/>
        </w:rPr>
      </w:pPr>
      <w:bookmarkStart w:id="225" w:name="_Toc28441"/>
      <w:bookmarkStart w:id="226" w:name="_Toc6212"/>
      <w:bookmarkStart w:id="227" w:name="_Toc19426"/>
      <w:bookmarkStart w:id="228" w:name="_Toc13249"/>
      <w:bookmarkStart w:id="229" w:name="_Toc28353"/>
      <w:bookmarkStart w:id="230" w:name="_Toc11741"/>
      <w:bookmarkStart w:id="231" w:name="_Toc5558"/>
      <w:bookmarkStart w:id="232" w:name="_Toc5536"/>
      <w:bookmarkStart w:id="233" w:name="_Toc18278"/>
    </w:p>
    <w:p w14:paraId="4020BB6A">
      <w:pPr>
        <w:outlineLvl w:val="9"/>
        <w:rPr>
          <w:rFonts w:hint="eastAsia" w:ascii="宋体" w:hAnsi="宋体"/>
          <w:b/>
          <w:color w:val="auto"/>
          <w:sz w:val="21"/>
          <w:szCs w:val="21"/>
          <w:highlight w:val="none"/>
        </w:rPr>
      </w:pPr>
    </w:p>
    <w:p w14:paraId="0B7B2BBD">
      <w:pPr>
        <w:pStyle w:val="3"/>
        <w:spacing w:before="0" w:after="0" w:line="240" w:lineRule="auto"/>
        <w:rPr>
          <w:color w:val="auto"/>
          <w:sz w:val="24"/>
          <w:szCs w:val="24"/>
          <w:highlight w:val="none"/>
        </w:rPr>
      </w:pPr>
      <w:bookmarkStart w:id="234" w:name="_Toc27203"/>
      <w:bookmarkStart w:id="235" w:name="_Toc20998"/>
      <w:r>
        <w:rPr>
          <w:rFonts w:hint="eastAsia"/>
          <w:color w:val="auto"/>
          <w:sz w:val="28"/>
          <w:szCs w:val="28"/>
          <w:highlight w:val="none"/>
        </w:rPr>
        <w:t>第四部分投标人须知</w:t>
      </w:r>
      <w:bookmarkEnd w:id="225"/>
      <w:bookmarkEnd w:id="226"/>
      <w:bookmarkEnd w:id="227"/>
      <w:bookmarkEnd w:id="228"/>
      <w:bookmarkEnd w:id="229"/>
      <w:bookmarkEnd w:id="230"/>
      <w:bookmarkEnd w:id="231"/>
      <w:bookmarkEnd w:id="232"/>
      <w:bookmarkEnd w:id="233"/>
      <w:bookmarkEnd w:id="234"/>
      <w:bookmarkEnd w:id="235"/>
    </w:p>
    <w:p w14:paraId="0C8BD7F3">
      <w:pPr>
        <w:pStyle w:val="4"/>
        <w:numPr>
          <w:ilvl w:val="0"/>
          <w:numId w:val="5"/>
        </w:numPr>
        <w:spacing w:before="0" w:after="0" w:line="480" w:lineRule="auto"/>
        <w:jc w:val="center"/>
        <w:rPr>
          <w:rFonts w:ascii="宋体" w:hAnsi="宋体"/>
          <w:color w:val="auto"/>
          <w:highlight w:val="none"/>
        </w:rPr>
      </w:pPr>
      <w:bookmarkStart w:id="236" w:name="_Toc32273"/>
      <w:bookmarkStart w:id="237" w:name="_Toc12613"/>
      <w:bookmarkStart w:id="238" w:name="_Toc25965"/>
      <w:bookmarkStart w:id="239" w:name="_Toc28762"/>
      <w:bookmarkStart w:id="240" w:name="_Toc1"/>
      <w:bookmarkStart w:id="241" w:name="_Toc31008"/>
      <w:bookmarkStart w:id="242" w:name="_Toc4578"/>
      <w:bookmarkStart w:id="243" w:name="_Toc17764"/>
      <w:bookmarkStart w:id="244" w:name="_Toc31503"/>
      <w:bookmarkStart w:id="245" w:name="_Toc20179"/>
      <w:bookmarkStart w:id="246" w:name="_Toc2039"/>
      <w:r>
        <w:rPr>
          <w:rFonts w:hint="eastAsia" w:ascii="宋体" w:hAnsi="宋体"/>
          <w:color w:val="auto"/>
          <w:highlight w:val="none"/>
        </w:rPr>
        <w:t>说明</w:t>
      </w:r>
      <w:bookmarkEnd w:id="236"/>
      <w:bookmarkEnd w:id="237"/>
      <w:bookmarkEnd w:id="238"/>
      <w:bookmarkEnd w:id="239"/>
      <w:bookmarkEnd w:id="240"/>
      <w:bookmarkEnd w:id="241"/>
      <w:bookmarkEnd w:id="242"/>
      <w:bookmarkEnd w:id="243"/>
      <w:bookmarkEnd w:id="244"/>
      <w:bookmarkEnd w:id="245"/>
      <w:bookmarkEnd w:id="246"/>
    </w:p>
    <w:p w14:paraId="1F2C0BEE">
      <w:pPr>
        <w:pStyle w:val="5"/>
        <w:pageBreakBefore w:val="0"/>
        <w:widowControl w:val="0"/>
        <w:numPr>
          <w:ilvl w:val="0"/>
          <w:numId w:val="6"/>
        </w:numPr>
        <w:kinsoku/>
        <w:wordWrap/>
        <w:overflowPunct w:val="0"/>
        <w:topLinePunct w:val="0"/>
        <w:autoSpaceDE/>
        <w:autoSpaceDN/>
        <w:bidi w:val="0"/>
        <w:jc w:val="both"/>
        <w:rPr>
          <w:rFonts w:ascii="宋体" w:hAnsi="宋体" w:cs="宋体"/>
          <w:color w:val="auto"/>
          <w:sz w:val="21"/>
          <w:szCs w:val="21"/>
          <w:highlight w:val="none"/>
        </w:rPr>
      </w:pPr>
      <w:bookmarkStart w:id="247" w:name="_Toc30084"/>
      <w:bookmarkStart w:id="248" w:name="_Toc27278"/>
      <w:bookmarkStart w:id="249" w:name="_Toc22151"/>
      <w:bookmarkStart w:id="250" w:name="_Toc1376"/>
      <w:bookmarkStart w:id="251" w:name="_Toc302"/>
      <w:bookmarkStart w:id="252" w:name="_Toc6610"/>
      <w:bookmarkStart w:id="253" w:name="_Toc8038"/>
      <w:bookmarkStart w:id="254" w:name="_Toc3534"/>
      <w:bookmarkStart w:id="255" w:name="_Toc18093"/>
      <w:bookmarkStart w:id="256" w:name="_Toc16950"/>
      <w:bookmarkStart w:id="257" w:name="_Toc22697"/>
      <w:bookmarkStart w:id="258" w:name="_Toc15704"/>
      <w:r>
        <w:rPr>
          <w:rFonts w:hint="eastAsia" w:ascii="宋体" w:hAnsi="宋体" w:cs="宋体"/>
          <w:color w:val="auto"/>
          <w:sz w:val="21"/>
          <w:szCs w:val="21"/>
          <w:highlight w:val="none"/>
        </w:rPr>
        <w:t>适用范围</w:t>
      </w:r>
      <w:bookmarkEnd w:id="247"/>
      <w:bookmarkEnd w:id="248"/>
      <w:bookmarkEnd w:id="249"/>
      <w:bookmarkEnd w:id="250"/>
      <w:bookmarkEnd w:id="251"/>
      <w:bookmarkEnd w:id="252"/>
      <w:bookmarkEnd w:id="253"/>
      <w:bookmarkEnd w:id="254"/>
      <w:bookmarkEnd w:id="255"/>
      <w:bookmarkEnd w:id="256"/>
      <w:bookmarkEnd w:id="257"/>
      <w:bookmarkEnd w:id="258"/>
    </w:p>
    <w:p w14:paraId="5CEFCB3E">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采购范围：见本文件《用户需求书》</w:t>
      </w:r>
    </w:p>
    <w:p w14:paraId="6AA78E3B">
      <w:pPr>
        <w:pageBreakBefore w:val="0"/>
        <w:kinsoku/>
        <w:wordWrap/>
        <w:topLinePunct w:val="0"/>
        <w:autoSpaceDE/>
        <w:autoSpaceDN/>
        <w:bidi w:val="0"/>
        <w:jc w:val="both"/>
        <w:rPr>
          <w:rFonts w:ascii="宋体" w:hAnsi="宋体" w:cs="宋体"/>
          <w:color w:val="auto"/>
          <w:highlight w:val="none"/>
        </w:rPr>
      </w:pPr>
    </w:p>
    <w:p w14:paraId="114F7FE7">
      <w:pPr>
        <w:pStyle w:val="5"/>
        <w:pageBreakBefore w:val="0"/>
        <w:widowControl w:val="0"/>
        <w:numPr>
          <w:ilvl w:val="0"/>
          <w:numId w:val="6"/>
        </w:numPr>
        <w:kinsoku/>
        <w:wordWrap/>
        <w:overflowPunct w:val="0"/>
        <w:topLinePunct w:val="0"/>
        <w:autoSpaceDE/>
        <w:autoSpaceDN/>
        <w:bidi w:val="0"/>
        <w:jc w:val="both"/>
        <w:rPr>
          <w:rFonts w:ascii="宋体" w:hAnsi="宋体" w:cs="宋体"/>
          <w:vanish/>
          <w:color w:val="auto"/>
          <w:szCs w:val="21"/>
          <w:highlight w:val="none"/>
        </w:rPr>
      </w:pPr>
      <w:bookmarkStart w:id="259" w:name="_Toc15575"/>
      <w:bookmarkStart w:id="260" w:name="_Toc24834"/>
      <w:bookmarkStart w:id="261" w:name="_Toc15729"/>
      <w:bookmarkStart w:id="262" w:name="_Toc11516"/>
      <w:bookmarkStart w:id="263" w:name="_Toc32012"/>
      <w:bookmarkStart w:id="264" w:name="_Toc24030"/>
      <w:bookmarkStart w:id="265" w:name="_Toc18587"/>
      <w:bookmarkStart w:id="266" w:name="_Toc303084246"/>
      <w:bookmarkStart w:id="267" w:name="_Toc1530"/>
      <w:bookmarkStart w:id="268" w:name="_Toc17740"/>
      <w:bookmarkStart w:id="269" w:name="_Toc298847174"/>
      <w:bookmarkStart w:id="270" w:name="_Toc19445"/>
      <w:bookmarkStart w:id="271" w:name="_Toc20286"/>
      <w:bookmarkStart w:id="272" w:name="_Toc9739"/>
      <w:bookmarkStart w:id="273" w:name="_Toc382049092"/>
      <w:bookmarkStart w:id="274" w:name="_Toc25804"/>
      <w:r>
        <w:rPr>
          <w:rFonts w:hint="eastAsia" w:ascii="宋体" w:hAnsi="宋体" w:cs="宋体"/>
          <w:color w:val="auto"/>
          <w:sz w:val="21"/>
          <w:szCs w:val="21"/>
          <w:highlight w:val="none"/>
        </w:rPr>
        <w:t>定义</w:t>
      </w:r>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p>
    <w:p w14:paraId="5378661C">
      <w:pPr>
        <w:rPr>
          <w:highlight w:val="none"/>
        </w:rPr>
      </w:pPr>
    </w:p>
    <w:p w14:paraId="66D2B954">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采购人：见投标邀请书。</w:t>
      </w:r>
    </w:p>
    <w:p w14:paraId="22B2C6FC">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投标人：响应采购并且符合采购文件规定资格条件和参加投标竞争的法人、其他组织或者自然人。</w:t>
      </w:r>
    </w:p>
    <w:p w14:paraId="101395C6">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法人：法人是依法在国内进行注册并具有民事权利能力和民事行为能力，依法独立享有民事权利和承担民事义务的组织。</w:t>
      </w:r>
    </w:p>
    <w:p w14:paraId="27448912">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：指经评标委员会评审推荐、采购人确认的获得本项目中标资格的投标人。</w:t>
      </w:r>
    </w:p>
    <w:p w14:paraId="61C4AF93">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采购代理机构：见投标邀请书。</w:t>
      </w:r>
    </w:p>
    <w:p w14:paraId="2ECE826B">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评标委员会：评标委员会是依据相关规定组建的专门负责本次采购其评标工作的临时性机构。</w:t>
      </w:r>
    </w:p>
    <w:p w14:paraId="3DF9056C">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合同：指由本次采购所产生的合同或合约文件。</w:t>
      </w:r>
    </w:p>
    <w:p w14:paraId="26D4D553">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公章：公章是指经过正规的法定程序并备案的法人公章与投标专用章。（投标人如在投标文件中使用“投标专用章”，应提供法定代表人签字或加盖公章说明该“投标专用章”与法人公章具备同等效力的证明文件，且投标当天应携带相关原件到现场，以供核查。因投标文件未提供相关手续复印件和无法核查投标专用章的真实性而导致的后果由投标人自行承担。）</w:t>
      </w:r>
    </w:p>
    <w:p w14:paraId="6507A8DB">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时间：本文件规定按日计算期间的，开始当天不计入，从次日开始计算。期限的最后一日是国家法定节假日的，顺延到节假日后的次日为期限的最后一日。</w:t>
      </w:r>
    </w:p>
    <w:p w14:paraId="5CA3DE3C">
      <w:pPr>
        <w:pageBreakBefore w:val="0"/>
        <w:kinsoku/>
        <w:wordWrap/>
        <w:topLinePunct w:val="0"/>
        <w:autoSpaceDE/>
        <w:autoSpaceDN/>
        <w:bidi w:val="0"/>
        <w:jc w:val="both"/>
        <w:rPr>
          <w:rFonts w:ascii="宋体" w:hAnsi="宋体" w:cs="宋体"/>
          <w:color w:val="auto"/>
          <w:highlight w:val="none"/>
        </w:rPr>
      </w:pPr>
    </w:p>
    <w:p w14:paraId="0221C63A">
      <w:pPr>
        <w:pStyle w:val="5"/>
        <w:pageBreakBefore w:val="0"/>
        <w:widowControl w:val="0"/>
        <w:numPr>
          <w:ilvl w:val="0"/>
          <w:numId w:val="6"/>
        </w:numPr>
        <w:kinsoku/>
        <w:wordWrap/>
        <w:overflowPunct w:val="0"/>
        <w:topLinePunct w:val="0"/>
        <w:autoSpaceDE/>
        <w:autoSpaceDN/>
        <w:bidi w:val="0"/>
        <w:jc w:val="both"/>
        <w:rPr>
          <w:rFonts w:ascii="宋体" w:hAnsi="宋体" w:cs="宋体"/>
          <w:vanish/>
          <w:color w:val="auto"/>
          <w:szCs w:val="21"/>
          <w:highlight w:val="none"/>
        </w:rPr>
      </w:pPr>
      <w:bookmarkStart w:id="275" w:name="_Toc22192"/>
      <w:bookmarkStart w:id="276" w:name="_Toc17503"/>
      <w:bookmarkStart w:id="277" w:name="_Toc25073"/>
      <w:bookmarkStart w:id="278" w:name="_Toc14780"/>
      <w:bookmarkStart w:id="279" w:name="_Toc25141"/>
      <w:bookmarkStart w:id="280" w:name="_Toc11624"/>
      <w:bookmarkStart w:id="281" w:name="_Toc28310"/>
      <w:bookmarkStart w:id="282" w:name="_Toc25234"/>
      <w:bookmarkStart w:id="283" w:name="_Toc31945"/>
      <w:bookmarkStart w:id="284" w:name="_Toc26416"/>
      <w:bookmarkStart w:id="285" w:name="_Toc29688"/>
      <w:bookmarkStart w:id="286" w:name="_Toc30567"/>
      <w:r>
        <w:rPr>
          <w:rFonts w:hint="eastAsia" w:ascii="宋体" w:hAnsi="宋体" w:cs="宋体"/>
          <w:color w:val="auto"/>
          <w:sz w:val="21"/>
          <w:szCs w:val="21"/>
          <w:highlight w:val="none"/>
        </w:rPr>
        <w:t>货物和服务</w:t>
      </w:r>
      <w:bookmarkEnd w:id="275"/>
      <w:bookmarkEnd w:id="276"/>
      <w:bookmarkEnd w:id="277"/>
      <w:bookmarkEnd w:id="278"/>
      <w:bookmarkEnd w:id="279"/>
      <w:bookmarkEnd w:id="280"/>
      <w:bookmarkEnd w:id="281"/>
      <w:bookmarkEnd w:id="282"/>
      <w:bookmarkEnd w:id="283"/>
      <w:bookmarkEnd w:id="284"/>
      <w:bookmarkEnd w:id="285"/>
      <w:bookmarkEnd w:id="286"/>
    </w:p>
    <w:p w14:paraId="62D2EBDD">
      <w:pPr>
        <w:rPr>
          <w:highlight w:val="none"/>
        </w:rPr>
      </w:pPr>
    </w:p>
    <w:p w14:paraId="0EB4EE8B">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货物是指各种形态和种类的物品，包括原材料、燃料、设备、产品等。</w:t>
      </w:r>
    </w:p>
    <w:p w14:paraId="67589602">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服务是指除货物和工程以外的其他采购对象。</w:t>
      </w:r>
    </w:p>
    <w:p w14:paraId="73070F9E">
      <w:pPr>
        <w:pageBreakBefore w:val="0"/>
        <w:kinsoku/>
        <w:wordWrap/>
        <w:topLinePunct w:val="0"/>
        <w:autoSpaceDE/>
        <w:autoSpaceDN/>
        <w:bidi w:val="0"/>
        <w:jc w:val="both"/>
        <w:rPr>
          <w:rFonts w:ascii="宋体" w:hAnsi="宋体" w:cs="宋体"/>
          <w:color w:val="auto"/>
          <w:highlight w:val="none"/>
        </w:rPr>
      </w:pPr>
    </w:p>
    <w:p w14:paraId="035D2BCA">
      <w:pPr>
        <w:pStyle w:val="5"/>
        <w:pageBreakBefore w:val="0"/>
        <w:widowControl w:val="0"/>
        <w:numPr>
          <w:ilvl w:val="0"/>
          <w:numId w:val="6"/>
        </w:numPr>
        <w:kinsoku/>
        <w:wordWrap/>
        <w:overflowPunct w:val="0"/>
        <w:topLinePunct w:val="0"/>
        <w:autoSpaceDE/>
        <w:autoSpaceDN/>
        <w:bidi w:val="0"/>
        <w:jc w:val="both"/>
        <w:rPr>
          <w:rFonts w:ascii="宋体" w:hAnsi="宋体" w:cs="宋体"/>
          <w:vanish/>
          <w:color w:val="auto"/>
          <w:szCs w:val="21"/>
          <w:highlight w:val="none"/>
        </w:rPr>
      </w:pPr>
      <w:bookmarkStart w:id="287" w:name="_Toc12148"/>
      <w:bookmarkStart w:id="288" w:name="_Toc2857"/>
      <w:bookmarkStart w:id="289" w:name="_Toc9815"/>
      <w:bookmarkStart w:id="290" w:name="_Toc27593"/>
      <w:bookmarkStart w:id="291" w:name="_Toc11266"/>
      <w:bookmarkStart w:id="292" w:name="_Toc1089"/>
      <w:bookmarkStart w:id="293" w:name="_Toc11061"/>
      <w:bookmarkStart w:id="294" w:name="_Toc31492"/>
      <w:bookmarkStart w:id="295" w:name="_Toc22103"/>
      <w:bookmarkStart w:id="296" w:name="_Toc15719"/>
      <w:bookmarkStart w:id="297" w:name="_Toc14664"/>
      <w:bookmarkStart w:id="298" w:name="_Toc23219"/>
      <w:r>
        <w:rPr>
          <w:rFonts w:hint="eastAsia" w:ascii="宋体" w:hAnsi="宋体" w:cs="宋体"/>
          <w:color w:val="auto"/>
          <w:sz w:val="21"/>
          <w:szCs w:val="21"/>
          <w:highlight w:val="none"/>
        </w:rPr>
        <w:t>投标费用</w:t>
      </w:r>
      <w:bookmarkEnd w:id="287"/>
      <w:bookmarkEnd w:id="288"/>
      <w:bookmarkEnd w:id="289"/>
      <w:bookmarkEnd w:id="290"/>
      <w:bookmarkEnd w:id="291"/>
      <w:bookmarkEnd w:id="292"/>
      <w:bookmarkEnd w:id="293"/>
      <w:bookmarkEnd w:id="294"/>
      <w:bookmarkEnd w:id="295"/>
      <w:bookmarkEnd w:id="296"/>
      <w:bookmarkEnd w:id="297"/>
      <w:bookmarkEnd w:id="298"/>
    </w:p>
    <w:p w14:paraId="14AB1A60">
      <w:pPr>
        <w:rPr>
          <w:highlight w:val="none"/>
        </w:rPr>
      </w:pPr>
    </w:p>
    <w:p w14:paraId="66D2A62B">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投标人应承担所有与编写投标文件和参加投标有关的自身的所有费用，不论投标的结果如何，采购代理机构和采购人在任何情况下均无义务和责任承担这些费用。</w:t>
      </w:r>
    </w:p>
    <w:p w14:paraId="2B15A452">
      <w:pPr>
        <w:pageBreakBefore w:val="0"/>
        <w:widowControl w:val="0"/>
        <w:kinsoku/>
        <w:wordWrap/>
        <w:topLinePunct w:val="0"/>
        <w:autoSpaceDE/>
        <w:autoSpaceDN/>
        <w:bidi w:val="0"/>
        <w:adjustRightInd/>
        <w:snapToGrid/>
        <w:jc w:val="both"/>
        <w:rPr>
          <w:rFonts w:ascii="宋体" w:hAnsi="宋体" w:cs="宋体"/>
          <w:color w:val="auto"/>
          <w:szCs w:val="21"/>
          <w:highlight w:val="none"/>
        </w:rPr>
      </w:pPr>
    </w:p>
    <w:p w14:paraId="539D559C">
      <w:pPr>
        <w:pStyle w:val="5"/>
        <w:pageBreakBefore w:val="0"/>
        <w:widowControl w:val="0"/>
        <w:numPr>
          <w:ilvl w:val="0"/>
          <w:numId w:val="6"/>
        </w:numPr>
        <w:kinsoku/>
        <w:wordWrap/>
        <w:overflowPunct w:val="0"/>
        <w:topLinePunct w:val="0"/>
        <w:autoSpaceDE/>
        <w:autoSpaceDN/>
        <w:bidi w:val="0"/>
        <w:jc w:val="both"/>
        <w:rPr>
          <w:rFonts w:ascii="宋体" w:hAnsi="宋体" w:cs="宋体"/>
          <w:vanish/>
          <w:color w:val="auto"/>
          <w:szCs w:val="21"/>
          <w:highlight w:val="none"/>
        </w:rPr>
      </w:pPr>
      <w:bookmarkStart w:id="299" w:name="_Toc20433"/>
      <w:bookmarkStart w:id="300" w:name="_Toc32675"/>
      <w:bookmarkStart w:id="301" w:name="_Toc11526"/>
      <w:bookmarkStart w:id="302" w:name="_Toc7299"/>
      <w:bookmarkStart w:id="303" w:name="_Toc25051"/>
      <w:bookmarkStart w:id="304" w:name="_Toc30275"/>
      <w:bookmarkStart w:id="305" w:name="_Toc29729"/>
      <w:bookmarkStart w:id="306" w:name="_Toc28100"/>
      <w:bookmarkStart w:id="307" w:name="_Toc8341"/>
      <w:bookmarkStart w:id="308" w:name="_Toc6180"/>
      <w:bookmarkStart w:id="309" w:name="_Toc7924"/>
      <w:bookmarkStart w:id="310" w:name="_Toc6712"/>
      <w:r>
        <w:rPr>
          <w:rFonts w:hint="eastAsia" w:ascii="宋体" w:hAnsi="宋体" w:cs="宋体"/>
          <w:color w:val="auto"/>
          <w:sz w:val="21"/>
          <w:szCs w:val="21"/>
          <w:highlight w:val="none"/>
        </w:rPr>
        <w:t>知识产权</w:t>
      </w:r>
      <w:bookmarkEnd w:id="299"/>
      <w:bookmarkEnd w:id="300"/>
      <w:bookmarkEnd w:id="301"/>
      <w:bookmarkEnd w:id="302"/>
      <w:bookmarkEnd w:id="303"/>
      <w:bookmarkEnd w:id="304"/>
      <w:bookmarkEnd w:id="305"/>
      <w:bookmarkEnd w:id="306"/>
      <w:bookmarkEnd w:id="307"/>
      <w:bookmarkEnd w:id="308"/>
      <w:bookmarkEnd w:id="309"/>
      <w:bookmarkEnd w:id="310"/>
    </w:p>
    <w:p w14:paraId="2ABDB99D">
      <w:pPr>
        <w:rPr>
          <w:highlight w:val="none"/>
        </w:rPr>
      </w:pPr>
    </w:p>
    <w:p w14:paraId="37F9C11F">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应保证在本项目使用的任何产品和服务（包括部分使用）时，不会产生因第三方提出侵犯其专利权、商标权或其它知识产权而引起的法律和经济纠纷，如因专利权、商标权或其它知识产权而引起法律和经济纠纷，由投标人承担所有相关责任。</w:t>
      </w:r>
    </w:p>
    <w:p w14:paraId="011E6775">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采购人享有本项目实施过程中产生的知识成果及知识产权。</w:t>
      </w:r>
    </w:p>
    <w:p w14:paraId="123C4C7A">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投标人如欲在项目实施过程中采用自有知识成果，需在投标文件中声明，并提供相关知识产权证明文件。使用该知识成果后，投标人需提供开发接口和开发手册等技术文档。</w:t>
      </w:r>
    </w:p>
    <w:p w14:paraId="7DA22BE6">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采购货物为计算机办公设备时，投标人提供的产品必须是预装正版操作系统软件的计算机产品。</w:t>
      </w:r>
    </w:p>
    <w:p w14:paraId="26B2BCC4">
      <w:pPr>
        <w:pageBreakBefore w:val="0"/>
        <w:widowControl w:val="0"/>
        <w:kinsoku/>
        <w:wordWrap/>
        <w:topLinePunct w:val="0"/>
        <w:autoSpaceDE/>
        <w:autoSpaceDN/>
        <w:bidi w:val="0"/>
        <w:adjustRightInd/>
        <w:snapToGrid/>
        <w:ind w:left="567"/>
        <w:jc w:val="both"/>
        <w:rPr>
          <w:rFonts w:ascii="宋体" w:hAnsi="宋体" w:cs="宋体"/>
          <w:color w:val="auto"/>
          <w:szCs w:val="21"/>
          <w:highlight w:val="none"/>
        </w:rPr>
      </w:pPr>
    </w:p>
    <w:p w14:paraId="6A7BF422">
      <w:pPr>
        <w:pStyle w:val="5"/>
        <w:pageBreakBefore w:val="0"/>
        <w:widowControl w:val="0"/>
        <w:numPr>
          <w:ilvl w:val="0"/>
          <w:numId w:val="6"/>
        </w:numPr>
        <w:kinsoku/>
        <w:wordWrap/>
        <w:overflowPunct w:val="0"/>
        <w:topLinePunct w:val="0"/>
        <w:autoSpaceDE/>
        <w:autoSpaceDN/>
        <w:bidi w:val="0"/>
        <w:jc w:val="both"/>
        <w:rPr>
          <w:rFonts w:ascii="宋体" w:hAnsi="宋体" w:cs="宋体"/>
          <w:vanish/>
          <w:color w:val="auto"/>
          <w:szCs w:val="21"/>
          <w:highlight w:val="none"/>
        </w:rPr>
      </w:pPr>
      <w:bookmarkStart w:id="311" w:name="_Toc2352"/>
      <w:bookmarkStart w:id="312" w:name="_Toc25222"/>
      <w:bookmarkStart w:id="313" w:name="_Toc30970"/>
      <w:bookmarkStart w:id="314" w:name="_Toc11155"/>
      <w:bookmarkStart w:id="315" w:name="_Toc14687"/>
      <w:bookmarkStart w:id="316" w:name="_Toc3083"/>
      <w:bookmarkStart w:id="317" w:name="_Toc14977"/>
      <w:bookmarkStart w:id="318" w:name="_Toc32371"/>
      <w:bookmarkStart w:id="319" w:name="_Toc6666"/>
      <w:bookmarkStart w:id="320" w:name="_Toc16536"/>
      <w:bookmarkStart w:id="321" w:name="_Toc18025"/>
      <w:bookmarkStart w:id="322" w:name="_Toc5934"/>
      <w:r>
        <w:rPr>
          <w:rFonts w:hint="eastAsia" w:ascii="宋体" w:hAnsi="宋体" w:cs="宋体"/>
          <w:color w:val="auto"/>
          <w:sz w:val="21"/>
          <w:szCs w:val="21"/>
          <w:highlight w:val="none"/>
        </w:rPr>
        <w:t>关于联合体投标</w:t>
      </w:r>
      <w:bookmarkEnd w:id="311"/>
      <w:bookmarkEnd w:id="312"/>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lang w:val="en-US" w:eastAsia="zh-CN"/>
        </w:rPr>
        <w:t>本项目不适用</w:t>
      </w:r>
      <w:r>
        <w:rPr>
          <w:rFonts w:hint="eastAsia" w:ascii="宋体" w:hAnsi="宋体" w:cs="宋体"/>
          <w:color w:val="auto"/>
          <w:sz w:val="21"/>
          <w:szCs w:val="21"/>
          <w:highlight w:val="none"/>
          <w:lang w:eastAsia="zh-CN"/>
        </w:rPr>
        <w:t>）</w:t>
      </w:r>
      <w:bookmarkEnd w:id="313"/>
      <w:bookmarkEnd w:id="314"/>
      <w:bookmarkEnd w:id="315"/>
      <w:bookmarkEnd w:id="316"/>
      <w:bookmarkEnd w:id="317"/>
      <w:bookmarkEnd w:id="318"/>
      <w:bookmarkEnd w:id="319"/>
      <w:bookmarkEnd w:id="320"/>
      <w:bookmarkEnd w:id="321"/>
      <w:bookmarkEnd w:id="322"/>
    </w:p>
    <w:p w14:paraId="58DA8581">
      <w:pPr>
        <w:rPr>
          <w:highlight w:val="none"/>
        </w:rPr>
      </w:pPr>
    </w:p>
    <w:p w14:paraId="5A9A5112">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对接受联合体投标的项目：两个以上的自然人、法人或者其他组织可以组成一个联合体，以一个投标人的身份共同参加采购活动。</w:t>
      </w:r>
    </w:p>
    <w:p w14:paraId="4EF86F83">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以联合体形式参与项目的供应商在领购采购文件时，应提供所有联合体组成成员的营业执照复印件，并加盖各联合体组成成员的公章。</w:t>
      </w:r>
    </w:p>
    <w:p w14:paraId="403FFBA0">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联合体各方均应具有独立承担民事责任能力的法人或其他组织。</w:t>
      </w:r>
    </w:p>
    <w:p w14:paraId="40EC0181">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两个以上的自然人、法人或者其他组织组成一个联合体，以一个供应商的身份共同参加采购活动的，应当对所有联合体成员进行信用记录查询，联合体成员存在不良信用记录的，视同联合体存在不良信用记录。</w:t>
      </w:r>
    </w:p>
    <w:p w14:paraId="30061965">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采购文件对投标人资格条件有规定的，联合体各方均应当具备规定的相应资格条件。由同一专业的单位组成的联合体，按照资质等级较低的单位确定资质等级。</w:t>
      </w:r>
    </w:p>
    <w:p w14:paraId="7619AE6B">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联合体各方之间应当签订共同投标协议并在投标文件内提交，明确约定联合体各方承担的工作和相应的责任。联合体各方签订共同投标协议后，不得再以自己名义单独在同一项目中投标，也不得组成新的联合体参加同一项目投标。</w:t>
      </w:r>
    </w:p>
    <w:p w14:paraId="7C363BF6">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供应商为联合体的，可以由联合体中的任意一方交纳保证金，其交纳的保证金对联合体各方均具有约束力。</w:t>
      </w:r>
    </w:p>
    <w:p w14:paraId="6AAC86C5">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除联合体协议明确授权盖章单位外，联合体投标时投标文件中所有要求盖章的地方均须加盖联合体所有组成成员的公章，否则该处盖章无效。</w:t>
      </w:r>
    </w:p>
    <w:p w14:paraId="2D812C9E">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联合体进行评分时，业绩、奖项等的认定和评分根据共同投标协议约定的各方承担的工作和相应责任，确定一方打分，不累加打分；评审标准不明确或难以明确以哪一方计算评分情况时，则按主体方情况评分。</w:t>
      </w:r>
    </w:p>
    <w:p w14:paraId="523ED021">
      <w:pPr>
        <w:pageBreakBefore w:val="0"/>
        <w:widowControl w:val="0"/>
        <w:kinsoku/>
        <w:wordWrap/>
        <w:topLinePunct w:val="0"/>
        <w:autoSpaceDE/>
        <w:autoSpaceDN/>
        <w:bidi w:val="0"/>
        <w:adjustRightInd/>
        <w:snapToGrid/>
        <w:ind w:left="567"/>
        <w:jc w:val="both"/>
        <w:rPr>
          <w:rFonts w:ascii="宋体" w:hAnsi="宋体" w:cs="宋体"/>
          <w:color w:val="auto"/>
          <w:szCs w:val="21"/>
          <w:highlight w:val="none"/>
        </w:rPr>
      </w:pPr>
    </w:p>
    <w:p w14:paraId="15D495C6">
      <w:pPr>
        <w:pStyle w:val="5"/>
        <w:pageBreakBefore w:val="0"/>
        <w:widowControl w:val="0"/>
        <w:numPr>
          <w:ilvl w:val="0"/>
          <w:numId w:val="6"/>
        </w:numPr>
        <w:kinsoku/>
        <w:wordWrap/>
        <w:overflowPunct w:val="0"/>
        <w:topLinePunct w:val="0"/>
        <w:autoSpaceDE/>
        <w:autoSpaceDN/>
        <w:bidi w:val="0"/>
        <w:jc w:val="both"/>
        <w:rPr>
          <w:rFonts w:ascii="宋体" w:hAnsi="宋体" w:cs="宋体"/>
          <w:vanish/>
          <w:color w:val="auto"/>
          <w:szCs w:val="21"/>
          <w:highlight w:val="none"/>
        </w:rPr>
      </w:pPr>
      <w:bookmarkStart w:id="323" w:name="_Toc1917"/>
      <w:bookmarkStart w:id="324" w:name="_Toc2900"/>
      <w:bookmarkStart w:id="325" w:name="_Toc30595"/>
      <w:bookmarkStart w:id="326" w:name="_Toc16091"/>
      <w:bookmarkStart w:id="327" w:name="_Toc777"/>
      <w:bookmarkStart w:id="328" w:name="_Toc31258"/>
      <w:bookmarkStart w:id="329" w:name="_Toc12252"/>
      <w:bookmarkStart w:id="330" w:name="_Toc29531"/>
      <w:bookmarkStart w:id="331" w:name="_Toc3572"/>
      <w:bookmarkStart w:id="332" w:name="_Toc8557"/>
      <w:bookmarkStart w:id="333" w:name="_Toc15662"/>
      <w:bookmarkStart w:id="334" w:name="_Toc16136"/>
      <w:r>
        <w:rPr>
          <w:rFonts w:hint="eastAsia" w:ascii="宋体" w:hAnsi="宋体" w:cs="宋体"/>
          <w:color w:val="auto"/>
          <w:sz w:val="21"/>
          <w:szCs w:val="21"/>
          <w:highlight w:val="none"/>
        </w:rPr>
        <w:t>关于分支机构投标</w:t>
      </w:r>
      <w:bookmarkEnd w:id="323"/>
      <w:bookmarkEnd w:id="324"/>
      <w:bookmarkEnd w:id="325"/>
      <w:bookmarkEnd w:id="326"/>
      <w:bookmarkEnd w:id="327"/>
      <w:bookmarkEnd w:id="328"/>
      <w:bookmarkEnd w:id="329"/>
      <w:bookmarkEnd w:id="330"/>
      <w:bookmarkEnd w:id="331"/>
      <w:bookmarkEnd w:id="332"/>
      <w:bookmarkEnd w:id="333"/>
      <w:bookmarkEnd w:id="334"/>
      <w:bookmarkStart w:id="335" w:name="EB389f116341dd4693875bc7987e7327f3"/>
    </w:p>
    <w:p w14:paraId="05BD7D15">
      <w:pPr>
        <w:rPr>
          <w:highlight w:val="none"/>
        </w:rPr>
      </w:pPr>
    </w:p>
    <w:p w14:paraId="609754AF">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对可接受分支机构投标的项目，分支机构投标的，需提供具有法人资格的总公司的营业执照原件扫描件及授权书，授权书须加盖总公司公章。总公司可就本项目或此类项目在一定范围或时间内出具授权书。已由总公司授权的，总公司取得的相关资质证书对分公司有效，法律法规或者行业另有规定的除外。</w:t>
      </w:r>
      <w:bookmarkEnd w:id="335"/>
    </w:p>
    <w:p w14:paraId="27B8380C">
      <w:pPr>
        <w:pageBreakBefore w:val="0"/>
        <w:widowControl w:val="0"/>
        <w:kinsoku/>
        <w:wordWrap/>
        <w:topLinePunct w:val="0"/>
        <w:autoSpaceDE/>
        <w:autoSpaceDN/>
        <w:bidi w:val="0"/>
        <w:adjustRightInd/>
        <w:snapToGrid/>
        <w:ind w:left="567"/>
        <w:jc w:val="both"/>
        <w:rPr>
          <w:rFonts w:ascii="宋体" w:hAnsi="宋体" w:cs="宋体"/>
          <w:color w:val="auto"/>
          <w:szCs w:val="21"/>
          <w:highlight w:val="none"/>
        </w:rPr>
      </w:pPr>
    </w:p>
    <w:p w14:paraId="43841C89">
      <w:pPr>
        <w:pStyle w:val="5"/>
        <w:pageBreakBefore w:val="0"/>
        <w:widowControl w:val="0"/>
        <w:numPr>
          <w:ilvl w:val="0"/>
          <w:numId w:val="6"/>
        </w:numPr>
        <w:kinsoku/>
        <w:wordWrap/>
        <w:overflowPunct w:val="0"/>
        <w:topLinePunct w:val="0"/>
        <w:autoSpaceDE/>
        <w:autoSpaceDN/>
        <w:bidi w:val="0"/>
        <w:jc w:val="both"/>
        <w:rPr>
          <w:rFonts w:ascii="宋体" w:hAnsi="宋体" w:cs="宋体"/>
          <w:color w:val="auto"/>
          <w:sz w:val="21"/>
          <w:szCs w:val="21"/>
          <w:highlight w:val="none"/>
        </w:rPr>
      </w:pPr>
      <w:bookmarkStart w:id="336" w:name="_Toc31269"/>
      <w:bookmarkStart w:id="337" w:name="_Toc18961"/>
      <w:bookmarkStart w:id="338" w:name="_Toc4740"/>
      <w:bookmarkStart w:id="339" w:name="_Toc14905"/>
      <w:bookmarkStart w:id="340" w:name="_Toc28330"/>
      <w:bookmarkStart w:id="341" w:name="_Toc15297"/>
      <w:bookmarkStart w:id="342" w:name="_Toc25233"/>
      <w:bookmarkStart w:id="343" w:name="_Toc15742"/>
      <w:bookmarkStart w:id="344" w:name="_Toc26096"/>
      <w:bookmarkStart w:id="345" w:name="_Toc19788"/>
      <w:bookmarkStart w:id="346" w:name="_Toc7321"/>
      <w:r>
        <w:rPr>
          <w:rFonts w:hint="eastAsia" w:ascii="宋体" w:hAnsi="宋体" w:cs="宋体"/>
          <w:color w:val="auto"/>
          <w:sz w:val="21"/>
          <w:szCs w:val="21"/>
          <w:highlight w:val="none"/>
        </w:rPr>
        <w:t>踏勘现场</w:t>
      </w:r>
      <w:bookmarkEnd w:id="336"/>
      <w:bookmarkEnd w:id="337"/>
      <w:bookmarkEnd w:id="338"/>
      <w:bookmarkEnd w:id="339"/>
      <w:bookmarkEnd w:id="340"/>
      <w:bookmarkEnd w:id="341"/>
      <w:bookmarkEnd w:id="342"/>
      <w:bookmarkEnd w:id="343"/>
      <w:bookmarkEnd w:id="344"/>
      <w:bookmarkEnd w:id="345"/>
      <w:bookmarkEnd w:id="346"/>
    </w:p>
    <w:p w14:paraId="2C11E0A4">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《投标资料表》规定组织踏勘现场的，采购人按《投标资料表》规定的时间、地点组织</w:t>
      </w:r>
      <w:r>
        <w:rPr>
          <w:rFonts w:hint="eastAsia" w:ascii="宋体" w:hAnsi="宋体" w:cs="宋体"/>
          <w:color w:val="auto"/>
          <w:szCs w:val="21"/>
          <w:highlight w:val="none"/>
          <w:lang w:eastAsia="zh-CN"/>
        </w:rPr>
        <w:t>投标人</w:t>
      </w:r>
      <w:r>
        <w:rPr>
          <w:rFonts w:hint="eastAsia" w:ascii="宋体" w:hAnsi="宋体" w:cs="宋体"/>
          <w:color w:val="auto"/>
          <w:szCs w:val="21"/>
          <w:highlight w:val="none"/>
        </w:rPr>
        <w:t>踏勘项目现场；</w:t>
      </w:r>
    </w:p>
    <w:p w14:paraId="37CFB5F3">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lang w:eastAsia="zh-CN"/>
        </w:rPr>
        <w:t>投标人</w:t>
      </w:r>
      <w:r>
        <w:rPr>
          <w:rFonts w:hint="eastAsia" w:ascii="宋体" w:hAnsi="宋体" w:cs="宋体"/>
          <w:color w:val="auto"/>
          <w:szCs w:val="21"/>
          <w:highlight w:val="none"/>
        </w:rPr>
        <w:t>踏勘现场发生的费用自理；</w:t>
      </w:r>
    </w:p>
    <w:p w14:paraId="028D4EC4">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除采购人的原因外，</w:t>
      </w:r>
      <w:r>
        <w:rPr>
          <w:rFonts w:hint="eastAsia" w:ascii="宋体" w:hAnsi="宋体" w:cs="宋体"/>
          <w:color w:val="auto"/>
          <w:szCs w:val="21"/>
          <w:highlight w:val="none"/>
          <w:lang w:eastAsia="zh-CN"/>
        </w:rPr>
        <w:t>投标人</w:t>
      </w:r>
      <w:r>
        <w:rPr>
          <w:rFonts w:hint="eastAsia" w:ascii="宋体" w:hAnsi="宋体" w:cs="宋体"/>
          <w:color w:val="auto"/>
          <w:szCs w:val="21"/>
          <w:highlight w:val="none"/>
        </w:rPr>
        <w:t>自行负责在踏勘现场中所发生的人员伤亡和财产损失；</w:t>
      </w:r>
    </w:p>
    <w:p w14:paraId="5A8B75CC">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采购人在踏勘现场中介绍的实施地点和相关的周边环境情况，供</w:t>
      </w:r>
      <w:r>
        <w:rPr>
          <w:rFonts w:hint="eastAsia" w:ascii="宋体" w:hAnsi="宋体" w:cs="宋体"/>
          <w:color w:val="auto"/>
          <w:szCs w:val="21"/>
          <w:highlight w:val="none"/>
          <w:lang w:eastAsia="zh-CN"/>
        </w:rPr>
        <w:t>投标人</w:t>
      </w:r>
      <w:r>
        <w:rPr>
          <w:rFonts w:hint="eastAsia" w:ascii="宋体" w:hAnsi="宋体" w:cs="宋体"/>
          <w:color w:val="auto"/>
          <w:szCs w:val="21"/>
          <w:highlight w:val="none"/>
        </w:rPr>
        <w:t>在编制响应文件时参考，采购人不对</w:t>
      </w:r>
      <w:r>
        <w:rPr>
          <w:rFonts w:hint="eastAsia" w:ascii="宋体" w:hAnsi="宋体" w:cs="宋体"/>
          <w:color w:val="auto"/>
          <w:szCs w:val="21"/>
          <w:highlight w:val="none"/>
          <w:lang w:eastAsia="zh-CN"/>
        </w:rPr>
        <w:t>投标人</w:t>
      </w:r>
      <w:r>
        <w:rPr>
          <w:rFonts w:hint="eastAsia" w:ascii="宋体" w:hAnsi="宋体" w:cs="宋体"/>
          <w:color w:val="auto"/>
          <w:szCs w:val="21"/>
          <w:highlight w:val="none"/>
        </w:rPr>
        <w:t>据此作出的判断和决策负责；</w:t>
      </w:r>
    </w:p>
    <w:p w14:paraId="157CEE64">
      <w:pPr>
        <w:pageBreakBefore w:val="0"/>
        <w:kinsoku/>
        <w:wordWrap/>
        <w:topLinePunct w:val="0"/>
        <w:autoSpaceDE/>
        <w:autoSpaceDN/>
        <w:bidi w:val="0"/>
        <w:jc w:val="both"/>
        <w:rPr>
          <w:rFonts w:ascii="宋体" w:hAnsi="宋体" w:cs="宋体"/>
          <w:color w:val="auto"/>
          <w:highlight w:val="none"/>
        </w:rPr>
      </w:pPr>
    </w:p>
    <w:p w14:paraId="664A340D">
      <w:pPr>
        <w:pStyle w:val="4"/>
        <w:pageBreakBefore w:val="0"/>
        <w:numPr>
          <w:ilvl w:val="0"/>
          <w:numId w:val="5"/>
        </w:numPr>
        <w:kinsoku/>
        <w:wordWrap/>
        <w:topLinePunct w:val="0"/>
        <w:autoSpaceDE/>
        <w:autoSpaceDN/>
        <w:bidi w:val="0"/>
        <w:spacing w:before="0" w:after="0" w:line="360" w:lineRule="auto"/>
        <w:jc w:val="both"/>
        <w:rPr>
          <w:rFonts w:ascii="宋体" w:hAnsi="宋体" w:cs="宋体"/>
          <w:color w:val="auto"/>
          <w:highlight w:val="none"/>
        </w:rPr>
      </w:pPr>
      <w:bookmarkStart w:id="347" w:name="_Toc23143"/>
      <w:bookmarkStart w:id="348" w:name="_Toc9444"/>
      <w:bookmarkStart w:id="349" w:name="_Toc22337"/>
      <w:bookmarkStart w:id="350" w:name="_Toc29827"/>
      <w:bookmarkStart w:id="351" w:name="_Toc13246"/>
      <w:bookmarkStart w:id="352" w:name="_Toc31564"/>
      <w:bookmarkStart w:id="353" w:name="_Toc32020"/>
      <w:bookmarkStart w:id="354" w:name="_Toc18033"/>
      <w:bookmarkStart w:id="355" w:name="_Toc9000"/>
      <w:bookmarkStart w:id="356" w:name="_Toc25358"/>
      <w:bookmarkStart w:id="357" w:name="_Toc3659"/>
      <w:bookmarkStart w:id="358" w:name="_Toc28679"/>
      <w:r>
        <w:rPr>
          <w:rFonts w:hint="eastAsia" w:ascii="宋体" w:hAnsi="宋体" w:cs="宋体"/>
          <w:color w:val="auto"/>
          <w:highlight w:val="none"/>
        </w:rPr>
        <w:t>采购文件</w:t>
      </w:r>
      <w:bookmarkEnd w:id="347"/>
      <w:bookmarkEnd w:id="348"/>
      <w:bookmarkEnd w:id="349"/>
      <w:bookmarkEnd w:id="350"/>
      <w:bookmarkEnd w:id="351"/>
      <w:bookmarkEnd w:id="352"/>
      <w:bookmarkEnd w:id="353"/>
      <w:bookmarkEnd w:id="354"/>
      <w:bookmarkEnd w:id="355"/>
      <w:bookmarkEnd w:id="356"/>
      <w:bookmarkEnd w:id="357"/>
      <w:bookmarkEnd w:id="358"/>
    </w:p>
    <w:p w14:paraId="3F89946B">
      <w:pPr>
        <w:pStyle w:val="5"/>
        <w:pageBreakBefore w:val="0"/>
        <w:widowControl w:val="0"/>
        <w:numPr>
          <w:ilvl w:val="0"/>
          <w:numId w:val="6"/>
        </w:numPr>
        <w:kinsoku/>
        <w:wordWrap/>
        <w:overflowPunct w:val="0"/>
        <w:topLinePunct w:val="0"/>
        <w:autoSpaceDE/>
        <w:autoSpaceDN/>
        <w:bidi w:val="0"/>
        <w:jc w:val="both"/>
        <w:rPr>
          <w:rFonts w:ascii="宋体" w:hAnsi="宋体" w:cs="宋体"/>
          <w:color w:val="auto"/>
          <w:sz w:val="21"/>
          <w:szCs w:val="21"/>
          <w:highlight w:val="none"/>
        </w:rPr>
      </w:pPr>
      <w:bookmarkStart w:id="359" w:name="_Toc16650"/>
      <w:bookmarkStart w:id="360" w:name="_Toc11489"/>
      <w:bookmarkStart w:id="361" w:name="_Toc19282"/>
      <w:bookmarkStart w:id="362" w:name="_Toc28516"/>
      <w:bookmarkStart w:id="363" w:name="_Toc31698"/>
      <w:bookmarkStart w:id="364" w:name="_Toc10638"/>
      <w:bookmarkStart w:id="365" w:name="_Toc25749"/>
      <w:bookmarkStart w:id="366" w:name="_Toc23196"/>
      <w:bookmarkStart w:id="367" w:name="_Toc28260"/>
      <w:bookmarkStart w:id="368" w:name="_Toc5066"/>
      <w:bookmarkStart w:id="369" w:name="_Toc25791"/>
      <w:bookmarkStart w:id="370" w:name="_Toc13431"/>
      <w:r>
        <w:rPr>
          <w:rFonts w:hint="eastAsia" w:ascii="宋体" w:hAnsi="宋体" w:cs="宋体"/>
          <w:color w:val="auto"/>
          <w:sz w:val="21"/>
          <w:szCs w:val="21"/>
          <w:highlight w:val="none"/>
        </w:rPr>
        <w:t>采购文件的组成</w:t>
      </w:r>
      <w:bookmarkEnd w:id="359"/>
      <w:bookmarkEnd w:id="360"/>
      <w:bookmarkEnd w:id="361"/>
      <w:bookmarkEnd w:id="362"/>
      <w:bookmarkEnd w:id="363"/>
      <w:bookmarkEnd w:id="364"/>
      <w:bookmarkEnd w:id="365"/>
      <w:bookmarkEnd w:id="366"/>
      <w:bookmarkEnd w:id="367"/>
      <w:bookmarkEnd w:id="368"/>
      <w:bookmarkEnd w:id="369"/>
      <w:bookmarkEnd w:id="370"/>
    </w:p>
    <w:p w14:paraId="666E5FA5">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采购文件包括：</w:t>
      </w:r>
    </w:p>
    <w:p w14:paraId="18E4688D">
      <w:pPr>
        <w:pageBreakBefore w:val="0"/>
        <w:widowControl w:val="0"/>
        <w:kinsoku/>
        <w:wordWrap/>
        <w:topLinePunct w:val="0"/>
        <w:autoSpaceDE/>
        <w:autoSpaceDN/>
        <w:bidi w:val="0"/>
        <w:adjustRightInd/>
        <w:snapToGrid/>
        <w:jc w:val="both"/>
        <w:rPr>
          <w:rFonts w:ascii="宋体" w:hAnsi="宋体" w:cs="宋体"/>
          <w:color w:val="auto"/>
          <w:szCs w:val="21"/>
          <w:highlight w:val="none"/>
        </w:rPr>
      </w:pPr>
      <w:r>
        <w:rPr>
          <w:rFonts w:hint="eastAsia" w:ascii="宋体" w:hAnsi="宋体" w:cs="宋体"/>
          <w:color w:val="auto"/>
          <w:szCs w:val="21"/>
          <w:highlight w:val="none"/>
        </w:rPr>
        <w:t>（1）投标邀请书；</w:t>
      </w:r>
    </w:p>
    <w:p w14:paraId="3EEF297F">
      <w:pPr>
        <w:pageBreakBefore w:val="0"/>
        <w:widowControl w:val="0"/>
        <w:kinsoku/>
        <w:wordWrap/>
        <w:topLinePunct w:val="0"/>
        <w:autoSpaceDE/>
        <w:autoSpaceDN/>
        <w:bidi w:val="0"/>
        <w:adjustRightInd/>
        <w:snapToGrid/>
        <w:jc w:val="both"/>
        <w:rPr>
          <w:rFonts w:ascii="宋体" w:hAnsi="宋体" w:cs="宋体"/>
          <w:color w:val="auto"/>
          <w:szCs w:val="21"/>
          <w:highlight w:val="none"/>
        </w:rPr>
      </w:pPr>
      <w:r>
        <w:rPr>
          <w:rFonts w:hint="eastAsia" w:ascii="宋体" w:hAnsi="宋体" w:cs="宋体"/>
          <w:color w:val="auto"/>
          <w:szCs w:val="21"/>
          <w:highlight w:val="none"/>
        </w:rPr>
        <w:t>（2）投标资料表；</w:t>
      </w:r>
    </w:p>
    <w:p w14:paraId="655A9755">
      <w:pPr>
        <w:pageBreakBefore w:val="0"/>
        <w:widowControl w:val="0"/>
        <w:kinsoku/>
        <w:wordWrap/>
        <w:topLinePunct w:val="0"/>
        <w:autoSpaceDE/>
        <w:autoSpaceDN/>
        <w:bidi w:val="0"/>
        <w:adjustRightInd/>
        <w:snapToGrid/>
        <w:jc w:val="both"/>
        <w:rPr>
          <w:rFonts w:ascii="宋体" w:hAnsi="宋体" w:cs="宋体"/>
          <w:color w:val="auto"/>
          <w:szCs w:val="21"/>
          <w:highlight w:val="none"/>
        </w:rPr>
      </w:pPr>
      <w:r>
        <w:rPr>
          <w:rFonts w:hint="eastAsia" w:ascii="宋体" w:hAnsi="宋体" w:cs="宋体"/>
          <w:color w:val="auto"/>
          <w:szCs w:val="21"/>
          <w:highlight w:val="none"/>
        </w:rPr>
        <w:t>（3）用户需求书；</w:t>
      </w:r>
    </w:p>
    <w:p w14:paraId="4A414A5F">
      <w:pPr>
        <w:pageBreakBefore w:val="0"/>
        <w:widowControl w:val="0"/>
        <w:kinsoku/>
        <w:wordWrap/>
        <w:topLinePunct w:val="0"/>
        <w:autoSpaceDE/>
        <w:autoSpaceDN/>
        <w:bidi w:val="0"/>
        <w:adjustRightInd/>
        <w:snapToGrid/>
        <w:jc w:val="both"/>
        <w:rPr>
          <w:rFonts w:ascii="宋体" w:hAnsi="宋体" w:cs="宋体"/>
          <w:color w:val="auto"/>
          <w:szCs w:val="21"/>
          <w:highlight w:val="none"/>
        </w:rPr>
      </w:pPr>
      <w:r>
        <w:rPr>
          <w:rFonts w:hint="eastAsia" w:ascii="宋体" w:hAnsi="宋体" w:cs="宋体"/>
          <w:color w:val="auto"/>
          <w:szCs w:val="21"/>
          <w:highlight w:val="none"/>
        </w:rPr>
        <w:t>（4）投标人须知；</w:t>
      </w:r>
    </w:p>
    <w:p w14:paraId="2A49C7A0">
      <w:pPr>
        <w:pageBreakBefore w:val="0"/>
        <w:widowControl w:val="0"/>
        <w:kinsoku/>
        <w:wordWrap/>
        <w:topLinePunct w:val="0"/>
        <w:autoSpaceDE/>
        <w:autoSpaceDN/>
        <w:bidi w:val="0"/>
        <w:adjustRightInd/>
        <w:snapToGrid/>
        <w:jc w:val="both"/>
        <w:rPr>
          <w:rFonts w:ascii="宋体" w:hAnsi="宋体" w:cs="宋体"/>
          <w:color w:val="auto"/>
          <w:szCs w:val="21"/>
          <w:highlight w:val="none"/>
        </w:rPr>
      </w:pPr>
      <w:r>
        <w:rPr>
          <w:rFonts w:hint="eastAsia" w:ascii="宋体" w:hAnsi="宋体" w:cs="宋体"/>
          <w:color w:val="auto"/>
          <w:szCs w:val="21"/>
          <w:highlight w:val="none"/>
        </w:rPr>
        <w:t>（5）拟签订的合同文本；</w:t>
      </w:r>
    </w:p>
    <w:p w14:paraId="2DFB3B60">
      <w:pPr>
        <w:pageBreakBefore w:val="0"/>
        <w:widowControl w:val="0"/>
        <w:kinsoku/>
        <w:wordWrap/>
        <w:topLinePunct w:val="0"/>
        <w:autoSpaceDE/>
        <w:autoSpaceDN/>
        <w:bidi w:val="0"/>
        <w:adjustRightInd/>
        <w:snapToGrid/>
        <w:jc w:val="both"/>
        <w:rPr>
          <w:rFonts w:ascii="宋体" w:hAnsi="宋体" w:cs="宋体"/>
          <w:color w:val="auto"/>
          <w:szCs w:val="21"/>
          <w:highlight w:val="none"/>
        </w:rPr>
      </w:pPr>
      <w:r>
        <w:rPr>
          <w:rFonts w:hint="eastAsia" w:ascii="宋体" w:hAnsi="宋体" w:cs="宋体"/>
          <w:color w:val="auto"/>
          <w:szCs w:val="21"/>
          <w:highlight w:val="none"/>
        </w:rPr>
        <w:t>（6）投标文件格式；</w:t>
      </w:r>
    </w:p>
    <w:p w14:paraId="71755FFF">
      <w:pPr>
        <w:pageBreakBefore w:val="0"/>
        <w:widowControl w:val="0"/>
        <w:kinsoku/>
        <w:wordWrap/>
        <w:topLinePunct w:val="0"/>
        <w:autoSpaceDE/>
        <w:autoSpaceDN/>
        <w:bidi w:val="0"/>
        <w:adjustRightInd/>
        <w:snapToGrid/>
        <w:jc w:val="both"/>
        <w:rPr>
          <w:rFonts w:ascii="宋体" w:hAnsi="宋体" w:cs="宋体"/>
          <w:color w:val="auto"/>
          <w:szCs w:val="21"/>
          <w:highlight w:val="none"/>
        </w:rPr>
      </w:pPr>
      <w:r>
        <w:rPr>
          <w:rFonts w:hint="eastAsia" w:ascii="宋体" w:hAnsi="宋体" w:cs="宋体"/>
          <w:color w:val="auto"/>
          <w:szCs w:val="21"/>
          <w:highlight w:val="none"/>
        </w:rPr>
        <w:t>（7）在采购过程中由采购代理机构发出的澄清更正文件等。</w:t>
      </w:r>
    </w:p>
    <w:p w14:paraId="393E5975">
      <w:pPr>
        <w:pageBreakBefore w:val="0"/>
        <w:kinsoku/>
        <w:wordWrap/>
        <w:topLinePunct w:val="0"/>
        <w:autoSpaceDE/>
        <w:autoSpaceDN/>
        <w:bidi w:val="0"/>
        <w:jc w:val="both"/>
        <w:rPr>
          <w:rFonts w:ascii="宋体" w:hAnsi="宋体" w:cs="宋体"/>
          <w:color w:val="auto"/>
          <w:highlight w:val="none"/>
        </w:rPr>
      </w:pPr>
    </w:p>
    <w:p w14:paraId="674637BB">
      <w:pPr>
        <w:pStyle w:val="5"/>
        <w:pageBreakBefore w:val="0"/>
        <w:widowControl w:val="0"/>
        <w:numPr>
          <w:ilvl w:val="0"/>
          <w:numId w:val="6"/>
        </w:numPr>
        <w:kinsoku/>
        <w:wordWrap/>
        <w:overflowPunct w:val="0"/>
        <w:topLinePunct w:val="0"/>
        <w:autoSpaceDE/>
        <w:autoSpaceDN/>
        <w:bidi w:val="0"/>
        <w:jc w:val="both"/>
        <w:rPr>
          <w:rFonts w:ascii="宋体" w:hAnsi="宋体" w:cs="宋体"/>
          <w:color w:val="auto"/>
          <w:sz w:val="21"/>
          <w:szCs w:val="21"/>
          <w:highlight w:val="none"/>
        </w:rPr>
      </w:pPr>
      <w:bookmarkStart w:id="371" w:name="_Toc17738"/>
      <w:bookmarkStart w:id="372" w:name="_Toc734"/>
      <w:bookmarkStart w:id="373" w:name="_Toc23593"/>
      <w:bookmarkStart w:id="374" w:name="_Toc4658"/>
      <w:bookmarkStart w:id="375" w:name="_Toc26418"/>
      <w:bookmarkStart w:id="376" w:name="_Toc17063"/>
      <w:bookmarkStart w:id="377" w:name="_Toc12976"/>
      <w:bookmarkStart w:id="378" w:name="_Toc4548"/>
      <w:bookmarkStart w:id="379" w:name="_Toc21392"/>
      <w:bookmarkStart w:id="380" w:name="_Toc5958"/>
      <w:bookmarkStart w:id="381" w:name="_Toc17792"/>
      <w:bookmarkStart w:id="382" w:name="_Toc25898"/>
      <w:r>
        <w:rPr>
          <w:rFonts w:hint="eastAsia" w:ascii="宋体" w:hAnsi="宋体" w:cs="宋体"/>
          <w:color w:val="auto"/>
          <w:sz w:val="21"/>
          <w:szCs w:val="21"/>
          <w:highlight w:val="none"/>
        </w:rPr>
        <w:t>采购文件的澄清或修改</w:t>
      </w:r>
      <w:bookmarkEnd w:id="371"/>
      <w:bookmarkEnd w:id="372"/>
      <w:bookmarkEnd w:id="373"/>
      <w:bookmarkEnd w:id="374"/>
      <w:bookmarkEnd w:id="375"/>
      <w:bookmarkEnd w:id="376"/>
      <w:bookmarkEnd w:id="377"/>
      <w:bookmarkEnd w:id="378"/>
      <w:bookmarkEnd w:id="379"/>
      <w:bookmarkEnd w:id="380"/>
      <w:bookmarkEnd w:id="381"/>
      <w:bookmarkEnd w:id="382"/>
    </w:p>
    <w:p w14:paraId="6FF273AF">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人或者采购代理机构可以对已发出的采购文件、资格预审文件、投标邀请书进行必要的澄清或者修改。澄清或者修改的内容为采购文件、资格预审文件、投标邀请书的组成部分，具有约束作用。当采购文件、采购文件的澄清或修改等在同一内容的表述上不一致时，以最后发出的书面文件及公告为准。</w:t>
      </w:r>
    </w:p>
    <w:p w14:paraId="596ACC24">
      <w:pPr>
        <w:pageBreakBefore w:val="0"/>
        <w:widowControl w:val="0"/>
        <w:numPr>
          <w:ilvl w:val="1"/>
          <w:numId w:val="6"/>
        </w:numPr>
        <w:kinsoku/>
        <w:wordWrap/>
        <w:overflowPunct w:val="0"/>
        <w:topLinePunct w:val="0"/>
        <w:autoSpaceDE/>
        <w:autoSpaceDN/>
        <w:bidi w:val="0"/>
        <w:jc w:val="both"/>
        <w:rPr>
          <w:rFonts w:ascii="宋体" w:hAnsi="宋体" w:cs="宋体"/>
          <w:b/>
          <w:bCs/>
          <w:color w:val="auto"/>
          <w:szCs w:val="21"/>
          <w:highlight w:val="none"/>
        </w:rPr>
      </w:pPr>
      <w:r>
        <w:rPr>
          <w:rFonts w:hint="eastAsia" w:ascii="宋体" w:hAnsi="宋体" w:cs="宋体"/>
          <w:b/>
          <w:bCs/>
          <w:color w:val="auto"/>
          <w:szCs w:val="21"/>
          <w:highlight w:val="none"/>
        </w:rPr>
        <w:t>采购期间，投标人有义务上网查看，公告一经上网发布，即视为送达。因投标人未及时上网查看而造成的所有后果，由投标人自行承担。</w:t>
      </w:r>
    </w:p>
    <w:p w14:paraId="75847B10">
      <w:pPr>
        <w:pageBreakBefore w:val="0"/>
        <w:widowControl w:val="0"/>
        <w:kinsoku/>
        <w:wordWrap/>
        <w:topLinePunct w:val="0"/>
        <w:autoSpaceDE/>
        <w:autoSpaceDN/>
        <w:bidi w:val="0"/>
        <w:adjustRightInd/>
        <w:snapToGrid/>
        <w:ind w:left="567"/>
        <w:jc w:val="both"/>
        <w:rPr>
          <w:rFonts w:ascii="宋体" w:hAnsi="宋体" w:cs="宋体"/>
          <w:color w:val="auto"/>
          <w:szCs w:val="21"/>
          <w:highlight w:val="none"/>
        </w:rPr>
      </w:pPr>
    </w:p>
    <w:p w14:paraId="7E57A79C">
      <w:pPr>
        <w:pStyle w:val="4"/>
        <w:pageBreakBefore w:val="0"/>
        <w:numPr>
          <w:ilvl w:val="0"/>
          <w:numId w:val="5"/>
        </w:numPr>
        <w:kinsoku/>
        <w:wordWrap/>
        <w:topLinePunct w:val="0"/>
        <w:autoSpaceDE/>
        <w:autoSpaceDN/>
        <w:bidi w:val="0"/>
        <w:spacing w:before="0" w:after="0" w:line="360" w:lineRule="auto"/>
        <w:jc w:val="both"/>
        <w:rPr>
          <w:rFonts w:ascii="宋体" w:hAnsi="宋体" w:cs="宋体"/>
          <w:color w:val="auto"/>
          <w:highlight w:val="none"/>
        </w:rPr>
      </w:pPr>
      <w:bookmarkStart w:id="383" w:name="_Toc30447"/>
      <w:bookmarkStart w:id="384" w:name="_Toc11781"/>
      <w:bookmarkStart w:id="385" w:name="_Toc28459"/>
      <w:bookmarkStart w:id="386" w:name="_Toc19778"/>
      <w:bookmarkStart w:id="387" w:name="_Toc12343"/>
      <w:bookmarkStart w:id="388" w:name="_Toc7191"/>
      <w:bookmarkStart w:id="389" w:name="_Toc23320"/>
      <w:bookmarkStart w:id="390" w:name="_Toc31900"/>
      <w:bookmarkStart w:id="391" w:name="_Toc23021"/>
      <w:bookmarkStart w:id="392" w:name="_Toc8113"/>
      <w:bookmarkStart w:id="393" w:name="_Toc3418"/>
      <w:bookmarkStart w:id="394" w:name="_Toc11277"/>
      <w:r>
        <w:rPr>
          <w:rFonts w:hint="eastAsia" w:ascii="宋体" w:hAnsi="宋体" w:cs="宋体"/>
          <w:color w:val="auto"/>
          <w:highlight w:val="none"/>
        </w:rPr>
        <w:t>投标文件的编制</w:t>
      </w:r>
      <w:bookmarkEnd w:id="383"/>
      <w:bookmarkEnd w:id="384"/>
      <w:bookmarkEnd w:id="385"/>
      <w:bookmarkEnd w:id="386"/>
      <w:bookmarkEnd w:id="387"/>
      <w:bookmarkEnd w:id="388"/>
      <w:bookmarkEnd w:id="389"/>
      <w:bookmarkEnd w:id="390"/>
      <w:bookmarkEnd w:id="391"/>
      <w:bookmarkEnd w:id="392"/>
      <w:bookmarkEnd w:id="393"/>
      <w:bookmarkEnd w:id="394"/>
    </w:p>
    <w:p w14:paraId="584B7C25">
      <w:pPr>
        <w:pStyle w:val="5"/>
        <w:pageBreakBefore w:val="0"/>
        <w:widowControl w:val="0"/>
        <w:numPr>
          <w:ilvl w:val="0"/>
          <w:numId w:val="6"/>
        </w:numPr>
        <w:kinsoku/>
        <w:wordWrap/>
        <w:overflowPunct w:val="0"/>
        <w:topLinePunct w:val="0"/>
        <w:autoSpaceDE/>
        <w:autoSpaceDN/>
        <w:bidi w:val="0"/>
        <w:jc w:val="both"/>
        <w:rPr>
          <w:rFonts w:ascii="宋体" w:hAnsi="宋体" w:cs="宋体"/>
          <w:color w:val="auto"/>
          <w:sz w:val="21"/>
          <w:szCs w:val="21"/>
          <w:highlight w:val="none"/>
        </w:rPr>
      </w:pPr>
      <w:bookmarkStart w:id="395" w:name="_Toc2759"/>
      <w:bookmarkStart w:id="396" w:name="_Toc13787"/>
      <w:bookmarkStart w:id="397" w:name="_Toc25124"/>
      <w:bookmarkStart w:id="398" w:name="_Toc16938"/>
      <w:bookmarkStart w:id="399" w:name="_Toc24338"/>
      <w:bookmarkStart w:id="400" w:name="_Toc18869"/>
      <w:bookmarkStart w:id="401" w:name="_Toc14884"/>
      <w:bookmarkStart w:id="402" w:name="_Toc28426"/>
      <w:bookmarkStart w:id="403" w:name="_Toc5503"/>
      <w:bookmarkStart w:id="404" w:name="_Toc1489"/>
      <w:bookmarkStart w:id="405" w:name="_Toc19135"/>
      <w:bookmarkStart w:id="406" w:name="_Toc29865"/>
      <w:r>
        <w:rPr>
          <w:rFonts w:hint="eastAsia" w:ascii="宋体" w:hAnsi="宋体" w:cs="宋体"/>
          <w:color w:val="auto"/>
          <w:sz w:val="21"/>
          <w:szCs w:val="21"/>
          <w:highlight w:val="none"/>
        </w:rPr>
        <w:t>投标文件的语言及度量衡单位</w:t>
      </w:r>
      <w:bookmarkEnd w:id="395"/>
      <w:bookmarkEnd w:id="396"/>
      <w:bookmarkEnd w:id="397"/>
      <w:bookmarkEnd w:id="398"/>
      <w:bookmarkEnd w:id="399"/>
      <w:bookmarkEnd w:id="400"/>
      <w:bookmarkEnd w:id="401"/>
      <w:bookmarkEnd w:id="402"/>
      <w:bookmarkEnd w:id="403"/>
      <w:bookmarkEnd w:id="404"/>
      <w:bookmarkEnd w:id="405"/>
      <w:bookmarkEnd w:id="406"/>
    </w:p>
    <w:p w14:paraId="25C8A3DE">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提交的投标文件以及投标人与采购代理机构就有关投标的所有来往函件均应使用简体中文书写。投标人提交的支持资料和已印刷的文献可以用另一种语言，但相应内容应附有中文翻译本（中文译本应由翻译机构盖章或者翻译人员签名确认，否则按无效处理），在解释投标文件的修改内容时以中文翻译本为准。</w:t>
      </w:r>
    </w:p>
    <w:p w14:paraId="7876F28E">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除非采购文件在技术规格中另有规定，投标人在投标文件中及其与采购代理机构和采购人所有往来文件中的所有计量单位均应采用中华人民共和国法定计量单位。</w:t>
      </w:r>
    </w:p>
    <w:p w14:paraId="72B3172D">
      <w:pPr>
        <w:pageBreakBefore w:val="0"/>
        <w:widowControl w:val="0"/>
        <w:kinsoku/>
        <w:wordWrap/>
        <w:topLinePunct w:val="0"/>
        <w:autoSpaceDE/>
        <w:autoSpaceDN/>
        <w:bidi w:val="0"/>
        <w:adjustRightInd/>
        <w:snapToGrid/>
        <w:ind w:left="567"/>
        <w:jc w:val="both"/>
        <w:rPr>
          <w:rFonts w:ascii="宋体" w:hAnsi="宋体" w:cs="宋体"/>
          <w:color w:val="auto"/>
          <w:szCs w:val="21"/>
          <w:highlight w:val="none"/>
        </w:rPr>
      </w:pPr>
    </w:p>
    <w:p w14:paraId="75880817">
      <w:pPr>
        <w:pStyle w:val="5"/>
        <w:pageBreakBefore w:val="0"/>
        <w:widowControl w:val="0"/>
        <w:numPr>
          <w:ilvl w:val="0"/>
          <w:numId w:val="6"/>
        </w:numPr>
        <w:kinsoku/>
        <w:wordWrap/>
        <w:overflowPunct w:val="0"/>
        <w:topLinePunct w:val="0"/>
        <w:autoSpaceDE/>
        <w:autoSpaceDN/>
        <w:bidi w:val="0"/>
        <w:jc w:val="both"/>
        <w:rPr>
          <w:rFonts w:ascii="宋体" w:hAnsi="宋体" w:cs="宋体"/>
          <w:color w:val="auto"/>
          <w:sz w:val="21"/>
          <w:szCs w:val="21"/>
          <w:highlight w:val="none"/>
        </w:rPr>
      </w:pPr>
      <w:bookmarkStart w:id="407" w:name="_Toc382049103"/>
      <w:bookmarkStart w:id="408" w:name="_Toc1392"/>
      <w:bookmarkStart w:id="409" w:name="_Toc7493"/>
      <w:bookmarkStart w:id="410" w:name="_Toc32260"/>
      <w:bookmarkStart w:id="411" w:name="_Toc307934854"/>
      <w:bookmarkStart w:id="412" w:name="_Toc32085"/>
      <w:bookmarkStart w:id="413" w:name="_Toc303084256"/>
      <w:bookmarkStart w:id="414" w:name="_Toc2977"/>
      <w:bookmarkStart w:id="415" w:name="_Toc25638"/>
      <w:bookmarkStart w:id="416" w:name="_Toc9213"/>
      <w:bookmarkStart w:id="417" w:name="_Toc28866"/>
      <w:bookmarkStart w:id="418" w:name="_Toc13854"/>
      <w:bookmarkStart w:id="419" w:name="_Toc1831"/>
      <w:bookmarkStart w:id="420" w:name="_Toc17687"/>
      <w:bookmarkStart w:id="421" w:name="_Toc11466"/>
      <w:bookmarkStart w:id="422" w:name="_Toc4406"/>
      <w:r>
        <w:rPr>
          <w:rFonts w:hint="eastAsia" w:ascii="宋体" w:hAnsi="宋体" w:cs="宋体"/>
          <w:color w:val="auto"/>
          <w:sz w:val="21"/>
          <w:szCs w:val="21"/>
          <w:highlight w:val="none"/>
        </w:rPr>
        <w:t>投标文件的组成</w:t>
      </w:r>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p>
    <w:p w14:paraId="5D8283FE">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包括但不限于采购文件附件格式中要求提供的表格。</w:t>
      </w:r>
    </w:p>
    <w:p w14:paraId="744CD0E7">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上述文件须按顺序装订成册，并编制投标文件目录。除上述文件资料外投标人还须按投标人须知的要求制作“唱标信封”。“唱标信封”作为投标文件的一部分，但须单独密封。</w:t>
      </w:r>
    </w:p>
    <w:p w14:paraId="4EFC64DB">
      <w:pPr>
        <w:pageBreakBefore w:val="0"/>
        <w:kinsoku/>
        <w:wordWrap/>
        <w:topLinePunct w:val="0"/>
        <w:autoSpaceDE/>
        <w:autoSpaceDN/>
        <w:bidi w:val="0"/>
        <w:jc w:val="both"/>
        <w:rPr>
          <w:rFonts w:ascii="宋体" w:hAnsi="宋体" w:cs="宋体"/>
          <w:color w:val="auto"/>
          <w:highlight w:val="none"/>
        </w:rPr>
      </w:pPr>
    </w:p>
    <w:p w14:paraId="126E4AE3">
      <w:pPr>
        <w:pStyle w:val="5"/>
        <w:pageBreakBefore w:val="0"/>
        <w:widowControl w:val="0"/>
        <w:numPr>
          <w:ilvl w:val="0"/>
          <w:numId w:val="6"/>
        </w:numPr>
        <w:kinsoku/>
        <w:wordWrap/>
        <w:overflowPunct w:val="0"/>
        <w:topLinePunct w:val="0"/>
        <w:autoSpaceDE/>
        <w:autoSpaceDN/>
        <w:bidi w:val="0"/>
        <w:jc w:val="both"/>
        <w:rPr>
          <w:rFonts w:ascii="宋体" w:hAnsi="宋体" w:cs="宋体"/>
          <w:color w:val="auto"/>
          <w:sz w:val="21"/>
          <w:szCs w:val="21"/>
          <w:highlight w:val="none"/>
        </w:rPr>
      </w:pPr>
      <w:bookmarkStart w:id="423" w:name="_Toc755"/>
      <w:bookmarkStart w:id="424" w:name="_Toc20745"/>
      <w:bookmarkStart w:id="425" w:name="_Toc11443"/>
      <w:bookmarkStart w:id="426" w:name="_Toc19684"/>
      <w:bookmarkStart w:id="427" w:name="_Toc7517"/>
      <w:bookmarkStart w:id="428" w:name="_Toc4454"/>
      <w:bookmarkStart w:id="429" w:name="_Toc3611"/>
      <w:bookmarkStart w:id="430" w:name="_Toc11787"/>
      <w:bookmarkStart w:id="431" w:name="_Toc17518"/>
      <w:bookmarkStart w:id="432" w:name="_Toc7444"/>
      <w:bookmarkStart w:id="433" w:name="_Toc7081"/>
      <w:bookmarkStart w:id="434" w:name="_Toc968"/>
      <w:r>
        <w:rPr>
          <w:rFonts w:hint="eastAsia" w:ascii="宋体" w:hAnsi="宋体" w:cs="宋体"/>
          <w:color w:val="auto"/>
          <w:sz w:val="21"/>
          <w:szCs w:val="21"/>
          <w:highlight w:val="none"/>
        </w:rPr>
        <w:t>投标文件编制</w:t>
      </w:r>
      <w:bookmarkEnd w:id="423"/>
      <w:bookmarkEnd w:id="424"/>
      <w:bookmarkEnd w:id="425"/>
      <w:bookmarkEnd w:id="426"/>
      <w:bookmarkEnd w:id="427"/>
      <w:bookmarkEnd w:id="428"/>
      <w:bookmarkEnd w:id="429"/>
      <w:bookmarkEnd w:id="430"/>
      <w:bookmarkEnd w:id="431"/>
      <w:bookmarkEnd w:id="432"/>
      <w:bookmarkEnd w:id="433"/>
      <w:bookmarkEnd w:id="434"/>
    </w:p>
    <w:p w14:paraId="0624263E">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bookmarkStart w:id="435" w:name="_Toc303084258"/>
      <w:r>
        <w:rPr>
          <w:rFonts w:hint="eastAsia" w:ascii="宋体" w:hAnsi="宋体" w:cs="宋体"/>
          <w:color w:val="auto"/>
          <w:szCs w:val="21"/>
          <w:highlight w:val="none"/>
        </w:rPr>
        <w:t>投标人应按采购文件的规定以及附件要求的内容和格式完整地填写（表格可以按同样格式扩展）和提供资料，投标人必须对投标文件所提供的全部材料的真实性承担法律责任，并无条件接受采购人或采购代理机构对其中任何资料进行核实的要求。</w:t>
      </w:r>
    </w:p>
    <w:p w14:paraId="7C02A522">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因投标文件编制存在歧义对投标人产生负面影响的，投标人自行承担后果。</w:t>
      </w:r>
    </w:p>
    <w:p w14:paraId="7AAB58A0">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投标单位名称与投标人公章不一致，若投标单位名称已进行变更，应在投标文件中提供相应的证明材料并加盖公章，否则投标文件无效。</w:t>
      </w:r>
    </w:p>
    <w:p w14:paraId="19137E72">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投标文件密封、标记及内容与本项目采购信息不符，导致无法分辨所投项目为本项目的，投标文件无效。</w:t>
      </w:r>
    </w:p>
    <w:p w14:paraId="1ACDB082">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投标人须客观撰写投标人简介（格式自理，并提供相关证明）以及所投的产品或服务说明。</w:t>
      </w:r>
    </w:p>
    <w:p w14:paraId="4FB8BA65">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投标文件若出现以下内容，经评标委员会认定有可能间接影响评审秩序，作废标处理。</w:t>
      </w:r>
    </w:p>
    <w:p w14:paraId="7E4AFF33">
      <w:pPr>
        <w:pStyle w:val="39"/>
        <w:pageBreakBefore w:val="0"/>
        <w:widowControl w:val="0"/>
        <w:numPr>
          <w:ilvl w:val="0"/>
          <w:numId w:val="7"/>
        </w:numPr>
        <w:kinsoku/>
        <w:wordWrap/>
        <w:topLinePunct w:val="0"/>
        <w:autoSpaceDE/>
        <w:autoSpaceDN/>
        <w:bidi w:val="0"/>
        <w:adjustRightInd/>
        <w:snapToGrid/>
        <w:ind w:firstLineChars="0"/>
        <w:jc w:val="both"/>
        <w:rPr>
          <w:rFonts w:ascii="宋体" w:hAnsi="宋体" w:cs="宋体"/>
          <w:color w:val="auto"/>
          <w:szCs w:val="21"/>
          <w:highlight w:val="none"/>
        </w:rPr>
      </w:pPr>
      <w:r>
        <w:rPr>
          <w:rFonts w:hint="eastAsia" w:ascii="宋体" w:hAnsi="宋体" w:cs="宋体"/>
          <w:color w:val="auto"/>
          <w:szCs w:val="21"/>
          <w:highlight w:val="none"/>
        </w:rPr>
        <w:t>投标文件内出现无官方证明文件的行业地域排名或使用“国家级”、“最高级”、“最佳”等用语字眼的。</w:t>
      </w:r>
    </w:p>
    <w:p w14:paraId="48D92C2E">
      <w:pPr>
        <w:pStyle w:val="39"/>
        <w:pageBreakBefore w:val="0"/>
        <w:widowControl w:val="0"/>
        <w:numPr>
          <w:ilvl w:val="0"/>
          <w:numId w:val="7"/>
        </w:numPr>
        <w:kinsoku/>
        <w:wordWrap/>
        <w:topLinePunct w:val="0"/>
        <w:autoSpaceDE/>
        <w:autoSpaceDN/>
        <w:bidi w:val="0"/>
        <w:adjustRightInd/>
        <w:snapToGrid/>
        <w:ind w:firstLineChars="0"/>
        <w:jc w:val="both"/>
        <w:rPr>
          <w:rFonts w:ascii="宋体" w:hAnsi="宋体" w:cs="宋体"/>
          <w:color w:val="auto"/>
          <w:szCs w:val="21"/>
          <w:highlight w:val="none"/>
        </w:rPr>
      </w:pPr>
      <w:r>
        <w:rPr>
          <w:rFonts w:hint="eastAsia" w:ascii="宋体" w:hAnsi="宋体" w:cs="宋体"/>
          <w:color w:val="auto"/>
          <w:szCs w:val="21"/>
          <w:highlight w:val="none"/>
        </w:rPr>
        <w:t>投标文件内出现恶意诋毁、贬低其他生产经营者的商品或者服务的内容。</w:t>
      </w:r>
    </w:p>
    <w:p w14:paraId="239DDE2B">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有下列情形之一的，视为投标人串通投标，其投标无效：</w:t>
      </w:r>
    </w:p>
    <w:p w14:paraId="52F47DD6">
      <w:pPr>
        <w:pageBreakBefore w:val="0"/>
        <w:widowControl w:val="0"/>
        <w:kinsoku/>
        <w:wordWrap/>
        <w:topLinePunct w:val="0"/>
        <w:autoSpaceDE/>
        <w:autoSpaceDN/>
        <w:bidi w:val="0"/>
        <w:adjustRightInd/>
        <w:snapToGrid/>
        <w:ind w:firstLine="420" w:firstLineChars="200"/>
        <w:jc w:val="both"/>
        <w:rPr>
          <w:rFonts w:ascii="宋体" w:hAnsi="宋体" w:cs="宋体"/>
          <w:color w:val="auto"/>
          <w:szCs w:val="21"/>
          <w:highlight w:val="none"/>
        </w:rPr>
      </w:pPr>
      <w:r>
        <w:rPr>
          <w:rFonts w:hint="eastAsia" w:ascii="宋体" w:hAnsi="宋体" w:cs="宋体"/>
          <w:color w:val="auto"/>
          <w:szCs w:val="21"/>
          <w:highlight w:val="none"/>
        </w:rPr>
        <w:t>（1）不同投标人的投标文件由同一单位或者个人编制；</w:t>
      </w:r>
    </w:p>
    <w:p w14:paraId="545EA13B">
      <w:pPr>
        <w:pageBreakBefore w:val="0"/>
        <w:widowControl w:val="0"/>
        <w:kinsoku/>
        <w:wordWrap/>
        <w:topLinePunct w:val="0"/>
        <w:autoSpaceDE/>
        <w:autoSpaceDN/>
        <w:bidi w:val="0"/>
        <w:adjustRightInd/>
        <w:snapToGrid/>
        <w:ind w:firstLine="420" w:firstLineChars="200"/>
        <w:jc w:val="both"/>
        <w:rPr>
          <w:rFonts w:ascii="宋体" w:hAnsi="宋体" w:cs="宋体"/>
          <w:color w:val="auto"/>
          <w:szCs w:val="21"/>
          <w:highlight w:val="none"/>
        </w:rPr>
      </w:pPr>
      <w:r>
        <w:rPr>
          <w:rFonts w:hint="eastAsia" w:ascii="宋体" w:hAnsi="宋体" w:cs="宋体"/>
          <w:color w:val="auto"/>
          <w:szCs w:val="21"/>
          <w:highlight w:val="none"/>
        </w:rPr>
        <w:t>（2）不同投标人委托同一单位或者个人办理投标事宜；</w:t>
      </w:r>
    </w:p>
    <w:p w14:paraId="3D4DF0E4">
      <w:pPr>
        <w:pageBreakBefore w:val="0"/>
        <w:widowControl w:val="0"/>
        <w:kinsoku/>
        <w:wordWrap/>
        <w:topLinePunct w:val="0"/>
        <w:autoSpaceDE/>
        <w:autoSpaceDN/>
        <w:bidi w:val="0"/>
        <w:adjustRightInd/>
        <w:snapToGrid/>
        <w:ind w:firstLine="420" w:firstLineChars="200"/>
        <w:jc w:val="both"/>
        <w:rPr>
          <w:rFonts w:ascii="宋体" w:hAnsi="宋体" w:cs="宋体"/>
          <w:color w:val="auto"/>
          <w:szCs w:val="21"/>
          <w:highlight w:val="none"/>
        </w:rPr>
      </w:pPr>
      <w:r>
        <w:rPr>
          <w:rFonts w:hint="eastAsia" w:ascii="宋体" w:hAnsi="宋体" w:cs="宋体"/>
          <w:color w:val="auto"/>
          <w:szCs w:val="21"/>
          <w:highlight w:val="none"/>
        </w:rPr>
        <w:t>（3）不同投标人的投标文件载明的项目管理成员或者联系人员为同一人；</w:t>
      </w:r>
    </w:p>
    <w:p w14:paraId="1606E0E0">
      <w:pPr>
        <w:pageBreakBefore w:val="0"/>
        <w:widowControl w:val="0"/>
        <w:kinsoku/>
        <w:wordWrap/>
        <w:topLinePunct w:val="0"/>
        <w:autoSpaceDE/>
        <w:autoSpaceDN/>
        <w:bidi w:val="0"/>
        <w:adjustRightInd/>
        <w:snapToGrid/>
        <w:ind w:firstLine="420" w:firstLineChars="200"/>
        <w:jc w:val="both"/>
        <w:rPr>
          <w:rFonts w:ascii="宋体" w:hAnsi="宋体" w:cs="宋体"/>
          <w:color w:val="auto"/>
          <w:szCs w:val="21"/>
          <w:highlight w:val="none"/>
        </w:rPr>
      </w:pPr>
      <w:r>
        <w:rPr>
          <w:rFonts w:hint="eastAsia" w:ascii="宋体" w:hAnsi="宋体" w:cs="宋体"/>
          <w:color w:val="auto"/>
          <w:szCs w:val="21"/>
          <w:highlight w:val="none"/>
        </w:rPr>
        <w:t>（4）不同投标人的投标文件异常一致或者投标报价呈规律性差异；</w:t>
      </w:r>
    </w:p>
    <w:p w14:paraId="16DA8008">
      <w:pPr>
        <w:pageBreakBefore w:val="0"/>
        <w:widowControl w:val="0"/>
        <w:kinsoku/>
        <w:wordWrap/>
        <w:topLinePunct w:val="0"/>
        <w:autoSpaceDE/>
        <w:autoSpaceDN/>
        <w:bidi w:val="0"/>
        <w:adjustRightInd/>
        <w:snapToGrid/>
        <w:ind w:firstLine="420" w:firstLineChars="200"/>
        <w:jc w:val="both"/>
        <w:rPr>
          <w:rFonts w:ascii="宋体" w:hAnsi="宋体" w:cs="宋体"/>
          <w:color w:val="auto"/>
          <w:szCs w:val="21"/>
          <w:highlight w:val="none"/>
        </w:rPr>
      </w:pPr>
      <w:r>
        <w:rPr>
          <w:rFonts w:hint="eastAsia" w:ascii="宋体" w:hAnsi="宋体" w:cs="宋体"/>
          <w:color w:val="auto"/>
          <w:szCs w:val="21"/>
          <w:highlight w:val="none"/>
        </w:rPr>
        <w:t>（5）不同投标人的投标文件相互混装；</w:t>
      </w:r>
    </w:p>
    <w:p w14:paraId="08AB8FA5">
      <w:pPr>
        <w:pageBreakBefore w:val="0"/>
        <w:widowControl w:val="0"/>
        <w:kinsoku/>
        <w:wordWrap/>
        <w:topLinePunct w:val="0"/>
        <w:autoSpaceDE/>
        <w:autoSpaceDN/>
        <w:bidi w:val="0"/>
        <w:adjustRightInd/>
        <w:snapToGrid/>
        <w:ind w:firstLine="420" w:firstLineChars="200"/>
        <w:jc w:val="both"/>
        <w:rPr>
          <w:rFonts w:hint="eastAsia" w:ascii="宋体" w:hAnsi="宋体" w:cs="宋体"/>
          <w:color w:val="auto"/>
          <w:szCs w:val="21"/>
          <w:highlight w:val="none"/>
        </w:rPr>
      </w:pPr>
      <w:r>
        <w:rPr>
          <w:rFonts w:hint="eastAsia" w:ascii="宋体" w:hAnsi="宋体" w:cs="宋体"/>
          <w:color w:val="auto"/>
          <w:szCs w:val="21"/>
          <w:highlight w:val="none"/>
        </w:rPr>
        <w:t>（6）不同投标人的投标保证金从同一单位或者个人的账户转出。</w:t>
      </w:r>
    </w:p>
    <w:p w14:paraId="41217BFB">
      <w:pPr>
        <w:pageBreakBefore w:val="0"/>
        <w:widowControl w:val="0"/>
        <w:numPr>
          <w:ilvl w:val="1"/>
          <w:numId w:val="6"/>
        </w:numPr>
        <w:kinsoku/>
        <w:wordWrap/>
        <w:overflowPunct w:val="0"/>
        <w:topLinePunct w:val="0"/>
        <w:autoSpaceDE/>
        <w:autoSpaceDN/>
        <w:bidi w:val="0"/>
        <w:jc w:val="both"/>
        <w:rPr>
          <w:rFonts w:ascii="宋体" w:hAnsi="宋体" w:cs="宋体"/>
          <w:b/>
          <w:bCs/>
          <w:color w:val="auto"/>
          <w:szCs w:val="21"/>
          <w:highlight w:val="none"/>
        </w:rPr>
      </w:pPr>
      <w:r>
        <w:rPr>
          <w:rFonts w:hint="eastAsia" w:ascii="宋体" w:hAnsi="宋体" w:cs="宋体"/>
          <w:b/>
          <w:bCs/>
          <w:color w:val="auto"/>
          <w:szCs w:val="21"/>
          <w:highlight w:val="none"/>
        </w:rPr>
        <w:t>投标人如同时投取本项目多个标段的，应当按照采购文件要求分别制作对应标段的投标文件，分标段提交投标文件</w:t>
      </w:r>
      <w:r>
        <w:rPr>
          <w:rFonts w:hint="eastAsia" w:ascii="宋体" w:hAnsi="宋体" w:cs="宋体"/>
          <w:b/>
          <w:bCs/>
          <w:color w:val="auto"/>
          <w:szCs w:val="21"/>
          <w:highlight w:val="none"/>
          <w:lang w:val="en-US" w:eastAsia="zh-CN"/>
        </w:rPr>
        <w:t>及按标段缴纳对应的投标保证金</w:t>
      </w:r>
      <w:r>
        <w:rPr>
          <w:rFonts w:hint="eastAsia" w:ascii="宋体" w:hAnsi="宋体" w:cs="宋体"/>
          <w:b/>
          <w:bCs/>
          <w:color w:val="auto"/>
          <w:szCs w:val="21"/>
          <w:highlight w:val="none"/>
        </w:rPr>
        <w:t>。</w:t>
      </w:r>
    </w:p>
    <w:bookmarkEnd w:id="435"/>
    <w:p w14:paraId="465A1B97">
      <w:pPr>
        <w:pageBreakBefore w:val="0"/>
        <w:kinsoku/>
        <w:wordWrap/>
        <w:topLinePunct w:val="0"/>
        <w:autoSpaceDE/>
        <w:autoSpaceDN/>
        <w:bidi w:val="0"/>
        <w:jc w:val="both"/>
        <w:rPr>
          <w:rFonts w:ascii="宋体" w:hAnsi="宋体" w:cs="宋体"/>
          <w:color w:val="auto"/>
          <w:highlight w:val="none"/>
        </w:rPr>
      </w:pPr>
    </w:p>
    <w:p w14:paraId="4CD9D8C3">
      <w:pPr>
        <w:pStyle w:val="5"/>
        <w:pageBreakBefore w:val="0"/>
        <w:widowControl w:val="0"/>
        <w:numPr>
          <w:ilvl w:val="0"/>
          <w:numId w:val="6"/>
        </w:numPr>
        <w:kinsoku/>
        <w:wordWrap/>
        <w:overflowPunct w:val="0"/>
        <w:topLinePunct w:val="0"/>
        <w:autoSpaceDE/>
        <w:autoSpaceDN/>
        <w:bidi w:val="0"/>
        <w:jc w:val="both"/>
        <w:rPr>
          <w:rFonts w:ascii="宋体" w:hAnsi="宋体" w:cs="宋体"/>
          <w:color w:val="auto"/>
          <w:sz w:val="21"/>
          <w:szCs w:val="21"/>
          <w:highlight w:val="none"/>
        </w:rPr>
      </w:pPr>
      <w:bookmarkStart w:id="436" w:name="_Toc10815"/>
      <w:bookmarkStart w:id="437" w:name="_Toc19058"/>
      <w:bookmarkStart w:id="438" w:name="_Toc2772"/>
      <w:bookmarkStart w:id="439" w:name="_Toc27306"/>
      <w:bookmarkStart w:id="440" w:name="_Toc28366"/>
      <w:bookmarkStart w:id="441" w:name="_Toc6154"/>
      <w:bookmarkStart w:id="442" w:name="_Toc17635"/>
      <w:bookmarkStart w:id="443" w:name="_Toc10074"/>
      <w:bookmarkStart w:id="444" w:name="_Toc15145"/>
      <w:bookmarkStart w:id="445" w:name="_Toc16031"/>
      <w:bookmarkStart w:id="446" w:name="_Toc8482"/>
      <w:bookmarkStart w:id="447" w:name="_Toc10268"/>
      <w:r>
        <w:rPr>
          <w:rFonts w:hint="eastAsia" w:ascii="宋体" w:hAnsi="宋体" w:cs="宋体"/>
          <w:color w:val="auto"/>
          <w:sz w:val="21"/>
          <w:szCs w:val="21"/>
          <w:highlight w:val="none"/>
        </w:rPr>
        <w:t>投标报价说明</w:t>
      </w:r>
      <w:bookmarkEnd w:id="436"/>
      <w:bookmarkEnd w:id="437"/>
      <w:bookmarkEnd w:id="438"/>
      <w:bookmarkEnd w:id="439"/>
      <w:bookmarkEnd w:id="440"/>
      <w:bookmarkEnd w:id="441"/>
      <w:bookmarkEnd w:id="442"/>
      <w:bookmarkEnd w:id="443"/>
      <w:bookmarkEnd w:id="444"/>
      <w:bookmarkEnd w:id="445"/>
      <w:bookmarkEnd w:id="446"/>
      <w:bookmarkEnd w:id="447"/>
    </w:p>
    <w:p w14:paraId="044774BB">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本次采购，投标人应按用户需求中的要求进行投标报价，少报无效。</w:t>
      </w:r>
    </w:p>
    <w:p w14:paraId="6B1B7801">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投标人所提供的货物或服务均以人民币（或相关费率）报价。</w:t>
      </w:r>
    </w:p>
    <w:p w14:paraId="77B651ED">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投标报价应包含完成本次采购所有服务内容的费用，包含各种税务费及合同实施过程中的全部费用和售后服务费等。</w:t>
      </w:r>
    </w:p>
    <w:p w14:paraId="429E23AD">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评标委员会认为投标人的报价明显低于其他通过符合性审查投标人的报价，有可能影响产品质量或者不能诚信履约的，应当要求其在评标现场合理的时间内提供书面说明，必要时提交相关证明材料；投标人不能证明其报价合理性的，评标委员会应当将其作为无效投标处理。</w:t>
      </w:r>
    </w:p>
    <w:p w14:paraId="59B6AADF">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中标后开出的所有发票必须与</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的名称一致。</w:t>
      </w:r>
    </w:p>
    <w:p w14:paraId="0B8525A7">
      <w:pPr>
        <w:pageBreakBefore w:val="0"/>
        <w:kinsoku/>
        <w:wordWrap/>
        <w:topLinePunct w:val="0"/>
        <w:autoSpaceDE/>
        <w:autoSpaceDN/>
        <w:bidi w:val="0"/>
        <w:jc w:val="both"/>
        <w:rPr>
          <w:rFonts w:ascii="宋体" w:hAnsi="宋体" w:cs="宋体"/>
          <w:color w:val="auto"/>
          <w:highlight w:val="none"/>
        </w:rPr>
      </w:pPr>
    </w:p>
    <w:p w14:paraId="76717FBD">
      <w:pPr>
        <w:pStyle w:val="5"/>
        <w:pageBreakBefore w:val="0"/>
        <w:widowControl w:val="0"/>
        <w:numPr>
          <w:ilvl w:val="0"/>
          <w:numId w:val="6"/>
        </w:numPr>
        <w:kinsoku/>
        <w:wordWrap/>
        <w:overflowPunct w:val="0"/>
        <w:topLinePunct w:val="0"/>
        <w:autoSpaceDE/>
        <w:autoSpaceDN/>
        <w:bidi w:val="0"/>
        <w:jc w:val="both"/>
        <w:rPr>
          <w:rFonts w:ascii="宋体" w:hAnsi="宋体" w:cs="宋体"/>
          <w:color w:val="auto"/>
          <w:sz w:val="21"/>
          <w:szCs w:val="21"/>
          <w:highlight w:val="none"/>
        </w:rPr>
      </w:pPr>
      <w:bookmarkStart w:id="448" w:name="_Toc14105"/>
      <w:bookmarkStart w:id="449" w:name="_Toc1547"/>
      <w:bookmarkStart w:id="450" w:name="_Toc17669"/>
      <w:bookmarkStart w:id="451" w:name="_Toc7482"/>
      <w:bookmarkStart w:id="452" w:name="_Toc7257"/>
      <w:bookmarkStart w:id="453" w:name="_Toc30516"/>
      <w:bookmarkStart w:id="454" w:name="_Toc24984"/>
      <w:bookmarkStart w:id="455" w:name="_Toc5695"/>
      <w:bookmarkStart w:id="456" w:name="_Toc9007"/>
      <w:bookmarkStart w:id="457" w:name="_Toc3461"/>
      <w:bookmarkStart w:id="458" w:name="_Toc31169"/>
      <w:bookmarkStart w:id="459" w:name="_Toc31281"/>
      <w:r>
        <w:rPr>
          <w:rFonts w:hint="eastAsia" w:ascii="宋体" w:hAnsi="宋体" w:cs="宋体"/>
          <w:color w:val="auto"/>
          <w:sz w:val="21"/>
          <w:szCs w:val="21"/>
          <w:highlight w:val="none"/>
        </w:rPr>
        <w:t>投标人所提供的服务或货物的证明文件</w:t>
      </w:r>
      <w:bookmarkEnd w:id="448"/>
      <w:bookmarkEnd w:id="449"/>
      <w:bookmarkEnd w:id="450"/>
      <w:bookmarkEnd w:id="451"/>
      <w:bookmarkEnd w:id="452"/>
      <w:bookmarkEnd w:id="453"/>
      <w:bookmarkEnd w:id="454"/>
      <w:bookmarkEnd w:id="455"/>
      <w:bookmarkEnd w:id="456"/>
      <w:bookmarkEnd w:id="457"/>
      <w:bookmarkEnd w:id="458"/>
      <w:bookmarkEnd w:id="459"/>
    </w:p>
    <w:p w14:paraId="55CED689">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bookmarkStart w:id="460" w:name="_Hlt107925638"/>
      <w:bookmarkEnd w:id="460"/>
      <w:bookmarkStart w:id="461" w:name="_Hlt107925668"/>
      <w:bookmarkEnd w:id="461"/>
      <w:r>
        <w:rPr>
          <w:rFonts w:hint="eastAsia" w:ascii="宋体" w:hAnsi="宋体" w:cs="宋体"/>
          <w:color w:val="auto"/>
          <w:szCs w:val="21"/>
          <w:highlight w:val="none"/>
        </w:rPr>
        <w:t>证明服务或货物的文件，它可以是文字资料、图纸和数据包括但不限于：服务主要内容、标准、质量、人员资质、计划安排、报告审核等的详细说明；对采购文件第三部分《用户需求书》中规定的要求进行详细应答和说明。</w:t>
      </w:r>
    </w:p>
    <w:p w14:paraId="3C4FA6A4">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有下列情形之一的，视为投标人弄虚作假，其投标无效：</w:t>
      </w:r>
    </w:p>
    <w:p w14:paraId="077FA652">
      <w:pPr>
        <w:pStyle w:val="39"/>
        <w:pageBreakBefore w:val="0"/>
        <w:widowControl w:val="0"/>
        <w:kinsoku/>
        <w:wordWrap/>
        <w:topLinePunct w:val="0"/>
        <w:autoSpaceDE/>
        <w:autoSpaceDN/>
        <w:bidi w:val="0"/>
        <w:adjustRightInd/>
        <w:snapToGrid/>
        <w:ind w:left="425" w:firstLine="0" w:firstLineChars="0"/>
        <w:jc w:val="both"/>
        <w:rPr>
          <w:rFonts w:ascii="宋体" w:hAnsi="宋体" w:cs="宋体"/>
          <w:color w:val="auto"/>
          <w:highlight w:val="none"/>
        </w:rPr>
      </w:pPr>
      <w:r>
        <w:rPr>
          <w:rFonts w:hint="eastAsia" w:ascii="宋体" w:hAnsi="宋体" w:cs="宋体"/>
          <w:color w:val="auto"/>
          <w:highlight w:val="none"/>
        </w:rPr>
        <w:t>1、使用通过受让或者租借等方式获取的资格、资质证书投标的，属于以他人名义投标。</w:t>
      </w:r>
    </w:p>
    <w:p w14:paraId="5BF24DB4">
      <w:pPr>
        <w:pStyle w:val="39"/>
        <w:pageBreakBefore w:val="0"/>
        <w:widowControl w:val="0"/>
        <w:kinsoku/>
        <w:wordWrap/>
        <w:topLinePunct w:val="0"/>
        <w:autoSpaceDE/>
        <w:autoSpaceDN/>
        <w:bidi w:val="0"/>
        <w:adjustRightInd/>
        <w:snapToGrid/>
        <w:ind w:left="425" w:firstLine="0" w:firstLineChars="0"/>
        <w:jc w:val="both"/>
        <w:rPr>
          <w:rFonts w:ascii="宋体" w:hAnsi="宋体" w:cs="宋体"/>
          <w:color w:val="auto"/>
          <w:highlight w:val="none"/>
        </w:rPr>
      </w:pPr>
      <w:r>
        <w:rPr>
          <w:rFonts w:hint="eastAsia" w:ascii="宋体" w:hAnsi="宋体" w:cs="宋体"/>
          <w:color w:val="auto"/>
          <w:highlight w:val="none"/>
        </w:rPr>
        <w:t>2、投标人有下列情形之一的，属于以其他方式弄虚作假的行为：</w:t>
      </w:r>
    </w:p>
    <w:p w14:paraId="46B74C45">
      <w:pPr>
        <w:pStyle w:val="39"/>
        <w:pageBreakBefore w:val="0"/>
        <w:widowControl w:val="0"/>
        <w:kinsoku/>
        <w:wordWrap/>
        <w:topLinePunct w:val="0"/>
        <w:autoSpaceDE/>
        <w:autoSpaceDN/>
        <w:bidi w:val="0"/>
        <w:adjustRightInd/>
        <w:snapToGrid/>
        <w:ind w:left="425" w:firstLine="0" w:firstLineChars="0"/>
        <w:jc w:val="both"/>
        <w:rPr>
          <w:rFonts w:ascii="宋体" w:hAnsi="宋体" w:cs="宋体"/>
          <w:color w:val="auto"/>
          <w:highlight w:val="none"/>
        </w:rPr>
      </w:pPr>
      <w:r>
        <w:rPr>
          <w:rFonts w:hint="eastAsia" w:ascii="宋体" w:hAnsi="宋体" w:cs="宋体"/>
          <w:color w:val="auto"/>
          <w:highlight w:val="none"/>
        </w:rPr>
        <w:t>（1）使用伪造、变造的许可证件；</w:t>
      </w:r>
    </w:p>
    <w:p w14:paraId="4CF0A96E">
      <w:pPr>
        <w:pStyle w:val="39"/>
        <w:pageBreakBefore w:val="0"/>
        <w:widowControl w:val="0"/>
        <w:kinsoku/>
        <w:wordWrap/>
        <w:topLinePunct w:val="0"/>
        <w:autoSpaceDE/>
        <w:autoSpaceDN/>
        <w:bidi w:val="0"/>
        <w:adjustRightInd/>
        <w:snapToGrid/>
        <w:ind w:left="425" w:firstLine="0" w:firstLineChars="0"/>
        <w:jc w:val="both"/>
        <w:rPr>
          <w:rFonts w:ascii="宋体" w:hAnsi="宋体" w:cs="宋体"/>
          <w:color w:val="auto"/>
          <w:highlight w:val="none"/>
        </w:rPr>
      </w:pPr>
      <w:r>
        <w:rPr>
          <w:rFonts w:hint="eastAsia" w:ascii="宋体" w:hAnsi="宋体" w:cs="宋体"/>
          <w:color w:val="auto"/>
          <w:highlight w:val="none"/>
        </w:rPr>
        <w:t>（2）提供虚假的财务状况或者业绩；</w:t>
      </w:r>
    </w:p>
    <w:p w14:paraId="049978D4">
      <w:pPr>
        <w:pStyle w:val="39"/>
        <w:pageBreakBefore w:val="0"/>
        <w:widowControl w:val="0"/>
        <w:kinsoku/>
        <w:wordWrap/>
        <w:topLinePunct w:val="0"/>
        <w:autoSpaceDE/>
        <w:autoSpaceDN/>
        <w:bidi w:val="0"/>
        <w:adjustRightInd/>
        <w:snapToGrid/>
        <w:ind w:left="425" w:firstLine="0" w:firstLineChars="0"/>
        <w:jc w:val="both"/>
        <w:rPr>
          <w:rFonts w:ascii="宋体" w:hAnsi="宋体" w:cs="宋体"/>
          <w:color w:val="auto"/>
          <w:highlight w:val="none"/>
        </w:rPr>
      </w:pPr>
      <w:r>
        <w:rPr>
          <w:rFonts w:hint="eastAsia" w:ascii="宋体" w:hAnsi="宋体" w:cs="宋体"/>
          <w:color w:val="auto"/>
          <w:highlight w:val="none"/>
        </w:rPr>
        <w:t>（3）提供虚假的项目负责人或者主要技术人员简历、劳动关系证明；</w:t>
      </w:r>
    </w:p>
    <w:p w14:paraId="636DD145">
      <w:pPr>
        <w:pStyle w:val="39"/>
        <w:pageBreakBefore w:val="0"/>
        <w:widowControl w:val="0"/>
        <w:kinsoku/>
        <w:wordWrap/>
        <w:topLinePunct w:val="0"/>
        <w:autoSpaceDE/>
        <w:autoSpaceDN/>
        <w:bidi w:val="0"/>
        <w:adjustRightInd/>
        <w:snapToGrid/>
        <w:ind w:left="425" w:firstLine="0" w:firstLineChars="0"/>
        <w:jc w:val="both"/>
        <w:rPr>
          <w:rFonts w:ascii="宋体" w:hAnsi="宋体" w:cs="宋体"/>
          <w:color w:val="auto"/>
          <w:highlight w:val="none"/>
        </w:rPr>
      </w:pPr>
      <w:r>
        <w:rPr>
          <w:rFonts w:hint="eastAsia" w:ascii="宋体" w:hAnsi="宋体" w:cs="宋体"/>
          <w:color w:val="auto"/>
          <w:highlight w:val="none"/>
        </w:rPr>
        <w:t>（4）提供虚假的信用状况；</w:t>
      </w:r>
    </w:p>
    <w:p w14:paraId="3921086D">
      <w:pPr>
        <w:pStyle w:val="39"/>
        <w:pageBreakBefore w:val="0"/>
        <w:widowControl w:val="0"/>
        <w:kinsoku/>
        <w:wordWrap/>
        <w:topLinePunct w:val="0"/>
        <w:autoSpaceDE/>
        <w:autoSpaceDN/>
        <w:bidi w:val="0"/>
        <w:adjustRightInd/>
        <w:snapToGrid/>
        <w:ind w:left="425" w:firstLine="0" w:firstLineChars="0"/>
        <w:jc w:val="both"/>
        <w:rPr>
          <w:rFonts w:ascii="宋体" w:hAnsi="宋体" w:cs="宋体"/>
          <w:color w:val="auto"/>
          <w:highlight w:val="none"/>
        </w:rPr>
      </w:pPr>
      <w:r>
        <w:rPr>
          <w:rFonts w:hint="eastAsia" w:ascii="宋体" w:hAnsi="宋体" w:cs="宋体"/>
          <w:color w:val="auto"/>
          <w:highlight w:val="none"/>
        </w:rPr>
        <w:t>（5）其他弄虚作假的行为。</w:t>
      </w:r>
    </w:p>
    <w:p w14:paraId="63BC00A8">
      <w:pPr>
        <w:pStyle w:val="5"/>
        <w:pageBreakBefore w:val="0"/>
        <w:widowControl w:val="0"/>
        <w:numPr>
          <w:ilvl w:val="0"/>
          <w:numId w:val="6"/>
        </w:numPr>
        <w:kinsoku/>
        <w:wordWrap/>
        <w:overflowPunct w:val="0"/>
        <w:topLinePunct w:val="0"/>
        <w:autoSpaceDE/>
        <w:autoSpaceDN/>
        <w:bidi w:val="0"/>
        <w:jc w:val="both"/>
        <w:rPr>
          <w:rFonts w:ascii="宋体" w:hAnsi="宋体" w:cs="宋体"/>
          <w:color w:val="auto"/>
          <w:sz w:val="21"/>
          <w:szCs w:val="21"/>
          <w:highlight w:val="none"/>
        </w:rPr>
      </w:pPr>
      <w:bookmarkStart w:id="462" w:name="_Toc8324"/>
      <w:bookmarkStart w:id="463" w:name="_Toc7350"/>
      <w:bookmarkStart w:id="464" w:name="_Toc25166"/>
      <w:bookmarkStart w:id="465" w:name="_Toc10302"/>
      <w:bookmarkStart w:id="466" w:name="_Toc23689"/>
      <w:bookmarkStart w:id="467" w:name="_Toc31815"/>
      <w:bookmarkStart w:id="468" w:name="_Toc4432"/>
      <w:bookmarkStart w:id="469" w:name="_Toc15938"/>
      <w:bookmarkStart w:id="470" w:name="_Toc29176"/>
      <w:bookmarkStart w:id="471" w:name="_Toc31007"/>
      <w:bookmarkStart w:id="472" w:name="_Toc12560"/>
      <w:bookmarkStart w:id="473" w:name="_Toc15893"/>
      <w:r>
        <w:rPr>
          <w:rFonts w:hint="eastAsia" w:ascii="宋体" w:hAnsi="宋体" w:cs="宋体"/>
          <w:color w:val="auto"/>
          <w:sz w:val="21"/>
          <w:szCs w:val="21"/>
          <w:highlight w:val="none"/>
        </w:rPr>
        <w:t>投标有效期</w:t>
      </w:r>
      <w:bookmarkEnd w:id="462"/>
      <w:bookmarkEnd w:id="463"/>
      <w:bookmarkEnd w:id="464"/>
      <w:bookmarkEnd w:id="465"/>
      <w:bookmarkEnd w:id="466"/>
      <w:bookmarkEnd w:id="467"/>
      <w:bookmarkEnd w:id="468"/>
      <w:bookmarkEnd w:id="469"/>
      <w:bookmarkEnd w:id="470"/>
      <w:bookmarkEnd w:id="471"/>
      <w:bookmarkEnd w:id="472"/>
      <w:bookmarkEnd w:id="473"/>
    </w:p>
    <w:p w14:paraId="799841B1">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投标文件应根据投标人须知的规定在投标截止日后的90天内保持有效。</w:t>
      </w:r>
    </w:p>
    <w:p w14:paraId="71C5E430">
      <w:pPr>
        <w:pageBreakBefore w:val="0"/>
        <w:widowControl w:val="0"/>
        <w:kinsoku/>
        <w:wordWrap/>
        <w:topLinePunct w:val="0"/>
        <w:autoSpaceDE/>
        <w:autoSpaceDN/>
        <w:bidi w:val="0"/>
        <w:adjustRightInd/>
        <w:snapToGrid/>
        <w:ind w:left="567"/>
        <w:jc w:val="both"/>
        <w:rPr>
          <w:rFonts w:ascii="宋体" w:hAnsi="宋体" w:cs="宋体"/>
          <w:color w:val="auto"/>
          <w:highlight w:val="none"/>
        </w:rPr>
      </w:pPr>
    </w:p>
    <w:p w14:paraId="5645A49A">
      <w:pPr>
        <w:pStyle w:val="5"/>
        <w:pageBreakBefore w:val="0"/>
        <w:widowControl w:val="0"/>
        <w:numPr>
          <w:ilvl w:val="0"/>
          <w:numId w:val="6"/>
        </w:numPr>
        <w:kinsoku/>
        <w:wordWrap/>
        <w:overflowPunct w:val="0"/>
        <w:topLinePunct w:val="0"/>
        <w:autoSpaceDE/>
        <w:autoSpaceDN/>
        <w:bidi w:val="0"/>
        <w:jc w:val="both"/>
        <w:rPr>
          <w:rFonts w:ascii="宋体" w:hAnsi="宋体" w:cs="宋体"/>
          <w:color w:val="auto"/>
          <w:sz w:val="21"/>
          <w:szCs w:val="21"/>
          <w:highlight w:val="none"/>
        </w:rPr>
      </w:pPr>
      <w:bookmarkStart w:id="474" w:name="_Toc9809"/>
      <w:bookmarkStart w:id="475" w:name="_Toc12582"/>
      <w:bookmarkStart w:id="476" w:name="_Toc4475"/>
      <w:bookmarkStart w:id="477" w:name="_Toc21433"/>
      <w:bookmarkStart w:id="478" w:name="_Toc31694"/>
      <w:bookmarkStart w:id="479" w:name="_Toc12901"/>
      <w:bookmarkStart w:id="480" w:name="_Toc9838"/>
      <w:bookmarkStart w:id="481" w:name="_Toc3315"/>
      <w:bookmarkStart w:id="482" w:name="_Toc6696"/>
      <w:bookmarkStart w:id="483" w:name="_Toc9714"/>
      <w:bookmarkStart w:id="484" w:name="_Toc10750"/>
      <w:bookmarkStart w:id="485" w:name="_Toc7568"/>
      <w:r>
        <w:rPr>
          <w:rFonts w:hint="eastAsia" w:ascii="宋体" w:hAnsi="宋体" w:cs="宋体"/>
          <w:color w:val="auto"/>
          <w:sz w:val="21"/>
          <w:szCs w:val="21"/>
          <w:highlight w:val="none"/>
        </w:rPr>
        <w:t>投标保证金</w:t>
      </w:r>
      <w:bookmarkEnd w:id="474"/>
      <w:bookmarkEnd w:id="475"/>
      <w:bookmarkEnd w:id="476"/>
      <w:bookmarkEnd w:id="477"/>
      <w:bookmarkEnd w:id="478"/>
      <w:bookmarkEnd w:id="479"/>
      <w:bookmarkEnd w:id="480"/>
      <w:bookmarkEnd w:id="481"/>
      <w:bookmarkEnd w:id="482"/>
      <w:bookmarkEnd w:id="483"/>
      <w:bookmarkEnd w:id="484"/>
      <w:bookmarkEnd w:id="485"/>
    </w:p>
    <w:p w14:paraId="72116DE5">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bookmarkStart w:id="486" w:name="_Ref179619405"/>
      <w:r>
        <w:rPr>
          <w:rFonts w:hint="eastAsia" w:ascii="宋体" w:hAnsi="宋体" w:cs="宋体"/>
          <w:color w:val="auto"/>
          <w:szCs w:val="21"/>
          <w:highlight w:val="none"/>
        </w:rPr>
        <w:t>投标人应在投标文件递交截止前提交相应的投标保证金，并作为其投标的一部分。</w:t>
      </w:r>
      <w:bookmarkEnd w:id="486"/>
    </w:p>
    <w:p w14:paraId="0E035FDC">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投标保证金是为了保护采购代理机构和采购人免遭因投标人的行为而蒙受的损失。采购代理机构和采购人在因投标人的行为受到损害时可根据本须知（17.7）的规定没收投标人的投标保证金。</w:t>
      </w:r>
    </w:p>
    <w:p w14:paraId="631BDB89">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保证金采用转账、电汇方式方式提交，应符合以下要求：采用银行转账、电汇方式提交的，保证金汇入《投标资料表》中投标保证金专用账户，不接收由以投标人分支机构、私人账户和其他单位转入的保证金。投标保证金必须在投标文件递交截止前到账，投标保证金未按规定时间到达指定账户或提交金额不足的，将被视为无效投标。且在备注或用途中注明本项目的项目编号。</w:t>
      </w:r>
    </w:p>
    <w:p w14:paraId="4EF93453">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凡没有根据本须知（17.1和17.3）的规定随附有效的投标保证金的投标，将被视为非响应性投标予以拒绝。</w:t>
      </w:r>
    </w:p>
    <w:p w14:paraId="65F21278">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投标保证金有效期应当与投标有效期一致。采购人如果按照采购文件另外规定延长了投标文件有效期，则投标担保的有效期也相应延长。</w:t>
      </w:r>
    </w:p>
    <w:p w14:paraId="50F474A7">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在签订采购合同并按采购文件第（33）条规定提交履约</w:t>
      </w:r>
      <w:r>
        <w:rPr>
          <w:rFonts w:hint="eastAsia" w:ascii="宋体" w:hAnsi="宋体" w:cs="宋体"/>
          <w:color w:val="auto"/>
          <w:szCs w:val="21"/>
          <w:highlight w:val="none"/>
          <w:lang w:val="en-US" w:eastAsia="zh-CN"/>
        </w:rPr>
        <w:t>保证金</w:t>
      </w:r>
      <w:r>
        <w:rPr>
          <w:rFonts w:hint="eastAsia" w:ascii="宋体" w:hAnsi="宋体" w:cs="宋体"/>
          <w:color w:val="auto"/>
          <w:szCs w:val="21"/>
          <w:highlight w:val="none"/>
        </w:rPr>
        <w:t>后，携带退保证金声明函、投标保证金汇款单复印件（加盖公章）和合同正本到采购人处办理投标保证金（无息）退回手续。</w:t>
      </w:r>
    </w:p>
    <w:p w14:paraId="4A7B79A7">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下列任何情况发生时，投标保证金将不予退还：</w:t>
      </w:r>
    </w:p>
    <w:p w14:paraId="159FCA69">
      <w:pPr>
        <w:pageBreakBefore w:val="0"/>
        <w:widowControl w:val="0"/>
        <w:kinsoku/>
        <w:wordWrap/>
        <w:topLinePunct w:val="0"/>
        <w:autoSpaceDE/>
        <w:autoSpaceDN/>
        <w:bidi w:val="0"/>
        <w:adjustRightInd/>
        <w:snapToGrid/>
        <w:ind w:left="540" w:leftChars="257"/>
        <w:jc w:val="both"/>
        <w:rPr>
          <w:rFonts w:ascii="宋体" w:hAnsi="宋体" w:cs="宋体"/>
          <w:color w:val="auto"/>
          <w:szCs w:val="21"/>
          <w:highlight w:val="none"/>
        </w:rPr>
      </w:pPr>
      <w:r>
        <w:rPr>
          <w:rFonts w:hint="eastAsia" w:ascii="宋体" w:hAnsi="宋体" w:cs="宋体"/>
          <w:color w:val="auto"/>
          <w:szCs w:val="21"/>
          <w:highlight w:val="none"/>
        </w:rPr>
        <w:t>（1）投标人在采购文件中规定的投标有效期内撤回其投标；</w:t>
      </w:r>
    </w:p>
    <w:p w14:paraId="4BA0677D">
      <w:pPr>
        <w:pageBreakBefore w:val="0"/>
        <w:widowControl w:val="0"/>
        <w:kinsoku/>
        <w:wordWrap/>
        <w:topLinePunct w:val="0"/>
        <w:autoSpaceDE/>
        <w:autoSpaceDN/>
        <w:bidi w:val="0"/>
        <w:adjustRightInd/>
        <w:snapToGrid/>
        <w:ind w:left="540" w:leftChars="257"/>
        <w:jc w:val="both"/>
        <w:rPr>
          <w:rFonts w:ascii="宋体" w:hAnsi="宋体" w:cs="宋体"/>
          <w:color w:val="auto"/>
          <w:szCs w:val="21"/>
          <w:highlight w:val="none"/>
        </w:rPr>
      </w:pPr>
      <w:r>
        <w:rPr>
          <w:rFonts w:hint="eastAsia" w:ascii="宋体" w:hAnsi="宋体" w:cs="宋体"/>
          <w:color w:val="auto"/>
          <w:szCs w:val="21"/>
          <w:highlight w:val="none"/>
        </w:rPr>
        <w:t>（2）</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无正当理由不与采购人订立合同，在签订合同时向采购人提出附加条件，或者不按照采购文件要求提交履约保证金的；</w:t>
      </w:r>
    </w:p>
    <w:p w14:paraId="14305744">
      <w:pPr>
        <w:pageBreakBefore w:val="0"/>
        <w:widowControl w:val="0"/>
        <w:kinsoku/>
        <w:wordWrap/>
        <w:topLinePunct w:val="0"/>
        <w:autoSpaceDE/>
        <w:autoSpaceDN/>
        <w:bidi w:val="0"/>
        <w:adjustRightInd/>
        <w:snapToGrid/>
        <w:ind w:left="540" w:leftChars="257"/>
        <w:jc w:val="both"/>
        <w:rPr>
          <w:rFonts w:ascii="宋体" w:hAnsi="宋体" w:cs="宋体"/>
          <w:color w:val="auto"/>
          <w:szCs w:val="21"/>
          <w:highlight w:val="none"/>
        </w:rPr>
      </w:pPr>
      <w:r>
        <w:rPr>
          <w:rFonts w:hint="eastAsia" w:ascii="宋体" w:hAnsi="宋体" w:cs="宋体"/>
          <w:color w:val="auto"/>
          <w:szCs w:val="21"/>
          <w:highlight w:val="none"/>
        </w:rPr>
        <w:t>（3）</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将本项目转让给他人，或者在投标文件中未说明，且未经采购人同意，将中标项目分包给他人的；</w:t>
      </w:r>
    </w:p>
    <w:p w14:paraId="094573C7">
      <w:pPr>
        <w:pageBreakBefore w:val="0"/>
        <w:widowControl w:val="0"/>
        <w:kinsoku/>
        <w:wordWrap/>
        <w:topLinePunct w:val="0"/>
        <w:autoSpaceDE/>
        <w:autoSpaceDN/>
        <w:bidi w:val="0"/>
        <w:adjustRightInd/>
        <w:snapToGrid/>
        <w:ind w:left="540" w:leftChars="257"/>
        <w:jc w:val="both"/>
        <w:rPr>
          <w:rFonts w:ascii="宋体" w:hAnsi="宋体" w:cs="宋体"/>
          <w:color w:val="auto"/>
          <w:szCs w:val="21"/>
          <w:highlight w:val="none"/>
        </w:rPr>
      </w:pPr>
      <w:r>
        <w:rPr>
          <w:rFonts w:hint="eastAsia" w:ascii="宋体" w:hAnsi="宋体" w:cs="宋体"/>
          <w:color w:val="auto"/>
          <w:szCs w:val="21"/>
          <w:highlight w:val="none"/>
        </w:rPr>
        <w:t>（4）投标人提供虚假投标文件或虚假补充文件的。</w:t>
      </w:r>
    </w:p>
    <w:p w14:paraId="7DA132EF">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在中标通知书发出后，未中标投标人的投标保证金，由采购人自行返还至投标人的原转出账户。</w:t>
      </w:r>
    </w:p>
    <w:p w14:paraId="0869EBA2">
      <w:pPr>
        <w:pageBreakBefore w:val="0"/>
        <w:kinsoku/>
        <w:wordWrap/>
        <w:topLinePunct w:val="0"/>
        <w:autoSpaceDE/>
        <w:autoSpaceDN/>
        <w:bidi w:val="0"/>
        <w:jc w:val="both"/>
        <w:rPr>
          <w:rFonts w:ascii="宋体" w:hAnsi="宋体" w:cs="宋体"/>
          <w:color w:val="auto"/>
          <w:highlight w:val="none"/>
        </w:rPr>
      </w:pPr>
    </w:p>
    <w:p w14:paraId="272079CD">
      <w:pPr>
        <w:pStyle w:val="4"/>
        <w:pageBreakBefore w:val="0"/>
        <w:numPr>
          <w:ilvl w:val="0"/>
          <w:numId w:val="5"/>
        </w:numPr>
        <w:kinsoku/>
        <w:wordWrap/>
        <w:topLinePunct w:val="0"/>
        <w:autoSpaceDE/>
        <w:autoSpaceDN/>
        <w:bidi w:val="0"/>
        <w:spacing w:before="0" w:after="0" w:line="360" w:lineRule="auto"/>
        <w:jc w:val="both"/>
        <w:rPr>
          <w:rFonts w:ascii="宋体" w:hAnsi="宋体" w:cs="宋体"/>
          <w:color w:val="auto"/>
          <w:highlight w:val="none"/>
        </w:rPr>
      </w:pPr>
      <w:bookmarkStart w:id="487" w:name="_Toc9247"/>
      <w:bookmarkStart w:id="488" w:name="_Toc2467"/>
      <w:bookmarkStart w:id="489" w:name="_Toc12896"/>
      <w:bookmarkStart w:id="490" w:name="_Toc24413"/>
      <w:bookmarkStart w:id="491" w:name="_Toc22296"/>
      <w:bookmarkStart w:id="492" w:name="_Toc30352"/>
      <w:bookmarkStart w:id="493" w:name="_Toc28561"/>
      <w:bookmarkStart w:id="494" w:name="_Toc30147"/>
      <w:bookmarkStart w:id="495" w:name="_Toc28479"/>
      <w:bookmarkStart w:id="496" w:name="_Toc32704"/>
      <w:bookmarkStart w:id="497" w:name="_Toc27320"/>
      <w:bookmarkStart w:id="498" w:name="_Toc12646"/>
      <w:r>
        <w:rPr>
          <w:rFonts w:hint="eastAsia" w:ascii="宋体" w:hAnsi="宋体" w:cs="宋体"/>
          <w:color w:val="auto"/>
          <w:highlight w:val="none"/>
        </w:rPr>
        <w:t>投标文件的递交</w:t>
      </w:r>
      <w:bookmarkEnd w:id="487"/>
      <w:bookmarkEnd w:id="488"/>
      <w:bookmarkEnd w:id="489"/>
      <w:bookmarkEnd w:id="490"/>
      <w:bookmarkEnd w:id="491"/>
      <w:bookmarkEnd w:id="492"/>
      <w:bookmarkEnd w:id="493"/>
      <w:bookmarkEnd w:id="494"/>
      <w:bookmarkEnd w:id="495"/>
      <w:bookmarkEnd w:id="496"/>
      <w:bookmarkEnd w:id="497"/>
      <w:bookmarkEnd w:id="498"/>
    </w:p>
    <w:p w14:paraId="2E62FFB8">
      <w:pPr>
        <w:pStyle w:val="5"/>
        <w:pageBreakBefore w:val="0"/>
        <w:widowControl w:val="0"/>
        <w:numPr>
          <w:ilvl w:val="0"/>
          <w:numId w:val="6"/>
        </w:numPr>
        <w:kinsoku/>
        <w:wordWrap/>
        <w:overflowPunct w:val="0"/>
        <w:topLinePunct w:val="0"/>
        <w:autoSpaceDE/>
        <w:autoSpaceDN/>
        <w:bidi w:val="0"/>
        <w:jc w:val="both"/>
        <w:rPr>
          <w:rFonts w:ascii="宋体" w:hAnsi="宋体" w:cs="宋体"/>
          <w:color w:val="auto"/>
          <w:sz w:val="21"/>
          <w:szCs w:val="21"/>
          <w:highlight w:val="none"/>
        </w:rPr>
      </w:pPr>
      <w:bookmarkStart w:id="499" w:name="_Toc382049111"/>
      <w:bookmarkStart w:id="500" w:name="_Toc18236"/>
      <w:bookmarkStart w:id="501" w:name="_Toc27557"/>
      <w:bookmarkStart w:id="502" w:name="_Toc21593"/>
      <w:bookmarkStart w:id="503" w:name="_Toc7662"/>
      <w:bookmarkStart w:id="504" w:name="_Toc303084264"/>
      <w:bookmarkStart w:id="505" w:name="_Toc24150"/>
      <w:bookmarkStart w:id="506" w:name="_Toc22969"/>
      <w:bookmarkStart w:id="507" w:name="_Toc25971"/>
      <w:bookmarkStart w:id="508" w:name="_Toc4160"/>
      <w:bookmarkStart w:id="509" w:name="_Toc24997"/>
      <w:bookmarkStart w:id="510" w:name="_Toc1330"/>
      <w:bookmarkStart w:id="511" w:name="_Toc312"/>
      <w:bookmarkStart w:id="512" w:name="_Toc24467"/>
      <w:bookmarkStart w:id="513" w:name="_Toc4215"/>
      <w:r>
        <w:rPr>
          <w:rFonts w:hint="eastAsia" w:ascii="宋体" w:hAnsi="宋体" w:cs="宋体"/>
          <w:color w:val="auto"/>
          <w:sz w:val="21"/>
          <w:szCs w:val="21"/>
          <w:highlight w:val="none"/>
        </w:rPr>
        <w:t>投标文件的装订，签署，密封和标记</w:t>
      </w:r>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p>
    <w:p w14:paraId="499BF6E1">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olor w:val="auto"/>
          <w:szCs w:val="21"/>
          <w:highlight w:val="none"/>
        </w:rPr>
        <w:t>投标人应按《投标资料表》的份数准备价格文件、商务文件、技术文件、唱标信封和电子文件（</w:t>
      </w:r>
      <w:r>
        <w:rPr>
          <w:rFonts w:hint="eastAsia" w:ascii="宋体" w:hAnsi="宋体"/>
          <w:b/>
          <w:color w:val="auto"/>
          <w:szCs w:val="21"/>
          <w:highlight w:val="none"/>
        </w:rPr>
        <w:t>价格文件、商务文件、技术文件分别单独装订成册</w:t>
      </w:r>
      <w:r>
        <w:rPr>
          <w:rFonts w:hint="eastAsia" w:ascii="宋体" w:hAnsi="宋体"/>
          <w:color w:val="auto"/>
          <w:szCs w:val="21"/>
          <w:highlight w:val="none"/>
        </w:rPr>
        <w:t>），每一份投标文件均需编上页次，装订成册（不允许使用活页夹，否则由此产生的风险由投标人自行承担）。所有投标文件必须封入密封完好的信封或包装，封口加盖公章</w:t>
      </w:r>
      <w:r>
        <w:rPr>
          <w:rFonts w:hint="eastAsia" w:ascii="宋体" w:hAnsi="宋体" w:cs="宋体"/>
          <w:color w:val="auto"/>
          <w:szCs w:val="21"/>
          <w:highlight w:val="none"/>
        </w:rPr>
        <w:t>。</w:t>
      </w:r>
    </w:p>
    <w:p w14:paraId="22A98BD4">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文件正本均须用不褪色墨水书写或打印。投标文件的副本可采用投标文件的正本复印件，每套投标文件应当标明“正本”、“副本”的字样。投标文件的【正本】及所有【副本】的封面及骑缝均须加盖投标人公章（文件每页盖章等同于盖骑缝章）。若正本与副本不符，以正本为准。</w:t>
      </w:r>
    </w:p>
    <w:p w14:paraId="1AF4352C">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联合体投标文件的【正本】及【副本】的封面及骑缝均须加盖所有联合体组成成员的公章。（文件每页盖章等同于盖骑缝章）</w:t>
      </w:r>
    </w:p>
    <w:p w14:paraId="4C1366F5">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电子文件内容包括：由投标人自行制作的与正本文件一致的所有文件。电子文件由光盘或U盘储存，并注明投标人名称及项目名称、采购项目编号，随投标文件一同密封提交。</w:t>
      </w:r>
    </w:p>
    <w:p w14:paraId="05DA9BC7">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除投标人对错误处修改外，全套投标文件应无涂改或行间插字和增删。如有修改，修改处须由法定代表人或其正式授权代表在旁边签字及盖章。</w:t>
      </w:r>
    </w:p>
    <w:p w14:paraId="41B62DA1">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投标人应将投标文件进行非透明的封装，以防止投标文件内容的泄露。采购代理机构将拒绝接收采用透明包装进行密封的投标文件。</w:t>
      </w:r>
    </w:p>
    <w:p w14:paraId="576A42AC">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密封破损导致投标文件内容直接或间接泄露的投标文件，采购代理机构将拒绝接收。</w:t>
      </w:r>
    </w:p>
    <w:p w14:paraId="3F7F522D">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为方便开标唱标，投标人应将开标一览表和授权委托书单独密封提交，并在信封上标明“唱标信封”字样。唱标信封内还须包括并不限于：投标保证金支付凭证银行汇款底单（复印件加盖公章，原件随身携带，以备查核）和投标保证金汇入情况说明（加盖公章）。投标人的法定代表人参加投标时，须开具法定代表人证明书，按上述要求与开标一览表一并密封提交。“唱标信封”份数及签章等要求与投标文件正本相同（1份）。</w:t>
      </w:r>
    </w:p>
    <w:p w14:paraId="6FF082B2">
      <w:pPr>
        <w:pageBreakBefore w:val="0"/>
        <w:widowControl w:val="0"/>
        <w:numPr>
          <w:ilvl w:val="1"/>
          <w:numId w:val="6"/>
        </w:numPr>
        <w:kinsoku/>
        <w:wordWrap/>
        <w:overflowPunct w:val="0"/>
        <w:topLinePunct w:val="0"/>
        <w:autoSpaceDE/>
        <w:autoSpaceDN/>
        <w:bidi w:val="0"/>
        <w:jc w:val="both"/>
        <w:rPr>
          <w:rFonts w:ascii="宋体" w:hAnsi="宋体" w:cs="宋体"/>
          <w:b/>
          <w:bCs/>
          <w:color w:val="auto"/>
          <w:szCs w:val="21"/>
          <w:highlight w:val="none"/>
        </w:rPr>
      </w:pPr>
      <w:r>
        <w:rPr>
          <w:rFonts w:hint="eastAsia" w:ascii="宋体" w:hAnsi="宋体" w:cs="宋体"/>
          <w:b/>
          <w:bCs/>
          <w:color w:val="auto"/>
          <w:szCs w:val="21"/>
          <w:highlight w:val="none"/>
        </w:rPr>
        <w:t>未单独提交唱标信封的投标人投标文件不进行唱标，投标文件作无效处理。</w:t>
      </w:r>
    </w:p>
    <w:p w14:paraId="78AB625E">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 xml:space="preserve">所有的信封均应注明： </w:t>
      </w:r>
    </w:p>
    <w:p w14:paraId="65AD245D">
      <w:pPr>
        <w:pageBreakBefore w:val="0"/>
        <w:widowControl w:val="0"/>
        <w:numPr>
          <w:ilvl w:val="0"/>
          <w:numId w:val="8"/>
        </w:numPr>
        <w:kinsoku/>
        <w:wordWrap/>
        <w:topLinePunct w:val="0"/>
        <w:autoSpaceDE/>
        <w:autoSpaceDN/>
        <w:bidi w:val="0"/>
        <w:adjustRightInd/>
        <w:snapToGrid/>
        <w:ind w:left="567"/>
        <w:jc w:val="both"/>
        <w:rPr>
          <w:rFonts w:ascii="宋体" w:hAnsi="宋体" w:cs="宋体"/>
          <w:color w:val="auto"/>
          <w:szCs w:val="21"/>
          <w:highlight w:val="none"/>
        </w:rPr>
      </w:pPr>
      <w:r>
        <w:rPr>
          <w:rFonts w:hint="eastAsia" w:ascii="宋体" w:hAnsi="宋体" w:cs="宋体"/>
          <w:color w:val="auto"/>
          <w:szCs w:val="21"/>
          <w:highlight w:val="none"/>
        </w:rPr>
        <w:t xml:space="preserve">收件人： </w:t>
      </w:r>
    </w:p>
    <w:p w14:paraId="659D1743">
      <w:pPr>
        <w:pageBreakBefore w:val="0"/>
        <w:widowControl w:val="0"/>
        <w:numPr>
          <w:ilvl w:val="0"/>
          <w:numId w:val="8"/>
        </w:numPr>
        <w:kinsoku/>
        <w:wordWrap/>
        <w:topLinePunct w:val="0"/>
        <w:autoSpaceDE/>
        <w:autoSpaceDN/>
        <w:bidi w:val="0"/>
        <w:adjustRightInd/>
        <w:snapToGrid/>
        <w:ind w:left="567"/>
        <w:jc w:val="both"/>
        <w:rPr>
          <w:rFonts w:ascii="宋体" w:hAnsi="宋体" w:cs="宋体"/>
          <w:color w:val="auto"/>
          <w:szCs w:val="21"/>
          <w:highlight w:val="none"/>
        </w:rPr>
      </w:pPr>
      <w:r>
        <w:rPr>
          <w:rFonts w:hint="eastAsia" w:ascii="宋体" w:hAnsi="宋体" w:cs="宋体"/>
          <w:color w:val="auto"/>
          <w:szCs w:val="21"/>
          <w:highlight w:val="none"/>
        </w:rPr>
        <w:t>投标单位名称：</w:t>
      </w:r>
    </w:p>
    <w:p w14:paraId="7D737A46">
      <w:pPr>
        <w:pageBreakBefore w:val="0"/>
        <w:widowControl w:val="0"/>
        <w:numPr>
          <w:ilvl w:val="0"/>
          <w:numId w:val="8"/>
        </w:numPr>
        <w:kinsoku/>
        <w:wordWrap/>
        <w:topLinePunct w:val="0"/>
        <w:autoSpaceDE/>
        <w:autoSpaceDN/>
        <w:bidi w:val="0"/>
        <w:adjustRightInd/>
        <w:snapToGrid/>
        <w:ind w:left="567"/>
        <w:jc w:val="both"/>
        <w:rPr>
          <w:rFonts w:ascii="宋体" w:hAnsi="宋体" w:cs="宋体"/>
          <w:color w:val="auto"/>
          <w:szCs w:val="21"/>
          <w:highlight w:val="none"/>
        </w:rPr>
      </w:pPr>
      <w:r>
        <w:rPr>
          <w:rFonts w:hint="eastAsia" w:ascii="宋体" w:hAnsi="宋体" w:cs="宋体"/>
          <w:color w:val="auto"/>
          <w:szCs w:val="21"/>
          <w:highlight w:val="none"/>
        </w:rPr>
        <w:t>项目名称：</w:t>
      </w:r>
    </w:p>
    <w:p w14:paraId="369D3712">
      <w:pPr>
        <w:pageBreakBefore w:val="0"/>
        <w:widowControl w:val="0"/>
        <w:numPr>
          <w:ilvl w:val="0"/>
          <w:numId w:val="8"/>
        </w:numPr>
        <w:kinsoku/>
        <w:wordWrap/>
        <w:topLinePunct w:val="0"/>
        <w:autoSpaceDE/>
        <w:autoSpaceDN/>
        <w:bidi w:val="0"/>
        <w:adjustRightInd/>
        <w:snapToGrid/>
        <w:ind w:left="567"/>
        <w:jc w:val="both"/>
        <w:rPr>
          <w:rFonts w:ascii="宋体" w:hAnsi="宋体" w:cs="宋体"/>
          <w:color w:val="auto"/>
          <w:szCs w:val="21"/>
          <w:highlight w:val="none"/>
        </w:rPr>
      </w:pPr>
      <w:r>
        <w:rPr>
          <w:rFonts w:hint="eastAsia" w:ascii="宋体" w:hAnsi="宋体" w:cs="宋体"/>
          <w:color w:val="auto"/>
          <w:szCs w:val="21"/>
          <w:highlight w:val="none"/>
        </w:rPr>
        <w:t>项目采购项目编号：</w:t>
      </w:r>
    </w:p>
    <w:p w14:paraId="29B1021C">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密封信封上的项目编号错误或项目名称出现严重歧义的（包括采购内容不符），采购代理机构将拒绝接收。</w:t>
      </w:r>
    </w:p>
    <w:p w14:paraId="61797450">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采购代理机构对所有投标文件的误投或提前启封概不负责。</w:t>
      </w:r>
    </w:p>
    <w:p w14:paraId="2CE726C8">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投标人同时参加几个包投标时必须按采购文件要求按包号分别制作投标文件，分别密封递交。</w:t>
      </w:r>
    </w:p>
    <w:p w14:paraId="6BA6157B">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传真、电传的投标文件将被拒绝。</w:t>
      </w:r>
    </w:p>
    <w:p w14:paraId="2D25D1AA">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递交的投标文件中所提供的通讯方式应保持联络畅通，因联系不上而导致的所有后果由投标人自行承担。</w:t>
      </w:r>
    </w:p>
    <w:p w14:paraId="13EB63B1">
      <w:pPr>
        <w:pageBreakBefore w:val="0"/>
        <w:kinsoku/>
        <w:wordWrap/>
        <w:topLinePunct w:val="0"/>
        <w:autoSpaceDE/>
        <w:autoSpaceDN/>
        <w:bidi w:val="0"/>
        <w:jc w:val="both"/>
        <w:rPr>
          <w:rFonts w:ascii="宋体" w:hAnsi="宋体" w:cs="宋体"/>
          <w:color w:val="auto"/>
          <w:highlight w:val="none"/>
        </w:rPr>
      </w:pPr>
    </w:p>
    <w:p w14:paraId="54C94D4B">
      <w:pPr>
        <w:pStyle w:val="5"/>
        <w:pageBreakBefore w:val="0"/>
        <w:widowControl w:val="0"/>
        <w:numPr>
          <w:ilvl w:val="0"/>
          <w:numId w:val="6"/>
        </w:numPr>
        <w:kinsoku/>
        <w:wordWrap/>
        <w:overflowPunct w:val="0"/>
        <w:topLinePunct w:val="0"/>
        <w:autoSpaceDE/>
        <w:autoSpaceDN/>
        <w:bidi w:val="0"/>
        <w:jc w:val="both"/>
        <w:rPr>
          <w:rFonts w:ascii="宋体" w:hAnsi="宋体" w:cs="宋体"/>
          <w:color w:val="auto"/>
          <w:sz w:val="21"/>
          <w:szCs w:val="21"/>
          <w:highlight w:val="none"/>
        </w:rPr>
      </w:pPr>
      <w:bookmarkStart w:id="514" w:name="_Toc15231"/>
      <w:bookmarkStart w:id="515" w:name="_Toc25895"/>
      <w:bookmarkStart w:id="516" w:name="_Toc3206"/>
      <w:bookmarkStart w:id="517" w:name="_Toc16890"/>
      <w:bookmarkStart w:id="518" w:name="_Toc11595"/>
      <w:bookmarkStart w:id="519" w:name="_Toc12647"/>
      <w:bookmarkStart w:id="520" w:name="_Toc8199"/>
      <w:bookmarkStart w:id="521" w:name="_Toc13904"/>
      <w:bookmarkStart w:id="522" w:name="_Toc29194"/>
      <w:bookmarkStart w:id="523" w:name="_Toc30810"/>
      <w:bookmarkStart w:id="524" w:name="_Toc9479"/>
      <w:bookmarkStart w:id="525" w:name="_Toc1372"/>
      <w:r>
        <w:rPr>
          <w:rFonts w:hint="eastAsia" w:ascii="宋体" w:hAnsi="宋体" w:cs="宋体"/>
          <w:color w:val="auto"/>
          <w:sz w:val="21"/>
          <w:szCs w:val="21"/>
          <w:highlight w:val="none"/>
        </w:rPr>
        <w:t>迟交的投标文件</w:t>
      </w:r>
      <w:bookmarkEnd w:id="514"/>
      <w:bookmarkEnd w:id="515"/>
      <w:bookmarkEnd w:id="516"/>
      <w:bookmarkEnd w:id="517"/>
      <w:bookmarkEnd w:id="518"/>
      <w:bookmarkEnd w:id="519"/>
      <w:bookmarkEnd w:id="520"/>
      <w:bookmarkEnd w:id="521"/>
      <w:bookmarkEnd w:id="522"/>
      <w:bookmarkEnd w:id="523"/>
      <w:bookmarkEnd w:id="524"/>
      <w:bookmarkEnd w:id="525"/>
    </w:p>
    <w:p w14:paraId="527AD8EB">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投标人在投标截止时间之后提交的投标文件，采购代理机构将拒绝接收。</w:t>
      </w:r>
    </w:p>
    <w:p w14:paraId="3878596B">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有违反其他法律规定情形的，采购代理机构将拒绝接收。</w:t>
      </w:r>
    </w:p>
    <w:p w14:paraId="5103FA29">
      <w:pPr>
        <w:pageBreakBefore w:val="0"/>
        <w:kinsoku/>
        <w:wordWrap/>
        <w:topLinePunct w:val="0"/>
        <w:autoSpaceDE/>
        <w:autoSpaceDN/>
        <w:bidi w:val="0"/>
        <w:jc w:val="both"/>
        <w:rPr>
          <w:rFonts w:ascii="宋体" w:hAnsi="宋体" w:cs="宋体"/>
          <w:color w:val="auto"/>
          <w:highlight w:val="none"/>
        </w:rPr>
      </w:pPr>
    </w:p>
    <w:p w14:paraId="2A52BB0E">
      <w:pPr>
        <w:pStyle w:val="5"/>
        <w:pageBreakBefore w:val="0"/>
        <w:widowControl w:val="0"/>
        <w:numPr>
          <w:ilvl w:val="0"/>
          <w:numId w:val="6"/>
        </w:numPr>
        <w:kinsoku/>
        <w:wordWrap/>
        <w:overflowPunct w:val="0"/>
        <w:topLinePunct w:val="0"/>
        <w:autoSpaceDE/>
        <w:autoSpaceDN/>
        <w:bidi w:val="0"/>
        <w:jc w:val="both"/>
        <w:rPr>
          <w:rFonts w:ascii="宋体" w:hAnsi="宋体" w:cs="宋体"/>
          <w:color w:val="auto"/>
          <w:sz w:val="21"/>
          <w:szCs w:val="21"/>
          <w:highlight w:val="none"/>
        </w:rPr>
      </w:pPr>
      <w:bookmarkStart w:id="526" w:name="_Toc26160"/>
      <w:bookmarkStart w:id="527" w:name="_Toc123"/>
      <w:bookmarkStart w:id="528" w:name="_Toc21073"/>
      <w:bookmarkStart w:id="529" w:name="_Toc3174"/>
      <w:bookmarkStart w:id="530" w:name="_Toc20721"/>
      <w:bookmarkStart w:id="531" w:name="_Toc9143"/>
      <w:bookmarkStart w:id="532" w:name="_Toc8861"/>
      <w:bookmarkStart w:id="533" w:name="_Toc2051"/>
      <w:bookmarkStart w:id="534" w:name="_Toc26599"/>
      <w:bookmarkStart w:id="535" w:name="_Toc31273"/>
      <w:bookmarkStart w:id="536" w:name="_Toc26842"/>
      <w:bookmarkStart w:id="537" w:name="_Toc24415"/>
      <w:r>
        <w:rPr>
          <w:rFonts w:hint="eastAsia" w:ascii="宋体" w:hAnsi="宋体" w:cs="宋体"/>
          <w:color w:val="auto"/>
          <w:sz w:val="21"/>
          <w:szCs w:val="21"/>
          <w:highlight w:val="none"/>
        </w:rPr>
        <w:t>投标样品（如需提交）</w:t>
      </w:r>
      <w:bookmarkEnd w:id="526"/>
      <w:bookmarkEnd w:id="527"/>
      <w:bookmarkEnd w:id="528"/>
      <w:bookmarkEnd w:id="529"/>
      <w:bookmarkEnd w:id="530"/>
      <w:bookmarkEnd w:id="531"/>
      <w:bookmarkEnd w:id="532"/>
      <w:bookmarkEnd w:id="533"/>
      <w:bookmarkEnd w:id="534"/>
      <w:bookmarkEnd w:id="535"/>
      <w:bookmarkEnd w:id="536"/>
      <w:bookmarkEnd w:id="537"/>
    </w:p>
    <w:p w14:paraId="7916C761">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如有必要，采购代理机构可以要求投标人提供本服务项目涉及的部分设备或产品样品，投标人在投标时应提交《样品清单》。</w:t>
      </w:r>
    </w:p>
    <w:p w14:paraId="7EE827CC">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为方便评标，投标人在提供样品时，应在所提供的样品表面显著位置标注投标人的名称、包号、样品名称、采购文件规定的服务或货物编号。</w:t>
      </w:r>
    </w:p>
    <w:p w14:paraId="3589A024">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样品作为投标文件的一部分，除非另有说明，中标单位的样品将作为履约验收标准的参考不再退还，未中标单位须在中标公告发布后五个工作日内，前往采购代理机构领取投标样品，逾期不领，采购代理机构将不承担样品的保管责任，由此引发的样品丢失、毁损，采购代理机构不予负责。</w:t>
      </w:r>
    </w:p>
    <w:p w14:paraId="585F07D3">
      <w:pPr>
        <w:pageBreakBefore w:val="0"/>
        <w:kinsoku/>
        <w:wordWrap/>
        <w:topLinePunct w:val="0"/>
        <w:autoSpaceDE/>
        <w:autoSpaceDN/>
        <w:bidi w:val="0"/>
        <w:jc w:val="both"/>
        <w:rPr>
          <w:rFonts w:ascii="宋体" w:hAnsi="宋体" w:cs="宋体"/>
          <w:color w:val="auto"/>
          <w:highlight w:val="none"/>
        </w:rPr>
      </w:pPr>
    </w:p>
    <w:p w14:paraId="257FC5C7">
      <w:pPr>
        <w:pStyle w:val="5"/>
        <w:pageBreakBefore w:val="0"/>
        <w:widowControl w:val="0"/>
        <w:numPr>
          <w:ilvl w:val="0"/>
          <w:numId w:val="6"/>
        </w:numPr>
        <w:kinsoku/>
        <w:wordWrap/>
        <w:overflowPunct w:val="0"/>
        <w:topLinePunct w:val="0"/>
        <w:autoSpaceDE/>
        <w:autoSpaceDN/>
        <w:bidi w:val="0"/>
        <w:jc w:val="both"/>
        <w:rPr>
          <w:rFonts w:ascii="宋体" w:hAnsi="宋体" w:cs="宋体"/>
          <w:color w:val="auto"/>
          <w:sz w:val="21"/>
          <w:szCs w:val="21"/>
          <w:highlight w:val="none"/>
        </w:rPr>
      </w:pPr>
      <w:bookmarkStart w:id="538" w:name="_Toc17264"/>
      <w:bookmarkStart w:id="539" w:name="_Toc303084265"/>
      <w:bookmarkStart w:id="540" w:name="_Toc14546"/>
      <w:bookmarkStart w:id="541" w:name="_Toc2219"/>
      <w:bookmarkStart w:id="542" w:name="_Toc1712"/>
      <w:bookmarkStart w:id="543" w:name="_Toc382049112"/>
      <w:bookmarkStart w:id="544" w:name="_Toc12766"/>
      <w:bookmarkStart w:id="545" w:name="_Toc27968"/>
      <w:bookmarkStart w:id="546" w:name="_Toc9777"/>
      <w:bookmarkStart w:id="547" w:name="_Toc9098"/>
      <w:bookmarkStart w:id="548" w:name="_Toc18412"/>
      <w:bookmarkStart w:id="549" w:name="_Toc7664"/>
      <w:bookmarkStart w:id="550" w:name="_Toc4848"/>
      <w:bookmarkStart w:id="551" w:name="_Toc29944"/>
      <w:bookmarkStart w:id="552" w:name="_Toc2601"/>
      <w:r>
        <w:rPr>
          <w:rFonts w:hint="eastAsia" w:ascii="宋体" w:hAnsi="宋体" w:cs="宋体"/>
          <w:color w:val="auto"/>
          <w:sz w:val="21"/>
          <w:szCs w:val="21"/>
          <w:highlight w:val="none"/>
        </w:rPr>
        <w:t>投标截止期</w:t>
      </w:r>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p>
    <w:p w14:paraId="49319BF2">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投标人应在采购文件规定的截止日期和时间内，将投标文件送达到指定地点。</w:t>
      </w:r>
    </w:p>
    <w:p w14:paraId="45266F50">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采购代理机构可按本须知规定以澄清或修改通知的方式，酌情延长递交投标文件的截止时间。在此情况下，投标人的所有权利和义务以及投标人受制约的截止时间，均以延长后新的投标截止时间为准。</w:t>
      </w:r>
    </w:p>
    <w:p w14:paraId="1EBB0116">
      <w:pPr>
        <w:pageBreakBefore w:val="0"/>
        <w:kinsoku/>
        <w:wordWrap/>
        <w:topLinePunct w:val="0"/>
        <w:autoSpaceDE/>
        <w:autoSpaceDN/>
        <w:bidi w:val="0"/>
        <w:jc w:val="both"/>
        <w:rPr>
          <w:rFonts w:ascii="宋体" w:hAnsi="宋体" w:cs="宋体"/>
          <w:color w:val="auto"/>
          <w:highlight w:val="none"/>
        </w:rPr>
      </w:pPr>
    </w:p>
    <w:p w14:paraId="7ED1F9EA">
      <w:pPr>
        <w:pStyle w:val="5"/>
        <w:pageBreakBefore w:val="0"/>
        <w:widowControl w:val="0"/>
        <w:numPr>
          <w:ilvl w:val="0"/>
          <w:numId w:val="6"/>
        </w:numPr>
        <w:kinsoku/>
        <w:wordWrap/>
        <w:overflowPunct w:val="0"/>
        <w:topLinePunct w:val="0"/>
        <w:autoSpaceDE/>
        <w:autoSpaceDN/>
        <w:bidi w:val="0"/>
        <w:jc w:val="both"/>
        <w:rPr>
          <w:rFonts w:ascii="宋体" w:hAnsi="宋体" w:cs="宋体"/>
          <w:color w:val="auto"/>
          <w:sz w:val="21"/>
          <w:szCs w:val="21"/>
          <w:highlight w:val="none"/>
        </w:rPr>
      </w:pPr>
      <w:bookmarkStart w:id="553" w:name="_Toc27114"/>
      <w:bookmarkStart w:id="554" w:name="_Toc22817"/>
      <w:bookmarkStart w:id="555" w:name="_Toc20708"/>
      <w:bookmarkStart w:id="556" w:name="_Toc29257"/>
      <w:bookmarkStart w:id="557" w:name="_Toc2060"/>
      <w:bookmarkStart w:id="558" w:name="_Toc7142"/>
      <w:bookmarkStart w:id="559" w:name="_Toc31417"/>
      <w:bookmarkStart w:id="560" w:name="_Toc7226"/>
      <w:bookmarkStart w:id="561" w:name="_Toc22608"/>
      <w:bookmarkStart w:id="562" w:name="_Toc30638"/>
      <w:bookmarkStart w:id="563" w:name="_Toc14459"/>
      <w:bookmarkStart w:id="564" w:name="_Toc16302"/>
      <w:r>
        <w:rPr>
          <w:rFonts w:hint="eastAsia" w:ascii="宋体" w:hAnsi="宋体" w:cs="宋体"/>
          <w:color w:val="auto"/>
          <w:sz w:val="21"/>
          <w:szCs w:val="21"/>
          <w:highlight w:val="none"/>
        </w:rPr>
        <w:t>投标文件的补充、修改与撤回</w:t>
      </w:r>
      <w:bookmarkEnd w:id="553"/>
      <w:bookmarkEnd w:id="554"/>
      <w:bookmarkEnd w:id="555"/>
      <w:bookmarkEnd w:id="556"/>
      <w:bookmarkEnd w:id="557"/>
      <w:bookmarkEnd w:id="558"/>
      <w:bookmarkEnd w:id="559"/>
      <w:bookmarkEnd w:id="560"/>
      <w:bookmarkEnd w:id="561"/>
      <w:bookmarkEnd w:id="562"/>
      <w:bookmarkEnd w:id="563"/>
      <w:bookmarkEnd w:id="564"/>
    </w:p>
    <w:p w14:paraId="285730EF">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投标人在提交投标文件截止时间前，可以对所提交的投标文件进行补充、修改或撤回，并以纸质版形式通知采购代理机构。在提交投标文件截止时间之后，投标人不得对其投标文件做出任何的补充和修改。</w:t>
      </w:r>
    </w:p>
    <w:p w14:paraId="1B606297">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投标人对投标文件的补充、修改的内容应当按采购文件要求的签署、盖章、密封后，作为投标文件的组成部分。并按照采购文件规定密封和标记的要求提交，并在投标文件密封袋上标明“补充、修改”字样。</w:t>
      </w:r>
    </w:p>
    <w:p w14:paraId="41EBEDA1">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投标文件一经递交不予退还。</w:t>
      </w:r>
    </w:p>
    <w:p w14:paraId="0121579E">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在提交投标文件截止时间至投标有效期满之前，投标人不得撤回其投标，否则其投标保证金将不予退还。</w:t>
      </w:r>
    </w:p>
    <w:p w14:paraId="084BCBC5">
      <w:pPr>
        <w:pStyle w:val="9"/>
        <w:pageBreakBefore w:val="0"/>
        <w:kinsoku/>
        <w:wordWrap/>
        <w:topLinePunct w:val="0"/>
        <w:autoSpaceDE/>
        <w:autoSpaceDN/>
        <w:bidi w:val="0"/>
        <w:spacing w:before="0"/>
        <w:jc w:val="both"/>
        <w:rPr>
          <w:color w:val="auto"/>
          <w:highlight w:val="none"/>
        </w:rPr>
      </w:pPr>
    </w:p>
    <w:p w14:paraId="7B759522">
      <w:pPr>
        <w:pStyle w:val="4"/>
        <w:pageBreakBefore w:val="0"/>
        <w:numPr>
          <w:ilvl w:val="0"/>
          <w:numId w:val="5"/>
        </w:numPr>
        <w:kinsoku/>
        <w:wordWrap/>
        <w:topLinePunct w:val="0"/>
        <w:autoSpaceDE/>
        <w:autoSpaceDN/>
        <w:bidi w:val="0"/>
        <w:spacing w:before="0" w:after="0" w:line="360" w:lineRule="auto"/>
        <w:jc w:val="both"/>
        <w:rPr>
          <w:rFonts w:ascii="宋体" w:hAnsi="宋体" w:cs="宋体"/>
          <w:color w:val="auto"/>
          <w:highlight w:val="none"/>
        </w:rPr>
      </w:pPr>
      <w:bookmarkStart w:id="565" w:name="_Toc3070"/>
      <w:bookmarkStart w:id="566" w:name="_Toc13462"/>
      <w:bookmarkStart w:id="567" w:name="_Toc16630"/>
      <w:bookmarkStart w:id="568" w:name="_Toc5162"/>
      <w:bookmarkStart w:id="569" w:name="_Toc14771"/>
      <w:bookmarkStart w:id="570" w:name="_Toc27285"/>
      <w:bookmarkStart w:id="571" w:name="_Toc27550"/>
      <w:bookmarkStart w:id="572" w:name="_Toc2076"/>
      <w:bookmarkStart w:id="573" w:name="_Toc7410"/>
      <w:bookmarkStart w:id="574" w:name="_Toc32489"/>
      <w:bookmarkStart w:id="575" w:name="_Toc16688"/>
      <w:bookmarkStart w:id="576" w:name="_Toc30623"/>
      <w:r>
        <w:rPr>
          <w:rFonts w:hint="eastAsia" w:ascii="宋体" w:hAnsi="宋体" w:cs="宋体"/>
          <w:color w:val="auto"/>
          <w:highlight w:val="none"/>
        </w:rPr>
        <w:t>开标与评标</w:t>
      </w:r>
      <w:bookmarkEnd w:id="565"/>
      <w:bookmarkEnd w:id="566"/>
      <w:bookmarkEnd w:id="567"/>
      <w:bookmarkEnd w:id="568"/>
      <w:bookmarkEnd w:id="569"/>
      <w:bookmarkEnd w:id="570"/>
      <w:bookmarkEnd w:id="571"/>
      <w:bookmarkEnd w:id="572"/>
      <w:bookmarkEnd w:id="573"/>
      <w:bookmarkEnd w:id="574"/>
      <w:bookmarkEnd w:id="575"/>
      <w:bookmarkEnd w:id="576"/>
    </w:p>
    <w:p w14:paraId="6C775F8E">
      <w:pPr>
        <w:pStyle w:val="5"/>
        <w:pageBreakBefore w:val="0"/>
        <w:widowControl w:val="0"/>
        <w:numPr>
          <w:ilvl w:val="0"/>
          <w:numId w:val="6"/>
        </w:numPr>
        <w:kinsoku/>
        <w:wordWrap/>
        <w:overflowPunct w:val="0"/>
        <w:topLinePunct w:val="0"/>
        <w:autoSpaceDE/>
        <w:autoSpaceDN/>
        <w:bidi w:val="0"/>
        <w:jc w:val="both"/>
        <w:rPr>
          <w:rFonts w:ascii="宋体" w:hAnsi="宋体" w:cs="宋体"/>
          <w:color w:val="auto"/>
          <w:sz w:val="21"/>
          <w:szCs w:val="21"/>
          <w:highlight w:val="none"/>
        </w:rPr>
      </w:pPr>
      <w:bookmarkStart w:id="577" w:name="_Toc5614"/>
      <w:bookmarkStart w:id="578" w:name="_Toc15467"/>
      <w:bookmarkStart w:id="579" w:name="_Toc30746"/>
      <w:bookmarkStart w:id="580" w:name="_Toc5488"/>
      <w:bookmarkStart w:id="581" w:name="_Toc18456"/>
      <w:bookmarkStart w:id="582" w:name="_Toc5731"/>
      <w:bookmarkStart w:id="583" w:name="_Toc26177"/>
      <w:bookmarkStart w:id="584" w:name="_Toc25223"/>
      <w:bookmarkStart w:id="585" w:name="_Toc31671"/>
      <w:bookmarkStart w:id="586" w:name="_Toc31653"/>
      <w:bookmarkStart w:id="587" w:name="_Toc19763"/>
      <w:bookmarkStart w:id="588" w:name="_Toc19344"/>
      <w:r>
        <w:rPr>
          <w:rFonts w:hint="eastAsia" w:ascii="宋体" w:hAnsi="宋体" w:cs="宋体"/>
          <w:color w:val="auto"/>
          <w:sz w:val="21"/>
          <w:szCs w:val="21"/>
          <w:highlight w:val="none"/>
        </w:rPr>
        <w:t>开标</w:t>
      </w:r>
      <w:bookmarkEnd w:id="577"/>
      <w:bookmarkEnd w:id="578"/>
      <w:bookmarkEnd w:id="579"/>
      <w:bookmarkEnd w:id="580"/>
      <w:bookmarkEnd w:id="581"/>
      <w:bookmarkEnd w:id="582"/>
      <w:bookmarkEnd w:id="583"/>
      <w:bookmarkEnd w:id="584"/>
      <w:bookmarkEnd w:id="585"/>
      <w:bookmarkEnd w:id="586"/>
      <w:bookmarkEnd w:id="587"/>
      <w:bookmarkEnd w:id="588"/>
    </w:p>
    <w:p w14:paraId="657F2178">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采购代理机构按本采购文件所规定的时间和地点公开开标，并邀请所有投标人代表参加。</w:t>
      </w:r>
    </w:p>
    <w:p w14:paraId="3977AB91">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开标程序：</w:t>
      </w:r>
    </w:p>
    <w:p w14:paraId="60BC101B">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开标会由采购代理机构主持，投标人的法定代表人或其授权代表携带有效身份证明准时参加开标会并签名报到。</w:t>
      </w:r>
    </w:p>
    <w:p w14:paraId="63BE3E2D">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开标时，由投标人或者其推选的代表检查投标文件的密封情况；经确认无误后，由采购人或者采购代理机构工作人员当众拆封，宣布投标人名称、投标价格和采购文件规定的需要宣布的其他内容；</w:t>
      </w:r>
    </w:p>
    <w:p w14:paraId="1AFDCB4F">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代表对开标过程和开标记录有异议，以及认为采购人、采购代理机构相关工作人员有需要回避的情形的，应当场提出询问或者回避申请。开标现场未提出异议的视为认同开标结果。开标结束后，投标人对开标过程和开标记录不得再提出异议。</w:t>
      </w:r>
    </w:p>
    <w:p w14:paraId="2EF2E669">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投标人未参加开标的，视同认可开标结果。</w:t>
      </w:r>
    </w:p>
    <w:p w14:paraId="007DEA18">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合格投标人不足3家的，不得开标；</w:t>
      </w:r>
    </w:p>
    <w:p w14:paraId="6B72FBC3">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开标过程应当由采购人或者采购代理机构负责记录，由参加开标的各投标人代表和相关工作人员签字确认。</w:t>
      </w:r>
    </w:p>
    <w:p w14:paraId="19F5E1CF">
      <w:pPr>
        <w:pageBreakBefore w:val="0"/>
        <w:widowControl w:val="0"/>
        <w:kinsoku/>
        <w:wordWrap/>
        <w:topLinePunct w:val="0"/>
        <w:autoSpaceDE/>
        <w:autoSpaceDN/>
        <w:bidi w:val="0"/>
        <w:adjustRightInd/>
        <w:snapToGrid/>
        <w:ind w:left="567"/>
        <w:jc w:val="both"/>
        <w:rPr>
          <w:rFonts w:ascii="宋体" w:hAnsi="宋体" w:cs="宋体"/>
          <w:color w:val="auto"/>
          <w:highlight w:val="none"/>
        </w:rPr>
      </w:pPr>
    </w:p>
    <w:p w14:paraId="1661AEDF">
      <w:pPr>
        <w:pStyle w:val="5"/>
        <w:pageBreakBefore w:val="0"/>
        <w:widowControl w:val="0"/>
        <w:numPr>
          <w:ilvl w:val="0"/>
          <w:numId w:val="6"/>
        </w:numPr>
        <w:kinsoku/>
        <w:wordWrap/>
        <w:overflowPunct w:val="0"/>
        <w:topLinePunct w:val="0"/>
        <w:autoSpaceDE/>
        <w:autoSpaceDN/>
        <w:bidi w:val="0"/>
        <w:jc w:val="both"/>
        <w:rPr>
          <w:rFonts w:ascii="宋体" w:hAnsi="宋体" w:cs="宋体"/>
          <w:color w:val="auto"/>
          <w:sz w:val="21"/>
          <w:szCs w:val="21"/>
          <w:highlight w:val="none"/>
        </w:rPr>
      </w:pPr>
      <w:bookmarkStart w:id="589" w:name="_Toc21706"/>
      <w:bookmarkStart w:id="590" w:name="_Toc12098"/>
      <w:bookmarkStart w:id="591" w:name="_Toc32052"/>
      <w:bookmarkStart w:id="592" w:name="_Toc4830"/>
      <w:bookmarkStart w:id="593" w:name="_Toc16155"/>
      <w:bookmarkStart w:id="594" w:name="_Toc3528"/>
      <w:bookmarkStart w:id="595" w:name="_Toc5907"/>
      <w:bookmarkStart w:id="596" w:name="_Toc15489"/>
      <w:bookmarkStart w:id="597" w:name="_Toc23194"/>
      <w:bookmarkStart w:id="598" w:name="_Toc5768"/>
      <w:bookmarkStart w:id="599" w:name="_Toc16477"/>
      <w:bookmarkStart w:id="600" w:name="_Toc22941"/>
      <w:r>
        <w:rPr>
          <w:rFonts w:hint="eastAsia" w:ascii="宋体" w:hAnsi="宋体" w:cs="宋体"/>
          <w:color w:val="auto"/>
          <w:sz w:val="21"/>
          <w:szCs w:val="21"/>
          <w:highlight w:val="none"/>
        </w:rPr>
        <w:t>评标委员会及评标方法</w:t>
      </w:r>
      <w:bookmarkEnd w:id="589"/>
      <w:bookmarkEnd w:id="590"/>
      <w:bookmarkEnd w:id="591"/>
      <w:bookmarkEnd w:id="592"/>
      <w:bookmarkEnd w:id="593"/>
      <w:bookmarkEnd w:id="594"/>
      <w:bookmarkEnd w:id="595"/>
      <w:bookmarkEnd w:id="596"/>
      <w:bookmarkEnd w:id="597"/>
      <w:bookmarkEnd w:id="598"/>
      <w:bookmarkEnd w:id="599"/>
      <w:bookmarkEnd w:id="600"/>
    </w:p>
    <w:p w14:paraId="08012319">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依法组成评标委员会，评标委员会由采购人和有关技术、经济等方面的专家组成，成员人数为</w:t>
      </w:r>
      <w:r>
        <w:rPr>
          <w:rFonts w:hint="eastAsia" w:ascii="宋体" w:hAnsi="宋体" w:cs="宋体"/>
          <w:color w:val="auto"/>
          <w:szCs w:val="21"/>
          <w:highlight w:val="none"/>
          <w:lang w:val="en-US" w:eastAsia="zh-CN"/>
        </w:rPr>
        <w:t>七</w:t>
      </w:r>
      <w:r>
        <w:rPr>
          <w:rFonts w:hint="eastAsia" w:ascii="宋体" w:hAnsi="宋体" w:cs="宋体"/>
          <w:color w:val="auto"/>
          <w:szCs w:val="21"/>
          <w:highlight w:val="none"/>
        </w:rPr>
        <w:t>人，其中技术、经济等方面的专家不少于成员总数的三分之二，并负责评标工作。</w:t>
      </w:r>
    </w:p>
    <w:p w14:paraId="16134639">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评审方法：本次采购的评审方法采用最低评标价法。</w:t>
      </w:r>
    </w:p>
    <w:p w14:paraId="7196E710">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定标原则：本项目按标段A、B、C、D、E顺序进行评审，各标段根据</w:t>
      </w:r>
      <w:r>
        <w:rPr>
          <w:rFonts w:hint="eastAsia" w:ascii="宋体" w:hAnsi="宋体" w:cs="宋体"/>
          <w:color w:val="auto"/>
          <w:szCs w:val="21"/>
          <w:highlight w:val="none"/>
          <w:lang w:val="en-US" w:eastAsia="zh-CN"/>
        </w:rPr>
        <w:t>投标资料表</w:t>
      </w:r>
      <w:r>
        <w:rPr>
          <w:rFonts w:hint="eastAsia" w:ascii="宋体" w:hAnsi="宋体" w:cs="宋体"/>
          <w:color w:val="auto"/>
          <w:szCs w:val="21"/>
          <w:highlight w:val="none"/>
        </w:rPr>
        <w:t>“报价方式”计算出的暂定总价</w:t>
      </w: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含税价</w:t>
      </w:r>
      <w:r>
        <w:rPr>
          <w:rFonts w:hint="eastAsia" w:ascii="宋体" w:hAnsi="宋体" w:cs="宋体"/>
          <w:color w:val="auto"/>
          <w:szCs w:val="21"/>
          <w:highlight w:val="none"/>
          <w:lang w:eastAsia="zh-CN"/>
        </w:rPr>
        <w:t>）</w:t>
      </w:r>
      <w:r>
        <w:rPr>
          <w:rFonts w:hint="eastAsia" w:ascii="宋体" w:hAnsi="宋体" w:cs="宋体"/>
          <w:color w:val="auto"/>
          <w:szCs w:val="21"/>
          <w:highlight w:val="none"/>
        </w:rPr>
        <w:t>进行价格评审，暂定总价</w:t>
      </w: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含税价</w:t>
      </w:r>
      <w:r>
        <w:rPr>
          <w:rFonts w:hint="eastAsia" w:ascii="宋体" w:hAnsi="宋体" w:cs="宋体"/>
          <w:color w:val="auto"/>
          <w:szCs w:val="21"/>
          <w:highlight w:val="none"/>
          <w:lang w:eastAsia="zh-CN"/>
        </w:rPr>
        <w:t>）</w:t>
      </w:r>
      <w:r>
        <w:rPr>
          <w:rFonts w:hint="eastAsia" w:ascii="宋体" w:hAnsi="宋体" w:cs="宋体"/>
          <w:color w:val="auto"/>
          <w:szCs w:val="21"/>
          <w:highlight w:val="none"/>
        </w:rPr>
        <w:t>最低者为第一成交候选人，暂定总价</w:t>
      </w: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含税价</w:t>
      </w:r>
      <w:r>
        <w:rPr>
          <w:rFonts w:hint="eastAsia" w:ascii="宋体" w:hAnsi="宋体" w:cs="宋体"/>
          <w:color w:val="auto"/>
          <w:szCs w:val="21"/>
          <w:highlight w:val="none"/>
          <w:lang w:eastAsia="zh-CN"/>
        </w:rPr>
        <w:t>）</w:t>
      </w:r>
      <w:r>
        <w:rPr>
          <w:rFonts w:hint="eastAsia" w:ascii="宋体" w:hAnsi="宋体" w:cs="宋体"/>
          <w:color w:val="auto"/>
          <w:szCs w:val="21"/>
          <w:highlight w:val="none"/>
        </w:rPr>
        <w:t>次低者为第二成交候选人，如此类推；每个标段各推荐2名</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。以“一用一备，优先使用最低价服务单位（派单比例不少于60%）”的派单原则开展服务。如出现投标暂定总价</w:t>
      </w: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含税价</w:t>
      </w:r>
      <w:r>
        <w:rPr>
          <w:rFonts w:hint="eastAsia" w:ascii="宋体" w:hAnsi="宋体" w:cs="宋体"/>
          <w:color w:val="auto"/>
          <w:szCs w:val="21"/>
          <w:highlight w:val="none"/>
          <w:lang w:eastAsia="zh-CN"/>
        </w:rPr>
        <w:t>）</w:t>
      </w:r>
      <w:r>
        <w:rPr>
          <w:rFonts w:hint="eastAsia" w:ascii="宋体" w:hAnsi="宋体" w:cs="宋体"/>
          <w:color w:val="auto"/>
          <w:szCs w:val="21"/>
          <w:highlight w:val="none"/>
        </w:rPr>
        <w:t>一致的情况，则采用随机抽取的方法，确定报价排序。抽取方法及具体步骤：①确定球数及球号：按报价一致的投标人家数确定球数，并按1、2、3、4……的顺序编号；②确定编号：按投标人签到的先后顺序对报价一致的投标人进行编号，如1、2、3、4……；③将球放入不透明的抽签箱中；④由评标委员会组长进行抽取，优先抽取出的球号对应的投标人报价排序在前，后续抽取出的球号对应的投标人报价排序在后，以此类推。</w:t>
      </w:r>
    </w:p>
    <w:p w14:paraId="6AACBF0A">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评标委员会对投标文件的评审内容，分为资格性和符合性审查和价格评议。评审流程包括符合性检查、澄清问题、推荐</w:t>
      </w:r>
      <w:r>
        <w:rPr>
          <w:rFonts w:hint="eastAsia" w:ascii="宋体" w:hAnsi="宋体" w:cs="宋体"/>
          <w:color w:val="auto"/>
          <w:szCs w:val="21"/>
          <w:highlight w:val="none"/>
          <w:lang w:eastAsia="zh-CN"/>
        </w:rPr>
        <w:t>成交候选人</w:t>
      </w:r>
      <w:r>
        <w:rPr>
          <w:rFonts w:hint="eastAsia" w:ascii="宋体" w:hAnsi="宋体" w:cs="宋体"/>
          <w:color w:val="auto"/>
          <w:szCs w:val="21"/>
          <w:highlight w:val="none"/>
        </w:rPr>
        <w:t>或确定</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、编写评标报告等步骤。</w:t>
      </w:r>
    </w:p>
    <w:p w14:paraId="1F35994A">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在评标期间，评标委员会可要求投标人对其投标文件进行澄清，但不得寻求、提供或允许对投标价格等实质性内容做任何更改。有关澄清的要求和答复均应以纸质版形式提交，如投标人拒绝评标委员会要求对其投标文件进行澄清的要求，所造成的后果由投标人自行承担。</w:t>
      </w:r>
    </w:p>
    <w:p w14:paraId="757BA7C6">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评标委员会和采购人在评审过程中有权核对投标文件中相关材料的原件，投标人在接到通知后应在评标委员会规定的时间内提交原件核查。</w:t>
      </w:r>
    </w:p>
    <w:p w14:paraId="11E63412">
      <w:pPr>
        <w:pageBreakBefore w:val="0"/>
        <w:kinsoku/>
        <w:wordWrap/>
        <w:topLinePunct w:val="0"/>
        <w:autoSpaceDE/>
        <w:autoSpaceDN/>
        <w:bidi w:val="0"/>
        <w:jc w:val="both"/>
        <w:rPr>
          <w:rFonts w:ascii="宋体" w:hAnsi="宋体" w:cs="宋体"/>
          <w:color w:val="auto"/>
          <w:highlight w:val="none"/>
        </w:rPr>
      </w:pPr>
    </w:p>
    <w:p w14:paraId="37F6589E">
      <w:pPr>
        <w:pStyle w:val="5"/>
        <w:pageBreakBefore w:val="0"/>
        <w:widowControl w:val="0"/>
        <w:numPr>
          <w:ilvl w:val="0"/>
          <w:numId w:val="6"/>
        </w:numPr>
        <w:kinsoku/>
        <w:wordWrap/>
        <w:overflowPunct w:val="0"/>
        <w:topLinePunct w:val="0"/>
        <w:autoSpaceDE/>
        <w:autoSpaceDN/>
        <w:bidi w:val="0"/>
        <w:jc w:val="both"/>
        <w:rPr>
          <w:rFonts w:ascii="宋体" w:hAnsi="宋体" w:cs="宋体"/>
          <w:color w:val="auto"/>
          <w:sz w:val="21"/>
          <w:szCs w:val="21"/>
          <w:highlight w:val="none"/>
        </w:rPr>
      </w:pPr>
      <w:bookmarkStart w:id="601" w:name="_Toc29568"/>
      <w:bookmarkStart w:id="602" w:name="_Toc6010"/>
      <w:bookmarkStart w:id="603" w:name="_Toc15001"/>
      <w:bookmarkStart w:id="604" w:name="_Toc23695"/>
      <w:bookmarkStart w:id="605" w:name="_Toc10442"/>
      <w:bookmarkStart w:id="606" w:name="_Toc45"/>
      <w:bookmarkStart w:id="607" w:name="_Toc4198"/>
      <w:bookmarkStart w:id="608" w:name="_Toc19155"/>
      <w:bookmarkStart w:id="609" w:name="_Toc13164"/>
      <w:bookmarkStart w:id="610" w:name="_Toc16096"/>
      <w:bookmarkStart w:id="611" w:name="_Toc2958"/>
      <w:bookmarkStart w:id="612" w:name="_Toc13746"/>
      <w:r>
        <w:rPr>
          <w:rFonts w:hint="eastAsia" w:ascii="宋体" w:hAnsi="宋体" w:cs="宋体"/>
          <w:color w:val="auto"/>
          <w:sz w:val="21"/>
          <w:szCs w:val="21"/>
          <w:highlight w:val="none"/>
        </w:rPr>
        <w:t>评审原则及评标过程的保密</w:t>
      </w:r>
      <w:bookmarkEnd w:id="601"/>
      <w:bookmarkEnd w:id="602"/>
      <w:bookmarkEnd w:id="603"/>
      <w:bookmarkEnd w:id="604"/>
      <w:bookmarkEnd w:id="605"/>
      <w:bookmarkEnd w:id="606"/>
      <w:bookmarkEnd w:id="607"/>
      <w:bookmarkEnd w:id="608"/>
      <w:bookmarkEnd w:id="609"/>
      <w:bookmarkEnd w:id="610"/>
      <w:bookmarkEnd w:id="611"/>
      <w:bookmarkEnd w:id="612"/>
    </w:p>
    <w:p w14:paraId="3D256AEC">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评审的基本原则：评标委员会将依据采购文件的规定，遵循“公开、公平、公正、择优、信用”的原则进行评审工作。</w:t>
      </w:r>
    </w:p>
    <w:p w14:paraId="4DD0B40F">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从公开开标到签订合同，凡与审查、澄清、评审和投标有关的资料以及定标意见相关的事项，均不得向投标人及与评标无关的其他人透露。</w:t>
      </w:r>
    </w:p>
    <w:p w14:paraId="03B26966">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任何单位和个人不得非法干预、影响评标的过程和结果。</w:t>
      </w:r>
    </w:p>
    <w:p w14:paraId="7254F27D">
      <w:pPr>
        <w:pageBreakBefore w:val="0"/>
        <w:kinsoku/>
        <w:wordWrap/>
        <w:topLinePunct w:val="0"/>
        <w:autoSpaceDE/>
        <w:autoSpaceDN/>
        <w:bidi w:val="0"/>
        <w:jc w:val="both"/>
        <w:rPr>
          <w:rFonts w:ascii="宋体" w:hAnsi="宋体" w:cs="宋体"/>
          <w:color w:val="auto"/>
          <w:highlight w:val="none"/>
        </w:rPr>
      </w:pPr>
    </w:p>
    <w:p w14:paraId="39BF856D">
      <w:pPr>
        <w:pStyle w:val="5"/>
        <w:pageBreakBefore w:val="0"/>
        <w:widowControl w:val="0"/>
        <w:numPr>
          <w:ilvl w:val="0"/>
          <w:numId w:val="6"/>
        </w:numPr>
        <w:kinsoku/>
        <w:wordWrap/>
        <w:overflowPunct w:val="0"/>
        <w:topLinePunct w:val="0"/>
        <w:autoSpaceDE/>
        <w:autoSpaceDN/>
        <w:bidi w:val="0"/>
        <w:jc w:val="both"/>
        <w:rPr>
          <w:rFonts w:ascii="宋体" w:hAnsi="宋体" w:cs="宋体"/>
          <w:color w:val="auto"/>
          <w:sz w:val="21"/>
          <w:szCs w:val="21"/>
          <w:highlight w:val="none"/>
        </w:rPr>
      </w:pPr>
      <w:bookmarkStart w:id="613" w:name="_Toc18555"/>
      <w:bookmarkStart w:id="614" w:name="_Toc28157"/>
      <w:bookmarkStart w:id="615" w:name="_Toc12481"/>
      <w:bookmarkStart w:id="616" w:name="_Toc19096"/>
      <w:bookmarkStart w:id="617" w:name="_Toc8333"/>
      <w:bookmarkStart w:id="618" w:name="_Toc8542"/>
      <w:bookmarkStart w:id="619" w:name="_Toc19875"/>
      <w:bookmarkStart w:id="620" w:name="_Toc11460"/>
      <w:bookmarkStart w:id="621" w:name="_Toc9043"/>
      <w:bookmarkStart w:id="622" w:name="_Toc20503"/>
      <w:bookmarkStart w:id="623" w:name="_Toc17139"/>
      <w:r>
        <w:rPr>
          <w:rFonts w:hint="eastAsia" w:ascii="宋体" w:hAnsi="宋体" w:cs="宋体"/>
          <w:color w:val="auto"/>
          <w:sz w:val="21"/>
          <w:szCs w:val="21"/>
          <w:highlight w:val="none"/>
        </w:rPr>
        <w:t>评标程序</w:t>
      </w:r>
      <w:bookmarkEnd w:id="613"/>
      <w:bookmarkEnd w:id="614"/>
      <w:bookmarkEnd w:id="615"/>
      <w:bookmarkEnd w:id="616"/>
      <w:bookmarkEnd w:id="617"/>
      <w:bookmarkEnd w:id="618"/>
      <w:bookmarkEnd w:id="619"/>
      <w:bookmarkEnd w:id="620"/>
      <w:bookmarkEnd w:id="621"/>
      <w:bookmarkEnd w:id="622"/>
      <w:bookmarkEnd w:id="623"/>
    </w:p>
    <w:p w14:paraId="29448E97">
      <w:pPr>
        <w:pageBreakBefore w:val="0"/>
        <w:widowControl w:val="0"/>
        <w:numPr>
          <w:ilvl w:val="1"/>
          <w:numId w:val="6"/>
        </w:numPr>
        <w:kinsoku/>
        <w:wordWrap/>
        <w:overflowPunct w:val="0"/>
        <w:topLinePunct w:val="0"/>
        <w:autoSpaceDE/>
        <w:autoSpaceDN/>
        <w:bidi w:val="0"/>
        <w:jc w:val="both"/>
        <w:rPr>
          <w:rFonts w:ascii="宋体" w:hAnsi="宋体" w:cs="宋体"/>
          <w:b/>
          <w:bCs/>
          <w:color w:val="auto"/>
          <w:szCs w:val="21"/>
          <w:highlight w:val="none"/>
        </w:rPr>
      </w:pPr>
      <w:r>
        <w:rPr>
          <w:rFonts w:hint="eastAsia" w:ascii="宋体" w:hAnsi="宋体" w:cs="宋体"/>
          <w:b/>
          <w:bCs/>
          <w:color w:val="auto"/>
          <w:szCs w:val="21"/>
          <w:highlight w:val="none"/>
        </w:rPr>
        <w:t>资格性、符合性审查</w:t>
      </w:r>
    </w:p>
    <w:p w14:paraId="05B18A17">
      <w:pPr>
        <w:pageBreakBefore w:val="0"/>
        <w:widowControl w:val="0"/>
        <w:kinsoku/>
        <w:wordWrap/>
        <w:overflowPunct w:val="0"/>
        <w:topLinePunct w:val="0"/>
        <w:autoSpaceDE/>
        <w:autoSpaceDN/>
        <w:bidi w:val="0"/>
        <w:ind w:firstLine="420" w:firstLineChars="200"/>
        <w:jc w:val="both"/>
        <w:rPr>
          <w:rFonts w:ascii="宋体" w:hAnsi="宋体" w:cs="宋体"/>
          <w:color w:val="auto"/>
          <w:szCs w:val="21"/>
          <w:highlight w:val="none"/>
        </w:rPr>
      </w:pPr>
      <w:r>
        <w:rPr>
          <w:rFonts w:hint="eastAsia" w:ascii="宋体" w:hAnsi="宋体" w:cs="宋体"/>
          <w:color w:val="auto"/>
          <w:szCs w:val="21"/>
          <w:highlight w:val="none"/>
        </w:rPr>
        <w:t>公开采购项目开标结束后，评标委员会根据《资格性、符合性审查表》将依法对投标人进行资格性、符合性审查。投标人必须严格按照《资格性、符合性审查表》的评审内容的要求如实提供证明材料并应加盖投标人公章，对缺漏或不符合项将直接导致无效投标。合格投标人不足3家的，不得评标。未通过资格性、符合性审查的投标人不进入</w:t>
      </w:r>
      <w:r>
        <w:rPr>
          <w:rFonts w:hint="eastAsia" w:hAnsi="宋体" w:cs="宋体"/>
          <w:color w:val="auto"/>
          <w:szCs w:val="21"/>
          <w:highlight w:val="none"/>
        </w:rPr>
        <w:t>评标阶段</w:t>
      </w:r>
      <w:r>
        <w:rPr>
          <w:rFonts w:hint="eastAsia" w:ascii="宋体" w:hAnsi="宋体" w:cs="宋体"/>
          <w:color w:val="auto"/>
          <w:szCs w:val="21"/>
          <w:highlight w:val="none"/>
        </w:rPr>
        <w:t>的评审。</w:t>
      </w:r>
    </w:p>
    <w:p w14:paraId="5C8B45F0">
      <w:pPr>
        <w:pageBreakBefore w:val="0"/>
        <w:kinsoku/>
        <w:wordWrap/>
        <w:topLinePunct w:val="0"/>
        <w:autoSpaceDE/>
        <w:autoSpaceDN/>
        <w:bidi w:val="0"/>
        <w:jc w:val="both"/>
        <w:rPr>
          <w:b/>
          <w:bCs/>
          <w:color w:val="auto"/>
          <w:highlight w:val="none"/>
        </w:rPr>
      </w:pPr>
      <w:r>
        <w:rPr>
          <w:b/>
          <w:bCs/>
          <w:color w:val="auto"/>
          <w:highlight w:val="none"/>
        </w:rPr>
        <w:t>《资格性</w:t>
      </w:r>
      <w:r>
        <w:rPr>
          <w:rFonts w:hint="eastAsia"/>
          <w:b/>
          <w:bCs/>
          <w:color w:val="auto"/>
          <w:highlight w:val="none"/>
        </w:rPr>
        <w:t>、符合性</w:t>
      </w:r>
      <w:r>
        <w:rPr>
          <w:b/>
          <w:bCs/>
          <w:color w:val="auto"/>
          <w:highlight w:val="none"/>
        </w:rPr>
        <w:t>审查表》</w:t>
      </w:r>
    </w:p>
    <w:tbl>
      <w:tblPr>
        <w:tblStyle w:val="28"/>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99"/>
        <w:gridCol w:w="7823"/>
      </w:tblGrid>
      <w:tr w14:paraId="26ABE1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0" w:type="pct"/>
            <w:tcBorders>
              <w:top w:val="single" w:color="auto" w:sz="4" w:space="0"/>
              <w:left w:val="single" w:color="auto" w:sz="4" w:space="0"/>
              <w:bottom w:val="single" w:color="auto" w:sz="4" w:space="0"/>
              <w:right w:val="single" w:color="auto" w:sz="4" w:space="0"/>
              <w:tl2br w:val="nil"/>
              <w:tr2bl w:val="nil"/>
            </w:tcBorders>
            <w:vAlign w:val="center"/>
          </w:tcPr>
          <w:p w14:paraId="3976DC1D">
            <w:pPr>
              <w:pageBreakBefore w:val="0"/>
              <w:kinsoku/>
              <w:wordWrap/>
              <w:topLinePunct w:val="0"/>
              <w:autoSpaceDE/>
              <w:autoSpaceDN/>
              <w:bidi w:val="0"/>
              <w:jc w:val="both"/>
              <w:rPr>
                <w:rFonts w:ascii="宋体" w:hAnsi="宋体" w:cs="宋体"/>
                <w:b/>
                <w:color w:val="auto"/>
                <w:szCs w:val="21"/>
                <w:highlight w:val="none"/>
              </w:rPr>
            </w:pPr>
            <w:r>
              <w:rPr>
                <w:rFonts w:hint="eastAsia" w:ascii="宋体" w:hAnsi="宋体" w:cs="宋体"/>
                <w:b/>
                <w:color w:val="auto"/>
                <w:szCs w:val="21"/>
                <w:highlight w:val="none"/>
              </w:rPr>
              <w:t>序号</w:t>
            </w: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6DE7D169">
            <w:pPr>
              <w:pageBreakBefore w:val="0"/>
              <w:kinsoku/>
              <w:wordWrap/>
              <w:topLinePunct w:val="0"/>
              <w:autoSpaceDE/>
              <w:autoSpaceDN/>
              <w:bidi w:val="0"/>
              <w:jc w:val="both"/>
              <w:rPr>
                <w:rFonts w:ascii="宋体" w:hAnsi="宋体" w:cs="宋体"/>
                <w:b/>
                <w:color w:val="auto"/>
                <w:szCs w:val="21"/>
                <w:highlight w:val="none"/>
              </w:rPr>
            </w:pPr>
            <w:r>
              <w:rPr>
                <w:rFonts w:hint="eastAsia" w:ascii="宋体" w:hAnsi="宋体" w:cs="宋体"/>
                <w:b/>
                <w:color w:val="auto"/>
                <w:szCs w:val="21"/>
                <w:highlight w:val="none"/>
              </w:rPr>
              <w:t>评 审 内 容</w:t>
            </w:r>
          </w:p>
        </w:tc>
      </w:tr>
      <w:tr w14:paraId="6BB685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0" w:type="pct"/>
            <w:vMerge w:val="restart"/>
            <w:tcBorders>
              <w:top w:val="single" w:color="auto" w:sz="4" w:space="0"/>
              <w:left w:val="single" w:color="auto" w:sz="4" w:space="0"/>
              <w:right w:val="single" w:color="auto" w:sz="4" w:space="0"/>
              <w:tl2br w:val="nil"/>
              <w:tr2bl w:val="nil"/>
            </w:tcBorders>
            <w:vAlign w:val="center"/>
          </w:tcPr>
          <w:p w14:paraId="023C7D4F">
            <w:pPr>
              <w:pageBreakBefore w:val="0"/>
              <w:numPr>
                <w:ilvl w:val="0"/>
                <w:numId w:val="0"/>
              </w:numPr>
              <w:tabs>
                <w:tab w:val="left" w:pos="176"/>
              </w:tabs>
              <w:kinsoku/>
              <w:wordWrap/>
              <w:topLinePunct w:val="0"/>
              <w:autoSpaceDE/>
              <w:autoSpaceDN/>
              <w:bidi w:val="0"/>
              <w:ind w:left="420" w:leftChars="0" w:hanging="420" w:firstLineChars="0"/>
              <w:jc w:val="center"/>
              <w:rPr>
                <w:rFonts w:ascii="宋体" w:hAnsi="宋体" w:cs="宋体"/>
                <w:color w:val="auto"/>
                <w:szCs w:val="21"/>
                <w:highlight w:val="none"/>
              </w:rPr>
            </w:pPr>
            <w:r>
              <w:rPr>
                <w:rFonts w:hint="default" w:ascii="宋体" w:hAnsi="宋体" w:eastAsia="宋体" w:cs="宋体"/>
                <w:color w:val="auto"/>
                <w:sz w:val="21"/>
                <w:szCs w:val="21"/>
                <w:highlight w:val="none"/>
                <w:u w:val="none"/>
                <w:lang w:val="en-US" w:eastAsia="zh-CN" w:bidi="ar-SA"/>
              </w:rPr>
              <w:t>1</w:t>
            </w: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12134939">
            <w:pPr>
              <w:pageBreakBefore w:val="0"/>
              <w:tabs>
                <w:tab w:val="left" w:pos="612"/>
              </w:tabs>
              <w:kinsoku/>
              <w:wordWrap/>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1）投标人须为在中华人民共和国境内登记注册的具有独立承担民事责任能力的法人或其他组织【提供《营业执照》复印件（加盖公章）或《事业单位法人证书》复印件（加盖公章）或其他主体证书复印件（加盖公章）】；</w:t>
            </w:r>
          </w:p>
        </w:tc>
      </w:tr>
      <w:tr w14:paraId="16D853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0" w:type="pct"/>
            <w:vMerge w:val="continue"/>
            <w:tcBorders>
              <w:left w:val="single" w:color="auto" w:sz="4" w:space="0"/>
              <w:right w:val="single" w:color="auto" w:sz="4" w:space="0"/>
              <w:tl2br w:val="nil"/>
              <w:tr2bl w:val="nil"/>
            </w:tcBorders>
            <w:vAlign w:val="center"/>
          </w:tcPr>
          <w:p w14:paraId="71C1D596">
            <w:pPr>
              <w:pageBreakBefore w:val="0"/>
              <w:tabs>
                <w:tab w:val="left" w:pos="176"/>
                <w:tab w:val="left" w:pos="420"/>
              </w:tabs>
              <w:kinsoku/>
              <w:wordWrap/>
              <w:topLinePunct w:val="0"/>
              <w:autoSpaceDE/>
              <w:autoSpaceDN/>
              <w:bidi w:val="0"/>
              <w:jc w:val="center"/>
              <w:rPr>
                <w:rFonts w:ascii="宋体" w:hAnsi="宋体" w:cs="宋体"/>
                <w:color w:val="auto"/>
                <w:szCs w:val="21"/>
                <w:highlight w:val="none"/>
              </w:rPr>
            </w:pP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6D48C504">
            <w:pPr>
              <w:pageBreakBefore w:val="0"/>
              <w:tabs>
                <w:tab w:val="left" w:pos="612"/>
              </w:tabs>
              <w:kinsoku/>
              <w:wordWrap/>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（2）参加采购活动前三年内，在经营活动中没有重大违法记录（须提供书面声明）；</w:t>
            </w:r>
          </w:p>
        </w:tc>
      </w:tr>
      <w:tr w14:paraId="5D3A05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0" w:type="pct"/>
            <w:vMerge w:val="continue"/>
            <w:tcBorders>
              <w:left w:val="single" w:color="auto" w:sz="4" w:space="0"/>
              <w:right w:val="single" w:color="auto" w:sz="4" w:space="0"/>
              <w:tl2br w:val="nil"/>
              <w:tr2bl w:val="nil"/>
            </w:tcBorders>
            <w:vAlign w:val="center"/>
          </w:tcPr>
          <w:p w14:paraId="659A035F">
            <w:pPr>
              <w:pageBreakBefore w:val="0"/>
              <w:tabs>
                <w:tab w:val="left" w:pos="176"/>
                <w:tab w:val="left" w:pos="420"/>
              </w:tabs>
              <w:kinsoku/>
              <w:wordWrap/>
              <w:topLinePunct w:val="0"/>
              <w:autoSpaceDE/>
              <w:autoSpaceDN/>
              <w:bidi w:val="0"/>
              <w:jc w:val="center"/>
              <w:rPr>
                <w:rFonts w:ascii="宋体" w:hAnsi="宋体" w:cs="宋体"/>
                <w:color w:val="auto"/>
                <w:szCs w:val="21"/>
                <w:highlight w:val="none"/>
              </w:rPr>
            </w:pP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1F1409C9">
            <w:pPr>
              <w:pageBreakBefore w:val="0"/>
              <w:tabs>
                <w:tab w:val="left" w:pos="612"/>
              </w:tabs>
              <w:kinsoku/>
              <w:wordWrap/>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（3）投标人的单位负责人为同一人或者存在直接控股、管理关系的不同投标人，不得参加同一合同项下的采购活动；</w:t>
            </w:r>
          </w:p>
        </w:tc>
      </w:tr>
      <w:tr w14:paraId="3D9A41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10" w:type="pct"/>
            <w:vMerge w:val="continue"/>
            <w:tcBorders>
              <w:left w:val="single" w:color="auto" w:sz="4" w:space="0"/>
              <w:right w:val="single" w:color="auto" w:sz="4" w:space="0"/>
              <w:tl2br w:val="nil"/>
              <w:tr2bl w:val="nil"/>
            </w:tcBorders>
            <w:vAlign w:val="center"/>
          </w:tcPr>
          <w:p w14:paraId="0A83ACFA">
            <w:pPr>
              <w:pageBreakBefore w:val="0"/>
              <w:tabs>
                <w:tab w:val="left" w:pos="176"/>
                <w:tab w:val="left" w:pos="420"/>
              </w:tabs>
              <w:kinsoku/>
              <w:wordWrap/>
              <w:topLinePunct w:val="0"/>
              <w:autoSpaceDE/>
              <w:autoSpaceDN/>
              <w:bidi w:val="0"/>
              <w:jc w:val="center"/>
              <w:rPr>
                <w:rFonts w:ascii="宋体" w:hAnsi="宋体" w:cs="宋体"/>
                <w:color w:val="auto"/>
                <w:szCs w:val="21"/>
                <w:highlight w:val="none"/>
              </w:rPr>
            </w:pP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5B4584F8">
            <w:pPr>
              <w:pageBreakBefore w:val="0"/>
              <w:tabs>
                <w:tab w:val="left" w:pos="612"/>
              </w:tabs>
              <w:kinsoku/>
              <w:wordWrap/>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（4）未被列入“信用中国”网站(www.creditchina.gov.cn )“记录失信被执行人或重大税收违法失信主体或政府采购严重违法失信行为”记录名单。以代理机构于投标截止日当天在“信用中国”网站查询结果为准，如相关失信记录已失效，投标人需提供相关证明资料；</w:t>
            </w:r>
          </w:p>
        </w:tc>
      </w:tr>
      <w:tr w14:paraId="0B03EC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0" w:type="pct"/>
            <w:vMerge w:val="continue"/>
            <w:tcBorders>
              <w:left w:val="single" w:color="auto" w:sz="4" w:space="0"/>
              <w:right w:val="single" w:color="auto" w:sz="4" w:space="0"/>
              <w:tl2br w:val="nil"/>
              <w:tr2bl w:val="nil"/>
            </w:tcBorders>
            <w:vAlign w:val="center"/>
          </w:tcPr>
          <w:p w14:paraId="49162A0E">
            <w:pPr>
              <w:pageBreakBefore w:val="0"/>
              <w:tabs>
                <w:tab w:val="left" w:pos="176"/>
                <w:tab w:val="left" w:pos="420"/>
              </w:tabs>
              <w:kinsoku/>
              <w:wordWrap/>
              <w:topLinePunct w:val="0"/>
              <w:autoSpaceDE/>
              <w:autoSpaceDN/>
              <w:bidi w:val="0"/>
              <w:jc w:val="center"/>
              <w:rPr>
                <w:rFonts w:ascii="宋体" w:hAnsi="宋体" w:cs="宋体"/>
                <w:color w:val="auto"/>
                <w:szCs w:val="21"/>
                <w:highlight w:val="none"/>
              </w:rPr>
            </w:pP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028A4D30">
            <w:pPr>
              <w:pageBreakBefore w:val="0"/>
              <w:tabs>
                <w:tab w:val="left" w:pos="612"/>
              </w:tabs>
              <w:kinsoku/>
              <w:wordWrap/>
              <w:topLinePunct w:val="0"/>
              <w:autoSpaceDE/>
              <w:autoSpaceDN/>
              <w:bidi w:val="0"/>
              <w:jc w:val="both"/>
              <w:rPr>
                <w:rFonts w:hint="eastAsia" w:ascii="宋体" w:hAnsi="宋体" w:eastAsia="宋体" w:cs="宋体"/>
                <w:color w:val="auto"/>
                <w:szCs w:val="21"/>
                <w:highlight w:val="none"/>
                <w:lang w:eastAsia="zh-CN"/>
              </w:rPr>
            </w:pP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5</w:t>
            </w:r>
            <w:r>
              <w:rPr>
                <w:rFonts w:hint="eastAsia" w:ascii="宋体" w:hAnsi="宋体" w:cs="宋体"/>
                <w:color w:val="auto"/>
                <w:szCs w:val="21"/>
                <w:highlight w:val="none"/>
                <w:lang w:eastAsia="zh-CN"/>
              </w:rPr>
              <w:t>）</w:t>
            </w:r>
            <w:r>
              <w:rPr>
                <w:rFonts w:hint="eastAsia" w:ascii="宋体" w:hAnsi="宋体" w:cs="宋体"/>
                <w:color w:val="auto"/>
                <w:szCs w:val="21"/>
                <w:highlight w:val="none"/>
              </w:rPr>
              <w:t>报价人须提供投标截止日前6个月内任意1个月</w:t>
            </w:r>
            <w:r>
              <w:rPr>
                <w:rFonts w:hint="eastAsia" w:ascii="宋体" w:hAnsi="宋体" w:cs="宋体"/>
                <w:b/>
                <w:bCs/>
                <w:color w:val="auto"/>
                <w:szCs w:val="21"/>
                <w:highlight w:val="none"/>
              </w:rPr>
              <w:t>依法缴纳税收</w:t>
            </w:r>
            <w:r>
              <w:rPr>
                <w:rFonts w:hint="eastAsia" w:ascii="宋体" w:hAnsi="宋体" w:cs="宋体"/>
                <w:color w:val="auto"/>
                <w:szCs w:val="21"/>
                <w:highlight w:val="none"/>
              </w:rPr>
              <w:t>的证明材料</w:t>
            </w:r>
            <w:r>
              <w:rPr>
                <w:rFonts w:hint="eastAsia" w:ascii="宋体" w:hAnsi="宋体" w:cs="宋体"/>
                <w:b/>
                <w:bCs/>
                <w:color w:val="auto"/>
                <w:szCs w:val="21"/>
                <w:highlight w:val="none"/>
              </w:rPr>
              <w:t>及无欠税的证明材料</w:t>
            </w:r>
            <w:r>
              <w:rPr>
                <w:rFonts w:hint="eastAsia" w:ascii="宋体" w:hAnsi="宋体" w:cs="宋体"/>
                <w:color w:val="auto"/>
                <w:szCs w:val="21"/>
                <w:highlight w:val="none"/>
              </w:rPr>
              <w:t>。如依法免税的，须提供相应证明材料</w:t>
            </w:r>
          </w:p>
        </w:tc>
      </w:tr>
      <w:tr w14:paraId="458F53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0" w:type="pct"/>
            <w:vMerge w:val="continue"/>
            <w:tcBorders>
              <w:left w:val="single" w:color="auto" w:sz="4" w:space="0"/>
              <w:right w:val="single" w:color="auto" w:sz="4" w:space="0"/>
              <w:tl2br w:val="nil"/>
              <w:tr2bl w:val="nil"/>
            </w:tcBorders>
            <w:vAlign w:val="center"/>
          </w:tcPr>
          <w:p w14:paraId="56175FE3">
            <w:pPr>
              <w:pageBreakBefore w:val="0"/>
              <w:tabs>
                <w:tab w:val="left" w:pos="176"/>
                <w:tab w:val="left" w:pos="420"/>
              </w:tabs>
              <w:kinsoku/>
              <w:wordWrap/>
              <w:topLinePunct w:val="0"/>
              <w:autoSpaceDE/>
              <w:autoSpaceDN/>
              <w:bidi w:val="0"/>
              <w:jc w:val="center"/>
              <w:rPr>
                <w:rFonts w:ascii="宋体" w:hAnsi="宋体" w:cs="宋体"/>
                <w:color w:val="auto"/>
                <w:szCs w:val="21"/>
                <w:highlight w:val="none"/>
              </w:rPr>
            </w:pP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53FBA3BD">
            <w:pPr>
              <w:pageBreakBefore w:val="0"/>
              <w:tabs>
                <w:tab w:val="left" w:pos="612"/>
              </w:tabs>
              <w:kinsoku/>
              <w:wordWrap/>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w:t>
            </w:r>
            <w:r>
              <w:rPr>
                <w:rFonts w:hint="eastAsia" w:ascii="宋体" w:hAnsi="宋体" w:cs="宋体"/>
                <w:color w:val="auto"/>
                <w:szCs w:val="21"/>
                <w:highlight w:val="none"/>
                <w:lang w:val="en-US" w:eastAsia="zh-CN"/>
              </w:rPr>
              <w:t>6</w:t>
            </w:r>
            <w:r>
              <w:rPr>
                <w:rFonts w:hint="eastAsia" w:ascii="宋体" w:hAnsi="宋体" w:cs="宋体"/>
                <w:color w:val="auto"/>
                <w:szCs w:val="21"/>
                <w:highlight w:val="none"/>
              </w:rPr>
              <w:t>）未被列入东实环境及下属企业相关领域黑名单。</w:t>
            </w:r>
          </w:p>
        </w:tc>
      </w:tr>
      <w:tr w14:paraId="369D01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0" w:type="pct"/>
            <w:vMerge w:val="continue"/>
            <w:tcBorders>
              <w:left w:val="single" w:color="auto" w:sz="4" w:space="0"/>
              <w:right w:val="single" w:color="auto" w:sz="4" w:space="0"/>
              <w:tl2br w:val="nil"/>
              <w:tr2bl w:val="nil"/>
            </w:tcBorders>
            <w:vAlign w:val="center"/>
          </w:tcPr>
          <w:p w14:paraId="0136A64F">
            <w:pPr>
              <w:pageBreakBefore w:val="0"/>
              <w:tabs>
                <w:tab w:val="left" w:pos="176"/>
                <w:tab w:val="left" w:pos="420"/>
              </w:tabs>
              <w:kinsoku/>
              <w:wordWrap/>
              <w:topLinePunct w:val="0"/>
              <w:autoSpaceDE/>
              <w:autoSpaceDN/>
              <w:bidi w:val="0"/>
              <w:jc w:val="center"/>
              <w:rPr>
                <w:rFonts w:ascii="宋体" w:hAnsi="宋体" w:cs="宋体"/>
                <w:color w:val="auto"/>
                <w:szCs w:val="21"/>
                <w:highlight w:val="none"/>
              </w:rPr>
            </w:pP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3E50EB8F">
            <w:pPr>
              <w:pageBreakBefore w:val="0"/>
              <w:tabs>
                <w:tab w:val="left" w:pos="612"/>
              </w:tabs>
              <w:kinsoku/>
              <w:wordWrap/>
              <w:topLinePunct w:val="0"/>
              <w:autoSpaceDE/>
              <w:autoSpaceDN/>
              <w:bidi w:val="0"/>
              <w:jc w:val="both"/>
              <w:rPr>
                <w:rFonts w:hint="eastAsia" w:ascii="宋体" w:hAnsi="宋体" w:eastAsia="宋体" w:cs="宋体"/>
                <w:color w:val="auto"/>
                <w:szCs w:val="21"/>
                <w:highlight w:val="none"/>
                <w:lang w:eastAsia="zh-CN"/>
              </w:rPr>
            </w:pP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7</w:t>
            </w:r>
            <w:r>
              <w:rPr>
                <w:rFonts w:hint="eastAsia" w:ascii="宋体" w:hAnsi="宋体" w:cs="宋体"/>
                <w:color w:val="auto"/>
                <w:szCs w:val="21"/>
                <w:highlight w:val="none"/>
                <w:lang w:eastAsia="zh-CN"/>
              </w:rPr>
              <w:t>）本项目不接受联合体投标</w:t>
            </w:r>
          </w:p>
        </w:tc>
      </w:tr>
      <w:tr w14:paraId="588B49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0" w:type="pct"/>
            <w:vMerge w:val="continue"/>
            <w:tcBorders>
              <w:left w:val="single" w:color="auto" w:sz="4" w:space="0"/>
              <w:right w:val="single" w:color="auto" w:sz="4" w:space="0"/>
              <w:tl2br w:val="nil"/>
              <w:tr2bl w:val="nil"/>
            </w:tcBorders>
            <w:vAlign w:val="center"/>
          </w:tcPr>
          <w:p w14:paraId="706B5315">
            <w:pPr>
              <w:pageBreakBefore w:val="0"/>
              <w:tabs>
                <w:tab w:val="left" w:pos="176"/>
                <w:tab w:val="left" w:pos="420"/>
              </w:tabs>
              <w:kinsoku/>
              <w:wordWrap/>
              <w:topLinePunct w:val="0"/>
              <w:autoSpaceDE/>
              <w:autoSpaceDN/>
              <w:bidi w:val="0"/>
              <w:jc w:val="center"/>
              <w:rPr>
                <w:rFonts w:ascii="宋体" w:hAnsi="宋体" w:cs="宋体"/>
                <w:color w:val="auto"/>
                <w:szCs w:val="21"/>
                <w:highlight w:val="none"/>
              </w:rPr>
            </w:pP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6B73D684">
            <w:pPr>
              <w:pageBreakBefore w:val="0"/>
              <w:tabs>
                <w:tab w:val="left" w:pos="612"/>
              </w:tabs>
              <w:kinsoku/>
              <w:wordWrap/>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w:t>
            </w:r>
            <w:r>
              <w:rPr>
                <w:rFonts w:hint="eastAsia" w:ascii="宋体" w:hAnsi="宋体" w:cs="宋体"/>
                <w:color w:val="auto"/>
                <w:szCs w:val="21"/>
                <w:highlight w:val="none"/>
                <w:lang w:val="en-US" w:eastAsia="zh-CN"/>
              </w:rPr>
              <w:t>8</w:t>
            </w:r>
            <w:r>
              <w:rPr>
                <w:rFonts w:hint="eastAsia" w:ascii="宋体" w:hAnsi="宋体" w:cs="宋体"/>
                <w:color w:val="auto"/>
                <w:szCs w:val="21"/>
                <w:highlight w:val="none"/>
              </w:rPr>
              <w:t>）</w:t>
            </w:r>
            <w:r>
              <w:rPr>
                <w:rFonts w:hint="eastAsia" w:ascii="宋体" w:hAnsi="宋体" w:cs="宋体"/>
                <w:color w:val="auto"/>
                <w:szCs w:val="21"/>
                <w:highlight w:val="none"/>
                <w:lang w:val="en-US" w:eastAsia="zh-CN"/>
              </w:rPr>
              <w:t>参与厢车标段的投标人具有符合“投标人资格要求”的</w:t>
            </w:r>
            <w:r>
              <w:rPr>
                <w:rFonts w:hint="eastAsia" w:ascii="宋体" w:hAnsi="宋体" w:cs="宋体"/>
                <w:b/>
                <w:bCs/>
                <w:color w:val="auto"/>
                <w:szCs w:val="21"/>
                <w:highlight w:val="none"/>
                <w:lang w:val="en-US" w:eastAsia="zh-CN"/>
              </w:rPr>
              <w:t>危险货物车辆</w:t>
            </w:r>
            <w:r>
              <w:rPr>
                <w:rFonts w:hint="eastAsia" w:ascii="宋体" w:hAnsi="宋体" w:cs="宋体"/>
                <w:color w:val="auto"/>
                <w:szCs w:val="21"/>
                <w:highlight w:val="none"/>
                <w:lang w:val="en-US" w:eastAsia="zh-CN"/>
              </w:rPr>
              <w:t>、</w:t>
            </w:r>
            <w:r>
              <w:rPr>
                <w:rFonts w:hint="eastAsia" w:ascii="宋体" w:hAnsi="宋体" w:cs="宋体"/>
                <w:b/>
                <w:bCs/>
                <w:color w:val="auto"/>
                <w:szCs w:val="21"/>
                <w:highlight w:val="none"/>
                <w:lang w:val="en-US" w:eastAsia="zh-CN"/>
              </w:rPr>
              <w:t>人员（驾驶员及押运员）</w:t>
            </w:r>
            <w:r>
              <w:rPr>
                <w:rFonts w:hint="eastAsia" w:ascii="宋体" w:hAnsi="宋体" w:cs="宋体"/>
                <w:color w:val="auto"/>
                <w:szCs w:val="21"/>
                <w:highlight w:val="none"/>
                <w:lang w:val="en-US" w:eastAsia="zh-CN"/>
              </w:rPr>
              <w:t>和</w:t>
            </w:r>
            <w:r>
              <w:rPr>
                <w:rFonts w:hint="eastAsia" w:ascii="宋体" w:hAnsi="宋体" w:cs="宋体"/>
                <w:b/>
                <w:bCs/>
                <w:color w:val="auto"/>
                <w:szCs w:val="21"/>
                <w:highlight w:val="none"/>
                <w:lang w:val="en-US" w:eastAsia="zh-CN"/>
              </w:rPr>
              <w:t>“广东省固体废物环境监管信息平台”</w:t>
            </w:r>
            <w:r>
              <w:rPr>
                <w:rFonts w:hint="eastAsia" w:ascii="宋体" w:hAnsi="宋体" w:cs="宋体"/>
                <w:b/>
                <w:bCs/>
                <w:color w:val="auto"/>
                <w:szCs w:val="21"/>
                <w:highlight w:val="none"/>
              </w:rPr>
              <w:t>2023年全年运输危险废物</w:t>
            </w:r>
            <w:r>
              <w:rPr>
                <w:rFonts w:hint="eastAsia" w:ascii="宋体" w:hAnsi="宋体" w:cs="宋体"/>
                <w:b/>
                <w:bCs/>
                <w:color w:val="auto"/>
                <w:szCs w:val="21"/>
                <w:highlight w:val="none"/>
                <w:lang w:val="en-US" w:eastAsia="zh-CN"/>
              </w:rPr>
              <w:t>数量证明材料</w:t>
            </w:r>
            <w:r>
              <w:rPr>
                <w:rFonts w:hint="eastAsia" w:ascii="宋体" w:hAnsi="宋体" w:cs="宋体"/>
                <w:color w:val="auto"/>
                <w:szCs w:val="21"/>
                <w:highlight w:val="none"/>
                <w:lang w:val="en-US" w:eastAsia="zh-CN"/>
              </w:rPr>
              <w:t>等条件。</w:t>
            </w:r>
            <w:r>
              <w:rPr>
                <w:rFonts w:hint="eastAsia" w:ascii="宋体" w:hAnsi="宋体" w:cs="宋体"/>
                <w:b/>
                <w:bCs/>
                <w:color w:val="auto"/>
                <w:szCs w:val="21"/>
                <w:highlight w:val="none"/>
                <w:lang w:val="en-US" w:eastAsia="zh-CN"/>
              </w:rPr>
              <w:t>（仅参与厢车标段）</w:t>
            </w:r>
          </w:p>
        </w:tc>
      </w:tr>
      <w:tr w14:paraId="4B29E3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10" w:type="pct"/>
            <w:vMerge w:val="continue"/>
            <w:tcBorders>
              <w:left w:val="single" w:color="auto" w:sz="4" w:space="0"/>
              <w:bottom w:val="single" w:color="auto" w:sz="4" w:space="0"/>
              <w:right w:val="single" w:color="auto" w:sz="4" w:space="0"/>
              <w:tl2br w:val="nil"/>
              <w:tr2bl w:val="nil"/>
            </w:tcBorders>
            <w:vAlign w:val="center"/>
          </w:tcPr>
          <w:p w14:paraId="19C3C68D">
            <w:pPr>
              <w:pageBreakBefore w:val="0"/>
              <w:tabs>
                <w:tab w:val="left" w:pos="176"/>
                <w:tab w:val="left" w:pos="420"/>
              </w:tabs>
              <w:kinsoku/>
              <w:wordWrap/>
              <w:topLinePunct w:val="0"/>
              <w:autoSpaceDE/>
              <w:autoSpaceDN/>
              <w:bidi w:val="0"/>
              <w:jc w:val="center"/>
              <w:rPr>
                <w:rFonts w:ascii="宋体" w:hAnsi="宋体" w:cs="宋体"/>
                <w:color w:val="auto"/>
                <w:szCs w:val="21"/>
                <w:highlight w:val="none"/>
              </w:rPr>
            </w:pP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3C5AEED9">
            <w:pPr>
              <w:pageBreakBefore w:val="0"/>
              <w:tabs>
                <w:tab w:val="left" w:pos="612"/>
              </w:tabs>
              <w:kinsoku/>
              <w:wordWrap/>
              <w:topLinePunct w:val="0"/>
              <w:autoSpaceDE/>
              <w:autoSpaceDN/>
              <w:bidi w:val="0"/>
              <w:jc w:val="both"/>
              <w:rPr>
                <w:rFonts w:hint="eastAsia" w:ascii="宋体" w:hAnsi="宋体" w:eastAsia="宋体" w:cs="宋体"/>
                <w:color w:val="auto"/>
                <w:szCs w:val="21"/>
                <w:highlight w:val="none"/>
                <w:lang w:eastAsia="zh-CN"/>
              </w:rPr>
            </w:pP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8</w:t>
            </w: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参与槽车标段的投标人具有符合“投标人资格要求”的</w:t>
            </w:r>
            <w:r>
              <w:rPr>
                <w:rFonts w:hint="eastAsia" w:ascii="宋体" w:hAnsi="宋体" w:cs="宋体"/>
                <w:b/>
                <w:bCs/>
                <w:color w:val="auto"/>
                <w:szCs w:val="21"/>
                <w:highlight w:val="none"/>
                <w:lang w:val="en-US" w:eastAsia="zh-CN"/>
              </w:rPr>
              <w:t>危险货物车辆</w:t>
            </w:r>
            <w:r>
              <w:rPr>
                <w:rFonts w:hint="eastAsia" w:ascii="宋体" w:hAnsi="宋体" w:cs="宋体"/>
                <w:color w:val="auto"/>
                <w:szCs w:val="21"/>
                <w:highlight w:val="none"/>
                <w:lang w:val="en-US" w:eastAsia="zh-CN"/>
              </w:rPr>
              <w:t>、</w:t>
            </w:r>
            <w:r>
              <w:rPr>
                <w:rFonts w:hint="eastAsia" w:ascii="宋体" w:hAnsi="宋体" w:cs="宋体"/>
                <w:b/>
                <w:bCs/>
                <w:color w:val="auto"/>
                <w:szCs w:val="21"/>
                <w:highlight w:val="none"/>
                <w:lang w:val="en-US" w:eastAsia="zh-CN"/>
              </w:rPr>
              <w:t>人员（驾驶员及押运员）</w:t>
            </w:r>
            <w:r>
              <w:rPr>
                <w:rFonts w:hint="eastAsia" w:ascii="宋体" w:hAnsi="宋体" w:cs="宋体"/>
                <w:color w:val="auto"/>
                <w:szCs w:val="21"/>
                <w:highlight w:val="none"/>
                <w:lang w:val="en-US" w:eastAsia="zh-CN"/>
              </w:rPr>
              <w:t>和</w:t>
            </w:r>
            <w:r>
              <w:rPr>
                <w:rFonts w:hint="eastAsia" w:ascii="宋体" w:hAnsi="宋体" w:cs="宋体"/>
                <w:b/>
                <w:bCs/>
                <w:color w:val="auto"/>
                <w:szCs w:val="21"/>
                <w:highlight w:val="none"/>
                <w:lang w:val="en-US" w:eastAsia="zh-CN"/>
              </w:rPr>
              <w:t>“广东省固体废物环境监管信息平台”</w:t>
            </w:r>
            <w:r>
              <w:rPr>
                <w:rFonts w:hint="eastAsia" w:ascii="宋体" w:hAnsi="宋体" w:cs="宋体"/>
                <w:b/>
                <w:bCs/>
                <w:color w:val="auto"/>
                <w:szCs w:val="21"/>
                <w:highlight w:val="none"/>
              </w:rPr>
              <w:t>2023年全年运输危险废物</w:t>
            </w:r>
            <w:r>
              <w:rPr>
                <w:rFonts w:hint="eastAsia" w:ascii="宋体" w:hAnsi="宋体" w:cs="宋体"/>
                <w:b/>
                <w:bCs/>
                <w:color w:val="auto"/>
                <w:szCs w:val="21"/>
                <w:highlight w:val="none"/>
                <w:lang w:val="en-US" w:eastAsia="zh-CN"/>
              </w:rPr>
              <w:t>数量证明材料</w:t>
            </w:r>
            <w:r>
              <w:rPr>
                <w:rFonts w:hint="eastAsia" w:ascii="宋体" w:hAnsi="宋体" w:cs="宋体"/>
                <w:color w:val="auto"/>
                <w:szCs w:val="21"/>
                <w:highlight w:val="none"/>
                <w:lang w:val="en-US" w:eastAsia="zh-CN"/>
              </w:rPr>
              <w:t>等条件。</w:t>
            </w:r>
            <w:r>
              <w:rPr>
                <w:rFonts w:hint="eastAsia" w:ascii="宋体" w:hAnsi="宋体" w:cs="宋体"/>
                <w:b/>
                <w:bCs/>
                <w:color w:val="auto"/>
                <w:szCs w:val="21"/>
                <w:highlight w:val="none"/>
                <w:lang w:val="en-US" w:eastAsia="zh-CN"/>
              </w:rPr>
              <w:t>（仅参与槽车标段）</w:t>
            </w:r>
          </w:p>
        </w:tc>
      </w:tr>
      <w:tr w14:paraId="6FE52D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10" w:type="pct"/>
            <w:vMerge w:val="restart"/>
            <w:tcBorders>
              <w:left w:val="single" w:color="auto" w:sz="4" w:space="0"/>
              <w:right w:val="single" w:color="auto" w:sz="4" w:space="0"/>
              <w:tl2br w:val="nil"/>
              <w:tr2bl w:val="nil"/>
            </w:tcBorders>
            <w:vAlign w:val="center"/>
          </w:tcPr>
          <w:p w14:paraId="13A519D6">
            <w:pPr>
              <w:pageBreakBefore w:val="0"/>
              <w:tabs>
                <w:tab w:val="left" w:pos="176"/>
                <w:tab w:val="left" w:pos="420"/>
              </w:tabs>
              <w:kinsoku/>
              <w:wordWrap/>
              <w:topLinePunct w:val="0"/>
              <w:autoSpaceDE/>
              <w:autoSpaceDN/>
              <w:bidi w:val="0"/>
              <w:jc w:val="center"/>
              <w:rPr>
                <w:rFonts w:hint="eastAsia" w:ascii="宋体" w:hAnsi="宋体" w:eastAsia="宋体" w:cs="宋体"/>
                <w:color w:val="auto"/>
                <w:szCs w:val="21"/>
                <w:highlight w:val="none"/>
                <w:lang w:val="en-US" w:eastAsia="zh-CN"/>
              </w:rPr>
            </w:pPr>
            <w:r>
              <w:rPr>
                <w:rFonts w:hint="eastAsia" w:ascii="宋体" w:hAnsi="宋体" w:cs="宋体"/>
                <w:color w:val="auto"/>
                <w:szCs w:val="21"/>
                <w:highlight w:val="none"/>
                <w:lang w:val="en-US" w:eastAsia="zh-CN"/>
              </w:rPr>
              <w:t>2</w:t>
            </w: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69BC8641">
            <w:pPr>
              <w:pageBreakBefore w:val="0"/>
              <w:tabs>
                <w:tab w:val="left" w:pos="612"/>
              </w:tabs>
              <w:kinsoku/>
              <w:wordWrap/>
              <w:topLinePunct w:val="0"/>
              <w:autoSpaceDE/>
              <w:autoSpaceDN/>
              <w:bidi w:val="0"/>
              <w:jc w:val="both"/>
              <w:rPr>
                <w:rFonts w:hint="eastAsia" w:ascii="宋体" w:hAnsi="宋体" w:cs="宋体"/>
                <w:color w:val="auto"/>
                <w:szCs w:val="21"/>
                <w:highlight w:val="none"/>
                <w:lang w:eastAsia="zh-CN"/>
              </w:rPr>
            </w:pPr>
            <w:r>
              <w:rPr>
                <w:rFonts w:hint="eastAsia" w:ascii="宋体" w:hAnsi="宋体" w:cs="宋体"/>
                <w:color w:val="auto"/>
                <w:szCs w:val="21"/>
                <w:highlight w:val="none"/>
                <w:lang w:val="en-US" w:eastAsia="zh-CN" w:bidi="ar"/>
              </w:rPr>
              <w:t>投标人响应</w:t>
            </w:r>
            <w:r>
              <w:rPr>
                <w:rFonts w:hint="eastAsia" w:ascii="宋体" w:hAnsi="宋体" w:cs="宋体"/>
                <w:color w:val="auto"/>
                <w:szCs w:val="21"/>
                <w:highlight w:val="none"/>
                <w:lang w:bidi="ar"/>
              </w:rPr>
              <w:t>标注“★”符号的条款</w:t>
            </w:r>
            <w:r>
              <w:rPr>
                <w:rFonts w:hint="eastAsia" w:ascii="宋体" w:hAnsi="宋体" w:cs="宋体"/>
                <w:color w:val="auto"/>
                <w:szCs w:val="21"/>
                <w:highlight w:val="none"/>
                <w:lang w:eastAsia="zh-CN" w:bidi="ar"/>
              </w:rPr>
              <w:t>，</w:t>
            </w:r>
            <w:r>
              <w:rPr>
                <w:rFonts w:hint="eastAsia" w:ascii="宋体" w:hAnsi="宋体" w:cs="宋体"/>
                <w:color w:val="auto"/>
                <w:szCs w:val="21"/>
                <w:highlight w:val="none"/>
                <w:lang w:val="en-US" w:eastAsia="zh-CN" w:bidi="ar"/>
              </w:rPr>
              <w:t>包括：</w:t>
            </w:r>
          </w:p>
        </w:tc>
      </w:tr>
      <w:tr w14:paraId="561FD2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10" w:type="pct"/>
            <w:vMerge w:val="continue"/>
            <w:tcBorders>
              <w:left w:val="single" w:color="auto" w:sz="4" w:space="0"/>
              <w:right w:val="single" w:color="auto" w:sz="4" w:space="0"/>
              <w:tl2br w:val="nil"/>
              <w:tr2bl w:val="nil"/>
            </w:tcBorders>
            <w:vAlign w:val="center"/>
          </w:tcPr>
          <w:p w14:paraId="6CAEFC84">
            <w:pPr>
              <w:pageBreakBefore w:val="0"/>
              <w:tabs>
                <w:tab w:val="left" w:pos="176"/>
                <w:tab w:val="left" w:pos="420"/>
              </w:tabs>
              <w:kinsoku/>
              <w:wordWrap/>
              <w:topLinePunct w:val="0"/>
              <w:autoSpaceDE/>
              <w:autoSpaceDN/>
              <w:bidi w:val="0"/>
              <w:jc w:val="center"/>
              <w:rPr>
                <w:rFonts w:hint="eastAsia" w:ascii="宋体" w:hAnsi="宋体" w:cs="宋体"/>
                <w:color w:val="auto"/>
                <w:szCs w:val="21"/>
                <w:highlight w:val="none"/>
                <w:lang w:val="en-US" w:eastAsia="zh-CN"/>
              </w:rPr>
            </w:pP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7D8DE00D">
            <w:pPr>
              <w:pageBreakBefore w:val="0"/>
              <w:tabs>
                <w:tab w:val="left" w:pos="612"/>
              </w:tabs>
              <w:kinsoku/>
              <w:wordWrap/>
              <w:topLinePunct w:val="0"/>
              <w:autoSpaceDE/>
              <w:autoSpaceDN/>
              <w:bidi w:val="0"/>
              <w:jc w:val="both"/>
              <w:rPr>
                <w:rFonts w:hint="eastAsia" w:ascii="宋体" w:hAnsi="宋体" w:cs="宋体"/>
                <w:color w:val="auto"/>
                <w:szCs w:val="21"/>
                <w:highlight w:val="none"/>
                <w:lang w:val="en-US" w:eastAsia="zh-CN" w:bidi="ar"/>
              </w:rPr>
            </w:pPr>
            <w:r>
              <w:rPr>
                <w:rFonts w:hint="eastAsia" w:ascii="宋体" w:hAnsi="宋体" w:cs="宋体"/>
                <w:color w:val="auto"/>
                <w:szCs w:val="21"/>
                <w:highlight w:val="none"/>
                <w:lang w:val="en-US" w:eastAsia="zh-CN" w:bidi="ar"/>
              </w:rPr>
              <w:t>（1）★8、</w:t>
            </w:r>
            <w:r>
              <w:rPr>
                <w:rFonts w:hint="eastAsia" w:ascii="宋体" w:hAnsi="宋体" w:cs="宋体"/>
                <w:color w:val="auto"/>
                <w:szCs w:val="21"/>
                <w:highlight w:val="none"/>
                <w:lang w:val="en-US" w:eastAsia="zh-CN"/>
              </w:rPr>
              <w:t>成交人</w:t>
            </w:r>
            <w:r>
              <w:rPr>
                <w:rFonts w:hint="eastAsia" w:ascii="宋体" w:hAnsi="宋体" w:cs="宋体"/>
                <w:color w:val="auto"/>
                <w:szCs w:val="21"/>
                <w:highlight w:val="none"/>
              </w:rPr>
              <w:t>为深圳区域、广州区域承运人时，必须具备该城市内各限行区域的通行证，若交管部门变动限行区域，</w:t>
            </w:r>
            <w:r>
              <w:rPr>
                <w:rFonts w:hint="eastAsia" w:ascii="宋体" w:hAnsi="宋体" w:cs="宋体"/>
                <w:color w:val="auto"/>
                <w:szCs w:val="21"/>
                <w:highlight w:val="none"/>
                <w:lang w:val="en-US" w:eastAsia="zh-CN"/>
              </w:rPr>
              <w:t>成交人</w:t>
            </w:r>
            <w:r>
              <w:rPr>
                <w:rFonts w:hint="eastAsia" w:ascii="宋体" w:hAnsi="宋体" w:cs="宋体"/>
                <w:color w:val="auto"/>
                <w:szCs w:val="21"/>
                <w:highlight w:val="none"/>
              </w:rPr>
              <w:t>需要承诺及时办理通行证，且不得因此拒绝提供服务。</w:t>
            </w:r>
            <w:r>
              <w:rPr>
                <w:rFonts w:hint="eastAsia" w:ascii="宋体" w:hAnsi="宋体" w:cs="宋体"/>
                <w:b/>
                <w:bCs/>
                <w:color w:val="auto"/>
                <w:szCs w:val="21"/>
                <w:highlight w:val="none"/>
                <w:lang w:val="en-US" w:eastAsia="zh-CN" w:bidi="ar"/>
              </w:rPr>
              <w:t>（仅A包广州区域或B包深圳区域投标人进行响应</w:t>
            </w:r>
            <w:r>
              <w:rPr>
                <w:rFonts w:hint="eastAsia" w:ascii="宋体" w:hAnsi="宋体" w:cs="宋体"/>
                <w:color w:val="auto"/>
                <w:szCs w:val="21"/>
                <w:highlight w:val="none"/>
                <w:lang w:val="en-US" w:eastAsia="zh-CN" w:bidi="ar"/>
              </w:rPr>
              <w:t>）</w:t>
            </w:r>
          </w:p>
        </w:tc>
      </w:tr>
      <w:tr w14:paraId="174001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10" w:type="pct"/>
            <w:vMerge w:val="continue"/>
            <w:tcBorders>
              <w:left w:val="single" w:color="auto" w:sz="4" w:space="0"/>
              <w:right w:val="single" w:color="auto" w:sz="4" w:space="0"/>
              <w:tl2br w:val="nil"/>
              <w:tr2bl w:val="nil"/>
            </w:tcBorders>
            <w:vAlign w:val="center"/>
          </w:tcPr>
          <w:p w14:paraId="044C3077">
            <w:pPr>
              <w:pageBreakBefore w:val="0"/>
              <w:tabs>
                <w:tab w:val="left" w:pos="176"/>
                <w:tab w:val="left" w:pos="420"/>
              </w:tabs>
              <w:kinsoku/>
              <w:wordWrap/>
              <w:topLinePunct w:val="0"/>
              <w:autoSpaceDE/>
              <w:autoSpaceDN/>
              <w:bidi w:val="0"/>
              <w:jc w:val="center"/>
              <w:rPr>
                <w:rFonts w:hint="eastAsia" w:ascii="宋体" w:hAnsi="宋体" w:cs="宋体"/>
                <w:color w:val="auto"/>
                <w:szCs w:val="21"/>
                <w:highlight w:val="none"/>
                <w:lang w:val="en-US" w:eastAsia="zh-CN"/>
              </w:rPr>
            </w:pP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60C6091B">
            <w:pPr>
              <w:pageBreakBefore w:val="0"/>
              <w:tabs>
                <w:tab w:val="left" w:pos="612"/>
              </w:tabs>
              <w:kinsoku/>
              <w:wordWrap/>
              <w:topLinePunct w:val="0"/>
              <w:autoSpaceDE/>
              <w:autoSpaceDN/>
              <w:bidi w:val="0"/>
              <w:jc w:val="both"/>
              <w:rPr>
                <w:rFonts w:hint="eastAsia" w:ascii="宋体" w:hAnsi="宋体" w:cs="宋体"/>
                <w:color w:val="auto"/>
                <w:szCs w:val="21"/>
                <w:highlight w:val="none"/>
                <w:lang w:val="en-US" w:eastAsia="zh-CN" w:bidi="ar"/>
              </w:rPr>
            </w:pPr>
            <w:r>
              <w:rPr>
                <w:rFonts w:hint="eastAsia" w:ascii="宋体" w:hAnsi="宋体" w:cs="宋体"/>
                <w:color w:val="auto"/>
                <w:szCs w:val="21"/>
                <w:highlight w:val="none"/>
                <w:lang w:val="en-US" w:eastAsia="zh-CN" w:bidi="ar"/>
              </w:rPr>
              <w:t>（2）★2、成交人需严格遵守采购人相关要求，对于违反相关要求，采购人有权进行考核，并对相关人员进行处罚。对于违反相关要求，导致危害后果的，需进行赔偿，相关要求详见《东莞市新东欣环保投资有限公司承运单位违规行为处罚条款》。</w:t>
            </w:r>
            <w:r>
              <w:rPr>
                <w:rFonts w:hint="eastAsia" w:ascii="宋体" w:hAnsi="宋体" w:cs="宋体"/>
                <w:b/>
                <w:bCs/>
                <w:color w:val="auto"/>
                <w:szCs w:val="21"/>
                <w:highlight w:val="none"/>
                <w:lang w:val="en-US" w:eastAsia="zh-CN" w:bidi="ar"/>
              </w:rPr>
              <w:t>（所有投标人均需响应）</w:t>
            </w:r>
          </w:p>
        </w:tc>
      </w:tr>
      <w:tr w14:paraId="213EE1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10" w:type="pct"/>
            <w:vMerge w:val="continue"/>
            <w:tcBorders>
              <w:left w:val="single" w:color="auto" w:sz="4" w:space="0"/>
              <w:right w:val="single" w:color="auto" w:sz="4" w:space="0"/>
              <w:tl2br w:val="nil"/>
              <w:tr2bl w:val="nil"/>
            </w:tcBorders>
            <w:vAlign w:val="center"/>
          </w:tcPr>
          <w:p w14:paraId="7FE6D7FF">
            <w:pPr>
              <w:pageBreakBefore w:val="0"/>
              <w:tabs>
                <w:tab w:val="left" w:pos="176"/>
                <w:tab w:val="left" w:pos="420"/>
              </w:tabs>
              <w:kinsoku/>
              <w:wordWrap/>
              <w:topLinePunct w:val="0"/>
              <w:autoSpaceDE/>
              <w:autoSpaceDN/>
              <w:bidi w:val="0"/>
              <w:jc w:val="center"/>
              <w:rPr>
                <w:rFonts w:hint="eastAsia" w:ascii="宋体" w:hAnsi="宋体" w:cs="宋体"/>
                <w:color w:val="auto"/>
                <w:szCs w:val="21"/>
                <w:highlight w:val="none"/>
                <w:lang w:val="en-US" w:eastAsia="zh-CN"/>
              </w:rPr>
            </w:pP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07BF6074">
            <w:pPr>
              <w:pageBreakBefore w:val="0"/>
              <w:tabs>
                <w:tab w:val="left" w:pos="612"/>
              </w:tabs>
              <w:kinsoku/>
              <w:wordWrap/>
              <w:topLinePunct w:val="0"/>
              <w:autoSpaceDE/>
              <w:autoSpaceDN/>
              <w:bidi w:val="0"/>
              <w:jc w:val="both"/>
              <w:rPr>
                <w:rFonts w:hint="eastAsia" w:ascii="宋体" w:hAnsi="宋体" w:cs="宋体"/>
                <w:color w:val="auto"/>
                <w:szCs w:val="21"/>
                <w:highlight w:val="none"/>
                <w:lang w:val="en-US" w:eastAsia="zh-CN" w:bidi="ar"/>
              </w:rPr>
            </w:pPr>
            <w:r>
              <w:rPr>
                <w:rFonts w:hint="eastAsia" w:ascii="宋体" w:hAnsi="宋体" w:cs="宋体"/>
                <w:color w:val="auto"/>
                <w:szCs w:val="21"/>
                <w:highlight w:val="none"/>
                <w:lang w:val="en-US" w:eastAsia="zh-CN" w:bidi="ar"/>
              </w:rPr>
              <w:t>（3）★3、采购人按季度对成交人进行季度评分考核，根据考核结果进行处罚，考核内容详见《运输商季度考核评分表》。</w:t>
            </w:r>
            <w:r>
              <w:rPr>
                <w:rFonts w:hint="eastAsia" w:ascii="宋体" w:hAnsi="宋体" w:cs="宋体"/>
                <w:b/>
                <w:bCs/>
                <w:color w:val="auto"/>
                <w:szCs w:val="21"/>
                <w:highlight w:val="none"/>
                <w:lang w:val="en-US" w:eastAsia="zh-CN" w:bidi="ar"/>
              </w:rPr>
              <w:t>（所有投标人均需响应）</w:t>
            </w:r>
          </w:p>
        </w:tc>
      </w:tr>
      <w:tr w14:paraId="7B07C2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0" w:type="pct"/>
            <w:vMerge w:val="continue"/>
            <w:tcBorders>
              <w:left w:val="single" w:color="auto" w:sz="4" w:space="0"/>
              <w:bottom w:val="single" w:color="auto" w:sz="4" w:space="0"/>
              <w:right w:val="single" w:color="auto" w:sz="4" w:space="0"/>
              <w:tl2br w:val="nil"/>
              <w:tr2bl w:val="nil"/>
            </w:tcBorders>
            <w:vAlign w:val="center"/>
          </w:tcPr>
          <w:p w14:paraId="35CA20BE">
            <w:pPr>
              <w:pageBreakBefore w:val="0"/>
              <w:numPr>
                <w:ilvl w:val="0"/>
                <w:numId w:val="0"/>
              </w:numPr>
              <w:tabs>
                <w:tab w:val="left" w:pos="176"/>
              </w:tabs>
              <w:kinsoku/>
              <w:wordWrap/>
              <w:topLinePunct w:val="0"/>
              <w:autoSpaceDE/>
              <w:autoSpaceDN/>
              <w:bidi w:val="0"/>
              <w:ind w:left="420" w:leftChars="0" w:hanging="420" w:firstLineChars="0"/>
              <w:jc w:val="center"/>
              <w:rPr>
                <w:rFonts w:hint="eastAsia" w:ascii="宋体" w:hAnsi="宋体" w:cs="宋体"/>
                <w:color w:val="auto"/>
                <w:sz w:val="21"/>
                <w:szCs w:val="21"/>
                <w:highlight w:val="none"/>
                <w:u w:val="none"/>
                <w:lang w:val="en-US" w:eastAsia="zh-CN" w:bidi="ar-SA"/>
              </w:rPr>
            </w:pP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1062A9BE">
            <w:pPr>
              <w:pageBreakBefore w:val="0"/>
              <w:kinsoku/>
              <w:wordWrap/>
              <w:topLinePunct w:val="0"/>
              <w:autoSpaceDE/>
              <w:autoSpaceDN/>
              <w:bidi w:val="0"/>
              <w:jc w:val="both"/>
              <w:textAlignment w:val="center"/>
              <w:rPr>
                <w:rFonts w:hint="eastAsia" w:ascii="宋体" w:hAnsi="宋体" w:eastAsia="宋体" w:cs="宋体"/>
                <w:color w:val="auto"/>
                <w:szCs w:val="21"/>
                <w:highlight w:val="none"/>
                <w:lang w:eastAsia="zh-CN" w:bidi="ar"/>
              </w:rPr>
            </w:pPr>
            <w:r>
              <w:rPr>
                <w:rFonts w:hint="eastAsia" w:ascii="宋体" w:hAnsi="宋体" w:cs="宋体"/>
                <w:color w:val="auto"/>
                <w:szCs w:val="21"/>
                <w:highlight w:val="none"/>
                <w:lang w:eastAsia="zh-CN" w:bidi="ar"/>
              </w:rPr>
              <w:t>（</w:t>
            </w:r>
            <w:r>
              <w:rPr>
                <w:rFonts w:hint="eastAsia" w:ascii="宋体" w:hAnsi="宋体" w:cs="宋体"/>
                <w:color w:val="auto"/>
                <w:szCs w:val="21"/>
                <w:highlight w:val="none"/>
                <w:lang w:val="en-US" w:eastAsia="zh-CN" w:bidi="ar"/>
              </w:rPr>
              <w:t>4</w:t>
            </w:r>
            <w:r>
              <w:rPr>
                <w:rFonts w:hint="eastAsia" w:ascii="宋体" w:hAnsi="宋体" w:cs="宋体"/>
                <w:color w:val="auto"/>
                <w:szCs w:val="21"/>
                <w:highlight w:val="none"/>
                <w:lang w:eastAsia="zh-CN" w:bidi="ar"/>
              </w:rPr>
              <w:t>）</w:t>
            </w:r>
            <w:r>
              <w:rPr>
                <w:rFonts w:hint="eastAsia" w:ascii="宋体" w:hAnsi="宋体" w:cs="宋体"/>
                <w:color w:val="auto"/>
                <w:szCs w:val="21"/>
                <w:highlight w:val="none"/>
                <w:lang w:bidi="ar"/>
              </w:rPr>
              <w:t>★（三）跳单处罚：非不可抗力因素无法响应采购人派车需求的均属于跳单行为（例如：无法顺带包装物或者限行区域无通行证拒绝响应均属于跳单）。采购人安排厢车成交人20台车/天及以内，槽车成交人5台车/天及以内，成交人无法响应的，违约金额为采购人使用其他运输单位支出运输费用的2倍；采购人安排厢车成交人20台车/天以上，槽车成交人5台车/天以上时，成交人无法提供服务的，仅需承担采购人使用其他运输单位支出的运输费用。跳单违约金于跳单所属月份的运输费中扣除。运费不足以抵扣时，采购人有权从履约保证金中扣除。备注：跳单考核包括成交人已进行响应派车，后因成交人原因，无法按要求日期抵达客户现场进行收运的情况。</w:t>
            </w:r>
            <w:r>
              <w:rPr>
                <w:rFonts w:hint="eastAsia" w:ascii="宋体" w:hAnsi="宋体" w:cs="宋体"/>
                <w:b/>
                <w:bCs/>
                <w:color w:val="auto"/>
                <w:szCs w:val="21"/>
                <w:highlight w:val="none"/>
                <w:lang w:eastAsia="zh-CN" w:bidi="ar"/>
              </w:rPr>
              <w:t>（所有投标人均需响应）</w:t>
            </w:r>
          </w:p>
        </w:tc>
      </w:tr>
      <w:tr w14:paraId="68CA4B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0" w:type="pct"/>
            <w:tcBorders>
              <w:top w:val="single" w:color="auto" w:sz="4" w:space="0"/>
              <w:left w:val="single" w:color="auto" w:sz="4" w:space="0"/>
              <w:bottom w:val="single" w:color="auto" w:sz="4" w:space="0"/>
              <w:right w:val="single" w:color="auto" w:sz="4" w:space="0"/>
              <w:tl2br w:val="nil"/>
              <w:tr2bl w:val="nil"/>
            </w:tcBorders>
            <w:vAlign w:val="center"/>
          </w:tcPr>
          <w:p w14:paraId="361C7F27">
            <w:pPr>
              <w:pageBreakBefore w:val="0"/>
              <w:numPr>
                <w:ilvl w:val="0"/>
                <w:numId w:val="0"/>
              </w:numPr>
              <w:tabs>
                <w:tab w:val="left" w:pos="176"/>
              </w:tabs>
              <w:kinsoku/>
              <w:wordWrap/>
              <w:topLinePunct w:val="0"/>
              <w:autoSpaceDE/>
              <w:autoSpaceDN/>
              <w:bidi w:val="0"/>
              <w:ind w:left="420" w:leftChars="0" w:hanging="420" w:firstLineChars="0"/>
              <w:jc w:val="center"/>
              <w:rPr>
                <w:rFonts w:ascii="宋体" w:hAnsi="宋体" w:cs="宋体"/>
                <w:color w:val="auto"/>
                <w:szCs w:val="21"/>
                <w:highlight w:val="none"/>
              </w:rPr>
            </w:pPr>
            <w:r>
              <w:rPr>
                <w:rFonts w:hint="eastAsia" w:ascii="宋体" w:hAnsi="宋体" w:cs="宋体"/>
                <w:color w:val="auto"/>
                <w:sz w:val="21"/>
                <w:szCs w:val="21"/>
                <w:highlight w:val="none"/>
                <w:u w:val="none"/>
                <w:lang w:val="en-US" w:eastAsia="zh-CN" w:bidi="ar-SA"/>
              </w:rPr>
              <w:t>3</w:t>
            </w: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3B45161F">
            <w:pPr>
              <w:pageBreakBefore w:val="0"/>
              <w:kinsoku/>
              <w:wordWrap/>
              <w:topLinePunct w:val="0"/>
              <w:autoSpaceDE/>
              <w:autoSpaceDN/>
              <w:bidi w:val="0"/>
              <w:jc w:val="both"/>
              <w:textAlignment w:val="center"/>
              <w:rPr>
                <w:rFonts w:ascii="宋体" w:hAnsi="宋体" w:cs="宋体"/>
                <w:color w:val="auto"/>
                <w:szCs w:val="21"/>
                <w:highlight w:val="none"/>
                <w:lang w:bidi="ar"/>
              </w:rPr>
            </w:pPr>
            <w:r>
              <w:rPr>
                <w:rFonts w:hint="eastAsia" w:ascii="宋体" w:hAnsi="宋体" w:cs="宋体"/>
                <w:color w:val="auto"/>
                <w:szCs w:val="21"/>
                <w:highlight w:val="none"/>
                <w:lang w:bidi="ar"/>
              </w:rPr>
              <w:t>投标人按照采购文件要求提交投标保证金；</w:t>
            </w:r>
          </w:p>
        </w:tc>
      </w:tr>
      <w:tr w14:paraId="18A4EF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10" w:type="pct"/>
            <w:tcBorders>
              <w:top w:val="single" w:color="auto" w:sz="4" w:space="0"/>
              <w:left w:val="single" w:color="auto" w:sz="4" w:space="0"/>
              <w:bottom w:val="single" w:color="auto" w:sz="4" w:space="0"/>
              <w:right w:val="single" w:color="auto" w:sz="4" w:space="0"/>
              <w:tl2br w:val="nil"/>
              <w:tr2bl w:val="nil"/>
            </w:tcBorders>
            <w:vAlign w:val="center"/>
          </w:tcPr>
          <w:p w14:paraId="7625389D">
            <w:pPr>
              <w:pageBreakBefore w:val="0"/>
              <w:numPr>
                <w:ilvl w:val="0"/>
                <w:numId w:val="0"/>
              </w:numPr>
              <w:tabs>
                <w:tab w:val="left" w:pos="176"/>
              </w:tabs>
              <w:kinsoku/>
              <w:wordWrap/>
              <w:topLinePunct w:val="0"/>
              <w:autoSpaceDE/>
              <w:autoSpaceDN/>
              <w:bidi w:val="0"/>
              <w:ind w:left="420" w:leftChars="0" w:hanging="420" w:firstLineChars="0"/>
              <w:jc w:val="center"/>
              <w:rPr>
                <w:rFonts w:ascii="宋体" w:hAnsi="宋体" w:cs="宋体"/>
                <w:color w:val="auto"/>
                <w:szCs w:val="21"/>
                <w:highlight w:val="none"/>
              </w:rPr>
            </w:pPr>
            <w:r>
              <w:rPr>
                <w:rFonts w:hint="eastAsia" w:ascii="宋体" w:hAnsi="宋体" w:cs="宋体"/>
                <w:color w:val="auto"/>
                <w:sz w:val="21"/>
                <w:szCs w:val="21"/>
                <w:highlight w:val="none"/>
                <w:u w:val="none"/>
                <w:lang w:val="en-US" w:eastAsia="zh-CN" w:bidi="ar-SA"/>
              </w:rPr>
              <w:t>4</w:t>
            </w: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106BD01A">
            <w:pPr>
              <w:pageBreakBefore w:val="0"/>
              <w:kinsoku/>
              <w:wordWrap/>
              <w:topLinePunct w:val="0"/>
              <w:autoSpaceDE/>
              <w:autoSpaceDN/>
              <w:bidi w:val="0"/>
              <w:jc w:val="both"/>
              <w:textAlignment w:val="center"/>
              <w:rPr>
                <w:rFonts w:ascii="宋体" w:hAnsi="宋体" w:cs="宋体"/>
                <w:color w:val="auto"/>
                <w:szCs w:val="21"/>
                <w:highlight w:val="none"/>
              </w:rPr>
            </w:pPr>
            <w:r>
              <w:rPr>
                <w:rFonts w:hint="eastAsia" w:ascii="宋体" w:hAnsi="宋体" w:cs="宋体"/>
                <w:color w:val="auto"/>
                <w:szCs w:val="21"/>
                <w:highlight w:val="none"/>
                <w:lang w:bidi="ar"/>
              </w:rPr>
              <w:t>投标文件按照采购文件要求签署盖章；</w:t>
            </w:r>
          </w:p>
        </w:tc>
      </w:tr>
      <w:tr w14:paraId="0B3661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0" w:type="pct"/>
            <w:tcBorders>
              <w:top w:val="single" w:color="auto" w:sz="4" w:space="0"/>
              <w:left w:val="single" w:color="auto" w:sz="4" w:space="0"/>
              <w:bottom w:val="single" w:color="auto" w:sz="4" w:space="0"/>
              <w:right w:val="single" w:color="auto" w:sz="4" w:space="0"/>
              <w:tl2br w:val="nil"/>
              <w:tr2bl w:val="nil"/>
            </w:tcBorders>
            <w:vAlign w:val="center"/>
          </w:tcPr>
          <w:p w14:paraId="50B61661">
            <w:pPr>
              <w:pageBreakBefore w:val="0"/>
              <w:numPr>
                <w:ilvl w:val="0"/>
                <w:numId w:val="0"/>
              </w:numPr>
              <w:tabs>
                <w:tab w:val="left" w:pos="176"/>
              </w:tabs>
              <w:kinsoku/>
              <w:wordWrap/>
              <w:topLinePunct w:val="0"/>
              <w:autoSpaceDE/>
              <w:autoSpaceDN/>
              <w:bidi w:val="0"/>
              <w:ind w:leftChars="0"/>
              <w:jc w:val="center"/>
              <w:rPr>
                <w:rFonts w:hint="eastAsia" w:ascii="宋体" w:hAnsi="宋体" w:eastAsia="宋体" w:cs="宋体"/>
                <w:color w:val="auto"/>
                <w:szCs w:val="21"/>
                <w:highlight w:val="none"/>
                <w:lang w:val="en-US" w:eastAsia="zh-CN"/>
              </w:rPr>
            </w:pPr>
            <w:r>
              <w:rPr>
                <w:rFonts w:hint="eastAsia" w:ascii="宋体" w:hAnsi="宋体" w:cs="宋体"/>
                <w:color w:val="auto"/>
                <w:szCs w:val="21"/>
                <w:highlight w:val="none"/>
                <w:lang w:val="en-US" w:eastAsia="zh-CN"/>
              </w:rPr>
              <w:t>5</w:t>
            </w: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7424AB43">
            <w:pPr>
              <w:pageBreakBefore w:val="0"/>
              <w:kinsoku/>
              <w:wordWrap/>
              <w:topLinePunct w:val="0"/>
              <w:autoSpaceDE/>
              <w:autoSpaceDN/>
              <w:bidi w:val="0"/>
              <w:jc w:val="both"/>
              <w:textAlignment w:val="center"/>
              <w:rPr>
                <w:rFonts w:ascii="宋体" w:hAnsi="宋体" w:cs="宋体"/>
                <w:color w:val="auto"/>
                <w:szCs w:val="21"/>
                <w:highlight w:val="none"/>
              </w:rPr>
            </w:pPr>
            <w:r>
              <w:rPr>
                <w:rFonts w:hint="eastAsia" w:ascii="宋体" w:hAnsi="宋体" w:cs="宋体"/>
                <w:color w:val="auto"/>
                <w:szCs w:val="21"/>
                <w:highlight w:val="none"/>
                <w:lang w:bidi="ar"/>
              </w:rPr>
              <w:t>投标总价未超出采购预算或最高限价；</w:t>
            </w:r>
          </w:p>
        </w:tc>
      </w:tr>
      <w:tr w14:paraId="37ED6A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0" w:type="pct"/>
            <w:tcBorders>
              <w:top w:val="single" w:color="auto" w:sz="4" w:space="0"/>
              <w:left w:val="single" w:color="auto" w:sz="4" w:space="0"/>
              <w:bottom w:val="single" w:color="auto" w:sz="4" w:space="0"/>
              <w:right w:val="single" w:color="auto" w:sz="4" w:space="0"/>
              <w:tl2br w:val="nil"/>
              <w:tr2bl w:val="nil"/>
            </w:tcBorders>
            <w:vAlign w:val="center"/>
          </w:tcPr>
          <w:p w14:paraId="7643DE85">
            <w:pPr>
              <w:pageBreakBefore w:val="0"/>
              <w:kinsoku/>
              <w:wordWrap/>
              <w:topLinePunct w:val="0"/>
              <w:autoSpaceDE/>
              <w:autoSpaceDN/>
              <w:bidi w:val="0"/>
              <w:ind w:firstLine="210" w:firstLineChars="100"/>
              <w:jc w:val="both"/>
              <w:rPr>
                <w:rFonts w:hint="eastAsia" w:ascii="宋体" w:hAnsi="宋体" w:eastAsia="宋体" w:cs="宋体"/>
                <w:color w:val="auto"/>
                <w:szCs w:val="21"/>
                <w:highlight w:val="none"/>
                <w:lang w:eastAsia="zh-CN"/>
              </w:rPr>
            </w:pPr>
            <w:r>
              <w:rPr>
                <w:rFonts w:hint="eastAsia" w:ascii="宋体" w:hAnsi="宋体" w:cs="宋体"/>
                <w:color w:val="auto"/>
                <w:szCs w:val="21"/>
                <w:highlight w:val="none"/>
                <w:lang w:val="en-US" w:eastAsia="zh-CN"/>
              </w:rPr>
              <w:t>6</w:t>
            </w: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738DE1A3">
            <w:pPr>
              <w:pageBreakBefore w:val="0"/>
              <w:kinsoku/>
              <w:wordWrap/>
              <w:topLinePunct w:val="0"/>
              <w:autoSpaceDE/>
              <w:autoSpaceDN/>
              <w:bidi w:val="0"/>
              <w:jc w:val="both"/>
              <w:textAlignment w:val="center"/>
              <w:rPr>
                <w:rFonts w:ascii="宋体" w:hAnsi="宋体" w:cs="宋体"/>
                <w:color w:val="auto"/>
                <w:szCs w:val="21"/>
                <w:highlight w:val="none"/>
                <w:lang w:bidi="ar"/>
              </w:rPr>
            </w:pPr>
            <w:r>
              <w:rPr>
                <w:rFonts w:hint="eastAsia" w:ascii="宋体" w:hAnsi="宋体" w:cs="宋体"/>
                <w:color w:val="auto"/>
                <w:szCs w:val="21"/>
                <w:highlight w:val="none"/>
                <w:lang w:bidi="ar"/>
              </w:rPr>
              <w:t>投标文件未含有采购人不能接受的附加条件；</w:t>
            </w:r>
          </w:p>
        </w:tc>
      </w:tr>
      <w:tr w14:paraId="72FC24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0" w:type="pct"/>
            <w:tcBorders>
              <w:top w:val="single" w:color="auto" w:sz="4" w:space="0"/>
              <w:left w:val="single" w:color="auto" w:sz="4" w:space="0"/>
              <w:bottom w:val="single" w:color="auto" w:sz="4" w:space="0"/>
              <w:right w:val="single" w:color="auto" w:sz="4" w:space="0"/>
              <w:tl2br w:val="nil"/>
              <w:tr2bl w:val="nil"/>
            </w:tcBorders>
            <w:vAlign w:val="center"/>
          </w:tcPr>
          <w:p w14:paraId="13C0A1E0">
            <w:pPr>
              <w:pageBreakBefore w:val="0"/>
              <w:tabs>
                <w:tab w:val="left" w:pos="176"/>
              </w:tabs>
              <w:kinsoku/>
              <w:wordWrap/>
              <w:topLinePunct w:val="0"/>
              <w:autoSpaceDE/>
              <w:autoSpaceDN/>
              <w:bidi w:val="0"/>
              <w:ind w:firstLine="210" w:firstLineChars="100"/>
              <w:jc w:val="both"/>
              <w:rPr>
                <w:rFonts w:ascii="宋体" w:hAnsi="宋体" w:cs="宋体"/>
                <w:color w:val="auto"/>
                <w:szCs w:val="21"/>
                <w:highlight w:val="none"/>
              </w:rPr>
            </w:pPr>
            <w:r>
              <w:rPr>
                <w:rFonts w:hint="eastAsia" w:ascii="宋体" w:hAnsi="宋体" w:cs="宋体"/>
                <w:color w:val="auto"/>
                <w:szCs w:val="21"/>
                <w:highlight w:val="none"/>
              </w:rPr>
              <w:t>7</w:t>
            </w: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3DF7717F">
            <w:pPr>
              <w:pageBreakBefore w:val="0"/>
              <w:kinsoku/>
              <w:wordWrap/>
              <w:topLinePunct w:val="0"/>
              <w:autoSpaceDE/>
              <w:autoSpaceDN/>
              <w:bidi w:val="0"/>
              <w:jc w:val="both"/>
              <w:textAlignment w:val="center"/>
              <w:rPr>
                <w:rFonts w:ascii="宋体" w:hAnsi="宋体" w:cs="宋体"/>
                <w:color w:val="auto"/>
                <w:szCs w:val="21"/>
                <w:highlight w:val="none"/>
                <w:lang w:bidi="ar"/>
              </w:rPr>
            </w:pPr>
            <w:r>
              <w:rPr>
                <w:rFonts w:hint="eastAsia" w:ascii="宋体" w:hAnsi="宋体" w:cs="宋体"/>
                <w:color w:val="auto"/>
                <w:szCs w:val="21"/>
                <w:highlight w:val="none"/>
              </w:rPr>
              <w:t>未出现</w:t>
            </w:r>
            <w:r>
              <w:rPr>
                <w:rFonts w:hint="eastAsia" w:ascii="宋体" w:hAnsi="宋体" w:cs="宋体"/>
                <w:color w:val="auto"/>
                <w:szCs w:val="21"/>
                <w:highlight w:val="none"/>
                <w:lang w:bidi="ar"/>
              </w:rPr>
              <w:t>法律、法规和</w:t>
            </w:r>
            <w:r>
              <w:rPr>
                <w:rFonts w:hint="eastAsia" w:ascii="宋体" w:hAnsi="宋体" w:cs="宋体"/>
                <w:color w:val="auto"/>
                <w:szCs w:val="21"/>
                <w:highlight w:val="none"/>
                <w:lang w:val="en-US" w:eastAsia="zh-CN" w:bidi="ar"/>
              </w:rPr>
              <w:t>采购</w:t>
            </w:r>
            <w:r>
              <w:rPr>
                <w:rFonts w:hint="eastAsia" w:ascii="宋体" w:hAnsi="宋体" w:cs="宋体"/>
                <w:color w:val="auto"/>
                <w:szCs w:val="21"/>
                <w:highlight w:val="none"/>
                <w:lang w:bidi="ar"/>
              </w:rPr>
              <w:t>文件规定的其他无效情形。</w:t>
            </w:r>
          </w:p>
        </w:tc>
      </w:tr>
    </w:tbl>
    <w:p w14:paraId="653787D5">
      <w:pPr>
        <w:pageBreakBefore w:val="0"/>
        <w:widowControl w:val="0"/>
        <w:kinsoku/>
        <w:wordWrap/>
        <w:overflowPunct w:val="0"/>
        <w:topLinePunct w:val="0"/>
        <w:autoSpaceDE/>
        <w:autoSpaceDN/>
        <w:bidi w:val="0"/>
        <w:ind w:firstLine="420" w:firstLineChars="200"/>
        <w:jc w:val="both"/>
        <w:rPr>
          <w:rFonts w:ascii="宋体" w:hAnsi="宋体"/>
          <w:color w:val="auto"/>
          <w:szCs w:val="21"/>
          <w:highlight w:val="none"/>
        </w:rPr>
      </w:pPr>
      <w:r>
        <w:rPr>
          <w:rFonts w:hint="eastAsia" w:ascii="宋体" w:hAnsi="宋体"/>
          <w:color w:val="auto"/>
          <w:szCs w:val="21"/>
          <w:highlight w:val="none"/>
        </w:rPr>
        <w:t>以上资格性、符合性审查中带有不合格分项的投标文件，将作无效标处理。经评标委员会确认的无效投标文件，采购人和采购代理机构将予以拒绝，并且不允许通过修正或撤消其不符合要求的差异，使之成为具有符合性的投标文件。经评标委员会资格性、符合性审查确认具有有效投标文件的投标人不足三家时将重新组织采购</w:t>
      </w:r>
    </w:p>
    <w:p w14:paraId="2E3474BE">
      <w:pPr>
        <w:pageBreakBefore w:val="0"/>
        <w:widowControl w:val="0"/>
        <w:numPr>
          <w:ilvl w:val="1"/>
          <w:numId w:val="6"/>
        </w:numPr>
        <w:kinsoku/>
        <w:wordWrap/>
        <w:overflowPunct w:val="0"/>
        <w:topLinePunct w:val="0"/>
        <w:autoSpaceDE/>
        <w:autoSpaceDN/>
        <w:bidi w:val="0"/>
        <w:jc w:val="both"/>
        <w:rPr>
          <w:rFonts w:ascii="宋体" w:hAnsi="宋体" w:cs="宋体"/>
          <w:b/>
          <w:bCs/>
          <w:color w:val="auto"/>
          <w:szCs w:val="21"/>
          <w:highlight w:val="none"/>
        </w:rPr>
      </w:pPr>
      <w:r>
        <w:rPr>
          <w:rFonts w:hint="eastAsia" w:ascii="宋体" w:hAnsi="宋体" w:cs="宋体"/>
          <w:b/>
          <w:bCs/>
          <w:color w:val="auto"/>
          <w:szCs w:val="21"/>
          <w:highlight w:val="none"/>
        </w:rPr>
        <w:t>投标文件报价出现前后不一致的，评标委员会按照下列规定修正：</w:t>
      </w:r>
    </w:p>
    <w:p w14:paraId="352962C3">
      <w:pPr>
        <w:pageBreakBefore w:val="0"/>
        <w:widowControl w:val="0"/>
        <w:numPr>
          <w:ilvl w:val="0"/>
          <w:numId w:val="9"/>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投标文件中开标一览表（报价表）内容与投标文件中相应内容不一致的，以开标一览表（报价表）为准；</w:t>
      </w:r>
    </w:p>
    <w:p w14:paraId="39C3DBC5">
      <w:pPr>
        <w:pageBreakBefore w:val="0"/>
        <w:widowControl w:val="0"/>
        <w:numPr>
          <w:ilvl w:val="0"/>
          <w:numId w:val="9"/>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大写金额和小写金额不一致的，以大写金额为准；</w:t>
      </w:r>
    </w:p>
    <w:p w14:paraId="212C582D">
      <w:pPr>
        <w:pageBreakBefore w:val="0"/>
        <w:widowControl w:val="0"/>
        <w:numPr>
          <w:ilvl w:val="0"/>
          <w:numId w:val="9"/>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单价金额小数点或者百分比有明显错位的，以开标一览表的总价为准，并修改单价；</w:t>
      </w:r>
    </w:p>
    <w:p w14:paraId="0D901FC4">
      <w:pPr>
        <w:pageBreakBefore w:val="0"/>
        <w:widowControl w:val="0"/>
        <w:numPr>
          <w:ilvl w:val="0"/>
          <w:numId w:val="9"/>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总价金额与按单价汇总金额不一致的，以单价金额计算结果为准。</w:t>
      </w:r>
    </w:p>
    <w:p w14:paraId="7495BC2A">
      <w:pPr>
        <w:pageBreakBefore w:val="0"/>
        <w:widowControl w:val="0"/>
        <w:numPr>
          <w:ilvl w:val="0"/>
          <w:numId w:val="9"/>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同时出现两种以上不一致的，按照前款规定的顺序修正。修正后的报价按照经投标人确认后产生约束力，投标人不确认的，其投标无效。</w:t>
      </w:r>
    </w:p>
    <w:p w14:paraId="19FCA78D">
      <w:pPr>
        <w:pageBreakBefore w:val="0"/>
        <w:widowControl w:val="0"/>
        <w:kinsoku/>
        <w:wordWrap/>
        <w:overflowPunct w:val="0"/>
        <w:topLinePunct w:val="0"/>
        <w:autoSpaceDE/>
        <w:autoSpaceDN/>
        <w:bidi w:val="0"/>
        <w:ind w:left="630" w:hanging="630" w:hangingChars="300"/>
        <w:jc w:val="both"/>
        <w:rPr>
          <w:rFonts w:ascii="宋体" w:hAnsi="宋体" w:cs="宋体"/>
          <w:color w:val="auto"/>
          <w:szCs w:val="21"/>
          <w:highlight w:val="none"/>
        </w:rPr>
      </w:pPr>
      <w:r>
        <w:rPr>
          <w:rFonts w:hint="eastAsia" w:ascii="宋体" w:hAnsi="宋体" w:cs="宋体"/>
          <w:color w:val="auto"/>
          <w:szCs w:val="21"/>
          <w:highlight w:val="none"/>
        </w:rPr>
        <w:t>26.3  评标委员会认为投标人的报价明显低于其他通过符合性审查投标人的报价，有可能影响产品质量或者不能诚信履约的，应当要求其在评标现场合理的时间内提供书面说明（以现场通知时间为准），必要时提交相关证明材料；投标人不能证明其报价合理性的，评标委员会应当将其作为无效投标处理。</w:t>
      </w:r>
    </w:p>
    <w:p w14:paraId="3CE5260C">
      <w:pPr>
        <w:pageBreakBefore w:val="0"/>
        <w:widowControl w:val="0"/>
        <w:kinsoku/>
        <w:wordWrap/>
        <w:overflowPunct w:val="0"/>
        <w:topLinePunct w:val="0"/>
        <w:autoSpaceDE/>
        <w:autoSpaceDN/>
        <w:bidi w:val="0"/>
        <w:ind w:left="630" w:hanging="630" w:hangingChars="300"/>
        <w:jc w:val="both"/>
        <w:rPr>
          <w:rFonts w:ascii="宋体" w:hAnsi="宋体" w:cs="宋体"/>
          <w:color w:val="auto"/>
          <w:szCs w:val="21"/>
          <w:highlight w:val="none"/>
        </w:rPr>
      </w:pPr>
      <w:r>
        <w:rPr>
          <w:rFonts w:hint="eastAsia" w:ascii="宋体" w:hAnsi="宋体" w:cs="宋体"/>
          <w:color w:val="auto"/>
          <w:szCs w:val="21"/>
          <w:highlight w:val="none"/>
        </w:rPr>
        <w:t>26.4  对于投标文件中不构成实质性偏差的不正规、不一致或不规则，评标委员会可以接受，但这种接受不能损害或影响任何投标人的相对排序。</w:t>
      </w:r>
    </w:p>
    <w:p w14:paraId="3479CAAB">
      <w:pPr>
        <w:pageBreakBefore w:val="0"/>
        <w:widowControl w:val="0"/>
        <w:kinsoku/>
        <w:wordWrap/>
        <w:overflowPunct w:val="0"/>
        <w:topLinePunct w:val="0"/>
        <w:autoSpaceDE/>
        <w:autoSpaceDN/>
        <w:bidi w:val="0"/>
        <w:ind w:left="630" w:hanging="630" w:hangingChars="300"/>
        <w:jc w:val="both"/>
        <w:rPr>
          <w:rFonts w:ascii="宋体" w:hAnsi="宋体" w:cs="宋体"/>
          <w:color w:val="auto"/>
          <w:szCs w:val="21"/>
          <w:highlight w:val="none"/>
        </w:rPr>
      </w:pPr>
      <w:r>
        <w:rPr>
          <w:rFonts w:hint="eastAsia" w:ascii="宋体" w:hAnsi="宋体" w:cs="宋体"/>
          <w:color w:val="auto"/>
          <w:szCs w:val="21"/>
          <w:highlight w:val="none"/>
        </w:rPr>
        <w:t>26.5  在详细评标之前，评标委员会要审查每份投标文件是否实质上响应了采购文件的要求。实质上响应的投标应该是与采购文件要求的全部主要条款（加“★”号）、条件和规格相符，没有重大偏离的投标。对关键条文的偏离、保留或反对，例如关于投标保证金、合同条款的重大偏离将被认为是实质上的偏离。评标委员会决定投标文件的响应性只根据投标文件本身的内容，而不寻求外部的证据。</w:t>
      </w:r>
    </w:p>
    <w:p w14:paraId="5D1389D3">
      <w:pPr>
        <w:pStyle w:val="9"/>
        <w:pageBreakBefore w:val="0"/>
        <w:kinsoku/>
        <w:wordWrap/>
        <w:topLinePunct w:val="0"/>
        <w:autoSpaceDE/>
        <w:autoSpaceDN/>
        <w:bidi w:val="0"/>
        <w:spacing w:before="0"/>
        <w:jc w:val="both"/>
        <w:rPr>
          <w:color w:val="auto"/>
          <w:highlight w:val="none"/>
        </w:rPr>
      </w:pPr>
    </w:p>
    <w:p w14:paraId="6B72CD2D">
      <w:pPr>
        <w:pStyle w:val="5"/>
        <w:pageBreakBefore w:val="0"/>
        <w:widowControl w:val="0"/>
        <w:numPr>
          <w:ilvl w:val="0"/>
          <w:numId w:val="6"/>
        </w:numPr>
        <w:kinsoku/>
        <w:wordWrap/>
        <w:overflowPunct w:val="0"/>
        <w:topLinePunct w:val="0"/>
        <w:autoSpaceDE/>
        <w:autoSpaceDN/>
        <w:bidi w:val="0"/>
        <w:jc w:val="both"/>
        <w:rPr>
          <w:rFonts w:ascii="宋体" w:hAnsi="宋体" w:cs="宋体"/>
          <w:color w:val="auto"/>
          <w:sz w:val="21"/>
          <w:szCs w:val="21"/>
          <w:highlight w:val="none"/>
        </w:rPr>
      </w:pPr>
      <w:bookmarkStart w:id="624" w:name="_Toc30697"/>
      <w:bookmarkStart w:id="625" w:name="_Toc4925"/>
      <w:bookmarkStart w:id="626" w:name="_Toc4799"/>
      <w:bookmarkStart w:id="627" w:name="_Toc15479"/>
      <w:bookmarkStart w:id="628" w:name="_Toc4329"/>
      <w:bookmarkStart w:id="629" w:name="_Toc30515"/>
      <w:bookmarkStart w:id="630" w:name="_Toc29282"/>
      <w:bookmarkStart w:id="631" w:name="_Toc18079"/>
      <w:bookmarkStart w:id="632" w:name="_Toc21201"/>
      <w:bookmarkStart w:id="633" w:name="_Toc19399"/>
      <w:bookmarkStart w:id="634" w:name="_Toc21500"/>
      <w:bookmarkStart w:id="635" w:name="_Toc24141"/>
      <w:r>
        <w:rPr>
          <w:rFonts w:hint="eastAsia" w:ascii="宋体" w:hAnsi="宋体" w:cs="宋体"/>
          <w:color w:val="auto"/>
          <w:sz w:val="21"/>
          <w:szCs w:val="21"/>
          <w:highlight w:val="none"/>
          <w:lang w:val="en-US" w:eastAsia="zh-CN"/>
        </w:rPr>
        <w:t>项目</w:t>
      </w:r>
      <w:r>
        <w:rPr>
          <w:rFonts w:hint="eastAsia" w:ascii="宋体" w:hAnsi="宋体" w:cs="宋体"/>
          <w:color w:val="auto"/>
          <w:sz w:val="21"/>
          <w:szCs w:val="21"/>
          <w:highlight w:val="none"/>
        </w:rPr>
        <w:t>评审（具体评审项目详见投标资料表）</w:t>
      </w:r>
      <w:bookmarkEnd w:id="624"/>
      <w:bookmarkEnd w:id="625"/>
      <w:bookmarkEnd w:id="626"/>
      <w:bookmarkEnd w:id="627"/>
      <w:bookmarkEnd w:id="628"/>
      <w:bookmarkEnd w:id="629"/>
      <w:bookmarkEnd w:id="630"/>
      <w:bookmarkEnd w:id="631"/>
      <w:bookmarkEnd w:id="632"/>
      <w:bookmarkEnd w:id="633"/>
      <w:bookmarkEnd w:id="634"/>
      <w:bookmarkEnd w:id="635"/>
    </w:p>
    <w:p w14:paraId="0CD21ABA">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 xml:space="preserve">对通过资格性、符合性审查的有效供应商方有资格进入价格评审。采购文件中要求投标人提供的相关资质证书证明材料因国家政策变动导致新旧证书名称不一致，旧证书未取消且新旧证书具有同等效力的，投标人提供新证书与提供在有效期内的旧证书给予同等认可。 </w:t>
      </w:r>
    </w:p>
    <w:p w14:paraId="3D5C086A">
      <w:pPr>
        <w:pageBreakBefore w:val="0"/>
        <w:widowControl w:val="0"/>
        <w:numPr>
          <w:ilvl w:val="1"/>
          <w:numId w:val="6"/>
        </w:numPr>
        <w:kinsoku/>
        <w:wordWrap/>
        <w:overflowPunct w:val="0"/>
        <w:topLinePunct w:val="0"/>
        <w:autoSpaceDE/>
        <w:autoSpaceDN/>
        <w:bidi w:val="0"/>
        <w:jc w:val="both"/>
        <w:rPr>
          <w:rFonts w:ascii="宋体" w:hAnsi="宋体" w:cs="宋体"/>
          <w:b/>
          <w:bCs/>
          <w:color w:val="auto"/>
          <w:szCs w:val="21"/>
          <w:highlight w:val="none"/>
        </w:rPr>
      </w:pPr>
      <w:r>
        <w:rPr>
          <w:rFonts w:hint="eastAsia" w:ascii="宋体" w:hAnsi="宋体" w:cs="宋体"/>
          <w:b/>
          <w:bCs/>
          <w:color w:val="auto"/>
          <w:szCs w:val="21"/>
          <w:highlight w:val="none"/>
        </w:rPr>
        <w:t>评标委员会对通过资格性、符合性审查的投标文件进行价格评审，按暂定总价</w:t>
      </w:r>
      <w:r>
        <w:rPr>
          <w:rFonts w:hint="eastAsia" w:ascii="宋体" w:hAnsi="宋体" w:cs="宋体"/>
          <w:b/>
          <w:bCs/>
          <w:color w:val="auto"/>
          <w:szCs w:val="21"/>
          <w:highlight w:val="none"/>
          <w:lang w:eastAsia="zh-CN"/>
        </w:rPr>
        <w:t>（</w:t>
      </w:r>
      <w:r>
        <w:rPr>
          <w:rFonts w:hint="eastAsia" w:ascii="宋体" w:hAnsi="宋体" w:cs="宋体"/>
          <w:b/>
          <w:bCs/>
          <w:color w:val="auto"/>
          <w:szCs w:val="21"/>
          <w:highlight w:val="none"/>
          <w:lang w:val="en-US" w:eastAsia="zh-CN"/>
        </w:rPr>
        <w:t>含税价</w:t>
      </w:r>
      <w:r>
        <w:rPr>
          <w:rFonts w:hint="eastAsia" w:ascii="宋体" w:hAnsi="宋体" w:cs="宋体"/>
          <w:b/>
          <w:bCs/>
          <w:color w:val="auto"/>
          <w:szCs w:val="21"/>
          <w:highlight w:val="none"/>
          <w:lang w:eastAsia="zh-CN"/>
        </w:rPr>
        <w:t>）</w:t>
      </w:r>
      <w:r>
        <w:rPr>
          <w:rFonts w:hint="eastAsia" w:ascii="宋体" w:hAnsi="宋体" w:cs="宋体"/>
          <w:b/>
          <w:bCs/>
          <w:color w:val="auto"/>
          <w:szCs w:val="21"/>
          <w:highlight w:val="none"/>
        </w:rPr>
        <w:t>从低到高进行排序，暂定总价</w:t>
      </w:r>
      <w:r>
        <w:rPr>
          <w:rFonts w:hint="eastAsia" w:ascii="宋体" w:hAnsi="宋体" w:cs="宋体"/>
          <w:b/>
          <w:bCs/>
          <w:color w:val="auto"/>
          <w:szCs w:val="21"/>
          <w:highlight w:val="none"/>
          <w:lang w:eastAsia="zh-CN"/>
        </w:rPr>
        <w:t>（</w:t>
      </w:r>
      <w:r>
        <w:rPr>
          <w:rFonts w:hint="eastAsia" w:ascii="宋体" w:hAnsi="宋体" w:cs="宋体"/>
          <w:b/>
          <w:bCs/>
          <w:color w:val="auto"/>
          <w:szCs w:val="21"/>
          <w:highlight w:val="none"/>
          <w:lang w:val="en-US" w:eastAsia="zh-CN"/>
        </w:rPr>
        <w:t>含税价</w:t>
      </w:r>
      <w:r>
        <w:rPr>
          <w:rFonts w:hint="eastAsia" w:ascii="宋体" w:hAnsi="宋体" w:cs="宋体"/>
          <w:b/>
          <w:bCs/>
          <w:color w:val="auto"/>
          <w:szCs w:val="21"/>
          <w:highlight w:val="none"/>
          <w:lang w:eastAsia="zh-CN"/>
        </w:rPr>
        <w:t>）</w:t>
      </w:r>
      <w:r>
        <w:rPr>
          <w:rFonts w:hint="eastAsia" w:ascii="宋体" w:hAnsi="宋体" w:cs="宋体"/>
          <w:b/>
          <w:bCs/>
          <w:color w:val="auto"/>
          <w:szCs w:val="21"/>
          <w:highlight w:val="none"/>
        </w:rPr>
        <w:t>最低的投标人为第一</w:t>
      </w:r>
      <w:r>
        <w:rPr>
          <w:rFonts w:hint="eastAsia" w:ascii="宋体" w:hAnsi="宋体" w:cs="宋体"/>
          <w:b/>
          <w:bCs/>
          <w:color w:val="auto"/>
          <w:szCs w:val="21"/>
          <w:highlight w:val="none"/>
          <w:lang w:eastAsia="zh-CN"/>
        </w:rPr>
        <w:t>成交候选人</w:t>
      </w:r>
      <w:r>
        <w:rPr>
          <w:rFonts w:hint="eastAsia" w:ascii="宋体" w:hAnsi="宋体" w:cs="宋体"/>
          <w:b/>
          <w:bCs/>
          <w:color w:val="auto"/>
          <w:szCs w:val="21"/>
          <w:highlight w:val="none"/>
        </w:rPr>
        <w:t>，暂定总价</w:t>
      </w:r>
      <w:r>
        <w:rPr>
          <w:rFonts w:hint="eastAsia" w:ascii="宋体" w:hAnsi="宋体" w:cs="宋体"/>
          <w:b/>
          <w:bCs/>
          <w:color w:val="auto"/>
          <w:szCs w:val="21"/>
          <w:highlight w:val="none"/>
          <w:lang w:eastAsia="zh-CN"/>
        </w:rPr>
        <w:t>（</w:t>
      </w:r>
      <w:r>
        <w:rPr>
          <w:rFonts w:hint="eastAsia" w:ascii="宋体" w:hAnsi="宋体" w:cs="宋体"/>
          <w:b/>
          <w:bCs/>
          <w:color w:val="auto"/>
          <w:szCs w:val="21"/>
          <w:highlight w:val="none"/>
          <w:lang w:val="en-US" w:eastAsia="zh-CN"/>
        </w:rPr>
        <w:t>含税价</w:t>
      </w:r>
      <w:r>
        <w:rPr>
          <w:rFonts w:hint="eastAsia" w:ascii="宋体" w:hAnsi="宋体" w:cs="宋体"/>
          <w:b/>
          <w:bCs/>
          <w:color w:val="auto"/>
          <w:szCs w:val="21"/>
          <w:highlight w:val="none"/>
          <w:lang w:eastAsia="zh-CN"/>
        </w:rPr>
        <w:t>）</w:t>
      </w:r>
      <w:r>
        <w:rPr>
          <w:rFonts w:hint="eastAsia" w:ascii="宋体" w:hAnsi="宋体" w:cs="宋体"/>
          <w:b/>
          <w:bCs/>
          <w:color w:val="auto"/>
          <w:szCs w:val="21"/>
          <w:highlight w:val="none"/>
        </w:rPr>
        <w:t>次低的投标人为第二</w:t>
      </w:r>
      <w:r>
        <w:rPr>
          <w:rFonts w:hint="eastAsia" w:ascii="宋体" w:hAnsi="宋体" w:cs="宋体"/>
          <w:b/>
          <w:bCs/>
          <w:color w:val="auto"/>
          <w:szCs w:val="21"/>
          <w:highlight w:val="none"/>
          <w:lang w:eastAsia="zh-CN"/>
        </w:rPr>
        <w:t>成交候选人</w:t>
      </w:r>
      <w:r>
        <w:rPr>
          <w:rFonts w:hint="eastAsia" w:ascii="宋体" w:hAnsi="宋体" w:cs="宋体"/>
          <w:b/>
          <w:bCs/>
          <w:color w:val="auto"/>
          <w:szCs w:val="21"/>
          <w:highlight w:val="none"/>
        </w:rPr>
        <w:t>。如出现暂定总价</w:t>
      </w:r>
      <w:r>
        <w:rPr>
          <w:rFonts w:hint="eastAsia" w:ascii="宋体" w:hAnsi="宋体" w:cs="宋体"/>
          <w:b/>
          <w:bCs/>
          <w:color w:val="auto"/>
          <w:szCs w:val="21"/>
          <w:highlight w:val="none"/>
          <w:lang w:eastAsia="zh-CN"/>
        </w:rPr>
        <w:t>（</w:t>
      </w:r>
      <w:r>
        <w:rPr>
          <w:rFonts w:hint="eastAsia" w:ascii="宋体" w:hAnsi="宋体" w:cs="宋体"/>
          <w:b/>
          <w:bCs/>
          <w:color w:val="auto"/>
          <w:szCs w:val="21"/>
          <w:highlight w:val="none"/>
          <w:lang w:val="en-US" w:eastAsia="zh-CN"/>
        </w:rPr>
        <w:t>含税价</w:t>
      </w:r>
      <w:r>
        <w:rPr>
          <w:rFonts w:hint="eastAsia" w:ascii="宋体" w:hAnsi="宋体" w:cs="宋体"/>
          <w:b/>
          <w:bCs/>
          <w:color w:val="auto"/>
          <w:szCs w:val="21"/>
          <w:highlight w:val="none"/>
          <w:lang w:eastAsia="zh-CN"/>
        </w:rPr>
        <w:t>）</w:t>
      </w:r>
      <w:r>
        <w:rPr>
          <w:rFonts w:hint="eastAsia" w:ascii="宋体" w:hAnsi="宋体" w:cs="宋体"/>
          <w:b/>
          <w:bCs/>
          <w:color w:val="auto"/>
          <w:szCs w:val="21"/>
          <w:highlight w:val="none"/>
        </w:rPr>
        <w:t>一致的情况，则采用随机抽取的方法，确定报价排序。</w:t>
      </w:r>
    </w:p>
    <w:p w14:paraId="1C0149DE">
      <w:pPr>
        <w:pageBreakBefore w:val="0"/>
        <w:widowControl w:val="0"/>
        <w:tabs>
          <w:tab w:val="left" w:pos="907"/>
        </w:tabs>
        <w:kinsoku/>
        <w:wordWrap/>
        <w:topLinePunct w:val="0"/>
        <w:autoSpaceDE/>
        <w:autoSpaceDN/>
        <w:bidi w:val="0"/>
        <w:adjustRightInd/>
        <w:snapToGrid/>
        <w:jc w:val="both"/>
        <w:rPr>
          <w:rFonts w:ascii="宋体" w:hAnsi="宋体" w:cs="宋体"/>
          <w:color w:val="auto"/>
          <w:szCs w:val="21"/>
          <w:highlight w:val="none"/>
        </w:rPr>
      </w:pPr>
    </w:p>
    <w:p w14:paraId="2FE44DB2">
      <w:pPr>
        <w:pStyle w:val="5"/>
        <w:pageBreakBefore w:val="0"/>
        <w:widowControl w:val="0"/>
        <w:numPr>
          <w:ilvl w:val="0"/>
          <w:numId w:val="6"/>
        </w:numPr>
        <w:kinsoku/>
        <w:wordWrap/>
        <w:overflowPunct w:val="0"/>
        <w:topLinePunct w:val="0"/>
        <w:autoSpaceDE/>
        <w:autoSpaceDN/>
        <w:bidi w:val="0"/>
        <w:jc w:val="both"/>
        <w:rPr>
          <w:rFonts w:ascii="宋体" w:hAnsi="宋体" w:cs="宋体"/>
          <w:color w:val="auto"/>
          <w:sz w:val="21"/>
          <w:szCs w:val="21"/>
          <w:highlight w:val="none"/>
        </w:rPr>
      </w:pPr>
      <w:bookmarkStart w:id="636" w:name="_Toc316375620"/>
      <w:bookmarkStart w:id="637" w:name="_Toc12654"/>
      <w:bookmarkStart w:id="638" w:name="_Toc3104"/>
      <w:bookmarkStart w:id="639" w:name="_Toc16600"/>
      <w:bookmarkStart w:id="640" w:name="_Toc20028"/>
      <w:bookmarkStart w:id="641" w:name="_Toc23297"/>
      <w:bookmarkStart w:id="642" w:name="_Toc17817"/>
      <w:bookmarkStart w:id="643" w:name="_Toc9729"/>
      <w:bookmarkStart w:id="644" w:name="_Toc382049120"/>
      <w:bookmarkStart w:id="645" w:name="_Toc5152"/>
      <w:bookmarkStart w:id="646" w:name="_Toc21663"/>
      <w:bookmarkStart w:id="647" w:name="_Toc8801"/>
      <w:bookmarkStart w:id="648" w:name="_Toc10572"/>
      <w:bookmarkStart w:id="649" w:name="_Toc12971"/>
      <w:bookmarkStart w:id="650" w:name="_Toc20328"/>
      <w:r>
        <w:rPr>
          <w:rFonts w:hint="eastAsia" w:ascii="宋体" w:hAnsi="宋体" w:cs="宋体"/>
          <w:color w:val="auto"/>
          <w:sz w:val="21"/>
          <w:szCs w:val="21"/>
          <w:highlight w:val="none"/>
        </w:rPr>
        <w:t>纪律和保密</w:t>
      </w:r>
      <w:bookmarkEnd w:id="636"/>
      <w:r>
        <w:rPr>
          <w:rFonts w:hint="eastAsia" w:ascii="宋体" w:hAnsi="宋体" w:cs="宋体"/>
          <w:color w:val="auto"/>
          <w:sz w:val="21"/>
          <w:szCs w:val="21"/>
          <w:highlight w:val="none"/>
        </w:rPr>
        <w:t>事项</w:t>
      </w:r>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p>
    <w:p w14:paraId="164858F5">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从开标之日起至授予合同期间，在投标文件的审查、澄清、比较和评价阶段，投标人试图对评标委员会和采购代理机构施加任何影响或对采购人的比较及授予合同的决定产生影响，都可能导致其投标文件被拒绝。</w:t>
      </w:r>
    </w:p>
    <w:p w14:paraId="411E0DA2">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投标人不得串通作弊，以不正当的手段妨碍、排挤其他投标人，扰乱采购市场，破坏公平竞争原则。否则将按相关法律规定严肃处理。</w:t>
      </w:r>
    </w:p>
    <w:p w14:paraId="4A2E7755">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获得本采购文件的投标人，应对文件进行保密，不得用作本次投标以外的任何用途。开标后，投标人应归还采购文件中要求保密的文件和资料。</w:t>
      </w:r>
    </w:p>
    <w:p w14:paraId="4923EB51">
      <w:pPr>
        <w:pageBreakBefore w:val="0"/>
        <w:kinsoku/>
        <w:wordWrap/>
        <w:topLinePunct w:val="0"/>
        <w:autoSpaceDE/>
        <w:autoSpaceDN/>
        <w:bidi w:val="0"/>
        <w:jc w:val="both"/>
        <w:rPr>
          <w:rFonts w:ascii="宋体" w:hAnsi="宋体" w:cs="宋体"/>
          <w:color w:val="auto"/>
          <w:highlight w:val="none"/>
        </w:rPr>
      </w:pPr>
    </w:p>
    <w:p w14:paraId="76FD0DE0">
      <w:pPr>
        <w:pStyle w:val="4"/>
        <w:pageBreakBefore w:val="0"/>
        <w:numPr>
          <w:ilvl w:val="0"/>
          <w:numId w:val="5"/>
        </w:numPr>
        <w:kinsoku/>
        <w:wordWrap/>
        <w:topLinePunct w:val="0"/>
        <w:autoSpaceDE/>
        <w:autoSpaceDN/>
        <w:bidi w:val="0"/>
        <w:spacing w:before="0" w:after="0" w:line="360" w:lineRule="auto"/>
        <w:jc w:val="both"/>
        <w:rPr>
          <w:rFonts w:ascii="宋体" w:hAnsi="宋体" w:cs="宋体"/>
          <w:color w:val="auto"/>
          <w:highlight w:val="none"/>
        </w:rPr>
      </w:pPr>
      <w:bookmarkStart w:id="651" w:name="_Toc9941"/>
      <w:bookmarkStart w:id="652" w:name="_Toc2172"/>
      <w:bookmarkStart w:id="653" w:name="_Toc7887"/>
      <w:bookmarkStart w:id="654" w:name="_Toc16949"/>
      <w:bookmarkStart w:id="655" w:name="_Toc9507"/>
      <w:bookmarkStart w:id="656" w:name="_Toc6977"/>
      <w:bookmarkStart w:id="657" w:name="_Toc28243"/>
      <w:bookmarkStart w:id="658" w:name="_Toc6348"/>
      <w:bookmarkStart w:id="659" w:name="_Toc1109"/>
      <w:bookmarkStart w:id="660" w:name="_Toc14192"/>
      <w:bookmarkStart w:id="661" w:name="_Toc18223"/>
      <w:bookmarkStart w:id="662" w:name="_Toc6635"/>
      <w:r>
        <w:rPr>
          <w:rFonts w:hint="eastAsia" w:ascii="宋体" w:hAnsi="宋体" w:cs="宋体"/>
          <w:color w:val="auto"/>
          <w:highlight w:val="none"/>
        </w:rPr>
        <w:t>授予合同</w:t>
      </w:r>
      <w:bookmarkEnd w:id="651"/>
      <w:bookmarkEnd w:id="652"/>
      <w:bookmarkEnd w:id="653"/>
      <w:bookmarkEnd w:id="654"/>
      <w:bookmarkEnd w:id="655"/>
      <w:bookmarkEnd w:id="656"/>
      <w:bookmarkEnd w:id="657"/>
      <w:bookmarkEnd w:id="658"/>
      <w:bookmarkEnd w:id="659"/>
      <w:bookmarkEnd w:id="660"/>
      <w:bookmarkEnd w:id="661"/>
      <w:bookmarkEnd w:id="662"/>
    </w:p>
    <w:p w14:paraId="25DA9784">
      <w:pPr>
        <w:pStyle w:val="5"/>
        <w:pageBreakBefore w:val="0"/>
        <w:widowControl w:val="0"/>
        <w:numPr>
          <w:ilvl w:val="0"/>
          <w:numId w:val="6"/>
        </w:numPr>
        <w:kinsoku/>
        <w:wordWrap/>
        <w:overflowPunct w:val="0"/>
        <w:topLinePunct w:val="0"/>
        <w:autoSpaceDE/>
        <w:autoSpaceDN/>
        <w:bidi w:val="0"/>
        <w:jc w:val="both"/>
        <w:rPr>
          <w:rFonts w:ascii="宋体" w:hAnsi="宋体" w:cs="宋体"/>
          <w:color w:val="auto"/>
          <w:sz w:val="21"/>
          <w:szCs w:val="21"/>
          <w:highlight w:val="none"/>
        </w:rPr>
      </w:pPr>
      <w:bookmarkStart w:id="663" w:name="_Toc20497"/>
      <w:bookmarkStart w:id="664" w:name="_Toc21464"/>
      <w:bookmarkStart w:id="665" w:name="_Toc22623"/>
      <w:bookmarkStart w:id="666" w:name="_Toc508284011"/>
      <w:bookmarkStart w:id="667" w:name="_Toc22612"/>
      <w:bookmarkStart w:id="668" w:name="_Toc24249"/>
      <w:bookmarkStart w:id="669" w:name="_Toc9483"/>
      <w:bookmarkStart w:id="670" w:name="_Toc29266"/>
      <w:bookmarkStart w:id="671" w:name="_Toc14805"/>
      <w:bookmarkStart w:id="672" w:name="_Toc22801"/>
      <w:bookmarkStart w:id="673" w:name="_Toc7084"/>
      <w:bookmarkStart w:id="674" w:name="_Toc5721"/>
      <w:bookmarkStart w:id="675" w:name="_Toc3741"/>
      <w:r>
        <w:rPr>
          <w:rFonts w:hint="eastAsia" w:ascii="宋体" w:hAnsi="宋体" w:cs="宋体"/>
          <w:color w:val="auto"/>
          <w:sz w:val="21"/>
          <w:szCs w:val="21"/>
          <w:highlight w:val="none"/>
        </w:rPr>
        <w:t>合同授予标准</w:t>
      </w:r>
      <w:bookmarkEnd w:id="663"/>
      <w:bookmarkEnd w:id="664"/>
      <w:bookmarkEnd w:id="665"/>
      <w:bookmarkEnd w:id="666"/>
      <w:bookmarkEnd w:id="667"/>
      <w:bookmarkEnd w:id="668"/>
      <w:bookmarkEnd w:id="669"/>
      <w:bookmarkEnd w:id="670"/>
      <w:bookmarkEnd w:id="671"/>
      <w:bookmarkEnd w:id="672"/>
      <w:bookmarkEnd w:id="673"/>
      <w:bookmarkEnd w:id="674"/>
      <w:bookmarkEnd w:id="675"/>
    </w:p>
    <w:p w14:paraId="4DCCABA7">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根据评标委员会的评审结果，采购人按照评审报告推荐的</w:t>
      </w:r>
      <w:r>
        <w:rPr>
          <w:rFonts w:hint="eastAsia" w:ascii="宋体" w:hAnsi="宋体" w:cs="宋体"/>
          <w:color w:val="auto"/>
          <w:szCs w:val="21"/>
          <w:highlight w:val="none"/>
          <w:lang w:eastAsia="zh-CN"/>
        </w:rPr>
        <w:t>成交候选人</w:t>
      </w:r>
      <w:r>
        <w:rPr>
          <w:rFonts w:hint="eastAsia" w:ascii="宋体" w:hAnsi="宋体" w:cs="宋体"/>
          <w:color w:val="auto"/>
          <w:szCs w:val="21"/>
          <w:highlight w:val="none"/>
        </w:rPr>
        <w:t>中按顺序依法确定</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w:t>
      </w:r>
    </w:p>
    <w:p w14:paraId="3FD30A95">
      <w:pPr>
        <w:pageBreakBefore w:val="0"/>
        <w:kinsoku/>
        <w:wordWrap/>
        <w:topLinePunct w:val="0"/>
        <w:autoSpaceDE/>
        <w:autoSpaceDN/>
        <w:bidi w:val="0"/>
        <w:jc w:val="both"/>
        <w:rPr>
          <w:rFonts w:ascii="宋体" w:hAnsi="宋体" w:cs="宋体"/>
          <w:color w:val="auto"/>
          <w:highlight w:val="none"/>
        </w:rPr>
      </w:pPr>
    </w:p>
    <w:p w14:paraId="010480C8">
      <w:pPr>
        <w:pStyle w:val="5"/>
        <w:pageBreakBefore w:val="0"/>
        <w:widowControl w:val="0"/>
        <w:numPr>
          <w:ilvl w:val="0"/>
          <w:numId w:val="6"/>
        </w:numPr>
        <w:kinsoku/>
        <w:wordWrap/>
        <w:overflowPunct w:val="0"/>
        <w:topLinePunct w:val="0"/>
        <w:autoSpaceDE/>
        <w:autoSpaceDN/>
        <w:bidi w:val="0"/>
        <w:jc w:val="both"/>
        <w:rPr>
          <w:rFonts w:ascii="宋体" w:hAnsi="宋体" w:cs="宋体"/>
          <w:color w:val="auto"/>
          <w:sz w:val="21"/>
          <w:szCs w:val="21"/>
          <w:highlight w:val="none"/>
        </w:rPr>
      </w:pPr>
      <w:bookmarkStart w:id="676" w:name="_Toc21171"/>
      <w:bookmarkStart w:id="677" w:name="_Toc581"/>
      <w:bookmarkStart w:id="678" w:name="_Toc508284013"/>
      <w:bookmarkStart w:id="679" w:name="_Toc6533"/>
      <w:bookmarkStart w:id="680" w:name="_Toc27960"/>
      <w:bookmarkStart w:id="681" w:name="_Toc26717"/>
      <w:bookmarkStart w:id="682" w:name="_Toc9242"/>
      <w:bookmarkStart w:id="683" w:name="_Toc583"/>
      <w:bookmarkStart w:id="684" w:name="_Toc31551"/>
      <w:bookmarkStart w:id="685" w:name="_Toc32152"/>
      <w:bookmarkStart w:id="686" w:name="_Toc23283"/>
      <w:bookmarkStart w:id="687" w:name="_Toc27333"/>
      <w:bookmarkStart w:id="688" w:name="_Toc10545"/>
      <w:r>
        <w:rPr>
          <w:rFonts w:hint="eastAsia" w:ascii="宋体" w:hAnsi="宋体" w:cs="宋体"/>
          <w:color w:val="auto"/>
          <w:sz w:val="21"/>
          <w:szCs w:val="21"/>
          <w:highlight w:val="none"/>
        </w:rPr>
        <w:t>发布中标结果</w:t>
      </w:r>
      <w:bookmarkEnd w:id="676"/>
      <w:bookmarkEnd w:id="677"/>
      <w:bookmarkEnd w:id="678"/>
      <w:bookmarkEnd w:id="679"/>
      <w:bookmarkEnd w:id="680"/>
      <w:bookmarkEnd w:id="681"/>
      <w:bookmarkEnd w:id="682"/>
      <w:bookmarkEnd w:id="683"/>
      <w:bookmarkEnd w:id="684"/>
      <w:bookmarkEnd w:id="685"/>
      <w:bookmarkEnd w:id="686"/>
      <w:bookmarkEnd w:id="687"/>
      <w:bookmarkEnd w:id="688"/>
    </w:p>
    <w:p w14:paraId="57543664">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评标委员会提出评标书面报告和推荐中标意见报采购人确认后，采购代理机构将在指定的信息发布媒体上发布公告。</w:t>
      </w:r>
    </w:p>
    <w:p w14:paraId="7895692C">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中标公告期限为3个日历日。</w:t>
      </w:r>
    </w:p>
    <w:p w14:paraId="38F60FA9">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《中标通知书》是合同的一个组成部分，《中标通知书》对采购人和</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均具有同等法律效力。</w:t>
      </w:r>
    </w:p>
    <w:p w14:paraId="200CB9C4">
      <w:pPr>
        <w:pageBreakBefore w:val="0"/>
        <w:widowControl w:val="0"/>
        <w:tabs>
          <w:tab w:val="left" w:pos="907"/>
        </w:tabs>
        <w:kinsoku/>
        <w:wordWrap/>
        <w:topLinePunct w:val="0"/>
        <w:autoSpaceDE/>
        <w:autoSpaceDN/>
        <w:bidi w:val="0"/>
        <w:adjustRightInd/>
        <w:snapToGrid/>
        <w:jc w:val="both"/>
        <w:rPr>
          <w:rFonts w:ascii="宋体" w:hAnsi="宋体" w:cs="宋体"/>
          <w:color w:val="auto"/>
          <w:szCs w:val="21"/>
          <w:highlight w:val="none"/>
        </w:rPr>
      </w:pPr>
    </w:p>
    <w:p w14:paraId="32FBA10C">
      <w:pPr>
        <w:pStyle w:val="5"/>
        <w:pageBreakBefore w:val="0"/>
        <w:widowControl w:val="0"/>
        <w:numPr>
          <w:ilvl w:val="0"/>
          <w:numId w:val="6"/>
        </w:numPr>
        <w:kinsoku/>
        <w:wordWrap/>
        <w:overflowPunct w:val="0"/>
        <w:topLinePunct w:val="0"/>
        <w:autoSpaceDE/>
        <w:autoSpaceDN/>
        <w:bidi w:val="0"/>
        <w:jc w:val="both"/>
        <w:rPr>
          <w:rFonts w:ascii="宋体" w:hAnsi="宋体" w:cs="宋体"/>
          <w:color w:val="auto"/>
          <w:sz w:val="21"/>
          <w:szCs w:val="21"/>
          <w:highlight w:val="none"/>
        </w:rPr>
      </w:pPr>
      <w:bookmarkStart w:id="689" w:name="_Toc5298"/>
      <w:bookmarkStart w:id="690" w:name="_Toc10034"/>
      <w:bookmarkStart w:id="691" w:name="_Toc10691"/>
      <w:bookmarkStart w:id="692" w:name="_Toc11420"/>
      <w:bookmarkStart w:id="693" w:name="_Toc31755"/>
      <w:bookmarkStart w:id="694" w:name="_Toc2479"/>
      <w:bookmarkStart w:id="695" w:name="_Toc10039"/>
      <w:bookmarkStart w:id="696" w:name="_Toc15367"/>
      <w:bookmarkStart w:id="697" w:name="_Toc5072"/>
      <w:bookmarkStart w:id="698" w:name="_Toc24844"/>
      <w:bookmarkStart w:id="699" w:name="_Toc3189"/>
      <w:bookmarkStart w:id="700" w:name="_Toc28169"/>
      <w:r>
        <w:rPr>
          <w:rFonts w:hint="eastAsia" w:ascii="宋体" w:hAnsi="宋体" w:cs="宋体"/>
          <w:color w:val="auto"/>
          <w:sz w:val="21"/>
          <w:szCs w:val="21"/>
          <w:highlight w:val="none"/>
        </w:rPr>
        <w:t>资格后审</w:t>
      </w:r>
      <w:bookmarkEnd w:id="689"/>
      <w:bookmarkEnd w:id="690"/>
      <w:bookmarkEnd w:id="691"/>
      <w:bookmarkEnd w:id="692"/>
      <w:bookmarkEnd w:id="693"/>
      <w:bookmarkEnd w:id="694"/>
      <w:bookmarkEnd w:id="695"/>
      <w:bookmarkEnd w:id="696"/>
      <w:bookmarkEnd w:id="697"/>
      <w:bookmarkEnd w:id="698"/>
      <w:bookmarkEnd w:id="699"/>
      <w:bookmarkEnd w:id="700"/>
    </w:p>
    <w:p w14:paraId="40D0D358">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采购人将有权根据本文件中的要求，对评委会推荐的</w:t>
      </w:r>
      <w:r>
        <w:rPr>
          <w:rFonts w:hint="eastAsia" w:ascii="宋体" w:hAnsi="宋体" w:cs="宋体"/>
          <w:color w:val="auto"/>
          <w:szCs w:val="21"/>
          <w:highlight w:val="none"/>
          <w:lang w:eastAsia="zh-CN"/>
        </w:rPr>
        <w:t>成交候选人</w:t>
      </w:r>
      <w:r>
        <w:rPr>
          <w:rFonts w:hint="eastAsia" w:ascii="宋体" w:hAnsi="宋体" w:cs="宋体"/>
          <w:color w:val="auto"/>
          <w:szCs w:val="21"/>
          <w:highlight w:val="none"/>
        </w:rPr>
        <w:t>进行资格后审。</w:t>
      </w:r>
    </w:p>
    <w:p w14:paraId="2038BA10">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lang w:eastAsia="zh-CN"/>
        </w:rPr>
        <w:t>成交候选人</w:t>
      </w:r>
      <w:r>
        <w:rPr>
          <w:rFonts w:hint="eastAsia" w:ascii="宋体" w:hAnsi="宋体" w:cs="宋体"/>
          <w:color w:val="auto"/>
          <w:szCs w:val="21"/>
          <w:highlight w:val="none"/>
        </w:rPr>
        <w:t>须无条件配合资格后审，否则采购人有权取消其中标资格，且投标保证金可不予退还。</w:t>
      </w:r>
    </w:p>
    <w:p w14:paraId="7B2C40BB">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资格后审须提供包括但不限于营业执照、税务登记证和在投标文件中提供的资质证明文件、业绩等重要证明文件的原件进行核对，综合考察</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的履约能力。如采购人要求还须提供业绩证明的其他材料,</w:t>
      </w:r>
      <w:r>
        <w:rPr>
          <w:rFonts w:hint="eastAsia" w:ascii="宋体" w:hAnsi="宋体" w:cs="宋体"/>
          <w:color w:val="auto"/>
          <w:szCs w:val="21"/>
          <w:highlight w:val="none"/>
          <w:lang w:eastAsia="zh-CN"/>
        </w:rPr>
        <w:t>成交候选人</w:t>
      </w:r>
      <w:r>
        <w:rPr>
          <w:rFonts w:hint="eastAsia" w:ascii="宋体" w:hAnsi="宋体" w:cs="宋体"/>
          <w:color w:val="auto"/>
          <w:szCs w:val="21"/>
          <w:highlight w:val="none"/>
        </w:rPr>
        <w:t>须配合提供。如授权其分支机构进行项目实施或提供售后服务的，亦应提供其与分支机构关系的法律证明材料。</w:t>
      </w:r>
    </w:p>
    <w:p w14:paraId="5105F58F">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如发现</w:t>
      </w:r>
      <w:r>
        <w:rPr>
          <w:rFonts w:hint="eastAsia" w:ascii="宋体" w:hAnsi="宋体" w:cs="宋体"/>
          <w:color w:val="auto"/>
          <w:szCs w:val="21"/>
          <w:highlight w:val="none"/>
          <w:lang w:eastAsia="zh-CN"/>
        </w:rPr>
        <w:t>成交候选人</w:t>
      </w:r>
      <w:r>
        <w:rPr>
          <w:rFonts w:hint="eastAsia" w:ascii="宋体" w:hAnsi="宋体" w:cs="宋体"/>
          <w:color w:val="auto"/>
          <w:szCs w:val="21"/>
          <w:highlight w:val="none"/>
        </w:rPr>
        <w:t>以他人名义投标或者以其他方式弄虚作假，骗取中标的，采购人有权取消其中标资格，且投标保证金可不予退还；给采购人造成损失的，应依法承担赔偿责任。</w:t>
      </w:r>
    </w:p>
    <w:p w14:paraId="4E96B8AC">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采购人有权审查</w:t>
      </w:r>
      <w:r>
        <w:rPr>
          <w:rFonts w:hint="eastAsia" w:ascii="宋体" w:hAnsi="宋体" w:cs="宋体"/>
          <w:color w:val="auto"/>
          <w:szCs w:val="21"/>
          <w:highlight w:val="none"/>
          <w:lang w:eastAsia="zh-CN"/>
        </w:rPr>
        <w:t>成交候选人</w:t>
      </w:r>
      <w:r>
        <w:rPr>
          <w:rFonts w:hint="eastAsia" w:ascii="宋体" w:hAnsi="宋体" w:cs="宋体"/>
          <w:color w:val="auto"/>
          <w:szCs w:val="21"/>
          <w:highlight w:val="none"/>
        </w:rPr>
        <w:t>是否具备履行合同的能力，包括但不限于对其规模、人员、场地、生产能力、供货能力等方面的核实或现场考察。如果审查通过，采购人将把合同授予该</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；如果审查没有通过，采购人有权取消其中标资格，且投标保证金可不予退还，并依次审查下一名</w:t>
      </w:r>
      <w:r>
        <w:rPr>
          <w:rFonts w:hint="eastAsia" w:ascii="宋体" w:hAnsi="宋体" w:cs="宋体"/>
          <w:color w:val="auto"/>
          <w:szCs w:val="21"/>
          <w:highlight w:val="none"/>
          <w:lang w:eastAsia="zh-CN"/>
        </w:rPr>
        <w:t>成交候选人</w:t>
      </w:r>
      <w:r>
        <w:rPr>
          <w:rFonts w:hint="eastAsia" w:ascii="宋体" w:hAnsi="宋体" w:cs="宋体"/>
          <w:color w:val="auto"/>
          <w:szCs w:val="21"/>
          <w:highlight w:val="none"/>
        </w:rPr>
        <w:t>是否具备履行合同的能力或重新采购。</w:t>
      </w:r>
    </w:p>
    <w:p w14:paraId="23886C9F">
      <w:pPr>
        <w:pageBreakBefore w:val="0"/>
        <w:kinsoku/>
        <w:wordWrap/>
        <w:topLinePunct w:val="0"/>
        <w:autoSpaceDE/>
        <w:autoSpaceDN/>
        <w:bidi w:val="0"/>
        <w:jc w:val="both"/>
        <w:rPr>
          <w:rFonts w:ascii="宋体" w:hAnsi="宋体" w:cs="宋体"/>
          <w:color w:val="auto"/>
          <w:highlight w:val="none"/>
        </w:rPr>
      </w:pPr>
    </w:p>
    <w:p w14:paraId="17B85498">
      <w:pPr>
        <w:pStyle w:val="5"/>
        <w:pageBreakBefore w:val="0"/>
        <w:widowControl w:val="0"/>
        <w:numPr>
          <w:ilvl w:val="0"/>
          <w:numId w:val="6"/>
        </w:numPr>
        <w:kinsoku/>
        <w:wordWrap/>
        <w:overflowPunct w:val="0"/>
        <w:topLinePunct w:val="0"/>
        <w:autoSpaceDE/>
        <w:autoSpaceDN/>
        <w:bidi w:val="0"/>
        <w:jc w:val="both"/>
        <w:rPr>
          <w:rFonts w:ascii="宋体" w:hAnsi="宋体" w:cs="宋体"/>
          <w:color w:val="auto"/>
          <w:sz w:val="21"/>
          <w:szCs w:val="21"/>
          <w:highlight w:val="none"/>
        </w:rPr>
      </w:pPr>
      <w:bookmarkStart w:id="701" w:name="_Toc2528"/>
      <w:bookmarkStart w:id="702" w:name="_Toc30229"/>
      <w:bookmarkStart w:id="703" w:name="_Toc30396"/>
      <w:bookmarkStart w:id="704" w:name="_Toc14048"/>
      <w:bookmarkStart w:id="705" w:name="_Toc10031"/>
      <w:bookmarkStart w:id="706" w:name="_Toc26036"/>
      <w:bookmarkStart w:id="707" w:name="_Toc25492"/>
      <w:bookmarkStart w:id="708" w:name="_Toc8781"/>
      <w:bookmarkStart w:id="709" w:name="_Toc8568"/>
      <w:bookmarkStart w:id="710" w:name="_Toc2982"/>
      <w:bookmarkStart w:id="711" w:name="_Toc27302"/>
      <w:bookmarkStart w:id="712" w:name="_Toc16497"/>
      <w:r>
        <w:rPr>
          <w:rFonts w:hint="eastAsia" w:ascii="宋体" w:hAnsi="宋体" w:cs="宋体"/>
          <w:color w:val="auto"/>
          <w:sz w:val="21"/>
          <w:szCs w:val="21"/>
          <w:highlight w:val="none"/>
        </w:rPr>
        <w:t>合同的签订与履行</w:t>
      </w:r>
      <w:bookmarkEnd w:id="701"/>
      <w:bookmarkEnd w:id="702"/>
      <w:bookmarkEnd w:id="703"/>
      <w:bookmarkEnd w:id="704"/>
      <w:bookmarkEnd w:id="705"/>
      <w:bookmarkEnd w:id="706"/>
      <w:bookmarkEnd w:id="707"/>
      <w:bookmarkEnd w:id="708"/>
      <w:bookmarkEnd w:id="709"/>
      <w:bookmarkEnd w:id="710"/>
      <w:bookmarkEnd w:id="711"/>
      <w:bookmarkEnd w:id="712"/>
    </w:p>
    <w:p w14:paraId="2405943D">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应当自采购人发出中标通知书之日起30日内，按照采购文件和</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投标文件的规定，与采购人签订书面合同，否则采购人有权取消其中标资格。所签订的合同不得对采购文件确定的事项和</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投标文件作实质性修改。在合同签订时，应注意合同中约定的工期开始时间不得早于合同签订时间。</w:t>
      </w:r>
    </w:p>
    <w:p w14:paraId="449D9B6C">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采购人与</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应当根据合同的约定依法履行合同义务。</w:t>
      </w:r>
    </w:p>
    <w:p w14:paraId="2F8CCF4C">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采购合同的履行、违约责任和解决争议的方法等适用《中华人民共和国民法典》。</w:t>
      </w:r>
    </w:p>
    <w:p w14:paraId="2EA386EC">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在评审结束当天至合同履行结束，若因不可抗力的因素（如国家出台新法律法规等）造成投标人资质的变动，投标人应以纸质版形式通知采购人。若资质变动导致</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不再具备履行合同资质要求，采购人有权中止合同。</w:t>
      </w:r>
    </w:p>
    <w:p w14:paraId="14E79317">
      <w:pPr>
        <w:pageBreakBefore w:val="0"/>
        <w:widowControl w:val="0"/>
        <w:tabs>
          <w:tab w:val="left" w:pos="907"/>
        </w:tabs>
        <w:kinsoku/>
        <w:wordWrap/>
        <w:topLinePunct w:val="0"/>
        <w:autoSpaceDE/>
        <w:autoSpaceDN/>
        <w:bidi w:val="0"/>
        <w:adjustRightInd/>
        <w:snapToGrid/>
        <w:jc w:val="both"/>
        <w:rPr>
          <w:rFonts w:ascii="宋体" w:hAnsi="宋体" w:cs="宋体"/>
          <w:color w:val="auto"/>
          <w:highlight w:val="none"/>
        </w:rPr>
      </w:pPr>
    </w:p>
    <w:p w14:paraId="394ED6F5">
      <w:pPr>
        <w:pStyle w:val="5"/>
        <w:pageBreakBefore w:val="0"/>
        <w:widowControl w:val="0"/>
        <w:numPr>
          <w:ilvl w:val="0"/>
          <w:numId w:val="6"/>
        </w:numPr>
        <w:kinsoku/>
        <w:wordWrap/>
        <w:overflowPunct w:val="0"/>
        <w:topLinePunct w:val="0"/>
        <w:autoSpaceDE/>
        <w:autoSpaceDN/>
        <w:bidi w:val="0"/>
        <w:jc w:val="both"/>
        <w:rPr>
          <w:rFonts w:ascii="宋体" w:hAnsi="宋体" w:cs="宋体"/>
          <w:color w:val="auto"/>
          <w:sz w:val="21"/>
          <w:szCs w:val="21"/>
          <w:highlight w:val="none"/>
        </w:rPr>
      </w:pPr>
      <w:bookmarkStart w:id="713" w:name="_Toc29009"/>
      <w:bookmarkStart w:id="714" w:name="_Toc382049124"/>
      <w:bookmarkStart w:id="715" w:name="_Toc303084277"/>
      <w:bookmarkStart w:id="716" w:name="_Toc22628"/>
      <w:bookmarkStart w:id="717" w:name="_Toc16594"/>
      <w:bookmarkStart w:id="718" w:name="_Toc6617"/>
      <w:bookmarkStart w:id="719" w:name="_Toc17055"/>
      <w:bookmarkStart w:id="720" w:name="_Toc20071"/>
      <w:bookmarkStart w:id="721" w:name="_Toc8205"/>
      <w:bookmarkStart w:id="722" w:name="_Toc22808"/>
      <w:bookmarkStart w:id="723" w:name="_Toc26276"/>
      <w:bookmarkStart w:id="724" w:name="_Toc8661"/>
      <w:bookmarkStart w:id="725" w:name="_Toc25812"/>
      <w:bookmarkStart w:id="726" w:name="_Toc16492"/>
      <w:bookmarkStart w:id="727" w:name="_Toc30027"/>
      <w:r>
        <w:rPr>
          <w:rFonts w:hint="eastAsia" w:ascii="宋体" w:hAnsi="宋体" w:cs="宋体"/>
          <w:color w:val="auto"/>
          <w:sz w:val="21"/>
          <w:szCs w:val="21"/>
          <w:highlight w:val="none"/>
        </w:rPr>
        <w:t>履约</w:t>
      </w:r>
      <w:bookmarkEnd w:id="713"/>
      <w:bookmarkEnd w:id="714"/>
      <w:bookmarkEnd w:id="715"/>
      <w:r>
        <w:rPr>
          <w:rFonts w:hint="eastAsia" w:ascii="宋体" w:hAnsi="宋体" w:cs="宋体"/>
          <w:color w:val="auto"/>
          <w:sz w:val="21"/>
          <w:szCs w:val="21"/>
          <w:highlight w:val="none"/>
        </w:rPr>
        <w:t>担保</w:t>
      </w:r>
      <w:bookmarkEnd w:id="716"/>
      <w:bookmarkEnd w:id="717"/>
      <w:bookmarkEnd w:id="718"/>
      <w:bookmarkEnd w:id="719"/>
      <w:bookmarkEnd w:id="720"/>
      <w:bookmarkEnd w:id="721"/>
      <w:bookmarkEnd w:id="722"/>
      <w:bookmarkEnd w:id="723"/>
      <w:bookmarkEnd w:id="724"/>
      <w:bookmarkEnd w:id="725"/>
      <w:bookmarkEnd w:id="726"/>
      <w:bookmarkEnd w:id="727"/>
    </w:p>
    <w:p w14:paraId="6208850D">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在合同签订之日起10个工作日内，按照成交标段向采购人提交对应标段金额的履约保证金作为履行合同的担保。</w:t>
      </w:r>
    </w:p>
    <w:p w14:paraId="11C2FC70">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履约担保期限从合同签订之日起至合同期满止，合同期满且</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无违约行为的，</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提交退款申请，采购人收到申请后30个日历日内无息退回。</w:t>
      </w:r>
    </w:p>
    <w:p w14:paraId="05F48005">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履约担保可以采用下列任何一种形式：</w:t>
      </w:r>
    </w:p>
    <w:p w14:paraId="11921097">
      <w:pPr>
        <w:pageBreakBefore w:val="0"/>
        <w:widowControl w:val="0"/>
        <w:numPr>
          <w:ilvl w:val="0"/>
          <w:numId w:val="0"/>
        </w:numPr>
        <w:kinsoku/>
        <w:wordWrap/>
        <w:overflowPunct w:val="0"/>
        <w:topLinePunct w:val="0"/>
        <w:autoSpaceDE/>
        <w:autoSpaceDN/>
        <w:bidi w:val="0"/>
        <w:ind w:leftChars="0" w:firstLine="420" w:firstLineChars="200"/>
        <w:jc w:val="both"/>
        <w:rPr>
          <w:rFonts w:ascii="宋体" w:hAnsi="宋体" w:cs="宋体"/>
          <w:color w:val="auto"/>
          <w:szCs w:val="21"/>
          <w:highlight w:val="none"/>
        </w:rPr>
      </w:pP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须缴纳履约保证金作为合同履约担保。可采用银行转账、电汇方式等银行转账方式提交，但不可以采用现金方式提交。</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必须保证履约保证金以</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的名称在（合同约定的日期）前提交至采购人指定账户。</w:t>
      </w:r>
    </w:p>
    <w:p w14:paraId="79FC15B8">
      <w:pPr>
        <w:pageBreakBefore w:val="0"/>
        <w:widowControl w:val="0"/>
        <w:numPr>
          <w:ilvl w:val="255"/>
          <w:numId w:val="0"/>
        </w:numPr>
        <w:kinsoku/>
        <w:wordWrap/>
        <w:overflowPunct w:val="0"/>
        <w:topLinePunct w:val="0"/>
        <w:autoSpaceDE/>
        <w:autoSpaceDN/>
        <w:bidi w:val="0"/>
        <w:ind w:firstLine="630" w:firstLineChars="300"/>
        <w:jc w:val="both"/>
        <w:rPr>
          <w:rFonts w:hint="eastAsia" w:ascii="宋体" w:hAnsi="宋体" w:cs="宋体"/>
          <w:color w:val="auto"/>
          <w:szCs w:val="21"/>
          <w:highlight w:val="none"/>
        </w:rPr>
      </w:pPr>
      <w:r>
        <w:rPr>
          <w:rFonts w:hint="eastAsia" w:ascii="宋体" w:hAnsi="宋体" w:cs="宋体"/>
          <w:color w:val="auto"/>
          <w:szCs w:val="21"/>
          <w:highlight w:val="none"/>
        </w:rPr>
        <w:t>履约</w:t>
      </w:r>
      <w:r>
        <w:rPr>
          <w:rFonts w:hint="eastAsia" w:ascii="宋体" w:hAnsi="宋体" w:cs="宋体"/>
          <w:color w:val="auto"/>
          <w:szCs w:val="21"/>
          <w:highlight w:val="none"/>
          <w:lang w:val="en-US" w:eastAsia="zh-CN"/>
        </w:rPr>
        <w:t>保证金</w:t>
      </w:r>
      <w:r>
        <w:rPr>
          <w:rFonts w:hint="eastAsia" w:ascii="宋体" w:hAnsi="宋体" w:cs="宋体"/>
          <w:color w:val="auto"/>
          <w:szCs w:val="21"/>
          <w:highlight w:val="none"/>
        </w:rPr>
        <w:t>额如下：</w:t>
      </w:r>
    </w:p>
    <w:p w14:paraId="248A4438">
      <w:pPr>
        <w:pageBreakBefore w:val="0"/>
        <w:widowControl w:val="0"/>
        <w:numPr>
          <w:ilvl w:val="255"/>
          <w:numId w:val="0"/>
        </w:numPr>
        <w:kinsoku/>
        <w:wordWrap/>
        <w:overflowPunct w:val="0"/>
        <w:topLinePunct w:val="0"/>
        <w:autoSpaceDE/>
        <w:autoSpaceDN/>
        <w:bidi w:val="0"/>
        <w:ind w:firstLine="630" w:firstLineChars="300"/>
        <w:jc w:val="both"/>
        <w:rPr>
          <w:rFonts w:hint="eastAsia" w:ascii="宋体" w:hAnsi="宋体" w:cs="宋体"/>
          <w:color w:val="auto"/>
          <w:szCs w:val="21"/>
          <w:highlight w:val="none"/>
        </w:rPr>
      </w:pPr>
      <w:r>
        <w:rPr>
          <w:rFonts w:hint="eastAsia" w:ascii="宋体" w:hAnsi="宋体" w:cs="宋体"/>
          <w:color w:val="auto"/>
          <w:szCs w:val="21"/>
          <w:highlight w:val="none"/>
        </w:rPr>
        <w:t>A包广州区域：</w:t>
      </w:r>
      <w:r>
        <w:rPr>
          <w:rFonts w:hint="eastAsia" w:ascii="宋体" w:hAnsi="宋体" w:cs="宋体"/>
          <w:color w:val="auto"/>
          <w:szCs w:val="21"/>
          <w:highlight w:val="none"/>
          <w:lang w:val="en-US" w:eastAsia="zh-CN"/>
        </w:rPr>
        <w:t>11.25</w:t>
      </w:r>
      <w:r>
        <w:rPr>
          <w:rFonts w:hint="eastAsia" w:ascii="宋体" w:hAnsi="宋体" w:cs="宋体"/>
          <w:color w:val="auto"/>
          <w:szCs w:val="21"/>
          <w:highlight w:val="none"/>
        </w:rPr>
        <w:t>万元整</w:t>
      </w:r>
    </w:p>
    <w:p w14:paraId="0B494B0F">
      <w:pPr>
        <w:pageBreakBefore w:val="0"/>
        <w:widowControl w:val="0"/>
        <w:numPr>
          <w:ilvl w:val="255"/>
          <w:numId w:val="0"/>
        </w:numPr>
        <w:kinsoku/>
        <w:wordWrap/>
        <w:overflowPunct w:val="0"/>
        <w:topLinePunct w:val="0"/>
        <w:autoSpaceDE/>
        <w:autoSpaceDN/>
        <w:bidi w:val="0"/>
        <w:ind w:firstLine="630" w:firstLineChars="300"/>
        <w:jc w:val="both"/>
        <w:rPr>
          <w:rFonts w:hint="eastAsia" w:ascii="宋体" w:hAnsi="宋体" w:cs="宋体"/>
          <w:color w:val="auto"/>
          <w:szCs w:val="21"/>
          <w:highlight w:val="none"/>
        </w:rPr>
      </w:pPr>
      <w:r>
        <w:rPr>
          <w:rFonts w:hint="eastAsia" w:ascii="宋体" w:hAnsi="宋体" w:cs="宋体"/>
          <w:color w:val="auto"/>
          <w:szCs w:val="21"/>
          <w:highlight w:val="none"/>
        </w:rPr>
        <w:t>B包深圳区域：</w:t>
      </w:r>
      <w:r>
        <w:rPr>
          <w:rFonts w:hint="eastAsia" w:ascii="宋体" w:hAnsi="宋体" w:cs="宋体"/>
          <w:color w:val="auto"/>
          <w:szCs w:val="21"/>
          <w:highlight w:val="none"/>
          <w:lang w:val="en-US" w:eastAsia="zh-CN"/>
        </w:rPr>
        <w:t>6</w:t>
      </w:r>
      <w:r>
        <w:rPr>
          <w:rFonts w:hint="eastAsia" w:ascii="宋体" w:hAnsi="宋体" w:cs="宋体"/>
          <w:color w:val="auto"/>
          <w:szCs w:val="21"/>
          <w:highlight w:val="none"/>
        </w:rPr>
        <w:t>万元整</w:t>
      </w:r>
    </w:p>
    <w:p w14:paraId="07E8A3D0">
      <w:pPr>
        <w:pageBreakBefore w:val="0"/>
        <w:widowControl w:val="0"/>
        <w:numPr>
          <w:ilvl w:val="255"/>
          <w:numId w:val="0"/>
        </w:numPr>
        <w:kinsoku/>
        <w:wordWrap/>
        <w:overflowPunct w:val="0"/>
        <w:topLinePunct w:val="0"/>
        <w:autoSpaceDE/>
        <w:autoSpaceDN/>
        <w:bidi w:val="0"/>
        <w:ind w:firstLine="630" w:firstLineChars="300"/>
        <w:jc w:val="both"/>
        <w:rPr>
          <w:rFonts w:hint="eastAsia" w:ascii="宋体" w:hAnsi="宋体" w:cs="宋体"/>
          <w:color w:val="auto"/>
          <w:szCs w:val="21"/>
          <w:highlight w:val="none"/>
        </w:rPr>
      </w:pPr>
      <w:r>
        <w:rPr>
          <w:rFonts w:hint="eastAsia" w:ascii="宋体" w:hAnsi="宋体" w:cs="宋体"/>
          <w:color w:val="auto"/>
          <w:szCs w:val="21"/>
          <w:highlight w:val="none"/>
        </w:rPr>
        <w:t>C包莞惠区域：</w:t>
      </w:r>
      <w:r>
        <w:rPr>
          <w:rFonts w:hint="eastAsia" w:ascii="宋体" w:hAnsi="宋体" w:cs="宋体"/>
          <w:color w:val="auto"/>
          <w:szCs w:val="21"/>
          <w:highlight w:val="none"/>
          <w:lang w:val="en-US" w:eastAsia="zh-CN"/>
        </w:rPr>
        <w:t>22.5</w:t>
      </w:r>
      <w:r>
        <w:rPr>
          <w:rFonts w:hint="eastAsia" w:ascii="宋体" w:hAnsi="宋体" w:cs="宋体"/>
          <w:color w:val="auto"/>
          <w:szCs w:val="21"/>
          <w:highlight w:val="none"/>
        </w:rPr>
        <w:t>万元整</w:t>
      </w:r>
    </w:p>
    <w:p w14:paraId="0077D5D2">
      <w:pPr>
        <w:pageBreakBefore w:val="0"/>
        <w:widowControl w:val="0"/>
        <w:numPr>
          <w:ilvl w:val="255"/>
          <w:numId w:val="0"/>
        </w:numPr>
        <w:kinsoku/>
        <w:wordWrap/>
        <w:overflowPunct w:val="0"/>
        <w:topLinePunct w:val="0"/>
        <w:autoSpaceDE/>
        <w:autoSpaceDN/>
        <w:bidi w:val="0"/>
        <w:ind w:firstLine="630" w:firstLineChars="300"/>
        <w:jc w:val="both"/>
        <w:rPr>
          <w:rFonts w:hint="eastAsia" w:ascii="宋体" w:hAnsi="宋体" w:cs="宋体"/>
          <w:color w:val="auto"/>
          <w:szCs w:val="21"/>
          <w:highlight w:val="none"/>
        </w:rPr>
      </w:pPr>
      <w:r>
        <w:rPr>
          <w:rFonts w:hint="eastAsia" w:ascii="宋体" w:hAnsi="宋体" w:cs="宋体"/>
          <w:color w:val="auto"/>
          <w:szCs w:val="21"/>
          <w:highlight w:val="none"/>
        </w:rPr>
        <w:t>D包其他区域：</w:t>
      </w:r>
      <w:r>
        <w:rPr>
          <w:rFonts w:hint="eastAsia" w:ascii="宋体" w:hAnsi="宋体" w:cs="宋体"/>
          <w:color w:val="auto"/>
          <w:szCs w:val="21"/>
          <w:highlight w:val="none"/>
          <w:lang w:val="en-US" w:eastAsia="zh-CN"/>
        </w:rPr>
        <w:t>10</w:t>
      </w:r>
      <w:r>
        <w:rPr>
          <w:rFonts w:hint="eastAsia" w:ascii="宋体" w:hAnsi="宋体" w:cs="宋体"/>
          <w:color w:val="auto"/>
          <w:szCs w:val="21"/>
          <w:highlight w:val="none"/>
        </w:rPr>
        <w:t>万元整</w:t>
      </w:r>
    </w:p>
    <w:p w14:paraId="329B2085">
      <w:pPr>
        <w:pageBreakBefore w:val="0"/>
        <w:widowControl w:val="0"/>
        <w:numPr>
          <w:ilvl w:val="255"/>
          <w:numId w:val="0"/>
        </w:numPr>
        <w:kinsoku/>
        <w:wordWrap/>
        <w:overflowPunct w:val="0"/>
        <w:topLinePunct w:val="0"/>
        <w:autoSpaceDE/>
        <w:autoSpaceDN/>
        <w:bidi w:val="0"/>
        <w:ind w:firstLine="630" w:firstLineChars="300"/>
        <w:jc w:val="both"/>
        <w:rPr>
          <w:rFonts w:hint="eastAsia" w:ascii="宋体" w:hAnsi="宋体" w:cs="宋体"/>
          <w:color w:val="auto"/>
          <w:szCs w:val="21"/>
          <w:highlight w:val="none"/>
        </w:rPr>
      </w:pPr>
      <w:r>
        <w:rPr>
          <w:rFonts w:hint="eastAsia" w:ascii="宋体" w:hAnsi="宋体" w:cs="宋体"/>
          <w:color w:val="auto"/>
          <w:szCs w:val="21"/>
          <w:highlight w:val="none"/>
        </w:rPr>
        <w:t>E包广东省全域：</w:t>
      </w:r>
      <w:r>
        <w:rPr>
          <w:rFonts w:hint="eastAsia" w:ascii="宋体" w:hAnsi="宋体" w:cs="宋体"/>
          <w:color w:val="auto"/>
          <w:szCs w:val="21"/>
          <w:highlight w:val="none"/>
          <w:lang w:val="en-US" w:eastAsia="zh-CN"/>
        </w:rPr>
        <w:t>14</w:t>
      </w:r>
      <w:r>
        <w:rPr>
          <w:rFonts w:hint="eastAsia" w:ascii="宋体" w:hAnsi="宋体" w:cs="宋体"/>
          <w:color w:val="auto"/>
          <w:szCs w:val="21"/>
          <w:highlight w:val="none"/>
        </w:rPr>
        <w:t>万元整</w:t>
      </w:r>
    </w:p>
    <w:p w14:paraId="6CEFCFDD">
      <w:pPr>
        <w:pageBreakBefore w:val="0"/>
        <w:widowControl w:val="0"/>
        <w:numPr>
          <w:ilvl w:val="255"/>
          <w:numId w:val="0"/>
        </w:numPr>
        <w:kinsoku/>
        <w:wordWrap/>
        <w:overflowPunct w:val="0"/>
        <w:topLinePunct w:val="0"/>
        <w:autoSpaceDE/>
        <w:autoSpaceDN/>
        <w:bidi w:val="0"/>
        <w:ind w:firstLine="630" w:firstLineChars="300"/>
        <w:jc w:val="both"/>
        <w:rPr>
          <w:rFonts w:ascii="宋体" w:hAnsi="宋体" w:cs="宋体"/>
          <w:color w:val="auto"/>
          <w:szCs w:val="21"/>
          <w:highlight w:val="none"/>
        </w:rPr>
      </w:pPr>
      <w:r>
        <w:rPr>
          <w:rFonts w:hint="eastAsia" w:ascii="宋体" w:hAnsi="宋体" w:cs="宋体"/>
          <w:color w:val="auto"/>
          <w:szCs w:val="21"/>
          <w:highlight w:val="none"/>
        </w:rPr>
        <w:t>采购人账户信息：</w:t>
      </w:r>
    </w:p>
    <w:p w14:paraId="6591DADD">
      <w:pPr>
        <w:pageBreakBefore w:val="0"/>
        <w:widowControl w:val="0"/>
        <w:kinsoku/>
        <w:wordWrap/>
        <w:overflowPunct w:val="0"/>
        <w:topLinePunct w:val="0"/>
        <w:autoSpaceDE/>
        <w:autoSpaceDN/>
        <w:bidi w:val="0"/>
        <w:ind w:firstLine="1687" w:firstLineChars="800"/>
        <w:jc w:val="both"/>
        <w:outlineLvl w:val="9"/>
        <w:rPr>
          <w:rFonts w:ascii="宋体" w:hAnsi="宋体" w:cs="宋体"/>
          <w:b/>
          <w:bCs/>
          <w:color w:val="auto"/>
          <w:szCs w:val="21"/>
          <w:highlight w:val="none"/>
        </w:rPr>
      </w:pPr>
      <w:bookmarkStart w:id="728" w:name="_Toc19300"/>
      <w:bookmarkStart w:id="729" w:name="_Toc12315"/>
      <w:r>
        <w:rPr>
          <w:rFonts w:hint="eastAsia" w:ascii="宋体" w:hAnsi="宋体" w:cs="宋体"/>
          <w:b/>
          <w:bCs/>
          <w:color w:val="auto"/>
          <w:szCs w:val="21"/>
          <w:highlight w:val="none"/>
        </w:rPr>
        <w:t>账户名称：东莞市新东欣环保投资有限公司</w:t>
      </w:r>
      <w:bookmarkEnd w:id="728"/>
      <w:bookmarkEnd w:id="729"/>
    </w:p>
    <w:p w14:paraId="5CF9AD7B">
      <w:pPr>
        <w:pageBreakBefore w:val="0"/>
        <w:widowControl w:val="0"/>
        <w:kinsoku/>
        <w:wordWrap/>
        <w:overflowPunct w:val="0"/>
        <w:topLinePunct w:val="0"/>
        <w:autoSpaceDE/>
        <w:autoSpaceDN/>
        <w:bidi w:val="0"/>
        <w:ind w:firstLine="1687" w:firstLineChars="800"/>
        <w:jc w:val="both"/>
        <w:rPr>
          <w:rFonts w:ascii="宋体" w:hAnsi="宋体" w:cs="宋体"/>
          <w:b/>
          <w:bCs/>
          <w:color w:val="auto"/>
          <w:szCs w:val="21"/>
          <w:highlight w:val="none"/>
        </w:rPr>
      </w:pPr>
      <w:r>
        <w:rPr>
          <w:rFonts w:hint="eastAsia" w:ascii="宋体" w:hAnsi="宋体" w:cs="宋体"/>
          <w:b/>
          <w:bCs/>
          <w:color w:val="auto"/>
          <w:szCs w:val="21"/>
          <w:highlight w:val="none"/>
        </w:rPr>
        <w:t>开户银行：中信银行东莞麻涌支行</w:t>
      </w:r>
    </w:p>
    <w:p w14:paraId="6D7A7451">
      <w:pPr>
        <w:pageBreakBefore w:val="0"/>
        <w:widowControl w:val="0"/>
        <w:kinsoku/>
        <w:wordWrap/>
        <w:overflowPunct w:val="0"/>
        <w:topLinePunct w:val="0"/>
        <w:autoSpaceDE/>
        <w:autoSpaceDN/>
        <w:bidi w:val="0"/>
        <w:ind w:firstLine="1687" w:firstLineChars="800"/>
        <w:jc w:val="both"/>
        <w:outlineLvl w:val="9"/>
        <w:rPr>
          <w:rFonts w:hint="eastAsia" w:ascii="宋体" w:hAnsi="宋体" w:eastAsia="宋体" w:cs="宋体"/>
          <w:b/>
          <w:bCs/>
          <w:color w:val="auto"/>
          <w:szCs w:val="21"/>
          <w:highlight w:val="none"/>
        </w:rPr>
      </w:pPr>
      <w:bookmarkStart w:id="730" w:name="_Toc15394"/>
      <w:r>
        <w:rPr>
          <w:rFonts w:hint="eastAsia" w:ascii="宋体" w:hAnsi="宋体" w:eastAsia="宋体" w:cs="宋体"/>
          <w:b/>
          <w:bCs/>
          <w:color w:val="auto"/>
          <w:szCs w:val="21"/>
          <w:highlight w:val="none"/>
        </w:rPr>
        <w:t>银行账号：8114 8010 1420 0219 007</w:t>
      </w:r>
      <w:bookmarkEnd w:id="730"/>
    </w:p>
    <w:p w14:paraId="5F2922FE">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若</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不能按本采购文件（33.1至33.3）的规定提交履约保证金的，采购人将有权取消</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的中标资格（采购人可以按照评标委员会提出的</w:t>
      </w:r>
      <w:r>
        <w:rPr>
          <w:rFonts w:hint="eastAsia" w:ascii="宋体" w:hAnsi="宋体" w:cs="宋体"/>
          <w:color w:val="auto"/>
          <w:szCs w:val="21"/>
          <w:highlight w:val="none"/>
          <w:lang w:eastAsia="zh-CN"/>
        </w:rPr>
        <w:t>成交候选人</w:t>
      </w:r>
      <w:r>
        <w:rPr>
          <w:rFonts w:hint="eastAsia" w:ascii="宋体" w:hAnsi="宋体" w:cs="宋体"/>
          <w:color w:val="auto"/>
          <w:szCs w:val="21"/>
          <w:highlight w:val="none"/>
        </w:rPr>
        <w:t>名单排序依次确定其他</w:t>
      </w:r>
      <w:r>
        <w:rPr>
          <w:rFonts w:hint="eastAsia" w:ascii="宋体" w:hAnsi="宋体" w:cs="宋体"/>
          <w:color w:val="auto"/>
          <w:szCs w:val="21"/>
          <w:highlight w:val="none"/>
          <w:lang w:eastAsia="zh-CN"/>
        </w:rPr>
        <w:t>成交候选人</w:t>
      </w:r>
      <w:r>
        <w:rPr>
          <w:rFonts w:hint="eastAsia" w:ascii="宋体" w:hAnsi="宋体" w:cs="宋体"/>
          <w:color w:val="auto"/>
          <w:szCs w:val="21"/>
          <w:highlight w:val="none"/>
        </w:rPr>
        <w:t>为</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也可以重新采购），投标保证金不予退还，给采购人造成的损失如果超过投标保证金数额的，还应当对超过部分予以赔偿。如已签订合同的，采购人有权没收投标保证金并单方面无责解除合同，如造成采购人损失，采购人有权追责。</w:t>
      </w:r>
    </w:p>
    <w:p w14:paraId="05B5915E">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olor w:val="auto"/>
          <w:szCs w:val="21"/>
          <w:highlight w:val="none"/>
        </w:rPr>
        <w:t>为取得履约担保所需的费用，由</w:t>
      </w:r>
      <w:r>
        <w:rPr>
          <w:rFonts w:hint="eastAsia" w:ascii="宋体" w:hAnsi="宋体"/>
          <w:color w:val="auto"/>
          <w:szCs w:val="21"/>
          <w:highlight w:val="none"/>
          <w:lang w:eastAsia="zh-CN"/>
        </w:rPr>
        <w:t>成交人</w:t>
      </w:r>
      <w:r>
        <w:rPr>
          <w:rFonts w:hint="eastAsia" w:ascii="宋体" w:hAnsi="宋体"/>
          <w:color w:val="auto"/>
          <w:szCs w:val="21"/>
          <w:highlight w:val="none"/>
        </w:rPr>
        <w:t>承担；若工期延误，履约担保时间延长，延长费用由</w:t>
      </w:r>
      <w:r>
        <w:rPr>
          <w:rFonts w:hint="eastAsia" w:ascii="宋体" w:hAnsi="宋体"/>
          <w:color w:val="auto"/>
          <w:szCs w:val="21"/>
          <w:highlight w:val="none"/>
          <w:lang w:eastAsia="zh-CN"/>
        </w:rPr>
        <w:t>成交人</w:t>
      </w:r>
      <w:r>
        <w:rPr>
          <w:rFonts w:hint="eastAsia" w:ascii="宋体" w:hAnsi="宋体"/>
          <w:color w:val="auto"/>
          <w:szCs w:val="21"/>
          <w:highlight w:val="none"/>
        </w:rPr>
        <w:t>承担</w:t>
      </w:r>
      <w:r>
        <w:rPr>
          <w:rFonts w:hint="eastAsia" w:ascii="宋体" w:hAnsi="宋体"/>
          <w:color w:val="auto"/>
          <w:szCs w:val="21"/>
          <w:highlight w:val="none"/>
          <w:lang w:eastAsia="zh-CN"/>
        </w:rPr>
        <w:t>。</w:t>
      </w:r>
    </w:p>
    <w:p w14:paraId="0177AC2E">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olor w:val="auto"/>
          <w:szCs w:val="21"/>
          <w:highlight w:val="none"/>
        </w:rPr>
        <w:t>若</w:t>
      </w:r>
      <w:r>
        <w:rPr>
          <w:rFonts w:hint="eastAsia" w:ascii="宋体" w:hAnsi="宋体"/>
          <w:color w:val="auto"/>
          <w:szCs w:val="21"/>
          <w:highlight w:val="none"/>
          <w:lang w:eastAsia="zh-CN"/>
        </w:rPr>
        <w:t>成交人</w:t>
      </w:r>
      <w:r>
        <w:rPr>
          <w:rFonts w:hint="eastAsia" w:ascii="宋体" w:hAnsi="宋体"/>
          <w:color w:val="auto"/>
          <w:szCs w:val="21"/>
          <w:highlight w:val="none"/>
        </w:rPr>
        <w:t>在合同履行过程中出现项目质量事故、工期拖延、欠付工人工资、欠付材料款等情况，采购人在经核查属实后，有权将履约保函金额转为现金存入履约保证金账户；</w:t>
      </w:r>
      <w:r>
        <w:rPr>
          <w:rFonts w:hint="eastAsia" w:ascii="宋体" w:hAnsi="宋体"/>
          <w:color w:val="auto"/>
          <w:szCs w:val="21"/>
          <w:highlight w:val="none"/>
          <w:lang w:eastAsia="zh-CN"/>
        </w:rPr>
        <w:t>成交人</w:t>
      </w:r>
      <w:r>
        <w:rPr>
          <w:rFonts w:hint="eastAsia" w:ascii="宋体" w:hAnsi="宋体"/>
          <w:color w:val="auto"/>
          <w:szCs w:val="21"/>
          <w:highlight w:val="none"/>
        </w:rPr>
        <w:t>造成采购人损失的，采购人有权立即没收其履约担保，若造成损失超过履约担保的，还应当对超过部分予以赔偿</w:t>
      </w:r>
      <w:r>
        <w:rPr>
          <w:rFonts w:hint="eastAsia" w:ascii="宋体" w:hAnsi="宋体"/>
          <w:color w:val="auto"/>
          <w:szCs w:val="21"/>
          <w:highlight w:val="none"/>
          <w:lang w:eastAsia="zh-CN"/>
        </w:rPr>
        <w:t>。</w:t>
      </w:r>
    </w:p>
    <w:p w14:paraId="25D8432B">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下列任何情况发生时，采购人有权行使享有的担保权利：</w:t>
      </w:r>
    </w:p>
    <w:p w14:paraId="17B2AC6E">
      <w:pPr>
        <w:pageBreakBefore w:val="0"/>
        <w:widowControl w:val="0"/>
        <w:tabs>
          <w:tab w:val="left" w:pos="907"/>
        </w:tabs>
        <w:kinsoku/>
        <w:wordWrap/>
        <w:topLinePunct w:val="0"/>
        <w:autoSpaceDE/>
        <w:autoSpaceDN/>
        <w:bidi w:val="0"/>
        <w:adjustRightInd/>
        <w:snapToGrid/>
        <w:ind w:left="567"/>
        <w:jc w:val="both"/>
        <w:rPr>
          <w:rFonts w:ascii="宋体" w:hAnsi="宋体" w:cs="宋体"/>
          <w:color w:val="auto"/>
          <w:szCs w:val="21"/>
          <w:highlight w:val="none"/>
        </w:rPr>
      </w:pPr>
      <w:r>
        <w:rPr>
          <w:rFonts w:hint="eastAsia" w:ascii="宋体" w:hAnsi="宋体" w:cs="宋体"/>
          <w:color w:val="auto"/>
          <w:szCs w:val="21"/>
          <w:highlight w:val="none"/>
        </w:rPr>
        <w:t>（1）</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将本项目转让给他人，或者在投标文件中未说明，且未经采购人同意，将中标项目分包给他人的；</w:t>
      </w:r>
    </w:p>
    <w:p w14:paraId="159528FF">
      <w:pPr>
        <w:pageBreakBefore w:val="0"/>
        <w:widowControl w:val="0"/>
        <w:tabs>
          <w:tab w:val="left" w:pos="907"/>
        </w:tabs>
        <w:kinsoku/>
        <w:wordWrap/>
        <w:topLinePunct w:val="0"/>
        <w:autoSpaceDE/>
        <w:autoSpaceDN/>
        <w:bidi w:val="0"/>
        <w:adjustRightInd/>
        <w:snapToGrid/>
        <w:ind w:left="567"/>
        <w:jc w:val="both"/>
        <w:rPr>
          <w:rFonts w:ascii="宋体" w:hAnsi="宋体" w:cs="宋体"/>
          <w:color w:val="auto"/>
          <w:szCs w:val="21"/>
          <w:highlight w:val="none"/>
        </w:rPr>
      </w:pPr>
      <w:r>
        <w:rPr>
          <w:rFonts w:hint="eastAsia" w:ascii="宋体" w:hAnsi="宋体" w:cs="宋体"/>
          <w:color w:val="auto"/>
          <w:szCs w:val="21"/>
          <w:highlight w:val="none"/>
        </w:rPr>
        <w:t>（2）</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在履行采购合同期间，违反有关法律法规的规定及合同约定的条款，损害了采购人的利益。</w:t>
      </w:r>
    </w:p>
    <w:p w14:paraId="321DEADA">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lang w:val="en-US" w:eastAsia="zh-CN"/>
        </w:rPr>
        <w:t>在合同期满</w:t>
      </w:r>
      <w:r>
        <w:rPr>
          <w:rFonts w:hint="eastAsia" w:ascii="宋体" w:hAnsi="宋体" w:cs="宋体"/>
          <w:color w:val="auto"/>
          <w:szCs w:val="21"/>
          <w:highlight w:val="none"/>
        </w:rPr>
        <w:t>后，</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向采购人提交退回履约担保的申请，采购人办理履约</w:t>
      </w:r>
      <w:r>
        <w:rPr>
          <w:rFonts w:hint="eastAsia" w:ascii="宋体" w:hAnsi="宋体" w:cs="宋体"/>
          <w:color w:val="auto"/>
          <w:szCs w:val="21"/>
          <w:highlight w:val="none"/>
          <w:lang w:val="en-US" w:eastAsia="zh-CN"/>
        </w:rPr>
        <w:t>保证金</w:t>
      </w:r>
      <w:r>
        <w:rPr>
          <w:rFonts w:hint="eastAsia" w:ascii="宋体" w:hAnsi="宋体" w:cs="宋体"/>
          <w:color w:val="auto"/>
          <w:szCs w:val="21"/>
          <w:highlight w:val="none"/>
        </w:rPr>
        <w:t>退还手续。</w:t>
      </w:r>
    </w:p>
    <w:p w14:paraId="441D2A0E">
      <w:pPr>
        <w:pageBreakBefore w:val="0"/>
        <w:widowControl w:val="0"/>
        <w:tabs>
          <w:tab w:val="left" w:pos="907"/>
        </w:tabs>
        <w:kinsoku/>
        <w:wordWrap/>
        <w:topLinePunct w:val="0"/>
        <w:autoSpaceDE/>
        <w:autoSpaceDN/>
        <w:bidi w:val="0"/>
        <w:adjustRightInd/>
        <w:snapToGrid/>
        <w:jc w:val="both"/>
        <w:rPr>
          <w:rFonts w:ascii="宋体" w:hAnsi="宋体" w:cs="宋体"/>
          <w:color w:val="auto"/>
          <w:highlight w:val="none"/>
        </w:rPr>
      </w:pPr>
    </w:p>
    <w:p w14:paraId="3DF6FA33">
      <w:pPr>
        <w:pStyle w:val="5"/>
        <w:pageBreakBefore w:val="0"/>
        <w:widowControl w:val="0"/>
        <w:numPr>
          <w:ilvl w:val="0"/>
          <w:numId w:val="6"/>
        </w:numPr>
        <w:kinsoku/>
        <w:wordWrap/>
        <w:overflowPunct w:val="0"/>
        <w:topLinePunct w:val="0"/>
        <w:autoSpaceDE/>
        <w:autoSpaceDN/>
        <w:bidi w:val="0"/>
        <w:jc w:val="both"/>
        <w:rPr>
          <w:rFonts w:ascii="宋体" w:hAnsi="宋体" w:cs="宋体"/>
          <w:color w:val="auto"/>
          <w:sz w:val="21"/>
          <w:szCs w:val="21"/>
          <w:highlight w:val="none"/>
        </w:rPr>
      </w:pPr>
      <w:bookmarkStart w:id="731" w:name="_Toc14770"/>
      <w:bookmarkStart w:id="732" w:name="_Toc18880"/>
      <w:bookmarkStart w:id="733" w:name="_Toc28093"/>
      <w:bookmarkStart w:id="734" w:name="_Toc21818"/>
      <w:bookmarkStart w:id="735" w:name="_Toc31591"/>
      <w:bookmarkStart w:id="736" w:name="_Toc12273"/>
      <w:bookmarkStart w:id="737" w:name="_Toc31067"/>
      <w:bookmarkStart w:id="738" w:name="_Toc5271"/>
      <w:bookmarkStart w:id="739" w:name="_Toc23687"/>
      <w:bookmarkStart w:id="740" w:name="_Toc30905"/>
      <w:bookmarkStart w:id="741" w:name="_Toc13375"/>
      <w:bookmarkStart w:id="742" w:name="_Toc16661"/>
      <w:r>
        <w:rPr>
          <w:rFonts w:hint="eastAsia" w:ascii="宋体" w:hAnsi="宋体" w:cs="宋体"/>
          <w:color w:val="auto"/>
          <w:sz w:val="21"/>
          <w:szCs w:val="21"/>
          <w:highlight w:val="none"/>
        </w:rPr>
        <w:t>预付款保函（适用于预付款支付）</w:t>
      </w:r>
      <w:bookmarkEnd w:id="731"/>
      <w:bookmarkEnd w:id="732"/>
      <w:bookmarkEnd w:id="733"/>
      <w:bookmarkEnd w:id="734"/>
      <w:bookmarkEnd w:id="735"/>
      <w:bookmarkEnd w:id="736"/>
      <w:bookmarkEnd w:id="737"/>
      <w:bookmarkEnd w:id="738"/>
      <w:bookmarkEnd w:id="739"/>
      <w:bookmarkEnd w:id="740"/>
      <w:bookmarkEnd w:id="741"/>
      <w:bookmarkEnd w:id="742"/>
    </w:p>
    <w:p w14:paraId="2E1964D5">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在签订合同时，</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应按本须知规定向采购人提交一份合同预付款等额有效的预付款保函。预付款保函有效期从保函开立之日起至采购人向</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抵扣完所有预付款之日止。如果</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提交的预付款保函的有效期先于采购文件要求的预付款保函有效期到达，</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应在原提交的预付款保函有效期前15日内，无条件办理预付款保函延期手续。否则视为</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违约，采购人可在预付款保函到期前将未抵扣的预付款转为现金存入采购人账户</w:t>
      </w:r>
    </w:p>
    <w:p w14:paraId="5ED05DCE">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预付款保函应：</w:t>
      </w:r>
    </w:p>
    <w:p w14:paraId="272F78D4">
      <w:pPr>
        <w:pageBreakBefore w:val="0"/>
        <w:widowControl w:val="0"/>
        <w:tabs>
          <w:tab w:val="left" w:pos="907"/>
        </w:tabs>
        <w:kinsoku/>
        <w:wordWrap/>
        <w:topLinePunct w:val="0"/>
        <w:autoSpaceDE/>
        <w:autoSpaceDN/>
        <w:bidi w:val="0"/>
        <w:adjustRightInd/>
        <w:snapToGrid/>
        <w:ind w:left="567"/>
        <w:jc w:val="both"/>
        <w:rPr>
          <w:rFonts w:ascii="宋体" w:hAnsi="宋体" w:cs="宋体"/>
          <w:color w:val="auto"/>
          <w:szCs w:val="21"/>
          <w:highlight w:val="none"/>
        </w:rPr>
      </w:pPr>
      <w:r>
        <w:rPr>
          <w:rFonts w:hint="eastAsia" w:ascii="宋体" w:hAnsi="宋体" w:cs="宋体"/>
          <w:color w:val="auto"/>
          <w:szCs w:val="21"/>
          <w:highlight w:val="none"/>
        </w:rPr>
        <w:t>（1）由东莞市行政区域内的银行支行及以上银行机构开具。非东莞市行政区内的银行开具的保函要由银行所在地公证部门出具的公证书。</w:t>
      </w:r>
    </w:p>
    <w:p w14:paraId="3C61D3E2">
      <w:pPr>
        <w:pageBreakBefore w:val="0"/>
        <w:widowControl w:val="0"/>
        <w:tabs>
          <w:tab w:val="left" w:pos="907"/>
        </w:tabs>
        <w:kinsoku/>
        <w:wordWrap/>
        <w:topLinePunct w:val="0"/>
        <w:autoSpaceDE/>
        <w:autoSpaceDN/>
        <w:bidi w:val="0"/>
        <w:adjustRightInd/>
        <w:snapToGrid/>
        <w:ind w:left="567"/>
        <w:jc w:val="both"/>
        <w:rPr>
          <w:rFonts w:ascii="宋体" w:hAnsi="宋体" w:cs="宋体"/>
          <w:color w:val="auto"/>
          <w:szCs w:val="21"/>
          <w:highlight w:val="none"/>
        </w:rPr>
      </w:pPr>
      <w:r>
        <w:rPr>
          <w:rFonts w:hint="eastAsia" w:ascii="宋体" w:hAnsi="宋体" w:cs="宋体"/>
          <w:color w:val="auto"/>
          <w:szCs w:val="21"/>
          <w:highlight w:val="none"/>
        </w:rPr>
        <w:t>（2）必须打印，手写、涂改无效</w:t>
      </w:r>
    </w:p>
    <w:p w14:paraId="1B4E41B0">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若</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不能按本须知（34.1至34.2）的规定执行，采购人将不予支付预付款。</w:t>
      </w:r>
    </w:p>
    <w:p w14:paraId="00B76393">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如果</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提交的预付款保函的有效期先于采购文件要求的预付款保函有效期到达，</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应在原提交的预付款保函有效期满前15天内，无条件办理预付款保函延期手续。否则视为</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违约，采购人可在预付款保函到期前将未抵扣的预付款金额转为现金存入采购人账户。</w:t>
      </w:r>
    </w:p>
    <w:p w14:paraId="20C76BA3">
      <w:pPr>
        <w:pageBreakBefore w:val="0"/>
        <w:kinsoku/>
        <w:wordWrap/>
        <w:topLinePunct w:val="0"/>
        <w:autoSpaceDE/>
        <w:autoSpaceDN/>
        <w:bidi w:val="0"/>
        <w:jc w:val="both"/>
        <w:rPr>
          <w:rFonts w:ascii="宋体" w:hAnsi="宋体" w:cs="宋体"/>
          <w:color w:val="auto"/>
          <w:highlight w:val="none"/>
        </w:rPr>
      </w:pPr>
    </w:p>
    <w:p w14:paraId="439DB8EC">
      <w:pPr>
        <w:pStyle w:val="4"/>
        <w:pageBreakBefore w:val="0"/>
        <w:numPr>
          <w:ilvl w:val="0"/>
          <w:numId w:val="5"/>
        </w:numPr>
        <w:kinsoku/>
        <w:wordWrap/>
        <w:topLinePunct w:val="0"/>
        <w:autoSpaceDE/>
        <w:autoSpaceDN/>
        <w:bidi w:val="0"/>
        <w:spacing w:before="0" w:after="0" w:line="360" w:lineRule="auto"/>
        <w:jc w:val="both"/>
        <w:rPr>
          <w:rFonts w:ascii="宋体" w:hAnsi="宋体" w:cs="宋体"/>
          <w:color w:val="auto"/>
          <w:highlight w:val="none"/>
        </w:rPr>
      </w:pPr>
      <w:bookmarkStart w:id="743" w:name="_Toc19505"/>
      <w:bookmarkStart w:id="744" w:name="_Toc21814"/>
      <w:bookmarkStart w:id="745" w:name="_Toc5327"/>
      <w:bookmarkStart w:id="746" w:name="_Toc6843"/>
      <w:bookmarkStart w:id="747" w:name="_Toc10988"/>
      <w:bookmarkStart w:id="748" w:name="_Toc19186"/>
      <w:bookmarkStart w:id="749" w:name="_Toc12235"/>
      <w:bookmarkStart w:id="750" w:name="_Toc6472"/>
      <w:bookmarkStart w:id="751" w:name="_Toc2375"/>
      <w:bookmarkStart w:id="752" w:name="_Toc27547"/>
      <w:bookmarkStart w:id="753" w:name="_Toc23769"/>
      <w:bookmarkStart w:id="754" w:name="_Toc18700"/>
      <w:r>
        <w:rPr>
          <w:rFonts w:hint="eastAsia" w:ascii="宋体" w:hAnsi="宋体" w:cs="宋体"/>
          <w:color w:val="auto"/>
          <w:highlight w:val="none"/>
        </w:rPr>
        <w:t>异议</w:t>
      </w:r>
      <w:bookmarkEnd w:id="743"/>
      <w:bookmarkEnd w:id="744"/>
      <w:bookmarkEnd w:id="745"/>
      <w:bookmarkEnd w:id="746"/>
      <w:bookmarkEnd w:id="747"/>
      <w:bookmarkEnd w:id="748"/>
      <w:bookmarkEnd w:id="749"/>
      <w:bookmarkEnd w:id="750"/>
      <w:bookmarkEnd w:id="751"/>
      <w:bookmarkEnd w:id="752"/>
      <w:bookmarkEnd w:id="753"/>
      <w:bookmarkEnd w:id="754"/>
    </w:p>
    <w:p w14:paraId="06B51C90">
      <w:pPr>
        <w:pStyle w:val="5"/>
        <w:pageBreakBefore w:val="0"/>
        <w:widowControl w:val="0"/>
        <w:numPr>
          <w:ilvl w:val="0"/>
          <w:numId w:val="6"/>
        </w:numPr>
        <w:kinsoku/>
        <w:wordWrap/>
        <w:overflowPunct w:val="0"/>
        <w:topLinePunct w:val="0"/>
        <w:autoSpaceDE/>
        <w:autoSpaceDN/>
        <w:bidi w:val="0"/>
        <w:jc w:val="both"/>
        <w:rPr>
          <w:rFonts w:ascii="宋体" w:hAnsi="宋体" w:cs="宋体"/>
          <w:color w:val="auto"/>
          <w:sz w:val="21"/>
          <w:szCs w:val="21"/>
          <w:highlight w:val="none"/>
        </w:rPr>
      </w:pPr>
      <w:bookmarkStart w:id="755" w:name="_Toc8339"/>
      <w:bookmarkStart w:id="756" w:name="_Toc15764"/>
      <w:bookmarkStart w:id="757" w:name="_Toc4614"/>
      <w:bookmarkStart w:id="758" w:name="_Toc9791"/>
      <w:bookmarkStart w:id="759" w:name="_Toc1086"/>
      <w:bookmarkStart w:id="760" w:name="_Toc29609"/>
      <w:bookmarkStart w:id="761" w:name="_Toc16708"/>
      <w:bookmarkStart w:id="762" w:name="_Toc9725"/>
      <w:bookmarkStart w:id="763" w:name="_Toc30666"/>
      <w:bookmarkStart w:id="764" w:name="_Toc25167"/>
      <w:bookmarkStart w:id="765" w:name="_Toc25585"/>
      <w:bookmarkStart w:id="766" w:name="_Toc10757"/>
      <w:r>
        <w:rPr>
          <w:rFonts w:hint="eastAsia" w:ascii="宋体" w:hAnsi="宋体" w:cs="宋体"/>
          <w:color w:val="auto"/>
          <w:sz w:val="21"/>
          <w:szCs w:val="21"/>
          <w:highlight w:val="none"/>
        </w:rPr>
        <w:t>异议</w:t>
      </w:r>
      <w:bookmarkEnd w:id="755"/>
      <w:bookmarkEnd w:id="756"/>
      <w:bookmarkEnd w:id="757"/>
      <w:bookmarkEnd w:id="758"/>
      <w:bookmarkEnd w:id="759"/>
      <w:bookmarkEnd w:id="760"/>
      <w:bookmarkEnd w:id="761"/>
      <w:bookmarkEnd w:id="762"/>
      <w:bookmarkEnd w:id="763"/>
      <w:bookmarkEnd w:id="764"/>
      <w:bookmarkEnd w:id="765"/>
      <w:bookmarkEnd w:id="766"/>
    </w:p>
    <w:p w14:paraId="3F53FB26">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lang w:val="zh-CN"/>
        </w:rPr>
        <w:t>采购文件的异议</w:t>
      </w:r>
      <w:r>
        <w:rPr>
          <w:rFonts w:hint="eastAsia" w:ascii="宋体" w:hAnsi="宋体" w:cs="宋体"/>
          <w:color w:val="auto"/>
          <w:szCs w:val="21"/>
          <w:highlight w:val="none"/>
        </w:rPr>
        <w:t xml:space="preserve">  </w:t>
      </w:r>
    </w:p>
    <w:p w14:paraId="65C0C094">
      <w:pPr>
        <w:pageBreakBefore w:val="0"/>
        <w:widowControl w:val="0"/>
        <w:tabs>
          <w:tab w:val="left" w:pos="907"/>
        </w:tabs>
        <w:kinsoku/>
        <w:wordWrap/>
        <w:topLinePunct w:val="0"/>
        <w:autoSpaceDE/>
        <w:autoSpaceDN/>
        <w:bidi w:val="0"/>
        <w:adjustRightInd/>
        <w:snapToGrid/>
        <w:ind w:firstLine="420" w:firstLineChars="200"/>
        <w:jc w:val="both"/>
        <w:rPr>
          <w:rFonts w:ascii="宋体" w:hAnsi="宋体" w:cs="宋体"/>
          <w:color w:val="auto"/>
          <w:szCs w:val="21"/>
          <w:highlight w:val="none"/>
        </w:rPr>
      </w:pPr>
      <w:r>
        <w:rPr>
          <w:rFonts w:hint="eastAsia" w:ascii="宋体" w:hAnsi="宋体" w:cs="宋体"/>
          <w:bCs/>
          <w:color w:val="auto"/>
          <w:kern w:val="2"/>
          <w:szCs w:val="21"/>
          <w:highlight w:val="none"/>
          <w:lang w:val="zh-CN"/>
        </w:rPr>
        <w:t>投标人或者其他利害关系人对采购文件有异议的，应当在投标截止时间10日前</w:t>
      </w:r>
      <w:r>
        <w:rPr>
          <w:rFonts w:hint="eastAsia" w:ascii="宋体" w:hAnsi="宋体" w:cs="宋体"/>
          <w:color w:val="auto"/>
          <w:kern w:val="2"/>
          <w:szCs w:val="21"/>
          <w:highlight w:val="none"/>
          <w:lang w:val="zh-CN"/>
        </w:rPr>
        <w:t>以书面形式向采购代理机构提出，并将材料原件送达采购代理机构，逾期则视为对采购文件所有内容无异议。</w:t>
      </w:r>
      <w:r>
        <w:rPr>
          <w:rFonts w:hint="eastAsia" w:ascii="宋体" w:hAnsi="宋体" w:cs="宋体"/>
          <w:bCs/>
          <w:color w:val="auto"/>
          <w:kern w:val="2"/>
          <w:szCs w:val="21"/>
          <w:highlight w:val="none"/>
          <w:lang w:val="zh-CN"/>
        </w:rPr>
        <w:t>异议</w:t>
      </w:r>
      <w:r>
        <w:rPr>
          <w:rFonts w:hint="eastAsia" w:ascii="宋体" w:hAnsi="宋体" w:cs="宋体"/>
          <w:color w:val="auto"/>
          <w:kern w:val="2"/>
          <w:szCs w:val="21"/>
          <w:highlight w:val="none"/>
          <w:lang w:val="zh-CN"/>
        </w:rPr>
        <w:t>书面材料必须加盖投标人法人公章，并注明联系人、联系电话、联系地址。</w:t>
      </w:r>
      <w:r>
        <w:rPr>
          <w:rFonts w:hint="eastAsia" w:ascii="宋体" w:hAnsi="宋体" w:cs="宋体"/>
          <w:bCs/>
          <w:color w:val="auto"/>
          <w:kern w:val="2"/>
          <w:szCs w:val="21"/>
          <w:highlight w:val="none"/>
          <w:lang w:val="zh-CN"/>
        </w:rPr>
        <w:t>超出</w:t>
      </w:r>
      <w:r>
        <w:rPr>
          <w:rFonts w:hint="eastAsia" w:ascii="宋体" w:hAnsi="宋体" w:cs="宋体"/>
          <w:color w:val="auto"/>
          <w:kern w:val="2"/>
          <w:szCs w:val="21"/>
          <w:highlight w:val="none"/>
          <w:lang w:val="zh-CN"/>
        </w:rPr>
        <w:t>提交接收异议截止时间而</w:t>
      </w:r>
      <w:r>
        <w:rPr>
          <w:rFonts w:hint="eastAsia" w:ascii="宋体" w:hAnsi="宋体" w:cs="宋体"/>
          <w:bCs/>
          <w:color w:val="auto"/>
          <w:kern w:val="2"/>
          <w:szCs w:val="21"/>
          <w:highlight w:val="none"/>
          <w:lang w:val="zh-CN"/>
        </w:rPr>
        <w:t>提出的任何疑问，</w:t>
      </w:r>
      <w:r>
        <w:rPr>
          <w:rFonts w:hint="eastAsia" w:ascii="宋体" w:hAnsi="宋体" w:cs="宋体"/>
          <w:bCs/>
          <w:color w:val="auto"/>
          <w:kern w:val="2"/>
          <w:szCs w:val="21"/>
          <w:highlight w:val="none"/>
        </w:rPr>
        <w:t>采购人或</w:t>
      </w:r>
      <w:r>
        <w:rPr>
          <w:rFonts w:hint="eastAsia" w:ascii="宋体" w:hAnsi="宋体" w:cs="宋体"/>
          <w:bCs/>
          <w:color w:val="auto"/>
          <w:kern w:val="2"/>
          <w:szCs w:val="21"/>
          <w:highlight w:val="none"/>
          <w:lang w:val="zh-CN"/>
        </w:rPr>
        <w:t>采购代理机构可不予答复。</w:t>
      </w:r>
    </w:p>
    <w:p w14:paraId="48361002">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lang w:val="zh-CN"/>
        </w:rPr>
        <w:t>评标结果异议</w:t>
      </w:r>
      <w:r>
        <w:rPr>
          <w:rFonts w:hint="eastAsia" w:ascii="宋体" w:hAnsi="宋体" w:cs="宋体"/>
          <w:color w:val="auto"/>
          <w:szCs w:val="21"/>
          <w:highlight w:val="none"/>
        </w:rPr>
        <w:t xml:space="preserve">   </w:t>
      </w:r>
    </w:p>
    <w:p w14:paraId="7B75C4F2">
      <w:pPr>
        <w:pageBreakBefore w:val="0"/>
        <w:widowControl w:val="0"/>
        <w:tabs>
          <w:tab w:val="left" w:pos="907"/>
        </w:tabs>
        <w:kinsoku/>
        <w:wordWrap/>
        <w:topLinePunct w:val="0"/>
        <w:autoSpaceDE/>
        <w:autoSpaceDN/>
        <w:bidi w:val="0"/>
        <w:adjustRightInd/>
        <w:snapToGrid/>
        <w:ind w:firstLine="420" w:firstLineChars="200"/>
        <w:jc w:val="both"/>
        <w:rPr>
          <w:rFonts w:ascii="宋体" w:hAnsi="宋体" w:cs="宋体"/>
          <w:color w:val="auto"/>
          <w:kern w:val="2"/>
          <w:szCs w:val="21"/>
          <w:highlight w:val="none"/>
          <w:lang w:val="zh-CN"/>
        </w:rPr>
      </w:pPr>
      <w:r>
        <w:rPr>
          <w:rFonts w:hint="eastAsia" w:ascii="宋体" w:hAnsi="宋体" w:cs="宋体"/>
          <w:color w:val="auto"/>
          <w:kern w:val="2"/>
          <w:szCs w:val="21"/>
          <w:highlight w:val="none"/>
          <w:lang w:val="zh-CN"/>
        </w:rPr>
        <w:t>投标人或者其他利害关系人对评标结果有异议的，应当在成交候选人公示期间向采购代理机构以书面的形式提出，并将完整的异议书面材料原件送达采购代理机构，逾期则视为对评标结果无异议。超出提交异议截止时间而提出的任何疑问，采购代理机构可不予答复。</w:t>
      </w:r>
    </w:p>
    <w:p w14:paraId="27AF2CDE">
      <w:pPr>
        <w:pageBreakBefore w:val="0"/>
        <w:widowControl w:val="0"/>
        <w:tabs>
          <w:tab w:val="left" w:pos="907"/>
        </w:tabs>
        <w:kinsoku/>
        <w:wordWrap/>
        <w:topLinePunct w:val="0"/>
        <w:autoSpaceDE/>
        <w:autoSpaceDN/>
        <w:bidi w:val="0"/>
        <w:adjustRightInd/>
        <w:snapToGrid/>
        <w:ind w:firstLine="420" w:firstLineChars="200"/>
        <w:jc w:val="both"/>
        <w:rPr>
          <w:rFonts w:ascii="宋体" w:hAnsi="宋体" w:cs="宋体"/>
          <w:color w:val="auto"/>
          <w:kern w:val="2"/>
          <w:szCs w:val="21"/>
          <w:highlight w:val="none"/>
          <w:lang w:val="zh-CN"/>
        </w:rPr>
      </w:pPr>
      <w:r>
        <w:rPr>
          <w:rFonts w:hint="eastAsia" w:ascii="宋体" w:hAnsi="宋体" w:cs="宋体"/>
          <w:color w:val="auto"/>
          <w:kern w:val="2"/>
          <w:szCs w:val="21"/>
          <w:highlight w:val="none"/>
          <w:lang w:val="zh-CN"/>
        </w:rPr>
        <w:t>采购代理机构将拒收未能提供完整异议书面材料的异议，完整的异议书面材料必须同时包含：异议书（加盖法人公章，并注明联系人、联系电话、联系地址）、授权提交异议的法定代表人授权书原件、反映异议人主体资格的营业执照复印件（加盖法人公章）、以及合法来源的证据证明材料。</w:t>
      </w:r>
    </w:p>
    <w:p w14:paraId="3B7B4604">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以联合体形式参加采购活动的，其异议应当由组成联合体的所有投标人共同提出。</w:t>
      </w:r>
    </w:p>
    <w:p w14:paraId="53DB223D">
      <w:pPr>
        <w:pageBreakBefore w:val="0"/>
        <w:kinsoku/>
        <w:wordWrap/>
        <w:topLinePunct w:val="0"/>
        <w:autoSpaceDE/>
        <w:autoSpaceDN/>
        <w:bidi w:val="0"/>
        <w:jc w:val="both"/>
        <w:rPr>
          <w:rFonts w:ascii="宋体" w:hAnsi="宋体" w:cs="宋体"/>
          <w:color w:val="auto"/>
          <w:highlight w:val="none"/>
        </w:rPr>
      </w:pPr>
    </w:p>
    <w:p w14:paraId="6674E346">
      <w:pPr>
        <w:pStyle w:val="4"/>
        <w:pageBreakBefore w:val="0"/>
        <w:numPr>
          <w:ilvl w:val="0"/>
          <w:numId w:val="5"/>
        </w:numPr>
        <w:kinsoku/>
        <w:wordWrap/>
        <w:topLinePunct w:val="0"/>
        <w:autoSpaceDE/>
        <w:autoSpaceDN/>
        <w:bidi w:val="0"/>
        <w:spacing w:before="0" w:after="0" w:line="360" w:lineRule="auto"/>
        <w:jc w:val="both"/>
        <w:rPr>
          <w:rFonts w:ascii="宋体" w:hAnsi="宋体" w:cs="宋体"/>
          <w:color w:val="auto"/>
          <w:highlight w:val="none"/>
        </w:rPr>
      </w:pPr>
      <w:bookmarkStart w:id="767" w:name="_Toc32498"/>
      <w:bookmarkStart w:id="768" w:name="_Toc18965"/>
      <w:bookmarkStart w:id="769" w:name="_Toc28007"/>
      <w:bookmarkStart w:id="770" w:name="_Toc18536"/>
      <w:bookmarkStart w:id="771" w:name="_Toc19269"/>
      <w:bookmarkStart w:id="772" w:name="_Toc4146"/>
      <w:bookmarkStart w:id="773" w:name="_Toc14428"/>
      <w:bookmarkStart w:id="774" w:name="_Toc28365"/>
      <w:bookmarkStart w:id="775" w:name="_Toc21290"/>
      <w:bookmarkStart w:id="776" w:name="_Toc9940"/>
      <w:bookmarkStart w:id="777" w:name="_Toc2646"/>
      <w:bookmarkStart w:id="778" w:name="_Toc9678"/>
      <w:r>
        <w:rPr>
          <w:rFonts w:hint="eastAsia" w:ascii="宋体" w:hAnsi="宋体" w:cs="宋体"/>
          <w:color w:val="auto"/>
          <w:highlight w:val="none"/>
        </w:rPr>
        <w:t>其他</w:t>
      </w:r>
      <w:bookmarkEnd w:id="767"/>
      <w:bookmarkEnd w:id="768"/>
      <w:bookmarkEnd w:id="769"/>
      <w:bookmarkEnd w:id="770"/>
      <w:bookmarkEnd w:id="771"/>
      <w:bookmarkEnd w:id="772"/>
      <w:bookmarkEnd w:id="773"/>
      <w:bookmarkEnd w:id="774"/>
      <w:bookmarkEnd w:id="775"/>
      <w:bookmarkEnd w:id="776"/>
      <w:bookmarkEnd w:id="777"/>
      <w:bookmarkEnd w:id="778"/>
    </w:p>
    <w:p w14:paraId="06D9EDAD">
      <w:pPr>
        <w:pStyle w:val="5"/>
        <w:pageBreakBefore w:val="0"/>
        <w:widowControl w:val="0"/>
        <w:numPr>
          <w:ilvl w:val="0"/>
          <w:numId w:val="6"/>
        </w:numPr>
        <w:kinsoku/>
        <w:wordWrap/>
        <w:overflowPunct w:val="0"/>
        <w:topLinePunct w:val="0"/>
        <w:autoSpaceDE/>
        <w:autoSpaceDN/>
        <w:bidi w:val="0"/>
        <w:jc w:val="both"/>
        <w:rPr>
          <w:rFonts w:ascii="宋体" w:hAnsi="宋体" w:cs="宋体"/>
          <w:color w:val="auto"/>
          <w:sz w:val="21"/>
          <w:szCs w:val="21"/>
          <w:highlight w:val="none"/>
        </w:rPr>
      </w:pPr>
      <w:bookmarkStart w:id="779" w:name="_Toc22983"/>
      <w:bookmarkStart w:id="780" w:name="_Toc25725"/>
      <w:bookmarkStart w:id="781" w:name="_Toc6737"/>
      <w:bookmarkStart w:id="782" w:name="_Toc2500"/>
      <w:bookmarkStart w:id="783" w:name="_Toc1587"/>
      <w:bookmarkStart w:id="784" w:name="_Toc1159"/>
      <w:bookmarkStart w:id="785" w:name="_Toc7938"/>
      <w:bookmarkStart w:id="786" w:name="_Toc22489"/>
      <w:bookmarkStart w:id="787" w:name="_Toc11124"/>
      <w:bookmarkStart w:id="788" w:name="_Toc20203"/>
      <w:bookmarkStart w:id="789" w:name="_Toc1252"/>
      <w:bookmarkStart w:id="790" w:name="_Toc30389"/>
      <w:r>
        <w:rPr>
          <w:rFonts w:hint="eastAsia" w:ascii="宋体" w:hAnsi="宋体" w:cs="宋体"/>
          <w:color w:val="auto"/>
          <w:sz w:val="21"/>
          <w:szCs w:val="21"/>
          <w:highlight w:val="none"/>
        </w:rPr>
        <w:t>采购文件的解释权</w:t>
      </w:r>
      <w:bookmarkEnd w:id="779"/>
      <w:bookmarkEnd w:id="780"/>
      <w:bookmarkEnd w:id="781"/>
      <w:bookmarkEnd w:id="782"/>
      <w:bookmarkEnd w:id="783"/>
      <w:bookmarkEnd w:id="784"/>
      <w:bookmarkEnd w:id="785"/>
      <w:bookmarkEnd w:id="786"/>
      <w:bookmarkEnd w:id="787"/>
      <w:bookmarkEnd w:id="788"/>
      <w:bookmarkEnd w:id="789"/>
      <w:bookmarkEnd w:id="790"/>
    </w:p>
    <w:p w14:paraId="0A3AF4D2">
      <w:pPr>
        <w:pageBreakBefore w:val="0"/>
        <w:widowControl w:val="0"/>
        <w:numPr>
          <w:ilvl w:val="1"/>
          <w:numId w:val="6"/>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本采购文件是根据国家有关法律、法规以及采购管理有关规定和参照国际惯例编制，解释权属本采购代理机构。</w:t>
      </w:r>
    </w:p>
    <w:p w14:paraId="4DA35625">
      <w:pPr>
        <w:widowControl w:val="0"/>
        <w:numPr>
          <w:ilvl w:val="1"/>
          <w:numId w:val="10"/>
        </w:numPr>
        <w:tabs>
          <w:tab w:val="left" w:pos="907"/>
        </w:tabs>
        <w:adjustRightInd/>
        <w:snapToGrid/>
        <w:spacing w:line="360" w:lineRule="exact"/>
        <w:jc w:val="both"/>
        <w:rPr>
          <w:rFonts w:ascii="宋体" w:hAnsi="宋体"/>
          <w:color w:val="auto"/>
          <w:szCs w:val="21"/>
          <w:highlight w:val="none"/>
        </w:rPr>
      </w:pPr>
      <w:r>
        <w:rPr>
          <w:rFonts w:hint="eastAsia" w:ascii="宋体" w:hAnsi="宋体"/>
          <w:color w:val="auto"/>
          <w:szCs w:val="21"/>
          <w:highlight w:val="none"/>
        </w:rPr>
        <w:br w:type="page"/>
      </w:r>
    </w:p>
    <w:p w14:paraId="6FAB5DD1">
      <w:pPr>
        <w:pStyle w:val="3"/>
        <w:spacing w:before="0" w:after="0" w:line="240" w:lineRule="auto"/>
        <w:rPr>
          <w:color w:val="auto"/>
          <w:sz w:val="28"/>
          <w:szCs w:val="28"/>
          <w:highlight w:val="none"/>
        </w:rPr>
      </w:pPr>
      <w:bookmarkStart w:id="791" w:name="_Toc23341"/>
      <w:bookmarkStart w:id="792" w:name="_Toc20001"/>
      <w:bookmarkStart w:id="793" w:name="_Toc21100"/>
      <w:bookmarkStart w:id="794" w:name="_Toc73"/>
      <w:bookmarkStart w:id="795" w:name="_Toc4907"/>
      <w:bookmarkStart w:id="796" w:name="_Toc6083"/>
      <w:bookmarkStart w:id="797" w:name="_Toc2567"/>
      <w:bookmarkStart w:id="798" w:name="_Toc18364"/>
      <w:bookmarkStart w:id="799" w:name="_Toc22911"/>
      <w:bookmarkStart w:id="800" w:name="_Toc20649"/>
      <w:bookmarkStart w:id="801" w:name="_Toc27303"/>
      <w:r>
        <w:rPr>
          <w:rFonts w:hint="eastAsia"/>
          <w:color w:val="auto"/>
          <w:sz w:val="28"/>
          <w:szCs w:val="28"/>
          <w:highlight w:val="none"/>
        </w:rPr>
        <w:t>第五部分  合同条款格式</w:t>
      </w:r>
      <w:bookmarkEnd w:id="791"/>
      <w:bookmarkEnd w:id="792"/>
      <w:bookmarkEnd w:id="793"/>
      <w:bookmarkEnd w:id="794"/>
      <w:bookmarkEnd w:id="795"/>
      <w:bookmarkEnd w:id="796"/>
      <w:bookmarkEnd w:id="797"/>
      <w:bookmarkEnd w:id="798"/>
      <w:bookmarkEnd w:id="799"/>
      <w:bookmarkEnd w:id="800"/>
      <w:bookmarkEnd w:id="801"/>
      <w:bookmarkStart w:id="802" w:name="_Toc15636"/>
    </w:p>
    <w:bookmarkEnd w:id="802"/>
    <w:p w14:paraId="386541F7">
      <w:pPr>
        <w:rPr>
          <w:rFonts w:hint="eastAsia"/>
          <w:color w:val="auto"/>
          <w:highlight w:val="none"/>
          <w:lang w:val="en-US" w:bidi="zh-CN"/>
        </w:rPr>
      </w:pPr>
      <w:bookmarkStart w:id="803" w:name="_Hlt109815959"/>
      <w:bookmarkEnd w:id="803"/>
      <w:r>
        <w:rPr>
          <w:rFonts w:hint="eastAsia"/>
          <w:color w:val="auto"/>
          <w:highlight w:val="none"/>
          <w:lang w:val="en-US" w:bidi="zh-CN"/>
        </w:rPr>
        <w:t>甲方合同编号：</w:t>
      </w:r>
    </w:p>
    <w:p w14:paraId="18DE08CF">
      <w:pPr>
        <w:rPr>
          <w:rFonts w:hint="default"/>
          <w:color w:val="auto"/>
          <w:highlight w:val="none"/>
          <w:lang w:val="en-US" w:bidi="zh-CN"/>
        </w:rPr>
      </w:pPr>
      <w:r>
        <w:rPr>
          <w:rFonts w:hint="eastAsia"/>
          <w:color w:val="auto"/>
          <w:highlight w:val="none"/>
          <w:lang w:val="en-US" w:bidi="zh-CN"/>
        </w:rPr>
        <w:t>乙方合同编号：</w:t>
      </w:r>
    </w:p>
    <w:p w14:paraId="640E4E82">
      <w:pPr>
        <w:jc w:val="center"/>
        <w:rPr>
          <w:rFonts w:hint="eastAsia"/>
          <w:b/>
          <w:bCs/>
          <w:color w:val="auto"/>
          <w:sz w:val="28"/>
          <w:szCs w:val="28"/>
          <w:highlight w:val="none"/>
          <w:lang w:val="zh-TW" w:eastAsia="zh-TW"/>
        </w:rPr>
      </w:pPr>
      <w:bookmarkStart w:id="804" w:name="OLE_LINK1"/>
      <w:bookmarkStart w:id="805" w:name="_Toc31864"/>
      <w:bookmarkStart w:id="806" w:name="_Toc30884"/>
      <w:bookmarkStart w:id="807" w:name="_Toc25265"/>
      <w:bookmarkStart w:id="808" w:name="_Toc30161"/>
      <w:bookmarkStart w:id="809" w:name="_Toc11272"/>
      <w:bookmarkStart w:id="810" w:name="_Toc9159"/>
      <w:bookmarkStart w:id="811" w:name="_Toc15098"/>
      <w:r>
        <w:rPr>
          <w:rFonts w:hint="eastAsia"/>
          <w:b/>
          <w:bCs/>
          <w:color w:val="auto"/>
          <w:sz w:val="28"/>
          <w:szCs w:val="28"/>
          <w:highlight w:val="none"/>
          <w:lang w:val="zh-TW" w:eastAsia="zh-TW"/>
        </w:rPr>
        <w:t>东莞市新东欣环保投资有限公司</w:t>
      </w:r>
    </w:p>
    <w:p w14:paraId="20B65F8B">
      <w:pPr>
        <w:jc w:val="center"/>
        <w:rPr>
          <w:b/>
          <w:bCs/>
          <w:color w:val="auto"/>
          <w:sz w:val="28"/>
          <w:szCs w:val="28"/>
          <w:highlight w:val="none"/>
          <w:lang w:val="zh-TW" w:eastAsia="zh-TW"/>
        </w:rPr>
      </w:pPr>
      <w:r>
        <w:rPr>
          <w:rFonts w:hint="eastAsia"/>
          <w:b/>
          <w:bCs/>
          <w:color w:val="auto"/>
          <w:sz w:val="28"/>
          <w:szCs w:val="28"/>
          <w:highlight w:val="none"/>
          <w:lang w:val="zh-TW" w:eastAsia="zh-TW"/>
        </w:rPr>
        <w:t>202</w:t>
      </w:r>
      <w:r>
        <w:rPr>
          <w:rFonts w:hint="eastAsia"/>
          <w:b/>
          <w:bCs/>
          <w:color w:val="auto"/>
          <w:sz w:val="28"/>
          <w:szCs w:val="28"/>
          <w:highlight w:val="none"/>
          <w:lang w:val="en-US" w:eastAsia="zh-CN"/>
        </w:rPr>
        <w:t>5</w:t>
      </w:r>
      <w:r>
        <w:rPr>
          <w:rFonts w:hint="eastAsia"/>
          <w:b/>
          <w:bCs/>
          <w:color w:val="auto"/>
          <w:sz w:val="28"/>
          <w:szCs w:val="28"/>
          <w:highlight w:val="none"/>
          <w:lang w:val="zh-TW" w:eastAsia="zh-TW"/>
        </w:rPr>
        <w:t>-202</w:t>
      </w:r>
      <w:r>
        <w:rPr>
          <w:rFonts w:hint="eastAsia"/>
          <w:b/>
          <w:bCs/>
          <w:color w:val="auto"/>
          <w:sz w:val="28"/>
          <w:szCs w:val="28"/>
          <w:highlight w:val="none"/>
          <w:lang w:val="en-US" w:eastAsia="zh-CN"/>
        </w:rPr>
        <w:t>6</w:t>
      </w:r>
      <w:r>
        <w:rPr>
          <w:rFonts w:hint="eastAsia"/>
          <w:b/>
          <w:bCs/>
          <w:color w:val="auto"/>
          <w:sz w:val="28"/>
          <w:szCs w:val="28"/>
          <w:highlight w:val="none"/>
          <w:lang w:val="zh-TW" w:eastAsia="zh-TW"/>
        </w:rPr>
        <w:t>年度危险废物运输服务</w:t>
      </w:r>
      <w:bookmarkEnd w:id="804"/>
      <w:r>
        <w:rPr>
          <w:rFonts w:hint="eastAsia"/>
          <w:b/>
          <w:bCs/>
          <w:color w:val="auto"/>
          <w:sz w:val="28"/>
          <w:szCs w:val="28"/>
          <w:highlight w:val="none"/>
          <w:lang w:val="zh-TW" w:eastAsia="zh-TW"/>
        </w:rPr>
        <w:t>合同</w:t>
      </w:r>
      <w:bookmarkEnd w:id="805"/>
      <w:bookmarkEnd w:id="806"/>
      <w:bookmarkEnd w:id="807"/>
      <w:bookmarkEnd w:id="808"/>
      <w:bookmarkEnd w:id="809"/>
      <w:bookmarkEnd w:id="810"/>
      <w:bookmarkEnd w:id="811"/>
    </w:p>
    <w:p w14:paraId="44B86370">
      <w:pPr>
        <w:spacing w:before="156" w:line="360" w:lineRule="exact"/>
        <w:jc w:val="both"/>
        <w:rPr>
          <w:rFonts w:hAnsi="宋体" w:cs="宋体"/>
          <w:b/>
          <w:bCs/>
          <w:color w:val="auto"/>
          <w:szCs w:val="21"/>
          <w:highlight w:val="none"/>
        </w:rPr>
      </w:pPr>
      <w:r>
        <w:rPr>
          <w:rFonts w:hint="eastAsia" w:hAnsi="宋体" w:cs="宋体"/>
          <w:b/>
          <w:bCs/>
          <w:color w:val="auto"/>
          <w:szCs w:val="21"/>
          <w:highlight w:val="none"/>
        </w:rPr>
        <w:t xml:space="preserve">                              </w:t>
      </w:r>
    </w:p>
    <w:p w14:paraId="1E6EEFAA">
      <w:pPr>
        <w:pStyle w:val="26"/>
        <w:ind w:left="210" w:firstLine="0" w:firstLineChars="0"/>
        <w:rPr>
          <w:b/>
          <w:color w:val="auto"/>
          <w:highlight w:val="none"/>
        </w:rPr>
      </w:pPr>
      <w:r>
        <w:rPr>
          <w:rFonts w:hint="eastAsia"/>
          <w:b/>
          <w:color w:val="auto"/>
          <w:highlight w:val="none"/>
        </w:rPr>
        <w:t>委托方（以下简称甲方）：东莞市新东欣环保投资有限公司</w:t>
      </w:r>
    </w:p>
    <w:p w14:paraId="29F77397">
      <w:pPr>
        <w:pStyle w:val="26"/>
        <w:ind w:left="210" w:firstLine="0" w:firstLineChars="0"/>
        <w:rPr>
          <w:color w:val="auto"/>
          <w:highlight w:val="none"/>
        </w:rPr>
      </w:pPr>
      <w:r>
        <w:rPr>
          <w:rFonts w:hint="eastAsia"/>
          <w:color w:val="auto"/>
          <w:highlight w:val="none"/>
        </w:rPr>
        <w:t>法定代表人：   　             地址：</w:t>
      </w:r>
    </w:p>
    <w:p w14:paraId="49D090E6">
      <w:pPr>
        <w:pStyle w:val="26"/>
        <w:ind w:left="210" w:firstLine="0" w:firstLineChars="0"/>
        <w:rPr>
          <w:color w:val="auto"/>
          <w:highlight w:val="none"/>
        </w:rPr>
      </w:pPr>
      <w:r>
        <w:rPr>
          <w:rFonts w:hint="eastAsia"/>
          <w:color w:val="auto"/>
          <w:highlight w:val="none"/>
        </w:rPr>
        <w:t>电话：                        传真：</w:t>
      </w:r>
    </w:p>
    <w:p w14:paraId="1AE760E2">
      <w:pPr>
        <w:pStyle w:val="26"/>
        <w:ind w:left="210" w:firstLine="0" w:firstLineChars="0"/>
        <w:rPr>
          <w:b/>
          <w:color w:val="auto"/>
          <w:highlight w:val="none"/>
        </w:rPr>
      </w:pPr>
      <w:r>
        <w:rPr>
          <w:rFonts w:hint="eastAsia"/>
          <w:b/>
          <w:color w:val="auto"/>
          <w:highlight w:val="none"/>
        </w:rPr>
        <w:t xml:space="preserve">承运方（以下简称乙方）： </w:t>
      </w:r>
    </w:p>
    <w:p w14:paraId="5E08B0DC">
      <w:pPr>
        <w:pStyle w:val="26"/>
        <w:ind w:left="210" w:firstLine="0" w:firstLineChars="0"/>
        <w:rPr>
          <w:color w:val="auto"/>
          <w:highlight w:val="none"/>
        </w:rPr>
      </w:pPr>
      <w:r>
        <w:rPr>
          <w:rFonts w:hint="eastAsia"/>
          <w:color w:val="auto"/>
          <w:highlight w:val="none"/>
        </w:rPr>
        <w:t>法定代表人：                  地址： </w:t>
      </w:r>
    </w:p>
    <w:p w14:paraId="3B7BF613">
      <w:pPr>
        <w:pStyle w:val="26"/>
        <w:ind w:left="210" w:firstLine="0" w:firstLineChars="0"/>
        <w:rPr>
          <w:color w:val="auto"/>
          <w:highlight w:val="none"/>
        </w:rPr>
      </w:pPr>
      <w:r>
        <w:rPr>
          <w:rFonts w:hint="eastAsia"/>
          <w:color w:val="auto"/>
          <w:highlight w:val="none"/>
        </w:rPr>
        <w:t>电话：                      传真：</w:t>
      </w:r>
    </w:p>
    <w:p w14:paraId="69048E41">
      <w:pPr>
        <w:spacing w:line="480" w:lineRule="auto"/>
        <w:ind w:firstLine="420" w:firstLineChars="200"/>
        <w:rPr>
          <w:rFonts w:hAnsi="宋体" w:cs="宋体"/>
          <w:color w:val="auto"/>
          <w:szCs w:val="21"/>
          <w:highlight w:val="none"/>
        </w:rPr>
      </w:pPr>
    </w:p>
    <w:p w14:paraId="256B0A86">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根据《中华人民共和国民法典》及国家有关运输规定，经过双方充分协商，特订立本合同，以便双方共同遵守。</w:t>
      </w:r>
    </w:p>
    <w:p w14:paraId="0325EEE3">
      <w:pPr>
        <w:spacing w:line="400" w:lineRule="exact"/>
        <w:rPr>
          <w:b/>
          <w:bCs/>
          <w:color w:val="auto"/>
          <w:highlight w:val="none"/>
        </w:rPr>
      </w:pPr>
      <w:bookmarkStart w:id="812" w:name="_Toc26470"/>
      <w:bookmarkStart w:id="813" w:name="_Toc10064"/>
      <w:bookmarkStart w:id="814" w:name="_Toc919"/>
      <w:bookmarkStart w:id="815" w:name="_Toc6767"/>
      <w:bookmarkStart w:id="816" w:name="_Toc26134"/>
      <w:bookmarkStart w:id="817" w:name="_Toc4675"/>
      <w:bookmarkStart w:id="818" w:name="_Toc3763"/>
      <w:r>
        <w:rPr>
          <w:rFonts w:hint="eastAsia"/>
          <w:b/>
          <w:bCs/>
          <w:color w:val="auto"/>
          <w:highlight w:val="none"/>
        </w:rPr>
        <w:t>第一条 合同标的</w:t>
      </w:r>
      <w:bookmarkEnd w:id="812"/>
      <w:bookmarkEnd w:id="813"/>
      <w:bookmarkEnd w:id="814"/>
      <w:bookmarkEnd w:id="815"/>
      <w:bookmarkEnd w:id="816"/>
      <w:bookmarkEnd w:id="817"/>
      <w:bookmarkEnd w:id="818"/>
    </w:p>
    <w:p w14:paraId="297DCE4C">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甲方作为广东省处理处置危险废物的经营单位，委托乙方对甲方的客户提供危险废物的运输、打包、装卸服务工作。合作标准依据国家标准《危险废物收集、贮存、运输技术规范》(HJ2025-2012)、危险货物分类和品名编号(GB 6944-2012)、道路危险货物运输管理规定(交通运输部令2019年第42号)等法律法规</w:t>
      </w:r>
      <w:r>
        <w:rPr>
          <w:rFonts w:hint="eastAsia" w:ascii="宋体" w:eastAsia="宋体" w:cs="宋体"/>
          <w:color w:val="auto"/>
          <w:sz w:val="21"/>
          <w:szCs w:val="21"/>
          <w:highlight w:val="none"/>
          <w:lang w:val="en-US" w:eastAsia="zh-CN"/>
        </w:rPr>
        <w:t>和《</w:t>
      </w:r>
      <w:r>
        <w:rPr>
          <w:rFonts w:hint="eastAsia" w:ascii="宋体" w:eastAsia="宋体" w:cs="宋体"/>
          <w:color w:val="auto"/>
          <w:sz w:val="21"/>
          <w:szCs w:val="21"/>
          <w:highlight w:val="none"/>
        </w:rPr>
        <w:t>东莞市新东欣环保投资有限公司202</w:t>
      </w:r>
      <w:r>
        <w:rPr>
          <w:rFonts w:hint="eastAsia" w:ascii="宋体" w:eastAsia="宋体" w:cs="宋体"/>
          <w:color w:val="auto"/>
          <w:sz w:val="21"/>
          <w:szCs w:val="21"/>
          <w:highlight w:val="none"/>
          <w:lang w:val="en-US" w:eastAsia="zh-CN"/>
        </w:rPr>
        <w:t>5</w:t>
      </w:r>
      <w:r>
        <w:rPr>
          <w:rFonts w:hint="eastAsia" w:ascii="宋体" w:eastAsia="宋体" w:cs="宋体"/>
          <w:color w:val="auto"/>
          <w:sz w:val="21"/>
          <w:szCs w:val="21"/>
          <w:highlight w:val="none"/>
        </w:rPr>
        <w:t>-202</w:t>
      </w:r>
      <w:r>
        <w:rPr>
          <w:rFonts w:hint="eastAsia" w:ascii="宋体" w:eastAsia="宋体" w:cs="宋体"/>
          <w:color w:val="auto"/>
          <w:sz w:val="21"/>
          <w:szCs w:val="21"/>
          <w:highlight w:val="none"/>
          <w:lang w:val="en-US" w:eastAsia="zh-CN"/>
        </w:rPr>
        <w:t>6</w:t>
      </w:r>
      <w:r>
        <w:rPr>
          <w:rFonts w:hint="eastAsia" w:ascii="宋体" w:eastAsia="宋体" w:cs="宋体"/>
          <w:color w:val="auto"/>
          <w:sz w:val="21"/>
          <w:szCs w:val="21"/>
          <w:highlight w:val="none"/>
        </w:rPr>
        <w:t>年度危险废物运输服务</w:t>
      </w:r>
      <w:r>
        <w:rPr>
          <w:rFonts w:hint="eastAsia" w:ascii="宋体" w:eastAsia="宋体" w:cs="宋体"/>
          <w:color w:val="auto"/>
          <w:sz w:val="21"/>
          <w:szCs w:val="21"/>
          <w:highlight w:val="none"/>
          <w:lang w:val="en-US" w:eastAsia="zh-CN"/>
        </w:rPr>
        <w:t>技术需求书》（详见合同附件9）</w:t>
      </w:r>
      <w:r>
        <w:rPr>
          <w:rFonts w:hint="eastAsia" w:ascii="宋体" w:eastAsia="宋体" w:cs="宋体"/>
          <w:color w:val="auto"/>
          <w:sz w:val="21"/>
          <w:szCs w:val="21"/>
          <w:highlight w:val="none"/>
        </w:rPr>
        <w:t xml:space="preserve">。本合同所有附件是本合同不可分割的组成部分，与本合同具有同等法律效力。  </w:t>
      </w:r>
    </w:p>
    <w:p w14:paraId="799CBCE0">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合同存续期间，乙方需</w:t>
      </w:r>
      <w:r>
        <w:rPr>
          <w:rFonts w:hint="eastAsia" w:ascii="宋体" w:eastAsia="宋体" w:cs="宋体"/>
          <w:color w:val="auto"/>
          <w:sz w:val="21"/>
          <w:szCs w:val="21"/>
          <w:highlight w:val="none"/>
          <w:lang w:val="en-US" w:eastAsia="zh-CN"/>
        </w:rPr>
        <w:t>满足相关法律法规对本项目运输单位有关资质的要求，乙方</w:t>
      </w:r>
      <w:r>
        <w:rPr>
          <w:rFonts w:hint="eastAsia" w:ascii="宋体" w:eastAsia="宋体" w:cs="宋体"/>
          <w:color w:val="auto"/>
          <w:sz w:val="21"/>
          <w:szCs w:val="21"/>
          <w:highlight w:val="none"/>
        </w:rPr>
        <w:t>在相关资质到期2个月前</w:t>
      </w:r>
      <w:r>
        <w:rPr>
          <w:rFonts w:hint="eastAsia" w:ascii="宋体" w:eastAsia="宋体" w:cs="宋体"/>
          <w:color w:val="auto"/>
          <w:sz w:val="21"/>
          <w:szCs w:val="21"/>
          <w:highlight w:val="none"/>
          <w:lang w:val="en-US" w:eastAsia="zh-CN"/>
        </w:rPr>
        <w:t>应</w:t>
      </w:r>
      <w:r>
        <w:rPr>
          <w:rFonts w:hint="eastAsia" w:ascii="宋体" w:eastAsia="宋体" w:cs="宋体"/>
          <w:color w:val="auto"/>
          <w:sz w:val="21"/>
          <w:szCs w:val="21"/>
          <w:highlight w:val="none"/>
        </w:rPr>
        <w:t>书面知会甲方，并及时办理报审/延期手续，如果到期未通过审核或未提前2个月知会甲方，造成甲方经济损失或处罚的</w:t>
      </w:r>
      <w:r>
        <w:rPr>
          <w:rFonts w:hint="eastAsia" w:ascii="宋体" w:eastAsia="宋体" w:cs="宋体"/>
          <w:color w:val="auto"/>
          <w:sz w:val="21"/>
          <w:szCs w:val="21"/>
          <w:highlight w:val="none"/>
          <w:lang w:eastAsia="zh-CN"/>
        </w:rPr>
        <w:t>，</w:t>
      </w:r>
      <w:r>
        <w:rPr>
          <w:rFonts w:hint="eastAsia" w:ascii="宋体" w:eastAsia="宋体" w:cs="宋体"/>
          <w:color w:val="auto"/>
          <w:sz w:val="21"/>
          <w:szCs w:val="21"/>
          <w:highlight w:val="none"/>
        </w:rPr>
        <w:t>均由乙方承担，且本合同自动终止。</w:t>
      </w:r>
    </w:p>
    <w:p w14:paraId="2E2F9CEE">
      <w:pPr>
        <w:spacing w:line="400" w:lineRule="exact"/>
        <w:rPr>
          <w:b/>
          <w:bCs/>
          <w:color w:val="auto"/>
          <w:highlight w:val="none"/>
        </w:rPr>
      </w:pPr>
      <w:bookmarkStart w:id="819" w:name="_Toc1196"/>
      <w:bookmarkStart w:id="820" w:name="_Toc18397"/>
      <w:bookmarkStart w:id="821" w:name="_Toc26163"/>
      <w:bookmarkStart w:id="822" w:name="_Toc21778"/>
      <w:bookmarkStart w:id="823" w:name="_Toc30288"/>
      <w:bookmarkStart w:id="824" w:name="_Toc25834"/>
      <w:bookmarkStart w:id="825" w:name="_Toc27151"/>
      <w:r>
        <w:rPr>
          <w:rFonts w:hint="eastAsia"/>
          <w:b/>
          <w:bCs/>
          <w:color w:val="auto"/>
          <w:highlight w:val="none"/>
        </w:rPr>
        <w:t>第二条 承运货物、起止地点</w:t>
      </w:r>
      <w:bookmarkEnd w:id="819"/>
      <w:bookmarkEnd w:id="820"/>
      <w:bookmarkEnd w:id="821"/>
      <w:bookmarkEnd w:id="822"/>
      <w:bookmarkEnd w:id="823"/>
      <w:bookmarkEnd w:id="824"/>
      <w:bookmarkEnd w:id="825"/>
    </w:p>
    <w:p w14:paraId="768CD1C1">
      <w:pPr>
        <w:pStyle w:val="42"/>
        <w:spacing w:line="400" w:lineRule="exact"/>
        <w:ind w:firstLine="433"/>
        <w:rPr>
          <w:rFonts w:ascii="宋体" w:eastAsia="宋体" w:cs="宋体"/>
          <w:color w:val="auto"/>
          <w:sz w:val="21"/>
          <w:szCs w:val="21"/>
          <w:highlight w:val="none"/>
        </w:rPr>
      </w:pPr>
      <w:r>
        <w:rPr>
          <w:rFonts w:ascii="宋体" w:eastAsia="宋体" w:cs="宋体"/>
          <w:color w:val="auto"/>
          <w:sz w:val="21"/>
          <w:szCs w:val="21"/>
          <w:highlight w:val="none"/>
        </w:rPr>
        <mc:AlternateContent>
          <mc:Choice Requires="wps">
            <w:drawing>
              <wp:anchor distT="0" distB="0" distL="114300" distR="114300" simplePos="0" relativeHeight="251662336" behindDoc="0" locked="0" layoutInCell="1" allowOverlap="1">
                <wp:simplePos x="0" y="0"/>
                <wp:positionH relativeFrom="column">
                  <wp:posOffset>863600</wp:posOffset>
                </wp:positionH>
                <wp:positionV relativeFrom="paragraph">
                  <wp:posOffset>241300</wp:posOffset>
                </wp:positionV>
                <wp:extent cx="1043940" cy="635"/>
                <wp:effectExtent l="0" t="0" r="0" b="0"/>
                <wp:wrapNone/>
                <wp:docPr id="9" name="直接连接符 9"/>
                <wp:cNvGraphicFramePr/>
                <a:graphic xmlns:a="http://schemas.openxmlformats.org/drawingml/2006/main">
                  <a:graphicData uri="http://schemas.microsoft.com/office/word/2010/wordprocessingShape">
                    <wps:wsp>
                      <wps:cNvCnPr/>
                      <wps:spPr>
                        <a:xfrm>
                          <a:off x="0" y="0"/>
                          <a:ext cx="1043940" cy="635"/>
                        </a:xfrm>
                        <a:prstGeom prst="line">
                          <a:avLst/>
                        </a:prstGeom>
                        <a:ln w="3175" cap="flat" cmpd="sng">
                          <a:solidFill>
                            <a:srgbClr val="000000"/>
                          </a:solidFill>
                          <a:prstDash val="solid"/>
                          <a:headEnd type="none" w="med" len="med"/>
                          <a:tailEnd type="none" w="med" len="med"/>
                        </a:ln>
                        <a:effectLst/>
                      </wps:spPr>
                      <wps:bodyPr/>
                    </wps:wsp>
                  </a:graphicData>
                </a:graphic>
              </wp:anchor>
            </w:drawing>
          </mc:Choice>
          <mc:Fallback>
            <w:pict>
              <v:line id="_x0000_s1026" o:spid="_x0000_s1026" o:spt="20" style="position:absolute;left:0pt;margin-left:68pt;margin-top:19pt;height:0.05pt;width:82.2pt;z-index:251662336;mso-width-relative:page;mso-height-relative:page;" filled="f" stroked="t" coordsize="21600,21600" o:gfxdata="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BpMeOXYAAAACQEAAA8AAAAAAAAAAQAgAAAAIgAAAGRycy9kb3ducmV2LnhtbFBLAQIU&#10;ABQAAAAIAIdO4kB5rknK8wEAAOgDAAAOAAAAAAAAAAEAIAAAACcBAABkcnMvZTJvRG9jLnhtbFBL&#10;BQYAAAAABgAGAFkBAACMBQAAAAA=&#10;">
                <v:fill on="f" focussize="0,0"/>
                <v:stroke weight="0.25pt" color="#000000" joinstyle="round"/>
                <v:imagedata o:title=""/>
                <o:lock v:ext="edit" aspectratio="f"/>
              </v:line>
            </w:pict>
          </mc:Fallback>
        </mc:AlternateContent>
      </w:r>
      <w:r>
        <w:rPr>
          <w:rFonts w:hint="eastAsia" w:ascii="宋体" w:eastAsia="宋体" w:cs="宋体"/>
          <w:color w:val="auto"/>
          <w:sz w:val="21"/>
          <w:szCs w:val="21"/>
          <w:highlight w:val="none"/>
        </w:rPr>
        <w:t xml:space="preserve">2.1标段：              </w:t>
      </w:r>
    </w:p>
    <w:p w14:paraId="688B691A">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2.2承运的主要货物为：</w:t>
      </w:r>
      <w:r>
        <w:rPr>
          <w:rFonts w:hint="eastAsia" w:ascii="宋体" w:eastAsia="宋体" w:cs="宋体"/>
          <w:color w:val="auto"/>
          <w:sz w:val="21"/>
          <w:szCs w:val="21"/>
          <w:highlight w:val="none"/>
          <w:u w:val="single"/>
        </w:rPr>
        <w:t xml:space="preserve"> 危险废物  </w:t>
      </w:r>
    </w:p>
    <w:p w14:paraId="40F854A9">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2.3货物的起运（装货）、到达（卸货）地：</w:t>
      </w:r>
      <w:r>
        <w:rPr>
          <w:rFonts w:hint="eastAsia" w:ascii="宋体" w:eastAsia="宋体" w:cs="宋体"/>
          <w:b/>
          <w:bCs/>
          <w:color w:val="auto"/>
          <w:sz w:val="21"/>
          <w:szCs w:val="21"/>
          <w:highlight w:val="none"/>
        </w:rPr>
        <w:t>见</w:t>
      </w:r>
      <w:r>
        <w:rPr>
          <w:rFonts w:hint="eastAsia" w:ascii="宋体" w:eastAsia="宋体" w:cs="宋体"/>
          <w:b/>
          <w:bCs/>
          <w:color w:val="auto"/>
          <w:sz w:val="21"/>
          <w:szCs w:val="21"/>
          <w:highlight w:val="none"/>
          <w:lang w:val="en-US" w:eastAsia="zh-CN"/>
        </w:rPr>
        <w:t>合同</w:t>
      </w:r>
      <w:r>
        <w:rPr>
          <w:rFonts w:hint="eastAsia" w:ascii="宋体" w:eastAsia="宋体" w:cs="宋体"/>
          <w:b/>
          <w:bCs/>
          <w:color w:val="auto"/>
          <w:sz w:val="21"/>
          <w:szCs w:val="21"/>
          <w:highlight w:val="none"/>
        </w:rPr>
        <w:t>附件3《危险废物运输费单价表》</w:t>
      </w:r>
      <w:r>
        <w:rPr>
          <w:rFonts w:hint="eastAsia" w:ascii="宋体" w:eastAsia="宋体" w:cs="宋体"/>
          <w:color w:val="auto"/>
          <w:sz w:val="21"/>
          <w:szCs w:val="21"/>
          <w:highlight w:val="none"/>
        </w:rPr>
        <w:t>。</w:t>
      </w:r>
    </w:p>
    <w:p w14:paraId="3E5B9CE8">
      <w:pPr>
        <w:spacing w:line="400" w:lineRule="exact"/>
        <w:rPr>
          <w:b/>
          <w:bCs/>
          <w:color w:val="auto"/>
          <w:highlight w:val="none"/>
        </w:rPr>
      </w:pPr>
      <w:bookmarkStart w:id="826" w:name="_Toc28030"/>
      <w:bookmarkStart w:id="827" w:name="_Toc4455"/>
      <w:bookmarkStart w:id="828" w:name="_Toc17631"/>
      <w:bookmarkStart w:id="829" w:name="_Toc10423"/>
      <w:bookmarkStart w:id="830" w:name="_Toc14867"/>
      <w:bookmarkStart w:id="831" w:name="_Toc28627"/>
      <w:bookmarkStart w:id="832" w:name="_Toc30464"/>
      <w:r>
        <w:rPr>
          <w:rFonts w:hint="eastAsia"/>
          <w:b/>
          <w:bCs/>
          <w:color w:val="auto"/>
          <w:highlight w:val="none"/>
        </w:rPr>
        <w:t>第三条 甲方的权利、义务和责任</w:t>
      </w:r>
      <w:bookmarkEnd w:id="826"/>
      <w:bookmarkEnd w:id="827"/>
      <w:bookmarkEnd w:id="828"/>
      <w:bookmarkEnd w:id="829"/>
      <w:bookmarkEnd w:id="830"/>
      <w:bookmarkEnd w:id="831"/>
      <w:bookmarkEnd w:id="832"/>
    </w:p>
    <w:p w14:paraId="083D8F6C">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3.1 甲方应确保合同存续期间甲方资质证件合法有效。</w:t>
      </w:r>
    </w:p>
    <w:p w14:paraId="40DDCB9B">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3.2甲方应要求其客户将各类危险废物分类/集中存放，做好标记标识，不可混入其他杂物，以保障乙方安全、快捷作业。</w:t>
      </w:r>
    </w:p>
    <w:p w14:paraId="098BF603">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3.3甲方应提前</w:t>
      </w:r>
      <w:r>
        <w:rPr>
          <w:rFonts w:hint="eastAsia" w:ascii="宋体" w:eastAsia="宋体" w:cs="宋体"/>
          <w:color w:val="auto"/>
          <w:sz w:val="21"/>
          <w:szCs w:val="21"/>
          <w:highlight w:val="none"/>
          <w:u w:val="single"/>
        </w:rPr>
        <w:t>1个日历日</w:t>
      </w:r>
      <w:r>
        <w:rPr>
          <w:rFonts w:hint="eastAsia" w:ascii="宋体" w:eastAsia="宋体" w:cs="宋体"/>
          <w:color w:val="auto"/>
          <w:sz w:val="21"/>
          <w:szCs w:val="21"/>
          <w:highlight w:val="none"/>
        </w:rPr>
        <w:t>以书面形式（包括但不限于以QQ、微信、短信、Email等形式）向乙方发出</w:t>
      </w:r>
      <w:bookmarkStart w:id="833" w:name="_Hlk103257715"/>
      <w:r>
        <w:rPr>
          <w:rFonts w:hint="eastAsia" w:ascii="宋体" w:eastAsia="宋体" w:cs="宋体"/>
          <w:color w:val="auto"/>
          <w:sz w:val="21"/>
          <w:szCs w:val="21"/>
          <w:highlight w:val="none"/>
        </w:rPr>
        <w:t>收运指令</w:t>
      </w:r>
      <w:bookmarkEnd w:id="833"/>
      <w:r>
        <w:rPr>
          <w:rFonts w:hint="eastAsia" w:ascii="宋体" w:eastAsia="宋体" w:cs="宋体"/>
          <w:color w:val="auto"/>
          <w:sz w:val="21"/>
          <w:szCs w:val="21"/>
          <w:highlight w:val="none"/>
        </w:rPr>
        <w:t>，内容包含：所有须收运服务的客户的收运时间、提货单位及地点、运输车型、危险废物名称、数量、收运联系人、联系电话、所需工具等信息。</w:t>
      </w:r>
    </w:p>
    <w:p w14:paraId="3AEB0E96">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3.4甲方需把收运指令中每个客户的详细收运信息及特殊要求以书面（必要时附上照片）的形式告知乙方，并提前做好关于废物的贮存情况、包装方式、危险性及客户能够提供的装车协助等沟通衔接工作。</w:t>
      </w:r>
    </w:p>
    <w:p w14:paraId="031F8BEE">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3.5甲方应提前与其客户沟通确认好收运时间、承运单位名称、车牌号等信息，以便乙方在甲方客户端顺利办理收运交接等手续。</w:t>
      </w:r>
    </w:p>
    <w:p w14:paraId="060E5503">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3.6甲方须按照《中华人民共和国固体废物污染环境防治法》的要求，协助甲方客户负责向环境保护行政主管部门办理危险废物转移手续。</w:t>
      </w:r>
    </w:p>
    <w:p w14:paraId="0D3EBBD1">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3.7甲方有权随时掌握危险废物的接收及在途情况，乙方须积极配合。任何与甲方发出的收运指令不符的异常情况，乙方须在发现不符情况30分钟内反馈甲方，以便甲方及时协调沟通，确保收运工作的顺利完成。如因乙方未提前沟通异常情况导致产生额外费用，甲方不予承认和支付，造成甲方损失的，乙方需承担赔偿责任，甲方有权从乙方运输费中抵扣。</w:t>
      </w:r>
    </w:p>
    <w:p w14:paraId="2EFFEA11">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3.8甲方有权随时检查乙方运输配置及服务，对不符合合同约定或法规要求或有跑冒滴漏风险的，甲方有权对乙方提出限期整改通知，乙方应积极配合完成整改。</w:t>
      </w:r>
    </w:p>
    <w:p w14:paraId="2B819EBC">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3.9当发生针对乙方服务的投诉时，甲方有知情权、调查权以及</w:t>
      </w:r>
      <w:r>
        <w:rPr>
          <w:rFonts w:hint="eastAsia" w:ascii="宋体" w:eastAsia="宋体" w:cs="宋体"/>
          <w:color w:val="auto"/>
          <w:sz w:val="21"/>
          <w:szCs w:val="21"/>
          <w:highlight w:val="none"/>
          <w:lang w:val="en-US" w:eastAsia="zh-CN"/>
        </w:rPr>
        <w:t>追究违约责任的</w:t>
      </w:r>
      <w:r>
        <w:rPr>
          <w:rFonts w:hint="eastAsia" w:ascii="宋体" w:eastAsia="宋体" w:cs="宋体"/>
          <w:color w:val="auto"/>
          <w:sz w:val="21"/>
          <w:szCs w:val="21"/>
          <w:highlight w:val="none"/>
        </w:rPr>
        <w:t>权</w:t>
      </w:r>
      <w:r>
        <w:rPr>
          <w:rFonts w:hint="eastAsia" w:ascii="宋体" w:eastAsia="宋体" w:cs="宋体"/>
          <w:color w:val="auto"/>
          <w:sz w:val="21"/>
          <w:szCs w:val="21"/>
          <w:highlight w:val="none"/>
          <w:lang w:val="en-US" w:eastAsia="zh-CN"/>
        </w:rPr>
        <w:t>利</w:t>
      </w:r>
      <w:r>
        <w:rPr>
          <w:rFonts w:hint="eastAsia" w:ascii="宋体" w:eastAsia="宋体" w:cs="宋体"/>
          <w:color w:val="auto"/>
          <w:sz w:val="21"/>
          <w:szCs w:val="21"/>
          <w:highlight w:val="none"/>
        </w:rPr>
        <w:t xml:space="preserve">，乙方有澄清及申诉权。 </w:t>
      </w:r>
    </w:p>
    <w:p w14:paraId="59ACB210">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3.10如乙方在收运服务过程中造成甲方经济损失的，甲方有权要求乙方</w:t>
      </w:r>
      <w:r>
        <w:rPr>
          <w:rFonts w:hint="eastAsia" w:ascii="宋体" w:eastAsia="宋体" w:cs="宋体"/>
          <w:color w:val="auto"/>
          <w:sz w:val="21"/>
          <w:szCs w:val="21"/>
          <w:highlight w:val="none"/>
          <w:lang w:val="en-US" w:eastAsia="zh-CN"/>
        </w:rPr>
        <w:t>赔</w:t>
      </w:r>
      <w:r>
        <w:rPr>
          <w:rFonts w:hint="eastAsia" w:ascii="宋体" w:eastAsia="宋体" w:cs="宋体"/>
          <w:color w:val="auto"/>
          <w:sz w:val="21"/>
          <w:szCs w:val="21"/>
          <w:highlight w:val="none"/>
        </w:rPr>
        <w:t>偿。</w:t>
      </w:r>
    </w:p>
    <w:p w14:paraId="093D3512">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3.11甲方在装卸等过程中应提醒客户配合乙方安全规范操作，确保乙方运输车辆不受损。</w:t>
      </w:r>
    </w:p>
    <w:p w14:paraId="2A2DD779">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3.12甲方每季度对乙方进行服务质量评分考核，具体考核标准见附件。</w:t>
      </w:r>
    </w:p>
    <w:p w14:paraId="2D0FED12">
      <w:pPr>
        <w:spacing w:line="400" w:lineRule="exact"/>
        <w:rPr>
          <w:b/>
          <w:bCs/>
          <w:color w:val="auto"/>
          <w:highlight w:val="none"/>
        </w:rPr>
      </w:pPr>
      <w:bookmarkStart w:id="834" w:name="_Toc20196"/>
      <w:bookmarkStart w:id="835" w:name="_Toc27708"/>
      <w:bookmarkStart w:id="836" w:name="_Toc4220"/>
      <w:bookmarkStart w:id="837" w:name="_Toc23991"/>
      <w:bookmarkStart w:id="838" w:name="_Toc27121"/>
      <w:bookmarkStart w:id="839" w:name="_Toc4073"/>
      <w:bookmarkStart w:id="840" w:name="_Toc6399"/>
      <w:r>
        <w:rPr>
          <w:rFonts w:hint="eastAsia"/>
          <w:b/>
          <w:bCs/>
          <w:color w:val="auto"/>
          <w:highlight w:val="none"/>
        </w:rPr>
        <w:t>第四条 乙方的权利、义务和责任</w:t>
      </w:r>
      <w:bookmarkEnd w:id="834"/>
      <w:bookmarkEnd w:id="835"/>
      <w:bookmarkEnd w:id="836"/>
      <w:bookmarkEnd w:id="837"/>
      <w:bookmarkEnd w:id="838"/>
      <w:bookmarkEnd w:id="839"/>
      <w:bookmarkEnd w:id="840"/>
    </w:p>
    <w:p w14:paraId="37D7D9AA">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4.1 乙方确保其《道路运输经营许可证》及所有承运车辆相关证照及运输手续真实、完整、合法、有效。乙方原则上须使用自有车辆为甲方提供服务，司机及押运员负责全程的运输</w:t>
      </w:r>
      <w:r>
        <w:rPr>
          <w:rFonts w:hint="eastAsia" w:ascii="宋体" w:eastAsia="宋体" w:cs="宋体"/>
          <w:color w:val="auto"/>
          <w:sz w:val="21"/>
          <w:szCs w:val="21"/>
          <w:highlight w:val="none"/>
          <w:lang w:eastAsia="zh-CN"/>
        </w:rPr>
        <w:t>，</w:t>
      </w:r>
      <w:r>
        <w:rPr>
          <w:rFonts w:hint="eastAsia" w:ascii="宋体" w:eastAsia="宋体" w:cs="宋体"/>
          <w:color w:val="auto"/>
          <w:sz w:val="21"/>
          <w:szCs w:val="21"/>
          <w:highlight w:val="none"/>
          <w:lang w:val="en-US" w:eastAsia="zh-CN"/>
        </w:rPr>
        <w:t>以</w:t>
      </w:r>
      <w:r>
        <w:rPr>
          <w:rFonts w:hint="eastAsia" w:ascii="宋体" w:eastAsia="宋体" w:cs="宋体"/>
          <w:color w:val="auto"/>
          <w:sz w:val="21"/>
          <w:szCs w:val="21"/>
          <w:highlight w:val="none"/>
        </w:rPr>
        <w:t>确保危险运输的安全。若乙方使用第三方合约车辆，乙方承诺在本合同约定服务内容及范围内</w:t>
      </w:r>
      <w:r>
        <w:rPr>
          <w:rFonts w:hint="eastAsia" w:ascii="宋体" w:eastAsia="宋体" w:cs="宋体"/>
          <w:color w:val="auto"/>
          <w:sz w:val="21"/>
          <w:szCs w:val="21"/>
          <w:highlight w:val="none"/>
          <w:lang w:val="en-US" w:eastAsia="zh-CN"/>
        </w:rPr>
        <w:t>就</w:t>
      </w:r>
      <w:r>
        <w:rPr>
          <w:rFonts w:hint="eastAsia" w:ascii="宋体" w:eastAsia="宋体" w:cs="宋体"/>
          <w:color w:val="auto"/>
          <w:sz w:val="21"/>
          <w:szCs w:val="21"/>
          <w:highlight w:val="none"/>
        </w:rPr>
        <w:t>第三方</w:t>
      </w:r>
      <w:r>
        <w:rPr>
          <w:rFonts w:hint="eastAsia" w:ascii="宋体" w:eastAsia="宋体" w:cs="宋体"/>
          <w:color w:val="auto"/>
          <w:sz w:val="21"/>
          <w:szCs w:val="21"/>
          <w:highlight w:val="none"/>
          <w:lang w:val="en-US" w:eastAsia="zh-CN"/>
        </w:rPr>
        <w:t>完成的工作向甲方承担连带责任</w:t>
      </w:r>
      <w:r>
        <w:rPr>
          <w:rFonts w:hint="eastAsia" w:ascii="宋体" w:eastAsia="宋体" w:cs="宋体"/>
          <w:color w:val="auto"/>
          <w:sz w:val="21"/>
          <w:szCs w:val="21"/>
          <w:highlight w:val="none"/>
        </w:rPr>
        <w:t>，且确保第三方相关资质、资格均合法有效，完全具有履行本合同的资质。</w:t>
      </w:r>
    </w:p>
    <w:p w14:paraId="3659B30B">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4.2乙方应向甲方提供司机驾驶证、车辆行驶证及押运员身份证等运输人员相关资料（复印件，原件供核对）备案。</w:t>
      </w:r>
    </w:p>
    <w:p w14:paraId="6CD71065">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4.3乙方运输人员应按照《道路运输从业人员管理规定》具备道路危险货物运输从业人员从业资格并具备相应的危废运输经验，对其</w:t>
      </w:r>
      <w:r>
        <w:rPr>
          <w:rFonts w:hint="eastAsia" w:ascii="宋体" w:eastAsia="宋体" w:cs="宋体"/>
          <w:color w:val="auto"/>
          <w:sz w:val="21"/>
          <w:szCs w:val="21"/>
          <w:highlight w:val="none"/>
          <w:lang w:val="en-US" w:eastAsia="zh-CN"/>
        </w:rPr>
        <w:t>运输服务</w:t>
      </w:r>
      <w:r>
        <w:rPr>
          <w:rFonts w:hint="eastAsia" w:ascii="宋体" w:eastAsia="宋体" w:cs="宋体"/>
          <w:color w:val="auto"/>
          <w:sz w:val="21"/>
          <w:szCs w:val="21"/>
          <w:highlight w:val="none"/>
        </w:rPr>
        <w:t>人员及车辆购买保险，并对运输服务在途过程中发生所有的意外、事故、伤害产生的损失负责。</w:t>
      </w:r>
    </w:p>
    <w:p w14:paraId="28C8C7D5">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4.4乙方需针对危险废物运输的特殊性制定完善的运作方案，其中应包含车辆的安全配置、内部组织管理架构及责任划分、事故应急预案等基本内容，并接受甲方的合理化建议。服务期间，需严格遵守道路运输、安全生产相关法律法规要求，甲方对乙方违法违规行为保留</w:t>
      </w:r>
      <w:r>
        <w:rPr>
          <w:rFonts w:hint="eastAsia" w:ascii="宋体" w:eastAsia="宋体" w:cs="宋体"/>
          <w:color w:val="auto"/>
          <w:sz w:val="21"/>
          <w:szCs w:val="21"/>
          <w:highlight w:val="none"/>
          <w:lang w:val="en-US" w:eastAsia="zh-CN"/>
        </w:rPr>
        <w:t>追究违约责任的</w:t>
      </w:r>
      <w:r>
        <w:rPr>
          <w:rFonts w:hint="eastAsia" w:ascii="宋体" w:eastAsia="宋体" w:cs="宋体"/>
          <w:color w:val="auto"/>
          <w:sz w:val="21"/>
          <w:szCs w:val="21"/>
          <w:highlight w:val="none"/>
        </w:rPr>
        <w:t>权利。因乙方违反相关法律法规、国家标准、行业标准造成的损失由乙方</w:t>
      </w:r>
      <w:r>
        <w:rPr>
          <w:rFonts w:hint="eastAsia" w:ascii="宋体" w:eastAsia="宋体" w:cs="宋体"/>
          <w:color w:val="auto"/>
          <w:sz w:val="21"/>
          <w:szCs w:val="21"/>
          <w:highlight w:val="none"/>
          <w:lang w:val="en-US" w:eastAsia="zh-CN"/>
        </w:rPr>
        <w:t>全部</w:t>
      </w:r>
      <w:r>
        <w:rPr>
          <w:rFonts w:hint="eastAsia" w:ascii="宋体" w:eastAsia="宋体" w:cs="宋体"/>
          <w:color w:val="auto"/>
          <w:sz w:val="21"/>
          <w:szCs w:val="21"/>
          <w:highlight w:val="none"/>
        </w:rPr>
        <w:t>承担。</w:t>
      </w:r>
    </w:p>
    <w:p w14:paraId="32ED08D4">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4.5乙方应配备足够的人员、工器具和运输车辆，并对相关人员进行必要的岗前培训，确保安全、准时、准确地将危险废物从客户端运至甲方指定的目的地。</w:t>
      </w:r>
    </w:p>
    <w:p w14:paraId="04A1F52E">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4.6乙方自费配备必须的劳动保护用品及防护措施(配置最低标准:安全帽、劳保服、劳保鞋、防护口罩、护目镜)，特殊用品可由甲方协助提供，费用仍由乙方承担。</w:t>
      </w:r>
    </w:p>
    <w:p w14:paraId="36B85BB9">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4.7 本合同签约完成后，乙方接到甲方收运指令时，应在1个小时内响应是否能够承运。</w:t>
      </w:r>
    </w:p>
    <w:p w14:paraId="2F4166CC">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4.8乙方确认承运后，须在3个小时内按甲方收运指令安排人员和车辆，并以文字形式（包含但不限于以QQ、微信、短信、Email等）告知甲方该运输车辆的车牌号、车辆型号、司机姓名等信息，并准备好承运单等单据。如果乙方确认承运后取消的，或在规定时间内未作出响应，计入相应的考核扣分（不可抗力除外）。若因乙方原因导致甲方不得不自行解决运输</w:t>
      </w:r>
      <w:r>
        <w:rPr>
          <w:rFonts w:hint="eastAsia" w:ascii="宋体" w:eastAsia="宋体" w:cs="宋体"/>
          <w:color w:val="auto"/>
          <w:sz w:val="21"/>
          <w:szCs w:val="21"/>
          <w:highlight w:val="none"/>
          <w:lang w:val="en-US" w:eastAsia="zh-CN"/>
        </w:rPr>
        <w:t>导致</w:t>
      </w:r>
      <w:r>
        <w:rPr>
          <w:rFonts w:hint="eastAsia" w:ascii="宋体" w:eastAsia="宋体" w:cs="宋体"/>
          <w:color w:val="auto"/>
          <w:sz w:val="21"/>
          <w:szCs w:val="21"/>
          <w:highlight w:val="none"/>
        </w:rPr>
        <w:t>运费超支的，超支部分由乙方承担（不可抗力除外）。</w:t>
      </w:r>
    </w:p>
    <w:p w14:paraId="027B2CCD">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w:t>
      </w:r>
      <w:r>
        <w:rPr>
          <w:rFonts w:hint="eastAsia" w:ascii="宋体" w:eastAsia="宋体" w:cs="宋体"/>
          <w:color w:val="auto"/>
          <w:sz w:val="21"/>
          <w:szCs w:val="21"/>
          <w:highlight w:val="none"/>
          <w:lang w:val="en-US" w:eastAsia="zh-CN"/>
        </w:rPr>
        <w:t>9</w:t>
      </w:r>
      <w:r>
        <w:rPr>
          <w:rFonts w:hint="eastAsia" w:ascii="宋体" w:eastAsia="宋体" w:cs="宋体"/>
          <w:color w:val="auto"/>
          <w:sz w:val="21"/>
          <w:szCs w:val="21"/>
          <w:highlight w:val="none"/>
        </w:rPr>
        <w:t>乙方将危废运送至甲方厂区时，乙方工作人员必须穿着符合劳保规定的防护用品，按甲方要求进行过磅，并听从甲方指挥人员将车辆开到指定区域卸货，并严格遵守甲方厂区相关环境以及安全规章制度，听取甲方人员指挥及督导。保持工作现场整洁，及时清理工作过程中产生的废物，及时清理污染的路面。如在现场提供服务时损坏了甲方的设备/设施，</w:t>
      </w:r>
      <w:r>
        <w:rPr>
          <w:rFonts w:hint="eastAsia" w:ascii="宋体" w:eastAsia="宋体" w:cs="宋体"/>
          <w:color w:val="auto"/>
          <w:sz w:val="21"/>
          <w:szCs w:val="21"/>
          <w:highlight w:val="none"/>
          <w:lang w:val="en-US" w:eastAsia="zh-CN"/>
        </w:rPr>
        <w:t>乙方</w:t>
      </w:r>
      <w:r>
        <w:rPr>
          <w:rFonts w:hint="eastAsia" w:ascii="宋体" w:eastAsia="宋体" w:cs="宋体"/>
          <w:color w:val="auto"/>
          <w:sz w:val="21"/>
          <w:szCs w:val="21"/>
          <w:highlight w:val="none"/>
        </w:rPr>
        <w:t xml:space="preserve">应照价赔偿。因乙方人员及车辆违反甲方厂区管理要求造成事故，责任原因在乙方的，一切责任由乙方承担。   </w:t>
      </w:r>
    </w:p>
    <w:p w14:paraId="07447E16">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w:t>
      </w:r>
      <w:r>
        <w:rPr>
          <w:rFonts w:hint="eastAsia" w:ascii="宋体" w:eastAsia="宋体" w:cs="宋体"/>
          <w:color w:val="auto"/>
          <w:sz w:val="21"/>
          <w:szCs w:val="21"/>
          <w:highlight w:val="none"/>
          <w:lang w:val="en-US" w:eastAsia="zh-CN"/>
        </w:rPr>
        <w:t>10</w:t>
      </w:r>
      <w:r>
        <w:rPr>
          <w:rFonts w:hint="eastAsia" w:ascii="宋体" w:eastAsia="宋体" w:cs="宋体"/>
          <w:color w:val="auto"/>
          <w:sz w:val="21"/>
          <w:szCs w:val="21"/>
          <w:highlight w:val="none"/>
        </w:rPr>
        <w:t>乙方应严格按甲方通知的运输时间执行，危险废物没有按预定时间到达时，乙方应及时与甲方取得联系，以便甲方安排人员接收废物。若因乙方超时到达客户或甲方厂区且未提前通知甲方协调接收废物造成押车的，甲方不予支付</w:t>
      </w:r>
      <w:r>
        <w:rPr>
          <w:rFonts w:hint="eastAsia" w:ascii="宋体" w:eastAsia="宋体" w:cs="宋体"/>
          <w:color w:val="auto"/>
          <w:sz w:val="21"/>
          <w:szCs w:val="21"/>
          <w:highlight w:val="none"/>
          <w:lang w:val="en-US" w:eastAsia="zh-CN"/>
        </w:rPr>
        <w:t>运输</w:t>
      </w:r>
      <w:r>
        <w:rPr>
          <w:rFonts w:hint="eastAsia" w:ascii="宋体" w:eastAsia="宋体" w:cs="宋体"/>
          <w:color w:val="auto"/>
          <w:sz w:val="21"/>
          <w:szCs w:val="21"/>
          <w:highlight w:val="none"/>
        </w:rPr>
        <w:t>费用。</w:t>
      </w:r>
    </w:p>
    <w:p w14:paraId="359D1D4E">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w:t>
      </w:r>
      <w:r>
        <w:rPr>
          <w:rFonts w:hint="eastAsia" w:ascii="宋体" w:eastAsia="宋体" w:cs="宋体"/>
          <w:color w:val="auto"/>
          <w:sz w:val="21"/>
          <w:szCs w:val="21"/>
          <w:highlight w:val="none"/>
          <w:lang w:val="en-US" w:eastAsia="zh-CN"/>
        </w:rPr>
        <w:t>11</w:t>
      </w:r>
      <w:r>
        <w:rPr>
          <w:rFonts w:hint="eastAsia" w:ascii="宋体" w:eastAsia="宋体" w:cs="宋体"/>
          <w:color w:val="auto"/>
          <w:sz w:val="21"/>
          <w:szCs w:val="21"/>
          <w:highlight w:val="none"/>
        </w:rPr>
        <w:t xml:space="preserve"> 乙方承担危险废物从装运上车后到安全送达目的地并完全卸货之前的全部风险</w:t>
      </w:r>
      <w:r>
        <w:rPr>
          <w:rFonts w:hint="eastAsia" w:ascii="宋体" w:eastAsia="宋体" w:cs="宋体"/>
          <w:color w:val="auto"/>
          <w:sz w:val="21"/>
          <w:szCs w:val="21"/>
          <w:highlight w:val="none"/>
          <w:lang w:val="en-US" w:eastAsia="zh-CN"/>
        </w:rPr>
        <w:t>和</w:t>
      </w:r>
      <w:r>
        <w:rPr>
          <w:rFonts w:hint="eastAsia" w:ascii="宋体" w:eastAsia="宋体" w:cs="宋体"/>
          <w:color w:val="auto"/>
          <w:sz w:val="21"/>
          <w:szCs w:val="21"/>
          <w:highlight w:val="none"/>
        </w:rPr>
        <w:t>责任（包括但不限于货物因不可抗力等因素导致的灭失、毁损风险）。乙方在承运过程中发生的包括但不限于货物被盗、丢失、淋湿、泄漏、货损、交货不清、货物破损、人员伤亡、车辆损坏、交通事故等，由乙方承担全部责任及损失，造成甲方损失（包括但不限于甲方对客户支付的违约金和赔偿金、货物价值减损或灭失的损失、行政罚款等）应由乙方负责赔偿，甲方有权就损失在</w:t>
      </w:r>
      <w:r>
        <w:rPr>
          <w:rFonts w:hint="eastAsia" w:ascii="宋体" w:eastAsia="宋体" w:cs="宋体"/>
          <w:color w:val="auto"/>
          <w:sz w:val="21"/>
          <w:szCs w:val="21"/>
          <w:highlight w:val="none"/>
          <w:lang w:val="en-US" w:eastAsia="zh-CN"/>
        </w:rPr>
        <w:t>应</w:t>
      </w:r>
      <w:r>
        <w:rPr>
          <w:rFonts w:hint="eastAsia" w:ascii="宋体" w:eastAsia="宋体" w:cs="宋体"/>
          <w:color w:val="auto"/>
          <w:sz w:val="21"/>
          <w:szCs w:val="21"/>
          <w:highlight w:val="none"/>
        </w:rPr>
        <w:t xml:space="preserve">支付乙方的运输费用中予以扣除。 </w:t>
      </w:r>
    </w:p>
    <w:p w14:paraId="31E8D94B">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4.1</w:t>
      </w:r>
      <w:r>
        <w:rPr>
          <w:rFonts w:hint="eastAsia" w:ascii="宋体" w:eastAsia="宋体" w:cs="宋体"/>
          <w:color w:val="auto"/>
          <w:sz w:val="21"/>
          <w:szCs w:val="21"/>
          <w:highlight w:val="none"/>
          <w:lang w:val="en-US" w:eastAsia="zh-CN"/>
        </w:rPr>
        <w:t>2</w:t>
      </w:r>
      <w:r>
        <w:rPr>
          <w:rFonts w:hint="eastAsia" w:ascii="宋体" w:eastAsia="宋体" w:cs="宋体"/>
          <w:color w:val="auto"/>
          <w:sz w:val="21"/>
          <w:szCs w:val="21"/>
          <w:highlight w:val="none"/>
        </w:rPr>
        <w:t xml:space="preserve"> 废物运输途中，必须符合国家有关环保</w:t>
      </w:r>
      <w:r>
        <w:rPr>
          <w:rFonts w:hint="eastAsia" w:ascii="宋体" w:eastAsia="宋体" w:cs="宋体"/>
          <w:color w:val="auto"/>
          <w:sz w:val="21"/>
          <w:szCs w:val="21"/>
          <w:highlight w:val="none"/>
          <w:lang w:val="en-US" w:eastAsia="zh-CN"/>
        </w:rPr>
        <w:t>法律</w:t>
      </w:r>
      <w:r>
        <w:rPr>
          <w:rFonts w:hint="eastAsia" w:ascii="宋体" w:eastAsia="宋体" w:cs="宋体"/>
          <w:color w:val="auto"/>
          <w:sz w:val="21"/>
          <w:szCs w:val="21"/>
          <w:highlight w:val="none"/>
        </w:rPr>
        <w:t>法规要求，乙方对废物运输过程发生的任何环境污染事故承担法律责任。在整个运输服务过程中，因乙方人员及车辆原因造成事故，责任原因在乙方的，一切责任由乙方承担。</w:t>
      </w:r>
    </w:p>
    <w:p w14:paraId="7BCF0366">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4.1</w:t>
      </w:r>
      <w:r>
        <w:rPr>
          <w:rFonts w:hint="eastAsia" w:ascii="宋体" w:eastAsia="宋体" w:cs="宋体"/>
          <w:color w:val="auto"/>
          <w:sz w:val="21"/>
          <w:szCs w:val="21"/>
          <w:highlight w:val="none"/>
          <w:lang w:val="en-US" w:eastAsia="zh-CN"/>
        </w:rPr>
        <w:t>3</w:t>
      </w:r>
      <w:r>
        <w:rPr>
          <w:rFonts w:hint="eastAsia" w:ascii="宋体" w:eastAsia="宋体" w:cs="宋体"/>
          <w:color w:val="auto"/>
          <w:sz w:val="21"/>
          <w:szCs w:val="21"/>
          <w:highlight w:val="none"/>
        </w:rPr>
        <w:t xml:space="preserve"> 乙方必须长期对甲方的货物秘密和商业秘密承担保密义务，不得将任何货物和商业信息透露给第三方。否则乙方</w:t>
      </w:r>
      <w:r>
        <w:rPr>
          <w:rFonts w:hint="eastAsia" w:ascii="宋体" w:eastAsia="宋体" w:cs="宋体"/>
          <w:color w:val="auto"/>
          <w:sz w:val="21"/>
          <w:szCs w:val="21"/>
          <w:highlight w:val="none"/>
          <w:lang w:val="en-US" w:eastAsia="zh-CN"/>
        </w:rPr>
        <w:t>应向甲方支付违约金20万元，违约金不足以弥补甲方因此造成的损失的，乙方还应继续赔偿</w:t>
      </w:r>
      <w:r>
        <w:rPr>
          <w:rFonts w:hint="eastAsia" w:ascii="宋体" w:eastAsia="宋体" w:cs="宋体"/>
          <w:color w:val="auto"/>
          <w:sz w:val="21"/>
          <w:szCs w:val="21"/>
          <w:highlight w:val="none"/>
        </w:rPr>
        <w:t>甲方全部损失。</w:t>
      </w:r>
    </w:p>
    <w:p w14:paraId="54FBB7DD">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4.1</w:t>
      </w:r>
      <w:r>
        <w:rPr>
          <w:rFonts w:hint="eastAsia" w:ascii="宋体" w:eastAsia="宋体" w:cs="宋体"/>
          <w:color w:val="auto"/>
          <w:sz w:val="21"/>
          <w:szCs w:val="21"/>
          <w:highlight w:val="none"/>
          <w:lang w:val="en-US" w:eastAsia="zh-CN"/>
        </w:rPr>
        <w:t>4</w:t>
      </w:r>
      <w:r>
        <w:rPr>
          <w:rFonts w:hint="eastAsia" w:ascii="宋体" w:eastAsia="宋体" w:cs="宋体"/>
          <w:color w:val="auto"/>
          <w:sz w:val="21"/>
          <w:szCs w:val="21"/>
          <w:highlight w:val="none"/>
        </w:rPr>
        <w:t xml:space="preserve"> 其他服务要求</w:t>
      </w:r>
    </w:p>
    <w:p w14:paraId="55082E20">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4.1</w:t>
      </w:r>
      <w:r>
        <w:rPr>
          <w:rFonts w:hint="eastAsia" w:ascii="宋体" w:eastAsia="宋体" w:cs="宋体"/>
          <w:color w:val="auto"/>
          <w:sz w:val="21"/>
          <w:szCs w:val="21"/>
          <w:highlight w:val="none"/>
          <w:lang w:val="en-US" w:eastAsia="zh-CN"/>
        </w:rPr>
        <w:t>4</w:t>
      </w:r>
      <w:r>
        <w:rPr>
          <w:rFonts w:hint="eastAsia" w:ascii="宋体" w:eastAsia="宋体" w:cs="宋体"/>
          <w:color w:val="auto"/>
          <w:sz w:val="21"/>
          <w:szCs w:val="21"/>
          <w:highlight w:val="none"/>
        </w:rPr>
        <w:t>.1 乙方需要为危险废物装卸提供必要设备支持，包含但不限于升降尾板、手动（电动）叉车等。</w:t>
      </w:r>
    </w:p>
    <w:p w14:paraId="0D0A9D68">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4.1</w:t>
      </w:r>
      <w:r>
        <w:rPr>
          <w:rFonts w:hint="eastAsia" w:ascii="宋体" w:eastAsia="宋体" w:cs="宋体"/>
          <w:color w:val="auto"/>
          <w:sz w:val="21"/>
          <w:szCs w:val="21"/>
          <w:highlight w:val="none"/>
          <w:lang w:val="en-US" w:eastAsia="zh-CN"/>
        </w:rPr>
        <w:t>4</w:t>
      </w:r>
      <w:r>
        <w:rPr>
          <w:rFonts w:hint="eastAsia" w:ascii="宋体" w:eastAsia="宋体" w:cs="宋体"/>
          <w:color w:val="auto"/>
          <w:sz w:val="21"/>
          <w:szCs w:val="21"/>
          <w:highlight w:val="none"/>
        </w:rPr>
        <w:t>.2 乙方运输车辆设施设备完整、并确保消防应急物资、防泄漏物资的充分配置，同时需确保车辆资质证件在期有效期内。</w:t>
      </w:r>
    </w:p>
    <w:p w14:paraId="1B287929">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4.1</w:t>
      </w:r>
      <w:r>
        <w:rPr>
          <w:rFonts w:hint="eastAsia" w:ascii="宋体" w:eastAsia="宋体" w:cs="宋体"/>
          <w:color w:val="auto"/>
          <w:sz w:val="21"/>
          <w:szCs w:val="21"/>
          <w:highlight w:val="none"/>
          <w:lang w:val="en-US" w:eastAsia="zh-CN"/>
        </w:rPr>
        <w:t>4</w:t>
      </w:r>
      <w:r>
        <w:rPr>
          <w:rFonts w:hint="eastAsia" w:ascii="宋体" w:eastAsia="宋体" w:cs="宋体"/>
          <w:color w:val="auto"/>
          <w:sz w:val="21"/>
          <w:szCs w:val="21"/>
          <w:highlight w:val="none"/>
        </w:rPr>
        <w:t>.3乙方需对甲方现场危险废物有初步的识别和判断，具备甲方下发派车单列表中载明的危废名称与甲方现场危废的一致性评估的能力，具备废物种类分辨、废物包装的规范性核查、废物标签的完整性辨识的能力。若出现运输人员无法判断的异常情况时，应及时反馈甲方协助处理；经运输人员判断有风险时亦须立刻反馈甲方协助处理。</w:t>
      </w:r>
    </w:p>
    <w:p w14:paraId="3E5B4B57">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4.1</w:t>
      </w:r>
      <w:r>
        <w:rPr>
          <w:rFonts w:hint="eastAsia" w:ascii="宋体" w:eastAsia="宋体" w:cs="宋体"/>
          <w:color w:val="auto"/>
          <w:sz w:val="21"/>
          <w:szCs w:val="21"/>
          <w:highlight w:val="none"/>
          <w:lang w:val="en-US" w:eastAsia="zh-CN"/>
        </w:rPr>
        <w:t>4</w:t>
      </w:r>
      <w:r>
        <w:rPr>
          <w:rFonts w:hint="eastAsia" w:ascii="宋体" w:eastAsia="宋体" w:cs="宋体"/>
          <w:color w:val="auto"/>
          <w:sz w:val="21"/>
          <w:szCs w:val="21"/>
          <w:highlight w:val="none"/>
        </w:rPr>
        <w:t>.4 其他：</w:t>
      </w:r>
    </w:p>
    <w:p w14:paraId="6442C274">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Ⅰ、严格遵守甲方现场要求，不得违反相关厂规厂纪；</w:t>
      </w:r>
    </w:p>
    <w:p w14:paraId="12E8EDF8">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Ⅱ、乙方违规行为将根据采购文件及本合同约定</w:t>
      </w:r>
      <w:r>
        <w:rPr>
          <w:rFonts w:hint="eastAsia" w:ascii="宋体" w:eastAsia="宋体" w:cs="宋体"/>
          <w:color w:val="auto"/>
          <w:sz w:val="21"/>
          <w:szCs w:val="21"/>
          <w:highlight w:val="none"/>
          <w:lang w:val="en-US" w:eastAsia="zh-CN"/>
        </w:rPr>
        <w:t>追究违约责任</w:t>
      </w:r>
      <w:r>
        <w:rPr>
          <w:rFonts w:hint="eastAsia" w:ascii="宋体" w:eastAsia="宋体" w:cs="宋体"/>
          <w:color w:val="auto"/>
          <w:sz w:val="21"/>
          <w:szCs w:val="21"/>
          <w:highlight w:val="none"/>
        </w:rPr>
        <w:t>；</w:t>
      </w:r>
    </w:p>
    <w:p w14:paraId="7CC392D0">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Ⅲ、乙方根据甲方提供的整改意见限时整改；乙方可根据实际情况进行举证，经查确不属于乙方责任的，免于</w:t>
      </w:r>
      <w:r>
        <w:rPr>
          <w:rFonts w:hint="eastAsia" w:ascii="宋体" w:eastAsia="宋体" w:cs="宋体"/>
          <w:color w:val="auto"/>
          <w:sz w:val="21"/>
          <w:szCs w:val="21"/>
          <w:highlight w:val="none"/>
          <w:lang w:val="en-US" w:eastAsia="zh-CN"/>
        </w:rPr>
        <w:t>追究违约责任</w:t>
      </w:r>
      <w:r>
        <w:rPr>
          <w:rFonts w:hint="eastAsia" w:ascii="宋体" w:eastAsia="宋体" w:cs="宋体"/>
          <w:color w:val="auto"/>
          <w:sz w:val="21"/>
          <w:szCs w:val="21"/>
          <w:highlight w:val="none"/>
        </w:rPr>
        <w:t>；</w:t>
      </w:r>
    </w:p>
    <w:p w14:paraId="43A29E22">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Ⅳ、携带包装物费用、装卸费、</w:t>
      </w:r>
      <w:r>
        <w:rPr>
          <w:rFonts w:hint="eastAsia" w:ascii="宋体" w:eastAsia="宋体" w:cs="宋体"/>
          <w:color w:val="auto"/>
          <w:sz w:val="21"/>
          <w:szCs w:val="21"/>
          <w:highlight w:val="none"/>
          <w:lang w:val="en-US" w:eastAsia="zh-CN"/>
        </w:rPr>
        <w:t>违约责任</w:t>
      </w:r>
      <w:r>
        <w:rPr>
          <w:rFonts w:hint="eastAsia" w:ascii="宋体" w:eastAsia="宋体" w:cs="宋体"/>
          <w:color w:val="auto"/>
          <w:sz w:val="21"/>
          <w:szCs w:val="21"/>
          <w:highlight w:val="none"/>
        </w:rPr>
        <w:t>标准，甲方有最终解释权。</w:t>
      </w:r>
    </w:p>
    <w:p w14:paraId="7B3D3E99">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Ⅴ、乙方应提供5台自有或以上运输车辆的《行驶证》《道路运输证》、强制险保单、商业险保单、危险货物承运人保单证件资料。（乙方提供相关证明材料）</w:t>
      </w:r>
    </w:p>
    <w:p w14:paraId="77A527D7">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Ⅵ、乙方应提供5名自有或以上运输司机《身份证》《驾驶证》《危运证》、近半年内所在公司给予购买的任意1个月社保证明证件资料。（乙方提供相关证明材料）</w:t>
      </w:r>
    </w:p>
    <w:p w14:paraId="60EA3D02">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Ⅶ、乙方应提供5名自有或以上货物押运员《身份证》《押运证》、近半年内所在公司给予购买的任意1个月社保证明证件资料。（乙方提供相关证明材料）</w:t>
      </w:r>
    </w:p>
    <w:p w14:paraId="73A997E2">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Ⅷ、</w:t>
      </w:r>
      <w:r>
        <w:rPr>
          <w:rFonts w:hint="eastAsia" w:ascii="宋体" w:eastAsia="宋体" w:cs="宋体"/>
          <w:color w:val="auto"/>
          <w:sz w:val="21"/>
          <w:szCs w:val="21"/>
          <w:highlight w:val="none"/>
          <w:lang w:val="en-US" w:eastAsia="zh-CN"/>
        </w:rPr>
        <w:t>莞惠</w:t>
      </w:r>
      <w:r>
        <w:rPr>
          <w:rFonts w:hint="eastAsia" w:ascii="宋体" w:eastAsia="宋体" w:cs="宋体"/>
          <w:color w:val="auto"/>
          <w:sz w:val="21"/>
          <w:szCs w:val="21"/>
          <w:highlight w:val="none"/>
        </w:rPr>
        <w:t>标段：由于甲方是东莞市环境应急处理响应单位，因此乙方在接到甲方关于</w:t>
      </w:r>
      <w:r>
        <w:rPr>
          <w:rFonts w:hint="eastAsia" w:ascii="宋体" w:eastAsia="宋体" w:cs="宋体"/>
          <w:color w:val="auto"/>
          <w:sz w:val="21"/>
          <w:szCs w:val="21"/>
          <w:highlight w:val="none"/>
          <w:lang w:val="en-US" w:eastAsia="zh-CN"/>
        </w:rPr>
        <w:t>莞惠</w:t>
      </w:r>
      <w:r>
        <w:rPr>
          <w:rFonts w:hint="eastAsia" w:ascii="宋体" w:eastAsia="宋体" w:cs="宋体"/>
          <w:color w:val="auto"/>
          <w:sz w:val="21"/>
          <w:szCs w:val="21"/>
          <w:highlight w:val="none"/>
        </w:rPr>
        <w:t>标段的环境应急处理需求时，须在半小时内配备甲方要求的车辆、驾驶员和押运员及应急物资，并到达海心沙岛集合。期间产生的车辆停车费用、驾驶员、押运员的工资及食宿费用等所一切费用由乙方自行承担。如因乙方原因导致环境应急服务响应不及时，对甲方业务和声誉造成损失的，甲方有权索赔及解除合同。</w:t>
      </w:r>
    </w:p>
    <w:p w14:paraId="77F49832">
      <w:pPr>
        <w:pStyle w:val="42"/>
        <w:spacing w:line="400" w:lineRule="exact"/>
        <w:ind w:firstLine="433"/>
        <w:rPr>
          <w:rFonts w:hint="eastAsia" w:ascii="宋体" w:eastAsia="宋体" w:cs="宋体"/>
          <w:color w:val="auto"/>
          <w:sz w:val="21"/>
          <w:szCs w:val="21"/>
          <w:highlight w:val="none"/>
          <w:lang w:val="en-US" w:eastAsia="zh-CN"/>
        </w:rPr>
      </w:pPr>
      <w:r>
        <w:rPr>
          <w:rFonts w:hint="eastAsia" w:ascii="宋体" w:eastAsia="宋体" w:cs="宋体"/>
          <w:color w:val="auto"/>
          <w:sz w:val="21"/>
          <w:szCs w:val="21"/>
          <w:highlight w:val="none"/>
        </w:rPr>
        <w:t>4.1</w:t>
      </w:r>
      <w:r>
        <w:rPr>
          <w:rFonts w:hint="eastAsia" w:ascii="宋体" w:eastAsia="宋体" w:cs="宋体"/>
          <w:color w:val="auto"/>
          <w:sz w:val="21"/>
          <w:szCs w:val="21"/>
          <w:highlight w:val="none"/>
          <w:lang w:val="en-US" w:eastAsia="zh-CN"/>
        </w:rPr>
        <w:t>5跳单处罚：非不可抗力因素无法响应甲方派车需求的均属于跳单行为（例如：无法顺带包装物或者限行区域无通行证拒绝响应均属于跳单）。甲方安排厢车乙方20台车/天及以内，槽车乙方5台车/天及以内，乙方无法响应的，违约金额为甲方使用其他运输单位支出运输费用的2倍；甲方安排厢车乙方20台车/天以上，槽车乙方5台车/天以上时，乙方无法提供服务的，仅需承担甲方使用其他运输单位支出的运输费用。跳单违约金于跳单所属月份的运输费中扣除。运费不足以抵扣时，甲方有权从履约保证金中扣除。备注：跳单考核包括乙方已进行响应派车，后因乙方原因，无法按要求日期抵达客户现场进行收运的情况。</w:t>
      </w:r>
    </w:p>
    <w:p w14:paraId="311D2815">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4.16</w:t>
      </w:r>
      <w:r>
        <w:rPr>
          <w:rFonts w:hint="eastAsia" w:ascii="宋体" w:eastAsia="宋体" w:cs="宋体"/>
          <w:color w:val="auto"/>
          <w:sz w:val="21"/>
          <w:szCs w:val="21"/>
          <w:highlight w:val="yellow"/>
        </w:rPr>
        <w:t>如乙方每月跳单达3车及以上的，甲方有权暂停派单，并视整改情况评判是否恢复派单；如乙方合同期内累计跳单达3个月（每月跳单达3车及以上）的，甲方有权与乙方解除《危险废物运输服务合同》，并没收履约保证金。</w:t>
      </w:r>
    </w:p>
    <w:p w14:paraId="1F15E7BA">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4.1</w:t>
      </w:r>
      <w:r>
        <w:rPr>
          <w:rFonts w:hint="eastAsia" w:ascii="宋体" w:eastAsia="宋体" w:cs="宋体"/>
          <w:color w:val="auto"/>
          <w:sz w:val="21"/>
          <w:szCs w:val="21"/>
          <w:highlight w:val="none"/>
          <w:lang w:val="en-US" w:eastAsia="zh-CN"/>
        </w:rPr>
        <w:t>7</w:t>
      </w:r>
      <w:r>
        <w:rPr>
          <w:rFonts w:hint="eastAsia" w:ascii="宋体" w:eastAsia="宋体" w:cs="宋体"/>
          <w:color w:val="auto"/>
          <w:sz w:val="21"/>
          <w:szCs w:val="21"/>
          <w:highlight w:val="none"/>
        </w:rPr>
        <w:t>除本合同约定外，乙方所提供运输服务同时应满足本服务项目采购文件中的《用户需求书》等相关文件关于运输服务的要求，如有违反，同样视为违约。</w:t>
      </w:r>
    </w:p>
    <w:p w14:paraId="27363D46">
      <w:pPr>
        <w:spacing w:line="400" w:lineRule="exact"/>
        <w:rPr>
          <w:b/>
          <w:bCs/>
          <w:color w:val="auto"/>
          <w:highlight w:val="none"/>
        </w:rPr>
      </w:pPr>
      <w:bookmarkStart w:id="841" w:name="_Toc3344"/>
      <w:bookmarkStart w:id="842" w:name="_Toc11363"/>
      <w:bookmarkStart w:id="843" w:name="_Toc19544"/>
      <w:bookmarkStart w:id="844" w:name="_Toc12374"/>
      <w:bookmarkStart w:id="845" w:name="_Toc12139"/>
      <w:bookmarkStart w:id="846" w:name="_Toc1843"/>
      <w:bookmarkStart w:id="847" w:name="_Toc11502"/>
      <w:r>
        <w:rPr>
          <w:rFonts w:hint="eastAsia"/>
          <w:b/>
          <w:bCs/>
          <w:color w:val="auto"/>
          <w:highlight w:val="none"/>
        </w:rPr>
        <w:t>第五条 乙方运输方式、车辆配置及安全要求</w:t>
      </w:r>
      <w:bookmarkEnd w:id="841"/>
      <w:bookmarkEnd w:id="842"/>
      <w:bookmarkEnd w:id="843"/>
      <w:bookmarkEnd w:id="844"/>
      <w:bookmarkEnd w:id="845"/>
      <w:bookmarkEnd w:id="846"/>
      <w:bookmarkEnd w:id="847"/>
      <w:r>
        <w:rPr>
          <w:rFonts w:hint="eastAsia"/>
          <w:b/>
          <w:bCs/>
          <w:color w:val="auto"/>
          <w:highlight w:val="none"/>
        </w:rPr>
        <w:t xml:space="preserve">  </w:t>
      </w:r>
    </w:p>
    <w:p w14:paraId="72DC4AAD">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 xml:space="preserve">5.1 运输方式：符合国家相关法律法规文件规定的特种危险品货物运输汽车。 </w:t>
      </w:r>
    </w:p>
    <w:p w14:paraId="6CC1653D">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 xml:space="preserve">5.2 车辆配置及安全要求：  </w:t>
      </w:r>
    </w:p>
    <w:p w14:paraId="0A20ADCE">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 xml:space="preserve">5.2.1 参与承运甲方货物的车辆必须保持车况良好，车容整洁。 </w:t>
      </w:r>
    </w:p>
    <w:p w14:paraId="0B8DDF2A">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 xml:space="preserve">5.2.2 乙方所承运的危险品车辆，除了符合上述要求外，还必须具备交通运输部令2019年第42号文件等相关法律法规规定的承运危险品车辆的一切条件和物资： </w:t>
      </w:r>
    </w:p>
    <w:p w14:paraId="394F3598">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 xml:space="preserve">Ⅰ、危险品专用车辆技术等级达到行业标准《营运车辆技术等级划分和评定要求》（JT/T198）规定的一级技术等级。   </w:t>
      </w:r>
    </w:p>
    <w:p w14:paraId="3542E63D">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 xml:space="preserve">Ⅱ、危险品专用车辆需安装GPS定位装置、行车记录仪等安全行车监控系统，并实施24小时全天候监控。  </w:t>
      </w:r>
    </w:p>
    <w:p w14:paraId="2422DFAE">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Ⅲ、专用车辆驾驶员应当随车携带《道路运输经营许可证》。</w:t>
      </w:r>
    </w:p>
    <w:p w14:paraId="1B838E9A">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Ⅳ、每辆运输车司机在与客户签收完提货单后手机APP扫码产废单位二维码，如实填写承运人基本信息。</w:t>
      </w:r>
    </w:p>
    <w:p w14:paraId="49408B61">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 xml:space="preserve">Ⅴ、在承运甲方货物整个过程中，除驾驶人员外，专用车辆上应当另外配备押运人员，其应随身携带从业资格证，并对运输全过程进行监管。 </w:t>
      </w:r>
    </w:p>
    <w:p w14:paraId="5647B805">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5.2.3行车前必须检查车辆安全情况，随车附2条备用轮胎以及必须的消防设施，确保正常运输。配备倒车警报系统及倒车照明装置。进入甲方厂区内车辆必须佩戴防火罩。</w:t>
      </w:r>
    </w:p>
    <w:p w14:paraId="6326DD96">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 xml:space="preserve">5.2.4 运输途中需要停车住宿或者遇有无法正常运输的情况时，依法应当向当地公安部门报告。 </w:t>
      </w:r>
    </w:p>
    <w:p w14:paraId="69746B0B">
      <w:pPr>
        <w:pStyle w:val="42"/>
        <w:spacing w:line="400" w:lineRule="exact"/>
        <w:ind w:firstLine="433"/>
        <w:rPr>
          <w:rFonts w:hint="eastAsia" w:ascii="宋体" w:eastAsia="宋体" w:cs="宋体"/>
          <w:color w:val="auto"/>
          <w:sz w:val="21"/>
          <w:szCs w:val="21"/>
          <w:highlight w:val="none"/>
        </w:rPr>
      </w:pPr>
      <w:r>
        <w:rPr>
          <w:rFonts w:hint="eastAsia" w:ascii="宋体" w:eastAsia="宋体" w:cs="宋体"/>
          <w:color w:val="auto"/>
          <w:sz w:val="21"/>
          <w:szCs w:val="21"/>
          <w:highlight w:val="none"/>
        </w:rPr>
        <w:t>5.2.5 乙方承运车辆及人员到达目的地时，甲方收货人有权对其进行检查，对不符合上述要求，甲方有权提出限时整改，乙方应积极配合完成整改。</w:t>
      </w:r>
    </w:p>
    <w:p w14:paraId="31977D32">
      <w:pPr>
        <w:pStyle w:val="42"/>
        <w:spacing w:line="400" w:lineRule="exact"/>
        <w:ind w:firstLine="433"/>
        <w:rPr>
          <w:rFonts w:hint="eastAsia" w:ascii="宋体" w:eastAsia="宋体" w:cs="宋体"/>
          <w:color w:val="auto"/>
          <w:sz w:val="21"/>
          <w:szCs w:val="21"/>
          <w:highlight w:val="none"/>
        </w:rPr>
      </w:pPr>
      <w:r>
        <w:rPr>
          <w:rFonts w:hint="eastAsia" w:ascii="宋体" w:eastAsia="宋体" w:cs="宋体"/>
          <w:color w:val="auto"/>
          <w:sz w:val="21"/>
          <w:szCs w:val="21"/>
          <w:highlight w:val="none"/>
          <w:lang w:val="en-US" w:eastAsia="zh-CN"/>
        </w:rPr>
        <w:t>5.2.6</w:t>
      </w:r>
      <w:r>
        <w:rPr>
          <w:rFonts w:hint="eastAsia" w:ascii="宋体" w:eastAsia="宋体" w:cs="宋体"/>
          <w:color w:val="auto"/>
          <w:sz w:val="21"/>
          <w:szCs w:val="21"/>
          <w:highlight w:val="none"/>
        </w:rPr>
        <w:t>槽车</w:t>
      </w:r>
      <w:r>
        <w:rPr>
          <w:rFonts w:hint="eastAsia" w:ascii="宋体" w:eastAsia="宋体" w:cs="宋体"/>
          <w:color w:val="auto"/>
          <w:sz w:val="21"/>
          <w:szCs w:val="21"/>
          <w:highlight w:val="none"/>
          <w:lang w:val="en-US" w:eastAsia="zh-CN"/>
        </w:rPr>
        <w:t>标段</w:t>
      </w:r>
      <w:r>
        <w:rPr>
          <w:rFonts w:hint="eastAsia" w:ascii="宋体" w:eastAsia="宋体" w:cs="宋体"/>
          <w:color w:val="auto"/>
          <w:sz w:val="21"/>
          <w:szCs w:val="21"/>
          <w:highlight w:val="none"/>
        </w:rPr>
        <w:t>在为</w:t>
      </w:r>
      <w:r>
        <w:rPr>
          <w:rFonts w:hint="eastAsia" w:ascii="宋体" w:eastAsia="宋体" w:cs="宋体"/>
          <w:color w:val="auto"/>
          <w:sz w:val="21"/>
          <w:szCs w:val="21"/>
          <w:highlight w:val="none"/>
          <w:lang w:val="en-US" w:eastAsia="zh-CN"/>
        </w:rPr>
        <w:t>甲方</w:t>
      </w:r>
      <w:r>
        <w:rPr>
          <w:rFonts w:hint="eastAsia" w:ascii="宋体" w:eastAsia="宋体" w:cs="宋体"/>
          <w:color w:val="auto"/>
          <w:sz w:val="21"/>
          <w:szCs w:val="21"/>
          <w:highlight w:val="none"/>
        </w:rPr>
        <w:t>提供运输服务前后需要洗罐，确保罐体干净和干燥，洗罐费用</w:t>
      </w:r>
      <w:r>
        <w:rPr>
          <w:rFonts w:hint="eastAsia" w:ascii="宋体" w:eastAsia="宋体" w:cs="宋体"/>
          <w:color w:val="auto"/>
          <w:sz w:val="21"/>
          <w:szCs w:val="21"/>
          <w:highlight w:val="none"/>
          <w:lang w:val="en-US" w:eastAsia="zh-CN"/>
        </w:rPr>
        <w:t>乙方</w:t>
      </w:r>
      <w:r>
        <w:rPr>
          <w:rFonts w:hint="eastAsia" w:ascii="宋体" w:eastAsia="宋体" w:cs="宋体"/>
          <w:color w:val="auto"/>
          <w:sz w:val="21"/>
          <w:szCs w:val="21"/>
          <w:highlight w:val="none"/>
        </w:rPr>
        <w:t>自理，以确保提供服务时不因罐体残留物质造成安全隐患或者影响收运的罐体内货物品质。</w:t>
      </w:r>
    </w:p>
    <w:p w14:paraId="5493B502">
      <w:pPr>
        <w:pStyle w:val="42"/>
        <w:spacing w:line="400" w:lineRule="exact"/>
        <w:ind w:firstLine="433"/>
        <w:rPr>
          <w:rFonts w:hint="default" w:ascii="宋体" w:eastAsia="宋体" w:cs="宋体"/>
          <w:color w:val="auto"/>
          <w:sz w:val="21"/>
          <w:szCs w:val="21"/>
          <w:highlight w:val="none"/>
          <w:lang w:val="en-US" w:eastAsia="zh-CN"/>
        </w:rPr>
      </w:pPr>
      <w:r>
        <w:rPr>
          <w:rFonts w:hint="eastAsia" w:ascii="宋体" w:eastAsia="宋体" w:cs="宋体"/>
          <w:color w:val="auto"/>
          <w:sz w:val="21"/>
          <w:szCs w:val="21"/>
          <w:highlight w:val="none"/>
          <w:lang w:val="en-US" w:eastAsia="zh-CN"/>
        </w:rPr>
        <w:t>5.2.7乙方为深圳区域、广州区域承运人时，必须具备该城市内各限行区域的通行证，若交管部门变动限行区域，乙方需要承诺及时办理通行证，且不得因此拒绝提供服务。</w:t>
      </w:r>
    </w:p>
    <w:p w14:paraId="33B0D094">
      <w:pPr>
        <w:spacing w:line="400" w:lineRule="exact"/>
        <w:rPr>
          <w:b/>
          <w:bCs/>
          <w:color w:val="auto"/>
          <w:highlight w:val="none"/>
        </w:rPr>
      </w:pPr>
      <w:bookmarkStart w:id="848" w:name="_Toc22021"/>
      <w:bookmarkStart w:id="849" w:name="_Toc14696"/>
      <w:bookmarkStart w:id="850" w:name="_Toc5105"/>
      <w:bookmarkStart w:id="851" w:name="_Toc20080"/>
      <w:bookmarkStart w:id="852" w:name="_Toc14072"/>
      <w:bookmarkStart w:id="853" w:name="_Toc31318"/>
      <w:bookmarkStart w:id="854" w:name="_Toc12011"/>
      <w:r>
        <w:rPr>
          <w:rFonts w:hint="eastAsia"/>
          <w:b/>
          <w:bCs/>
          <w:color w:val="auto"/>
          <w:highlight w:val="none"/>
        </w:rPr>
        <w:t>第六条 转运注意事项</w:t>
      </w:r>
      <w:bookmarkEnd w:id="848"/>
      <w:bookmarkEnd w:id="849"/>
      <w:bookmarkEnd w:id="850"/>
      <w:bookmarkEnd w:id="851"/>
      <w:bookmarkEnd w:id="852"/>
      <w:bookmarkEnd w:id="853"/>
      <w:bookmarkEnd w:id="854"/>
    </w:p>
    <w:p w14:paraId="48FE7848">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6.1 甲乙双方必须严格执行《中华人民共和国固体废物污染环境防治法》的规定，本合同涉及的危险废物必须经环境保护行政主管部门批准及甲方同意后方可进行转移运输。</w:t>
      </w:r>
    </w:p>
    <w:p w14:paraId="386F5BD7">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6.2 甲乙双方交接危险废物时，必须认真执行《危险废物转移管理办法》的相关规定，甲方需协助甲方客户在“广东省固体废物环境监管信息平台”及时准确填写危险废物转移电子联单。</w:t>
      </w:r>
    </w:p>
    <w:p w14:paraId="68A19512">
      <w:pPr>
        <w:pStyle w:val="42"/>
        <w:spacing w:line="400" w:lineRule="exact"/>
        <w:ind w:firstLine="433"/>
        <w:rPr>
          <w:rFonts w:hint="eastAsia" w:ascii="宋体" w:eastAsia="宋体" w:cs="宋体"/>
          <w:color w:val="auto"/>
          <w:sz w:val="21"/>
          <w:szCs w:val="21"/>
          <w:highlight w:val="none"/>
        </w:rPr>
      </w:pPr>
      <w:r>
        <w:rPr>
          <w:rFonts w:hint="eastAsia" w:ascii="宋体" w:eastAsia="宋体" w:cs="宋体"/>
          <w:color w:val="auto"/>
          <w:sz w:val="21"/>
          <w:szCs w:val="21"/>
          <w:highlight w:val="none"/>
        </w:rPr>
        <w:t>6.3乙方的所有操作过程均应严格遵守相关法律法规如《危险货物运输包装通用技术条件》（GB12463-2009）等、国家环保和卫生要求、双方合同约定、采购人现场管理规定，确保安全。</w:t>
      </w:r>
    </w:p>
    <w:p w14:paraId="460B9E03">
      <w:pPr>
        <w:spacing w:line="400" w:lineRule="exact"/>
        <w:rPr>
          <w:rFonts w:hint="default" w:eastAsia="宋体"/>
          <w:b/>
          <w:bCs/>
          <w:color w:val="auto"/>
          <w:highlight w:val="none"/>
          <w:lang w:val="en-US" w:eastAsia="zh-CN"/>
        </w:rPr>
      </w:pPr>
      <w:bookmarkStart w:id="855" w:name="_Toc29975"/>
      <w:bookmarkStart w:id="856" w:name="_Toc4841"/>
      <w:bookmarkStart w:id="857" w:name="_Toc17455"/>
      <w:bookmarkStart w:id="858" w:name="_Toc31145"/>
      <w:bookmarkStart w:id="859" w:name="_Toc8581"/>
      <w:bookmarkStart w:id="860" w:name="_Toc13739"/>
      <w:bookmarkStart w:id="861" w:name="_Toc5780"/>
      <w:r>
        <w:rPr>
          <w:rFonts w:hint="eastAsia"/>
          <w:b/>
          <w:bCs/>
          <w:color w:val="auto"/>
          <w:highlight w:val="none"/>
        </w:rPr>
        <w:t xml:space="preserve">第七条 </w:t>
      </w:r>
      <w:r>
        <w:rPr>
          <w:rFonts w:hint="eastAsia"/>
          <w:b/>
          <w:bCs/>
          <w:color w:val="auto"/>
          <w:highlight w:val="none"/>
          <w:lang w:val="en-US" w:eastAsia="zh-CN"/>
        </w:rPr>
        <w:t>计费规则</w:t>
      </w:r>
    </w:p>
    <w:p w14:paraId="4F56293A">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7.1</w:t>
      </w:r>
      <w:r>
        <w:rPr>
          <w:rFonts w:hint="eastAsia" w:ascii="宋体" w:eastAsia="宋体" w:cs="宋体"/>
          <w:color w:val="auto"/>
          <w:sz w:val="21"/>
          <w:szCs w:val="21"/>
          <w:highlight w:val="none"/>
        </w:rPr>
        <w:t>货物的起运（装货）、到达（卸货）地及运输费用：</w:t>
      </w:r>
      <w:r>
        <w:rPr>
          <w:rFonts w:hint="eastAsia" w:ascii="宋体" w:eastAsia="宋体" w:cs="宋体"/>
          <w:b/>
          <w:bCs/>
          <w:color w:val="auto"/>
          <w:sz w:val="21"/>
          <w:szCs w:val="21"/>
          <w:highlight w:val="none"/>
        </w:rPr>
        <w:t>见</w:t>
      </w:r>
      <w:r>
        <w:rPr>
          <w:rFonts w:hint="eastAsia" w:ascii="宋体" w:eastAsia="宋体" w:cs="宋体"/>
          <w:b/>
          <w:bCs/>
          <w:color w:val="auto"/>
          <w:sz w:val="21"/>
          <w:szCs w:val="21"/>
          <w:highlight w:val="none"/>
          <w:lang w:val="en-US" w:eastAsia="zh-CN"/>
        </w:rPr>
        <w:t>合同</w:t>
      </w:r>
      <w:r>
        <w:rPr>
          <w:rFonts w:hint="eastAsia" w:ascii="宋体" w:eastAsia="宋体" w:cs="宋体"/>
          <w:b/>
          <w:bCs/>
          <w:color w:val="auto"/>
          <w:sz w:val="21"/>
          <w:szCs w:val="21"/>
          <w:highlight w:val="none"/>
        </w:rPr>
        <w:t>附件3《危险废物运输费单价表》</w:t>
      </w:r>
      <w:r>
        <w:rPr>
          <w:rFonts w:hint="eastAsia" w:ascii="宋体" w:eastAsia="宋体" w:cs="宋体"/>
          <w:color w:val="auto"/>
          <w:sz w:val="21"/>
          <w:szCs w:val="21"/>
          <w:highlight w:val="none"/>
        </w:rPr>
        <w:t>。</w:t>
      </w:r>
    </w:p>
    <w:p w14:paraId="0B0ABB38">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7.2</w:t>
      </w:r>
      <w:r>
        <w:rPr>
          <w:rFonts w:hint="eastAsia" w:ascii="宋体" w:eastAsia="宋体" w:cs="宋体"/>
          <w:color w:val="auto"/>
          <w:sz w:val="21"/>
          <w:szCs w:val="21"/>
          <w:highlight w:val="none"/>
        </w:rPr>
        <w:t>乙方在提供收运服务过程中发现甲方客户危险废物的包装或标识标签不符合要求时，应与甲方客户做必要沟通，如甲方客户无意配合，乙方应第一时间知会甲方，以便甲方及时与客户沟通及做出相应处理（承运、拒运或其它），乙方应予以配合。未经甲方同意，乙方不得从甲方客户处空车返回，否则甲方有权拒付该趟空车运输费用；乙方经甲方同意空车返回的，空车返回费用参照</w:t>
      </w:r>
      <w:r>
        <w:rPr>
          <w:rFonts w:hint="eastAsia" w:ascii="宋体" w:eastAsia="宋体" w:cs="宋体"/>
          <w:b/>
          <w:bCs/>
          <w:color w:val="auto"/>
          <w:sz w:val="21"/>
          <w:szCs w:val="21"/>
          <w:highlight w:val="none"/>
        </w:rPr>
        <w:t>、</w:t>
      </w:r>
      <w:r>
        <w:rPr>
          <w:rFonts w:hint="eastAsia" w:ascii="宋体" w:eastAsia="宋体" w:cs="宋体"/>
          <w:b/>
          <w:bCs/>
          <w:color w:val="auto"/>
          <w:sz w:val="21"/>
          <w:szCs w:val="21"/>
          <w:highlight w:val="none"/>
          <w:lang w:val="en-US" w:eastAsia="zh-CN"/>
        </w:rPr>
        <w:t>合同</w:t>
      </w:r>
      <w:r>
        <w:rPr>
          <w:rFonts w:hint="eastAsia" w:ascii="宋体" w:eastAsia="宋体" w:cs="宋体"/>
          <w:b/>
          <w:bCs/>
          <w:color w:val="auto"/>
          <w:sz w:val="21"/>
          <w:szCs w:val="21"/>
          <w:highlight w:val="none"/>
        </w:rPr>
        <w:t>附件4：《运输杂费及计费规则》</w:t>
      </w:r>
      <w:r>
        <w:rPr>
          <w:rFonts w:hint="eastAsia" w:ascii="宋体" w:eastAsia="宋体" w:cs="宋体"/>
          <w:color w:val="auto"/>
          <w:sz w:val="21"/>
          <w:szCs w:val="21"/>
          <w:highlight w:val="none"/>
        </w:rPr>
        <w:t>处理。</w:t>
      </w:r>
    </w:p>
    <w:p w14:paraId="7640A64D">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7.3</w:t>
      </w:r>
      <w:r>
        <w:rPr>
          <w:rFonts w:hint="eastAsia" w:ascii="宋体" w:eastAsia="宋体" w:cs="宋体"/>
          <w:color w:val="auto"/>
          <w:sz w:val="21"/>
          <w:szCs w:val="21"/>
          <w:highlight w:val="none"/>
        </w:rPr>
        <w:t>乙方工作人员（司机、押运人员）在甲方客户工厂提货时应严格遵守客户相关管理要求。同时，必须核对危险废物的种类、数量、包装、标识标签，在与客户交接时必须要求客户在</w:t>
      </w:r>
      <w:r>
        <w:rPr>
          <w:rFonts w:hint="eastAsia" w:ascii="宋体" w:eastAsia="宋体" w:cs="宋体"/>
          <w:b/>
          <w:bCs/>
          <w:color w:val="auto"/>
          <w:sz w:val="21"/>
          <w:szCs w:val="21"/>
          <w:highlight w:val="none"/>
          <w:lang w:val="en-US" w:eastAsia="zh-CN"/>
        </w:rPr>
        <w:t>合同</w:t>
      </w:r>
      <w:r>
        <w:rPr>
          <w:rFonts w:hint="eastAsia" w:ascii="宋体" w:eastAsia="宋体" w:cs="宋体"/>
          <w:b/>
          <w:bCs/>
          <w:color w:val="auto"/>
          <w:sz w:val="21"/>
          <w:szCs w:val="21"/>
          <w:highlight w:val="none"/>
        </w:rPr>
        <w:t>附件8《承运单》</w:t>
      </w:r>
      <w:r>
        <w:rPr>
          <w:rFonts w:hint="eastAsia" w:ascii="宋体" w:eastAsia="宋体" w:cs="宋体"/>
          <w:color w:val="auto"/>
          <w:sz w:val="21"/>
          <w:szCs w:val="21"/>
          <w:highlight w:val="none"/>
        </w:rPr>
        <w:t>上签名确认，如会额外产生装卸及其他费用，必须提前与甲方联系并解决（经甲方确认额外费用属实且必须时，按</w:t>
      </w:r>
      <w:r>
        <w:rPr>
          <w:rFonts w:hint="eastAsia" w:ascii="宋体" w:eastAsia="宋体" w:cs="宋体"/>
          <w:b/>
          <w:bCs/>
          <w:color w:val="auto"/>
          <w:sz w:val="21"/>
          <w:szCs w:val="21"/>
          <w:highlight w:val="none"/>
          <w:lang w:val="en-US" w:eastAsia="zh-CN"/>
        </w:rPr>
        <w:t>合同</w:t>
      </w:r>
      <w:r>
        <w:rPr>
          <w:rFonts w:hint="eastAsia" w:ascii="宋体" w:eastAsia="宋体" w:cs="宋体"/>
          <w:b/>
          <w:bCs/>
          <w:color w:val="auto"/>
          <w:sz w:val="21"/>
          <w:szCs w:val="21"/>
          <w:highlight w:val="none"/>
        </w:rPr>
        <w:t>附件4《运输杂费及计费规则》</w:t>
      </w:r>
      <w:r>
        <w:rPr>
          <w:rFonts w:hint="eastAsia" w:ascii="宋体" w:eastAsia="宋体" w:cs="宋体"/>
          <w:color w:val="auto"/>
          <w:sz w:val="21"/>
          <w:szCs w:val="21"/>
          <w:highlight w:val="none"/>
        </w:rPr>
        <w:t>、</w:t>
      </w:r>
      <w:r>
        <w:rPr>
          <w:rFonts w:hint="eastAsia" w:ascii="宋体" w:eastAsia="宋体" w:cs="宋体"/>
          <w:b/>
          <w:bCs/>
          <w:color w:val="auto"/>
          <w:sz w:val="21"/>
          <w:szCs w:val="21"/>
          <w:highlight w:val="none"/>
          <w:lang w:val="en-US" w:eastAsia="zh-CN"/>
        </w:rPr>
        <w:t>合同</w:t>
      </w:r>
      <w:r>
        <w:rPr>
          <w:rFonts w:hint="eastAsia" w:ascii="宋体" w:eastAsia="宋体" w:cs="宋体"/>
          <w:b/>
          <w:bCs/>
          <w:color w:val="auto"/>
          <w:sz w:val="21"/>
          <w:szCs w:val="21"/>
          <w:highlight w:val="none"/>
        </w:rPr>
        <w:t>附件</w:t>
      </w:r>
      <w:r>
        <w:rPr>
          <w:rFonts w:hint="eastAsia" w:ascii="宋体" w:eastAsia="宋体" w:cs="宋体"/>
          <w:b/>
          <w:bCs/>
          <w:color w:val="auto"/>
          <w:sz w:val="21"/>
          <w:szCs w:val="21"/>
          <w:highlight w:val="none"/>
          <w:lang w:val="en-US" w:eastAsia="zh-CN"/>
        </w:rPr>
        <w:t>7</w:t>
      </w:r>
      <w:r>
        <w:rPr>
          <w:rFonts w:hint="eastAsia" w:ascii="宋体" w:eastAsia="宋体" w:cs="宋体"/>
          <w:b/>
          <w:bCs/>
          <w:color w:val="auto"/>
          <w:sz w:val="21"/>
          <w:szCs w:val="21"/>
          <w:highlight w:val="none"/>
        </w:rPr>
        <w:t>《运输单位搬运费分级标准》</w:t>
      </w:r>
      <w:r>
        <w:rPr>
          <w:rFonts w:hint="eastAsia" w:ascii="宋体" w:eastAsia="宋体" w:cs="宋体"/>
          <w:color w:val="auto"/>
          <w:sz w:val="21"/>
          <w:szCs w:val="21"/>
          <w:highlight w:val="none"/>
        </w:rPr>
        <w:t>计费），否则甲方不予承认此费用。乙方在甲方客户作业不当或因乙方原因造成客户损失的，由乙方承担相关赔偿责任，甲方有权就损失在</w:t>
      </w:r>
      <w:r>
        <w:rPr>
          <w:rFonts w:hint="eastAsia" w:ascii="宋体" w:eastAsia="宋体" w:cs="宋体"/>
          <w:color w:val="auto"/>
          <w:sz w:val="21"/>
          <w:szCs w:val="21"/>
          <w:highlight w:val="none"/>
          <w:lang w:val="en-US" w:eastAsia="zh-CN"/>
        </w:rPr>
        <w:t>应</w:t>
      </w:r>
      <w:r>
        <w:rPr>
          <w:rFonts w:hint="eastAsia" w:ascii="宋体" w:eastAsia="宋体" w:cs="宋体"/>
          <w:color w:val="auto"/>
          <w:sz w:val="21"/>
          <w:szCs w:val="21"/>
          <w:highlight w:val="none"/>
        </w:rPr>
        <w:t>支付乙方的运输费用中予以扣除。</w:t>
      </w:r>
    </w:p>
    <w:p w14:paraId="4CB027A7">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7.4</w:t>
      </w:r>
      <w:r>
        <w:rPr>
          <w:rFonts w:hint="eastAsia" w:ascii="宋体" w:eastAsia="宋体" w:cs="宋体"/>
          <w:color w:val="auto"/>
          <w:sz w:val="21"/>
          <w:szCs w:val="21"/>
          <w:highlight w:val="none"/>
        </w:rPr>
        <w:t>乙方需严格遵守甲方相关要求，甲方有权进行考核，并对乙方进行处罚；对于违反相关要求的人员和行为，甲方有权对相关人员进行处罚。对于违反相关要求导致危害后果的，乙方需进行赔偿。相关要求详见</w:t>
      </w:r>
      <w:r>
        <w:rPr>
          <w:rFonts w:hint="eastAsia" w:ascii="宋体" w:eastAsia="宋体" w:cs="宋体"/>
          <w:b/>
          <w:bCs/>
          <w:color w:val="auto"/>
          <w:sz w:val="21"/>
          <w:szCs w:val="21"/>
          <w:highlight w:val="none"/>
          <w:lang w:val="en-US" w:eastAsia="zh-CN"/>
        </w:rPr>
        <w:t>合同</w:t>
      </w:r>
      <w:r>
        <w:rPr>
          <w:rFonts w:hint="eastAsia" w:ascii="宋体" w:eastAsia="宋体" w:cs="宋体"/>
          <w:b/>
          <w:bCs/>
          <w:color w:val="auto"/>
          <w:sz w:val="21"/>
          <w:szCs w:val="21"/>
          <w:highlight w:val="none"/>
        </w:rPr>
        <w:t>附件</w:t>
      </w:r>
      <w:r>
        <w:rPr>
          <w:rFonts w:hint="eastAsia" w:ascii="宋体" w:eastAsia="宋体" w:cs="宋体"/>
          <w:b/>
          <w:bCs/>
          <w:color w:val="auto"/>
          <w:sz w:val="21"/>
          <w:szCs w:val="21"/>
          <w:highlight w:val="none"/>
          <w:lang w:val="en-US" w:eastAsia="zh-CN"/>
        </w:rPr>
        <w:t>5</w:t>
      </w:r>
      <w:r>
        <w:rPr>
          <w:rFonts w:hint="eastAsia" w:ascii="宋体" w:eastAsia="宋体" w:cs="宋体"/>
          <w:b/>
          <w:bCs/>
          <w:color w:val="auto"/>
          <w:sz w:val="21"/>
          <w:szCs w:val="21"/>
          <w:highlight w:val="none"/>
        </w:rPr>
        <w:t>《东莞市新东欣环保投资有限公司承运单位违规行为处罚条款》</w:t>
      </w:r>
      <w:r>
        <w:rPr>
          <w:rFonts w:hint="eastAsia" w:ascii="宋体" w:eastAsia="宋体" w:cs="宋体"/>
          <w:color w:val="auto"/>
          <w:sz w:val="21"/>
          <w:szCs w:val="21"/>
          <w:highlight w:val="none"/>
        </w:rPr>
        <w:t>。甲方按季度对乙方进行季度评分考核，根据考核结果</w:t>
      </w:r>
      <w:r>
        <w:rPr>
          <w:rFonts w:hint="eastAsia" w:ascii="宋体" w:eastAsia="宋体" w:cs="宋体"/>
          <w:color w:val="auto"/>
          <w:sz w:val="21"/>
          <w:szCs w:val="21"/>
          <w:highlight w:val="none"/>
          <w:lang w:val="en-US" w:eastAsia="zh-CN"/>
        </w:rPr>
        <w:t>追究违约责任</w:t>
      </w:r>
      <w:r>
        <w:rPr>
          <w:rFonts w:hint="eastAsia" w:ascii="宋体" w:eastAsia="宋体" w:cs="宋体"/>
          <w:color w:val="auto"/>
          <w:sz w:val="21"/>
          <w:szCs w:val="21"/>
          <w:highlight w:val="none"/>
        </w:rPr>
        <w:t>，考核内容详见</w:t>
      </w:r>
      <w:r>
        <w:rPr>
          <w:rFonts w:hint="eastAsia" w:ascii="宋体" w:eastAsia="宋体" w:cs="宋体"/>
          <w:b/>
          <w:bCs/>
          <w:color w:val="auto"/>
          <w:sz w:val="21"/>
          <w:szCs w:val="21"/>
          <w:highlight w:val="none"/>
          <w:lang w:val="en-US" w:eastAsia="zh-CN"/>
        </w:rPr>
        <w:t>合同</w:t>
      </w:r>
      <w:r>
        <w:rPr>
          <w:rFonts w:hint="eastAsia" w:ascii="宋体" w:eastAsia="宋体" w:cs="宋体"/>
          <w:b/>
          <w:bCs/>
          <w:color w:val="auto"/>
          <w:sz w:val="21"/>
          <w:szCs w:val="21"/>
          <w:highlight w:val="none"/>
        </w:rPr>
        <w:t>附件6《运输商季度考核评分表》</w:t>
      </w:r>
      <w:r>
        <w:rPr>
          <w:rFonts w:hint="eastAsia" w:ascii="宋体" w:eastAsia="宋体" w:cs="宋体"/>
          <w:color w:val="auto"/>
          <w:sz w:val="21"/>
          <w:szCs w:val="21"/>
          <w:highlight w:val="none"/>
        </w:rPr>
        <w:t>。</w:t>
      </w:r>
    </w:p>
    <w:p w14:paraId="45AE240A">
      <w:pPr>
        <w:spacing w:line="400" w:lineRule="exact"/>
        <w:rPr>
          <w:b/>
          <w:bCs/>
          <w:color w:val="auto"/>
          <w:highlight w:val="none"/>
        </w:rPr>
      </w:pPr>
      <w:r>
        <w:rPr>
          <w:rFonts w:hint="eastAsia"/>
          <w:b/>
          <w:bCs/>
          <w:color w:val="auto"/>
          <w:highlight w:val="none"/>
        </w:rPr>
        <w:t>第</w:t>
      </w:r>
      <w:r>
        <w:rPr>
          <w:rFonts w:hint="eastAsia"/>
          <w:b/>
          <w:bCs/>
          <w:color w:val="auto"/>
          <w:highlight w:val="none"/>
          <w:lang w:val="en-US" w:eastAsia="zh-CN"/>
        </w:rPr>
        <w:t>八</w:t>
      </w:r>
      <w:r>
        <w:rPr>
          <w:rFonts w:hint="eastAsia"/>
          <w:b/>
          <w:bCs/>
          <w:color w:val="auto"/>
          <w:highlight w:val="none"/>
        </w:rPr>
        <w:t>条 结算方式</w:t>
      </w:r>
      <w:bookmarkEnd w:id="855"/>
      <w:bookmarkEnd w:id="856"/>
      <w:bookmarkEnd w:id="857"/>
      <w:bookmarkEnd w:id="858"/>
      <w:bookmarkEnd w:id="859"/>
      <w:bookmarkEnd w:id="860"/>
      <w:bookmarkEnd w:id="861"/>
    </w:p>
    <w:p w14:paraId="5F00AA19">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8</w:t>
      </w:r>
      <w:r>
        <w:rPr>
          <w:rFonts w:hint="eastAsia" w:ascii="宋体" w:eastAsia="宋体" w:cs="宋体"/>
          <w:color w:val="auto"/>
          <w:sz w:val="21"/>
          <w:szCs w:val="21"/>
          <w:highlight w:val="none"/>
        </w:rPr>
        <w:t>.1乙方在合同签订</w:t>
      </w:r>
      <w:r>
        <w:rPr>
          <w:rFonts w:hint="eastAsia" w:ascii="宋体" w:eastAsia="宋体" w:cs="宋体"/>
          <w:color w:val="auto"/>
          <w:sz w:val="21"/>
          <w:szCs w:val="21"/>
          <w:highlight w:val="none"/>
          <w:lang w:val="en-US" w:eastAsia="zh-CN"/>
        </w:rPr>
        <w:t>之日起10个工作日内</w:t>
      </w:r>
      <w:r>
        <w:rPr>
          <w:rFonts w:hint="eastAsia" w:ascii="宋体" w:eastAsia="宋体" w:cs="宋体"/>
          <w:color w:val="auto"/>
          <w:sz w:val="21"/>
          <w:szCs w:val="21"/>
          <w:highlight w:val="none"/>
        </w:rPr>
        <w:t>向甲方</w:t>
      </w:r>
      <w:r>
        <w:rPr>
          <w:rFonts w:hint="eastAsia" w:ascii="宋体" w:eastAsia="宋体" w:cs="宋体"/>
          <w:color w:val="auto"/>
          <w:sz w:val="21"/>
          <w:szCs w:val="21"/>
          <w:highlight w:val="none"/>
          <w:lang w:val="en-US" w:eastAsia="zh-CN"/>
        </w:rPr>
        <w:t>支付</w:t>
      </w:r>
      <w:r>
        <w:rPr>
          <w:rFonts w:hint="eastAsia" w:ascii="宋体" w:eastAsia="宋体" w:cs="宋体"/>
          <w:color w:val="auto"/>
          <w:sz w:val="21"/>
          <w:szCs w:val="21"/>
          <w:highlight w:val="none"/>
        </w:rPr>
        <w:t>金额为人民币</w:t>
      </w:r>
      <w:r>
        <w:rPr>
          <w:rFonts w:hint="eastAsia" w:ascii="宋体" w:eastAsia="宋体" w:cs="宋体"/>
          <w:color w:val="auto"/>
          <w:sz w:val="21"/>
          <w:szCs w:val="21"/>
          <w:highlight w:val="none"/>
          <w:u w:val="single"/>
        </w:rPr>
        <w:t xml:space="preserve">      </w:t>
      </w:r>
      <w:r>
        <w:rPr>
          <w:rFonts w:hint="eastAsia" w:ascii="宋体" w:eastAsia="宋体" w:cs="宋体"/>
          <w:color w:val="auto"/>
          <w:sz w:val="21"/>
          <w:szCs w:val="21"/>
          <w:highlight w:val="none"/>
        </w:rPr>
        <w:t>万元整（¥</w:t>
      </w:r>
      <w:r>
        <w:rPr>
          <w:rFonts w:hint="eastAsia" w:ascii="宋体" w:eastAsia="宋体" w:cs="宋体"/>
          <w:color w:val="auto"/>
          <w:sz w:val="21"/>
          <w:szCs w:val="21"/>
          <w:highlight w:val="none"/>
          <w:u w:val="single"/>
        </w:rPr>
        <w:t xml:space="preserve">       </w:t>
      </w:r>
      <w:r>
        <w:rPr>
          <w:rFonts w:hint="eastAsia" w:ascii="宋体" w:eastAsia="宋体" w:cs="宋体"/>
          <w:color w:val="auto"/>
          <w:sz w:val="21"/>
          <w:szCs w:val="21"/>
          <w:highlight w:val="none"/>
        </w:rPr>
        <w:t>.00）的履约保证金作为履行合同的担保，履约担保期限从合同签订之日起至</w:t>
      </w:r>
      <w:r>
        <w:rPr>
          <w:rFonts w:hint="eastAsia" w:ascii="宋体" w:eastAsia="宋体" w:cs="宋体"/>
          <w:color w:val="auto"/>
          <w:sz w:val="21"/>
          <w:szCs w:val="21"/>
          <w:highlight w:val="none"/>
          <w:lang w:val="en-US" w:eastAsia="zh-CN"/>
        </w:rPr>
        <w:t>合同期满日</w:t>
      </w:r>
      <w:r>
        <w:rPr>
          <w:rFonts w:hint="eastAsia" w:ascii="宋体" w:eastAsia="宋体" w:cs="宋体"/>
          <w:color w:val="auto"/>
          <w:sz w:val="21"/>
          <w:szCs w:val="21"/>
          <w:highlight w:val="none"/>
        </w:rPr>
        <w:t>止。乙方逾期</w:t>
      </w:r>
      <w:r>
        <w:rPr>
          <w:rFonts w:hint="eastAsia" w:ascii="宋体" w:eastAsia="宋体" w:cs="宋体"/>
          <w:color w:val="auto"/>
          <w:sz w:val="21"/>
          <w:szCs w:val="21"/>
          <w:highlight w:val="none"/>
          <w:lang w:val="en-US" w:eastAsia="zh-CN"/>
        </w:rPr>
        <w:t>支付</w:t>
      </w:r>
      <w:r>
        <w:rPr>
          <w:rFonts w:hint="eastAsia" w:ascii="宋体" w:eastAsia="宋体" w:cs="宋体"/>
          <w:color w:val="auto"/>
          <w:sz w:val="21"/>
          <w:szCs w:val="21"/>
          <w:highlight w:val="none"/>
        </w:rPr>
        <w:t>履约保证金</w:t>
      </w:r>
      <w:r>
        <w:rPr>
          <w:rFonts w:hint="eastAsia" w:ascii="宋体" w:eastAsia="宋体" w:cs="宋体"/>
          <w:color w:val="auto"/>
          <w:sz w:val="21"/>
          <w:szCs w:val="21"/>
          <w:highlight w:val="none"/>
          <w:lang w:val="en-US" w:eastAsia="zh-CN"/>
        </w:rPr>
        <w:t>的，</w:t>
      </w:r>
      <w:r>
        <w:rPr>
          <w:rFonts w:hint="eastAsia" w:ascii="宋体" w:eastAsia="宋体" w:cs="宋体"/>
          <w:color w:val="auto"/>
          <w:sz w:val="21"/>
          <w:szCs w:val="21"/>
          <w:highlight w:val="none"/>
        </w:rPr>
        <w:t>应按履约保证金总额1‰/天向甲方支付违约金，逾期达30天，甲方有权解除合同并按合同约定追究乙方违约责任。合同期满后，乙方不存在合同约定违约情形，或虽有违约行为但已按甲方要求整改到位的，甲方在扣除应当由乙方承担的违约金、赔偿金等后，甲方一次性无息退还剩余的履约保证金</w:t>
      </w:r>
      <w:r>
        <w:rPr>
          <w:rFonts w:hint="eastAsia" w:ascii="宋体" w:eastAsia="宋体" w:cs="宋体"/>
          <w:color w:val="auto"/>
          <w:sz w:val="21"/>
          <w:szCs w:val="21"/>
          <w:highlight w:val="none"/>
          <w:lang w:val="en-US" w:eastAsia="zh-CN"/>
        </w:rPr>
        <w:t>给乙方</w:t>
      </w:r>
      <w:r>
        <w:rPr>
          <w:rFonts w:hint="eastAsia" w:ascii="宋体" w:eastAsia="宋体" w:cs="宋体"/>
          <w:color w:val="auto"/>
          <w:sz w:val="21"/>
          <w:szCs w:val="21"/>
          <w:highlight w:val="none"/>
        </w:rPr>
        <w:t>。</w:t>
      </w:r>
    </w:p>
    <w:p w14:paraId="2FDCDA53">
      <w:pPr>
        <w:pStyle w:val="42"/>
        <w:spacing w:line="400" w:lineRule="exact"/>
        <w:ind w:firstLine="433"/>
        <w:rPr>
          <w:rFonts w:hint="eastAsia" w:ascii="宋体" w:eastAsia="宋体" w:cs="宋体"/>
          <w:color w:val="auto"/>
          <w:sz w:val="21"/>
          <w:szCs w:val="21"/>
          <w:highlight w:val="none"/>
          <w:lang w:eastAsia="zh-CN"/>
        </w:rPr>
      </w:pPr>
      <w:r>
        <w:rPr>
          <w:rFonts w:hint="eastAsia" w:ascii="宋体" w:eastAsia="宋体" w:cs="宋体"/>
          <w:color w:val="auto"/>
          <w:sz w:val="21"/>
          <w:szCs w:val="21"/>
          <w:highlight w:val="none"/>
          <w:lang w:val="en-US" w:eastAsia="zh-CN"/>
        </w:rPr>
        <w:t>8</w:t>
      </w:r>
      <w:r>
        <w:rPr>
          <w:rFonts w:hint="eastAsia" w:ascii="宋体" w:eastAsia="宋体" w:cs="宋体"/>
          <w:color w:val="auto"/>
          <w:sz w:val="21"/>
          <w:szCs w:val="21"/>
          <w:highlight w:val="none"/>
        </w:rPr>
        <w:t>.2</w:t>
      </w:r>
      <w:r>
        <w:rPr>
          <w:rFonts w:hint="eastAsia" w:ascii="宋体" w:eastAsia="宋体" w:cs="宋体"/>
          <w:b/>
          <w:bCs/>
          <w:color w:val="auto"/>
          <w:sz w:val="21"/>
          <w:szCs w:val="21"/>
          <w:highlight w:val="none"/>
          <w:lang w:val="en-US" w:eastAsia="zh-CN"/>
        </w:rPr>
        <w:t>合同</w:t>
      </w:r>
      <w:r>
        <w:rPr>
          <w:rFonts w:hint="eastAsia" w:ascii="宋体" w:eastAsia="宋体" w:cs="宋体"/>
          <w:b/>
          <w:bCs/>
          <w:color w:val="auto"/>
          <w:sz w:val="21"/>
          <w:szCs w:val="21"/>
          <w:highlight w:val="none"/>
        </w:rPr>
        <w:t>附件3《危险废物运输费单价表》</w:t>
      </w:r>
      <w:r>
        <w:rPr>
          <w:rFonts w:hint="eastAsia" w:ascii="宋体" w:eastAsia="宋体" w:cs="宋体"/>
          <w:color w:val="auto"/>
          <w:sz w:val="21"/>
          <w:szCs w:val="21"/>
          <w:highlight w:val="none"/>
        </w:rPr>
        <w:t>报价为含税价，包括本次采购所有服务内容的费用</w:t>
      </w:r>
      <w:r>
        <w:rPr>
          <w:rFonts w:hint="eastAsia" w:ascii="宋体" w:eastAsia="宋体" w:cs="宋体"/>
          <w:color w:val="auto"/>
          <w:sz w:val="21"/>
          <w:szCs w:val="21"/>
          <w:highlight w:val="none"/>
          <w:lang w:eastAsia="zh-CN"/>
        </w:rPr>
        <w:t>，</w:t>
      </w:r>
      <w:r>
        <w:rPr>
          <w:rFonts w:hint="eastAsia" w:ascii="宋体" w:eastAsia="宋体" w:cs="宋体"/>
          <w:color w:val="auto"/>
          <w:sz w:val="21"/>
          <w:szCs w:val="21"/>
          <w:highlight w:val="none"/>
        </w:rPr>
        <w:t>包括但不限于人工、油料、保险（含人员及车辆保险等）、车辆维修保养、成本、利润、措施费、税费及合同实施过程中的不可预见费用等全部费用</w:t>
      </w:r>
      <w:r>
        <w:rPr>
          <w:rFonts w:hint="eastAsia" w:ascii="宋体" w:eastAsia="宋体" w:cs="宋体"/>
          <w:color w:val="auto"/>
          <w:sz w:val="21"/>
          <w:szCs w:val="21"/>
          <w:highlight w:val="none"/>
          <w:lang w:eastAsia="zh-CN"/>
        </w:rPr>
        <w:t>，</w:t>
      </w:r>
      <w:r>
        <w:rPr>
          <w:rFonts w:hint="eastAsia" w:ascii="宋体" w:eastAsia="宋体" w:cs="宋体"/>
          <w:color w:val="auto"/>
          <w:sz w:val="21"/>
          <w:szCs w:val="21"/>
          <w:highlight w:val="none"/>
        </w:rPr>
        <w:t>但不含运输杂费及搬运费等，运输杂费及搬运费根据</w:t>
      </w:r>
      <w:r>
        <w:rPr>
          <w:rFonts w:hint="eastAsia" w:ascii="宋体" w:eastAsia="宋体" w:cs="宋体"/>
          <w:b w:val="0"/>
          <w:bCs w:val="0"/>
          <w:color w:val="auto"/>
          <w:sz w:val="21"/>
          <w:szCs w:val="21"/>
          <w:highlight w:val="none"/>
          <w:lang w:val="en-US" w:eastAsia="zh-CN"/>
        </w:rPr>
        <w:t>合同</w:t>
      </w:r>
      <w:r>
        <w:rPr>
          <w:rFonts w:hint="eastAsia" w:ascii="宋体" w:eastAsia="宋体" w:cs="宋体"/>
          <w:color w:val="auto"/>
          <w:sz w:val="21"/>
          <w:szCs w:val="21"/>
          <w:highlight w:val="none"/>
        </w:rPr>
        <w:t>附件</w:t>
      </w:r>
      <w:r>
        <w:rPr>
          <w:rFonts w:hint="eastAsia" w:ascii="宋体" w:eastAsia="宋体" w:cs="宋体"/>
          <w:color w:val="auto"/>
          <w:sz w:val="21"/>
          <w:szCs w:val="21"/>
          <w:highlight w:val="none"/>
          <w:lang w:val="en-US" w:eastAsia="zh-CN"/>
        </w:rPr>
        <w:t>4</w:t>
      </w:r>
      <w:r>
        <w:rPr>
          <w:rFonts w:hint="eastAsia" w:ascii="宋体" w:eastAsia="宋体" w:cs="宋体"/>
          <w:color w:val="auto"/>
          <w:sz w:val="21"/>
          <w:szCs w:val="21"/>
          <w:highlight w:val="none"/>
        </w:rPr>
        <w:t>《运输杂费及计费规则》和</w:t>
      </w:r>
      <w:r>
        <w:rPr>
          <w:rFonts w:hint="eastAsia" w:ascii="宋体" w:eastAsia="宋体" w:cs="宋体"/>
          <w:b w:val="0"/>
          <w:bCs w:val="0"/>
          <w:color w:val="auto"/>
          <w:sz w:val="21"/>
          <w:szCs w:val="21"/>
          <w:highlight w:val="none"/>
          <w:lang w:val="en-US" w:eastAsia="zh-CN"/>
        </w:rPr>
        <w:t>合同</w:t>
      </w:r>
      <w:r>
        <w:rPr>
          <w:rFonts w:hint="eastAsia" w:ascii="宋体" w:eastAsia="宋体" w:cs="宋体"/>
          <w:color w:val="auto"/>
          <w:sz w:val="21"/>
          <w:szCs w:val="21"/>
          <w:highlight w:val="none"/>
        </w:rPr>
        <w:t>附件</w:t>
      </w:r>
      <w:r>
        <w:rPr>
          <w:rFonts w:hint="eastAsia" w:ascii="宋体" w:eastAsia="宋体" w:cs="宋体"/>
          <w:color w:val="auto"/>
          <w:sz w:val="21"/>
          <w:szCs w:val="21"/>
          <w:highlight w:val="none"/>
          <w:lang w:val="en-US" w:eastAsia="zh-CN"/>
        </w:rPr>
        <w:t>7</w:t>
      </w:r>
      <w:r>
        <w:rPr>
          <w:rFonts w:hint="eastAsia" w:ascii="宋体" w:eastAsia="宋体" w:cs="宋体"/>
          <w:color w:val="auto"/>
          <w:sz w:val="21"/>
          <w:szCs w:val="21"/>
          <w:highlight w:val="none"/>
        </w:rPr>
        <w:t>《运输单位搬运费分级标准》据实结算</w:t>
      </w:r>
      <w:r>
        <w:rPr>
          <w:rFonts w:hint="eastAsia" w:ascii="宋体" w:eastAsia="宋体" w:cs="宋体"/>
          <w:color w:val="auto"/>
          <w:sz w:val="21"/>
          <w:szCs w:val="21"/>
          <w:highlight w:val="none"/>
          <w:lang w:eastAsia="zh-CN"/>
        </w:rPr>
        <w:t>。</w:t>
      </w:r>
    </w:p>
    <w:p w14:paraId="64F1BA6A">
      <w:pPr>
        <w:pStyle w:val="42"/>
        <w:spacing w:line="400" w:lineRule="exact"/>
        <w:ind w:firstLine="433"/>
        <w:rPr>
          <w:rFonts w:hint="eastAsia" w:ascii="宋体" w:eastAsia="宋体" w:cs="宋体"/>
          <w:color w:val="auto"/>
          <w:sz w:val="21"/>
          <w:szCs w:val="21"/>
          <w:highlight w:val="none"/>
        </w:rPr>
      </w:pPr>
      <w:r>
        <w:rPr>
          <w:rFonts w:hint="eastAsia" w:ascii="宋体" w:eastAsia="宋体" w:cs="宋体"/>
          <w:color w:val="auto"/>
          <w:sz w:val="21"/>
          <w:szCs w:val="21"/>
          <w:highlight w:val="none"/>
          <w:lang w:val="en-US" w:eastAsia="zh-CN"/>
        </w:rPr>
        <w:t>8</w:t>
      </w:r>
      <w:r>
        <w:rPr>
          <w:rFonts w:hint="eastAsia" w:ascii="宋体" w:eastAsia="宋体" w:cs="宋体"/>
          <w:color w:val="auto"/>
          <w:sz w:val="21"/>
          <w:szCs w:val="21"/>
          <w:highlight w:val="none"/>
        </w:rPr>
        <w:t>.3结算方法：</w:t>
      </w:r>
    </w:p>
    <w:p w14:paraId="73D77FE4">
      <w:pPr>
        <w:pStyle w:val="42"/>
        <w:spacing w:line="400" w:lineRule="exact"/>
        <w:ind w:firstLine="433"/>
        <w:rPr>
          <w:rFonts w:hint="eastAsia" w:ascii="宋体" w:eastAsia="宋体" w:cs="宋体"/>
          <w:color w:val="auto"/>
          <w:sz w:val="21"/>
          <w:szCs w:val="21"/>
          <w:highlight w:val="none"/>
        </w:rPr>
      </w:pPr>
      <w:r>
        <w:rPr>
          <w:rFonts w:hint="eastAsia" w:ascii="宋体" w:eastAsia="宋体" w:cs="宋体"/>
          <w:color w:val="auto"/>
          <w:sz w:val="21"/>
          <w:szCs w:val="21"/>
          <w:highlight w:val="none"/>
          <w:lang w:val="en-US" w:eastAsia="zh-CN"/>
        </w:rPr>
        <w:t>8.3.1</w:t>
      </w:r>
      <w:r>
        <w:rPr>
          <w:rFonts w:hint="eastAsia" w:ascii="宋体" w:eastAsia="宋体" w:cs="宋体"/>
          <w:color w:val="auto"/>
          <w:sz w:val="21"/>
          <w:szCs w:val="21"/>
          <w:highlight w:val="none"/>
        </w:rPr>
        <w:t>按月结算，甲方以</w:t>
      </w:r>
      <w:r>
        <w:rPr>
          <w:rFonts w:hint="eastAsia" w:ascii="宋体" w:eastAsia="宋体" w:cs="宋体"/>
          <w:b w:val="0"/>
          <w:bCs w:val="0"/>
          <w:color w:val="auto"/>
          <w:sz w:val="21"/>
          <w:szCs w:val="21"/>
          <w:highlight w:val="none"/>
          <w:lang w:val="en-US" w:eastAsia="zh-CN"/>
        </w:rPr>
        <w:t>合同</w:t>
      </w:r>
      <w:r>
        <w:rPr>
          <w:rFonts w:hint="eastAsia" w:ascii="宋体" w:eastAsia="宋体" w:cs="宋体"/>
          <w:color w:val="auto"/>
          <w:sz w:val="21"/>
          <w:szCs w:val="21"/>
          <w:highlight w:val="none"/>
        </w:rPr>
        <w:t>附件3《危险废物运输费单价表》为计费基准，结合当月实际各区域、车型、派出车次的情况，根据</w:t>
      </w:r>
      <w:r>
        <w:rPr>
          <w:rFonts w:hint="eastAsia" w:ascii="宋体" w:eastAsia="宋体" w:cs="宋体"/>
          <w:b w:val="0"/>
          <w:bCs w:val="0"/>
          <w:color w:val="auto"/>
          <w:sz w:val="21"/>
          <w:szCs w:val="21"/>
          <w:highlight w:val="none"/>
          <w:lang w:val="en-US" w:eastAsia="zh-CN"/>
        </w:rPr>
        <w:t>合同</w:t>
      </w:r>
      <w:r>
        <w:rPr>
          <w:rFonts w:hint="eastAsia" w:ascii="宋体" w:eastAsia="宋体" w:cs="宋体"/>
          <w:color w:val="auto"/>
          <w:sz w:val="21"/>
          <w:szCs w:val="21"/>
          <w:highlight w:val="none"/>
        </w:rPr>
        <w:t>附件4《运输杂费及计费规则》、</w:t>
      </w:r>
      <w:r>
        <w:rPr>
          <w:rFonts w:hint="eastAsia" w:ascii="宋体" w:eastAsia="宋体" w:cs="宋体"/>
          <w:b w:val="0"/>
          <w:bCs w:val="0"/>
          <w:color w:val="auto"/>
          <w:sz w:val="21"/>
          <w:szCs w:val="21"/>
          <w:highlight w:val="none"/>
          <w:lang w:val="en-US" w:eastAsia="zh-CN"/>
        </w:rPr>
        <w:t>合同</w:t>
      </w:r>
      <w:r>
        <w:rPr>
          <w:rFonts w:hint="eastAsia" w:ascii="宋体" w:eastAsia="宋体" w:cs="宋体"/>
          <w:color w:val="auto"/>
          <w:sz w:val="21"/>
          <w:szCs w:val="21"/>
          <w:highlight w:val="none"/>
        </w:rPr>
        <w:t>附件</w:t>
      </w:r>
      <w:r>
        <w:rPr>
          <w:rFonts w:hint="eastAsia" w:ascii="宋体" w:eastAsia="宋体" w:cs="宋体"/>
          <w:color w:val="auto"/>
          <w:sz w:val="21"/>
          <w:szCs w:val="21"/>
          <w:highlight w:val="none"/>
          <w:lang w:val="en-US" w:eastAsia="zh-CN"/>
        </w:rPr>
        <w:t>7</w:t>
      </w:r>
      <w:r>
        <w:rPr>
          <w:rFonts w:hint="eastAsia" w:ascii="宋体" w:eastAsia="宋体" w:cs="宋体"/>
          <w:color w:val="auto"/>
          <w:sz w:val="21"/>
          <w:szCs w:val="21"/>
          <w:highlight w:val="none"/>
        </w:rPr>
        <w:t>《运输单位搬运费分级标准》据实核算相应的运输杂费等，并扣除</w:t>
      </w:r>
      <w:r>
        <w:rPr>
          <w:rFonts w:hint="eastAsia" w:ascii="宋体" w:eastAsia="宋体" w:cs="宋体"/>
          <w:b w:val="0"/>
          <w:bCs w:val="0"/>
          <w:color w:val="auto"/>
          <w:sz w:val="21"/>
          <w:szCs w:val="21"/>
          <w:highlight w:val="none"/>
          <w:lang w:val="en-US" w:eastAsia="zh-CN"/>
        </w:rPr>
        <w:t>合同</w:t>
      </w:r>
      <w:r>
        <w:rPr>
          <w:rFonts w:hint="eastAsia" w:ascii="宋体" w:eastAsia="宋体" w:cs="宋体"/>
          <w:color w:val="auto"/>
          <w:sz w:val="21"/>
          <w:szCs w:val="21"/>
          <w:highlight w:val="none"/>
        </w:rPr>
        <w:t>附件</w:t>
      </w:r>
      <w:r>
        <w:rPr>
          <w:rFonts w:hint="eastAsia" w:ascii="宋体" w:eastAsia="宋体" w:cs="宋体"/>
          <w:color w:val="auto"/>
          <w:sz w:val="21"/>
          <w:szCs w:val="21"/>
          <w:highlight w:val="none"/>
          <w:lang w:val="en-US" w:eastAsia="zh-CN"/>
        </w:rPr>
        <w:t>5</w:t>
      </w:r>
      <w:r>
        <w:rPr>
          <w:rFonts w:hint="eastAsia" w:ascii="宋体" w:eastAsia="宋体" w:cs="宋体"/>
          <w:color w:val="auto"/>
          <w:sz w:val="21"/>
          <w:szCs w:val="21"/>
          <w:highlight w:val="none"/>
        </w:rPr>
        <w:t>《东莞市新东欣环保投资有限公司承运单位违规行为处罚条款》</w:t>
      </w:r>
      <w:r>
        <w:rPr>
          <w:rFonts w:hint="eastAsia" w:ascii="宋体" w:eastAsia="宋体" w:cs="宋体"/>
          <w:color w:val="auto"/>
          <w:sz w:val="21"/>
          <w:szCs w:val="21"/>
          <w:highlight w:val="none"/>
          <w:lang w:val="en-US" w:eastAsia="zh-CN"/>
        </w:rPr>
        <w:t>违约金</w:t>
      </w:r>
      <w:r>
        <w:rPr>
          <w:rFonts w:hint="eastAsia" w:ascii="宋体" w:eastAsia="宋体" w:cs="宋体"/>
          <w:color w:val="auto"/>
          <w:sz w:val="21"/>
          <w:szCs w:val="21"/>
          <w:highlight w:val="none"/>
        </w:rPr>
        <w:t>，经甲方和乙方核实无误后，计算出当月实际结算费用，即当月实际产生运输费用+运输杂费-</w:t>
      </w:r>
      <w:r>
        <w:rPr>
          <w:rFonts w:hint="eastAsia" w:ascii="宋体" w:eastAsia="宋体" w:cs="宋体"/>
          <w:color w:val="auto"/>
          <w:sz w:val="21"/>
          <w:szCs w:val="21"/>
          <w:highlight w:val="none"/>
          <w:lang w:val="en-US" w:eastAsia="zh-CN"/>
        </w:rPr>
        <w:t>违约金</w:t>
      </w:r>
      <w:r>
        <w:rPr>
          <w:rFonts w:hint="eastAsia" w:ascii="宋体" w:eastAsia="宋体" w:cs="宋体"/>
          <w:color w:val="auto"/>
          <w:sz w:val="21"/>
          <w:szCs w:val="21"/>
          <w:highlight w:val="none"/>
        </w:rPr>
        <w:t>=当月实际结算费用。</w:t>
      </w:r>
    </w:p>
    <w:p w14:paraId="1D4AE530">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8.3.2甲方</w:t>
      </w:r>
      <w:r>
        <w:rPr>
          <w:rFonts w:hint="eastAsia" w:ascii="宋体" w:eastAsia="宋体" w:cs="宋体"/>
          <w:color w:val="auto"/>
          <w:sz w:val="21"/>
          <w:szCs w:val="21"/>
          <w:highlight w:val="none"/>
        </w:rPr>
        <w:t>按季度对</w:t>
      </w:r>
      <w:r>
        <w:rPr>
          <w:rFonts w:hint="eastAsia" w:ascii="宋体" w:eastAsia="宋体" w:cs="宋体"/>
          <w:color w:val="auto"/>
          <w:sz w:val="21"/>
          <w:szCs w:val="21"/>
          <w:highlight w:val="none"/>
          <w:lang w:val="en-US" w:eastAsia="zh-CN"/>
        </w:rPr>
        <w:t>乙方</w:t>
      </w:r>
      <w:r>
        <w:rPr>
          <w:rFonts w:hint="eastAsia" w:ascii="宋体" w:eastAsia="宋体" w:cs="宋体"/>
          <w:color w:val="auto"/>
          <w:sz w:val="21"/>
          <w:szCs w:val="21"/>
          <w:highlight w:val="none"/>
        </w:rPr>
        <w:t>进行季度评分考核，根据考核结果进行处罚，考核内容详见《运输商季度考核评分表》。</w:t>
      </w:r>
    </w:p>
    <w:p w14:paraId="13BF4D3C">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8</w:t>
      </w:r>
      <w:r>
        <w:rPr>
          <w:rFonts w:ascii="宋体" w:eastAsia="宋体" w:cs="宋体"/>
          <w:color w:val="auto"/>
          <w:sz w:val="21"/>
          <w:szCs w:val="21"/>
          <w:highlight w:val="none"/>
        </w:rPr>
        <w:t xml:space="preserve">.4 </w:t>
      </w:r>
      <w:r>
        <w:rPr>
          <w:rFonts w:hint="eastAsia" w:ascii="宋体" w:eastAsia="宋体" w:cs="宋体"/>
          <w:color w:val="auto"/>
          <w:sz w:val="21"/>
          <w:szCs w:val="21"/>
          <w:highlight w:val="none"/>
        </w:rPr>
        <w:t>付款方式：①按月对账，乙方每月26日提交</w:t>
      </w:r>
      <w:r>
        <w:rPr>
          <w:rFonts w:hint="eastAsia" w:ascii="宋体" w:eastAsia="宋体" w:cs="宋体"/>
          <w:color w:val="auto"/>
          <w:sz w:val="21"/>
          <w:szCs w:val="21"/>
          <w:highlight w:val="none"/>
          <w:lang w:val="en-US" w:eastAsia="zh-CN"/>
        </w:rPr>
        <w:t>当</w:t>
      </w:r>
      <w:r>
        <w:rPr>
          <w:rFonts w:hint="eastAsia" w:ascii="宋体" w:eastAsia="宋体" w:cs="宋体"/>
          <w:color w:val="auto"/>
          <w:sz w:val="21"/>
          <w:szCs w:val="21"/>
          <w:highlight w:val="none"/>
        </w:rPr>
        <w:t>月（上月26日至本月25日）运费对账单及对应承运单等凭证发出请款需求，甲方收到上述请款资料在10个工作日内进行核实，双方确认无误后，乙方在5个工作日内开出9%增值税专用服务发票。②甲方在收到</w:t>
      </w:r>
      <w:r>
        <w:rPr>
          <w:rFonts w:hint="eastAsia" w:ascii="宋体" w:eastAsia="宋体" w:cs="宋体"/>
          <w:color w:val="auto"/>
          <w:sz w:val="21"/>
          <w:szCs w:val="21"/>
          <w:highlight w:val="none"/>
          <w:lang w:val="en-US" w:eastAsia="zh-CN"/>
        </w:rPr>
        <w:t>乙方</w:t>
      </w:r>
      <w:r>
        <w:rPr>
          <w:rFonts w:hint="eastAsia" w:ascii="宋体" w:eastAsia="宋体" w:cs="宋体"/>
          <w:color w:val="auto"/>
          <w:sz w:val="21"/>
          <w:szCs w:val="21"/>
          <w:highlight w:val="none"/>
        </w:rPr>
        <w:t>发票后十五个工作</w:t>
      </w:r>
      <w:r>
        <w:rPr>
          <w:rFonts w:hint="eastAsia" w:ascii="宋体" w:eastAsia="宋体" w:cs="宋体"/>
          <w:color w:val="auto"/>
          <w:sz w:val="21"/>
          <w:szCs w:val="21"/>
          <w:highlight w:val="none"/>
          <w:lang w:val="en-US" w:eastAsia="zh-CN"/>
        </w:rPr>
        <w:t>日</w:t>
      </w:r>
      <w:r>
        <w:rPr>
          <w:rFonts w:hint="eastAsia" w:ascii="宋体" w:eastAsia="宋体" w:cs="宋体"/>
          <w:color w:val="auto"/>
          <w:sz w:val="21"/>
          <w:szCs w:val="21"/>
          <w:highlight w:val="none"/>
        </w:rPr>
        <w:t>内将运输服务费支付给乙方。支付方式仅限于双方签约运输服务合同所列公司银行账号进行公对公银行转账。</w:t>
      </w:r>
    </w:p>
    <w:p w14:paraId="1D285DDB">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8</w:t>
      </w:r>
      <w:r>
        <w:rPr>
          <w:rFonts w:hint="eastAsia" w:ascii="宋体" w:eastAsia="宋体" w:cs="宋体"/>
          <w:color w:val="auto"/>
          <w:sz w:val="21"/>
          <w:szCs w:val="21"/>
          <w:highlight w:val="none"/>
        </w:rPr>
        <w:t>.</w:t>
      </w:r>
      <w:r>
        <w:rPr>
          <w:rFonts w:ascii="宋体" w:eastAsia="宋体" w:cs="宋体"/>
          <w:color w:val="auto"/>
          <w:sz w:val="21"/>
          <w:szCs w:val="21"/>
          <w:highlight w:val="none"/>
        </w:rPr>
        <w:t>5</w:t>
      </w:r>
      <w:r>
        <w:rPr>
          <w:rFonts w:hint="eastAsia" w:ascii="宋体" w:eastAsia="宋体" w:cs="宋体"/>
          <w:color w:val="auto"/>
          <w:sz w:val="21"/>
          <w:szCs w:val="21"/>
          <w:highlight w:val="none"/>
        </w:rPr>
        <w:t xml:space="preserve"> 乙方指定以下银行账户作为收款账户：</w:t>
      </w:r>
    </w:p>
    <w:p w14:paraId="27CBD28D">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 xml:space="preserve">开户名： </w:t>
      </w:r>
    </w:p>
    <w:p w14:paraId="44D88C14">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 xml:space="preserve">开户行： </w:t>
      </w:r>
    </w:p>
    <w:p w14:paraId="787C103B">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账  号：</w:t>
      </w:r>
    </w:p>
    <w:p w14:paraId="6D2CB7FE">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 xml:space="preserve">行  号： </w:t>
      </w:r>
    </w:p>
    <w:p w14:paraId="2B8F9A0F">
      <w:pPr>
        <w:spacing w:line="400" w:lineRule="exact"/>
        <w:rPr>
          <w:b/>
          <w:bCs/>
          <w:color w:val="auto"/>
          <w:highlight w:val="none"/>
        </w:rPr>
      </w:pPr>
      <w:bookmarkStart w:id="862" w:name="_Toc7275"/>
      <w:bookmarkStart w:id="863" w:name="_Toc23797"/>
      <w:bookmarkStart w:id="864" w:name="_Toc11658"/>
      <w:bookmarkStart w:id="865" w:name="_Toc22853"/>
      <w:bookmarkStart w:id="866" w:name="_Toc816"/>
      <w:bookmarkStart w:id="867" w:name="_Toc27748"/>
      <w:bookmarkStart w:id="868" w:name="_Toc28609"/>
      <w:r>
        <w:rPr>
          <w:rFonts w:hint="eastAsia"/>
          <w:b/>
          <w:bCs/>
          <w:color w:val="auto"/>
          <w:highlight w:val="none"/>
        </w:rPr>
        <w:t>第</w:t>
      </w:r>
      <w:r>
        <w:rPr>
          <w:rFonts w:hint="eastAsia"/>
          <w:b/>
          <w:bCs/>
          <w:color w:val="auto"/>
          <w:highlight w:val="none"/>
          <w:lang w:val="en-US" w:eastAsia="zh-CN"/>
        </w:rPr>
        <w:t>九</w:t>
      </w:r>
      <w:r>
        <w:rPr>
          <w:rFonts w:hint="eastAsia"/>
          <w:b/>
          <w:bCs/>
          <w:color w:val="auto"/>
          <w:highlight w:val="none"/>
        </w:rPr>
        <w:t>条 相关违约责任</w:t>
      </w:r>
      <w:bookmarkEnd w:id="862"/>
      <w:bookmarkEnd w:id="863"/>
      <w:bookmarkEnd w:id="864"/>
      <w:bookmarkEnd w:id="865"/>
      <w:bookmarkEnd w:id="866"/>
      <w:bookmarkEnd w:id="867"/>
      <w:bookmarkEnd w:id="868"/>
    </w:p>
    <w:p w14:paraId="64A304E0">
      <w:pPr>
        <w:pStyle w:val="42"/>
        <w:spacing w:line="400" w:lineRule="exact"/>
        <w:ind w:firstLine="433"/>
        <w:rPr>
          <w:rFonts w:hint="eastAsia" w:ascii="宋体" w:eastAsia="宋体" w:cs="宋体"/>
          <w:color w:val="auto"/>
          <w:sz w:val="21"/>
          <w:szCs w:val="21"/>
          <w:highlight w:val="none"/>
        </w:rPr>
      </w:pPr>
      <w:r>
        <w:rPr>
          <w:rFonts w:hint="eastAsia" w:ascii="宋体" w:eastAsia="宋体" w:cs="宋体"/>
          <w:color w:val="auto"/>
          <w:sz w:val="21"/>
          <w:szCs w:val="21"/>
          <w:highlight w:val="none"/>
          <w:lang w:val="en-US" w:eastAsia="zh-CN"/>
        </w:rPr>
        <w:t xml:space="preserve">9.1 </w:t>
      </w:r>
      <w:r>
        <w:rPr>
          <w:rFonts w:hint="eastAsia" w:ascii="宋体" w:eastAsia="宋体" w:cs="宋体"/>
          <w:color w:val="auto"/>
          <w:sz w:val="21"/>
          <w:szCs w:val="21"/>
          <w:highlight w:val="none"/>
        </w:rPr>
        <w:t>具体合同违约责任以及</w:t>
      </w:r>
      <w:r>
        <w:rPr>
          <w:rFonts w:hint="eastAsia" w:ascii="宋体" w:eastAsia="宋体" w:cs="宋体"/>
          <w:color w:val="auto"/>
          <w:sz w:val="21"/>
          <w:szCs w:val="21"/>
          <w:highlight w:val="none"/>
          <w:lang w:val="en-US" w:eastAsia="zh-CN"/>
        </w:rPr>
        <w:t>违约金</w:t>
      </w:r>
      <w:r>
        <w:rPr>
          <w:rFonts w:hint="eastAsia" w:ascii="宋体" w:eastAsia="宋体" w:cs="宋体"/>
          <w:color w:val="auto"/>
          <w:sz w:val="21"/>
          <w:szCs w:val="21"/>
          <w:highlight w:val="none"/>
        </w:rPr>
        <w:t>标准详见</w:t>
      </w:r>
      <w:r>
        <w:rPr>
          <w:rFonts w:hint="eastAsia" w:ascii="宋体" w:eastAsia="宋体" w:cs="宋体"/>
          <w:b/>
          <w:bCs/>
          <w:color w:val="auto"/>
          <w:sz w:val="21"/>
          <w:szCs w:val="21"/>
          <w:highlight w:val="none"/>
          <w:lang w:val="en-US" w:eastAsia="zh-CN"/>
        </w:rPr>
        <w:t>合同</w:t>
      </w:r>
      <w:r>
        <w:rPr>
          <w:rFonts w:hint="eastAsia" w:ascii="宋体" w:eastAsia="宋体" w:cs="宋体"/>
          <w:b/>
          <w:bCs/>
          <w:color w:val="auto"/>
          <w:sz w:val="21"/>
          <w:szCs w:val="21"/>
          <w:highlight w:val="none"/>
        </w:rPr>
        <w:t>附件6《运输商季度考核评分表》</w:t>
      </w:r>
      <w:r>
        <w:rPr>
          <w:rFonts w:hint="eastAsia" w:ascii="宋体" w:eastAsia="宋体" w:cs="宋体"/>
          <w:color w:val="auto"/>
          <w:sz w:val="21"/>
          <w:szCs w:val="21"/>
          <w:highlight w:val="none"/>
        </w:rPr>
        <w:t>。</w:t>
      </w:r>
    </w:p>
    <w:p w14:paraId="31C1E41B">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9.2 甲方因乙方违约所产生的全部损失均由乙方承担，此损失</w:t>
      </w:r>
      <w:r>
        <w:rPr>
          <w:rFonts w:hint="eastAsia" w:ascii="宋体" w:eastAsia="宋体" w:cs="宋体"/>
          <w:color w:val="auto"/>
          <w:sz w:val="21"/>
          <w:szCs w:val="21"/>
          <w:highlight w:val="none"/>
        </w:rPr>
        <w:t>包括</w:t>
      </w:r>
      <w:r>
        <w:rPr>
          <w:rFonts w:hint="eastAsia" w:ascii="宋体" w:eastAsia="宋体" w:cs="宋体"/>
          <w:color w:val="auto"/>
          <w:sz w:val="21"/>
          <w:szCs w:val="21"/>
          <w:highlight w:val="none"/>
          <w:lang w:val="en-US" w:eastAsia="zh-CN"/>
        </w:rPr>
        <w:t>但不限于</w:t>
      </w:r>
      <w:r>
        <w:rPr>
          <w:rFonts w:hint="eastAsia" w:ascii="宋体" w:eastAsia="宋体" w:cs="宋体"/>
          <w:color w:val="auto"/>
          <w:sz w:val="21"/>
          <w:szCs w:val="21"/>
          <w:highlight w:val="none"/>
        </w:rPr>
        <w:t>直接损失、预期</w:t>
      </w:r>
      <w:r>
        <w:rPr>
          <w:rFonts w:hint="eastAsia" w:ascii="宋体" w:eastAsia="宋体" w:cs="宋体"/>
          <w:color w:val="auto"/>
          <w:sz w:val="21"/>
          <w:szCs w:val="21"/>
          <w:highlight w:val="none"/>
          <w:lang w:val="en-US" w:eastAsia="zh-CN"/>
        </w:rPr>
        <w:t>可得利益</w:t>
      </w:r>
      <w:r>
        <w:rPr>
          <w:rFonts w:hint="eastAsia" w:ascii="宋体" w:eastAsia="宋体" w:cs="宋体"/>
          <w:color w:val="auto"/>
          <w:sz w:val="21"/>
          <w:szCs w:val="21"/>
          <w:highlight w:val="none"/>
        </w:rPr>
        <w:t>损失、实现债权所发生的追索费用、诉讼费、财产保全费、律师费等。</w:t>
      </w:r>
    </w:p>
    <w:p w14:paraId="297A66FC">
      <w:pPr>
        <w:spacing w:line="400" w:lineRule="exact"/>
        <w:rPr>
          <w:b/>
          <w:bCs/>
          <w:color w:val="auto"/>
          <w:highlight w:val="none"/>
        </w:rPr>
      </w:pPr>
      <w:bookmarkStart w:id="869" w:name="_Toc3024"/>
      <w:bookmarkStart w:id="870" w:name="_Toc10957"/>
      <w:bookmarkStart w:id="871" w:name="_Toc10026"/>
      <w:bookmarkStart w:id="872" w:name="_Toc5395"/>
      <w:bookmarkStart w:id="873" w:name="_Toc13774"/>
      <w:bookmarkStart w:id="874" w:name="_Toc28103"/>
      <w:bookmarkStart w:id="875" w:name="_Toc16825"/>
      <w:r>
        <w:rPr>
          <w:rFonts w:hint="eastAsia"/>
          <w:b/>
          <w:bCs/>
          <w:color w:val="auto"/>
          <w:highlight w:val="none"/>
        </w:rPr>
        <w:t>第</w:t>
      </w:r>
      <w:r>
        <w:rPr>
          <w:rFonts w:hint="eastAsia"/>
          <w:b/>
          <w:bCs/>
          <w:color w:val="auto"/>
          <w:highlight w:val="none"/>
          <w:lang w:val="en-US" w:eastAsia="zh-CN"/>
        </w:rPr>
        <w:t>十</w:t>
      </w:r>
      <w:r>
        <w:rPr>
          <w:rFonts w:hint="eastAsia"/>
          <w:b/>
          <w:bCs/>
          <w:color w:val="auto"/>
          <w:highlight w:val="none"/>
        </w:rPr>
        <w:t>条 合同变更和解除</w:t>
      </w:r>
      <w:bookmarkEnd w:id="869"/>
      <w:bookmarkEnd w:id="870"/>
      <w:bookmarkEnd w:id="871"/>
      <w:bookmarkEnd w:id="872"/>
      <w:bookmarkEnd w:id="873"/>
      <w:bookmarkEnd w:id="874"/>
      <w:bookmarkEnd w:id="875"/>
      <w:r>
        <w:rPr>
          <w:rFonts w:hint="eastAsia"/>
          <w:b/>
          <w:bCs/>
          <w:color w:val="auto"/>
          <w:highlight w:val="none"/>
        </w:rPr>
        <w:t xml:space="preserve">  </w:t>
      </w:r>
    </w:p>
    <w:p w14:paraId="34E653D6">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10</w:t>
      </w:r>
      <w:r>
        <w:rPr>
          <w:rFonts w:hint="eastAsia" w:ascii="宋体" w:eastAsia="宋体" w:cs="宋体"/>
          <w:color w:val="auto"/>
          <w:sz w:val="21"/>
          <w:szCs w:val="21"/>
          <w:highlight w:val="none"/>
        </w:rPr>
        <w:t>.1 双方协商一致，可以书面方式变更或解除合同。</w:t>
      </w:r>
    </w:p>
    <w:p w14:paraId="12FC8C3E">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10</w:t>
      </w:r>
      <w:r>
        <w:rPr>
          <w:rFonts w:hint="eastAsia" w:ascii="宋体" w:eastAsia="宋体" w:cs="宋体"/>
          <w:color w:val="auto"/>
          <w:sz w:val="21"/>
          <w:szCs w:val="21"/>
          <w:highlight w:val="none"/>
        </w:rPr>
        <w:t>.2</w:t>
      </w:r>
      <w:r>
        <w:rPr>
          <w:rFonts w:hint="eastAsia" w:ascii="宋体" w:eastAsia="宋体" w:cs="宋体"/>
          <w:color w:val="auto"/>
          <w:sz w:val="21"/>
          <w:szCs w:val="21"/>
          <w:highlight w:val="none"/>
          <w:lang w:val="en-US" w:eastAsia="zh-CN"/>
        </w:rPr>
        <w:t>乙方</w:t>
      </w:r>
      <w:r>
        <w:rPr>
          <w:rFonts w:hint="eastAsia" w:ascii="宋体" w:eastAsia="宋体" w:cs="宋体"/>
          <w:color w:val="auto"/>
          <w:sz w:val="21"/>
          <w:szCs w:val="21"/>
          <w:highlight w:val="none"/>
        </w:rPr>
        <w:t>具备下列情形之一的，甲方有权</w:t>
      </w:r>
      <w:r>
        <w:rPr>
          <w:rFonts w:hint="eastAsia" w:ascii="宋体" w:eastAsia="宋体" w:cs="宋体"/>
          <w:color w:val="auto"/>
          <w:sz w:val="21"/>
          <w:szCs w:val="21"/>
          <w:highlight w:val="none"/>
          <w:lang w:val="en-US" w:eastAsia="zh-CN"/>
        </w:rPr>
        <w:t>随时</w:t>
      </w:r>
      <w:r>
        <w:rPr>
          <w:rFonts w:hint="eastAsia" w:ascii="宋体" w:eastAsia="宋体" w:cs="宋体"/>
          <w:color w:val="auto"/>
          <w:sz w:val="21"/>
          <w:szCs w:val="21"/>
          <w:highlight w:val="none"/>
        </w:rPr>
        <w:t>单方解除合同，</w:t>
      </w:r>
      <w:r>
        <w:rPr>
          <w:rFonts w:hint="eastAsia" w:ascii="宋体" w:eastAsia="宋体" w:cs="宋体"/>
          <w:color w:val="auto"/>
          <w:sz w:val="21"/>
          <w:szCs w:val="21"/>
          <w:highlight w:val="none"/>
          <w:lang w:val="en-US" w:eastAsia="zh-CN"/>
        </w:rPr>
        <w:t>没收乙方履约保证金，</w:t>
      </w:r>
      <w:r>
        <w:rPr>
          <w:rFonts w:hint="eastAsia" w:ascii="宋体" w:eastAsia="宋体" w:cs="宋体"/>
          <w:color w:val="auto"/>
          <w:sz w:val="21"/>
          <w:szCs w:val="21"/>
          <w:highlight w:val="none"/>
        </w:rPr>
        <w:t>并追究乙方违约和赔偿责任，合同解除后，双方在一个月内结清所有运费以及赔偿金、违约金：</w:t>
      </w:r>
    </w:p>
    <w:p w14:paraId="2701F8AC">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10</w:t>
      </w:r>
      <w:r>
        <w:rPr>
          <w:rFonts w:hint="eastAsia" w:ascii="宋体" w:eastAsia="宋体" w:cs="宋体"/>
          <w:color w:val="auto"/>
          <w:sz w:val="21"/>
          <w:szCs w:val="21"/>
          <w:highlight w:val="none"/>
        </w:rPr>
        <w:t>.2.1 乙方明确表示或者以自己实际行为表明其不履行合同义务的。</w:t>
      </w:r>
    </w:p>
    <w:p w14:paraId="11B074C5">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10</w:t>
      </w:r>
      <w:r>
        <w:rPr>
          <w:rFonts w:hint="eastAsia" w:ascii="宋体" w:eastAsia="宋体" w:cs="宋体"/>
          <w:color w:val="auto"/>
          <w:sz w:val="21"/>
          <w:szCs w:val="21"/>
          <w:highlight w:val="none"/>
        </w:rPr>
        <w:t>.2.2 乙方未按合同约定派车且拒不调换或拒不整改的，或给甲方造成损失拒不赔偿的。</w:t>
      </w:r>
    </w:p>
    <w:p w14:paraId="7E2C6E2A">
      <w:pPr>
        <w:pStyle w:val="42"/>
        <w:spacing w:line="400" w:lineRule="exact"/>
        <w:ind w:firstLine="433"/>
        <w:rPr>
          <w:rFonts w:hint="default" w:ascii="宋体" w:eastAsia="宋体" w:cs="宋体"/>
          <w:color w:val="auto"/>
          <w:sz w:val="21"/>
          <w:szCs w:val="21"/>
          <w:highlight w:val="none"/>
          <w:lang w:val="en-US" w:eastAsia="zh-CN"/>
        </w:rPr>
      </w:pPr>
      <w:r>
        <w:rPr>
          <w:rFonts w:hint="eastAsia" w:ascii="宋体" w:eastAsia="宋体" w:cs="宋体"/>
          <w:color w:val="auto"/>
          <w:sz w:val="21"/>
          <w:szCs w:val="21"/>
          <w:highlight w:val="none"/>
          <w:lang w:val="en-US" w:eastAsia="zh-CN"/>
        </w:rPr>
        <w:t>10.2.3 乙方违反本合同约定，未按甲方要求限期完成整改或拒不整改的。</w:t>
      </w:r>
    </w:p>
    <w:p w14:paraId="14109BB0">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10</w:t>
      </w:r>
      <w:r>
        <w:rPr>
          <w:rFonts w:hint="eastAsia" w:ascii="宋体" w:eastAsia="宋体" w:cs="宋体"/>
          <w:color w:val="auto"/>
          <w:sz w:val="21"/>
          <w:szCs w:val="21"/>
          <w:highlight w:val="none"/>
        </w:rPr>
        <w:t>.2.</w:t>
      </w:r>
      <w:r>
        <w:rPr>
          <w:rFonts w:hint="eastAsia" w:ascii="宋体" w:eastAsia="宋体" w:cs="宋体"/>
          <w:color w:val="auto"/>
          <w:sz w:val="21"/>
          <w:szCs w:val="21"/>
          <w:highlight w:val="none"/>
          <w:lang w:val="en-US" w:eastAsia="zh-CN"/>
        </w:rPr>
        <w:t>4</w:t>
      </w:r>
      <w:r>
        <w:rPr>
          <w:rFonts w:hint="eastAsia" w:ascii="宋体" w:eastAsia="宋体" w:cs="宋体"/>
          <w:color w:val="auto"/>
          <w:sz w:val="21"/>
          <w:szCs w:val="21"/>
          <w:highlight w:val="none"/>
        </w:rPr>
        <w:t xml:space="preserve"> 本合同约定的或相关法律法规规定可解除合同的情形。</w:t>
      </w:r>
    </w:p>
    <w:p w14:paraId="068EE4B6">
      <w:pPr>
        <w:spacing w:line="400" w:lineRule="exact"/>
        <w:rPr>
          <w:b/>
          <w:bCs/>
          <w:color w:val="auto"/>
          <w:highlight w:val="none"/>
        </w:rPr>
      </w:pPr>
      <w:bookmarkStart w:id="876" w:name="_Toc2508"/>
      <w:bookmarkStart w:id="877" w:name="_Toc22075"/>
      <w:bookmarkStart w:id="878" w:name="_Toc2879"/>
      <w:bookmarkStart w:id="879" w:name="_Toc19114"/>
      <w:bookmarkStart w:id="880" w:name="_Toc30117"/>
      <w:bookmarkStart w:id="881" w:name="_Toc31272"/>
      <w:bookmarkStart w:id="882" w:name="_Toc10194"/>
      <w:r>
        <w:rPr>
          <w:rFonts w:hint="eastAsia"/>
          <w:b/>
          <w:bCs/>
          <w:color w:val="auto"/>
          <w:highlight w:val="none"/>
        </w:rPr>
        <w:t>第十</w:t>
      </w:r>
      <w:r>
        <w:rPr>
          <w:rFonts w:hint="eastAsia"/>
          <w:b/>
          <w:bCs/>
          <w:color w:val="auto"/>
          <w:highlight w:val="none"/>
          <w:lang w:val="en-US" w:eastAsia="zh-CN"/>
        </w:rPr>
        <w:t>一</w:t>
      </w:r>
      <w:r>
        <w:rPr>
          <w:rFonts w:hint="eastAsia"/>
          <w:b/>
          <w:bCs/>
          <w:color w:val="auto"/>
          <w:highlight w:val="none"/>
        </w:rPr>
        <w:t>条 不可抗力</w:t>
      </w:r>
      <w:bookmarkEnd w:id="876"/>
      <w:bookmarkEnd w:id="877"/>
      <w:bookmarkEnd w:id="878"/>
      <w:bookmarkEnd w:id="879"/>
      <w:bookmarkEnd w:id="880"/>
      <w:bookmarkEnd w:id="881"/>
      <w:bookmarkEnd w:id="882"/>
      <w:r>
        <w:rPr>
          <w:rFonts w:hint="eastAsia"/>
          <w:b/>
          <w:bCs/>
          <w:color w:val="auto"/>
          <w:highlight w:val="none"/>
        </w:rPr>
        <w:t xml:space="preserve">  </w:t>
      </w:r>
    </w:p>
    <w:p w14:paraId="076731C9">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1</w:t>
      </w:r>
      <w:r>
        <w:rPr>
          <w:rFonts w:hint="eastAsia" w:ascii="宋体" w:eastAsia="宋体" w:cs="宋体"/>
          <w:color w:val="auto"/>
          <w:sz w:val="21"/>
          <w:szCs w:val="21"/>
          <w:highlight w:val="none"/>
          <w:lang w:val="en-US" w:eastAsia="zh-CN"/>
        </w:rPr>
        <w:t>1</w:t>
      </w:r>
      <w:r>
        <w:rPr>
          <w:rFonts w:hint="eastAsia" w:ascii="宋体" w:eastAsia="宋体" w:cs="宋体"/>
          <w:color w:val="auto"/>
          <w:sz w:val="21"/>
          <w:szCs w:val="21"/>
          <w:highlight w:val="none"/>
        </w:rPr>
        <w:t xml:space="preserve">.1不可抗力事件指合同当事人不能预见、不能避免、不能克服的客观情况，包括但不限于地震、水灾、雷击、雪灾等自然事件以及疫情、战争等社会事件。    </w:t>
      </w:r>
    </w:p>
    <w:p w14:paraId="2364F95A">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1</w:t>
      </w:r>
      <w:r>
        <w:rPr>
          <w:rFonts w:hint="eastAsia" w:ascii="宋体" w:eastAsia="宋体" w:cs="宋体"/>
          <w:color w:val="auto"/>
          <w:sz w:val="21"/>
          <w:szCs w:val="21"/>
          <w:highlight w:val="none"/>
          <w:lang w:val="en-US" w:eastAsia="zh-CN"/>
        </w:rPr>
        <w:t>1</w:t>
      </w:r>
      <w:r>
        <w:rPr>
          <w:rFonts w:hint="eastAsia" w:ascii="宋体" w:eastAsia="宋体" w:cs="宋体"/>
          <w:color w:val="auto"/>
          <w:sz w:val="21"/>
          <w:szCs w:val="21"/>
          <w:highlight w:val="none"/>
        </w:rPr>
        <w:t xml:space="preserve">.2由于不可抗力原因，使双方或任何一方不能履行合同义务时，应采取有效措施，尽量避免或减少损失，将损失降低到最低程度，并在不可抗力发生后12小时内以书面形式通知对方，并在其后10日内向对方提供有效证明文件。 </w:t>
      </w:r>
    </w:p>
    <w:p w14:paraId="11628CD3">
      <w:pPr>
        <w:spacing w:line="400" w:lineRule="exact"/>
        <w:rPr>
          <w:b/>
          <w:bCs/>
          <w:color w:val="auto"/>
          <w:highlight w:val="none"/>
        </w:rPr>
      </w:pPr>
      <w:bookmarkStart w:id="883" w:name="_Toc8252"/>
      <w:bookmarkStart w:id="884" w:name="_Toc19020"/>
      <w:bookmarkStart w:id="885" w:name="_Toc13179"/>
      <w:bookmarkStart w:id="886" w:name="_Toc22876"/>
      <w:bookmarkStart w:id="887" w:name="_Toc22284"/>
      <w:bookmarkStart w:id="888" w:name="_Toc426"/>
      <w:r>
        <w:rPr>
          <w:rFonts w:hint="eastAsia"/>
          <w:b/>
          <w:bCs/>
          <w:color w:val="auto"/>
          <w:highlight w:val="none"/>
        </w:rPr>
        <w:t>第十</w:t>
      </w:r>
      <w:r>
        <w:rPr>
          <w:rFonts w:hint="eastAsia"/>
          <w:b/>
          <w:bCs/>
          <w:color w:val="auto"/>
          <w:highlight w:val="none"/>
          <w:lang w:val="en-US" w:eastAsia="zh-CN"/>
        </w:rPr>
        <w:t>二</w:t>
      </w:r>
      <w:r>
        <w:rPr>
          <w:rFonts w:hint="eastAsia"/>
          <w:b/>
          <w:bCs/>
          <w:color w:val="auto"/>
          <w:highlight w:val="none"/>
        </w:rPr>
        <w:t>条 合同其它事宜</w:t>
      </w:r>
      <w:bookmarkEnd w:id="883"/>
      <w:bookmarkEnd w:id="884"/>
      <w:bookmarkEnd w:id="885"/>
      <w:bookmarkEnd w:id="886"/>
      <w:bookmarkEnd w:id="887"/>
      <w:bookmarkEnd w:id="888"/>
    </w:p>
    <w:p w14:paraId="16149074">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1</w:t>
      </w:r>
      <w:r>
        <w:rPr>
          <w:rFonts w:hint="eastAsia" w:ascii="宋体" w:eastAsia="宋体" w:cs="宋体"/>
          <w:color w:val="auto"/>
          <w:sz w:val="21"/>
          <w:szCs w:val="21"/>
          <w:highlight w:val="none"/>
          <w:lang w:val="en-US" w:eastAsia="zh-CN"/>
        </w:rPr>
        <w:t>2</w:t>
      </w:r>
      <w:r>
        <w:rPr>
          <w:rFonts w:hint="eastAsia" w:ascii="宋体" w:eastAsia="宋体" w:cs="宋体"/>
          <w:color w:val="auto"/>
          <w:sz w:val="21"/>
          <w:szCs w:val="21"/>
          <w:highlight w:val="none"/>
        </w:rPr>
        <w:t>.1 合同履行中发生争议时，甲、乙双方按危废运输相关的法律法规友好协商解决，协商不成时，因本协议引起的或与本协议有关的争议，均向甲方所在地人民法院提起诉讼。</w:t>
      </w:r>
    </w:p>
    <w:p w14:paraId="74F2317A">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1</w:t>
      </w:r>
      <w:r>
        <w:rPr>
          <w:rFonts w:hint="eastAsia" w:ascii="宋体" w:eastAsia="宋体" w:cs="宋体"/>
          <w:color w:val="auto"/>
          <w:sz w:val="21"/>
          <w:szCs w:val="21"/>
          <w:highlight w:val="none"/>
          <w:lang w:val="en-US" w:eastAsia="zh-CN"/>
        </w:rPr>
        <w:t>2</w:t>
      </w:r>
      <w:r>
        <w:rPr>
          <w:rFonts w:hint="eastAsia" w:ascii="宋体" w:eastAsia="宋体" w:cs="宋体"/>
          <w:color w:val="auto"/>
          <w:sz w:val="21"/>
          <w:szCs w:val="21"/>
          <w:highlight w:val="none"/>
        </w:rPr>
        <w:t>.2 本合同有效期为</w:t>
      </w:r>
      <w:r>
        <w:rPr>
          <w:rFonts w:hint="eastAsia" w:ascii="宋体" w:eastAsia="宋体" w:cs="宋体"/>
          <w:color w:val="auto"/>
          <w:sz w:val="21"/>
          <w:szCs w:val="21"/>
          <w:highlight w:val="none"/>
          <w:u w:val="single"/>
        </w:rPr>
        <w:t xml:space="preserve">     </w:t>
      </w:r>
      <w:r>
        <w:rPr>
          <w:rFonts w:hint="eastAsia" w:ascii="宋体" w:eastAsia="宋体" w:cs="宋体"/>
          <w:color w:val="auto"/>
          <w:sz w:val="21"/>
          <w:szCs w:val="21"/>
          <w:highlight w:val="none"/>
        </w:rPr>
        <w:t>年</w:t>
      </w:r>
      <w:r>
        <w:rPr>
          <w:rFonts w:hint="eastAsia" w:ascii="宋体" w:eastAsia="宋体" w:cs="宋体"/>
          <w:color w:val="auto"/>
          <w:sz w:val="21"/>
          <w:szCs w:val="21"/>
          <w:highlight w:val="none"/>
          <w:u w:val="single"/>
        </w:rPr>
        <w:t xml:space="preserve">     </w:t>
      </w:r>
      <w:r>
        <w:rPr>
          <w:rFonts w:hint="eastAsia" w:ascii="宋体" w:eastAsia="宋体" w:cs="宋体"/>
          <w:color w:val="auto"/>
          <w:sz w:val="21"/>
          <w:szCs w:val="21"/>
          <w:highlight w:val="none"/>
        </w:rPr>
        <w:t>月</w:t>
      </w:r>
      <w:r>
        <w:rPr>
          <w:rFonts w:hint="eastAsia" w:ascii="宋体" w:eastAsia="宋体" w:cs="宋体"/>
          <w:color w:val="auto"/>
          <w:sz w:val="21"/>
          <w:szCs w:val="21"/>
          <w:highlight w:val="none"/>
          <w:u w:val="single"/>
        </w:rPr>
        <w:t xml:space="preserve">     </w:t>
      </w:r>
      <w:r>
        <w:rPr>
          <w:rFonts w:hint="eastAsia" w:ascii="宋体" w:eastAsia="宋体" w:cs="宋体"/>
          <w:color w:val="auto"/>
          <w:sz w:val="21"/>
          <w:szCs w:val="21"/>
          <w:highlight w:val="none"/>
        </w:rPr>
        <w:t>日至</w:t>
      </w:r>
      <w:r>
        <w:rPr>
          <w:rFonts w:hint="eastAsia" w:ascii="宋体" w:eastAsia="宋体" w:cs="宋体"/>
          <w:color w:val="auto"/>
          <w:sz w:val="21"/>
          <w:szCs w:val="21"/>
          <w:highlight w:val="none"/>
          <w:u w:val="single"/>
        </w:rPr>
        <w:t xml:space="preserve">     </w:t>
      </w:r>
      <w:r>
        <w:rPr>
          <w:rFonts w:hint="eastAsia" w:ascii="宋体" w:eastAsia="宋体" w:cs="宋体"/>
          <w:color w:val="auto"/>
          <w:sz w:val="21"/>
          <w:szCs w:val="21"/>
          <w:highlight w:val="none"/>
        </w:rPr>
        <w:t>年</w:t>
      </w:r>
      <w:r>
        <w:rPr>
          <w:rFonts w:hint="eastAsia" w:ascii="宋体" w:eastAsia="宋体" w:cs="宋体"/>
          <w:color w:val="auto"/>
          <w:sz w:val="21"/>
          <w:szCs w:val="21"/>
          <w:highlight w:val="none"/>
          <w:u w:val="single"/>
        </w:rPr>
        <w:t xml:space="preserve">     </w:t>
      </w:r>
      <w:r>
        <w:rPr>
          <w:rFonts w:hint="eastAsia" w:ascii="宋体" w:eastAsia="宋体" w:cs="宋体"/>
          <w:color w:val="auto"/>
          <w:sz w:val="21"/>
          <w:szCs w:val="21"/>
          <w:highlight w:val="none"/>
        </w:rPr>
        <w:t>月</w:t>
      </w:r>
      <w:r>
        <w:rPr>
          <w:rFonts w:hint="eastAsia" w:ascii="宋体" w:eastAsia="宋体" w:cs="宋体"/>
          <w:color w:val="auto"/>
          <w:sz w:val="21"/>
          <w:szCs w:val="21"/>
          <w:highlight w:val="none"/>
          <w:u w:val="single"/>
        </w:rPr>
        <w:t xml:space="preserve">     </w:t>
      </w:r>
      <w:r>
        <w:rPr>
          <w:rFonts w:hint="eastAsia" w:ascii="宋体" w:eastAsia="宋体" w:cs="宋体"/>
          <w:color w:val="auto"/>
          <w:sz w:val="21"/>
          <w:szCs w:val="21"/>
          <w:highlight w:val="none"/>
        </w:rPr>
        <w:t xml:space="preserve">日。  </w:t>
      </w:r>
    </w:p>
    <w:p w14:paraId="5B81E7FA">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1</w:t>
      </w:r>
      <w:r>
        <w:rPr>
          <w:rFonts w:hint="eastAsia" w:ascii="宋体" w:eastAsia="宋体" w:cs="宋体"/>
          <w:color w:val="auto"/>
          <w:sz w:val="21"/>
          <w:szCs w:val="21"/>
          <w:highlight w:val="none"/>
          <w:lang w:val="en-US" w:eastAsia="zh-CN"/>
        </w:rPr>
        <w:t>2</w:t>
      </w:r>
      <w:r>
        <w:rPr>
          <w:rFonts w:hint="eastAsia" w:ascii="宋体" w:eastAsia="宋体" w:cs="宋体"/>
          <w:color w:val="auto"/>
          <w:sz w:val="21"/>
          <w:szCs w:val="21"/>
          <w:highlight w:val="none"/>
        </w:rPr>
        <w:t>.3 本合同一式</w:t>
      </w:r>
      <w:r>
        <w:rPr>
          <w:rFonts w:hint="eastAsia" w:ascii="宋体" w:eastAsia="宋体" w:cs="宋体"/>
          <w:color w:val="auto"/>
          <w:sz w:val="21"/>
          <w:szCs w:val="21"/>
          <w:highlight w:val="none"/>
          <w:u w:val="single"/>
        </w:rPr>
        <w:t xml:space="preserve"> 柒 </w:t>
      </w:r>
      <w:r>
        <w:rPr>
          <w:rFonts w:hint="eastAsia" w:ascii="宋体" w:eastAsia="宋体" w:cs="宋体"/>
          <w:color w:val="auto"/>
          <w:sz w:val="21"/>
          <w:szCs w:val="21"/>
          <w:highlight w:val="none"/>
        </w:rPr>
        <w:t>份，甲方持</w:t>
      </w:r>
      <w:r>
        <w:rPr>
          <w:rFonts w:hint="eastAsia" w:ascii="宋体" w:eastAsia="宋体" w:cs="宋体"/>
          <w:color w:val="auto"/>
          <w:sz w:val="21"/>
          <w:szCs w:val="21"/>
          <w:highlight w:val="none"/>
          <w:u w:val="single"/>
        </w:rPr>
        <w:t xml:space="preserve"> 肆 </w:t>
      </w:r>
      <w:r>
        <w:rPr>
          <w:rFonts w:hint="eastAsia" w:ascii="宋体" w:eastAsia="宋体" w:cs="宋体"/>
          <w:color w:val="auto"/>
          <w:sz w:val="21"/>
          <w:szCs w:val="21"/>
          <w:highlight w:val="none"/>
        </w:rPr>
        <w:t>份，乙方持</w:t>
      </w:r>
      <w:r>
        <w:rPr>
          <w:rFonts w:hint="eastAsia" w:ascii="宋体" w:eastAsia="宋体" w:cs="宋体"/>
          <w:color w:val="auto"/>
          <w:sz w:val="21"/>
          <w:szCs w:val="21"/>
          <w:highlight w:val="none"/>
          <w:u w:val="single"/>
        </w:rPr>
        <w:t xml:space="preserve"> 叁 </w:t>
      </w:r>
      <w:r>
        <w:rPr>
          <w:rFonts w:hint="eastAsia" w:ascii="宋体" w:eastAsia="宋体" w:cs="宋体"/>
          <w:color w:val="auto"/>
          <w:sz w:val="21"/>
          <w:szCs w:val="21"/>
          <w:highlight w:val="none"/>
        </w:rPr>
        <w:t>份，双方签字盖章之日起生效。本服务项目采购文件中的其他文件视为本合同的组成部分，与本合同具有同等法律效力。</w:t>
      </w:r>
    </w:p>
    <w:p w14:paraId="72FA9274">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1</w:t>
      </w:r>
      <w:r>
        <w:rPr>
          <w:rFonts w:hint="eastAsia" w:ascii="宋体" w:eastAsia="宋体" w:cs="宋体"/>
          <w:color w:val="auto"/>
          <w:sz w:val="21"/>
          <w:szCs w:val="21"/>
          <w:highlight w:val="none"/>
          <w:lang w:val="en-US" w:eastAsia="zh-CN"/>
        </w:rPr>
        <w:t>2</w:t>
      </w:r>
      <w:r>
        <w:rPr>
          <w:rFonts w:hint="eastAsia" w:ascii="宋体" w:eastAsia="宋体" w:cs="宋体"/>
          <w:color w:val="auto"/>
          <w:sz w:val="21"/>
          <w:szCs w:val="21"/>
          <w:highlight w:val="none"/>
        </w:rPr>
        <w:t>.</w:t>
      </w:r>
      <w:r>
        <w:rPr>
          <w:rFonts w:hint="eastAsia" w:ascii="宋体" w:eastAsia="宋体" w:cs="宋体"/>
          <w:color w:val="auto"/>
          <w:sz w:val="21"/>
          <w:szCs w:val="21"/>
          <w:highlight w:val="none"/>
          <w:lang w:val="en-US" w:eastAsia="zh-CN"/>
        </w:rPr>
        <w:t>4</w:t>
      </w:r>
      <w:r>
        <w:rPr>
          <w:rFonts w:hint="eastAsia" w:ascii="宋体" w:eastAsia="宋体" w:cs="宋体"/>
          <w:color w:val="auto"/>
          <w:sz w:val="21"/>
          <w:szCs w:val="21"/>
          <w:highlight w:val="none"/>
        </w:rPr>
        <w:t xml:space="preserve">   </w:t>
      </w:r>
    </w:p>
    <w:p w14:paraId="79C67F95">
      <w:pPr>
        <w:pStyle w:val="42"/>
        <w:spacing w:line="400" w:lineRule="exact"/>
        <w:ind w:firstLine="433"/>
        <w:rPr>
          <w:rFonts w:hint="eastAsia" w:ascii="宋体" w:eastAsia="宋体" w:cs="宋体"/>
          <w:color w:val="auto"/>
          <w:sz w:val="21"/>
          <w:szCs w:val="21"/>
          <w:highlight w:val="none"/>
        </w:rPr>
      </w:pPr>
      <w:r>
        <w:rPr>
          <w:rFonts w:hint="eastAsia" w:ascii="宋体" w:hAnsi="宋体" w:eastAsia="宋体" w:cs="宋体"/>
          <w:b w:val="0"/>
          <w:bCs/>
          <w:color w:val="auto"/>
          <w:sz w:val="21"/>
          <w:szCs w:val="21"/>
          <w:highlight w:val="none"/>
          <w:lang w:val="en-US" w:eastAsia="zh-CN"/>
        </w:rPr>
        <w:t>合同</w:t>
      </w:r>
      <w:r>
        <w:rPr>
          <w:rFonts w:hint="eastAsia" w:ascii="宋体" w:eastAsia="宋体" w:cs="宋体"/>
          <w:color w:val="auto"/>
          <w:sz w:val="21"/>
          <w:szCs w:val="21"/>
          <w:highlight w:val="none"/>
        </w:rPr>
        <w:t>附件</w:t>
      </w:r>
      <w:r>
        <w:rPr>
          <w:rFonts w:hint="eastAsia" w:ascii="宋体" w:eastAsia="宋体" w:cs="宋体"/>
          <w:color w:val="auto"/>
          <w:sz w:val="21"/>
          <w:szCs w:val="21"/>
          <w:highlight w:val="none"/>
          <w:lang w:val="en-US" w:eastAsia="zh-CN"/>
        </w:rPr>
        <w:t>1</w:t>
      </w:r>
      <w:r>
        <w:rPr>
          <w:rFonts w:hint="eastAsia" w:ascii="宋体" w:eastAsia="宋体" w:cs="宋体"/>
          <w:color w:val="auto"/>
          <w:sz w:val="21"/>
          <w:szCs w:val="21"/>
          <w:highlight w:val="none"/>
        </w:rPr>
        <w:t>：《运输车辆名册》</w:t>
      </w:r>
    </w:p>
    <w:p w14:paraId="51735FEA">
      <w:pPr>
        <w:pStyle w:val="42"/>
        <w:spacing w:line="400" w:lineRule="exact"/>
        <w:ind w:firstLine="433"/>
        <w:rPr>
          <w:rFonts w:hint="eastAsia" w:ascii="宋体" w:eastAsia="宋体" w:cs="宋体"/>
          <w:color w:val="auto"/>
          <w:sz w:val="21"/>
          <w:szCs w:val="21"/>
          <w:highlight w:val="none"/>
        </w:rPr>
      </w:pPr>
      <w:r>
        <w:rPr>
          <w:rFonts w:hint="eastAsia" w:ascii="宋体" w:hAnsi="宋体" w:eastAsia="宋体" w:cs="宋体"/>
          <w:b w:val="0"/>
          <w:bCs/>
          <w:color w:val="auto"/>
          <w:sz w:val="21"/>
          <w:szCs w:val="21"/>
          <w:highlight w:val="none"/>
          <w:lang w:val="en-US" w:eastAsia="zh-CN"/>
        </w:rPr>
        <w:t>合同</w:t>
      </w:r>
      <w:r>
        <w:rPr>
          <w:rFonts w:hint="eastAsia" w:ascii="宋体" w:eastAsia="宋体" w:cs="宋体"/>
          <w:color w:val="auto"/>
          <w:sz w:val="21"/>
          <w:szCs w:val="21"/>
          <w:highlight w:val="none"/>
        </w:rPr>
        <w:t>附件</w:t>
      </w:r>
      <w:r>
        <w:rPr>
          <w:rFonts w:hint="eastAsia" w:ascii="宋体" w:eastAsia="宋体" w:cs="宋体"/>
          <w:color w:val="auto"/>
          <w:sz w:val="21"/>
          <w:szCs w:val="21"/>
          <w:highlight w:val="none"/>
          <w:lang w:val="en-US" w:eastAsia="zh-CN"/>
        </w:rPr>
        <w:t>2</w:t>
      </w:r>
      <w:r>
        <w:rPr>
          <w:rFonts w:hint="eastAsia" w:ascii="宋体" w:eastAsia="宋体" w:cs="宋体"/>
          <w:color w:val="auto"/>
          <w:sz w:val="21"/>
          <w:szCs w:val="21"/>
          <w:highlight w:val="none"/>
        </w:rPr>
        <w:t>：《运输人员花名册》</w:t>
      </w:r>
    </w:p>
    <w:p w14:paraId="0E51D578">
      <w:pPr>
        <w:pStyle w:val="42"/>
        <w:spacing w:line="400" w:lineRule="exact"/>
        <w:ind w:firstLine="433"/>
        <w:rPr>
          <w:rFonts w:ascii="宋体" w:eastAsia="宋体" w:cs="宋体"/>
          <w:color w:val="auto"/>
          <w:sz w:val="21"/>
          <w:szCs w:val="21"/>
          <w:highlight w:val="none"/>
        </w:rPr>
      </w:pPr>
      <w:r>
        <w:rPr>
          <w:rFonts w:hint="eastAsia" w:ascii="宋体" w:hAnsi="宋体" w:eastAsia="宋体" w:cs="宋体"/>
          <w:b w:val="0"/>
          <w:bCs/>
          <w:color w:val="auto"/>
          <w:sz w:val="21"/>
          <w:szCs w:val="21"/>
          <w:highlight w:val="none"/>
          <w:lang w:val="en-US" w:eastAsia="zh-CN"/>
        </w:rPr>
        <w:t>合同</w:t>
      </w:r>
      <w:r>
        <w:rPr>
          <w:rFonts w:hint="eastAsia" w:ascii="宋体" w:eastAsia="宋体" w:cs="宋体"/>
          <w:color w:val="auto"/>
          <w:sz w:val="21"/>
          <w:szCs w:val="21"/>
          <w:highlight w:val="none"/>
        </w:rPr>
        <w:t>附件3：《</w:t>
      </w:r>
      <w:r>
        <w:rPr>
          <w:rFonts w:hint="eastAsia" w:ascii="宋体" w:eastAsia="宋体" w:cs="宋体"/>
          <w:color w:val="auto"/>
          <w:sz w:val="21"/>
          <w:szCs w:val="21"/>
          <w:highlight w:val="none"/>
          <w:lang w:val="en-US" w:eastAsia="zh-CN"/>
        </w:rPr>
        <w:t>危险废物运输费单价表</w:t>
      </w:r>
      <w:r>
        <w:rPr>
          <w:rFonts w:hint="eastAsia" w:ascii="宋体" w:eastAsia="宋体" w:cs="宋体"/>
          <w:color w:val="auto"/>
          <w:sz w:val="21"/>
          <w:szCs w:val="21"/>
          <w:highlight w:val="none"/>
        </w:rPr>
        <w:t>》</w:t>
      </w:r>
    </w:p>
    <w:p w14:paraId="45D7454C">
      <w:pPr>
        <w:pStyle w:val="42"/>
        <w:spacing w:line="400" w:lineRule="exact"/>
        <w:ind w:firstLine="433"/>
        <w:rPr>
          <w:rFonts w:hint="eastAsia" w:ascii="宋体" w:eastAsia="宋体" w:cs="宋体"/>
          <w:color w:val="auto"/>
          <w:sz w:val="21"/>
          <w:szCs w:val="21"/>
          <w:highlight w:val="none"/>
        </w:rPr>
      </w:pPr>
      <w:r>
        <w:rPr>
          <w:rFonts w:hint="eastAsia" w:ascii="宋体" w:hAnsi="宋体" w:eastAsia="宋体" w:cs="宋体"/>
          <w:b w:val="0"/>
          <w:bCs/>
          <w:color w:val="auto"/>
          <w:sz w:val="21"/>
          <w:szCs w:val="21"/>
          <w:highlight w:val="none"/>
          <w:lang w:val="en-US" w:eastAsia="zh-CN"/>
        </w:rPr>
        <w:t>合同</w:t>
      </w:r>
      <w:r>
        <w:rPr>
          <w:rFonts w:hint="eastAsia" w:ascii="宋体" w:eastAsia="宋体" w:cs="宋体"/>
          <w:color w:val="auto"/>
          <w:sz w:val="21"/>
          <w:szCs w:val="21"/>
          <w:highlight w:val="none"/>
        </w:rPr>
        <w:t>附件4：《运输杂费及计费规则》</w:t>
      </w:r>
    </w:p>
    <w:p w14:paraId="7CBB886C">
      <w:pPr>
        <w:pStyle w:val="42"/>
        <w:spacing w:line="400" w:lineRule="exact"/>
        <w:ind w:firstLine="433"/>
        <w:rPr>
          <w:rFonts w:ascii="宋体" w:eastAsia="宋体" w:cs="宋体"/>
          <w:color w:val="auto"/>
          <w:sz w:val="21"/>
          <w:szCs w:val="21"/>
          <w:highlight w:val="none"/>
        </w:rPr>
      </w:pPr>
      <w:r>
        <w:rPr>
          <w:rFonts w:hint="eastAsia" w:ascii="宋体" w:hAnsi="宋体" w:eastAsia="宋体" w:cs="宋体"/>
          <w:b w:val="0"/>
          <w:bCs/>
          <w:color w:val="auto"/>
          <w:sz w:val="21"/>
          <w:szCs w:val="21"/>
          <w:highlight w:val="none"/>
          <w:lang w:val="en-US" w:eastAsia="zh-CN"/>
        </w:rPr>
        <w:t>合同</w:t>
      </w:r>
      <w:r>
        <w:rPr>
          <w:rFonts w:hint="eastAsia" w:ascii="宋体" w:eastAsia="宋体" w:cs="宋体"/>
          <w:color w:val="auto"/>
          <w:sz w:val="21"/>
          <w:szCs w:val="21"/>
          <w:highlight w:val="none"/>
        </w:rPr>
        <w:t>附件</w:t>
      </w:r>
      <w:r>
        <w:rPr>
          <w:rFonts w:hint="eastAsia" w:ascii="宋体" w:eastAsia="宋体" w:cs="宋体"/>
          <w:color w:val="auto"/>
          <w:sz w:val="21"/>
          <w:szCs w:val="21"/>
          <w:highlight w:val="none"/>
          <w:lang w:val="en-US" w:eastAsia="zh-CN"/>
        </w:rPr>
        <w:t>5</w:t>
      </w:r>
      <w:r>
        <w:rPr>
          <w:rFonts w:hint="eastAsia" w:ascii="宋体" w:eastAsia="宋体" w:cs="宋体"/>
          <w:color w:val="auto"/>
          <w:sz w:val="21"/>
          <w:szCs w:val="21"/>
          <w:highlight w:val="none"/>
        </w:rPr>
        <w:t>：《东莞市新东欣环保投资有限公司承运单位违规行为处罚条款》</w:t>
      </w:r>
    </w:p>
    <w:p w14:paraId="40196064">
      <w:pPr>
        <w:pStyle w:val="42"/>
        <w:spacing w:line="400" w:lineRule="exact"/>
        <w:ind w:firstLine="433"/>
        <w:rPr>
          <w:rFonts w:ascii="宋体" w:eastAsia="宋体" w:cs="宋体"/>
          <w:color w:val="auto"/>
          <w:sz w:val="21"/>
          <w:szCs w:val="21"/>
          <w:highlight w:val="none"/>
        </w:rPr>
      </w:pPr>
      <w:r>
        <w:rPr>
          <w:rFonts w:hint="eastAsia" w:ascii="宋体" w:hAnsi="宋体" w:eastAsia="宋体" w:cs="宋体"/>
          <w:b w:val="0"/>
          <w:bCs/>
          <w:color w:val="auto"/>
          <w:sz w:val="21"/>
          <w:szCs w:val="21"/>
          <w:highlight w:val="none"/>
          <w:lang w:val="en-US" w:eastAsia="zh-CN"/>
        </w:rPr>
        <w:t>合同</w:t>
      </w:r>
      <w:r>
        <w:rPr>
          <w:rFonts w:hint="eastAsia" w:ascii="宋体" w:eastAsia="宋体" w:cs="宋体"/>
          <w:color w:val="auto"/>
          <w:sz w:val="21"/>
          <w:szCs w:val="21"/>
          <w:highlight w:val="none"/>
        </w:rPr>
        <w:t>附件6：《运输商季度考核评分表》</w:t>
      </w:r>
    </w:p>
    <w:p w14:paraId="287A5516">
      <w:pPr>
        <w:pStyle w:val="42"/>
        <w:spacing w:line="400" w:lineRule="exact"/>
        <w:ind w:firstLine="433"/>
        <w:rPr>
          <w:rFonts w:ascii="宋体" w:eastAsia="宋体" w:cs="宋体"/>
          <w:color w:val="auto"/>
          <w:sz w:val="21"/>
          <w:szCs w:val="21"/>
          <w:highlight w:val="none"/>
        </w:rPr>
      </w:pPr>
      <w:r>
        <w:rPr>
          <w:rFonts w:hint="eastAsia" w:ascii="宋体" w:hAnsi="宋体" w:eastAsia="宋体" w:cs="宋体"/>
          <w:b w:val="0"/>
          <w:bCs/>
          <w:color w:val="auto"/>
          <w:sz w:val="21"/>
          <w:szCs w:val="21"/>
          <w:highlight w:val="none"/>
          <w:lang w:val="en-US" w:eastAsia="zh-CN"/>
        </w:rPr>
        <w:t>合同</w:t>
      </w:r>
      <w:r>
        <w:rPr>
          <w:rFonts w:hint="eastAsia" w:ascii="宋体" w:eastAsia="宋体" w:cs="宋体"/>
          <w:color w:val="auto"/>
          <w:sz w:val="21"/>
          <w:szCs w:val="21"/>
          <w:highlight w:val="none"/>
        </w:rPr>
        <w:t>附件</w:t>
      </w:r>
      <w:r>
        <w:rPr>
          <w:rFonts w:hint="eastAsia" w:ascii="宋体" w:eastAsia="宋体" w:cs="宋体"/>
          <w:color w:val="auto"/>
          <w:sz w:val="21"/>
          <w:szCs w:val="21"/>
          <w:highlight w:val="none"/>
          <w:lang w:val="en-US" w:eastAsia="zh-CN"/>
        </w:rPr>
        <w:t>7</w:t>
      </w:r>
      <w:r>
        <w:rPr>
          <w:rFonts w:hint="eastAsia" w:ascii="宋体" w:eastAsia="宋体" w:cs="宋体"/>
          <w:color w:val="auto"/>
          <w:sz w:val="21"/>
          <w:szCs w:val="21"/>
          <w:highlight w:val="none"/>
        </w:rPr>
        <w:t xml:space="preserve">：《运输单位搬运费分级标准》 </w:t>
      </w:r>
    </w:p>
    <w:p w14:paraId="698306D6">
      <w:pPr>
        <w:pStyle w:val="42"/>
        <w:spacing w:line="400" w:lineRule="exact"/>
        <w:ind w:firstLine="433"/>
        <w:rPr>
          <w:rFonts w:hint="eastAsia" w:ascii="宋体" w:eastAsia="宋体" w:cs="宋体"/>
          <w:color w:val="auto"/>
          <w:sz w:val="21"/>
          <w:szCs w:val="21"/>
          <w:highlight w:val="none"/>
        </w:rPr>
      </w:pPr>
      <w:bookmarkStart w:id="889" w:name="OLE_LINK2"/>
      <w:r>
        <w:rPr>
          <w:rFonts w:hint="eastAsia" w:ascii="宋体" w:hAnsi="宋体" w:eastAsia="宋体" w:cs="宋体"/>
          <w:b w:val="0"/>
          <w:bCs/>
          <w:color w:val="auto"/>
          <w:sz w:val="21"/>
          <w:szCs w:val="21"/>
          <w:highlight w:val="none"/>
          <w:lang w:val="en-US" w:eastAsia="zh-CN"/>
        </w:rPr>
        <w:t>合同</w:t>
      </w:r>
      <w:r>
        <w:rPr>
          <w:rFonts w:hint="eastAsia" w:ascii="宋体" w:eastAsia="宋体" w:cs="宋体"/>
          <w:color w:val="auto"/>
          <w:sz w:val="21"/>
          <w:szCs w:val="21"/>
          <w:highlight w:val="none"/>
        </w:rPr>
        <w:t>附件8</w:t>
      </w:r>
      <w:bookmarkEnd w:id="889"/>
      <w:r>
        <w:rPr>
          <w:rFonts w:hint="eastAsia" w:ascii="宋体" w:eastAsia="宋体" w:cs="宋体"/>
          <w:color w:val="auto"/>
          <w:sz w:val="21"/>
          <w:szCs w:val="21"/>
          <w:highlight w:val="none"/>
        </w:rPr>
        <w:t>：《承运单》</w:t>
      </w:r>
    </w:p>
    <w:p w14:paraId="5D630BFE">
      <w:pPr>
        <w:pStyle w:val="42"/>
        <w:spacing w:line="400" w:lineRule="exact"/>
        <w:ind w:firstLine="433"/>
        <w:rPr>
          <w:rFonts w:hint="eastAsia" w:ascii="宋体" w:eastAsia="宋体" w:cs="宋体"/>
          <w:color w:val="auto"/>
          <w:sz w:val="21"/>
          <w:szCs w:val="21"/>
          <w:highlight w:val="none"/>
          <w:lang w:val="en-US" w:eastAsia="zh-CN"/>
        </w:rPr>
      </w:pPr>
      <w:r>
        <w:rPr>
          <w:rFonts w:hint="eastAsia" w:ascii="宋体" w:eastAsia="宋体" w:cs="宋体"/>
          <w:color w:val="auto"/>
          <w:sz w:val="21"/>
          <w:szCs w:val="21"/>
          <w:highlight w:val="none"/>
        </w:rPr>
        <w:t>合同附件</w:t>
      </w:r>
      <w:r>
        <w:rPr>
          <w:rFonts w:hint="eastAsia" w:ascii="宋体" w:eastAsia="宋体" w:cs="宋体"/>
          <w:color w:val="auto"/>
          <w:sz w:val="21"/>
          <w:szCs w:val="21"/>
          <w:highlight w:val="none"/>
          <w:lang w:val="en-US" w:eastAsia="zh-CN"/>
        </w:rPr>
        <w:t>9：《</w:t>
      </w:r>
      <w:r>
        <w:rPr>
          <w:rFonts w:hint="eastAsia" w:ascii="宋体" w:eastAsia="宋体" w:cs="宋体"/>
          <w:color w:val="auto"/>
          <w:sz w:val="21"/>
          <w:szCs w:val="21"/>
          <w:highlight w:val="none"/>
        </w:rPr>
        <w:t>东莞市新东欣环保投资有限公司202</w:t>
      </w:r>
      <w:r>
        <w:rPr>
          <w:rFonts w:hint="eastAsia" w:ascii="宋体" w:eastAsia="宋体" w:cs="宋体"/>
          <w:color w:val="auto"/>
          <w:sz w:val="21"/>
          <w:szCs w:val="21"/>
          <w:highlight w:val="none"/>
          <w:lang w:val="en-US" w:eastAsia="zh-CN"/>
        </w:rPr>
        <w:t>5</w:t>
      </w:r>
      <w:r>
        <w:rPr>
          <w:rFonts w:hint="eastAsia" w:ascii="宋体" w:eastAsia="宋体" w:cs="宋体"/>
          <w:color w:val="auto"/>
          <w:sz w:val="21"/>
          <w:szCs w:val="21"/>
          <w:highlight w:val="none"/>
        </w:rPr>
        <w:t>-202</w:t>
      </w:r>
      <w:r>
        <w:rPr>
          <w:rFonts w:hint="eastAsia" w:ascii="宋体" w:eastAsia="宋体" w:cs="宋体"/>
          <w:color w:val="auto"/>
          <w:sz w:val="21"/>
          <w:szCs w:val="21"/>
          <w:highlight w:val="none"/>
          <w:lang w:val="en-US" w:eastAsia="zh-CN"/>
        </w:rPr>
        <w:t>6</w:t>
      </w:r>
      <w:r>
        <w:rPr>
          <w:rFonts w:hint="eastAsia" w:ascii="宋体" w:eastAsia="宋体" w:cs="宋体"/>
          <w:color w:val="auto"/>
          <w:sz w:val="21"/>
          <w:szCs w:val="21"/>
          <w:highlight w:val="none"/>
        </w:rPr>
        <w:t>年度危险废物运输服务技术需求书</w:t>
      </w:r>
      <w:r>
        <w:rPr>
          <w:rFonts w:hint="eastAsia" w:ascii="宋体" w:eastAsia="宋体" w:cs="宋体"/>
          <w:color w:val="auto"/>
          <w:sz w:val="21"/>
          <w:szCs w:val="21"/>
          <w:highlight w:val="none"/>
          <w:lang w:val="en-US" w:eastAsia="zh-CN"/>
        </w:rPr>
        <w:t>》</w:t>
      </w:r>
    </w:p>
    <w:p w14:paraId="0470CCFC">
      <w:pPr>
        <w:pStyle w:val="42"/>
        <w:spacing w:line="400" w:lineRule="exact"/>
        <w:ind w:firstLine="433"/>
        <w:rPr>
          <w:rFonts w:ascii="宋体" w:eastAsia="宋体" w:cs="宋体"/>
          <w:color w:val="auto"/>
          <w:sz w:val="21"/>
          <w:szCs w:val="21"/>
          <w:highlight w:val="none"/>
        </w:rPr>
      </w:pPr>
      <w:r>
        <w:rPr>
          <w:rFonts w:hint="eastAsia" w:ascii="宋体" w:hAnsi="宋体" w:eastAsia="宋体" w:cs="宋体"/>
          <w:b w:val="0"/>
          <w:bCs/>
          <w:color w:val="auto"/>
          <w:sz w:val="21"/>
          <w:szCs w:val="21"/>
          <w:highlight w:val="none"/>
          <w:lang w:val="en-US" w:eastAsia="zh-CN"/>
        </w:rPr>
        <w:t>合同</w:t>
      </w:r>
      <w:r>
        <w:rPr>
          <w:rFonts w:hint="eastAsia" w:ascii="宋体" w:eastAsia="宋体" w:cs="宋体"/>
          <w:color w:val="auto"/>
          <w:sz w:val="21"/>
          <w:szCs w:val="21"/>
          <w:highlight w:val="none"/>
        </w:rPr>
        <w:t>附件</w:t>
      </w:r>
      <w:r>
        <w:rPr>
          <w:rFonts w:hint="eastAsia" w:ascii="宋体" w:eastAsia="宋体" w:cs="宋体"/>
          <w:color w:val="auto"/>
          <w:sz w:val="21"/>
          <w:szCs w:val="21"/>
          <w:highlight w:val="none"/>
          <w:lang w:val="en-US" w:eastAsia="zh-CN"/>
        </w:rPr>
        <w:t>10</w:t>
      </w:r>
      <w:r>
        <w:rPr>
          <w:rFonts w:hint="eastAsia" w:ascii="宋体" w:eastAsia="宋体" w:cs="宋体"/>
          <w:color w:val="auto"/>
          <w:sz w:val="21"/>
          <w:szCs w:val="21"/>
          <w:highlight w:val="none"/>
        </w:rPr>
        <w:t>：《阳光合作协议》</w:t>
      </w:r>
    </w:p>
    <w:p w14:paraId="20B1A629">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（以下无正文）</w:t>
      </w:r>
    </w:p>
    <w:p w14:paraId="323374AF">
      <w:pPr>
        <w:pStyle w:val="42"/>
        <w:ind w:firstLine="433"/>
        <w:rPr>
          <w:rFonts w:ascii="宋体" w:eastAsia="宋体" w:cs="宋体"/>
          <w:color w:val="auto"/>
          <w:sz w:val="21"/>
          <w:szCs w:val="21"/>
          <w:highlight w:val="none"/>
        </w:rPr>
      </w:pPr>
    </w:p>
    <w:p w14:paraId="73F48773">
      <w:pPr>
        <w:pStyle w:val="42"/>
        <w:ind w:firstLine="433"/>
        <w:rPr>
          <w:rFonts w:ascii="宋体" w:eastAsia="宋体" w:cs="宋体"/>
          <w:color w:val="auto"/>
          <w:sz w:val="21"/>
          <w:szCs w:val="21"/>
          <w:highlight w:val="none"/>
        </w:rPr>
      </w:pPr>
      <w:r>
        <w:rPr>
          <w:rFonts w:hint="eastAsia" w:ascii="宋体" w:eastAsia="宋体" w:cs="宋体"/>
          <w:color w:val="auto"/>
          <w:sz w:val="21"/>
          <w:szCs w:val="21"/>
          <w:highlight w:val="none"/>
        </w:rPr>
        <w:t>（签署页）</w:t>
      </w:r>
    </w:p>
    <w:p w14:paraId="1DD41B81">
      <w:pPr>
        <w:pStyle w:val="42"/>
        <w:ind w:firstLine="0" w:firstLineChars="0"/>
        <w:rPr>
          <w:rFonts w:ascii="宋体" w:eastAsia="宋体" w:cs="宋体"/>
          <w:color w:val="auto"/>
          <w:sz w:val="21"/>
          <w:szCs w:val="21"/>
          <w:highlight w:val="none"/>
        </w:rPr>
      </w:pPr>
      <w:r>
        <w:rPr>
          <w:rFonts w:hint="eastAsia" w:ascii="宋体" w:eastAsia="宋体" w:cs="宋体"/>
          <w:color w:val="auto"/>
          <w:sz w:val="21"/>
          <w:szCs w:val="21"/>
          <w:highlight w:val="none"/>
        </w:rPr>
        <w:t xml:space="preserve">甲方（盖章）：                                       乙方（盖章）： </w:t>
      </w:r>
    </w:p>
    <w:p w14:paraId="405ED6F7">
      <w:pPr>
        <w:pStyle w:val="42"/>
        <w:ind w:firstLine="0" w:firstLineChars="0"/>
        <w:rPr>
          <w:rFonts w:ascii="宋体" w:eastAsia="宋体" w:cs="宋体"/>
          <w:color w:val="auto"/>
          <w:sz w:val="21"/>
          <w:szCs w:val="21"/>
          <w:highlight w:val="none"/>
        </w:rPr>
      </w:pPr>
      <w:r>
        <w:rPr>
          <w:rFonts w:hint="eastAsia" w:ascii="宋体" w:eastAsia="宋体" w:cs="宋体"/>
          <w:color w:val="auto"/>
          <w:sz w:val="21"/>
          <w:szCs w:val="21"/>
          <w:highlight w:val="none"/>
        </w:rPr>
        <w:t xml:space="preserve">法定代表人（签章）：                                 法定代表人（签章）： </w:t>
      </w:r>
    </w:p>
    <w:p w14:paraId="3B52D71B">
      <w:pPr>
        <w:pStyle w:val="42"/>
        <w:ind w:firstLine="0" w:firstLineChars="0"/>
        <w:rPr>
          <w:rFonts w:ascii="宋体" w:eastAsia="宋体" w:cs="宋体"/>
          <w:color w:val="auto"/>
          <w:sz w:val="21"/>
          <w:szCs w:val="21"/>
          <w:highlight w:val="none"/>
        </w:rPr>
      </w:pPr>
      <w:r>
        <w:rPr>
          <w:rFonts w:hint="eastAsia" w:ascii="宋体" w:eastAsia="宋体" w:cs="宋体"/>
          <w:color w:val="auto"/>
          <w:sz w:val="21"/>
          <w:szCs w:val="21"/>
          <w:highlight w:val="none"/>
        </w:rPr>
        <w:t>或授权委托人（签字）：                               或授权委托人（签字）：</w:t>
      </w:r>
    </w:p>
    <w:p w14:paraId="6EA314BB">
      <w:pPr>
        <w:outlineLvl w:val="9"/>
        <w:rPr>
          <w:rFonts w:ascii="宋体" w:hAnsi="宋体"/>
          <w:b/>
          <w:color w:val="auto"/>
          <w:sz w:val="24"/>
          <w:highlight w:val="none"/>
        </w:rPr>
      </w:pPr>
      <w:r>
        <w:rPr>
          <w:rFonts w:hint="eastAsia" w:ascii="宋体" w:cs="宋体"/>
          <w:color w:val="auto"/>
          <w:szCs w:val="21"/>
          <w:highlight w:val="none"/>
        </w:rPr>
        <w:t>年       月       日                                   年        月       日</w:t>
      </w:r>
      <w:r>
        <w:rPr>
          <w:rFonts w:ascii="宋体" w:hAnsi="宋体"/>
          <w:b/>
          <w:color w:val="auto"/>
          <w:sz w:val="24"/>
          <w:highlight w:val="none"/>
        </w:rPr>
        <w:br w:type="page"/>
      </w:r>
    </w:p>
    <w:p w14:paraId="2C9291BF">
      <w:pPr>
        <w:outlineLvl w:val="1"/>
        <w:rPr>
          <w:rFonts w:ascii="宋体" w:hAnsi="宋体"/>
          <w:b/>
          <w:color w:val="auto"/>
          <w:sz w:val="21"/>
          <w:szCs w:val="21"/>
          <w:highlight w:val="none"/>
        </w:rPr>
      </w:pPr>
      <w:bookmarkStart w:id="890" w:name="_Toc10186"/>
      <w:bookmarkStart w:id="891" w:name="_Toc29714"/>
      <w:bookmarkStart w:id="892" w:name="_Toc18791"/>
      <w:bookmarkStart w:id="893" w:name="_Toc22266"/>
      <w:bookmarkStart w:id="894" w:name="_Toc7549"/>
      <w:bookmarkStart w:id="895" w:name="_Toc6490"/>
      <w:bookmarkStart w:id="896" w:name="_Toc22062"/>
      <w:bookmarkStart w:id="897" w:name="_Toc25562"/>
      <w:bookmarkStart w:id="898" w:name="_Toc28684"/>
      <w:bookmarkStart w:id="899" w:name="_Toc18133"/>
      <w:bookmarkStart w:id="900" w:name="_Toc25582"/>
      <w:r>
        <w:rPr>
          <w:rFonts w:hint="eastAsia" w:ascii="宋体" w:hAnsi="宋体"/>
          <w:b/>
          <w:color w:val="auto"/>
          <w:sz w:val="21"/>
          <w:szCs w:val="21"/>
          <w:highlight w:val="none"/>
          <w:lang w:val="en-US" w:eastAsia="zh-CN"/>
        </w:rPr>
        <w:t>合同</w:t>
      </w:r>
      <w:r>
        <w:rPr>
          <w:rFonts w:hint="eastAsia" w:ascii="宋体" w:hAnsi="宋体"/>
          <w:b/>
          <w:color w:val="auto"/>
          <w:sz w:val="21"/>
          <w:szCs w:val="21"/>
          <w:highlight w:val="none"/>
        </w:rPr>
        <w:t>附件</w:t>
      </w:r>
      <w:r>
        <w:rPr>
          <w:rFonts w:hint="eastAsia" w:ascii="宋体" w:hAnsi="宋体"/>
          <w:b/>
          <w:color w:val="auto"/>
          <w:sz w:val="21"/>
          <w:szCs w:val="21"/>
          <w:highlight w:val="none"/>
          <w:lang w:val="en-US" w:eastAsia="zh-CN"/>
        </w:rPr>
        <w:t>1</w:t>
      </w:r>
      <w:r>
        <w:rPr>
          <w:rFonts w:hint="eastAsia" w:ascii="宋体" w:hAnsi="宋体"/>
          <w:b/>
          <w:color w:val="auto"/>
          <w:sz w:val="21"/>
          <w:szCs w:val="21"/>
          <w:highlight w:val="none"/>
        </w:rPr>
        <w:t>：《运输车辆名册》</w:t>
      </w:r>
      <w:bookmarkEnd w:id="890"/>
      <w:bookmarkEnd w:id="891"/>
      <w:bookmarkEnd w:id="892"/>
      <w:bookmarkEnd w:id="893"/>
      <w:bookmarkEnd w:id="894"/>
      <w:bookmarkEnd w:id="895"/>
    </w:p>
    <w:tbl>
      <w:tblPr>
        <w:tblStyle w:val="28"/>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8"/>
        <w:gridCol w:w="2393"/>
        <w:gridCol w:w="2633"/>
        <w:gridCol w:w="2525"/>
      </w:tblGrid>
      <w:tr w14:paraId="5C7C51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68" w:type="pct"/>
          </w:tcPr>
          <w:p w14:paraId="64E453F5">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序号</w:t>
            </w:r>
          </w:p>
        </w:tc>
        <w:tc>
          <w:tcPr>
            <w:tcW w:w="1404" w:type="pct"/>
          </w:tcPr>
          <w:p w14:paraId="12C6A466">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车牌号</w:t>
            </w:r>
          </w:p>
        </w:tc>
        <w:tc>
          <w:tcPr>
            <w:tcW w:w="1545" w:type="pct"/>
          </w:tcPr>
          <w:p w14:paraId="575F5BD6">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车型</w:t>
            </w:r>
          </w:p>
        </w:tc>
        <w:tc>
          <w:tcPr>
            <w:tcW w:w="1481" w:type="pct"/>
          </w:tcPr>
          <w:p w14:paraId="4E3BA2DC">
            <w:pPr>
              <w:widowControl w:val="0"/>
              <w:adjustRightInd/>
              <w:snapToGrid/>
              <w:spacing w:line="360" w:lineRule="exact"/>
              <w:ind w:firstLine="660" w:firstLineChars="300"/>
              <w:rPr>
                <w:rFonts w:ascii="宋体" w:hAnsi="宋体" w:cs="宋体"/>
                <w:color w:val="auto"/>
                <w:sz w:val="22"/>
                <w:highlight w:val="none"/>
              </w:rPr>
            </w:pPr>
            <w:r>
              <w:rPr>
                <w:rFonts w:hint="eastAsia" w:ascii="宋体" w:hAnsi="宋体" w:cs="宋体"/>
                <w:color w:val="auto"/>
                <w:sz w:val="22"/>
                <w:highlight w:val="none"/>
              </w:rPr>
              <w:t>备注</w:t>
            </w:r>
          </w:p>
        </w:tc>
      </w:tr>
      <w:tr w14:paraId="706E78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4FFFACCA">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w:t>
            </w:r>
          </w:p>
        </w:tc>
        <w:tc>
          <w:tcPr>
            <w:tcW w:w="1404" w:type="pct"/>
          </w:tcPr>
          <w:p w14:paraId="73769ECD">
            <w:pPr>
              <w:widowControl w:val="0"/>
              <w:adjustRightInd/>
              <w:snapToGrid/>
              <w:spacing w:line="360" w:lineRule="exact"/>
              <w:rPr>
                <w:rFonts w:ascii="宋体" w:hAnsi="宋体" w:cs="宋体"/>
                <w:color w:val="auto"/>
                <w:sz w:val="22"/>
                <w:highlight w:val="none"/>
              </w:rPr>
            </w:pPr>
          </w:p>
        </w:tc>
        <w:tc>
          <w:tcPr>
            <w:tcW w:w="1545" w:type="pct"/>
          </w:tcPr>
          <w:p w14:paraId="0B4C283B">
            <w:pPr>
              <w:widowControl w:val="0"/>
              <w:adjustRightInd/>
              <w:snapToGrid/>
              <w:spacing w:line="360" w:lineRule="exact"/>
              <w:rPr>
                <w:rFonts w:ascii="宋体" w:hAnsi="宋体" w:cs="宋体"/>
                <w:color w:val="auto"/>
                <w:sz w:val="22"/>
                <w:highlight w:val="none"/>
              </w:rPr>
            </w:pPr>
          </w:p>
        </w:tc>
        <w:tc>
          <w:tcPr>
            <w:tcW w:w="1481" w:type="pct"/>
          </w:tcPr>
          <w:p w14:paraId="023CAC62">
            <w:pPr>
              <w:widowControl w:val="0"/>
              <w:adjustRightInd/>
              <w:snapToGrid/>
              <w:spacing w:line="360" w:lineRule="exact"/>
              <w:rPr>
                <w:rFonts w:ascii="宋体" w:hAnsi="宋体" w:cs="宋体"/>
                <w:color w:val="auto"/>
                <w:sz w:val="22"/>
                <w:highlight w:val="none"/>
              </w:rPr>
            </w:pPr>
          </w:p>
        </w:tc>
      </w:tr>
      <w:tr w14:paraId="41E4AF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18CFB832">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2</w:t>
            </w:r>
          </w:p>
        </w:tc>
        <w:tc>
          <w:tcPr>
            <w:tcW w:w="1404" w:type="pct"/>
          </w:tcPr>
          <w:p w14:paraId="601DDCE5">
            <w:pPr>
              <w:widowControl w:val="0"/>
              <w:adjustRightInd/>
              <w:snapToGrid/>
              <w:spacing w:line="360" w:lineRule="exact"/>
              <w:rPr>
                <w:rFonts w:ascii="宋体" w:hAnsi="宋体" w:cs="宋体"/>
                <w:color w:val="auto"/>
                <w:sz w:val="22"/>
                <w:highlight w:val="none"/>
              </w:rPr>
            </w:pPr>
          </w:p>
        </w:tc>
        <w:tc>
          <w:tcPr>
            <w:tcW w:w="1545" w:type="pct"/>
          </w:tcPr>
          <w:p w14:paraId="30E3EA16">
            <w:pPr>
              <w:widowControl w:val="0"/>
              <w:adjustRightInd/>
              <w:snapToGrid/>
              <w:spacing w:line="360" w:lineRule="exact"/>
              <w:rPr>
                <w:rFonts w:ascii="宋体" w:hAnsi="宋体" w:cs="宋体"/>
                <w:color w:val="auto"/>
                <w:sz w:val="22"/>
                <w:highlight w:val="none"/>
              </w:rPr>
            </w:pPr>
          </w:p>
        </w:tc>
        <w:tc>
          <w:tcPr>
            <w:tcW w:w="1481" w:type="pct"/>
          </w:tcPr>
          <w:p w14:paraId="0DA0178F">
            <w:pPr>
              <w:widowControl w:val="0"/>
              <w:adjustRightInd/>
              <w:snapToGrid/>
              <w:spacing w:line="360" w:lineRule="exact"/>
              <w:rPr>
                <w:rFonts w:ascii="宋体" w:hAnsi="宋体" w:cs="宋体"/>
                <w:color w:val="auto"/>
                <w:sz w:val="22"/>
                <w:highlight w:val="none"/>
              </w:rPr>
            </w:pPr>
          </w:p>
        </w:tc>
      </w:tr>
      <w:tr w14:paraId="3FE0AE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B1A3D11">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3</w:t>
            </w:r>
          </w:p>
        </w:tc>
        <w:tc>
          <w:tcPr>
            <w:tcW w:w="1404" w:type="pct"/>
          </w:tcPr>
          <w:p w14:paraId="6A7D4FC7">
            <w:pPr>
              <w:widowControl w:val="0"/>
              <w:adjustRightInd/>
              <w:snapToGrid/>
              <w:spacing w:line="360" w:lineRule="exact"/>
              <w:rPr>
                <w:rFonts w:ascii="宋体" w:hAnsi="宋体" w:cs="宋体"/>
                <w:color w:val="auto"/>
                <w:sz w:val="22"/>
                <w:highlight w:val="none"/>
              </w:rPr>
            </w:pPr>
          </w:p>
        </w:tc>
        <w:tc>
          <w:tcPr>
            <w:tcW w:w="1545" w:type="pct"/>
          </w:tcPr>
          <w:p w14:paraId="58873FCA">
            <w:pPr>
              <w:widowControl w:val="0"/>
              <w:adjustRightInd/>
              <w:snapToGrid/>
              <w:spacing w:line="360" w:lineRule="exact"/>
              <w:rPr>
                <w:rFonts w:ascii="宋体" w:hAnsi="宋体" w:cs="宋体"/>
                <w:color w:val="auto"/>
                <w:sz w:val="22"/>
                <w:highlight w:val="none"/>
              </w:rPr>
            </w:pPr>
          </w:p>
        </w:tc>
        <w:tc>
          <w:tcPr>
            <w:tcW w:w="1481" w:type="pct"/>
          </w:tcPr>
          <w:p w14:paraId="4B8191E6">
            <w:pPr>
              <w:widowControl w:val="0"/>
              <w:adjustRightInd/>
              <w:snapToGrid/>
              <w:spacing w:line="360" w:lineRule="exact"/>
              <w:rPr>
                <w:rFonts w:ascii="宋体" w:hAnsi="宋体" w:cs="宋体"/>
                <w:color w:val="auto"/>
                <w:sz w:val="22"/>
                <w:highlight w:val="none"/>
              </w:rPr>
            </w:pPr>
          </w:p>
        </w:tc>
      </w:tr>
      <w:tr w14:paraId="20AC5B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24D0E9B">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4</w:t>
            </w:r>
          </w:p>
        </w:tc>
        <w:tc>
          <w:tcPr>
            <w:tcW w:w="1404" w:type="pct"/>
          </w:tcPr>
          <w:p w14:paraId="57137F93">
            <w:pPr>
              <w:widowControl w:val="0"/>
              <w:adjustRightInd/>
              <w:snapToGrid/>
              <w:spacing w:line="360" w:lineRule="exact"/>
              <w:rPr>
                <w:rFonts w:ascii="宋体" w:hAnsi="宋体" w:cs="宋体"/>
                <w:color w:val="auto"/>
                <w:sz w:val="22"/>
                <w:highlight w:val="none"/>
              </w:rPr>
            </w:pPr>
          </w:p>
        </w:tc>
        <w:tc>
          <w:tcPr>
            <w:tcW w:w="1545" w:type="pct"/>
          </w:tcPr>
          <w:p w14:paraId="722D09DC">
            <w:pPr>
              <w:widowControl w:val="0"/>
              <w:adjustRightInd/>
              <w:snapToGrid/>
              <w:spacing w:line="360" w:lineRule="exact"/>
              <w:rPr>
                <w:rFonts w:ascii="宋体" w:hAnsi="宋体" w:cs="宋体"/>
                <w:color w:val="auto"/>
                <w:sz w:val="22"/>
                <w:highlight w:val="none"/>
              </w:rPr>
            </w:pPr>
          </w:p>
        </w:tc>
        <w:tc>
          <w:tcPr>
            <w:tcW w:w="1481" w:type="pct"/>
          </w:tcPr>
          <w:p w14:paraId="5450D5C0">
            <w:pPr>
              <w:widowControl w:val="0"/>
              <w:adjustRightInd/>
              <w:snapToGrid/>
              <w:spacing w:line="360" w:lineRule="exact"/>
              <w:rPr>
                <w:rFonts w:ascii="宋体" w:hAnsi="宋体" w:cs="宋体"/>
                <w:color w:val="auto"/>
                <w:sz w:val="22"/>
                <w:highlight w:val="none"/>
              </w:rPr>
            </w:pPr>
          </w:p>
        </w:tc>
      </w:tr>
      <w:tr w14:paraId="68B121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4C6DD164">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5</w:t>
            </w:r>
          </w:p>
        </w:tc>
        <w:tc>
          <w:tcPr>
            <w:tcW w:w="1404" w:type="pct"/>
          </w:tcPr>
          <w:p w14:paraId="5074D3AF">
            <w:pPr>
              <w:widowControl w:val="0"/>
              <w:adjustRightInd/>
              <w:snapToGrid/>
              <w:spacing w:line="360" w:lineRule="exact"/>
              <w:rPr>
                <w:rFonts w:ascii="宋体" w:hAnsi="宋体" w:cs="宋体"/>
                <w:color w:val="auto"/>
                <w:sz w:val="22"/>
                <w:highlight w:val="none"/>
              </w:rPr>
            </w:pPr>
          </w:p>
        </w:tc>
        <w:tc>
          <w:tcPr>
            <w:tcW w:w="1545" w:type="pct"/>
          </w:tcPr>
          <w:p w14:paraId="3B5D6564">
            <w:pPr>
              <w:widowControl w:val="0"/>
              <w:adjustRightInd/>
              <w:snapToGrid/>
              <w:spacing w:line="360" w:lineRule="exact"/>
              <w:rPr>
                <w:rFonts w:ascii="宋体" w:hAnsi="宋体" w:cs="宋体"/>
                <w:color w:val="auto"/>
                <w:sz w:val="22"/>
                <w:highlight w:val="none"/>
              </w:rPr>
            </w:pPr>
          </w:p>
        </w:tc>
        <w:tc>
          <w:tcPr>
            <w:tcW w:w="1481" w:type="pct"/>
          </w:tcPr>
          <w:p w14:paraId="4E7A5864">
            <w:pPr>
              <w:widowControl w:val="0"/>
              <w:adjustRightInd/>
              <w:snapToGrid/>
              <w:spacing w:line="360" w:lineRule="exact"/>
              <w:rPr>
                <w:rFonts w:ascii="宋体" w:hAnsi="宋体" w:cs="宋体"/>
                <w:color w:val="auto"/>
                <w:sz w:val="22"/>
                <w:highlight w:val="none"/>
              </w:rPr>
            </w:pPr>
          </w:p>
        </w:tc>
      </w:tr>
      <w:tr w14:paraId="2DF126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4299F17D">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6</w:t>
            </w:r>
          </w:p>
        </w:tc>
        <w:tc>
          <w:tcPr>
            <w:tcW w:w="1404" w:type="pct"/>
          </w:tcPr>
          <w:p w14:paraId="6F4D1043">
            <w:pPr>
              <w:widowControl w:val="0"/>
              <w:adjustRightInd/>
              <w:snapToGrid/>
              <w:spacing w:line="360" w:lineRule="exact"/>
              <w:rPr>
                <w:rFonts w:ascii="宋体" w:hAnsi="宋体" w:cs="宋体"/>
                <w:color w:val="auto"/>
                <w:sz w:val="22"/>
                <w:highlight w:val="none"/>
              </w:rPr>
            </w:pPr>
          </w:p>
        </w:tc>
        <w:tc>
          <w:tcPr>
            <w:tcW w:w="1545" w:type="pct"/>
          </w:tcPr>
          <w:p w14:paraId="2BE1F8E0">
            <w:pPr>
              <w:widowControl w:val="0"/>
              <w:adjustRightInd/>
              <w:snapToGrid/>
              <w:spacing w:line="360" w:lineRule="exact"/>
              <w:rPr>
                <w:rFonts w:ascii="宋体" w:hAnsi="宋体" w:cs="宋体"/>
                <w:color w:val="auto"/>
                <w:sz w:val="22"/>
                <w:highlight w:val="none"/>
              </w:rPr>
            </w:pPr>
          </w:p>
        </w:tc>
        <w:tc>
          <w:tcPr>
            <w:tcW w:w="1481" w:type="pct"/>
          </w:tcPr>
          <w:p w14:paraId="053C65C4">
            <w:pPr>
              <w:widowControl w:val="0"/>
              <w:adjustRightInd/>
              <w:snapToGrid/>
              <w:spacing w:line="360" w:lineRule="exact"/>
              <w:rPr>
                <w:rFonts w:ascii="宋体" w:hAnsi="宋体" w:cs="宋体"/>
                <w:color w:val="auto"/>
                <w:sz w:val="22"/>
                <w:highlight w:val="none"/>
              </w:rPr>
            </w:pPr>
          </w:p>
        </w:tc>
      </w:tr>
      <w:tr w14:paraId="166D46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9790FC9">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7</w:t>
            </w:r>
          </w:p>
        </w:tc>
        <w:tc>
          <w:tcPr>
            <w:tcW w:w="1404" w:type="pct"/>
          </w:tcPr>
          <w:p w14:paraId="1FCBC627">
            <w:pPr>
              <w:widowControl w:val="0"/>
              <w:adjustRightInd/>
              <w:snapToGrid/>
              <w:spacing w:line="360" w:lineRule="exact"/>
              <w:rPr>
                <w:rFonts w:ascii="宋体" w:hAnsi="宋体" w:cs="宋体"/>
                <w:color w:val="auto"/>
                <w:sz w:val="22"/>
                <w:highlight w:val="none"/>
              </w:rPr>
            </w:pPr>
          </w:p>
        </w:tc>
        <w:tc>
          <w:tcPr>
            <w:tcW w:w="1545" w:type="pct"/>
          </w:tcPr>
          <w:p w14:paraId="60290ED4">
            <w:pPr>
              <w:widowControl w:val="0"/>
              <w:adjustRightInd/>
              <w:snapToGrid/>
              <w:spacing w:line="360" w:lineRule="exact"/>
              <w:rPr>
                <w:rFonts w:ascii="宋体" w:hAnsi="宋体" w:cs="宋体"/>
                <w:color w:val="auto"/>
                <w:sz w:val="22"/>
                <w:highlight w:val="none"/>
              </w:rPr>
            </w:pPr>
          </w:p>
        </w:tc>
        <w:tc>
          <w:tcPr>
            <w:tcW w:w="1481" w:type="pct"/>
          </w:tcPr>
          <w:p w14:paraId="7230D22A">
            <w:pPr>
              <w:widowControl w:val="0"/>
              <w:adjustRightInd/>
              <w:snapToGrid/>
              <w:spacing w:line="360" w:lineRule="exact"/>
              <w:rPr>
                <w:rFonts w:ascii="宋体" w:hAnsi="宋体" w:cs="宋体"/>
                <w:color w:val="auto"/>
                <w:sz w:val="22"/>
                <w:highlight w:val="none"/>
              </w:rPr>
            </w:pPr>
          </w:p>
        </w:tc>
      </w:tr>
      <w:tr w14:paraId="35C766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98A6322">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8</w:t>
            </w:r>
          </w:p>
        </w:tc>
        <w:tc>
          <w:tcPr>
            <w:tcW w:w="1404" w:type="pct"/>
          </w:tcPr>
          <w:p w14:paraId="219142B4">
            <w:pPr>
              <w:widowControl w:val="0"/>
              <w:adjustRightInd/>
              <w:snapToGrid/>
              <w:spacing w:line="360" w:lineRule="exact"/>
              <w:rPr>
                <w:rFonts w:ascii="宋体" w:hAnsi="宋体" w:cs="宋体"/>
                <w:color w:val="auto"/>
                <w:sz w:val="22"/>
                <w:highlight w:val="none"/>
              </w:rPr>
            </w:pPr>
          </w:p>
        </w:tc>
        <w:tc>
          <w:tcPr>
            <w:tcW w:w="1545" w:type="pct"/>
          </w:tcPr>
          <w:p w14:paraId="33A427BC">
            <w:pPr>
              <w:widowControl w:val="0"/>
              <w:adjustRightInd/>
              <w:snapToGrid/>
              <w:spacing w:line="360" w:lineRule="exact"/>
              <w:rPr>
                <w:rFonts w:ascii="宋体" w:hAnsi="宋体" w:cs="宋体"/>
                <w:color w:val="auto"/>
                <w:sz w:val="22"/>
                <w:highlight w:val="none"/>
              </w:rPr>
            </w:pPr>
          </w:p>
        </w:tc>
        <w:tc>
          <w:tcPr>
            <w:tcW w:w="1481" w:type="pct"/>
          </w:tcPr>
          <w:p w14:paraId="45E1647C">
            <w:pPr>
              <w:widowControl w:val="0"/>
              <w:adjustRightInd/>
              <w:snapToGrid/>
              <w:spacing w:line="360" w:lineRule="exact"/>
              <w:rPr>
                <w:rFonts w:ascii="宋体" w:hAnsi="宋体" w:cs="宋体"/>
                <w:color w:val="auto"/>
                <w:sz w:val="22"/>
                <w:highlight w:val="none"/>
              </w:rPr>
            </w:pPr>
          </w:p>
        </w:tc>
      </w:tr>
      <w:tr w14:paraId="0E3283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173F830">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9</w:t>
            </w:r>
          </w:p>
        </w:tc>
        <w:tc>
          <w:tcPr>
            <w:tcW w:w="1404" w:type="pct"/>
          </w:tcPr>
          <w:p w14:paraId="7333E99A">
            <w:pPr>
              <w:widowControl w:val="0"/>
              <w:adjustRightInd/>
              <w:snapToGrid/>
              <w:spacing w:line="360" w:lineRule="exact"/>
              <w:rPr>
                <w:rFonts w:ascii="宋体" w:hAnsi="宋体" w:cs="宋体"/>
                <w:color w:val="auto"/>
                <w:sz w:val="22"/>
                <w:highlight w:val="none"/>
              </w:rPr>
            </w:pPr>
          </w:p>
        </w:tc>
        <w:tc>
          <w:tcPr>
            <w:tcW w:w="1545" w:type="pct"/>
          </w:tcPr>
          <w:p w14:paraId="26490FC9">
            <w:pPr>
              <w:widowControl w:val="0"/>
              <w:adjustRightInd/>
              <w:snapToGrid/>
              <w:spacing w:line="360" w:lineRule="exact"/>
              <w:rPr>
                <w:rFonts w:ascii="宋体" w:hAnsi="宋体" w:cs="宋体"/>
                <w:color w:val="auto"/>
                <w:sz w:val="22"/>
                <w:highlight w:val="none"/>
              </w:rPr>
            </w:pPr>
          </w:p>
        </w:tc>
        <w:tc>
          <w:tcPr>
            <w:tcW w:w="1481" w:type="pct"/>
          </w:tcPr>
          <w:p w14:paraId="7D0757E9">
            <w:pPr>
              <w:widowControl w:val="0"/>
              <w:adjustRightInd/>
              <w:snapToGrid/>
              <w:spacing w:line="360" w:lineRule="exact"/>
              <w:rPr>
                <w:rFonts w:ascii="宋体" w:hAnsi="宋体" w:cs="宋体"/>
                <w:color w:val="auto"/>
                <w:sz w:val="22"/>
                <w:highlight w:val="none"/>
              </w:rPr>
            </w:pPr>
          </w:p>
        </w:tc>
      </w:tr>
      <w:tr w14:paraId="7DC1FA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5725BFA6">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10</w:t>
            </w:r>
          </w:p>
        </w:tc>
        <w:tc>
          <w:tcPr>
            <w:tcW w:w="1404" w:type="pct"/>
          </w:tcPr>
          <w:p w14:paraId="641817FD">
            <w:pPr>
              <w:widowControl w:val="0"/>
              <w:adjustRightInd/>
              <w:snapToGrid/>
              <w:spacing w:line="360" w:lineRule="exact"/>
              <w:rPr>
                <w:rFonts w:ascii="宋体" w:hAnsi="宋体" w:cs="宋体"/>
                <w:color w:val="auto"/>
                <w:sz w:val="22"/>
                <w:highlight w:val="none"/>
              </w:rPr>
            </w:pPr>
          </w:p>
        </w:tc>
        <w:tc>
          <w:tcPr>
            <w:tcW w:w="1545" w:type="pct"/>
          </w:tcPr>
          <w:p w14:paraId="30682977">
            <w:pPr>
              <w:widowControl w:val="0"/>
              <w:adjustRightInd/>
              <w:snapToGrid/>
              <w:spacing w:line="360" w:lineRule="exact"/>
              <w:rPr>
                <w:rFonts w:ascii="宋体" w:hAnsi="宋体" w:cs="宋体"/>
                <w:color w:val="auto"/>
                <w:sz w:val="22"/>
                <w:highlight w:val="none"/>
              </w:rPr>
            </w:pPr>
          </w:p>
        </w:tc>
        <w:tc>
          <w:tcPr>
            <w:tcW w:w="1481" w:type="pct"/>
          </w:tcPr>
          <w:p w14:paraId="0BCF6773">
            <w:pPr>
              <w:widowControl w:val="0"/>
              <w:adjustRightInd/>
              <w:snapToGrid/>
              <w:spacing w:line="360" w:lineRule="exact"/>
              <w:rPr>
                <w:rFonts w:ascii="宋体" w:hAnsi="宋体" w:cs="宋体"/>
                <w:color w:val="auto"/>
                <w:sz w:val="22"/>
                <w:highlight w:val="none"/>
              </w:rPr>
            </w:pPr>
          </w:p>
        </w:tc>
      </w:tr>
      <w:tr w14:paraId="5F3A43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6EF7066">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11</w:t>
            </w:r>
          </w:p>
        </w:tc>
        <w:tc>
          <w:tcPr>
            <w:tcW w:w="1404" w:type="pct"/>
          </w:tcPr>
          <w:p w14:paraId="24692830">
            <w:pPr>
              <w:widowControl w:val="0"/>
              <w:adjustRightInd/>
              <w:snapToGrid/>
              <w:spacing w:line="360" w:lineRule="exact"/>
              <w:rPr>
                <w:rFonts w:ascii="宋体" w:hAnsi="宋体" w:cs="宋体"/>
                <w:color w:val="auto"/>
                <w:sz w:val="22"/>
                <w:highlight w:val="none"/>
              </w:rPr>
            </w:pPr>
          </w:p>
        </w:tc>
        <w:tc>
          <w:tcPr>
            <w:tcW w:w="1545" w:type="pct"/>
          </w:tcPr>
          <w:p w14:paraId="292E0884">
            <w:pPr>
              <w:widowControl w:val="0"/>
              <w:adjustRightInd/>
              <w:snapToGrid/>
              <w:spacing w:line="360" w:lineRule="exact"/>
              <w:rPr>
                <w:rFonts w:ascii="宋体" w:hAnsi="宋体" w:cs="宋体"/>
                <w:color w:val="auto"/>
                <w:sz w:val="22"/>
                <w:highlight w:val="none"/>
              </w:rPr>
            </w:pPr>
          </w:p>
        </w:tc>
        <w:tc>
          <w:tcPr>
            <w:tcW w:w="1481" w:type="pct"/>
          </w:tcPr>
          <w:p w14:paraId="1A226550">
            <w:pPr>
              <w:widowControl w:val="0"/>
              <w:adjustRightInd/>
              <w:snapToGrid/>
              <w:spacing w:line="360" w:lineRule="exact"/>
              <w:rPr>
                <w:rFonts w:ascii="宋体" w:hAnsi="宋体" w:cs="宋体"/>
                <w:color w:val="auto"/>
                <w:sz w:val="22"/>
                <w:highlight w:val="none"/>
              </w:rPr>
            </w:pPr>
          </w:p>
        </w:tc>
      </w:tr>
      <w:tr w14:paraId="55000B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5C5A98AB">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12</w:t>
            </w:r>
          </w:p>
        </w:tc>
        <w:tc>
          <w:tcPr>
            <w:tcW w:w="1404" w:type="pct"/>
          </w:tcPr>
          <w:p w14:paraId="24DDA5D4">
            <w:pPr>
              <w:widowControl w:val="0"/>
              <w:adjustRightInd/>
              <w:snapToGrid/>
              <w:spacing w:line="360" w:lineRule="exact"/>
              <w:rPr>
                <w:rFonts w:ascii="宋体" w:hAnsi="宋体" w:cs="宋体"/>
                <w:color w:val="auto"/>
                <w:sz w:val="22"/>
                <w:highlight w:val="none"/>
              </w:rPr>
            </w:pPr>
          </w:p>
        </w:tc>
        <w:tc>
          <w:tcPr>
            <w:tcW w:w="1545" w:type="pct"/>
          </w:tcPr>
          <w:p w14:paraId="6F61A926">
            <w:pPr>
              <w:widowControl w:val="0"/>
              <w:adjustRightInd/>
              <w:snapToGrid/>
              <w:spacing w:line="360" w:lineRule="exact"/>
              <w:rPr>
                <w:rFonts w:ascii="宋体" w:hAnsi="宋体" w:cs="宋体"/>
                <w:color w:val="auto"/>
                <w:sz w:val="22"/>
                <w:highlight w:val="none"/>
              </w:rPr>
            </w:pPr>
          </w:p>
        </w:tc>
        <w:tc>
          <w:tcPr>
            <w:tcW w:w="1481" w:type="pct"/>
          </w:tcPr>
          <w:p w14:paraId="39C73E5F">
            <w:pPr>
              <w:widowControl w:val="0"/>
              <w:adjustRightInd/>
              <w:snapToGrid/>
              <w:spacing w:line="360" w:lineRule="exact"/>
              <w:rPr>
                <w:rFonts w:ascii="宋体" w:hAnsi="宋体" w:cs="宋体"/>
                <w:color w:val="auto"/>
                <w:sz w:val="22"/>
                <w:highlight w:val="none"/>
              </w:rPr>
            </w:pPr>
          </w:p>
        </w:tc>
      </w:tr>
      <w:tr w14:paraId="2556F6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06A55EE">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13</w:t>
            </w:r>
          </w:p>
        </w:tc>
        <w:tc>
          <w:tcPr>
            <w:tcW w:w="1404" w:type="pct"/>
          </w:tcPr>
          <w:p w14:paraId="7BE6DFA8">
            <w:pPr>
              <w:widowControl w:val="0"/>
              <w:adjustRightInd/>
              <w:snapToGrid/>
              <w:spacing w:line="360" w:lineRule="exact"/>
              <w:rPr>
                <w:rFonts w:ascii="宋体" w:hAnsi="宋体" w:cs="宋体"/>
                <w:color w:val="auto"/>
                <w:sz w:val="22"/>
                <w:highlight w:val="none"/>
              </w:rPr>
            </w:pPr>
          </w:p>
        </w:tc>
        <w:tc>
          <w:tcPr>
            <w:tcW w:w="1545" w:type="pct"/>
          </w:tcPr>
          <w:p w14:paraId="79F0A9F1">
            <w:pPr>
              <w:widowControl w:val="0"/>
              <w:adjustRightInd/>
              <w:snapToGrid/>
              <w:spacing w:line="360" w:lineRule="exact"/>
              <w:rPr>
                <w:rFonts w:ascii="宋体" w:hAnsi="宋体" w:cs="宋体"/>
                <w:color w:val="auto"/>
                <w:sz w:val="22"/>
                <w:highlight w:val="none"/>
              </w:rPr>
            </w:pPr>
          </w:p>
        </w:tc>
        <w:tc>
          <w:tcPr>
            <w:tcW w:w="1481" w:type="pct"/>
          </w:tcPr>
          <w:p w14:paraId="60DA87BB">
            <w:pPr>
              <w:widowControl w:val="0"/>
              <w:adjustRightInd/>
              <w:snapToGrid/>
              <w:spacing w:line="360" w:lineRule="exact"/>
              <w:rPr>
                <w:rFonts w:ascii="宋体" w:hAnsi="宋体" w:cs="宋体"/>
                <w:color w:val="auto"/>
                <w:sz w:val="22"/>
                <w:highlight w:val="none"/>
              </w:rPr>
            </w:pPr>
          </w:p>
        </w:tc>
      </w:tr>
      <w:tr w14:paraId="029F14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57C410C0">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14</w:t>
            </w:r>
          </w:p>
        </w:tc>
        <w:tc>
          <w:tcPr>
            <w:tcW w:w="1404" w:type="pct"/>
          </w:tcPr>
          <w:p w14:paraId="14F1F248">
            <w:pPr>
              <w:widowControl w:val="0"/>
              <w:adjustRightInd/>
              <w:snapToGrid/>
              <w:spacing w:line="360" w:lineRule="exact"/>
              <w:rPr>
                <w:rFonts w:ascii="宋体" w:hAnsi="宋体" w:cs="宋体"/>
                <w:color w:val="auto"/>
                <w:sz w:val="22"/>
                <w:highlight w:val="none"/>
              </w:rPr>
            </w:pPr>
          </w:p>
        </w:tc>
        <w:tc>
          <w:tcPr>
            <w:tcW w:w="1545" w:type="pct"/>
          </w:tcPr>
          <w:p w14:paraId="3AAD8314">
            <w:pPr>
              <w:widowControl w:val="0"/>
              <w:adjustRightInd/>
              <w:snapToGrid/>
              <w:spacing w:line="360" w:lineRule="exact"/>
              <w:rPr>
                <w:rFonts w:ascii="宋体" w:hAnsi="宋体" w:cs="宋体"/>
                <w:color w:val="auto"/>
                <w:sz w:val="22"/>
                <w:highlight w:val="none"/>
              </w:rPr>
            </w:pPr>
          </w:p>
        </w:tc>
        <w:tc>
          <w:tcPr>
            <w:tcW w:w="1481" w:type="pct"/>
          </w:tcPr>
          <w:p w14:paraId="5B386D18">
            <w:pPr>
              <w:widowControl w:val="0"/>
              <w:adjustRightInd/>
              <w:snapToGrid/>
              <w:spacing w:line="360" w:lineRule="exact"/>
              <w:rPr>
                <w:rFonts w:ascii="宋体" w:hAnsi="宋体" w:cs="宋体"/>
                <w:color w:val="auto"/>
                <w:sz w:val="22"/>
                <w:highlight w:val="none"/>
              </w:rPr>
            </w:pPr>
          </w:p>
        </w:tc>
      </w:tr>
      <w:tr w14:paraId="0E70FD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4D7BDE95">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15</w:t>
            </w:r>
          </w:p>
        </w:tc>
        <w:tc>
          <w:tcPr>
            <w:tcW w:w="1404" w:type="pct"/>
          </w:tcPr>
          <w:p w14:paraId="5B3482BF">
            <w:pPr>
              <w:widowControl w:val="0"/>
              <w:adjustRightInd/>
              <w:snapToGrid/>
              <w:spacing w:line="360" w:lineRule="exact"/>
              <w:rPr>
                <w:rFonts w:ascii="宋体" w:hAnsi="宋体" w:cs="宋体"/>
                <w:color w:val="auto"/>
                <w:sz w:val="22"/>
                <w:highlight w:val="none"/>
              </w:rPr>
            </w:pPr>
          </w:p>
        </w:tc>
        <w:tc>
          <w:tcPr>
            <w:tcW w:w="1545" w:type="pct"/>
          </w:tcPr>
          <w:p w14:paraId="687F2612">
            <w:pPr>
              <w:widowControl w:val="0"/>
              <w:adjustRightInd/>
              <w:snapToGrid/>
              <w:spacing w:line="360" w:lineRule="exact"/>
              <w:rPr>
                <w:rFonts w:ascii="宋体" w:hAnsi="宋体" w:cs="宋体"/>
                <w:color w:val="auto"/>
                <w:sz w:val="22"/>
                <w:highlight w:val="none"/>
              </w:rPr>
            </w:pPr>
          </w:p>
        </w:tc>
        <w:tc>
          <w:tcPr>
            <w:tcW w:w="1481" w:type="pct"/>
          </w:tcPr>
          <w:p w14:paraId="537A9018">
            <w:pPr>
              <w:widowControl w:val="0"/>
              <w:adjustRightInd/>
              <w:snapToGrid/>
              <w:spacing w:line="360" w:lineRule="exact"/>
              <w:rPr>
                <w:rFonts w:ascii="宋体" w:hAnsi="宋体" w:cs="宋体"/>
                <w:color w:val="auto"/>
                <w:sz w:val="22"/>
                <w:highlight w:val="none"/>
              </w:rPr>
            </w:pPr>
          </w:p>
        </w:tc>
      </w:tr>
      <w:tr w14:paraId="7506D2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2D1933A">
            <w:pPr>
              <w:widowControl w:val="0"/>
              <w:adjustRightInd/>
              <w:snapToGrid/>
              <w:spacing w:line="360" w:lineRule="exact"/>
              <w:ind w:firstLine="220" w:firstLineChars="100"/>
              <w:rPr>
                <w:rFonts w:ascii="宋体" w:hAnsi="宋体" w:cs="宋体"/>
                <w:color w:val="auto"/>
                <w:sz w:val="22"/>
                <w:highlight w:val="none"/>
              </w:rPr>
            </w:pPr>
          </w:p>
        </w:tc>
        <w:tc>
          <w:tcPr>
            <w:tcW w:w="1404" w:type="pct"/>
          </w:tcPr>
          <w:p w14:paraId="2917E253">
            <w:pPr>
              <w:widowControl w:val="0"/>
              <w:adjustRightInd/>
              <w:snapToGrid/>
              <w:spacing w:line="360" w:lineRule="exact"/>
              <w:rPr>
                <w:rFonts w:ascii="宋体" w:hAnsi="宋体" w:cs="宋体"/>
                <w:color w:val="auto"/>
                <w:sz w:val="22"/>
                <w:highlight w:val="none"/>
              </w:rPr>
            </w:pPr>
          </w:p>
        </w:tc>
        <w:tc>
          <w:tcPr>
            <w:tcW w:w="1545" w:type="pct"/>
          </w:tcPr>
          <w:p w14:paraId="03F97F65">
            <w:pPr>
              <w:widowControl w:val="0"/>
              <w:adjustRightInd/>
              <w:snapToGrid/>
              <w:spacing w:line="360" w:lineRule="exact"/>
              <w:rPr>
                <w:rFonts w:ascii="宋体" w:hAnsi="宋体" w:cs="宋体"/>
                <w:color w:val="auto"/>
                <w:sz w:val="22"/>
                <w:highlight w:val="none"/>
              </w:rPr>
            </w:pPr>
          </w:p>
        </w:tc>
        <w:tc>
          <w:tcPr>
            <w:tcW w:w="1481" w:type="pct"/>
          </w:tcPr>
          <w:p w14:paraId="6B718AC8">
            <w:pPr>
              <w:widowControl w:val="0"/>
              <w:adjustRightInd/>
              <w:snapToGrid/>
              <w:spacing w:line="360" w:lineRule="exact"/>
              <w:rPr>
                <w:rFonts w:ascii="宋体" w:hAnsi="宋体" w:cs="宋体"/>
                <w:color w:val="auto"/>
                <w:sz w:val="22"/>
                <w:highlight w:val="none"/>
              </w:rPr>
            </w:pPr>
          </w:p>
        </w:tc>
      </w:tr>
      <w:tr w14:paraId="7D493E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55E1CFBC">
            <w:pPr>
              <w:widowControl w:val="0"/>
              <w:adjustRightInd/>
              <w:snapToGrid/>
              <w:spacing w:line="360" w:lineRule="exact"/>
              <w:ind w:firstLine="220" w:firstLineChars="100"/>
              <w:rPr>
                <w:rFonts w:ascii="宋体" w:hAnsi="宋体" w:cs="宋体"/>
                <w:color w:val="auto"/>
                <w:sz w:val="22"/>
                <w:highlight w:val="none"/>
              </w:rPr>
            </w:pPr>
          </w:p>
        </w:tc>
        <w:tc>
          <w:tcPr>
            <w:tcW w:w="1404" w:type="pct"/>
          </w:tcPr>
          <w:p w14:paraId="34B78003">
            <w:pPr>
              <w:widowControl w:val="0"/>
              <w:adjustRightInd/>
              <w:snapToGrid/>
              <w:spacing w:line="360" w:lineRule="exact"/>
              <w:rPr>
                <w:rFonts w:ascii="宋体" w:hAnsi="宋体" w:cs="宋体"/>
                <w:color w:val="auto"/>
                <w:sz w:val="22"/>
                <w:highlight w:val="none"/>
              </w:rPr>
            </w:pPr>
          </w:p>
        </w:tc>
        <w:tc>
          <w:tcPr>
            <w:tcW w:w="1545" w:type="pct"/>
          </w:tcPr>
          <w:p w14:paraId="600ACFD5">
            <w:pPr>
              <w:widowControl w:val="0"/>
              <w:adjustRightInd/>
              <w:snapToGrid/>
              <w:spacing w:line="360" w:lineRule="exact"/>
              <w:rPr>
                <w:rFonts w:ascii="宋体" w:hAnsi="宋体" w:cs="宋体"/>
                <w:color w:val="auto"/>
                <w:sz w:val="22"/>
                <w:highlight w:val="none"/>
              </w:rPr>
            </w:pPr>
          </w:p>
        </w:tc>
        <w:tc>
          <w:tcPr>
            <w:tcW w:w="1481" w:type="pct"/>
          </w:tcPr>
          <w:p w14:paraId="2A50FC6F">
            <w:pPr>
              <w:widowControl w:val="0"/>
              <w:adjustRightInd/>
              <w:snapToGrid/>
              <w:spacing w:line="360" w:lineRule="exact"/>
              <w:rPr>
                <w:rFonts w:ascii="宋体" w:hAnsi="宋体" w:cs="宋体"/>
                <w:color w:val="auto"/>
                <w:sz w:val="22"/>
                <w:highlight w:val="none"/>
              </w:rPr>
            </w:pPr>
          </w:p>
        </w:tc>
      </w:tr>
    </w:tbl>
    <w:p w14:paraId="130D6767">
      <w:pPr>
        <w:jc w:val="both"/>
        <w:outlineLvl w:val="9"/>
        <w:rPr>
          <w:rFonts w:hint="eastAsia"/>
          <w:color w:val="auto"/>
          <w:highlight w:val="none"/>
        </w:rPr>
      </w:pPr>
      <w:r>
        <w:rPr>
          <w:rFonts w:hint="eastAsia"/>
          <w:color w:val="auto"/>
          <w:highlight w:val="none"/>
        </w:rPr>
        <w:t>1、以上为拟投入本项目不少于5辆运输车辆清单，</w:t>
      </w:r>
      <w:r>
        <w:rPr>
          <w:rFonts w:hint="eastAsia"/>
          <w:color w:val="auto"/>
          <w:highlight w:val="none"/>
          <w:lang w:val="en-US" w:eastAsia="zh-CN"/>
        </w:rPr>
        <w:t>乙方</w:t>
      </w:r>
      <w:r>
        <w:rPr>
          <w:rFonts w:hint="eastAsia"/>
          <w:color w:val="auto"/>
          <w:highlight w:val="none"/>
        </w:rPr>
        <w:t>可根据情况增加，不得减少。</w:t>
      </w:r>
      <w:r>
        <w:rPr>
          <w:rFonts w:hint="eastAsia"/>
          <w:color w:val="auto"/>
          <w:highlight w:val="none"/>
          <w:lang w:val="en-US" w:eastAsia="zh-CN"/>
        </w:rPr>
        <w:t>以上</w:t>
      </w:r>
      <w:r>
        <w:rPr>
          <w:rFonts w:hint="eastAsia"/>
          <w:color w:val="auto"/>
          <w:highlight w:val="none"/>
        </w:rPr>
        <w:t>名单为初步填写，后续如需更换，</w:t>
      </w:r>
      <w:r>
        <w:rPr>
          <w:rFonts w:hint="eastAsia"/>
          <w:color w:val="auto"/>
          <w:highlight w:val="none"/>
          <w:lang w:val="en-US" w:eastAsia="zh-CN"/>
        </w:rPr>
        <w:t>需</w:t>
      </w:r>
      <w:r>
        <w:rPr>
          <w:rFonts w:hint="eastAsia"/>
          <w:color w:val="auto"/>
          <w:highlight w:val="none"/>
        </w:rPr>
        <w:t>征得</w:t>
      </w:r>
      <w:r>
        <w:rPr>
          <w:rFonts w:hint="eastAsia"/>
          <w:color w:val="auto"/>
          <w:highlight w:val="none"/>
          <w:lang w:val="en-US" w:eastAsia="zh-CN"/>
        </w:rPr>
        <w:t>甲方书面</w:t>
      </w:r>
      <w:r>
        <w:rPr>
          <w:rFonts w:hint="eastAsia"/>
          <w:color w:val="auto"/>
          <w:highlight w:val="none"/>
        </w:rPr>
        <w:t>同意后方可更换。</w:t>
      </w:r>
    </w:p>
    <w:p w14:paraId="2E25C237">
      <w:pPr>
        <w:jc w:val="both"/>
        <w:outlineLvl w:val="9"/>
        <w:rPr>
          <w:rFonts w:hint="eastAsia"/>
          <w:color w:val="auto"/>
          <w:highlight w:val="none"/>
        </w:rPr>
      </w:pPr>
      <w:r>
        <w:rPr>
          <w:rFonts w:hint="eastAsia"/>
          <w:color w:val="auto"/>
          <w:highlight w:val="none"/>
        </w:rPr>
        <w:t>2、资料要求：</w:t>
      </w:r>
    </w:p>
    <w:p w14:paraId="7C4F365F">
      <w:pPr>
        <w:jc w:val="both"/>
        <w:outlineLvl w:val="9"/>
        <w:rPr>
          <w:rFonts w:hint="eastAsia"/>
          <w:color w:val="auto"/>
          <w:highlight w:val="none"/>
        </w:rPr>
      </w:pPr>
      <w:r>
        <w:rPr>
          <w:rFonts w:hint="eastAsia"/>
          <w:color w:val="auto"/>
          <w:highlight w:val="none"/>
        </w:rPr>
        <w:t>【投标时提供】不少于5辆运输车辆的《道路运输证》（加盖公章），其中：厢车标段须为</w:t>
      </w:r>
      <w:r>
        <w:rPr>
          <w:rFonts w:hint="eastAsia"/>
          <w:b/>
          <w:bCs/>
          <w:color w:val="auto"/>
          <w:highlight w:val="none"/>
          <w:lang w:val="en-US" w:eastAsia="zh-CN"/>
        </w:rPr>
        <w:t>乙方</w:t>
      </w:r>
      <w:r>
        <w:rPr>
          <w:rFonts w:hint="eastAsia"/>
          <w:b/>
          <w:bCs/>
          <w:color w:val="auto"/>
          <w:highlight w:val="none"/>
        </w:rPr>
        <w:t>自有厢车</w:t>
      </w:r>
      <w:r>
        <w:rPr>
          <w:rFonts w:hint="eastAsia"/>
          <w:color w:val="auto"/>
          <w:highlight w:val="none"/>
        </w:rPr>
        <w:t>（根据《道路运输证》业务名称与</w:t>
      </w:r>
      <w:r>
        <w:rPr>
          <w:rFonts w:hint="eastAsia"/>
          <w:color w:val="auto"/>
          <w:highlight w:val="none"/>
          <w:lang w:val="en-US" w:eastAsia="zh-CN"/>
        </w:rPr>
        <w:t>乙方</w:t>
      </w:r>
      <w:r>
        <w:rPr>
          <w:rFonts w:hint="eastAsia"/>
          <w:color w:val="auto"/>
          <w:highlight w:val="none"/>
        </w:rPr>
        <w:t>名称是否一致进行判断）；槽车标段</w:t>
      </w:r>
      <w:r>
        <w:rPr>
          <w:rFonts w:hint="eastAsia"/>
          <w:b/>
          <w:bCs/>
          <w:color w:val="auto"/>
          <w:highlight w:val="none"/>
        </w:rPr>
        <w:t>可为</w:t>
      </w:r>
      <w:r>
        <w:rPr>
          <w:rFonts w:hint="eastAsia"/>
          <w:b/>
          <w:bCs/>
          <w:color w:val="auto"/>
          <w:highlight w:val="none"/>
          <w:lang w:val="en-US" w:eastAsia="zh-CN"/>
        </w:rPr>
        <w:t>乙方</w:t>
      </w:r>
      <w:r>
        <w:rPr>
          <w:rFonts w:hint="eastAsia"/>
          <w:b/>
          <w:bCs/>
          <w:color w:val="auto"/>
          <w:highlight w:val="none"/>
        </w:rPr>
        <w:t>自有槽车</w:t>
      </w:r>
      <w:r>
        <w:rPr>
          <w:rFonts w:hint="eastAsia"/>
          <w:color w:val="auto"/>
          <w:highlight w:val="none"/>
        </w:rPr>
        <w:t>（根据《道路运输证》业户名称与</w:t>
      </w:r>
      <w:r>
        <w:rPr>
          <w:rFonts w:hint="eastAsia"/>
          <w:color w:val="auto"/>
          <w:highlight w:val="none"/>
          <w:lang w:val="en-US" w:eastAsia="zh-CN"/>
        </w:rPr>
        <w:t>乙方</w:t>
      </w:r>
      <w:r>
        <w:rPr>
          <w:rFonts w:hint="eastAsia"/>
          <w:color w:val="auto"/>
          <w:highlight w:val="none"/>
        </w:rPr>
        <w:t>名称是否一致进行判断）</w:t>
      </w:r>
      <w:r>
        <w:rPr>
          <w:rFonts w:hint="eastAsia"/>
          <w:b/>
          <w:bCs/>
          <w:color w:val="auto"/>
          <w:highlight w:val="none"/>
        </w:rPr>
        <w:t>或合作方槽车</w:t>
      </w:r>
      <w:r>
        <w:rPr>
          <w:rFonts w:hint="eastAsia"/>
          <w:color w:val="auto"/>
          <w:highlight w:val="none"/>
        </w:rPr>
        <w:t>（提供合作方的合同或合作协议，根据投标列示</w:t>
      </w:r>
      <w:r>
        <w:rPr>
          <w:rFonts w:hint="eastAsia"/>
          <w:color w:val="auto"/>
          <w:highlight w:val="none"/>
          <w:lang w:val="en-US" w:eastAsia="zh-CN"/>
        </w:rPr>
        <w:t>的</w:t>
      </w:r>
      <w:r>
        <w:rPr>
          <w:rFonts w:hint="eastAsia"/>
          <w:color w:val="auto"/>
          <w:highlight w:val="none"/>
        </w:rPr>
        <w:t>《道路运输证》业户名称与合同或合作协议上的名称是否一致进行判断）</w:t>
      </w:r>
    </w:p>
    <w:p w14:paraId="3C5F8E08">
      <w:pPr>
        <w:widowControl w:val="0"/>
        <w:adjustRightInd/>
        <w:snapToGrid/>
        <w:spacing w:line="360" w:lineRule="exact"/>
        <w:ind w:firstLine="0" w:firstLineChars="0"/>
        <w:rPr>
          <w:highlight w:val="none"/>
        </w:rPr>
      </w:pPr>
      <w:r>
        <w:rPr>
          <w:rFonts w:hint="eastAsia"/>
          <w:color w:val="auto"/>
          <w:highlight w:val="none"/>
        </w:rPr>
        <w:t>【中标后向甲方备案】不少于5辆运输车辆的行驶证、道路运输证、强制险保单、商业险保单、危险货物承运人保单、GPS定位系统安装证明、视频监控接入证明等。</w:t>
      </w:r>
    </w:p>
    <w:p w14:paraId="64E8E3A9">
      <w:pPr>
        <w:outlineLvl w:val="9"/>
        <w:rPr>
          <w:rFonts w:hint="eastAsia" w:ascii="宋体" w:hAnsi="宋体"/>
          <w:b/>
          <w:color w:val="auto"/>
          <w:sz w:val="21"/>
          <w:szCs w:val="21"/>
          <w:highlight w:val="none"/>
        </w:rPr>
      </w:pPr>
    </w:p>
    <w:p w14:paraId="4A112387">
      <w:pPr>
        <w:outlineLvl w:val="9"/>
        <w:rPr>
          <w:rFonts w:hint="eastAsia" w:ascii="宋体" w:hAnsi="宋体"/>
          <w:b/>
          <w:color w:val="auto"/>
          <w:sz w:val="21"/>
          <w:szCs w:val="21"/>
          <w:highlight w:val="none"/>
        </w:rPr>
      </w:pPr>
    </w:p>
    <w:p w14:paraId="36283D60">
      <w:pPr>
        <w:outlineLvl w:val="9"/>
        <w:rPr>
          <w:rFonts w:hint="eastAsia" w:ascii="宋体" w:hAnsi="宋体"/>
          <w:b/>
          <w:color w:val="auto"/>
          <w:sz w:val="21"/>
          <w:szCs w:val="21"/>
          <w:highlight w:val="none"/>
        </w:rPr>
      </w:pPr>
    </w:p>
    <w:p w14:paraId="5EC46EC1">
      <w:pPr>
        <w:outlineLvl w:val="9"/>
        <w:rPr>
          <w:rFonts w:hint="eastAsia" w:ascii="宋体" w:hAnsi="宋体"/>
          <w:b/>
          <w:color w:val="auto"/>
          <w:sz w:val="21"/>
          <w:szCs w:val="21"/>
          <w:highlight w:val="none"/>
        </w:rPr>
      </w:pPr>
    </w:p>
    <w:p w14:paraId="21B7B98A">
      <w:pPr>
        <w:outlineLvl w:val="9"/>
        <w:rPr>
          <w:rFonts w:hint="eastAsia" w:ascii="宋体" w:hAnsi="宋体"/>
          <w:b/>
          <w:color w:val="auto"/>
          <w:sz w:val="21"/>
          <w:szCs w:val="21"/>
          <w:highlight w:val="none"/>
        </w:rPr>
      </w:pPr>
    </w:p>
    <w:p w14:paraId="6FC9D0C6">
      <w:pPr>
        <w:outlineLvl w:val="9"/>
        <w:rPr>
          <w:rFonts w:hint="eastAsia" w:ascii="宋体" w:hAnsi="宋体"/>
          <w:b/>
          <w:color w:val="auto"/>
          <w:sz w:val="21"/>
          <w:szCs w:val="21"/>
          <w:highlight w:val="none"/>
        </w:rPr>
      </w:pPr>
    </w:p>
    <w:p w14:paraId="16AFB122">
      <w:pPr>
        <w:outlineLvl w:val="9"/>
        <w:rPr>
          <w:rFonts w:hint="eastAsia" w:ascii="宋体" w:hAnsi="宋体"/>
          <w:b/>
          <w:color w:val="auto"/>
          <w:sz w:val="21"/>
          <w:szCs w:val="21"/>
          <w:highlight w:val="none"/>
        </w:rPr>
      </w:pPr>
    </w:p>
    <w:p w14:paraId="5D2D6CED">
      <w:pPr>
        <w:outlineLvl w:val="1"/>
        <w:rPr>
          <w:rFonts w:ascii="宋体" w:hAnsi="宋体"/>
          <w:b/>
          <w:color w:val="auto"/>
          <w:sz w:val="24"/>
          <w:highlight w:val="none"/>
        </w:rPr>
      </w:pPr>
      <w:bookmarkStart w:id="901" w:name="_Toc14739"/>
      <w:bookmarkStart w:id="902" w:name="_Toc15069"/>
      <w:bookmarkStart w:id="903" w:name="_Toc4706"/>
      <w:bookmarkStart w:id="904" w:name="_Toc31722"/>
      <w:bookmarkStart w:id="905" w:name="_Toc21595"/>
      <w:bookmarkStart w:id="906" w:name="_Toc3073"/>
      <w:r>
        <w:rPr>
          <w:rFonts w:hint="eastAsia" w:ascii="宋体" w:hAnsi="宋体"/>
          <w:b/>
          <w:color w:val="auto"/>
          <w:sz w:val="21"/>
          <w:szCs w:val="21"/>
          <w:highlight w:val="none"/>
          <w:lang w:val="en-US" w:eastAsia="zh-CN"/>
        </w:rPr>
        <w:t>合同</w:t>
      </w:r>
      <w:r>
        <w:rPr>
          <w:rFonts w:hint="eastAsia" w:ascii="宋体" w:hAnsi="宋体"/>
          <w:b/>
          <w:color w:val="auto"/>
          <w:sz w:val="21"/>
          <w:szCs w:val="21"/>
          <w:highlight w:val="none"/>
        </w:rPr>
        <w:t>附件</w:t>
      </w:r>
      <w:r>
        <w:rPr>
          <w:rFonts w:hint="eastAsia" w:ascii="宋体" w:hAnsi="宋体"/>
          <w:b/>
          <w:color w:val="auto"/>
          <w:sz w:val="21"/>
          <w:szCs w:val="21"/>
          <w:highlight w:val="none"/>
          <w:lang w:val="en-US" w:eastAsia="zh-CN"/>
        </w:rPr>
        <w:t>2</w:t>
      </w:r>
      <w:r>
        <w:rPr>
          <w:rFonts w:hint="eastAsia" w:ascii="宋体" w:hAnsi="宋体"/>
          <w:b/>
          <w:color w:val="auto"/>
          <w:sz w:val="21"/>
          <w:szCs w:val="21"/>
          <w:highlight w:val="none"/>
        </w:rPr>
        <w:t>：《运输人员花名册》</w:t>
      </w:r>
      <w:bookmarkEnd w:id="896"/>
      <w:bookmarkEnd w:id="897"/>
      <w:bookmarkEnd w:id="898"/>
      <w:bookmarkEnd w:id="899"/>
      <w:bookmarkEnd w:id="900"/>
      <w:bookmarkEnd w:id="901"/>
      <w:bookmarkEnd w:id="902"/>
      <w:bookmarkEnd w:id="903"/>
      <w:bookmarkEnd w:id="904"/>
      <w:bookmarkEnd w:id="905"/>
      <w:bookmarkEnd w:id="906"/>
      <w:r>
        <w:rPr>
          <w:rFonts w:hint="eastAsia" w:ascii="宋体" w:hAnsi="宋体"/>
          <w:b/>
          <w:color w:val="auto"/>
          <w:sz w:val="24"/>
          <w:highlight w:val="none"/>
        </w:rPr>
        <w:t xml:space="preserve"> </w:t>
      </w:r>
    </w:p>
    <w:tbl>
      <w:tblPr>
        <w:tblStyle w:val="28"/>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8"/>
        <w:gridCol w:w="2393"/>
        <w:gridCol w:w="2634"/>
        <w:gridCol w:w="2525"/>
      </w:tblGrid>
      <w:tr w14:paraId="35B04C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68" w:type="pct"/>
          </w:tcPr>
          <w:p w14:paraId="492C3BD2">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序号</w:t>
            </w:r>
          </w:p>
        </w:tc>
        <w:tc>
          <w:tcPr>
            <w:tcW w:w="1404" w:type="pct"/>
          </w:tcPr>
          <w:p w14:paraId="4DD40C3A">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人员名单</w:t>
            </w:r>
          </w:p>
        </w:tc>
        <w:tc>
          <w:tcPr>
            <w:tcW w:w="1545" w:type="pct"/>
          </w:tcPr>
          <w:p w14:paraId="191EADBA">
            <w:pPr>
              <w:widowControl w:val="0"/>
              <w:adjustRightInd/>
              <w:snapToGrid/>
              <w:spacing w:line="360" w:lineRule="exact"/>
              <w:ind w:firstLine="220" w:firstLineChars="100"/>
              <w:jc w:val="center"/>
              <w:rPr>
                <w:rFonts w:ascii="宋体" w:hAnsi="宋体" w:cs="宋体"/>
                <w:color w:val="auto"/>
                <w:sz w:val="22"/>
                <w:highlight w:val="none"/>
              </w:rPr>
            </w:pPr>
            <w:r>
              <w:rPr>
                <w:rFonts w:hint="eastAsia" w:ascii="宋体" w:hAnsi="宋体" w:cs="宋体"/>
                <w:color w:val="auto"/>
                <w:sz w:val="22"/>
                <w:highlight w:val="none"/>
              </w:rPr>
              <w:t>证照（类别）</w:t>
            </w:r>
          </w:p>
        </w:tc>
        <w:tc>
          <w:tcPr>
            <w:tcW w:w="1481" w:type="pct"/>
          </w:tcPr>
          <w:p w14:paraId="287806B7">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备注</w:t>
            </w:r>
          </w:p>
        </w:tc>
      </w:tr>
      <w:tr w14:paraId="273802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55D0AC61">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1</w:t>
            </w:r>
          </w:p>
        </w:tc>
        <w:tc>
          <w:tcPr>
            <w:tcW w:w="1404" w:type="pct"/>
          </w:tcPr>
          <w:p w14:paraId="603F4C1C">
            <w:pPr>
              <w:widowControl w:val="0"/>
              <w:adjustRightInd/>
              <w:snapToGrid/>
              <w:spacing w:line="360" w:lineRule="exact"/>
              <w:jc w:val="center"/>
              <w:rPr>
                <w:rFonts w:ascii="宋体" w:hAnsi="宋体" w:cs="宋体"/>
                <w:color w:val="auto"/>
                <w:sz w:val="22"/>
                <w:highlight w:val="none"/>
              </w:rPr>
            </w:pPr>
          </w:p>
        </w:tc>
        <w:tc>
          <w:tcPr>
            <w:tcW w:w="1545" w:type="pct"/>
          </w:tcPr>
          <w:p w14:paraId="7FC88B2D">
            <w:pPr>
              <w:widowControl w:val="0"/>
              <w:adjustRightInd/>
              <w:snapToGrid/>
              <w:spacing w:line="360" w:lineRule="exact"/>
              <w:jc w:val="center"/>
              <w:rPr>
                <w:rFonts w:ascii="宋体" w:hAnsi="宋体" w:cs="宋体"/>
                <w:color w:val="auto"/>
                <w:sz w:val="22"/>
                <w:highlight w:val="none"/>
              </w:rPr>
            </w:pPr>
          </w:p>
        </w:tc>
        <w:tc>
          <w:tcPr>
            <w:tcW w:w="1481" w:type="pct"/>
          </w:tcPr>
          <w:p w14:paraId="688D8961">
            <w:pPr>
              <w:widowControl w:val="0"/>
              <w:adjustRightInd/>
              <w:snapToGrid/>
              <w:spacing w:line="360" w:lineRule="exact"/>
              <w:jc w:val="center"/>
              <w:rPr>
                <w:rFonts w:ascii="宋体" w:hAnsi="宋体" w:cs="宋体"/>
                <w:color w:val="auto"/>
                <w:sz w:val="22"/>
                <w:highlight w:val="none"/>
              </w:rPr>
            </w:pPr>
          </w:p>
        </w:tc>
      </w:tr>
      <w:tr w14:paraId="33CD81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5B17337C">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2</w:t>
            </w:r>
          </w:p>
        </w:tc>
        <w:tc>
          <w:tcPr>
            <w:tcW w:w="1404" w:type="pct"/>
          </w:tcPr>
          <w:p w14:paraId="063C4E37">
            <w:pPr>
              <w:widowControl w:val="0"/>
              <w:adjustRightInd/>
              <w:snapToGrid/>
              <w:spacing w:line="360" w:lineRule="exact"/>
              <w:jc w:val="center"/>
              <w:rPr>
                <w:rFonts w:ascii="宋体" w:hAnsi="宋体" w:cs="宋体"/>
                <w:color w:val="auto"/>
                <w:sz w:val="22"/>
                <w:highlight w:val="none"/>
              </w:rPr>
            </w:pPr>
          </w:p>
        </w:tc>
        <w:tc>
          <w:tcPr>
            <w:tcW w:w="1545" w:type="pct"/>
          </w:tcPr>
          <w:p w14:paraId="168D18EE">
            <w:pPr>
              <w:widowControl w:val="0"/>
              <w:adjustRightInd/>
              <w:snapToGrid/>
              <w:spacing w:line="360" w:lineRule="exact"/>
              <w:jc w:val="center"/>
              <w:rPr>
                <w:rFonts w:ascii="宋体" w:hAnsi="宋体" w:cs="宋体"/>
                <w:color w:val="auto"/>
                <w:sz w:val="22"/>
                <w:highlight w:val="none"/>
              </w:rPr>
            </w:pPr>
          </w:p>
        </w:tc>
        <w:tc>
          <w:tcPr>
            <w:tcW w:w="1481" w:type="pct"/>
          </w:tcPr>
          <w:p w14:paraId="1B172E5F">
            <w:pPr>
              <w:widowControl w:val="0"/>
              <w:adjustRightInd/>
              <w:snapToGrid/>
              <w:spacing w:line="360" w:lineRule="exact"/>
              <w:jc w:val="center"/>
              <w:rPr>
                <w:rFonts w:ascii="宋体" w:hAnsi="宋体" w:cs="宋体"/>
                <w:color w:val="auto"/>
                <w:sz w:val="22"/>
                <w:highlight w:val="none"/>
              </w:rPr>
            </w:pPr>
          </w:p>
        </w:tc>
      </w:tr>
      <w:tr w14:paraId="389195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6B744D4">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3</w:t>
            </w:r>
          </w:p>
        </w:tc>
        <w:tc>
          <w:tcPr>
            <w:tcW w:w="1404" w:type="pct"/>
          </w:tcPr>
          <w:p w14:paraId="0ED784F8">
            <w:pPr>
              <w:widowControl w:val="0"/>
              <w:adjustRightInd/>
              <w:snapToGrid/>
              <w:spacing w:line="360" w:lineRule="exact"/>
              <w:jc w:val="center"/>
              <w:rPr>
                <w:rFonts w:ascii="宋体" w:hAnsi="宋体" w:cs="宋体"/>
                <w:color w:val="auto"/>
                <w:sz w:val="22"/>
                <w:highlight w:val="none"/>
              </w:rPr>
            </w:pPr>
          </w:p>
        </w:tc>
        <w:tc>
          <w:tcPr>
            <w:tcW w:w="1545" w:type="pct"/>
          </w:tcPr>
          <w:p w14:paraId="264EE0C7">
            <w:pPr>
              <w:widowControl w:val="0"/>
              <w:adjustRightInd/>
              <w:snapToGrid/>
              <w:spacing w:line="360" w:lineRule="exact"/>
              <w:jc w:val="center"/>
              <w:rPr>
                <w:rFonts w:ascii="宋体" w:hAnsi="宋体" w:cs="宋体"/>
                <w:color w:val="auto"/>
                <w:sz w:val="22"/>
                <w:highlight w:val="none"/>
              </w:rPr>
            </w:pPr>
          </w:p>
        </w:tc>
        <w:tc>
          <w:tcPr>
            <w:tcW w:w="1481" w:type="pct"/>
          </w:tcPr>
          <w:p w14:paraId="228CC553">
            <w:pPr>
              <w:widowControl w:val="0"/>
              <w:adjustRightInd/>
              <w:snapToGrid/>
              <w:spacing w:line="360" w:lineRule="exact"/>
              <w:jc w:val="center"/>
              <w:rPr>
                <w:rFonts w:ascii="宋体" w:hAnsi="宋体" w:cs="宋体"/>
                <w:color w:val="auto"/>
                <w:sz w:val="22"/>
                <w:highlight w:val="none"/>
              </w:rPr>
            </w:pPr>
          </w:p>
        </w:tc>
      </w:tr>
      <w:tr w14:paraId="32D603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6D4ABB6D">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4</w:t>
            </w:r>
          </w:p>
        </w:tc>
        <w:tc>
          <w:tcPr>
            <w:tcW w:w="1404" w:type="pct"/>
          </w:tcPr>
          <w:p w14:paraId="7C443982">
            <w:pPr>
              <w:widowControl w:val="0"/>
              <w:adjustRightInd/>
              <w:snapToGrid/>
              <w:spacing w:line="360" w:lineRule="exact"/>
              <w:jc w:val="center"/>
              <w:rPr>
                <w:rFonts w:ascii="宋体" w:hAnsi="宋体" w:cs="宋体"/>
                <w:color w:val="auto"/>
                <w:sz w:val="22"/>
                <w:highlight w:val="none"/>
              </w:rPr>
            </w:pPr>
          </w:p>
        </w:tc>
        <w:tc>
          <w:tcPr>
            <w:tcW w:w="1545" w:type="pct"/>
          </w:tcPr>
          <w:p w14:paraId="3692E229">
            <w:pPr>
              <w:widowControl w:val="0"/>
              <w:adjustRightInd/>
              <w:snapToGrid/>
              <w:spacing w:line="360" w:lineRule="exact"/>
              <w:jc w:val="center"/>
              <w:rPr>
                <w:rFonts w:ascii="宋体" w:hAnsi="宋体" w:cs="宋体"/>
                <w:color w:val="auto"/>
                <w:sz w:val="22"/>
                <w:highlight w:val="none"/>
              </w:rPr>
            </w:pPr>
          </w:p>
        </w:tc>
        <w:tc>
          <w:tcPr>
            <w:tcW w:w="1481" w:type="pct"/>
          </w:tcPr>
          <w:p w14:paraId="1F6E0333">
            <w:pPr>
              <w:widowControl w:val="0"/>
              <w:adjustRightInd/>
              <w:snapToGrid/>
              <w:spacing w:line="360" w:lineRule="exact"/>
              <w:jc w:val="center"/>
              <w:rPr>
                <w:rFonts w:ascii="宋体" w:hAnsi="宋体" w:cs="宋体"/>
                <w:color w:val="auto"/>
                <w:sz w:val="22"/>
                <w:highlight w:val="none"/>
              </w:rPr>
            </w:pPr>
          </w:p>
        </w:tc>
      </w:tr>
      <w:tr w14:paraId="0B0D8E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6D230C99">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5</w:t>
            </w:r>
          </w:p>
        </w:tc>
        <w:tc>
          <w:tcPr>
            <w:tcW w:w="1404" w:type="pct"/>
          </w:tcPr>
          <w:p w14:paraId="3D6EAEA4">
            <w:pPr>
              <w:widowControl w:val="0"/>
              <w:adjustRightInd/>
              <w:snapToGrid/>
              <w:spacing w:line="360" w:lineRule="exact"/>
              <w:jc w:val="center"/>
              <w:rPr>
                <w:rFonts w:ascii="宋体" w:hAnsi="宋体" w:cs="宋体"/>
                <w:color w:val="auto"/>
                <w:sz w:val="22"/>
                <w:highlight w:val="none"/>
              </w:rPr>
            </w:pPr>
          </w:p>
        </w:tc>
        <w:tc>
          <w:tcPr>
            <w:tcW w:w="1545" w:type="pct"/>
          </w:tcPr>
          <w:p w14:paraId="5AA6F41F">
            <w:pPr>
              <w:widowControl w:val="0"/>
              <w:adjustRightInd/>
              <w:snapToGrid/>
              <w:spacing w:line="360" w:lineRule="exact"/>
              <w:jc w:val="center"/>
              <w:rPr>
                <w:rFonts w:ascii="宋体" w:hAnsi="宋体" w:cs="宋体"/>
                <w:color w:val="auto"/>
                <w:sz w:val="22"/>
                <w:highlight w:val="none"/>
              </w:rPr>
            </w:pPr>
          </w:p>
        </w:tc>
        <w:tc>
          <w:tcPr>
            <w:tcW w:w="1481" w:type="pct"/>
          </w:tcPr>
          <w:p w14:paraId="10C27A54">
            <w:pPr>
              <w:widowControl w:val="0"/>
              <w:adjustRightInd/>
              <w:snapToGrid/>
              <w:spacing w:line="360" w:lineRule="exact"/>
              <w:jc w:val="center"/>
              <w:rPr>
                <w:rFonts w:ascii="宋体" w:hAnsi="宋体" w:cs="宋体"/>
                <w:color w:val="auto"/>
                <w:sz w:val="22"/>
                <w:highlight w:val="none"/>
              </w:rPr>
            </w:pPr>
          </w:p>
        </w:tc>
      </w:tr>
      <w:tr w14:paraId="0D06A4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4C386373">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6</w:t>
            </w:r>
          </w:p>
        </w:tc>
        <w:tc>
          <w:tcPr>
            <w:tcW w:w="1404" w:type="pct"/>
          </w:tcPr>
          <w:p w14:paraId="4DE5B817">
            <w:pPr>
              <w:widowControl w:val="0"/>
              <w:adjustRightInd/>
              <w:snapToGrid/>
              <w:spacing w:line="360" w:lineRule="exact"/>
              <w:jc w:val="center"/>
              <w:rPr>
                <w:rFonts w:ascii="宋体" w:hAnsi="宋体" w:cs="宋体"/>
                <w:color w:val="auto"/>
                <w:sz w:val="22"/>
                <w:highlight w:val="none"/>
              </w:rPr>
            </w:pPr>
          </w:p>
        </w:tc>
        <w:tc>
          <w:tcPr>
            <w:tcW w:w="1545" w:type="pct"/>
          </w:tcPr>
          <w:p w14:paraId="6EB35EA0">
            <w:pPr>
              <w:widowControl w:val="0"/>
              <w:adjustRightInd/>
              <w:snapToGrid/>
              <w:spacing w:line="360" w:lineRule="exact"/>
              <w:jc w:val="center"/>
              <w:rPr>
                <w:rFonts w:ascii="宋体" w:hAnsi="宋体" w:cs="宋体"/>
                <w:color w:val="auto"/>
                <w:sz w:val="22"/>
                <w:highlight w:val="none"/>
              </w:rPr>
            </w:pPr>
          </w:p>
        </w:tc>
        <w:tc>
          <w:tcPr>
            <w:tcW w:w="1481" w:type="pct"/>
          </w:tcPr>
          <w:p w14:paraId="6E39D5C5">
            <w:pPr>
              <w:widowControl w:val="0"/>
              <w:adjustRightInd/>
              <w:snapToGrid/>
              <w:spacing w:line="360" w:lineRule="exact"/>
              <w:jc w:val="center"/>
              <w:rPr>
                <w:rFonts w:ascii="宋体" w:hAnsi="宋体" w:cs="宋体"/>
                <w:color w:val="auto"/>
                <w:sz w:val="22"/>
                <w:highlight w:val="none"/>
              </w:rPr>
            </w:pPr>
          </w:p>
        </w:tc>
      </w:tr>
      <w:tr w14:paraId="1AFABF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8E936E9">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7</w:t>
            </w:r>
          </w:p>
        </w:tc>
        <w:tc>
          <w:tcPr>
            <w:tcW w:w="1404" w:type="pct"/>
          </w:tcPr>
          <w:p w14:paraId="22406EEC">
            <w:pPr>
              <w:widowControl w:val="0"/>
              <w:adjustRightInd/>
              <w:snapToGrid/>
              <w:spacing w:line="360" w:lineRule="exact"/>
              <w:jc w:val="center"/>
              <w:rPr>
                <w:rFonts w:ascii="宋体" w:hAnsi="宋体" w:cs="宋体"/>
                <w:color w:val="auto"/>
                <w:sz w:val="22"/>
                <w:highlight w:val="none"/>
              </w:rPr>
            </w:pPr>
          </w:p>
        </w:tc>
        <w:tc>
          <w:tcPr>
            <w:tcW w:w="1545" w:type="pct"/>
          </w:tcPr>
          <w:p w14:paraId="485618A7">
            <w:pPr>
              <w:widowControl w:val="0"/>
              <w:adjustRightInd/>
              <w:snapToGrid/>
              <w:spacing w:line="360" w:lineRule="exact"/>
              <w:jc w:val="center"/>
              <w:rPr>
                <w:rFonts w:ascii="宋体" w:hAnsi="宋体" w:cs="宋体"/>
                <w:color w:val="auto"/>
                <w:sz w:val="22"/>
                <w:highlight w:val="none"/>
              </w:rPr>
            </w:pPr>
          </w:p>
        </w:tc>
        <w:tc>
          <w:tcPr>
            <w:tcW w:w="1481" w:type="pct"/>
          </w:tcPr>
          <w:p w14:paraId="3BB29F0C">
            <w:pPr>
              <w:widowControl w:val="0"/>
              <w:adjustRightInd/>
              <w:snapToGrid/>
              <w:spacing w:line="360" w:lineRule="exact"/>
              <w:jc w:val="center"/>
              <w:rPr>
                <w:rFonts w:ascii="宋体" w:hAnsi="宋体" w:cs="宋体"/>
                <w:color w:val="auto"/>
                <w:sz w:val="22"/>
                <w:highlight w:val="none"/>
              </w:rPr>
            </w:pPr>
          </w:p>
        </w:tc>
      </w:tr>
      <w:tr w14:paraId="693E07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4AE7454">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8</w:t>
            </w:r>
          </w:p>
        </w:tc>
        <w:tc>
          <w:tcPr>
            <w:tcW w:w="1404" w:type="pct"/>
          </w:tcPr>
          <w:p w14:paraId="7B29347D">
            <w:pPr>
              <w:widowControl w:val="0"/>
              <w:adjustRightInd/>
              <w:snapToGrid/>
              <w:spacing w:line="360" w:lineRule="exact"/>
              <w:jc w:val="center"/>
              <w:rPr>
                <w:rFonts w:ascii="宋体" w:hAnsi="宋体" w:cs="宋体"/>
                <w:color w:val="auto"/>
                <w:sz w:val="22"/>
                <w:highlight w:val="none"/>
              </w:rPr>
            </w:pPr>
          </w:p>
        </w:tc>
        <w:tc>
          <w:tcPr>
            <w:tcW w:w="1545" w:type="pct"/>
          </w:tcPr>
          <w:p w14:paraId="4E030E2D">
            <w:pPr>
              <w:widowControl w:val="0"/>
              <w:adjustRightInd/>
              <w:snapToGrid/>
              <w:spacing w:line="360" w:lineRule="exact"/>
              <w:jc w:val="center"/>
              <w:rPr>
                <w:rFonts w:ascii="宋体" w:hAnsi="宋体" w:cs="宋体"/>
                <w:color w:val="auto"/>
                <w:sz w:val="22"/>
                <w:highlight w:val="none"/>
              </w:rPr>
            </w:pPr>
          </w:p>
        </w:tc>
        <w:tc>
          <w:tcPr>
            <w:tcW w:w="1481" w:type="pct"/>
          </w:tcPr>
          <w:p w14:paraId="416D0CB5">
            <w:pPr>
              <w:widowControl w:val="0"/>
              <w:adjustRightInd/>
              <w:snapToGrid/>
              <w:spacing w:line="360" w:lineRule="exact"/>
              <w:jc w:val="center"/>
              <w:rPr>
                <w:rFonts w:ascii="宋体" w:hAnsi="宋体" w:cs="宋体"/>
                <w:color w:val="auto"/>
                <w:sz w:val="22"/>
                <w:highlight w:val="none"/>
              </w:rPr>
            </w:pPr>
          </w:p>
        </w:tc>
      </w:tr>
      <w:tr w14:paraId="1A65BD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BE9E700">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9</w:t>
            </w:r>
          </w:p>
        </w:tc>
        <w:tc>
          <w:tcPr>
            <w:tcW w:w="1404" w:type="pct"/>
          </w:tcPr>
          <w:p w14:paraId="77FDE2CC">
            <w:pPr>
              <w:widowControl w:val="0"/>
              <w:adjustRightInd/>
              <w:snapToGrid/>
              <w:spacing w:line="360" w:lineRule="exact"/>
              <w:jc w:val="center"/>
              <w:rPr>
                <w:rFonts w:ascii="宋体" w:hAnsi="宋体" w:cs="宋体"/>
                <w:color w:val="auto"/>
                <w:sz w:val="22"/>
                <w:highlight w:val="none"/>
              </w:rPr>
            </w:pPr>
          </w:p>
        </w:tc>
        <w:tc>
          <w:tcPr>
            <w:tcW w:w="1545" w:type="pct"/>
          </w:tcPr>
          <w:p w14:paraId="66ED18F0">
            <w:pPr>
              <w:widowControl w:val="0"/>
              <w:adjustRightInd/>
              <w:snapToGrid/>
              <w:spacing w:line="360" w:lineRule="exact"/>
              <w:jc w:val="center"/>
              <w:rPr>
                <w:rFonts w:ascii="宋体" w:hAnsi="宋体" w:cs="宋体"/>
                <w:color w:val="auto"/>
                <w:sz w:val="22"/>
                <w:highlight w:val="none"/>
              </w:rPr>
            </w:pPr>
          </w:p>
        </w:tc>
        <w:tc>
          <w:tcPr>
            <w:tcW w:w="1481" w:type="pct"/>
          </w:tcPr>
          <w:p w14:paraId="393CDCAE">
            <w:pPr>
              <w:widowControl w:val="0"/>
              <w:adjustRightInd/>
              <w:snapToGrid/>
              <w:spacing w:line="360" w:lineRule="exact"/>
              <w:jc w:val="center"/>
              <w:rPr>
                <w:rFonts w:ascii="宋体" w:hAnsi="宋体" w:cs="宋体"/>
                <w:color w:val="auto"/>
                <w:sz w:val="22"/>
                <w:highlight w:val="none"/>
              </w:rPr>
            </w:pPr>
          </w:p>
        </w:tc>
      </w:tr>
      <w:tr w14:paraId="2953C4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420D7FFF">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10</w:t>
            </w:r>
          </w:p>
        </w:tc>
        <w:tc>
          <w:tcPr>
            <w:tcW w:w="1404" w:type="pct"/>
          </w:tcPr>
          <w:p w14:paraId="2C90B6EC">
            <w:pPr>
              <w:widowControl w:val="0"/>
              <w:adjustRightInd/>
              <w:snapToGrid/>
              <w:spacing w:line="360" w:lineRule="exact"/>
              <w:jc w:val="center"/>
              <w:rPr>
                <w:rFonts w:ascii="宋体" w:hAnsi="宋体" w:cs="宋体"/>
                <w:color w:val="auto"/>
                <w:sz w:val="22"/>
                <w:highlight w:val="none"/>
              </w:rPr>
            </w:pPr>
          </w:p>
        </w:tc>
        <w:tc>
          <w:tcPr>
            <w:tcW w:w="1545" w:type="pct"/>
          </w:tcPr>
          <w:p w14:paraId="15990C15">
            <w:pPr>
              <w:widowControl w:val="0"/>
              <w:adjustRightInd/>
              <w:snapToGrid/>
              <w:spacing w:line="360" w:lineRule="exact"/>
              <w:jc w:val="center"/>
              <w:rPr>
                <w:rFonts w:ascii="宋体" w:hAnsi="宋体" w:cs="宋体"/>
                <w:color w:val="auto"/>
                <w:sz w:val="22"/>
                <w:highlight w:val="none"/>
              </w:rPr>
            </w:pPr>
          </w:p>
        </w:tc>
        <w:tc>
          <w:tcPr>
            <w:tcW w:w="1481" w:type="pct"/>
          </w:tcPr>
          <w:p w14:paraId="53AC887C">
            <w:pPr>
              <w:widowControl w:val="0"/>
              <w:adjustRightInd/>
              <w:snapToGrid/>
              <w:spacing w:line="360" w:lineRule="exact"/>
              <w:jc w:val="center"/>
              <w:rPr>
                <w:rFonts w:ascii="宋体" w:hAnsi="宋体" w:cs="宋体"/>
                <w:color w:val="auto"/>
                <w:sz w:val="22"/>
                <w:highlight w:val="none"/>
              </w:rPr>
            </w:pPr>
          </w:p>
        </w:tc>
      </w:tr>
      <w:tr w14:paraId="6A636B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6A65B28">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11</w:t>
            </w:r>
          </w:p>
        </w:tc>
        <w:tc>
          <w:tcPr>
            <w:tcW w:w="1404" w:type="pct"/>
          </w:tcPr>
          <w:p w14:paraId="7807FF76">
            <w:pPr>
              <w:widowControl w:val="0"/>
              <w:adjustRightInd/>
              <w:snapToGrid/>
              <w:spacing w:line="360" w:lineRule="exact"/>
              <w:jc w:val="center"/>
              <w:rPr>
                <w:rFonts w:ascii="宋体" w:hAnsi="宋体" w:cs="宋体"/>
                <w:color w:val="auto"/>
                <w:sz w:val="22"/>
                <w:highlight w:val="none"/>
              </w:rPr>
            </w:pPr>
          </w:p>
        </w:tc>
        <w:tc>
          <w:tcPr>
            <w:tcW w:w="1545" w:type="pct"/>
          </w:tcPr>
          <w:p w14:paraId="0CC30AE0">
            <w:pPr>
              <w:widowControl w:val="0"/>
              <w:adjustRightInd/>
              <w:snapToGrid/>
              <w:spacing w:line="360" w:lineRule="exact"/>
              <w:jc w:val="center"/>
              <w:rPr>
                <w:rFonts w:ascii="宋体" w:hAnsi="宋体" w:cs="宋体"/>
                <w:color w:val="auto"/>
                <w:sz w:val="22"/>
                <w:highlight w:val="none"/>
              </w:rPr>
            </w:pPr>
          </w:p>
        </w:tc>
        <w:tc>
          <w:tcPr>
            <w:tcW w:w="1481" w:type="pct"/>
          </w:tcPr>
          <w:p w14:paraId="14603B56">
            <w:pPr>
              <w:widowControl w:val="0"/>
              <w:adjustRightInd/>
              <w:snapToGrid/>
              <w:spacing w:line="360" w:lineRule="exact"/>
              <w:jc w:val="center"/>
              <w:rPr>
                <w:rFonts w:ascii="宋体" w:hAnsi="宋体" w:cs="宋体"/>
                <w:color w:val="auto"/>
                <w:sz w:val="22"/>
                <w:highlight w:val="none"/>
              </w:rPr>
            </w:pPr>
          </w:p>
        </w:tc>
      </w:tr>
      <w:tr w14:paraId="351A44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5E109689">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12</w:t>
            </w:r>
          </w:p>
        </w:tc>
        <w:tc>
          <w:tcPr>
            <w:tcW w:w="1404" w:type="pct"/>
          </w:tcPr>
          <w:p w14:paraId="5FC17FC7">
            <w:pPr>
              <w:widowControl w:val="0"/>
              <w:adjustRightInd/>
              <w:snapToGrid/>
              <w:spacing w:line="360" w:lineRule="exact"/>
              <w:jc w:val="center"/>
              <w:rPr>
                <w:rFonts w:ascii="宋体" w:hAnsi="宋体" w:cs="宋体"/>
                <w:color w:val="auto"/>
                <w:sz w:val="22"/>
                <w:highlight w:val="none"/>
              </w:rPr>
            </w:pPr>
          </w:p>
        </w:tc>
        <w:tc>
          <w:tcPr>
            <w:tcW w:w="1545" w:type="pct"/>
          </w:tcPr>
          <w:p w14:paraId="5693F838">
            <w:pPr>
              <w:widowControl w:val="0"/>
              <w:adjustRightInd/>
              <w:snapToGrid/>
              <w:spacing w:line="360" w:lineRule="exact"/>
              <w:jc w:val="center"/>
              <w:rPr>
                <w:rFonts w:ascii="宋体" w:hAnsi="宋体" w:cs="宋体"/>
                <w:color w:val="auto"/>
                <w:sz w:val="22"/>
                <w:highlight w:val="none"/>
              </w:rPr>
            </w:pPr>
          </w:p>
        </w:tc>
        <w:tc>
          <w:tcPr>
            <w:tcW w:w="1481" w:type="pct"/>
          </w:tcPr>
          <w:p w14:paraId="4C100AD3">
            <w:pPr>
              <w:widowControl w:val="0"/>
              <w:adjustRightInd/>
              <w:snapToGrid/>
              <w:spacing w:line="360" w:lineRule="exact"/>
              <w:jc w:val="center"/>
              <w:rPr>
                <w:rFonts w:ascii="宋体" w:hAnsi="宋体" w:cs="宋体"/>
                <w:color w:val="auto"/>
                <w:sz w:val="22"/>
                <w:highlight w:val="none"/>
              </w:rPr>
            </w:pPr>
          </w:p>
        </w:tc>
      </w:tr>
      <w:tr w14:paraId="08F9CB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C7404C3">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13</w:t>
            </w:r>
          </w:p>
        </w:tc>
        <w:tc>
          <w:tcPr>
            <w:tcW w:w="1404" w:type="pct"/>
          </w:tcPr>
          <w:p w14:paraId="27D3B82C">
            <w:pPr>
              <w:widowControl w:val="0"/>
              <w:adjustRightInd/>
              <w:snapToGrid/>
              <w:spacing w:line="360" w:lineRule="exact"/>
              <w:jc w:val="center"/>
              <w:rPr>
                <w:rFonts w:ascii="宋体" w:hAnsi="宋体" w:cs="宋体"/>
                <w:color w:val="auto"/>
                <w:sz w:val="22"/>
                <w:highlight w:val="none"/>
              </w:rPr>
            </w:pPr>
          </w:p>
        </w:tc>
        <w:tc>
          <w:tcPr>
            <w:tcW w:w="1545" w:type="pct"/>
          </w:tcPr>
          <w:p w14:paraId="66BE09B1">
            <w:pPr>
              <w:widowControl w:val="0"/>
              <w:adjustRightInd/>
              <w:snapToGrid/>
              <w:spacing w:line="360" w:lineRule="exact"/>
              <w:jc w:val="center"/>
              <w:rPr>
                <w:rFonts w:ascii="宋体" w:hAnsi="宋体" w:cs="宋体"/>
                <w:color w:val="auto"/>
                <w:sz w:val="22"/>
                <w:highlight w:val="none"/>
              </w:rPr>
            </w:pPr>
          </w:p>
        </w:tc>
        <w:tc>
          <w:tcPr>
            <w:tcW w:w="1481" w:type="pct"/>
          </w:tcPr>
          <w:p w14:paraId="35E937BC">
            <w:pPr>
              <w:widowControl w:val="0"/>
              <w:adjustRightInd/>
              <w:snapToGrid/>
              <w:spacing w:line="360" w:lineRule="exact"/>
              <w:jc w:val="center"/>
              <w:rPr>
                <w:rFonts w:ascii="宋体" w:hAnsi="宋体" w:cs="宋体"/>
                <w:color w:val="auto"/>
                <w:sz w:val="22"/>
                <w:highlight w:val="none"/>
              </w:rPr>
            </w:pPr>
          </w:p>
        </w:tc>
      </w:tr>
      <w:tr w14:paraId="7A9366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67FECD1">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14</w:t>
            </w:r>
          </w:p>
        </w:tc>
        <w:tc>
          <w:tcPr>
            <w:tcW w:w="1404" w:type="pct"/>
          </w:tcPr>
          <w:p w14:paraId="5D0CBA09">
            <w:pPr>
              <w:widowControl w:val="0"/>
              <w:adjustRightInd/>
              <w:snapToGrid/>
              <w:spacing w:line="360" w:lineRule="exact"/>
              <w:jc w:val="center"/>
              <w:rPr>
                <w:rFonts w:ascii="宋体" w:hAnsi="宋体" w:cs="宋体"/>
                <w:color w:val="auto"/>
                <w:sz w:val="22"/>
                <w:highlight w:val="none"/>
              </w:rPr>
            </w:pPr>
          </w:p>
        </w:tc>
        <w:tc>
          <w:tcPr>
            <w:tcW w:w="1545" w:type="pct"/>
          </w:tcPr>
          <w:p w14:paraId="4A794D91">
            <w:pPr>
              <w:widowControl w:val="0"/>
              <w:adjustRightInd/>
              <w:snapToGrid/>
              <w:spacing w:line="360" w:lineRule="exact"/>
              <w:jc w:val="center"/>
              <w:rPr>
                <w:rFonts w:ascii="宋体" w:hAnsi="宋体" w:cs="宋体"/>
                <w:color w:val="auto"/>
                <w:sz w:val="22"/>
                <w:highlight w:val="none"/>
              </w:rPr>
            </w:pPr>
          </w:p>
        </w:tc>
        <w:tc>
          <w:tcPr>
            <w:tcW w:w="1481" w:type="pct"/>
          </w:tcPr>
          <w:p w14:paraId="0FEC3126">
            <w:pPr>
              <w:widowControl w:val="0"/>
              <w:adjustRightInd/>
              <w:snapToGrid/>
              <w:spacing w:line="360" w:lineRule="exact"/>
              <w:jc w:val="center"/>
              <w:rPr>
                <w:rFonts w:ascii="宋体" w:hAnsi="宋体" w:cs="宋体"/>
                <w:color w:val="auto"/>
                <w:sz w:val="22"/>
                <w:highlight w:val="none"/>
              </w:rPr>
            </w:pPr>
          </w:p>
        </w:tc>
      </w:tr>
      <w:tr w14:paraId="77537B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8402712">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15</w:t>
            </w:r>
          </w:p>
        </w:tc>
        <w:tc>
          <w:tcPr>
            <w:tcW w:w="1404" w:type="pct"/>
          </w:tcPr>
          <w:p w14:paraId="75DDD468">
            <w:pPr>
              <w:widowControl w:val="0"/>
              <w:adjustRightInd/>
              <w:snapToGrid/>
              <w:spacing w:line="360" w:lineRule="exact"/>
              <w:jc w:val="center"/>
              <w:rPr>
                <w:rFonts w:ascii="宋体" w:hAnsi="宋体" w:cs="宋体"/>
                <w:color w:val="auto"/>
                <w:sz w:val="22"/>
                <w:highlight w:val="none"/>
              </w:rPr>
            </w:pPr>
          </w:p>
        </w:tc>
        <w:tc>
          <w:tcPr>
            <w:tcW w:w="1545" w:type="pct"/>
          </w:tcPr>
          <w:p w14:paraId="606990DC">
            <w:pPr>
              <w:widowControl w:val="0"/>
              <w:adjustRightInd/>
              <w:snapToGrid/>
              <w:spacing w:line="360" w:lineRule="exact"/>
              <w:jc w:val="center"/>
              <w:rPr>
                <w:rFonts w:ascii="宋体" w:hAnsi="宋体" w:cs="宋体"/>
                <w:color w:val="auto"/>
                <w:sz w:val="22"/>
                <w:highlight w:val="none"/>
              </w:rPr>
            </w:pPr>
          </w:p>
        </w:tc>
        <w:tc>
          <w:tcPr>
            <w:tcW w:w="1481" w:type="pct"/>
          </w:tcPr>
          <w:p w14:paraId="7F86DF91">
            <w:pPr>
              <w:widowControl w:val="0"/>
              <w:adjustRightInd/>
              <w:snapToGrid/>
              <w:spacing w:line="360" w:lineRule="exact"/>
              <w:jc w:val="center"/>
              <w:rPr>
                <w:rFonts w:ascii="宋体" w:hAnsi="宋体" w:cs="宋体"/>
                <w:color w:val="auto"/>
                <w:sz w:val="22"/>
                <w:highlight w:val="none"/>
              </w:rPr>
            </w:pPr>
          </w:p>
        </w:tc>
      </w:tr>
      <w:tr w14:paraId="6F5268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93C0F7D">
            <w:pPr>
              <w:widowControl w:val="0"/>
              <w:adjustRightInd/>
              <w:snapToGrid/>
              <w:spacing w:line="360" w:lineRule="exact"/>
              <w:jc w:val="center"/>
              <w:rPr>
                <w:rFonts w:ascii="宋体" w:hAnsi="宋体" w:cs="宋体"/>
                <w:color w:val="auto"/>
                <w:sz w:val="22"/>
                <w:highlight w:val="none"/>
              </w:rPr>
            </w:pPr>
          </w:p>
        </w:tc>
        <w:tc>
          <w:tcPr>
            <w:tcW w:w="1404" w:type="pct"/>
          </w:tcPr>
          <w:p w14:paraId="737CF905">
            <w:pPr>
              <w:widowControl w:val="0"/>
              <w:adjustRightInd/>
              <w:snapToGrid/>
              <w:spacing w:line="360" w:lineRule="exact"/>
              <w:jc w:val="center"/>
              <w:rPr>
                <w:rFonts w:ascii="宋体" w:hAnsi="宋体" w:cs="宋体"/>
                <w:color w:val="auto"/>
                <w:sz w:val="22"/>
                <w:highlight w:val="none"/>
              </w:rPr>
            </w:pPr>
          </w:p>
        </w:tc>
        <w:tc>
          <w:tcPr>
            <w:tcW w:w="1545" w:type="pct"/>
          </w:tcPr>
          <w:p w14:paraId="03FEA9F4">
            <w:pPr>
              <w:widowControl w:val="0"/>
              <w:adjustRightInd/>
              <w:snapToGrid/>
              <w:spacing w:line="360" w:lineRule="exact"/>
              <w:jc w:val="center"/>
              <w:rPr>
                <w:rFonts w:ascii="宋体" w:hAnsi="宋体" w:cs="宋体"/>
                <w:color w:val="auto"/>
                <w:sz w:val="22"/>
                <w:highlight w:val="none"/>
              </w:rPr>
            </w:pPr>
          </w:p>
        </w:tc>
        <w:tc>
          <w:tcPr>
            <w:tcW w:w="1481" w:type="pct"/>
          </w:tcPr>
          <w:p w14:paraId="359A7230">
            <w:pPr>
              <w:widowControl w:val="0"/>
              <w:adjustRightInd/>
              <w:snapToGrid/>
              <w:spacing w:line="360" w:lineRule="exact"/>
              <w:jc w:val="center"/>
              <w:rPr>
                <w:rFonts w:ascii="宋体" w:hAnsi="宋体" w:cs="宋体"/>
                <w:color w:val="auto"/>
                <w:sz w:val="22"/>
                <w:highlight w:val="none"/>
              </w:rPr>
            </w:pPr>
          </w:p>
        </w:tc>
      </w:tr>
      <w:tr w14:paraId="5ACA2D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488DDFE">
            <w:pPr>
              <w:widowControl w:val="0"/>
              <w:adjustRightInd/>
              <w:snapToGrid/>
              <w:spacing w:line="360" w:lineRule="exact"/>
              <w:jc w:val="center"/>
              <w:rPr>
                <w:rFonts w:ascii="宋体" w:hAnsi="宋体" w:cs="宋体"/>
                <w:color w:val="auto"/>
                <w:sz w:val="22"/>
                <w:highlight w:val="none"/>
              </w:rPr>
            </w:pPr>
          </w:p>
        </w:tc>
        <w:tc>
          <w:tcPr>
            <w:tcW w:w="1404" w:type="pct"/>
          </w:tcPr>
          <w:p w14:paraId="1672FC66">
            <w:pPr>
              <w:widowControl w:val="0"/>
              <w:adjustRightInd/>
              <w:snapToGrid/>
              <w:spacing w:line="360" w:lineRule="exact"/>
              <w:jc w:val="center"/>
              <w:rPr>
                <w:rFonts w:ascii="宋体" w:hAnsi="宋体" w:cs="宋体"/>
                <w:color w:val="auto"/>
                <w:sz w:val="22"/>
                <w:highlight w:val="none"/>
              </w:rPr>
            </w:pPr>
          </w:p>
        </w:tc>
        <w:tc>
          <w:tcPr>
            <w:tcW w:w="1545" w:type="pct"/>
          </w:tcPr>
          <w:p w14:paraId="0AA4CD03">
            <w:pPr>
              <w:widowControl w:val="0"/>
              <w:adjustRightInd/>
              <w:snapToGrid/>
              <w:spacing w:line="360" w:lineRule="exact"/>
              <w:jc w:val="center"/>
              <w:rPr>
                <w:rFonts w:ascii="宋体" w:hAnsi="宋体" w:cs="宋体"/>
                <w:color w:val="auto"/>
                <w:sz w:val="22"/>
                <w:highlight w:val="none"/>
              </w:rPr>
            </w:pPr>
          </w:p>
        </w:tc>
        <w:tc>
          <w:tcPr>
            <w:tcW w:w="1481" w:type="pct"/>
          </w:tcPr>
          <w:p w14:paraId="590FDEDD">
            <w:pPr>
              <w:widowControl w:val="0"/>
              <w:adjustRightInd/>
              <w:snapToGrid/>
              <w:spacing w:line="360" w:lineRule="exact"/>
              <w:jc w:val="center"/>
              <w:rPr>
                <w:rFonts w:ascii="宋体" w:hAnsi="宋体" w:cs="宋体"/>
                <w:color w:val="auto"/>
                <w:sz w:val="22"/>
                <w:highlight w:val="none"/>
              </w:rPr>
            </w:pPr>
          </w:p>
        </w:tc>
      </w:tr>
    </w:tbl>
    <w:p w14:paraId="6A3DCD75">
      <w:pPr>
        <w:widowControl w:val="0"/>
        <w:adjustRightInd/>
        <w:snapToGrid/>
        <w:spacing w:line="360" w:lineRule="exact"/>
        <w:ind w:firstLine="440" w:firstLineChars="200"/>
        <w:jc w:val="both"/>
        <w:rPr>
          <w:rFonts w:hint="eastAsia" w:ascii="宋体" w:hAnsi="宋体" w:cs="宋体"/>
          <w:color w:val="auto"/>
          <w:sz w:val="22"/>
          <w:highlight w:val="none"/>
        </w:rPr>
      </w:pPr>
      <w:r>
        <w:rPr>
          <w:rFonts w:hint="eastAsia" w:ascii="宋体" w:hAnsi="宋体" w:cs="宋体"/>
          <w:color w:val="auto"/>
          <w:sz w:val="22"/>
          <w:highlight w:val="none"/>
        </w:rPr>
        <w:t>备注：</w:t>
      </w:r>
    </w:p>
    <w:p w14:paraId="399F26F0">
      <w:pPr>
        <w:widowControl w:val="0"/>
        <w:adjustRightInd/>
        <w:snapToGrid/>
        <w:spacing w:line="360" w:lineRule="exact"/>
        <w:ind w:firstLine="440" w:firstLineChars="200"/>
        <w:jc w:val="both"/>
        <w:rPr>
          <w:rFonts w:hint="eastAsia" w:ascii="宋体" w:hAnsi="宋体" w:cs="宋体"/>
          <w:color w:val="auto"/>
          <w:sz w:val="22"/>
          <w:highlight w:val="none"/>
        </w:rPr>
      </w:pPr>
      <w:r>
        <w:rPr>
          <w:rFonts w:hint="eastAsia" w:ascii="宋体" w:hAnsi="宋体" w:cs="宋体"/>
          <w:color w:val="auto"/>
          <w:sz w:val="22"/>
          <w:highlight w:val="none"/>
        </w:rPr>
        <w:t>1、以上为拟投入本项目不少于5名驾驶员和不少于5名押运员人员名单表，</w:t>
      </w:r>
      <w:r>
        <w:rPr>
          <w:rFonts w:hint="eastAsia" w:ascii="宋体" w:hAnsi="宋体" w:cs="宋体"/>
          <w:color w:val="auto"/>
          <w:sz w:val="22"/>
          <w:highlight w:val="none"/>
          <w:lang w:val="en-US" w:eastAsia="zh-CN"/>
        </w:rPr>
        <w:t>乙方</w:t>
      </w:r>
      <w:r>
        <w:rPr>
          <w:rFonts w:hint="eastAsia" w:ascii="宋体" w:hAnsi="宋体" w:cs="宋体"/>
          <w:color w:val="auto"/>
          <w:sz w:val="22"/>
          <w:highlight w:val="none"/>
        </w:rPr>
        <w:t>可根据情况增加，不得减少。具体人员名单为初步填写，后续如需更换，</w:t>
      </w:r>
      <w:r>
        <w:rPr>
          <w:rFonts w:hint="eastAsia" w:ascii="宋体" w:hAnsi="宋体" w:cs="宋体"/>
          <w:color w:val="auto"/>
          <w:sz w:val="22"/>
          <w:highlight w:val="none"/>
          <w:lang w:val="en-US" w:eastAsia="zh-CN"/>
        </w:rPr>
        <w:t>需</w:t>
      </w:r>
      <w:r>
        <w:rPr>
          <w:rFonts w:hint="eastAsia" w:ascii="宋体" w:hAnsi="宋体" w:cs="宋体"/>
          <w:color w:val="auto"/>
          <w:sz w:val="22"/>
          <w:highlight w:val="none"/>
        </w:rPr>
        <w:t>征得</w:t>
      </w:r>
      <w:r>
        <w:rPr>
          <w:rFonts w:hint="eastAsia" w:ascii="宋体" w:hAnsi="宋体" w:cs="宋体"/>
          <w:color w:val="auto"/>
          <w:sz w:val="22"/>
          <w:highlight w:val="none"/>
          <w:lang w:val="en-US" w:eastAsia="zh-CN"/>
        </w:rPr>
        <w:t>甲方书面</w:t>
      </w:r>
      <w:r>
        <w:rPr>
          <w:rFonts w:hint="eastAsia" w:ascii="宋体" w:hAnsi="宋体" w:cs="宋体"/>
          <w:color w:val="auto"/>
          <w:sz w:val="22"/>
          <w:highlight w:val="none"/>
        </w:rPr>
        <w:t>同意后方可更换。</w:t>
      </w:r>
    </w:p>
    <w:p w14:paraId="42B22E89">
      <w:pPr>
        <w:widowControl w:val="0"/>
        <w:adjustRightInd/>
        <w:snapToGrid/>
        <w:spacing w:line="360" w:lineRule="exact"/>
        <w:ind w:firstLine="440" w:firstLineChars="200"/>
        <w:jc w:val="both"/>
        <w:rPr>
          <w:rFonts w:hint="eastAsia" w:ascii="宋体" w:hAnsi="宋体" w:cs="宋体"/>
          <w:color w:val="auto"/>
          <w:sz w:val="22"/>
          <w:highlight w:val="none"/>
        </w:rPr>
      </w:pPr>
      <w:r>
        <w:rPr>
          <w:rFonts w:hint="eastAsia" w:ascii="宋体" w:hAnsi="宋体" w:cs="宋体"/>
          <w:color w:val="auto"/>
          <w:sz w:val="22"/>
          <w:highlight w:val="none"/>
          <w:lang w:val="en-US" w:eastAsia="zh-CN"/>
        </w:rPr>
        <w:t>2</w:t>
      </w:r>
      <w:r>
        <w:rPr>
          <w:rFonts w:hint="eastAsia" w:ascii="宋体" w:hAnsi="宋体" w:cs="宋体"/>
          <w:color w:val="auto"/>
          <w:sz w:val="22"/>
          <w:highlight w:val="none"/>
        </w:rPr>
        <w:t>、资料要求：</w:t>
      </w:r>
    </w:p>
    <w:p w14:paraId="4D9E505B">
      <w:pPr>
        <w:widowControl w:val="0"/>
        <w:adjustRightInd/>
        <w:snapToGrid/>
        <w:spacing w:line="360" w:lineRule="exact"/>
        <w:ind w:firstLine="440" w:firstLineChars="200"/>
        <w:jc w:val="both"/>
        <w:rPr>
          <w:rFonts w:hint="eastAsia" w:ascii="宋体" w:hAnsi="宋体" w:cs="宋体"/>
          <w:color w:val="auto"/>
          <w:sz w:val="22"/>
          <w:highlight w:val="none"/>
        </w:rPr>
      </w:pPr>
      <w:r>
        <w:rPr>
          <w:rFonts w:hint="eastAsia" w:ascii="宋体" w:hAnsi="宋体" w:cs="宋体"/>
          <w:color w:val="auto"/>
          <w:sz w:val="22"/>
          <w:highlight w:val="none"/>
        </w:rPr>
        <w:t>【投标时提供】不少于5名驾驶员的《道路运输从业人员从业资格证》及不少于5名押运员的《道路运输从业人员从业资格证》，加盖公章。</w:t>
      </w:r>
    </w:p>
    <w:p w14:paraId="756786FE">
      <w:pPr>
        <w:widowControl w:val="0"/>
        <w:adjustRightInd/>
        <w:snapToGrid/>
        <w:spacing w:line="360" w:lineRule="exact"/>
        <w:ind w:firstLine="440" w:firstLineChars="200"/>
        <w:jc w:val="both"/>
        <w:rPr>
          <w:rFonts w:hint="default" w:ascii="宋体" w:hAnsi="宋体" w:eastAsia="宋体" w:cs="宋体"/>
          <w:color w:val="auto"/>
          <w:sz w:val="22"/>
          <w:highlight w:val="none"/>
          <w:lang w:val="en-US" w:eastAsia="zh-CN"/>
        </w:rPr>
      </w:pPr>
      <w:r>
        <w:rPr>
          <w:rFonts w:hint="eastAsia" w:ascii="宋体" w:hAnsi="宋体" w:cs="宋体"/>
          <w:color w:val="auto"/>
          <w:sz w:val="22"/>
          <w:highlight w:val="none"/>
        </w:rPr>
        <w:t>【中标后</w:t>
      </w:r>
      <w:r>
        <w:rPr>
          <w:rFonts w:hint="eastAsia" w:ascii="宋体" w:hAnsi="宋体" w:cs="宋体"/>
          <w:color w:val="auto"/>
          <w:sz w:val="22"/>
          <w:highlight w:val="none"/>
          <w:lang w:val="en-US" w:eastAsia="zh-CN"/>
        </w:rPr>
        <w:t>向甲方备案</w:t>
      </w:r>
      <w:r>
        <w:rPr>
          <w:rFonts w:hint="eastAsia" w:ascii="宋体" w:hAnsi="宋体" w:cs="宋体"/>
          <w:color w:val="auto"/>
          <w:sz w:val="22"/>
          <w:highlight w:val="none"/>
        </w:rPr>
        <w:t>】不少于5名驾驶员的身份证、</w:t>
      </w:r>
      <w:r>
        <w:rPr>
          <w:rFonts w:hint="eastAsia" w:ascii="宋体" w:hAnsi="宋体" w:cs="宋体"/>
          <w:color w:val="auto"/>
          <w:sz w:val="22"/>
          <w:highlight w:val="none"/>
          <w:lang w:val="en-US" w:eastAsia="zh-CN"/>
        </w:rPr>
        <w:t>驾驶证、</w:t>
      </w:r>
      <w:r>
        <w:rPr>
          <w:rFonts w:hint="eastAsia" w:ascii="宋体" w:hAnsi="宋体" w:cs="宋体"/>
          <w:color w:val="auto"/>
          <w:sz w:val="22"/>
          <w:highlight w:val="none"/>
        </w:rPr>
        <w:t>《道路运输从业人员从业资格证》</w:t>
      </w:r>
      <w:r>
        <w:rPr>
          <w:rFonts w:hint="eastAsia" w:ascii="宋体" w:hAnsi="宋体" w:cs="宋体"/>
          <w:color w:val="auto"/>
          <w:sz w:val="22"/>
          <w:highlight w:val="none"/>
          <w:lang w:val="en-US" w:eastAsia="zh-CN"/>
        </w:rPr>
        <w:t>和保险证明等；不少于5名</w:t>
      </w:r>
      <w:r>
        <w:rPr>
          <w:rFonts w:hint="eastAsia" w:ascii="宋体" w:hAnsi="宋体" w:cs="宋体"/>
          <w:b w:val="0"/>
          <w:bCs w:val="0"/>
          <w:color w:val="auto"/>
          <w:sz w:val="22"/>
          <w:highlight w:val="none"/>
          <w:lang w:val="en-US" w:eastAsia="zh-CN"/>
        </w:rPr>
        <w:t>押运员</w:t>
      </w:r>
      <w:r>
        <w:rPr>
          <w:rFonts w:hint="eastAsia" w:ascii="宋体" w:hAnsi="宋体" w:cs="宋体"/>
          <w:color w:val="auto"/>
          <w:sz w:val="22"/>
          <w:highlight w:val="none"/>
          <w:lang w:val="en-US" w:eastAsia="zh-CN"/>
        </w:rPr>
        <w:t>的身份证、</w:t>
      </w:r>
      <w:r>
        <w:rPr>
          <w:rFonts w:hint="eastAsia" w:ascii="宋体" w:hAnsi="宋体" w:cs="宋体"/>
          <w:color w:val="auto"/>
          <w:sz w:val="22"/>
          <w:highlight w:val="none"/>
        </w:rPr>
        <w:t>《道路运输从业人员从业资格证》</w:t>
      </w:r>
      <w:r>
        <w:rPr>
          <w:rFonts w:hint="eastAsia" w:ascii="宋体" w:hAnsi="宋体" w:cs="宋体"/>
          <w:color w:val="auto"/>
          <w:sz w:val="22"/>
          <w:highlight w:val="none"/>
          <w:lang w:val="en-US" w:eastAsia="zh-CN"/>
        </w:rPr>
        <w:t>和保险证明等。</w:t>
      </w:r>
    </w:p>
    <w:p w14:paraId="0C388AE8">
      <w:pPr>
        <w:rPr>
          <w:highlight w:val="none"/>
        </w:rPr>
      </w:pPr>
    </w:p>
    <w:p w14:paraId="0D27CED0">
      <w:pPr>
        <w:rPr>
          <w:rFonts w:ascii="宋体" w:hAnsi="宋体"/>
          <w:b/>
          <w:color w:val="auto"/>
          <w:sz w:val="24"/>
          <w:highlight w:val="none"/>
        </w:rPr>
      </w:pPr>
      <w:r>
        <w:rPr>
          <w:rFonts w:hint="eastAsia" w:ascii="宋体" w:hAnsi="宋体"/>
          <w:b/>
          <w:color w:val="auto"/>
          <w:sz w:val="24"/>
          <w:highlight w:val="none"/>
        </w:rPr>
        <w:br w:type="page"/>
      </w:r>
    </w:p>
    <w:p w14:paraId="3BC650C0">
      <w:pPr>
        <w:spacing w:line="360" w:lineRule="auto"/>
        <w:ind w:left="0" w:leftChars="0" w:firstLine="0" w:firstLineChars="0"/>
        <w:outlineLvl w:val="1"/>
        <w:rPr>
          <w:rFonts w:ascii="Times New Roman" w:hAnsi="Times New Roman" w:cs="Times New Roman"/>
          <w:b/>
          <w:color w:val="auto"/>
          <w:szCs w:val="21"/>
          <w:highlight w:val="none"/>
        </w:rPr>
      </w:pPr>
      <w:bookmarkStart w:id="907" w:name="_Toc1052"/>
      <w:bookmarkStart w:id="908" w:name="_Toc21105"/>
      <w:bookmarkStart w:id="909" w:name="_Toc31396"/>
      <w:bookmarkStart w:id="910" w:name="_Toc10357"/>
      <w:bookmarkStart w:id="911" w:name="_Toc11338"/>
      <w:bookmarkStart w:id="912" w:name="_Toc30494"/>
      <w:bookmarkStart w:id="913" w:name="_Toc1615"/>
      <w:bookmarkStart w:id="914" w:name="_Toc4688"/>
      <w:bookmarkStart w:id="915" w:name="_Toc178"/>
      <w:bookmarkStart w:id="916" w:name="_Toc12157"/>
      <w:bookmarkStart w:id="917" w:name="_Toc13147"/>
      <w:r>
        <w:rPr>
          <w:rFonts w:hint="eastAsia" w:ascii="宋体" w:hAnsi="宋体"/>
          <w:b/>
          <w:color w:val="auto"/>
          <w:sz w:val="21"/>
          <w:szCs w:val="21"/>
          <w:highlight w:val="none"/>
          <w:lang w:val="en-US" w:eastAsia="zh-CN"/>
        </w:rPr>
        <w:t>合同</w:t>
      </w:r>
      <w:r>
        <w:rPr>
          <w:rFonts w:ascii="Times New Roman" w:hAnsi="Times New Roman" w:cs="Times New Roman"/>
          <w:b/>
          <w:color w:val="auto"/>
          <w:szCs w:val="21"/>
          <w:highlight w:val="none"/>
        </w:rPr>
        <w:t>附件</w:t>
      </w:r>
      <w:r>
        <w:rPr>
          <w:rFonts w:hint="eastAsia" w:cs="Times New Roman"/>
          <w:b/>
          <w:color w:val="auto"/>
          <w:szCs w:val="21"/>
          <w:highlight w:val="none"/>
          <w:lang w:val="en-US" w:eastAsia="zh-CN"/>
        </w:rPr>
        <w:t>3</w:t>
      </w:r>
      <w:r>
        <w:rPr>
          <w:rFonts w:ascii="Times New Roman" w:hAnsi="Times New Roman" w:cs="Times New Roman"/>
          <w:b/>
          <w:color w:val="auto"/>
          <w:szCs w:val="21"/>
          <w:highlight w:val="none"/>
        </w:rPr>
        <w:t>《</w:t>
      </w:r>
      <w:r>
        <w:rPr>
          <w:rFonts w:hint="eastAsia" w:ascii="Times New Roman" w:hAnsi="Times New Roman" w:cs="Times New Roman"/>
          <w:b/>
          <w:color w:val="auto"/>
          <w:szCs w:val="21"/>
          <w:highlight w:val="none"/>
        </w:rPr>
        <w:t>危险废物运输费单价表</w:t>
      </w:r>
      <w:r>
        <w:rPr>
          <w:rFonts w:ascii="Times New Roman" w:hAnsi="Times New Roman" w:cs="Times New Roman"/>
          <w:b/>
          <w:color w:val="auto"/>
          <w:szCs w:val="21"/>
          <w:highlight w:val="none"/>
        </w:rPr>
        <w:t>》</w:t>
      </w:r>
      <w:bookmarkEnd w:id="907"/>
      <w:bookmarkEnd w:id="908"/>
      <w:bookmarkEnd w:id="909"/>
      <w:bookmarkEnd w:id="910"/>
      <w:bookmarkEnd w:id="911"/>
      <w:bookmarkEnd w:id="912"/>
      <w:bookmarkEnd w:id="913"/>
      <w:bookmarkEnd w:id="914"/>
      <w:bookmarkEnd w:id="915"/>
      <w:bookmarkEnd w:id="916"/>
      <w:bookmarkEnd w:id="917"/>
    </w:p>
    <w:p w14:paraId="1987FB66">
      <w:pPr>
        <w:adjustRightInd/>
        <w:snapToGrid/>
        <w:spacing w:line="360" w:lineRule="exact"/>
        <w:rPr>
          <w:rFonts w:ascii="Times New Roman" w:hAnsi="Times New Roman" w:cs="Times New Roman"/>
          <w:b/>
          <w:color w:val="auto"/>
          <w:szCs w:val="21"/>
          <w:highlight w:val="none"/>
        </w:rPr>
      </w:pPr>
    </w:p>
    <w:p w14:paraId="1FAB891C">
      <w:pPr>
        <w:adjustRightInd/>
        <w:snapToGrid/>
        <w:spacing w:line="360" w:lineRule="exact"/>
        <w:rPr>
          <w:rFonts w:ascii="Times New Roman" w:hAnsi="Times New Roman" w:cs="Times New Roman"/>
          <w:b/>
          <w:color w:val="auto"/>
          <w:szCs w:val="21"/>
          <w:highlight w:val="none"/>
        </w:rPr>
      </w:pPr>
    </w:p>
    <w:p w14:paraId="66CBE92D">
      <w:pPr>
        <w:adjustRightInd/>
        <w:snapToGrid/>
        <w:spacing w:line="360" w:lineRule="exact"/>
        <w:rPr>
          <w:rFonts w:ascii="Times New Roman" w:hAnsi="Times New Roman" w:cs="Times New Roman"/>
          <w:b/>
          <w:color w:val="auto"/>
          <w:szCs w:val="21"/>
          <w:highlight w:val="none"/>
        </w:rPr>
      </w:pPr>
    </w:p>
    <w:p w14:paraId="09015973">
      <w:pPr>
        <w:adjustRightInd/>
        <w:snapToGrid/>
        <w:spacing w:line="360" w:lineRule="exact"/>
        <w:rPr>
          <w:rFonts w:ascii="Times New Roman" w:hAnsi="Times New Roman" w:cs="Times New Roman"/>
          <w:b/>
          <w:color w:val="auto"/>
          <w:szCs w:val="21"/>
          <w:highlight w:val="none"/>
        </w:rPr>
      </w:pPr>
    </w:p>
    <w:p w14:paraId="142C755F">
      <w:pPr>
        <w:adjustRightInd/>
        <w:snapToGrid/>
        <w:spacing w:line="360" w:lineRule="exact"/>
        <w:rPr>
          <w:rFonts w:ascii="Times New Roman" w:hAnsi="Times New Roman" w:cs="Times New Roman"/>
          <w:b/>
          <w:color w:val="auto"/>
          <w:szCs w:val="21"/>
          <w:highlight w:val="none"/>
        </w:rPr>
      </w:pPr>
    </w:p>
    <w:p w14:paraId="25DACD23">
      <w:pPr>
        <w:adjustRightInd/>
        <w:snapToGrid/>
        <w:spacing w:line="360" w:lineRule="exact"/>
        <w:rPr>
          <w:rFonts w:ascii="Times New Roman" w:hAnsi="Times New Roman" w:cs="Times New Roman"/>
          <w:b/>
          <w:color w:val="auto"/>
          <w:szCs w:val="21"/>
          <w:highlight w:val="none"/>
        </w:rPr>
      </w:pPr>
    </w:p>
    <w:p w14:paraId="13C25133">
      <w:pPr>
        <w:adjustRightInd/>
        <w:snapToGrid/>
        <w:spacing w:line="360" w:lineRule="exact"/>
        <w:outlineLvl w:val="9"/>
        <w:rPr>
          <w:rFonts w:ascii="Times New Roman" w:hAnsi="Times New Roman" w:cs="Times New Roman"/>
          <w:b/>
          <w:color w:val="auto"/>
          <w:szCs w:val="21"/>
          <w:highlight w:val="none"/>
        </w:rPr>
      </w:pPr>
      <w:bookmarkStart w:id="918" w:name="_Toc8996"/>
      <w:bookmarkStart w:id="919" w:name="_Toc3578"/>
    </w:p>
    <w:p w14:paraId="4F90D661">
      <w:pPr>
        <w:adjustRightInd/>
        <w:snapToGrid/>
        <w:spacing w:line="360" w:lineRule="exact"/>
        <w:outlineLvl w:val="9"/>
        <w:rPr>
          <w:rFonts w:ascii="Times New Roman" w:hAnsi="Times New Roman" w:cs="Times New Roman"/>
          <w:b/>
          <w:color w:val="auto"/>
          <w:szCs w:val="21"/>
          <w:highlight w:val="none"/>
        </w:rPr>
      </w:pPr>
    </w:p>
    <w:p w14:paraId="6598D74C">
      <w:pPr>
        <w:adjustRightInd/>
        <w:snapToGrid/>
        <w:spacing w:line="360" w:lineRule="exact"/>
        <w:outlineLvl w:val="9"/>
        <w:rPr>
          <w:rFonts w:ascii="Times New Roman" w:hAnsi="Times New Roman" w:cs="Times New Roman"/>
          <w:b/>
          <w:color w:val="auto"/>
          <w:szCs w:val="21"/>
          <w:highlight w:val="none"/>
        </w:rPr>
      </w:pPr>
    </w:p>
    <w:p w14:paraId="34D4B9FF">
      <w:pPr>
        <w:adjustRightInd/>
        <w:snapToGrid/>
        <w:spacing w:line="360" w:lineRule="exact"/>
        <w:outlineLvl w:val="9"/>
        <w:rPr>
          <w:rFonts w:ascii="Times New Roman" w:hAnsi="Times New Roman" w:cs="Times New Roman"/>
          <w:b/>
          <w:color w:val="auto"/>
          <w:szCs w:val="21"/>
          <w:highlight w:val="none"/>
        </w:rPr>
      </w:pPr>
    </w:p>
    <w:p w14:paraId="210D2D74">
      <w:pPr>
        <w:adjustRightInd/>
        <w:snapToGrid/>
        <w:spacing w:line="360" w:lineRule="exact"/>
        <w:outlineLvl w:val="9"/>
        <w:rPr>
          <w:rFonts w:ascii="Times New Roman" w:hAnsi="Times New Roman" w:cs="Times New Roman"/>
          <w:b/>
          <w:color w:val="auto"/>
          <w:szCs w:val="21"/>
          <w:highlight w:val="none"/>
        </w:rPr>
      </w:pPr>
    </w:p>
    <w:p w14:paraId="17ABA4E3">
      <w:pPr>
        <w:adjustRightInd/>
        <w:snapToGrid/>
        <w:spacing w:line="360" w:lineRule="exact"/>
        <w:outlineLvl w:val="9"/>
        <w:rPr>
          <w:rFonts w:ascii="Times New Roman" w:hAnsi="Times New Roman" w:cs="Times New Roman"/>
          <w:b/>
          <w:color w:val="auto"/>
          <w:szCs w:val="21"/>
          <w:highlight w:val="none"/>
        </w:rPr>
      </w:pPr>
    </w:p>
    <w:p w14:paraId="12F160BD">
      <w:pPr>
        <w:adjustRightInd/>
        <w:snapToGrid/>
        <w:spacing w:line="360" w:lineRule="exact"/>
        <w:outlineLvl w:val="9"/>
        <w:rPr>
          <w:rFonts w:ascii="Times New Roman" w:hAnsi="Times New Roman" w:cs="Times New Roman"/>
          <w:b/>
          <w:color w:val="auto"/>
          <w:szCs w:val="21"/>
          <w:highlight w:val="none"/>
        </w:rPr>
      </w:pPr>
    </w:p>
    <w:p w14:paraId="20F19773">
      <w:pPr>
        <w:adjustRightInd/>
        <w:snapToGrid/>
        <w:spacing w:line="360" w:lineRule="exact"/>
        <w:outlineLvl w:val="9"/>
        <w:rPr>
          <w:rFonts w:ascii="Times New Roman" w:hAnsi="Times New Roman" w:cs="Times New Roman"/>
          <w:b/>
          <w:color w:val="auto"/>
          <w:szCs w:val="21"/>
          <w:highlight w:val="none"/>
        </w:rPr>
      </w:pPr>
    </w:p>
    <w:p w14:paraId="165F3B06">
      <w:pPr>
        <w:adjustRightInd/>
        <w:snapToGrid/>
        <w:spacing w:line="360" w:lineRule="exact"/>
        <w:outlineLvl w:val="9"/>
        <w:rPr>
          <w:rFonts w:ascii="Times New Roman" w:hAnsi="Times New Roman" w:cs="Times New Roman"/>
          <w:b/>
          <w:color w:val="auto"/>
          <w:szCs w:val="21"/>
          <w:highlight w:val="none"/>
        </w:rPr>
      </w:pPr>
    </w:p>
    <w:p w14:paraId="2C8ABC2B">
      <w:pPr>
        <w:adjustRightInd/>
        <w:snapToGrid/>
        <w:spacing w:line="360" w:lineRule="exact"/>
        <w:outlineLvl w:val="9"/>
        <w:rPr>
          <w:rFonts w:ascii="Times New Roman" w:hAnsi="Times New Roman" w:cs="Times New Roman"/>
          <w:b/>
          <w:color w:val="auto"/>
          <w:szCs w:val="21"/>
          <w:highlight w:val="none"/>
        </w:rPr>
      </w:pPr>
    </w:p>
    <w:p w14:paraId="63F02F4D">
      <w:pPr>
        <w:adjustRightInd/>
        <w:snapToGrid/>
        <w:spacing w:line="360" w:lineRule="exact"/>
        <w:outlineLvl w:val="9"/>
        <w:rPr>
          <w:rFonts w:ascii="Times New Roman" w:hAnsi="Times New Roman" w:cs="Times New Roman"/>
          <w:b/>
          <w:color w:val="auto"/>
          <w:szCs w:val="21"/>
          <w:highlight w:val="none"/>
        </w:rPr>
      </w:pPr>
    </w:p>
    <w:p w14:paraId="7250B75A">
      <w:pPr>
        <w:adjustRightInd/>
        <w:snapToGrid/>
        <w:spacing w:line="360" w:lineRule="exact"/>
        <w:outlineLvl w:val="9"/>
        <w:rPr>
          <w:rFonts w:ascii="Times New Roman" w:hAnsi="Times New Roman" w:cs="Times New Roman"/>
          <w:b/>
          <w:color w:val="auto"/>
          <w:szCs w:val="21"/>
          <w:highlight w:val="none"/>
        </w:rPr>
      </w:pPr>
    </w:p>
    <w:p w14:paraId="02B646A9">
      <w:pPr>
        <w:adjustRightInd/>
        <w:snapToGrid/>
        <w:spacing w:line="360" w:lineRule="exact"/>
        <w:outlineLvl w:val="9"/>
        <w:rPr>
          <w:rFonts w:ascii="Times New Roman" w:hAnsi="Times New Roman" w:cs="Times New Roman"/>
          <w:b/>
          <w:color w:val="auto"/>
          <w:szCs w:val="21"/>
          <w:highlight w:val="none"/>
        </w:rPr>
      </w:pPr>
    </w:p>
    <w:p w14:paraId="49F7F435">
      <w:pPr>
        <w:adjustRightInd/>
        <w:snapToGrid/>
        <w:spacing w:line="360" w:lineRule="exact"/>
        <w:outlineLvl w:val="9"/>
        <w:rPr>
          <w:rFonts w:ascii="Times New Roman" w:hAnsi="Times New Roman" w:cs="Times New Roman"/>
          <w:b/>
          <w:color w:val="auto"/>
          <w:szCs w:val="21"/>
          <w:highlight w:val="none"/>
        </w:rPr>
      </w:pPr>
    </w:p>
    <w:p w14:paraId="4B0F6B8E">
      <w:pPr>
        <w:adjustRightInd/>
        <w:snapToGrid/>
        <w:spacing w:line="360" w:lineRule="exact"/>
        <w:outlineLvl w:val="9"/>
        <w:rPr>
          <w:rFonts w:ascii="Times New Roman" w:hAnsi="Times New Roman" w:cs="Times New Roman"/>
          <w:b/>
          <w:color w:val="auto"/>
          <w:szCs w:val="21"/>
          <w:highlight w:val="none"/>
        </w:rPr>
      </w:pPr>
    </w:p>
    <w:p w14:paraId="178450D7">
      <w:pPr>
        <w:adjustRightInd/>
        <w:snapToGrid/>
        <w:spacing w:line="360" w:lineRule="exact"/>
        <w:outlineLvl w:val="9"/>
        <w:rPr>
          <w:rFonts w:ascii="Times New Roman" w:hAnsi="Times New Roman" w:cs="Times New Roman"/>
          <w:b/>
          <w:color w:val="auto"/>
          <w:szCs w:val="21"/>
          <w:highlight w:val="none"/>
        </w:rPr>
      </w:pPr>
    </w:p>
    <w:p w14:paraId="438AE42D">
      <w:pPr>
        <w:adjustRightInd/>
        <w:snapToGrid/>
        <w:spacing w:line="360" w:lineRule="exact"/>
        <w:outlineLvl w:val="9"/>
        <w:rPr>
          <w:rFonts w:ascii="Times New Roman" w:hAnsi="Times New Roman" w:cs="Times New Roman"/>
          <w:b/>
          <w:color w:val="auto"/>
          <w:szCs w:val="21"/>
          <w:highlight w:val="none"/>
        </w:rPr>
      </w:pPr>
    </w:p>
    <w:p w14:paraId="217B3B01">
      <w:pPr>
        <w:adjustRightInd/>
        <w:snapToGrid/>
        <w:spacing w:line="360" w:lineRule="exact"/>
        <w:outlineLvl w:val="9"/>
        <w:rPr>
          <w:rFonts w:ascii="Times New Roman" w:hAnsi="Times New Roman" w:cs="Times New Roman"/>
          <w:b/>
          <w:color w:val="auto"/>
          <w:szCs w:val="21"/>
          <w:highlight w:val="none"/>
        </w:rPr>
      </w:pPr>
    </w:p>
    <w:p w14:paraId="2019A4FB">
      <w:pPr>
        <w:adjustRightInd/>
        <w:snapToGrid/>
        <w:spacing w:line="360" w:lineRule="exact"/>
        <w:outlineLvl w:val="9"/>
        <w:rPr>
          <w:rFonts w:ascii="Times New Roman" w:hAnsi="Times New Roman" w:cs="Times New Roman"/>
          <w:b/>
          <w:color w:val="auto"/>
          <w:szCs w:val="21"/>
          <w:highlight w:val="none"/>
        </w:rPr>
      </w:pPr>
      <w:bookmarkStart w:id="920" w:name="_Toc20310"/>
      <w:bookmarkStart w:id="921" w:name="_Toc10825"/>
      <w:bookmarkStart w:id="922" w:name="_Toc16189"/>
    </w:p>
    <w:p w14:paraId="60E17C34">
      <w:pPr>
        <w:adjustRightInd/>
        <w:snapToGrid/>
        <w:spacing w:line="360" w:lineRule="exact"/>
        <w:outlineLvl w:val="9"/>
        <w:rPr>
          <w:rFonts w:ascii="Times New Roman" w:hAnsi="Times New Roman" w:cs="Times New Roman"/>
          <w:b/>
          <w:color w:val="auto"/>
          <w:szCs w:val="21"/>
          <w:highlight w:val="none"/>
        </w:rPr>
      </w:pPr>
    </w:p>
    <w:p w14:paraId="080CE19A">
      <w:pPr>
        <w:adjustRightInd/>
        <w:snapToGrid/>
        <w:spacing w:line="360" w:lineRule="exact"/>
        <w:outlineLvl w:val="9"/>
        <w:rPr>
          <w:rFonts w:ascii="Times New Roman" w:hAnsi="Times New Roman" w:cs="Times New Roman"/>
          <w:b/>
          <w:color w:val="auto"/>
          <w:szCs w:val="21"/>
          <w:highlight w:val="none"/>
        </w:rPr>
      </w:pPr>
    </w:p>
    <w:p w14:paraId="26FB756F">
      <w:pPr>
        <w:adjustRightInd/>
        <w:snapToGrid/>
        <w:spacing w:line="360" w:lineRule="exact"/>
        <w:outlineLvl w:val="9"/>
        <w:rPr>
          <w:rFonts w:ascii="Times New Roman" w:hAnsi="Times New Roman" w:cs="Times New Roman"/>
          <w:b/>
          <w:color w:val="auto"/>
          <w:szCs w:val="21"/>
          <w:highlight w:val="none"/>
        </w:rPr>
      </w:pPr>
    </w:p>
    <w:p w14:paraId="4CB9098F">
      <w:pPr>
        <w:adjustRightInd/>
        <w:snapToGrid/>
        <w:spacing w:line="360" w:lineRule="exact"/>
        <w:outlineLvl w:val="9"/>
        <w:rPr>
          <w:rFonts w:ascii="Times New Roman" w:hAnsi="Times New Roman" w:cs="Times New Roman"/>
          <w:b/>
          <w:color w:val="auto"/>
          <w:szCs w:val="21"/>
          <w:highlight w:val="none"/>
        </w:rPr>
      </w:pPr>
    </w:p>
    <w:p w14:paraId="764C300A">
      <w:pPr>
        <w:adjustRightInd/>
        <w:snapToGrid/>
        <w:spacing w:line="360" w:lineRule="exact"/>
        <w:outlineLvl w:val="9"/>
        <w:rPr>
          <w:rFonts w:ascii="Times New Roman" w:hAnsi="Times New Roman" w:cs="Times New Roman"/>
          <w:b/>
          <w:color w:val="auto"/>
          <w:szCs w:val="21"/>
          <w:highlight w:val="none"/>
        </w:rPr>
      </w:pPr>
    </w:p>
    <w:p w14:paraId="508C77A6">
      <w:pPr>
        <w:adjustRightInd/>
        <w:snapToGrid/>
        <w:spacing w:line="360" w:lineRule="exact"/>
        <w:outlineLvl w:val="9"/>
        <w:rPr>
          <w:rFonts w:ascii="Times New Roman" w:hAnsi="Times New Roman" w:cs="Times New Roman"/>
          <w:b/>
          <w:color w:val="auto"/>
          <w:szCs w:val="21"/>
          <w:highlight w:val="none"/>
        </w:rPr>
      </w:pPr>
    </w:p>
    <w:p w14:paraId="7F3E8A9D">
      <w:pPr>
        <w:adjustRightInd/>
        <w:snapToGrid/>
        <w:spacing w:line="360" w:lineRule="exact"/>
        <w:outlineLvl w:val="9"/>
        <w:rPr>
          <w:rFonts w:ascii="Times New Roman" w:hAnsi="Times New Roman" w:cs="Times New Roman"/>
          <w:b/>
          <w:color w:val="auto"/>
          <w:szCs w:val="21"/>
          <w:highlight w:val="none"/>
        </w:rPr>
      </w:pPr>
    </w:p>
    <w:p w14:paraId="2CB868E3">
      <w:pPr>
        <w:adjustRightInd/>
        <w:snapToGrid/>
        <w:spacing w:line="360" w:lineRule="exact"/>
        <w:outlineLvl w:val="9"/>
        <w:rPr>
          <w:rFonts w:ascii="Times New Roman" w:hAnsi="Times New Roman" w:cs="Times New Roman"/>
          <w:b/>
          <w:color w:val="auto"/>
          <w:szCs w:val="21"/>
          <w:highlight w:val="none"/>
        </w:rPr>
      </w:pPr>
    </w:p>
    <w:p w14:paraId="4BBA1F79">
      <w:pPr>
        <w:adjustRightInd/>
        <w:snapToGrid/>
        <w:spacing w:line="360" w:lineRule="exact"/>
        <w:outlineLvl w:val="9"/>
        <w:rPr>
          <w:rFonts w:ascii="Times New Roman" w:hAnsi="Times New Roman" w:cs="Times New Roman"/>
          <w:b/>
          <w:color w:val="auto"/>
          <w:szCs w:val="21"/>
          <w:highlight w:val="none"/>
        </w:rPr>
      </w:pPr>
    </w:p>
    <w:p w14:paraId="474B0F9E">
      <w:pPr>
        <w:adjustRightInd/>
        <w:snapToGrid/>
        <w:spacing w:line="360" w:lineRule="exact"/>
        <w:outlineLvl w:val="9"/>
        <w:rPr>
          <w:rFonts w:ascii="Times New Roman" w:hAnsi="Times New Roman" w:cs="Times New Roman"/>
          <w:b/>
          <w:color w:val="auto"/>
          <w:szCs w:val="21"/>
          <w:highlight w:val="none"/>
        </w:rPr>
      </w:pPr>
    </w:p>
    <w:p w14:paraId="3C3D6A2C">
      <w:pPr>
        <w:adjustRightInd/>
        <w:snapToGrid/>
        <w:spacing w:line="360" w:lineRule="exact"/>
        <w:outlineLvl w:val="9"/>
        <w:rPr>
          <w:rFonts w:ascii="Times New Roman" w:hAnsi="Times New Roman" w:cs="Times New Roman"/>
          <w:b/>
          <w:color w:val="auto"/>
          <w:szCs w:val="21"/>
          <w:highlight w:val="none"/>
        </w:rPr>
      </w:pPr>
    </w:p>
    <w:p w14:paraId="038B66ED">
      <w:pPr>
        <w:adjustRightInd/>
        <w:snapToGrid/>
        <w:spacing w:line="360" w:lineRule="exact"/>
        <w:outlineLvl w:val="9"/>
        <w:rPr>
          <w:rFonts w:ascii="Times New Roman" w:hAnsi="Times New Roman" w:cs="Times New Roman"/>
          <w:b/>
          <w:color w:val="auto"/>
          <w:szCs w:val="21"/>
          <w:highlight w:val="none"/>
        </w:rPr>
      </w:pPr>
    </w:p>
    <w:p w14:paraId="47F20411">
      <w:pPr>
        <w:adjustRightInd/>
        <w:snapToGrid/>
        <w:spacing w:line="360" w:lineRule="exact"/>
        <w:outlineLvl w:val="1"/>
        <w:rPr>
          <w:rFonts w:ascii="Times New Roman" w:hAnsi="Times New Roman" w:cs="Times New Roman"/>
          <w:b/>
          <w:color w:val="auto"/>
          <w:szCs w:val="21"/>
          <w:highlight w:val="none"/>
        </w:rPr>
      </w:pPr>
      <w:bookmarkStart w:id="923" w:name="_Toc11100"/>
      <w:bookmarkStart w:id="924" w:name="_Toc25235"/>
      <w:bookmarkStart w:id="925" w:name="_Toc11889"/>
      <w:bookmarkStart w:id="926" w:name="_Toc21217"/>
      <w:bookmarkStart w:id="927" w:name="_Toc6261"/>
      <w:bookmarkStart w:id="928" w:name="_Toc17617"/>
      <w:r>
        <w:rPr>
          <w:rFonts w:hint="eastAsia" w:ascii="宋体" w:hAnsi="宋体"/>
          <w:b/>
          <w:color w:val="auto"/>
          <w:sz w:val="21"/>
          <w:szCs w:val="21"/>
          <w:highlight w:val="none"/>
          <w:lang w:val="en-US" w:eastAsia="zh-CN"/>
        </w:rPr>
        <w:t>合同</w:t>
      </w:r>
      <w:r>
        <w:rPr>
          <w:rFonts w:ascii="Times New Roman" w:hAnsi="Times New Roman" w:cs="Times New Roman"/>
          <w:b/>
          <w:color w:val="auto"/>
          <w:szCs w:val="21"/>
          <w:highlight w:val="none"/>
        </w:rPr>
        <w:t>附件</w:t>
      </w:r>
      <w:r>
        <w:rPr>
          <w:rFonts w:hint="eastAsia" w:cs="Times New Roman"/>
          <w:b/>
          <w:color w:val="auto"/>
          <w:szCs w:val="21"/>
          <w:highlight w:val="none"/>
          <w:lang w:val="en-US" w:eastAsia="zh-CN"/>
        </w:rPr>
        <w:t>4</w:t>
      </w:r>
      <w:r>
        <w:rPr>
          <w:rFonts w:ascii="Times New Roman" w:hAnsi="Times New Roman" w:cs="Times New Roman"/>
          <w:b/>
          <w:color w:val="auto"/>
          <w:szCs w:val="21"/>
          <w:highlight w:val="none"/>
        </w:rPr>
        <w:t>《运输杂费及计费规则》</w:t>
      </w:r>
      <w:bookmarkEnd w:id="918"/>
      <w:bookmarkEnd w:id="919"/>
      <w:bookmarkEnd w:id="920"/>
      <w:bookmarkEnd w:id="921"/>
      <w:bookmarkEnd w:id="922"/>
      <w:bookmarkEnd w:id="923"/>
      <w:bookmarkEnd w:id="924"/>
      <w:bookmarkEnd w:id="925"/>
      <w:bookmarkEnd w:id="926"/>
      <w:bookmarkEnd w:id="927"/>
      <w:bookmarkEnd w:id="928"/>
    </w:p>
    <w:tbl>
      <w:tblPr>
        <w:tblStyle w:val="28"/>
        <w:tblW w:w="8304" w:type="dxa"/>
        <w:tblInd w:w="98"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193"/>
        <w:gridCol w:w="2306"/>
        <w:gridCol w:w="1109"/>
        <w:gridCol w:w="3696"/>
      </w:tblGrid>
      <w:tr w14:paraId="5BBBFD9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3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18732E">
            <w:pPr>
              <w:keepNext w:val="0"/>
              <w:keepLines w:val="0"/>
              <w:widowControl/>
              <w:suppressLineNumbers w:val="0"/>
              <w:jc w:val="center"/>
              <w:textAlignment w:val="center"/>
              <w:rPr>
                <w:rFonts w:hint="eastAsia" w:ascii="宋体" w:hAnsi="宋体" w:eastAsia="宋体" w:cs="宋体"/>
                <w:b/>
                <w:bCs/>
                <w:i w:val="0"/>
                <w:iCs w:val="0"/>
                <w:color w:val="auto"/>
                <w:sz w:val="21"/>
                <w:szCs w:val="21"/>
                <w:highlight w:val="none"/>
                <w:u w:val="none"/>
              </w:rPr>
            </w:pPr>
            <w:r>
              <w:rPr>
                <w:rFonts w:hint="eastAsia" w:ascii="宋体" w:hAnsi="宋体" w:eastAsia="宋体" w:cs="宋体"/>
                <w:b/>
                <w:bCs/>
                <w:i w:val="0"/>
                <w:iCs w:val="0"/>
                <w:color w:val="auto"/>
                <w:kern w:val="0"/>
                <w:sz w:val="21"/>
                <w:szCs w:val="21"/>
                <w:highlight w:val="none"/>
                <w:u w:val="none"/>
                <w:lang w:val="en-US" w:eastAsia="zh-CN" w:bidi="ar"/>
              </w:rPr>
              <w:t>项目</w:t>
            </w:r>
          </w:p>
        </w:tc>
        <w:tc>
          <w:tcPr>
            <w:tcW w:w="230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B0FA63">
            <w:pPr>
              <w:keepNext w:val="0"/>
              <w:keepLines w:val="0"/>
              <w:widowControl/>
              <w:suppressLineNumbers w:val="0"/>
              <w:jc w:val="center"/>
              <w:textAlignment w:val="center"/>
              <w:rPr>
                <w:rFonts w:hint="eastAsia" w:ascii="宋体" w:hAnsi="宋体" w:eastAsia="宋体" w:cs="宋体"/>
                <w:b/>
                <w:bCs/>
                <w:i w:val="0"/>
                <w:iCs w:val="0"/>
                <w:color w:val="auto"/>
                <w:sz w:val="21"/>
                <w:szCs w:val="21"/>
                <w:highlight w:val="none"/>
                <w:u w:val="none"/>
              </w:rPr>
            </w:pPr>
            <w:r>
              <w:rPr>
                <w:rFonts w:hint="eastAsia" w:ascii="宋体" w:hAnsi="宋体" w:eastAsia="宋体" w:cs="宋体"/>
                <w:b/>
                <w:bCs/>
                <w:i w:val="0"/>
                <w:iCs w:val="0"/>
                <w:color w:val="auto"/>
                <w:kern w:val="0"/>
                <w:sz w:val="21"/>
                <w:szCs w:val="21"/>
                <w:highlight w:val="none"/>
                <w:u w:val="none"/>
                <w:lang w:val="en-US" w:eastAsia="zh-CN" w:bidi="ar"/>
              </w:rPr>
              <w:t>规则</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3A5CE7">
            <w:pPr>
              <w:keepNext w:val="0"/>
              <w:keepLines w:val="0"/>
              <w:widowControl/>
              <w:suppressLineNumbers w:val="0"/>
              <w:jc w:val="center"/>
              <w:textAlignment w:val="center"/>
              <w:rPr>
                <w:rFonts w:hint="eastAsia" w:ascii="宋体" w:hAnsi="宋体" w:eastAsia="宋体" w:cs="宋体"/>
                <w:b/>
                <w:bCs/>
                <w:i w:val="0"/>
                <w:iCs w:val="0"/>
                <w:color w:val="auto"/>
                <w:sz w:val="21"/>
                <w:szCs w:val="21"/>
                <w:highlight w:val="none"/>
                <w:u w:val="none"/>
              </w:rPr>
            </w:pPr>
            <w:r>
              <w:rPr>
                <w:rFonts w:hint="eastAsia" w:ascii="宋体" w:hAnsi="宋体" w:eastAsia="宋体" w:cs="宋体"/>
                <w:b/>
                <w:bCs/>
                <w:i w:val="0"/>
                <w:iCs w:val="0"/>
                <w:color w:val="auto"/>
                <w:kern w:val="0"/>
                <w:sz w:val="21"/>
                <w:szCs w:val="21"/>
                <w:highlight w:val="none"/>
                <w:u w:val="none"/>
                <w:lang w:val="en-US" w:eastAsia="zh-CN" w:bidi="ar"/>
              </w:rPr>
              <w:t>计费</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0F7FF4">
            <w:pPr>
              <w:keepNext w:val="0"/>
              <w:keepLines w:val="0"/>
              <w:widowControl/>
              <w:suppressLineNumbers w:val="0"/>
              <w:jc w:val="center"/>
              <w:textAlignment w:val="center"/>
              <w:rPr>
                <w:rFonts w:hint="eastAsia" w:ascii="宋体" w:hAnsi="宋体" w:eastAsia="宋体" w:cs="宋体"/>
                <w:b/>
                <w:bCs/>
                <w:i w:val="0"/>
                <w:iCs w:val="0"/>
                <w:color w:val="auto"/>
                <w:sz w:val="21"/>
                <w:szCs w:val="21"/>
                <w:highlight w:val="none"/>
                <w:u w:val="none"/>
              </w:rPr>
            </w:pPr>
            <w:r>
              <w:rPr>
                <w:rFonts w:hint="eastAsia" w:ascii="宋体" w:hAnsi="宋体" w:eastAsia="宋体" w:cs="宋体"/>
                <w:b/>
                <w:bCs/>
                <w:i w:val="0"/>
                <w:iCs w:val="0"/>
                <w:color w:val="auto"/>
                <w:kern w:val="0"/>
                <w:sz w:val="21"/>
                <w:szCs w:val="21"/>
                <w:highlight w:val="none"/>
                <w:u w:val="none"/>
                <w:lang w:val="en-US" w:eastAsia="zh-CN" w:bidi="ar"/>
              </w:rPr>
              <w:t>备注</w:t>
            </w:r>
          </w:p>
        </w:tc>
      </w:tr>
      <w:tr w14:paraId="1E14492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C259BC">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过磅费</w:t>
            </w:r>
          </w:p>
        </w:tc>
        <w:tc>
          <w:tcPr>
            <w:tcW w:w="230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6AACD9">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cs="宋体"/>
                <w:i w:val="0"/>
                <w:iCs w:val="0"/>
                <w:color w:val="auto"/>
                <w:kern w:val="0"/>
                <w:sz w:val="21"/>
                <w:szCs w:val="21"/>
                <w:highlight w:val="none"/>
                <w:u w:val="none"/>
                <w:lang w:val="en-US" w:eastAsia="zh-CN" w:bidi="ar"/>
              </w:rPr>
              <w:t>甲方</w:t>
            </w:r>
            <w:r>
              <w:rPr>
                <w:rFonts w:hint="eastAsia" w:ascii="宋体" w:hAnsi="宋体" w:eastAsia="宋体" w:cs="宋体"/>
                <w:i w:val="0"/>
                <w:iCs w:val="0"/>
                <w:color w:val="auto"/>
                <w:kern w:val="0"/>
                <w:sz w:val="21"/>
                <w:szCs w:val="21"/>
                <w:highlight w:val="none"/>
                <w:u w:val="none"/>
                <w:lang w:val="en-US" w:eastAsia="zh-CN" w:bidi="ar"/>
              </w:rPr>
              <w:t>的客户要求以第三方地磅为准，需在第三方地磅过磅，产生的过磅费用</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4A6737">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按实际执行</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4AAADE">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对账需提供：过磅单、收据</w:t>
            </w:r>
          </w:p>
        </w:tc>
      </w:tr>
      <w:tr w14:paraId="59C3E50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40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1DC6FA">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顺带包装物费用</w:t>
            </w:r>
          </w:p>
        </w:tc>
        <w:tc>
          <w:tcPr>
            <w:tcW w:w="230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13A211">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顺带包装物按照重量计费：</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1、单车带20个及以上200L桶；</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2、单车带10个及以上吨桶；</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3、单车带50个及以上卡板；</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符合以上任一项即可计费，否则不予计费</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DF6CD3">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200元/车</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465581">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对账需提供：包装物交接单，重量核对清单</w:t>
            </w:r>
          </w:p>
        </w:tc>
      </w:tr>
      <w:tr w14:paraId="6DF7A22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625DDF">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专车送包装物</w:t>
            </w:r>
          </w:p>
        </w:tc>
        <w:tc>
          <w:tcPr>
            <w:tcW w:w="230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782329">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需专车送包装物的</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5774D7">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按运价的70%计费</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A276E2">
            <w:pPr>
              <w:jc w:val="left"/>
              <w:rPr>
                <w:rFonts w:hint="eastAsia" w:ascii="宋体" w:hAnsi="宋体" w:eastAsia="宋体" w:cs="宋体"/>
                <w:i w:val="0"/>
                <w:iCs w:val="0"/>
                <w:color w:val="auto"/>
                <w:sz w:val="21"/>
                <w:szCs w:val="21"/>
                <w:highlight w:val="none"/>
                <w:u w:val="none"/>
              </w:rPr>
            </w:pPr>
          </w:p>
        </w:tc>
      </w:tr>
      <w:tr w14:paraId="51925C2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68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F6E614">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拼车费</w:t>
            </w:r>
          </w:p>
        </w:tc>
        <w:tc>
          <w:tcPr>
            <w:tcW w:w="230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A3301B">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1、同一工业园区的不同客户，不计算拼车费；</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2、不同工业园区，同一“区/县/镇”按100元/家计算拼车费；</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3、不同“区/县/镇”按150元/家计算拼车费。</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4690D8">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按规则</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100元/家</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或</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150元/家</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7DE739">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原则上不顺路不予拼车；“区/县/镇”的定义以报价单的“区/县/镇”划分为准。</w:t>
            </w:r>
          </w:p>
        </w:tc>
      </w:tr>
      <w:tr w14:paraId="61EA1C7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818" w:hRule="atLeast"/>
        </w:trPr>
        <w:tc>
          <w:tcPr>
            <w:tcW w:w="1193" w:type="dxa"/>
            <w:tcBorders>
              <w:top w:val="single" w:color="000000" w:sz="4" w:space="0"/>
              <w:left w:val="single" w:color="000000" w:sz="4" w:space="0"/>
              <w:bottom w:val="nil"/>
              <w:right w:val="single" w:color="000000" w:sz="4" w:space="0"/>
            </w:tcBorders>
            <w:shd w:val="clear" w:color="auto" w:fill="auto"/>
            <w:noWrap/>
            <w:vAlign w:val="center"/>
          </w:tcPr>
          <w:p w14:paraId="46505A06">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装卸费</w:t>
            </w:r>
          </w:p>
        </w:tc>
        <w:tc>
          <w:tcPr>
            <w:tcW w:w="230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9139B3">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按装卸费标准执行。</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6AD5C9">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见装卸费标准</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80A28B">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费用的申请：</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每月制作搬运打包费申请表，表内必须包含收运日期、客户名称、搬运废物的重量，同时提供对应客户现场能体现打包服务的水印照片和短视频，视频及照片文件名须按“日期+客户+重量”格式命名，并电子版打包发至</w:t>
            </w:r>
            <w:r>
              <w:rPr>
                <w:rFonts w:hint="eastAsia" w:ascii="宋体" w:hAnsi="宋体" w:cs="宋体"/>
                <w:i w:val="0"/>
                <w:iCs w:val="0"/>
                <w:color w:val="auto"/>
                <w:kern w:val="0"/>
                <w:sz w:val="21"/>
                <w:szCs w:val="21"/>
                <w:highlight w:val="none"/>
                <w:u w:val="none"/>
                <w:lang w:val="en-US" w:eastAsia="zh-CN" w:bidi="ar"/>
              </w:rPr>
              <w:t>甲方</w:t>
            </w:r>
            <w:r>
              <w:rPr>
                <w:rFonts w:hint="eastAsia" w:ascii="宋体" w:hAnsi="宋体" w:eastAsia="宋体" w:cs="宋体"/>
                <w:i w:val="0"/>
                <w:iCs w:val="0"/>
                <w:color w:val="auto"/>
                <w:kern w:val="0"/>
                <w:sz w:val="21"/>
                <w:szCs w:val="21"/>
                <w:highlight w:val="none"/>
                <w:u w:val="none"/>
                <w:lang w:val="en-US" w:eastAsia="zh-CN" w:bidi="ar"/>
              </w:rPr>
              <w:t>留存。</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2、提供对账单纸质时，须将对应的水印照片打印出来作为结算凭证，对账纸质资料每页盖章。</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3、无法提供上述资料的不予支付打包费用（客户现场不允许携带手机的，可与客户沟通协助拍摄，协商不成的需要提前告知</w:t>
            </w:r>
            <w:r>
              <w:rPr>
                <w:rFonts w:hint="eastAsia" w:ascii="宋体" w:hAnsi="宋体" w:cs="宋体"/>
                <w:i w:val="0"/>
                <w:iCs w:val="0"/>
                <w:color w:val="auto"/>
                <w:kern w:val="0"/>
                <w:sz w:val="21"/>
                <w:szCs w:val="21"/>
                <w:highlight w:val="none"/>
                <w:u w:val="none"/>
                <w:lang w:val="en-US" w:eastAsia="zh-CN" w:bidi="ar"/>
              </w:rPr>
              <w:t>甲方</w:t>
            </w:r>
            <w:r>
              <w:rPr>
                <w:rFonts w:hint="eastAsia" w:ascii="宋体" w:hAnsi="宋体" w:eastAsia="宋体" w:cs="宋体"/>
                <w:i w:val="0"/>
                <w:iCs w:val="0"/>
                <w:color w:val="auto"/>
                <w:kern w:val="0"/>
                <w:sz w:val="21"/>
                <w:szCs w:val="21"/>
                <w:highlight w:val="none"/>
                <w:u w:val="none"/>
                <w:lang w:val="en-US" w:eastAsia="zh-CN" w:bidi="ar"/>
              </w:rPr>
              <w:t>，以便</w:t>
            </w:r>
            <w:r>
              <w:rPr>
                <w:rFonts w:hint="eastAsia" w:ascii="宋体" w:hAnsi="宋体" w:cs="宋体"/>
                <w:i w:val="0"/>
                <w:iCs w:val="0"/>
                <w:color w:val="auto"/>
                <w:kern w:val="0"/>
                <w:sz w:val="21"/>
                <w:szCs w:val="21"/>
                <w:highlight w:val="none"/>
                <w:u w:val="none"/>
                <w:lang w:val="en-US" w:eastAsia="zh-CN" w:bidi="ar"/>
              </w:rPr>
              <w:t>甲方</w:t>
            </w:r>
            <w:r>
              <w:rPr>
                <w:rFonts w:hint="eastAsia" w:ascii="宋体" w:hAnsi="宋体" w:eastAsia="宋体" w:cs="宋体"/>
                <w:i w:val="0"/>
                <w:iCs w:val="0"/>
                <w:color w:val="auto"/>
                <w:kern w:val="0"/>
                <w:sz w:val="21"/>
                <w:szCs w:val="21"/>
                <w:highlight w:val="none"/>
                <w:u w:val="none"/>
                <w:lang w:val="en-US" w:eastAsia="zh-CN" w:bidi="ar"/>
              </w:rPr>
              <w:t>与客户确认打包服务属实）。</w:t>
            </w:r>
          </w:p>
        </w:tc>
      </w:tr>
      <w:tr w14:paraId="1485CB5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F13BAE">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放空费</w:t>
            </w:r>
          </w:p>
        </w:tc>
        <w:tc>
          <w:tcPr>
            <w:tcW w:w="230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1525417">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cs="宋体"/>
                <w:i w:val="0"/>
                <w:iCs w:val="0"/>
                <w:color w:val="auto"/>
                <w:kern w:val="0"/>
                <w:sz w:val="21"/>
                <w:szCs w:val="21"/>
                <w:highlight w:val="none"/>
                <w:u w:val="none"/>
                <w:lang w:val="en-US" w:eastAsia="zh-CN" w:bidi="ar"/>
              </w:rPr>
              <w:t>甲方</w:t>
            </w:r>
            <w:r>
              <w:rPr>
                <w:rFonts w:hint="eastAsia" w:ascii="宋体" w:hAnsi="宋体" w:eastAsia="宋体" w:cs="宋体"/>
                <w:i w:val="0"/>
                <w:iCs w:val="0"/>
                <w:color w:val="auto"/>
                <w:kern w:val="0"/>
                <w:sz w:val="21"/>
                <w:szCs w:val="21"/>
                <w:highlight w:val="none"/>
                <w:u w:val="none"/>
                <w:lang w:val="en-US" w:eastAsia="zh-CN" w:bidi="ar"/>
              </w:rPr>
              <w:t>派单给到运输公司，运输公司已开始承接运输任务后，由于</w:t>
            </w:r>
            <w:r>
              <w:rPr>
                <w:rFonts w:hint="eastAsia" w:ascii="宋体" w:hAnsi="宋体" w:cs="宋体"/>
                <w:i w:val="0"/>
                <w:iCs w:val="0"/>
                <w:color w:val="auto"/>
                <w:kern w:val="0"/>
                <w:sz w:val="21"/>
                <w:szCs w:val="21"/>
                <w:highlight w:val="none"/>
                <w:u w:val="none"/>
                <w:lang w:val="en-US" w:eastAsia="zh-CN" w:bidi="ar"/>
              </w:rPr>
              <w:t>甲方</w:t>
            </w:r>
            <w:r>
              <w:rPr>
                <w:rFonts w:hint="eastAsia" w:ascii="宋体" w:hAnsi="宋体" w:eastAsia="宋体" w:cs="宋体"/>
                <w:i w:val="0"/>
                <w:iCs w:val="0"/>
                <w:color w:val="auto"/>
                <w:kern w:val="0"/>
                <w:sz w:val="21"/>
                <w:szCs w:val="21"/>
                <w:highlight w:val="none"/>
                <w:u w:val="none"/>
                <w:lang w:val="en-US" w:eastAsia="zh-CN" w:bidi="ar"/>
              </w:rPr>
              <w:t>或其客户原因导致该批次废物无法收运，运输公司空车往返产生的相关费用</w:t>
            </w:r>
          </w:p>
        </w:tc>
        <w:tc>
          <w:tcPr>
            <w:tcW w:w="110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F76260D">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运价的60%</w:t>
            </w:r>
          </w:p>
        </w:tc>
        <w:tc>
          <w:tcPr>
            <w:tcW w:w="369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A17955B">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不提供放空费情况如下：</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1、因不可抗力如台风等因素无法收运的；</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2、运输单位车辆故障无法按时抵达客户现场装货的；</w:t>
            </w:r>
          </w:p>
        </w:tc>
      </w:tr>
      <w:tr w14:paraId="4A55F66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2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E2F137">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押车费</w:t>
            </w:r>
          </w:p>
        </w:tc>
        <w:tc>
          <w:tcPr>
            <w:tcW w:w="230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F5C72F0">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cs="宋体"/>
                <w:i w:val="0"/>
                <w:iCs w:val="0"/>
                <w:color w:val="auto"/>
                <w:kern w:val="0"/>
                <w:sz w:val="21"/>
                <w:szCs w:val="21"/>
                <w:highlight w:val="none"/>
                <w:u w:val="none"/>
                <w:lang w:val="en-US" w:eastAsia="zh-CN" w:bidi="ar"/>
              </w:rPr>
              <w:t>甲方</w:t>
            </w:r>
            <w:r>
              <w:rPr>
                <w:rFonts w:hint="eastAsia" w:ascii="宋体" w:hAnsi="宋体" w:eastAsia="宋体" w:cs="宋体"/>
                <w:i w:val="0"/>
                <w:iCs w:val="0"/>
                <w:color w:val="auto"/>
                <w:kern w:val="0"/>
                <w:sz w:val="21"/>
                <w:szCs w:val="21"/>
                <w:highlight w:val="none"/>
                <w:u w:val="none"/>
                <w:lang w:val="en-US" w:eastAsia="zh-CN" w:bidi="ar"/>
              </w:rPr>
              <w:t>派单给到运输公司，运输公司已承接该批次废物，但因</w:t>
            </w:r>
            <w:r>
              <w:rPr>
                <w:rFonts w:hint="eastAsia" w:ascii="宋体" w:hAnsi="宋体" w:cs="宋体"/>
                <w:i w:val="0"/>
                <w:iCs w:val="0"/>
                <w:color w:val="auto"/>
                <w:kern w:val="0"/>
                <w:sz w:val="21"/>
                <w:szCs w:val="21"/>
                <w:highlight w:val="none"/>
                <w:u w:val="none"/>
                <w:lang w:val="en-US" w:eastAsia="zh-CN" w:bidi="ar"/>
              </w:rPr>
              <w:t>甲方</w:t>
            </w:r>
            <w:r>
              <w:rPr>
                <w:rFonts w:hint="eastAsia" w:ascii="宋体" w:hAnsi="宋体" w:eastAsia="宋体" w:cs="宋体"/>
                <w:i w:val="0"/>
                <w:iCs w:val="0"/>
                <w:color w:val="auto"/>
                <w:kern w:val="0"/>
                <w:sz w:val="21"/>
                <w:szCs w:val="21"/>
                <w:highlight w:val="none"/>
                <w:u w:val="none"/>
                <w:lang w:val="en-US" w:eastAsia="zh-CN" w:bidi="ar"/>
              </w:rPr>
              <w:t>或其客户原因导致无法当天完成卸货释放运输公司运力，货物需要滞留在车上过夜产生的相关费用，按车型付压车费</w:t>
            </w:r>
          </w:p>
        </w:tc>
        <w:tc>
          <w:tcPr>
            <w:tcW w:w="110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3656103">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5.2米厢车：600元/夜</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7.6米厢车：800元/夜</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9.6米厢车：1000元/夜</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12米挂车：1200元/夜</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18立方槽车：1000元/夜</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30立方槽车：1200元/夜</w:t>
            </w:r>
          </w:p>
        </w:tc>
        <w:tc>
          <w:tcPr>
            <w:tcW w:w="369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5F21EDC">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不提供押车费情况如下：</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1、因客户运距远，无法当天及时返回导致押车的；</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2、因不可抗力如台风等因素无法卸货导致押车的；</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3、运输单位车辆故障无法按时抵达采购人厂区卸货导致押车的；</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4、非工作时间段进场，且未在当天提前报备（下午16时前报备）导致进场后无法卸货押车的；</w:t>
            </w:r>
          </w:p>
        </w:tc>
      </w:tr>
      <w:tr w14:paraId="5CC3A33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3320D6">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机械租赁费</w:t>
            </w:r>
          </w:p>
        </w:tc>
        <w:tc>
          <w:tcPr>
            <w:tcW w:w="230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BDB82E">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因甲方客户装卸货物需要，经采购人同意，需外请叉车、挖掘机、吸污设备进行装货的。</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0792BD">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按照实际价格结算</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83DFF3">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对账需提供：带水印的现场照片、收据或付款记录。费用由运输单位垫付，计入当月运输对账单中，于当月开具运输服务发票进行对账结算。</w:t>
            </w:r>
          </w:p>
        </w:tc>
      </w:tr>
      <w:tr w14:paraId="64179B0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2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58D975">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剧毒运输</w:t>
            </w:r>
          </w:p>
        </w:tc>
        <w:tc>
          <w:tcPr>
            <w:tcW w:w="230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B8E649">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cs="宋体"/>
                <w:i w:val="0"/>
                <w:iCs w:val="0"/>
                <w:color w:val="auto"/>
                <w:kern w:val="0"/>
                <w:sz w:val="21"/>
                <w:szCs w:val="21"/>
                <w:highlight w:val="none"/>
                <w:u w:val="none"/>
                <w:lang w:val="en-US" w:eastAsia="zh-CN" w:bidi="ar"/>
              </w:rPr>
              <w:t>乙方</w:t>
            </w:r>
            <w:r>
              <w:rPr>
                <w:rFonts w:hint="eastAsia" w:ascii="宋体" w:hAnsi="宋体" w:eastAsia="宋体" w:cs="宋体"/>
                <w:i w:val="0"/>
                <w:iCs w:val="0"/>
                <w:color w:val="auto"/>
                <w:kern w:val="0"/>
                <w:sz w:val="21"/>
                <w:szCs w:val="21"/>
                <w:highlight w:val="none"/>
                <w:u w:val="none"/>
                <w:lang w:val="en-US" w:eastAsia="zh-CN" w:bidi="ar"/>
              </w:rPr>
              <w:t>不得因资质问题跳单，</w:t>
            </w:r>
            <w:r>
              <w:rPr>
                <w:rFonts w:hint="eastAsia" w:ascii="宋体" w:hAnsi="宋体" w:cs="宋体"/>
                <w:i w:val="0"/>
                <w:iCs w:val="0"/>
                <w:color w:val="auto"/>
                <w:kern w:val="0"/>
                <w:sz w:val="21"/>
                <w:szCs w:val="21"/>
                <w:highlight w:val="none"/>
                <w:u w:val="none"/>
                <w:lang w:val="en-US" w:eastAsia="zh-CN" w:bidi="ar"/>
              </w:rPr>
              <w:t>甲方</w:t>
            </w:r>
            <w:r>
              <w:rPr>
                <w:rFonts w:hint="eastAsia" w:ascii="宋体" w:hAnsi="宋体" w:eastAsia="宋体" w:cs="宋体"/>
                <w:i w:val="0"/>
                <w:iCs w:val="0"/>
                <w:color w:val="auto"/>
                <w:kern w:val="0"/>
                <w:sz w:val="21"/>
                <w:szCs w:val="21"/>
                <w:highlight w:val="none"/>
                <w:u w:val="none"/>
                <w:lang w:val="en-US" w:eastAsia="zh-CN" w:bidi="ar"/>
              </w:rPr>
              <w:t>按正常运输价格上浮500元/车支付运费</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27450B">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500元/车</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D91525">
            <w:pPr>
              <w:jc w:val="left"/>
              <w:rPr>
                <w:rFonts w:hint="eastAsia" w:ascii="宋体" w:hAnsi="宋体" w:eastAsia="宋体" w:cs="宋体"/>
                <w:i w:val="0"/>
                <w:iCs w:val="0"/>
                <w:color w:val="auto"/>
                <w:sz w:val="21"/>
                <w:szCs w:val="21"/>
                <w:highlight w:val="none"/>
                <w:u w:val="none"/>
              </w:rPr>
            </w:pPr>
          </w:p>
        </w:tc>
      </w:tr>
    </w:tbl>
    <w:p w14:paraId="148065FC">
      <w:pPr>
        <w:jc w:val="center"/>
        <w:outlineLvl w:val="9"/>
        <w:rPr>
          <w:rFonts w:ascii="黑体" w:eastAsia="黑体"/>
          <w:color w:val="auto"/>
          <w:sz w:val="28"/>
          <w:szCs w:val="28"/>
          <w:highlight w:val="none"/>
        </w:rPr>
        <w:sectPr>
          <w:pgSz w:w="11906" w:h="16838"/>
          <w:pgMar w:top="1418" w:right="1800" w:bottom="1440" w:left="1800" w:header="851" w:footer="992" w:gutter="0"/>
          <w:pgBorders>
            <w:top w:val="none" w:sz="0" w:space="0"/>
            <w:left w:val="none" w:sz="0" w:space="0"/>
            <w:bottom w:val="none" w:sz="0" w:space="0"/>
            <w:right w:val="none" w:sz="0" w:space="0"/>
          </w:pgBorders>
          <w:pgNumType w:fmt="decimal"/>
          <w:cols w:space="720" w:num="1"/>
          <w:docGrid w:type="lines" w:linePitch="312" w:charSpace="0"/>
        </w:sectPr>
      </w:pPr>
    </w:p>
    <w:p w14:paraId="4A1C2F16">
      <w:pPr>
        <w:jc w:val="left"/>
        <w:outlineLvl w:val="1"/>
        <w:rPr>
          <w:rFonts w:ascii="Times New Roman" w:hAnsi="Times New Roman" w:cs="Times New Roman"/>
          <w:b/>
          <w:color w:val="auto"/>
          <w:szCs w:val="21"/>
          <w:highlight w:val="none"/>
        </w:rPr>
      </w:pPr>
      <w:bookmarkStart w:id="929" w:name="_Toc20386"/>
      <w:bookmarkStart w:id="930" w:name="_Toc19916"/>
      <w:bookmarkStart w:id="931" w:name="_Toc31861"/>
      <w:bookmarkStart w:id="932" w:name="_Toc15895"/>
      <w:bookmarkStart w:id="933" w:name="_Toc1554"/>
      <w:bookmarkStart w:id="934" w:name="_Toc19496"/>
      <w:bookmarkStart w:id="935" w:name="_Toc18959"/>
      <w:bookmarkStart w:id="936" w:name="_Toc20615"/>
      <w:bookmarkStart w:id="937" w:name="_Toc25826"/>
      <w:bookmarkStart w:id="938" w:name="_Toc26821"/>
      <w:bookmarkStart w:id="939" w:name="_Toc11480"/>
      <w:r>
        <w:rPr>
          <w:rFonts w:hint="eastAsia" w:ascii="宋体" w:hAnsi="宋体"/>
          <w:b/>
          <w:color w:val="auto"/>
          <w:sz w:val="21"/>
          <w:szCs w:val="21"/>
          <w:highlight w:val="none"/>
          <w:lang w:val="en-US" w:eastAsia="zh-CN"/>
        </w:rPr>
        <w:t>合同</w:t>
      </w:r>
      <w:r>
        <w:rPr>
          <w:rFonts w:ascii="Times New Roman" w:hAnsi="Times New Roman" w:cs="Times New Roman"/>
          <w:b/>
          <w:color w:val="auto"/>
          <w:szCs w:val="21"/>
          <w:highlight w:val="none"/>
        </w:rPr>
        <w:t>附件</w:t>
      </w:r>
      <w:r>
        <w:rPr>
          <w:rFonts w:hint="eastAsia" w:cs="Times New Roman"/>
          <w:b/>
          <w:color w:val="auto"/>
          <w:szCs w:val="21"/>
          <w:highlight w:val="none"/>
          <w:lang w:val="en-US" w:eastAsia="zh-CN"/>
        </w:rPr>
        <w:t>5</w:t>
      </w:r>
      <w:r>
        <w:rPr>
          <w:rFonts w:ascii="Times New Roman" w:hAnsi="Times New Roman" w:cs="Times New Roman"/>
          <w:b/>
          <w:color w:val="auto"/>
          <w:szCs w:val="21"/>
          <w:highlight w:val="none"/>
        </w:rPr>
        <w:t>《</w:t>
      </w:r>
      <w:r>
        <w:rPr>
          <w:rFonts w:hint="eastAsia" w:ascii="Times New Roman" w:hAnsi="Times New Roman" w:cs="Times New Roman"/>
          <w:b/>
          <w:color w:val="auto"/>
          <w:szCs w:val="21"/>
          <w:highlight w:val="none"/>
        </w:rPr>
        <w:t>东莞市新东欣环保投资有限公司承运单位违规行为处罚条款</w:t>
      </w:r>
      <w:r>
        <w:rPr>
          <w:rFonts w:ascii="Times New Roman" w:hAnsi="Times New Roman" w:cs="Times New Roman"/>
          <w:b/>
          <w:color w:val="auto"/>
          <w:szCs w:val="21"/>
          <w:highlight w:val="none"/>
        </w:rPr>
        <w:t>》</w:t>
      </w:r>
      <w:bookmarkEnd w:id="929"/>
      <w:bookmarkEnd w:id="930"/>
      <w:bookmarkEnd w:id="931"/>
      <w:bookmarkEnd w:id="932"/>
      <w:bookmarkEnd w:id="933"/>
      <w:bookmarkEnd w:id="934"/>
      <w:bookmarkEnd w:id="935"/>
      <w:bookmarkEnd w:id="936"/>
      <w:bookmarkEnd w:id="937"/>
      <w:bookmarkEnd w:id="938"/>
      <w:bookmarkEnd w:id="939"/>
    </w:p>
    <w:tbl>
      <w:tblPr>
        <w:tblStyle w:val="28"/>
        <w:tblW w:w="8271" w:type="dxa"/>
        <w:tblInd w:w="98"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590"/>
        <w:gridCol w:w="879"/>
        <w:gridCol w:w="4745"/>
        <w:gridCol w:w="2057"/>
      </w:tblGrid>
      <w:tr w14:paraId="714F961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40" w:hRule="atLeast"/>
        </w:trPr>
        <w:tc>
          <w:tcPr>
            <w:tcW w:w="8271" w:type="dxa"/>
            <w:gridSpan w:val="4"/>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3AD1D18">
            <w:pPr>
              <w:keepNext w:val="0"/>
              <w:keepLines w:val="0"/>
              <w:widowControl/>
              <w:suppressLineNumbers w:val="0"/>
              <w:jc w:val="center"/>
              <w:textAlignment w:val="center"/>
              <w:rPr>
                <w:rFonts w:hint="eastAsia" w:ascii="宋体" w:hAnsi="宋体" w:eastAsia="宋体" w:cs="宋体"/>
                <w:b/>
                <w:bCs/>
                <w:i w:val="0"/>
                <w:iCs w:val="0"/>
                <w:color w:val="auto"/>
                <w:kern w:val="0"/>
                <w:sz w:val="18"/>
                <w:szCs w:val="18"/>
                <w:highlight w:val="none"/>
                <w:u w:val="none"/>
                <w:lang w:val="en-US" w:eastAsia="zh-CN" w:bidi="ar"/>
              </w:rPr>
            </w:pPr>
            <w:r>
              <w:rPr>
                <w:rFonts w:hint="eastAsia" w:ascii="宋体" w:hAnsi="宋体" w:eastAsia="宋体" w:cs="宋体"/>
                <w:b/>
                <w:bCs/>
                <w:i w:val="0"/>
                <w:iCs w:val="0"/>
                <w:color w:val="auto"/>
                <w:kern w:val="0"/>
                <w:sz w:val="18"/>
                <w:szCs w:val="18"/>
                <w:highlight w:val="none"/>
                <w:u w:val="none"/>
                <w:lang w:val="en-US" w:eastAsia="zh-CN" w:bidi="ar"/>
              </w:rPr>
              <w:t>东莞市新东欣环保投资有限公司承运单位违规行为处罚条款</w:t>
            </w:r>
          </w:p>
          <w:p w14:paraId="38504A4F">
            <w:pPr>
              <w:keepNext w:val="0"/>
              <w:keepLines w:val="0"/>
              <w:widowControl/>
              <w:suppressLineNumbers w:val="0"/>
              <w:jc w:val="left"/>
              <w:textAlignment w:val="center"/>
              <w:rPr>
                <w:rFonts w:hint="eastAsia" w:ascii="宋体" w:hAnsi="宋体" w:eastAsia="宋体" w:cs="宋体"/>
                <w:b/>
                <w:bCs/>
                <w:i w:val="0"/>
                <w:iCs w:val="0"/>
                <w:color w:val="auto"/>
                <w:kern w:val="0"/>
                <w:sz w:val="18"/>
                <w:szCs w:val="18"/>
                <w:highlight w:val="none"/>
                <w:u w:val="none"/>
                <w:lang w:val="en-US" w:eastAsia="zh-CN" w:bidi="ar"/>
              </w:rPr>
            </w:pPr>
            <w:r>
              <w:rPr>
                <w:rFonts w:hint="eastAsia" w:ascii="宋体" w:hAnsi="宋体" w:cs="宋体"/>
                <w:b/>
                <w:bCs/>
                <w:i w:val="0"/>
                <w:iCs w:val="0"/>
                <w:color w:val="auto"/>
                <w:kern w:val="0"/>
                <w:sz w:val="18"/>
                <w:szCs w:val="18"/>
                <w:highlight w:val="none"/>
                <w:u w:val="none"/>
                <w:lang w:val="en-US" w:eastAsia="zh-CN" w:bidi="ar"/>
              </w:rPr>
              <w:t>说明：</w:t>
            </w:r>
            <w:r>
              <w:rPr>
                <w:rFonts w:hint="eastAsia" w:ascii="宋体" w:hAnsi="宋体" w:cs="宋体"/>
                <w:b/>
                <w:bCs/>
                <w:color w:val="auto"/>
                <w:sz w:val="18"/>
                <w:szCs w:val="18"/>
                <w:highlight w:val="none"/>
                <w:u w:val="none"/>
                <w:lang w:val="en-US" w:eastAsia="zh-CN" w:bidi="ar"/>
              </w:rPr>
              <w:t>以下</w:t>
            </w:r>
            <w:r>
              <w:rPr>
                <w:rFonts w:hint="eastAsia" w:ascii="宋体" w:hAnsi="宋体" w:cs="宋体"/>
                <w:b/>
                <w:bCs/>
                <w:color w:val="auto"/>
                <w:sz w:val="18"/>
                <w:szCs w:val="18"/>
                <w:highlight w:val="none"/>
                <w:u w:val="none"/>
                <w:lang w:bidi="ar"/>
              </w:rPr>
              <w:t>罚款属于违约金，均为人民币</w:t>
            </w:r>
            <w:r>
              <w:rPr>
                <w:rFonts w:hint="eastAsia" w:ascii="宋体" w:hAnsi="宋体" w:cs="宋体"/>
                <w:b/>
                <w:bCs/>
                <w:color w:val="auto"/>
                <w:sz w:val="18"/>
                <w:szCs w:val="18"/>
                <w:highlight w:val="none"/>
                <w:u w:val="none"/>
                <w:lang w:eastAsia="zh-CN" w:bidi="ar"/>
              </w:rPr>
              <w:t>。</w:t>
            </w:r>
          </w:p>
        </w:tc>
      </w:tr>
      <w:tr w14:paraId="5498572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8271" w:type="dxa"/>
            <w:gridSpan w:val="4"/>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FEEA243">
            <w:pPr>
              <w:jc w:val="center"/>
              <w:rPr>
                <w:rFonts w:hint="eastAsia" w:ascii="宋体" w:hAnsi="宋体" w:eastAsia="宋体" w:cs="宋体"/>
                <w:b/>
                <w:bCs/>
                <w:i w:val="0"/>
                <w:iCs w:val="0"/>
                <w:color w:val="auto"/>
                <w:sz w:val="18"/>
                <w:szCs w:val="18"/>
                <w:highlight w:val="none"/>
                <w:u w:val="none"/>
              </w:rPr>
            </w:pPr>
          </w:p>
        </w:tc>
      </w:tr>
      <w:tr w14:paraId="0823714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590" w:type="dxa"/>
            <w:tcBorders>
              <w:top w:val="single" w:color="000000" w:sz="4" w:space="0"/>
              <w:left w:val="single" w:color="000000" w:sz="4" w:space="0"/>
              <w:bottom w:val="single" w:color="000000" w:sz="4" w:space="0"/>
              <w:right w:val="nil"/>
            </w:tcBorders>
            <w:shd w:val="clear" w:color="auto" w:fill="auto"/>
            <w:vAlign w:val="center"/>
          </w:tcPr>
          <w:p w14:paraId="2DDA9A5C">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项目分类</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1C0D8F">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序号</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2872AF7">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违规行为</w:t>
            </w:r>
          </w:p>
        </w:tc>
        <w:tc>
          <w:tcPr>
            <w:tcW w:w="20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413BA5">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处罚措施</w:t>
            </w:r>
          </w:p>
        </w:tc>
      </w:tr>
      <w:tr w14:paraId="50BBC5F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59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70671DB">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条款明细</w:t>
            </w: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5099C18">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E2D372E">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送货单上的废物名称错误、包装物重量错扣、重量错计、数字顺序错填、不同废物重量错调、数量单位写错、现场未与客户一一核对确认送货单数据造成客户漏签字或者代替客户签字、送货单涂改或底联不清晰等造成送货单数据异常引起纠纷后经确认属于运输人员原因造成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28ED104">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罚款300元/次</w:t>
            </w:r>
          </w:p>
        </w:tc>
      </w:tr>
      <w:tr w14:paraId="068E850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C095C04">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A63DE7F">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D4EF605">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运输单位原因错扫、漏扫、迟扫联单，导致联单运输时间与实际运输时间不一致的；或者运输单位原因导致联单作废重新提交的。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84B1A1D">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罚款300元/次</w:t>
            </w:r>
          </w:p>
        </w:tc>
      </w:tr>
      <w:tr w14:paraId="5116EE4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68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80562D8">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365A9BC">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3</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48FD60F">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人员操作不当导致废物泄露或发生反应的：包括不限于收运前未检查废物包装、液位，包装物破损未及时发现，未按规范打包货装车，缠膜不牢导致废物倾倒，车辆防泄漏措施不当导致废物泄漏至路面。该异常现象发生的地点不限于采购人厂区、运输途中、采购人的客户厂区。</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ECA58B8">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罚款500元/次；</w:t>
            </w:r>
            <w:r>
              <w:rPr>
                <w:rFonts w:hint="eastAsia" w:ascii="宋体" w:hAnsi="宋体" w:eastAsia="宋体" w:cs="宋体"/>
                <w:i w:val="0"/>
                <w:iCs w:val="0"/>
                <w:color w:val="auto"/>
                <w:kern w:val="0"/>
                <w:sz w:val="18"/>
                <w:szCs w:val="18"/>
                <w:highlight w:val="none"/>
                <w:u w:val="none"/>
                <w:lang w:val="en-US" w:eastAsia="zh-CN" w:bidi="ar"/>
              </w:rPr>
              <w:br w:type="textWrapping"/>
            </w:r>
            <w:r>
              <w:rPr>
                <w:rFonts w:hint="eastAsia" w:ascii="宋体" w:hAnsi="宋体" w:eastAsia="宋体" w:cs="宋体"/>
                <w:i w:val="0"/>
                <w:iCs w:val="0"/>
                <w:color w:val="auto"/>
                <w:kern w:val="0"/>
                <w:sz w:val="18"/>
                <w:szCs w:val="18"/>
                <w:highlight w:val="none"/>
                <w:u w:val="none"/>
                <w:lang w:val="en-US" w:eastAsia="zh-CN" w:bidi="ar"/>
              </w:rPr>
              <w:t>造成环境污染事故的另行处罚；</w:t>
            </w:r>
            <w:r>
              <w:rPr>
                <w:rFonts w:hint="eastAsia" w:ascii="宋体" w:hAnsi="宋体" w:eastAsia="宋体" w:cs="宋体"/>
                <w:i w:val="0"/>
                <w:iCs w:val="0"/>
                <w:color w:val="auto"/>
                <w:kern w:val="0"/>
                <w:sz w:val="18"/>
                <w:szCs w:val="18"/>
                <w:highlight w:val="none"/>
                <w:u w:val="none"/>
                <w:lang w:val="en-US" w:eastAsia="zh-CN" w:bidi="ar"/>
              </w:rPr>
              <w:br w:type="textWrapping"/>
            </w:r>
            <w:r>
              <w:rPr>
                <w:rFonts w:hint="eastAsia" w:ascii="宋体" w:hAnsi="宋体" w:eastAsia="宋体" w:cs="宋体"/>
                <w:i w:val="0"/>
                <w:iCs w:val="0"/>
                <w:color w:val="auto"/>
                <w:kern w:val="0"/>
                <w:sz w:val="18"/>
                <w:szCs w:val="18"/>
                <w:highlight w:val="none"/>
                <w:u w:val="none"/>
                <w:lang w:val="en-US" w:eastAsia="zh-CN" w:bidi="ar"/>
              </w:rPr>
              <w:t>采购人的客户方有相关处罚规定并出具罚单的；</w:t>
            </w:r>
            <w:r>
              <w:rPr>
                <w:rFonts w:hint="eastAsia" w:ascii="宋体" w:hAnsi="宋体" w:eastAsia="宋体" w:cs="宋体"/>
                <w:i w:val="0"/>
                <w:iCs w:val="0"/>
                <w:color w:val="auto"/>
                <w:kern w:val="0"/>
                <w:sz w:val="18"/>
                <w:szCs w:val="18"/>
                <w:highlight w:val="none"/>
                <w:u w:val="none"/>
                <w:lang w:val="en-US" w:eastAsia="zh-CN" w:bidi="ar"/>
              </w:rPr>
              <w:br w:type="textWrapping"/>
            </w:r>
            <w:r>
              <w:rPr>
                <w:rFonts w:hint="eastAsia" w:ascii="宋体" w:hAnsi="宋体" w:eastAsia="宋体" w:cs="宋体"/>
                <w:i w:val="0"/>
                <w:iCs w:val="0"/>
                <w:color w:val="auto"/>
                <w:kern w:val="0"/>
                <w:sz w:val="18"/>
                <w:szCs w:val="18"/>
                <w:highlight w:val="none"/>
                <w:u w:val="none"/>
                <w:lang w:val="en-US" w:eastAsia="zh-CN" w:bidi="ar"/>
              </w:rPr>
              <w:t>以上情况择重者处罚</w:t>
            </w:r>
          </w:p>
        </w:tc>
      </w:tr>
      <w:tr w14:paraId="66D9B89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16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853C74E">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1613AC0">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4</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156CD24">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槽车运输前未清理罐内残留导致我司废物被污染，废物多项指标出现异常，处置成本上升或者有价废物贬值；废物在现场反应，存在安全隐患、或导致未遂事故、安全事故。</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DE022E3">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1、污染：罚款500元并赔偿因废物指标异常导致的处置成本上涨和有价废物损失；</w:t>
            </w:r>
            <w:r>
              <w:rPr>
                <w:rFonts w:hint="eastAsia" w:ascii="宋体" w:hAnsi="宋体" w:eastAsia="宋体" w:cs="宋体"/>
                <w:i w:val="0"/>
                <w:iCs w:val="0"/>
                <w:color w:val="auto"/>
                <w:kern w:val="0"/>
                <w:sz w:val="18"/>
                <w:szCs w:val="18"/>
                <w:highlight w:val="none"/>
                <w:u w:val="none"/>
                <w:lang w:val="en-US" w:eastAsia="zh-CN" w:bidi="ar"/>
              </w:rPr>
              <w:br w:type="textWrapping"/>
            </w:r>
            <w:r>
              <w:rPr>
                <w:rFonts w:hint="eastAsia" w:ascii="宋体" w:hAnsi="宋体" w:eastAsia="宋体" w:cs="宋体"/>
                <w:i w:val="0"/>
                <w:iCs w:val="0"/>
                <w:color w:val="auto"/>
                <w:kern w:val="0"/>
                <w:sz w:val="18"/>
                <w:szCs w:val="18"/>
                <w:highlight w:val="none"/>
                <w:u w:val="none"/>
                <w:lang w:val="en-US" w:eastAsia="zh-CN" w:bidi="ar"/>
              </w:rPr>
              <w:t>2、反应：废物反应导致其他罚款或人身伤害的，需承担相关处罚，并承担相关行政、刑事处罚、民事责任。</w:t>
            </w:r>
          </w:p>
        </w:tc>
      </w:tr>
      <w:tr w14:paraId="6835978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F0EF664">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0DCE0AB">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5</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D96EC9F">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甲方的客户提出合理收运时间，运输公司确认可按要求时间到达，但最终运输人员未按约定时间抵达，且又未与客户协商达成其他一致的收运时间，导致投诉的，经确认属实。</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4C5139C">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罚款500元/次</w:t>
            </w:r>
          </w:p>
        </w:tc>
      </w:tr>
      <w:tr w14:paraId="212AB8B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BF56E9C">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8DD571C">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6</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CAFF4B6">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运输单位原因导致甲方或者甲方的客户方的设备设施损坏，或者造成人员伤害的。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A7FB5CB">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据实赔偿并加收罚款500元；甲方的客户方有相关处罚规定，并出具罚单的，择重者处罚。</w:t>
            </w:r>
          </w:p>
        </w:tc>
      </w:tr>
      <w:tr w14:paraId="7E5F523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6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58C789E">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9DD6AF2">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7</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70B3205">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运输作业人员在甲方或者甲方的客户厂内禁止吸烟区吸烟，被现场管理人员发现，并出具书面处罚通知。</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5748D5D">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罚款500元/人；</w:t>
            </w:r>
            <w:r>
              <w:rPr>
                <w:rFonts w:hint="eastAsia" w:ascii="宋体" w:hAnsi="宋体" w:eastAsia="宋体" w:cs="宋体"/>
                <w:i w:val="0"/>
                <w:iCs w:val="0"/>
                <w:color w:val="auto"/>
                <w:kern w:val="0"/>
                <w:sz w:val="18"/>
                <w:szCs w:val="18"/>
                <w:highlight w:val="none"/>
                <w:u w:val="none"/>
                <w:lang w:val="en-US" w:eastAsia="zh-CN" w:bidi="ar"/>
              </w:rPr>
              <w:br w:type="textWrapping"/>
            </w:r>
            <w:r>
              <w:rPr>
                <w:rFonts w:hint="eastAsia" w:ascii="宋体" w:hAnsi="宋体" w:eastAsia="宋体" w:cs="宋体"/>
                <w:i w:val="0"/>
                <w:iCs w:val="0"/>
                <w:color w:val="auto"/>
                <w:kern w:val="0"/>
                <w:sz w:val="18"/>
                <w:szCs w:val="18"/>
                <w:highlight w:val="none"/>
                <w:u w:val="none"/>
                <w:lang w:val="en-US" w:eastAsia="zh-CN" w:bidi="ar"/>
              </w:rPr>
              <w:t>甲方的客户有相关处罚规定，并出具罚单的，择重处罚。</w:t>
            </w:r>
          </w:p>
        </w:tc>
      </w:tr>
      <w:tr w14:paraId="4CF3530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6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73E253E">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CAF9FF1">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8</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5BEC8D5">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运输作业人员在甲方或者甲方的客户厂区内未按现场管理要求佩戴劳保用品，被现场管理人员发现，并出具书面处罚通知。</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9EFB885">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罚款200元/人；</w:t>
            </w:r>
            <w:r>
              <w:rPr>
                <w:rFonts w:hint="eastAsia" w:ascii="宋体" w:hAnsi="宋体" w:eastAsia="宋体" w:cs="宋体"/>
                <w:i w:val="0"/>
                <w:iCs w:val="0"/>
                <w:color w:val="auto"/>
                <w:kern w:val="0"/>
                <w:sz w:val="18"/>
                <w:szCs w:val="18"/>
                <w:highlight w:val="none"/>
                <w:u w:val="none"/>
                <w:lang w:val="en-US" w:eastAsia="zh-CN" w:bidi="ar"/>
              </w:rPr>
              <w:br w:type="textWrapping"/>
            </w:r>
            <w:r>
              <w:rPr>
                <w:rFonts w:hint="eastAsia" w:ascii="宋体" w:hAnsi="宋体" w:eastAsia="宋体" w:cs="宋体"/>
                <w:i w:val="0"/>
                <w:iCs w:val="0"/>
                <w:color w:val="auto"/>
                <w:kern w:val="0"/>
                <w:sz w:val="18"/>
                <w:szCs w:val="18"/>
                <w:highlight w:val="none"/>
                <w:u w:val="none"/>
                <w:lang w:val="en-US" w:eastAsia="zh-CN" w:bidi="ar"/>
              </w:rPr>
              <w:t>甲方的客户有相关处罚规定，并出具罚单的，择重处罚。</w:t>
            </w:r>
          </w:p>
        </w:tc>
      </w:tr>
      <w:tr w14:paraId="567426B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6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67CEF23">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F488B22">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9</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B1E47F1">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运输作业人员在甲方或者甲方的客户厂内未按限速规定行驶，被现场管理人员发现，并出具书面处罚通知。</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D0803ED">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罚款200元/人；</w:t>
            </w:r>
            <w:r>
              <w:rPr>
                <w:rFonts w:hint="eastAsia" w:ascii="宋体" w:hAnsi="宋体" w:eastAsia="宋体" w:cs="宋体"/>
                <w:i w:val="0"/>
                <w:iCs w:val="0"/>
                <w:color w:val="auto"/>
                <w:kern w:val="0"/>
                <w:sz w:val="18"/>
                <w:szCs w:val="18"/>
                <w:highlight w:val="none"/>
                <w:u w:val="none"/>
                <w:lang w:val="en-US" w:eastAsia="zh-CN" w:bidi="ar"/>
              </w:rPr>
              <w:br w:type="textWrapping"/>
            </w:r>
            <w:r>
              <w:rPr>
                <w:rFonts w:hint="eastAsia" w:ascii="宋体" w:hAnsi="宋体" w:eastAsia="宋体" w:cs="宋体"/>
                <w:i w:val="0"/>
                <w:iCs w:val="0"/>
                <w:color w:val="auto"/>
                <w:kern w:val="0"/>
                <w:sz w:val="18"/>
                <w:szCs w:val="18"/>
                <w:highlight w:val="none"/>
                <w:u w:val="none"/>
                <w:lang w:val="en-US" w:eastAsia="zh-CN" w:bidi="ar"/>
              </w:rPr>
              <w:t>甲方的客户有相关处罚规定，并出具罚单的，择重处罚。</w:t>
            </w:r>
          </w:p>
        </w:tc>
      </w:tr>
      <w:tr w14:paraId="48D1879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6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7464328">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66A9A7B">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10</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28A8F5B">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除上述第6~9点外，运输作业人员在采购人或者甲方的客户厂内未遵守现场管理制度并引发投诉并出具罚单的其他情况。</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B47DA51">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每一单罚款500元；客户有相关处罚规定，并出具罚单的，择重处罚。</w:t>
            </w:r>
          </w:p>
        </w:tc>
      </w:tr>
      <w:tr w14:paraId="70AC3B1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942DF03">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B80FA7B">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11</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F8ECAD5">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运输作业人员私自变买甲方有价物资，包括但不限于：委托运输的具有市场价值的废物、具有市场价值的包装物、具有市场价值的其他物资。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594970E">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等价赔偿并解除合同</w:t>
            </w:r>
            <w:r>
              <w:rPr>
                <w:rFonts w:hint="eastAsia" w:ascii="宋体" w:hAnsi="宋体" w:cs="宋体"/>
                <w:i w:val="0"/>
                <w:iCs w:val="0"/>
                <w:color w:val="auto"/>
                <w:kern w:val="0"/>
                <w:sz w:val="18"/>
                <w:szCs w:val="18"/>
                <w:highlight w:val="none"/>
                <w:u w:val="none"/>
                <w:lang w:val="en-US" w:eastAsia="zh-CN" w:bidi="ar"/>
              </w:rPr>
              <w:t>没收</w:t>
            </w:r>
            <w:r>
              <w:rPr>
                <w:rFonts w:hint="eastAsia" w:ascii="宋体" w:hAnsi="宋体" w:eastAsia="宋体" w:cs="宋体"/>
                <w:i w:val="0"/>
                <w:iCs w:val="0"/>
                <w:color w:val="auto"/>
                <w:kern w:val="0"/>
                <w:sz w:val="18"/>
                <w:szCs w:val="18"/>
                <w:highlight w:val="none"/>
                <w:u w:val="none"/>
                <w:lang w:val="en-US" w:eastAsia="zh-CN" w:bidi="ar"/>
              </w:rPr>
              <w:t>履约</w:t>
            </w:r>
            <w:r>
              <w:rPr>
                <w:rFonts w:hint="eastAsia" w:ascii="宋体" w:hAnsi="宋体" w:cs="宋体"/>
                <w:i w:val="0"/>
                <w:iCs w:val="0"/>
                <w:color w:val="auto"/>
                <w:kern w:val="0"/>
                <w:sz w:val="18"/>
                <w:szCs w:val="18"/>
                <w:highlight w:val="none"/>
                <w:u w:val="none"/>
                <w:lang w:val="en-US" w:eastAsia="zh-CN" w:bidi="ar"/>
              </w:rPr>
              <w:t>保证金</w:t>
            </w:r>
            <w:r>
              <w:rPr>
                <w:rFonts w:hint="eastAsia" w:ascii="宋体" w:hAnsi="宋体" w:eastAsia="宋体" w:cs="宋体"/>
                <w:i w:val="0"/>
                <w:iCs w:val="0"/>
                <w:color w:val="auto"/>
                <w:kern w:val="0"/>
                <w:sz w:val="18"/>
                <w:szCs w:val="18"/>
                <w:highlight w:val="none"/>
                <w:u w:val="none"/>
                <w:lang w:val="en-US" w:eastAsia="zh-CN" w:bidi="ar"/>
              </w:rPr>
              <w:t>；情节严重的报警处理。</w:t>
            </w:r>
          </w:p>
        </w:tc>
      </w:tr>
      <w:tr w14:paraId="516C60B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6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65BAAD9">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B54B362">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12</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0066F04">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在收运现场发现未贴标示、标签的废物，须履行提醒和纠正的义务。未履行前述义务且未使用我司提供的标签填写清楚所收废物名称或采取其他措施进行标识废物，将未贴任何标示、标签的废物收运进入甲方厂区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831A20C">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罚款200元/次；若最终因此发生退货时，由运输公司承担退货费用</w:t>
            </w:r>
          </w:p>
        </w:tc>
      </w:tr>
      <w:tr w14:paraId="727591F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F512FFA">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191AD05">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13</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0CFFB74">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运输作业人员中途倾倒危险废物。</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EDD34B7">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报警处理并解除合同</w:t>
            </w:r>
            <w:r>
              <w:rPr>
                <w:rFonts w:hint="eastAsia" w:ascii="宋体" w:hAnsi="宋体" w:cs="宋体"/>
                <w:i w:val="0"/>
                <w:iCs w:val="0"/>
                <w:color w:val="auto"/>
                <w:kern w:val="0"/>
                <w:sz w:val="18"/>
                <w:szCs w:val="18"/>
                <w:highlight w:val="none"/>
                <w:u w:val="none"/>
                <w:lang w:val="en-US" w:eastAsia="zh-CN" w:bidi="ar"/>
              </w:rPr>
              <w:t>没收</w:t>
            </w:r>
            <w:r>
              <w:rPr>
                <w:rFonts w:hint="eastAsia" w:ascii="宋体" w:hAnsi="宋体" w:eastAsia="宋体" w:cs="宋体"/>
                <w:i w:val="0"/>
                <w:iCs w:val="0"/>
                <w:color w:val="auto"/>
                <w:kern w:val="0"/>
                <w:sz w:val="18"/>
                <w:szCs w:val="18"/>
                <w:highlight w:val="none"/>
                <w:u w:val="none"/>
                <w:lang w:val="en-US" w:eastAsia="zh-CN" w:bidi="ar"/>
              </w:rPr>
              <w:t>履约</w:t>
            </w:r>
            <w:r>
              <w:rPr>
                <w:rFonts w:hint="eastAsia" w:ascii="宋体" w:hAnsi="宋体" w:cs="宋体"/>
                <w:i w:val="0"/>
                <w:iCs w:val="0"/>
                <w:color w:val="auto"/>
                <w:kern w:val="0"/>
                <w:sz w:val="18"/>
                <w:szCs w:val="18"/>
                <w:highlight w:val="none"/>
                <w:u w:val="none"/>
                <w:lang w:val="en-US" w:eastAsia="zh-CN" w:bidi="ar"/>
              </w:rPr>
              <w:t>保证金</w:t>
            </w:r>
          </w:p>
        </w:tc>
      </w:tr>
      <w:tr w14:paraId="7CBCBCB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0FF3E18">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B23BE68">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14</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E309DC0">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运输作业人员未听从甲方现场调度人员、现场操作人员的指挥，未按要求装货、填写单据、未在指定的地点卸货，不按照要求携带包装物，或私自领取包装物。</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F20BC5C">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罚款1000元/次</w:t>
            </w:r>
          </w:p>
        </w:tc>
      </w:tr>
      <w:tr w14:paraId="4DCFFC0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4CC4196">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80BB125">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15</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816A59F">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危险货物运输车辆标识不全、无危险标志灯及危险货物标识牌。</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DFAD84B">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罚款300元/车</w:t>
            </w:r>
          </w:p>
        </w:tc>
      </w:tr>
      <w:tr w14:paraId="03F05E4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6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B7349D0">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DBA0EAA">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16</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334B0D0">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未安装防火罩、无导静电胶条或胶条未触地的。危险货物车辆技术等级未达到一级、未在检验有效期内的。危险货物运输车辆未配置相应的消防应急设施；消防应急设施未定期检查、保养、未在有效期限内的。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180AC61">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罚款1000元/车</w:t>
            </w:r>
          </w:p>
        </w:tc>
      </w:tr>
      <w:tr w14:paraId="5EDBC06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E41AD1B">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0753D39">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17</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BA22EFE">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运输作业人员未持证上岗或所持资格证过期失效的。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3C7141C">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罚款1000元/人</w:t>
            </w:r>
          </w:p>
        </w:tc>
      </w:tr>
      <w:tr w14:paraId="39ADB23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EE1AF58">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8687E46">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18</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F024BD8">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车辆无危险货物运输许可证或证件过期失效的。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B60EC03">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罚款2000元/车</w:t>
            </w:r>
          </w:p>
        </w:tc>
      </w:tr>
      <w:tr w14:paraId="1FBD49D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808F2F0">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EDA855D">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19</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A955799">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非因不可抗力因素（包括气象灾害、地质灾害、行政措施/管制、社会异常事件、战争）不安排车辆，或者无理由超时回复派车需求的，视为跳单。</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D730540">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按采购文件约定处罚条款进行处罚</w:t>
            </w:r>
          </w:p>
        </w:tc>
      </w:tr>
      <w:tr w14:paraId="21F5F39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3A2F5DA">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8DA1377">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20</w:t>
            </w:r>
          </w:p>
        </w:tc>
        <w:tc>
          <w:tcPr>
            <w:tcW w:w="47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67CAEE">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服务期间在信用中国上查询到运输公司有不良记录的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9D4FBE2">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解除合同</w:t>
            </w:r>
            <w:r>
              <w:rPr>
                <w:rFonts w:hint="eastAsia" w:ascii="宋体" w:hAnsi="宋体" w:cs="宋体"/>
                <w:b/>
                <w:bCs/>
                <w:i w:val="0"/>
                <w:iCs w:val="0"/>
                <w:color w:val="auto"/>
                <w:kern w:val="0"/>
                <w:sz w:val="18"/>
                <w:szCs w:val="18"/>
                <w:highlight w:val="none"/>
                <w:u w:val="none"/>
                <w:lang w:val="en-US" w:eastAsia="zh-CN" w:bidi="ar"/>
              </w:rPr>
              <w:t>没收</w:t>
            </w:r>
            <w:r>
              <w:rPr>
                <w:rFonts w:hint="eastAsia" w:ascii="宋体" w:hAnsi="宋体" w:eastAsia="宋体" w:cs="宋体"/>
                <w:b/>
                <w:bCs/>
                <w:i w:val="0"/>
                <w:iCs w:val="0"/>
                <w:color w:val="auto"/>
                <w:kern w:val="0"/>
                <w:sz w:val="18"/>
                <w:szCs w:val="18"/>
                <w:highlight w:val="none"/>
                <w:u w:val="none"/>
                <w:lang w:val="en-US" w:eastAsia="zh-CN" w:bidi="ar"/>
              </w:rPr>
              <w:t>履约</w:t>
            </w:r>
            <w:r>
              <w:rPr>
                <w:rFonts w:hint="eastAsia" w:ascii="宋体" w:hAnsi="宋体" w:cs="宋体"/>
                <w:b/>
                <w:bCs/>
                <w:i w:val="0"/>
                <w:iCs w:val="0"/>
                <w:color w:val="auto"/>
                <w:kern w:val="0"/>
                <w:sz w:val="18"/>
                <w:szCs w:val="18"/>
                <w:highlight w:val="none"/>
                <w:u w:val="none"/>
                <w:lang w:val="en-US" w:eastAsia="zh-CN" w:bidi="ar"/>
              </w:rPr>
              <w:t>保证金</w:t>
            </w:r>
          </w:p>
        </w:tc>
      </w:tr>
      <w:tr w14:paraId="1058CD8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2" w:hRule="atLeast"/>
        </w:trPr>
        <w:tc>
          <w:tcPr>
            <w:tcW w:w="6214" w:type="dxa"/>
            <w:gridSpan w:val="3"/>
            <w:tcBorders>
              <w:top w:val="nil"/>
              <w:left w:val="nil"/>
              <w:bottom w:val="nil"/>
              <w:right w:val="nil"/>
            </w:tcBorders>
            <w:shd w:val="clear" w:color="auto" w:fill="auto"/>
            <w:vAlign w:val="center"/>
          </w:tcPr>
          <w:p w14:paraId="64A10407">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我司确认上述条款内容无误，如发生违规行为，愿按照上述条款执行！</w:t>
            </w:r>
          </w:p>
        </w:tc>
        <w:tc>
          <w:tcPr>
            <w:tcW w:w="2057" w:type="dxa"/>
            <w:tcBorders>
              <w:top w:val="nil"/>
              <w:left w:val="nil"/>
              <w:bottom w:val="nil"/>
              <w:right w:val="nil"/>
            </w:tcBorders>
            <w:shd w:val="clear" w:color="auto" w:fill="auto"/>
            <w:vAlign w:val="center"/>
          </w:tcPr>
          <w:p w14:paraId="5AA8CC28">
            <w:pPr>
              <w:jc w:val="center"/>
              <w:rPr>
                <w:rFonts w:hint="eastAsia" w:ascii="宋体" w:hAnsi="宋体" w:eastAsia="宋体" w:cs="宋体"/>
                <w:i w:val="0"/>
                <w:iCs w:val="0"/>
                <w:color w:val="auto"/>
                <w:sz w:val="18"/>
                <w:szCs w:val="18"/>
                <w:highlight w:val="none"/>
                <w:u w:val="none"/>
              </w:rPr>
            </w:pPr>
          </w:p>
        </w:tc>
      </w:tr>
      <w:tr w14:paraId="42C9E67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1" w:hRule="atLeast"/>
        </w:trPr>
        <w:tc>
          <w:tcPr>
            <w:tcW w:w="6214" w:type="dxa"/>
            <w:gridSpan w:val="3"/>
            <w:tcBorders>
              <w:top w:val="nil"/>
              <w:left w:val="nil"/>
              <w:bottom w:val="nil"/>
              <w:right w:val="nil"/>
            </w:tcBorders>
            <w:shd w:val="clear" w:color="auto" w:fill="auto"/>
            <w:vAlign w:val="center"/>
          </w:tcPr>
          <w:p w14:paraId="4BFC4FF2">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运输单位签字（盖章）/日期：</w:t>
            </w:r>
          </w:p>
        </w:tc>
        <w:tc>
          <w:tcPr>
            <w:tcW w:w="2057" w:type="dxa"/>
            <w:tcBorders>
              <w:top w:val="nil"/>
              <w:left w:val="nil"/>
              <w:bottom w:val="nil"/>
              <w:right w:val="nil"/>
            </w:tcBorders>
            <w:shd w:val="clear" w:color="auto" w:fill="auto"/>
            <w:vAlign w:val="center"/>
          </w:tcPr>
          <w:p w14:paraId="2FD53120">
            <w:pPr>
              <w:jc w:val="center"/>
              <w:rPr>
                <w:rFonts w:hint="eastAsia" w:ascii="宋体" w:hAnsi="宋体" w:eastAsia="宋体" w:cs="宋体"/>
                <w:i w:val="0"/>
                <w:iCs w:val="0"/>
                <w:color w:val="auto"/>
                <w:sz w:val="18"/>
                <w:szCs w:val="18"/>
                <w:highlight w:val="none"/>
                <w:u w:val="none"/>
              </w:rPr>
            </w:pPr>
          </w:p>
        </w:tc>
      </w:tr>
    </w:tbl>
    <w:p w14:paraId="7CC7B513">
      <w:pPr>
        <w:jc w:val="left"/>
        <w:outlineLvl w:val="9"/>
        <w:rPr>
          <w:rFonts w:ascii="黑体" w:eastAsia="黑体"/>
          <w:color w:val="auto"/>
          <w:sz w:val="28"/>
          <w:szCs w:val="28"/>
          <w:highlight w:val="none"/>
        </w:rPr>
        <w:sectPr>
          <w:pgSz w:w="11906" w:h="16838"/>
          <w:pgMar w:top="1418" w:right="1800" w:bottom="1440" w:left="1800" w:header="851" w:footer="992" w:gutter="0"/>
          <w:pgBorders>
            <w:top w:val="none" w:sz="0" w:space="0"/>
            <w:left w:val="none" w:sz="0" w:space="0"/>
            <w:bottom w:val="none" w:sz="0" w:space="0"/>
            <w:right w:val="none" w:sz="0" w:space="0"/>
          </w:pgBorders>
          <w:pgNumType w:fmt="decimal"/>
          <w:cols w:space="720" w:num="1"/>
          <w:docGrid w:type="lines" w:linePitch="312" w:charSpace="0"/>
        </w:sectPr>
      </w:pPr>
    </w:p>
    <w:p w14:paraId="4C22AC9F">
      <w:pPr>
        <w:jc w:val="left"/>
        <w:outlineLvl w:val="1"/>
        <w:rPr>
          <w:rFonts w:hint="eastAsia" w:cs="Times New Roman"/>
          <w:b/>
          <w:color w:val="auto"/>
          <w:szCs w:val="21"/>
          <w:highlight w:val="none"/>
          <w:lang w:val="en-US" w:eastAsia="zh-CN"/>
        </w:rPr>
      </w:pPr>
      <w:bookmarkStart w:id="940" w:name="_Toc12706"/>
      <w:bookmarkStart w:id="941" w:name="_Toc27588"/>
      <w:bookmarkStart w:id="942" w:name="_Toc31457"/>
      <w:bookmarkStart w:id="943" w:name="_Toc5040"/>
      <w:bookmarkStart w:id="944" w:name="_Toc30359"/>
      <w:bookmarkStart w:id="945" w:name="_Toc10438"/>
      <w:bookmarkStart w:id="946" w:name="_Toc7791"/>
      <w:bookmarkStart w:id="947" w:name="_Toc25598"/>
      <w:bookmarkStart w:id="948" w:name="_Toc27082"/>
      <w:bookmarkStart w:id="949" w:name="_Toc4173"/>
      <w:bookmarkStart w:id="950" w:name="_Toc14538"/>
      <w:r>
        <w:rPr>
          <w:rFonts w:hint="eastAsia" w:ascii="宋体" w:hAnsi="宋体"/>
          <w:b/>
          <w:color w:val="auto"/>
          <w:sz w:val="21"/>
          <w:szCs w:val="21"/>
          <w:highlight w:val="none"/>
          <w:lang w:val="en-US" w:eastAsia="zh-CN"/>
        </w:rPr>
        <w:t>合同</w:t>
      </w:r>
      <w:r>
        <w:rPr>
          <w:rFonts w:ascii="Times New Roman" w:hAnsi="Times New Roman" w:cs="Times New Roman"/>
          <w:b/>
          <w:color w:val="auto"/>
          <w:szCs w:val="21"/>
          <w:highlight w:val="none"/>
        </w:rPr>
        <w:t>附件</w:t>
      </w:r>
      <w:r>
        <w:rPr>
          <w:rFonts w:hint="eastAsia" w:cs="Times New Roman"/>
          <w:b/>
          <w:color w:val="auto"/>
          <w:szCs w:val="21"/>
          <w:highlight w:val="none"/>
          <w:lang w:val="en-US" w:eastAsia="zh-CN"/>
        </w:rPr>
        <w:t>6</w:t>
      </w:r>
      <w:r>
        <w:rPr>
          <w:rFonts w:ascii="Times New Roman" w:hAnsi="Times New Roman" w:cs="Times New Roman"/>
          <w:b/>
          <w:color w:val="auto"/>
          <w:szCs w:val="21"/>
          <w:highlight w:val="none"/>
        </w:rPr>
        <w:t>《</w:t>
      </w:r>
      <w:r>
        <w:rPr>
          <w:rFonts w:hint="eastAsia" w:cs="Times New Roman"/>
          <w:b/>
          <w:color w:val="auto"/>
          <w:szCs w:val="21"/>
          <w:highlight w:val="none"/>
          <w:lang w:val="en-US" w:eastAsia="zh-CN"/>
        </w:rPr>
        <w:t>运输商季度考核评分表》</w:t>
      </w:r>
      <w:bookmarkEnd w:id="940"/>
      <w:bookmarkEnd w:id="941"/>
      <w:bookmarkEnd w:id="942"/>
      <w:bookmarkEnd w:id="943"/>
      <w:bookmarkEnd w:id="944"/>
      <w:bookmarkEnd w:id="945"/>
      <w:bookmarkEnd w:id="946"/>
      <w:bookmarkEnd w:id="947"/>
      <w:bookmarkEnd w:id="948"/>
      <w:bookmarkEnd w:id="949"/>
      <w:bookmarkEnd w:id="950"/>
    </w:p>
    <w:p w14:paraId="1747C6A7">
      <w:pPr>
        <w:jc w:val="left"/>
        <w:outlineLvl w:val="9"/>
        <w:rPr>
          <w:rFonts w:hint="eastAsia" w:cs="Times New Roman"/>
          <w:b/>
          <w:color w:val="auto"/>
          <w:szCs w:val="21"/>
          <w:highlight w:val="none"/>
          <w:lang w:val="en-US" w:eastAsia="zh-CN"/>
        </w:rPr>
      </w:pPr>
      <w:r>
        <w:rPr>
          <w:rFonts w:hint="eastAsia" w:ascii="方正小标宋简体" w:hAnsi="方正小标宋简体" w:eastAsia="方正小标宋简体" w:cs="方正小标宋简体"/>
          <w:color w:val="auto"/>
          <w:sz w:val="28"/>
          <w:szCs w:val="22"/>
          <w:highlight w:val="none"/>
          <w:lang w:val="en-US"/>
        </w:rPr>
        <w:drawing>
          <wp:inline distT="0" distB="0" distL="114300" distR="114300">
            <wp:extent cx="1275080" cy="429895"/>
            <wp:effectExtent l="0" t="0" r="0" b="0"/>
            <wp:docPr id="10" name="图片 10" descr="东实环境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东实环境logo"/>
                    <pic:cNvPicPr>
                      <a:picLocks noChangeAspect="1"/>
                    </pic:cNvPicPr>
                  </pic:nvPicPr>
                  <pic:blipFill>
                    <a:blip r:embed="rId17"/>
                    <a:stretch>
                      <a:fillRect/>
                    </a:stretch>
                  </pic:blipFill>
                  <pic:spPr>
                    <a:xfrm>
                      <a:off x="0" y="0"/>
                      <a:ext cx="1275080" cy="429895"/>
                    </a:xfrm>
                    <a:prstGeom prst="rect">
                      <a:avLst/>
                    </a:prstGeom>
                    <a:noFill/>
                    <a:ln>
                      <a:noFill/>
                    </a:ln>
                  </pic:spPr>
                </pic:pic>
              </a:graphicData>
            </a:graphic>
          </wp:inline>
        </w:drawing>
      </w:r>
    </w:p>
    <w:tbl>
      <w:tblPr>
        <w:tblStyle w:val="28"/>
        <w:tblW w:w="8218" w:type="dxa"/>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8218"/>
      </w:tblGrid>
      <w:tr w14:paraId="61CA889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614" w:hRule="atLeast"/>
          <w:jc w:val="center"/>
        </w:trPr>
        <w:tc>
          <w:tcPr>
            <w:tcW w:w="8218" w:type="dxa"/>
            <w:noWrap w:val="0"/>
            <w:vAlign w:val="center"/>
          </w:tcPr>
          <w:p w14:paraId="55B48BA6">
            <w:pPr>
              <w:jc w:val="center"/>
              <w:rPr>
                <w:rFonts w:hint="eastAsia" w:ascii="方正小标宋简体" w:hAnsi="方正小标宋简体" w:eastAsia="方正小标宋简体" w:cs="方正小标宋简体"/>
                <w:color w:val="auto"/>
                <w:sz w:val="28"/>
                <w:szCs w:val="28"/>
                <w:highlight w:val="none"/>
              </w:rPr>
            </w:pPr>
            <w:r>
              <w:rPr>
                <w:rFonts w:hint="eastAsia" w:ascii="方正小标宋简体" w:hAnsi="方正小标宋简体" w:eastAsia="方正小标宋简体" w:cs="方正小标宋简体"/>
                <w:color w:val="auto"/>
                <w:sz w:val="28"/>
                <w:szCs w:val="28"/>
                <w:highlight w:val="none"/>
                <w:lang w:val="en-US"/>
              </w:rPr>
              <w:t>东莞市新东欣环保投资</w:t>
            </w:r>
            <w:r>
              <w:rPr>
                <w:rFonts w:hint="eastAsia" w:ascii="方正小标宋简体" w:hAnsi="方正小标宋简体" w:eastAsia="方正小标宋简体" w:cs="方正小标宋简体"/>
                <w:color w:val="auto"/>
                <w:sz w:val="28"/>
                <w:szCs w:val="28"/>
                <w:highlight w:val="none"/>
              </w:rPr>
              <w:t>有限公司</w:t>
            </w:r>
          </w:p>
          <w:p w14:paraId="5CDACBBF">
            <w:pPr>
              <w:jc w:val="center"/>
              <w:rPr>
                <w:rFonts w:eastAsia="宋体" w:cs="Arial"/>
                <w:color w:val="auto"/>
                <w:sz w:val="18"/>
                <w:szCs w:val="18"/>
                <w:highlight w:val="none"/>
                <w:lang w:val="fr-FR"/>
              </w:rPr>
            </w:pPr>
            <w:r>
              <w:rPr>
                <w:rFonts w:ascii="Times New Roman" w:hAnsi="Times New Roman" w:eastAsia="宋体"/>
                <w:color w:val="auto"/>
                <w:sz w:val="18"/>
                <w:szCs w:val="18"/>
                <w:highlight w:val="none"/>
                <w:lang w:val="en-US"/>
              </w:rPr>
              <w:t>Dongguan Xin Dongxin Environmental Protection Investment</w:t>
            </w:r>
            <w:r>
              <w:rPr>
                <w:rFonts w:ascii="Times New Roman" w:hAnsi="Times New Roman" w:eastAsia="宋体"/>
                <w:color w:val="auto"/>
                <w:sz w:val="18"/>
                <w:szCs w:val="18"/>
                <w:highlight w:val="none"/>
                <w:lang w:val="fr-FR"/>
              </w:rPr>
              <w:t xml:space="preserve"> Co., Ltd.</w:t>
            </w:r>
          </w:p>
        </w:tc>
      </w:tr>
      <w:tr w14:paraId="7A943C7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87" w:hRule="atLeast"/>
          <w:jc w:val="center"/>
        </w:trPr>
        <w:tc>
          <w:tcPr>
            <w:tcW w:w="8218" w:type="dxa"/>
            <w:noWrap w:val="0"/>
            <w:vAlign w:val="center"/>
          </w:tcPr>
          <w:p w14:paraId="4F65668B">
            <w:pPr>
              <w:jc w:val="center"/>
              <w:rPr>
                <w:rFonts w:ascii="Times New Roman" w:hAnsi="Times New Roman" w:eastAsia="宋体"/>
                <w:color w:val="auto"/>
                <w:sz w:val="18"/>
                <w:szCs w:val="18"/>
                <w:highlight w:val="none"/>
                <w:lang w:val="en-US"/>
              </w:rPr>
            </w:pPr>
            <w:r>
              <w:rPr>
                <w:rFonts w:hint="eastAsia" w:ascii="宋体" w:hAnsi="宋体" w:eastAsia="宋体"/>
                <w:color w:val="auto"/>
                <w:sz w:val="21"/>
                <w:szCs w:val="21"/>
                <w:highlight w:val="none"/>
              </w:rPr>
              <w:t>运输商季度考核评分表</w:t>
            </w:r>
          </w:p>
        </w:tc>
      </w:tr>
    </w:tbl>
    <w:p w14:paraId="6C51C6B6">
      <w:pPr>
        <w:jc w:val="left"/>
        <w:outlineLvl w:val="9"/>
        <w:rPr>
          <w:rFonts w:ascii="黑体" w:eastAsia="黑体"/>
          <w:color w:val="auto"/>
          <w:sz w:val="10"/>
          <w:szCs w:val="10"/>
          <w:highlight w:val="none"/>
        </w:rPr>
      </w:pPr>
    </w:p>
    <w:tbl>
      <w:tblPr>
        <w:tblStyle w:val="28"/>
        <w:tblW w:w="8234" w:type="dxa"/>
        <w:jc w:val="center"/>
        <w:tblLayout w:type="fixed"/>
        <w:tblCellMar>
          <w:top w:w="0" w:type="dxa"/>
          <w:left w:w="108" w:type="dxa"/>
          <w:bottom w:w="0" w:type="dxa"/>
          <w:right w:w="108" w:type="dxa"/>
        </w:tblCellMar>
      </w:tblPr>
      <w:tblGrid>
        <w:gridCol w:w="414"/>
        <w:gridCol w:w="425"/>
        <w:gridCol w:w="64"/>
        <w:gridCol w:w="3104"/>
        <w:gridCol w:w="1320"/>
        <w:gridCol w:w="890"/>
        <w:gridCol w:w="846"/>
        <w:gridCol w:w="1171"/>
      </w:tblGrid>
      <w:tr w14:paraId="084132E0">
        <w:tblPrEx>
          <w:tblCellMar>
            <w:top w:w="0" w:type="dxa"/>
            <w:left w:w="108" w:type="dxa"/>
            <w:bottom w:w="0" w:type="dxa"/>
            <w:right w:w="108" w:type="dxa"/>
          </w:tblCellMar>
        </w:tblPrEx>
        <w:trPr>
          <w:trHeight w:val="375" w:hRule="atLeast"/>
          <w:jc w:val="center"/>
        </w:trPr>
        <w:tc>
          <w:tcPr>
            <w:tcW w:w="903" w:type="dxa"/>
            <w:gridSpan w:val="3"/>
            <w:tcBorders>
              <w:top w:val="single" w:color="auto" w:sz="4" w:space="0"/>
              <w:left w:val="single" w:color="auto" w:sz="4" w:space="0"/>
              <w:bottom w:val="single" w:color="auto" w:sz="4" w:space="0"/>
              <w:right w:val="single" w:color="auto" w:sz="4" w:space="0"/>
            </w:tcBorders>
            <w:shd w:val="clear" w:color="auto" w:fill="FFFFFF"/>
            <w:noWrap/>
            <w:vAlign w:val="center"/>
          </w:tcPr>
          <w:p w14:paraId="5F84E9F2">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考核目的</w:t>
            </w:r>
          </w:p>
        </w:tc>
        <w:tc>
          <w:tcPr>
            <w:tcW w:w="7331" w:type="dxa"/>
            <w:gridSpan w:val="5"/>
            <w:tcBorders>
              <w:top w:val="single" w:color="auto" w:sz="4" w:space="0"/>
              <w:left w:val="single" w:color="auto" w:sz="4" w:space="0"/>
              <w:bottom w:val="single" w:color="auto" w:sz="4" w:space="0"/>
              <w:right w:val="single" w:color="auto" w:sz="4" w:space="0"/>
            </w:tcBorders>
            <w:shd w:val="clear" w:color="auto" w:fill="FFFFFF"/>
            <w:noWrap w:val="0"/>
            <w:vAlign w:val="center"/>
          </w:tcPr>
          <w:p w14:paraId="18BF06B8">
            <w:pPr>
              <w:overflowPunct/>
              <w:autoSpaceDE/>
              <w:autoSpaceDN/>
              <w:adjustRightInd/>
              <w:spacing w:line="320" w:lineRule="exact"/>
              <w:ind w:right="-380" w:rightChars="-181"/>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为规范运输商管理，督促运输商提高运输服务质量制定本考核评分表；</w:t>
            </w:r>
          </w:p>
        </w:tc>
      </w:tr>
      <w:tr w14:paraId="59B64EE4">
        <w:tblPrEx>
          <w:tblCellMar>
            <w:top w:w="0" w:type="dxa"/>
            <w:left w:w="108" w:type="dxa"/>
            <w:bottom w:w="0" w:type="dxa"/>
            <w:right w:w="108" w:type="dxa"/>
          </w:tblCellMar>
        </w:tblPrEx>
        <w:trPr>
          <w:trHeight w:val="375" w:hRule="atLeast"/>
          <w:jc w:val="center"/>
        </w:trPr>
        <w:tc>
          <w:tcPr>
            <w:tcW w:w="903" w:type="dxa"/>
            <w:gridSpan w:val="3"/>
            <w:tcBorders>
              <w:top w:val="single" w:color="auto" w:sz="4" w:space="0"/>
              <w:left w:val="single" w:color="auto" w:sz="4" w:space="0"/>
              <w:bottom w:val="single" w:color="auto" w:sz="4" w:space="0"/>
              <w:right w:val="single" w:color="auto" w:sz="4" w:space="0"/>
            </w:tcBorders>
            <w:shd w:val="clear" w:color="auto" w:fill="FFFFFF"/>
            <w:noWrap/>
            <w:vAlign w:val="center"/>
          </w:tcPr>
          <w:p w14:paraId="1D896A8B">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考核分级</w:t>
            </w:r>
          </w:p>
        </w:tc>
        <w:tc>
          <w:tcPr>
            <w:tcW w:w="7331" w:type="dxa"/>
            <w:gridSpan w:val="5"/>
            <w:tcBorders>
              <w:top w:val="single" w:color="auto" w:sz="4" w:space="0"/>
              <w:left w:val="single" w:color="auto" w:sz="4" w:space="0"/>
              <w:bottom w:val="single" w:color="auto" w:sz="4" w:space="0"/>
              <w:right w:val="single" w:color="auto" w:sz="4" w:space="0"/>
            </w:tcBorders>
            <w:shd w:val="clear" w:color="auto" w:fill="FFFFFF"/>
            <w:noWrap w:val="0"/>
            <w:vAlign w:val="center"/>
          </w:tcPr>
          <w:p w14:paraId="3D43AEC6">
            <w:pPr>
              <w:overflowPunct/>
              <w:autoSpaceDE/>
              <w:adjustRightInd/>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总体评分</w:t>
            </w:r>
          </w:p>
          <w:p w14:paraId="0E954927">
            <w:pPr>
              <w:overflowPunct/>
              <w:autoSpaceDE/>
              <w:adjustRightInd/>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A级：考评得分＞80分</w:t>
            </w:r>
          </w:p>
          <w:p w14:paraId="47D12D6C">
            <w:pPr>
              <w:overflowPunct/>
              <w:autoSpaceDE/>
              <w:adjustRightInd/>
              <w:rPr>
                <w:rFonts w:hint="eastAsia" w:ascii="宋体" w:hAnsi="宋体" w:eastAsia="宋体" w:cs="宋体"/>
                <w:color w:val="auto"/>
                <w:sz w:val="18"/>
                <w:szCs w:val="18"/>
                <w:highlight w:val="none"/>
                <w:lang w:val="en-US"/>
              </w:rPr>
            </w:pPr>
            <w:r>
              <w:rPr>
                <w:rFonts w:ascii="宋体" w:hAnsi="宋体" w:eastAsia="宋体" w:cs="宋体"/>
                <w:color w:val="auto"/>
                <w:sz w:val="18"/>
                <w:szCs w:val="18"/>
                <w:highlight w:val="none"/>
                <w:lang w:val="en-US"/>
              </w:rPr>
              <w:t>B</w:t>
            </w:r>
            <w:r>
              <w:rPr>
                <w:rFonts w:hint="eastAsia" w:ascii="宋体" w:hAnsi="宋体" w:eastAsia="宋体" w:cs="宋体"/>
                <w:color w:val="auto"/>
                <w:sz w:val="18"/>
                <w:szCs w:val="18"/>
                <w:highlight w:val="none"/>
                <w:lang w:val="en-US"/>
              </w:rPr>
              <w:t>级：70分＜考评得分≤80分</w:t>
            </w:r>
          </w:p>
          <w:p w14:paraId="46ACAAF4">
            <w:pPr>
              <w:overflowPunct/>
              <w:autoSpaceDE/>
              <w:autoSpaceDN/>
              <w:adjustRightInd/>
              <w:ind w:right="-380" w:rightChars="-181"/>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color w:val="auto"/>
                <w:sz w:val="18"/>
                <w:szCs w:val="18"/>
                <w:highlight w:val="none"/>
                <w:lang w:val="en-US"/>
              </w:rPr>
              <w:t>C级：考评得分≤70分</w:t>
            </w:r>
          </w:p>
        </w:tc>
      </w:tr>
      <w:tr w14:paraId="0CBF5E50">
        <w:tblPrEx>
          <w:tblCellMar>
            <w:top w:w="0" w:type="dxa"/>
            <w:left w:w="108" w:type="dxa"/>
            <w:bottom w:w="0" w:type="dxa"/>
            <w:right w:w="108" w:type="dxa"/>
          </w:tblCellMar>
        </w:tblPrEx>
        <w:trPr>
          <w:trHeight w:val="375" w:hRule="atLeast"/>
          <w:jc w:val="center"/>
        </w:trPr>
        <w:tc>
          <w:tcPr>
            <w:tcW w:w="903" w:type="dxa"/>
            <w:gridSpan w:val="3"/>
            <w:tcBorders>
              <w:top w:val="single" w:color="auto" w:sz="4" w:space="0"/>
              <w:left w:val="single" w:color="auto" w:sz="4" w:space="0"/>
              <w:bottom w:val="single" w:color="auto" w:sz="4" w:space="0"/>
              <w:right w:val="single" w:color="auto" w:sz="4" w:space="0"/>
            </w:tcBorders>
            <w:shd w:val="clear" w:color="auto" w:fill="FFFFFF"/>
            <w:noWrap/>
            <w:vAlign w:val="center"/>
          </w:tcPr>
          <w:p w14:paraId="38678589">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考核细则</w:t>
            </w:r>
          </w:p>
        </w:tc>
        <w:tc>
          <w:tcPr>
            <w:tcW w:w="7331" w:type="dxa"/>
            <w:gridSpan w:val="5"/>
            <w:tcBorders>
              <w:top w:val="single" w:color="auto" w:sz="4" w:space="0"/>
              <w:left w:val="single" w:color="auto" w:sz="4" w:space="0"/>
              <w:bottom w:val="single" w:color="auto" w:sz="4" w:space="0"/>
              <w:right w:val="single" w:color="auto" w:sz="4" w:space="0"/>
            </w:tcBorders>
            <w:shd w:val="clear" w:color="auto" w:fill="FFFFFF"/>
            <w:noWrap w:val="0"/>
            <w:vAlign w:val="center"/>
          </w:tcPr>
          <w:p w14:paraId="3136FD9D">
            <w:pPr>
              <w:numPr>
                <w:ilvl w:val="0"/>
                <w:numId w:val="11"/>
              </w:num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季度考核评分级别为B级，扣除运输款项1</w:t>
            </w:r>
            <w:r>
              <w:rPr>
                <w:rFonts w:ascii="宋体" w:hAnsi="宋体" w:eastAsia="宋体" w:cs="宋体"/>
                <w:color w:val="auto"/>
                <w:sz w:val="18"/>
                <w:szCs w:val="18"/>
                <w:highlight w:val="none"/>
                <w:lang w:val="en-US"/>
              </w:rPr>
              <w:t>000</w:t>
            </w:r>
            <w:r>
              <w:rPr>
                <w:rFonts w:hint="eastAsia" w:ascii="宋体" w:hAnsi="宋体" w:eastAsia="宋体" w:cs="宋体"/>
                <w:color w:val="auto"/>
                <w:sz w:val="18"/>
                <w:szCs w:val="18"/>
                <w:highlight w:val="none"/>
                <w:lang w:val="en-US"/>
              </w:rPr>
              <w:t>元，并在最近的一个月的运输费对账中进</w:t>
            </w:r>
          </w:p>
          <w:p w14:paraId="16891C9B">
            <w:pPr>
              <w:numPr>
                <w:ilvl w:val="0"/>
                <w:numId w:val="0"/>
              </w:num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行扣减；</w:t>
            </w:r>
          </w:p>
          <w:p w14:paraId="1D5F6988">
            <w:pPr>
              <w:numPr>
                <w:ilvl w:val="0"/>
                <w:numId w:val="11"/>
              </w:num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连续2个季度评分为B级，降低其派单数量；</w:t>
            </w:r>
          </w:p>
          <w:p w14:paraId="361AAE52">
            <w:pPr>
              <w:numPr>
                <w:ilvl w:val="0"/>
                <w:numId w:val="11"/>
              </w:num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季度考核评分级别为C级，经评分部门评估，可解除《运输服务合同》；</w:t>
            </w:r>
          </w:p>
          <w:p w14:paraId="4DB28664">
            <w:pPr>
              <w:numPr>
                <w:ilvl w:val="0"/>
                <w:numId w:val="11"/>
              </w:num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不同评分部门对同一件事不重复扣分，同一考核扣分事件适用多条考核标准时以最严厉</w:t>
            </w:r>
          </w:p>
          <w:p w14:paraId="72A6191D">
            <w:pPr>
              <w:numPr>
                <w:ilvl w:val="0"/>
                <w:numId w:val="0"/>
              </w:num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考核标准扣分且不重复扣分。</w:t>
            </w:r>
          </w:p>
        </w:tc>
      </w:tr>
      <w:tr w14:paraId="2C558E5A">
        <w:tblPrEx>
          <w:tblCellMar>
            <w:top w:w="0" w:type="dxa"/>
            <w:left w:w="108" w:type="dxa"/>
            <w:bottom w:w="0" w:type="dxa"/>
            <w:right w:w="108" w:type="dxa"/>
          </w:tblCellMar>
        </w:tblPrEx>
        <w:trPr>
          <w:trHeight w:val="375" w:hRule="atLeast"/>
          <w:jc w:val="center"/>
        </w:trPr>
        <w:tc>
          <w:tcPr>
            <w:tcW w:w="903" w:type="dxa"/>
            <w:gridSpan w:val="3"/>
            <w:tcBorders>
              <w:top w:val="single" w:color="auto" w:sz="4" w:space="0"/>
              <w:left w:val="single" w:color="auto" w:sz="4" w:space="0"/>
              <w:bottom w:val="single" w:color="auto" w:sz="4" w:space="0"/>
              <w:right w:val="single" w:color="auto" w:sz="4" w:space="0"/>
            </w:tcBorders>
            <w:shd w:val="clear" w:color="auto" w:fill="FFFFFF"/>
            <w:noWrap/>
            <w:vAlign w:val="center"/>
          </w:tcPr>
          <w:p w14:paraId="7BA60504">
            <w:pPr>
              <w:overflowPunct/>
              <w:autoSpaceDE/>
              <w:autoSpaceDN/>
              <w:adjustRightInd/>
              <w:spacing w:line="320" w:lineRule="exact"/>
              <w:ind w:right="-380" w:rightChars="-181"/>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运输单位</w:t>
            </w:r>
          </w:p>
        </w:tc>
        <w:tc>
          <w:tcPr>
            <w:tcW w:w="4424" w:type="dxa"/>
            <w:gridSpan w:val="2"/>
            <w:tcBorders>
              <w:top w:val="single" w:color="auto" w:sz="4" w:space="0"/>
              <w:left w:val="single" w:color="auto" w:sz="4" w:space="0"/>
              <w:bottom w:val="single" w:color="auto" w:sz="4" w:space="0"/>
              <w:right w:val="single" w:color="auto" w:sz="4" w:space="0"/>
            </w:tcBorders>
            <w:shd w:val="clear" w:color="auto" w:fill="FFFFFF"/>
            <w:noWrap w:val="0"/>
            <w:vAlign w:val="center"/>
          </w:tcPr>
          <w:p w14:paraId="1E774C9E">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p>
        </w:tc>
        <w:tc>
          <w:tcPr>
            <w:tcW w:w="890" w:type="dxa"/>
            <w:tcBorders>
              <w:top w:val="single" w:color="auto" w:sz="4" w:space="0"/>
              <w:left w:val="single" w:color="auto" w:sz="4" w:space="0"/>
              <w:bottom w:val="single" w:color="auto" w:sz="4" w:space="0"/>
              <w:right w:val="single" w:color="auto" w:sz="4" w:space="0"/>
            </w:tcBorders>
            <w:shd w:val="clear" w:color="auto" w:fill="FFFFFF"/>
            <w:noWrap w:val="0"/>
            <w:vAlign w:val="center"/>
          </w:tcPr>
          <w:p w14:paraId="186448F9">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考核周期</w:t>
            </w:r>
          </w:p>
        </w:tc>
        <w:tc>
          <w:tcPr>
            <w:tcW w:w="2017" w:type="dxa"/>
            <w:gridSpan w:val="2"/>
            <w:tcBorders>
              <w:top w:val="single" w:color="auto" w:sz="4" w:space="0"/>
              <w:left w:val="single" w:color="auto" w:sz="4" w:space="0"/>
              <w:bottom w:val="single" w:color="auto" w:sz="4" w:space="0"/>
              <w:right w:val="single" w:color="auto" w:sz="4" w:space="0"/>
            </w:tcBorders>
            <w:shd w:val="clear" w:color="auto" w:fill="FFFFFF"/>
            <w:noWrap w:val="0"/>
            <w:vAlign w:val="center"/>
          </w:tcPr>
          <w:p w14:paraId="4DE9A8AF">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p>
        </w:tc>
      </w:tr>
      <w:tr w14:paraId="46800C8F">
        <w:tblPrEx>
          <w:tblCellMar>
            <w:top w:w="0" w:type="dxa"/>
            <w:left w:w="108" w:type="dxa"/>
            <w:bottom w:w="0" w:type="dxa"/>
            <w:right w:w="108" w:type="dxa"/>
          </w:tblCellMar>
        </w:tblPrEx>
        <w:trPr>
          <w:trHeight w:val="375" w:hRule="atLeast"/>
          <w:jc w:val="center"/>
        </w:trPr>
        <w:tc>
          <w:tcPr>
            <w:tcW w:w="8234" w:type="dxa"/>
            <w:gridSpan w:val="8"/>
            <w:tcBorders>
              <w:top w:val="single" w:color="auto" w:sz="4" w:space="0"/>
              <w:left w:val="single" w:color="auto" w:sz="4" w:space="0"/>
              <w:bottom w:val="single" w:color="auto" w:sz="4" w:space="0"/>
              <w:right w:val="single" w:color="auto" w:sz="4" w:space="0"/>
            </w:tcBorders>
            <w:shd w:val="clear" w:color="auto" w:fill="C0C0C0"/>
            <w:noWrap/>
            <w:vAlign w:val="center"/>
          </w:tcPr>
          <w:p w14:paraId="3F982DB4">
            <w:pPr>
              <w:overflowPunct/>
              <w:autoSpaceDE/>
              <w:autoSpaceDN/>
              <w:adjustRightInd/>
              <w:spacing w:line="320" w:lineRule="exact"/>
              <w:ind w:right="-380" w:rightChars="-181"/>
              <w:jc w:val="center"/>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A.考核内容</w:t>
            </w:r>
          </w:p>
        </w:tc>
      </w:tr>
      <w:tr w14:paraId="696041D1">
        <w:tblPrEx>
          <w:tblCellMar>
            <w:top w:w="0" w:type="dxa"/>
            <w:left w:w="108" w:type="dxa"/>
            <w:bottom w:w="0" w:type="dxa"/>
            <w:right w:w="108" w:type="dxa"/>
          </w:tblCellMar>
        </w:tblPrEx>
        <w:trPr>
          <w:trHeight w:val="495" w:hRule="atLeast"/>
          <w:jc w:val="center"/>
        </w:trPr>
        <w:tc>
          <w:tcPr>
            <w:tcW w:w="4007" w:type="dxa"/>
            <w:gridSpan w:val="4"/>
            <w:tcBorders>
              <w:top w:val="single" w:color="auto" w:sz="4" w:space="0"/>
              <w:left w:val="single" w:color="auto" w:sz="4" w:space="0"/>
              <w:bottom w:val="single" w:color="auto" w:sz="4" w:space="0"/>
              <w:right w:val="single" w:color="auto" w:sz="4" w:space="0"/>
            </w:tcBorders>
            <w:shd w:val="clear" w:color="auto" w:fill="FFFFFF"/>
            <w:noWrap/>
            <w:vAlign w:val="center"/>
          </w:tcPr>
          <w:p w14:paraId="26061B7A">
            <w:pPr>
              <w:overflowPunct/>
              <w:autoSpaceDE/>
              <w:autoSpaceDN/>
              <w:adjustRightInd/>
              <w:spacing w:line="320" w:lineRule="exact"/>
              <w:jc w:val="center"/>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评分项目</w:t>
            </w:r>
          </w:p>
        </w:tc>
        <w:tc>
          <w:tcPr>
            <w:tcW w:w="1320" w:type="dxa"/>
            <w:tcBorders>
              <w:top w:val="nil"/>
              <w:left w:val="nil"/>
              <w:bottom w:val="single" w:color="auto" w:sz="4" w:space="0"/>
              <w:right w:val="single" w:color="auto" w:sz="4" w:space="0"/>
            </w:tcBorders>
            <w:shd w:val="clear" w:color="auto" w:fill="FFFFFF"/>
            <w:noWrap/>
            <w:vAlign w:val="center"/>
          </w:tcPr>
          <w:p w14:paraId="4500291C">
            <w:pPr>
              <w:overflowPunct/>
              <w:autoSpaceDE/>
              <w:autoSpaceDN/>
              <w:adjustRightInd/>
              <w:spacing w:line="320" w:lineRule="exact"/>
              <w:jc w:val="center"/>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评分部门</w:t>
            </w:r>
          </w:p>
        </w:tc>
        <w:tc>
          <w:tcPr>
            <w:tcW w:w="890" w:type="dxa"/>
            <w:tcBorders>
              <w:top w:val="nil"/>
              <w:left w:val="nil"/>
              <w:bottom w:val="single" w:color="auto" w:sz="4" w:space="0"/>
              <w:right w:val="single" w:color="auto" w:sz="4" w:space="0"/>
            </w:tcBorders>
            <w:shd w:val="clear" w:color="auto" w:fill="FFFFFF"/>
            <w:noWrap w:val="0"/>
            <w:vAlign w:val="center"/>
          </w:tcPr>
          <w:p w14:paraId="632BDFFE">
            <w:pPr>
              <w:overflowPunct/>
              <w:autoSpaceDE/>
              <w:autoSpaceDN/>
              <w:adjustRightInd/>
              <w:spacing w:line="320" w:lineRule="exact"/>
              <w:jc w:val="center"/>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分值</w:t>
            </w:r>
          </w:p>
        </w:tc>
        <w:tc>
          <w:tcPr>
            <w:tcW w:w="846" w:type="dxa"/>
            <w:tcBorders>
              <w:top w:val="nil"/>
              <w:left w:val="nil"/>
              <w:bottom w:val="single" w:color="auto" w:sz="4" w:space="0"/>
              <w:right w:val="single" w:color="auto" w:sz="4" w:space="0"/>
            </w:tcBorders>
            <w:shd w:val="clear" w:color="auto" w:fill="FFFFFF"/>
            <w:noWrap w:val="0"/>
            <w:vAlign w:val="center"/>
          </w:tcPr>
          <w:p w14:paraId="316AAD1B">
            <w:pPr>
              <w:overflowPunct/>
              <w:autoSpaceDE/>
              <w:autoSpaceDN/>
              <w:adjustRightInd/>
              <w:spacing w:line="320" w:lineRule="exact"/>
              <w:jc w:val="center"/>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得分</w:t>
            </w:r>
          </w:p>
        </w:tc>
        <w:tc>
          <w:tcPr>
            <w:tcW w:w="1171" w:type="dxa"/>
            <w:tcBorders>
              <w:top w:val="nil"/>
              <w:left w:val="nil"/>
              <w:bottom w:val="single" w:color="auto" w:sz="4" w:space="0"/>
              <w:right w:val="single" w:color="auto" w:sz="4" w:space="0"/>
            </w:tcBorders>
            <w:shd w:val="clear" w:color="auto" w:fill="FFFFFF"/>
            <w:noWrap/>
            <w:vAlign w:val="center"/>
          </w:tcPr>
          <w:p w14:paraId="11BC7415">
            <w:pPr>
              <w:overflowPunct/>
              <w:autoSpaceDE/>
              <w:autoSpaceDN/>
              <w:adjustRightInd/>
              <w:spacing w:line="320" w:lineRule="exact"/>
              <w:jc w:val="center"/>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评分说明</w:t>
            </w:r>
          </w:p>
        </w:tc>
      </w:tr>
      <w:tr w14:paraId="442A9518">
        <w:tblPrEx>
          <w:tblCellMar>
            <w:top w:w="0" w:type="dxa"/>
            <w:left w:w="108" w:type="dxa"/>
            <w:bottom w:w="0" w:type="dxa"/>
            <w:right w:w="108" w:type="dxa"/>
          </w:tblCellMar>
        </w:tblPrEx>
        <w:trPr>
          <w:trHeight w:val="535" w:hRule="atLeast"/>
          <w:jc w:val="center"/>
        </w:trPr>
        <w:tc>
          <w:tcPr>
            <w:tcW w:w="414" w:type="dxa"/>
            <w:vMerge w:val="restart"/>
            <w:tcBorders>
              <w:top w:val="nil"/>
              <w:left w:val="single" w:color="auto" w:sz="4" w:space="0"/>
              <w:right w:val="single" w:color="auto" w:sz="4" w:space="0"/>
            </w:tcBorders>
            <w:noWrap w:val="0"/>
            <w:vAlign w:val="center"/>
          </w:tcPr>
          <w:p w14:paraId="54B4B46E">
            <w:pPr>
              <w:jc w:val="center"/>
              <w:rPr>
                <w:rFonts w:ascii="宋体" w:hAnsi="宋体" w:eastAsia="宋体" w:cs="宋体"/>
                <w:color w:val="auto"/>
                <w:sz w:val="21"/>
                <w:szCs w:val="21"/>
                <w:highlight w:val="none"/>
                <w:lang w:val="en-US"/>
              </w:rPr>
            </w:pPr>
            <w:r>
              <w:rPr>
                <w:rFonts w:hint="eastAsia" w:ascii="宋体" w:hAnsi="宋体" w:eastAsia="宋体" w:cs="宋体"/>
                <w:color w:val="auto"/>
                <w:sz w:val="21"/>
                <w:szCs w:val="21"/>
                <w:highlight w:val="none"/>
                <w:lang w:val="en-US"/>
              </w:rPr>
              <w:t>安全环保</w:t>
            </w:r>
          </w:p>
        </w:tc>
        <w:tc>
          <w:tcPr>
            <w:tcW w:w="425" w:type="dxa"/>
            <w:tcBorders>
              <w:top w:val="nil"/>
              <w:left w:val="nil"/>
              <w:bottom w:val="single" w:color="auto" w:sz="4" w:space="0"/>
              <w:right w:val="single" w:color="auto" w:sz="4" w:space="0"/>
            </w:tcBorders>
            <w:noWrap w:val="0"/>
            <w:vAlign w:val="center"/>
          </w:tcPr>
          <w:p w14:paraId="15886B9D">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w:t>
            </w:r>
          </w:p>
        </w:tc>
        <w:tc>
          <w:tcPr>
            <w:tcW w:w="3168" w:type="dxa"/>
            <w:gridSpan w:val="2"/>
            <w:tcBorders>
              <w:top w:val="nil"/>
              <w:left w:val="nil"/>
              <w:bottom w:val="single" w:color="auto" w:sz="4" w:space="0"/>
              <w:right w:val="single" w:color="auto" w:sz="4" w:space="0"/>
            </w:tcBorders>
            <w:noWrap w:val="0"/>
            <w:vAlign w:val="center"/>
          </w:tcPr>
          <w:p w14:paraId="2FBDA68E">
            <w:pPr>
              <w:overflowPunct/>
              <w:autoSpaceDE/>
              <w:autoSpaceDN/>
              <w:adjustRightInd/>
              <w:spacing w:line="320" w:lineRule="exact"/>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在“客户现场、运输途中、新东欣公司”发生泄露。</w:t>
            </w:r>
          </w:p>
        </w:tc>
        <w:tc>
          <w:tcPr>
            <w:tcW w:w="1320" w:type="dxa"/>
            <w:tcBorders>
              <w:top w:val="nil"/>
              <w:left w:val="nil"/>
              <w:bottom w:val="single" w:color="auto" w:sz="4" w:space="0"/>
              <w:right w:val="single" w:color="auto" w:sz="4" w:space="0"/>
            </w:tcBorders>
            <w:noWrap w:val="0"/>
            <w:vAlign w:val="center"/>
          </w:tcPr>
          <w:p w14:paraId="4BEF25E1">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p w14:paraId="6668228A">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物控部</w:t>
            </w:r>
          </w:p>
          <w:p w14:paraId="3E0BC72A">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安环部</w:t>
            </w:r>
          </w:p>
        </w:tc>
        <w:tc>
          <w:tcPr>
            <w:tcW w:w="890" w:type="dxa"/>
            <w:tcBorders>
              <w:top w:val="nil"/>
              <w:left w:val="nil"/>
              <w:bottom w:val="single" w:color="auto" w:sz="4" w:space="0"/>
              <w:right w:val="single" w:color="auto" w:sz="4" w:space="0"/>
            </w:tcBorders>
            <w:noWrap w:val="0"/>
            <w:vAlign w:val="center"/>
          </w:tcPr>
          <w:p w14:paraId="5BF7EAF9">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846" w:type="dxa"/>
            <w:tcBorders>
              <w:top w:val="nil"/>
              <w:left w:val="nil"/>
              <w:bottom w:val="single" w:color="auto" w:sz="4" w:space="0"/>
              <w:right w:val="single" w:color="auto" w:sz="4" w:space="0"/>
            </w:tcBorders>
            <w:noWrap w:val="0"/>
            <w:vAlign w:val="center"/>
          </w:tcPr>
          <w:p w14:paraId="6B2041AE">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71" w:type="dxa"/>
            <w:tcBorders>
              <w:top w:val="nil"/>
              <w:left w:val="nil"/>
              <w:bottom w:val="single" w:color="auto" w:sz="4" w:space="0"/>
              <w:right w:val="single" w:color="auto" w:sz="4" w:space="0"/>
            </w:tcBorders>
            <w:noWrap w:val="0"/>
            <w:vAlign w:val="center"/>
          </w:tcPr>
          <w:p w14:paraId="7592D651">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未被投诉，每次扣0.5分；被投诉，每次扣1分；</w:t>
            </w:r>
          </w:p>
        </w:tc>
      </w:tr>
      <w:tr w14:paraId="05BABBB6">
        <w:tblPrEx>
          <w:tblCellMar>
            <w:top w:w="0" w:type="dxa"/>
            <w:left w:w="108" w:type="dxa"/>
            <w:bottom w:w="0" w:type="dxa"/>
            <w:right w:w="108" w:type="dxa"/>
          </w:tblCellMar>
        </w:tblPrEx>
        <w:trPr>
          <w:trHeight w:val="420" w:hRule="atLeast"/>
          <w:jc w:val="center"/>
        </w:trPr>
        <w:tc>
          <w:tcPr>
            <w:tcW w:w="414" w:type="dxa"/>
            <w:vMerge w:val="continue"/>
            <w:tcBorders>
              <w:left w:val="single" w:color="auto" w:sz="4" w:space="0"/>
              <w:right w:val="single" w:color="auto" w:sz="4" w:space="0"/>
            </w:tcBorders>
            <w:noWrap w:val="0"/>
            <w:vAlign w:val="center"/>
          </w:tcPr>
          <w:p w14:paraId="63E1E037">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nil"/>
              <w:left w:val="nil"/>
              <w:bottom w:val="single" w:color="auto" w:sz="4" w:space="0"/>
              <w:right w:val="single" w:color="auto" w:sz="4" w:space="0"/>
            </w:tcBorders>
            <w:noWrap w:val="0"/>
            <w:vAlign w:val="center"/>
          </w:tcPr>
          <w:p w14:paraId="79C7E121">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2</w:t>
            </w:r>
          </w:p>
        </w:tc>
        <w:tc>
          <w:tcPr>
            <w:tcW w:w="3168" w:type="dxa"/>
            <w:gridSpan w:val="2"/>
            <w:tcBorders>
              <w:top w:val="nil"/>
              <w:left w:val="nil"/>
              <w:bottom w:val="single" w:color="auto" w:sz="4" w:space="0"/>
              <w:right w:val="single" w:color="auto" w:sz="4" w:space="0"/>
            </w:tcBorders>
            <w:noWrap w:val="0"/>
            <w:vAlign w:val="center"/>
          </w:tcPr>
          <w:p w14:paraId="40CFD16E">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在服务过程中发生“人、车、设备、运输的货物”相关的事故。</w:t>
            </w:r>
          </w:p>
        </w:tc>
        <w:tc>
          <w:tcPr>
            <w:tcW w:w="1320" w:type="dxa"/>
            <w:tcBorders>
              <w:top w:val="nil"/>
              <w:left w:val="nil"/>
              <w:bottom w:val="single" w:color="auto" w:sz="4" w:space="0"/>
              <w:right w:val="single" w:color="auto" w:sz="4" w:space="0"/>
            </w:tcBorders>
            <w:noWrap w:val="0"/>
            <w:vAlign w:val="center"/>
          </w:tcPr>
          <w:p w14:paraId="2EF6FBCE">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p w14:paraId="2091330E">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物控部</w:t>
            </w:r>
          </w:p>
          <w:p w14:paraId="188A35FF">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安环部</w:t>
            </w:r>
          </w:p>
        </w:tc>
        <w:tc>
          <w:tcPr>
            <w:tcW w:w="890" w:type="dxa"/>
            <w:tcBorders>
              <w:top w:val="nil"/>
              <w:left w:val="nil"/>
              <w:bottom w:val="single" w:color="auto" w:sz="4" w:space="0"/>
              <w:right w:val="single" w:color="auto" w:sz="4" w:space="0"/>
            </w:tcBorders>
            <w:noWrap w:val="0"/>
            <w:vAlign w:val="center"/>
          </w:tcPr>
          <w:p w14:paraId="2C00466E">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846" w:type="dxa"/>
            <w:tcBorders>
              <w:top w:val="nil"/>
              <w:left w:val="nil"/>
              <w:bottom w:val="single" w:color="auto" w:sz="4" w:space="0"/>
              <w:right w:val="single" w:color="auto" w:sz="4" w:space="0"/>
            </w:tcBorders>
            <w:noWrap w:val="0"/>
            <w:vAlign w:val="center"/>
          </w:tcPr>
          <w:p w14:paraId="01B585A8">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p>
        </w:tc>
        <w:tc>
          <w:tcPr>
            <w:tcW w:w="1171" w:type="dxa"/>
            <w:tcBorders>
              <w:top w:val="nil"/>
              <w:left w:val="nil"/>
              <w:bottom w:val="single" w:color="auto" w:sz="4" w:space="0"/>
              <w:right w:val="single" w:color="auto" w:sz="4" w:space="0"/>
            </w:tcBorders>
            <w:noWrap w:val="0"/>
            <w:vAlign w:val="center"/>
          </w:tcPr>
          <w:p w14:paraId="364D2A40">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未被投诉，每次扣0.5分；被投诉，每次扣1分；</w:t>
            </w:r>
          </w:p>
        </w:tc>
      </w:tr>
      <w:tr w14:paraId="1567A19A">
        <w:tblPrEx>
          <w:tblCellMar>
            <w:top w:w="0" w:type="dxa"/>
            <w:left w:w="108" w:type="dxa"/>
            <w:bottom w:w="0" w:type="dxa"/>
            <w:right w:w="108" w:type="dxa"/>
          </w:tblCellMar>
        </w:tblPrEx>
        <w:trPr>
          <w:trHeight w:val="420" w:hRule="atLeast"/>
          <w:jc w:val="center"/>
        </w:trPr>
        <w:tc>
          <w:tcPr>
            <w:tcW w:w="414" w:type="dxa"/>
            <w:vMerge w:val="continue"/>
            <w:tcBorders>
              <w:left w:val="single" w:color="auto" w:sz="4" w:space="0"/>
              <w:right w:val="single" w:color="auto" w:sz="4" w:space="0"/>
            </w:tcBorders>
            <w:noWrap w:val="0"/>
            <w:vAlign w:val="center"/>
          </w:tcPr>
          <w:p w14:paraId="59FE0734">
            <w:pPr>
              <w:jc w:val="center"/>
              <w:rPr>
                <w:rFonts w:hint="eastAsia" w:ascii="宋体" w:hAnsi="宋体" w:eastAsia="宋体" w:cs="宋体"/>
                <w:color w:val="auto"/>
                <w:sz w:val="18"/>
                <w:szCs w:val="18"/>
                <w:highlight w:val="none"/>
                <w:lang w:val="en-US"/>
              </w:rPr>
            </w:pPr>
          </w:p>
        </w:tc>
        <w:tc>
          <w:tcPr>
            <w:tcW w:w="425" w:type="dxa"/>
            <w:tcBorders>
              <w:top w:val="single" w:color="auto" w:sz="4" w:space="0"/>
              <w:left w:val="nil"/>
              <w:bottom w:val="single" w:color="auto" w:sz="4" w:space="0"/>
              <w:right w:val="single" w:color="auto" w:sz="4" w:space="0"/>
            </w:tcBorders>
            <w:noWrap w:val="0"/>
            <w:vAlign w:val="center"/>
          </w:tcPr>
          <w:p w14:paraId="55CBF5E7">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3</w:t>
            </w:r>
          </w:p>
        </w:tc>
        <w:tc>
          <w:tcPr>
            <w:tcW w:w="3168" w:type="dxa"/>
            <w:gridSpan w:val="2"/>
            <w:tcBorders>
              <w:top w:val="nil"/>
              <w:left w:val="nil"/>
              <w:bottom w:val="single" w:color="auto" w:sz="4" w:space="0"/>
              <w:right w:val="single" w:color="auto" w:sz="4" w:space="0"/>
            </w:tcBorders>
            <w:noWrap w:val="0"/>
            <w:vAlign w:val="center"/>
          </w:tcPr>
          <w:p w14:paraId="06317A94">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在服务过程中未正确佩戴劳保用品。</w:t>
            </w:r>
          </w:p>
        </w:tc>
        <w:tc>
          <w:tcPr>
            <w:tcW w:w="1320" w:type="dxa"/>
            <w:tcBorders>
              <w:top w:val="nil"/>
              <w:left w:val="nil"/>
              <w:bottom w:val="single" w:color="auto" w:sz="4" w:space="0"/>
              <w:right w:val="single" w:color="auto" w:sz="4" w:space="0"/>
            </w:tcBorders>
            <w:noWrap w:val="0"/>
            <w:vAlign w:val="center"/>
          </w:tcPr>
          <w:p w14:paraId="26F775C6">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p w14:paraId="64ED9E37">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物控部</w:t>
            </w:r>
          </w:p>
          <w:p w14:paraId="5102EFCE">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安环部</w:t>
            </w:r>
          </w:p>
        </w:tc>
        <w:tc>
          <w:tcPr>
            <w:tcW w:w="890" w:type="dxa"/>
            <w:tcBorders>
              <w:top w:val="nil"/>
              <w:left w:val="nil"/>
              <w:bottom w:val="single" w:color="auto" w:sz="4" w:space="0"/>
              <w:right w:val="single" w:color="auto" w:sz="4" w:space="0"/>
            </w:tcBorders>
            <w:noWrap w:val="0"/>
            <w:vAlign w:val="center"/>
          </w:tcPr>
          <w:p w14:paraId="4F19DD3C">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846" w:type="dxa"/>
            <w:tcBorders>
              <w:top w:val="nil"/>
              <w:left w:val="nil"/>
              <w:bottom w:val="single" w:color="auto" w:sz="4" w:space="0"/>
              <w:right w:val="single" w:color="auto" w:sz="4" w:space="0"/>
            </w:tcBorders>
            <w:noWrap w:val="0"/>
            <w:vAlign w:val="center"/>
          </w:tcPr>
          <w:p w14:paraId="42E4CF56">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71" w:type="dxa"/>
            <w:tcBorders>
              <w:top w:val="nil"/>
              <w:left w:val="nil"/>
              <w:bottom w:val="single" w:color="auto" w:sz="4" w:space="0"/>
              <w:right w:val="single" w:color="auto" w:sz="4" w:space="0"/>
            </w:tcBorders>
            <w:noWrap w:val="0"/>
            <w:vAlign w:val="center"/>
          </w:tcPr>
          <w:p w14:paraId="7317993D">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未被投诉，每次扣0.5分；被投诉，每次扣1分；</w:t>
            </w:r>
          </w:p>
        </w:tc>
      </w:tr>
      <w:tr w14:paraId="347E6429">
        <w:tblPrEx>
          <w:tblCellMar>
            <w:top w:w="0" w:type="dxa"/>
            <w:left w:w="108" w:type="dxa"/>
            <w:bottom w:w="0" w:type="dxa"/>
            <w:right w:w="108" w:type="dxa"/>
          </w:tblCellMar>
        </w:tblPrEx>
        <w:trPr>
          <w:trHeight w:val="273" w:hRule="atLeast"/>
          <w:jc w:val="center"/>
        </w:trPr>
        <w:tc>
          <w:tcPr>
            <w:tcW w:w="414" w:type="dxa"/>
            <w:vMerge w:val="continue"/>
            <w:tcBorders>
              <w:left w:val="single" w:color="auto" w:sz="4" w:space="0"/>
              <w:bottom w:val="single" w:color="000000" w:sz="4" w:space="0"/>
              <w:right w:val="single" w:color="auto" w:sz="4" w:space="0"/>
            </w:tcBorders>
            <w:noWrap w:val="0"/>
            <w:vAlign w:val="center"/>
          </w:tcPr>
          <w:p w14:paraId="70B0635A">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nil"/>
              <w:left w:val="nil"/>
              <w:bottom w:val="single" w:color="auto" w:sz="4" w:space="0"/>
              <w:right w:val="single" w:color="auto" w:sz="4" w:space="0"/>
            </w:tcBorders>
            <w:noWrap w:val="0"/>
            <w:vAlign w:val="center"/>
          </w:tcPr>
          <w:p w14:paraId="42EFB177">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4</w:t>
            </w:r>
          </w:p>
        </w:tc>
        <w:tc>
          <w:tcPr>
            <w:tcW w:w="3168" w:type="dxa"/>
            <w:gridSpan w:val="2"/>
            <w:tcBorders>
              <w:top w:val="nil"/>
              <w:left w:val="nil"/>
              <w:bottom w:val="nil"/>
              <w:right w:val="nil"/>
            </w:tcBorders>
            <w:noWrap/>
            <w:vAlign w:val="center"/>
          </w:tcPr>
          <w:p w14:paraId="02EE2BE2">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服务车辆未配置了合适的消防用品或应急物资。</w:t>
            </w:r>
          </w:p>
        </w:tc>
        <w:tc>
          <w:tcPr>
            <w:tcW w:w="1320" w:type="dxa"/>
            <w:tcBorders>
              <w:top w:val="nil"/>
              <w:left w:val="single" w:color="auto" w:sz="4" w:space="0"/>
              <w:bottom w:val="single" w:color="auto" w:sz="4" w:space="0"/>
              <w:right w:val="single" w:color="auto" w:sz="4" w:space="0"/>
            </w:tcBorders>
            <w:noWrap w:val="0"/>
            <w:vAlign w:val="center"/>
          </w:tcPr>
          <w:p w14:paraId="7999ED86">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p w14:paraId="4E8294F2">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物控部</w:t>
            </w:r>
          </w:p>
          <w:p w14:paraId="7DD83BD7">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安环部</w:t>
            </w:r>
          </w:p>
        </w:tc>
        <w:tc>
          <w:tcPr>
            <w:tcW w:w="890" w:type="dxa"/>
            <w:tcBorders>
              <w:top w:val="nil"/>
              <w:left w:val="nil"/>
              <w:bottom w:val="single" w:color="auto" w:sz="4" w:space="0"/>
              <w:right w:val="single" w:color="auto" w:sz="4" w:space="0"/>
            </w:tcBorders>
            <w:noWrap w:val="0"/>
            <w:vAlign w:val="center"/>
          </w:tcPr>
          <w:p w14:paraId="669CD117">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846" w:type="dxa"/>
            <w:tcBorders>
              <w:top w:val="nil"/>
              <w:left w:val="nil"/>
              <w:bottom w:val="single" w:color="auto" w:sz="4" w:space="0"/>
              <w:right w:val="single" w:color="auto" w:sz="4" w:space="0"/>
            </w:tcBorders>
            <w:noWrap w:val="0"/>
            <w:vAlign w:val="center"/>
          </w:tcPr>
          <w:p w14:paraId="043C3649">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p>
        </w:tc>
        <w:tc>
          <w:tcPr>
            <w:tcW w:w="1171" w:type="dxa"/>
            <w:tcBorders>
              <w:top w:val="nil"/>
              <w:left w:val="nil"/>
              <w:bottom w:val="single" w:color="auto" w:sz="4" w:space="0"/>
              <w:right w:val="single" w:color="auto" w:sz="4" w:space="0"/>
            </w:tcBorders>
            <w:noWrap w:val="0"/>
            <w:vAlign w:val="center"/>
          </w:tcPr>
          <w:p w14:paraId="6B8384C4">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未被投诉，每次扣0.5分；被投诉，每次扣1分；</w:t>
            </w:r>
          </w:p>
        </w:tc>
      </w:tr>
      <w:tr w14:paraId="01F99DEE">
        <w:tblPrEx>
          <w:tblCellMar>
            <w:top w:w="0" w:type="dxa"/>
            <w:left w:w="108" w:type="dxa"/>
            <w:bottom w:w="0" w:type="dxa"/>
            <w:right w:w="108" w:type="dxa"/>
          </w:tblCellMar>
        </w:tblPrEx>
        <w:trPr>
          <w:trHeight w:val="540" w:hRule="atLeast"/>
          <w:jc w:val="center"/>
        </w:trPr>
        <w:tc>
          <w:tcPr>
            <w:tcW w:w="414" w:type="dxa"/>
            <w:vMerge w:val="restart"/>
            <w:tcBorders>
              <w:top w:val="nil"/>
              <w:left w:val="single" w:color="auto" w:sz="4" w:space="0"/>
              <w:right w:val="single" w:color="auto" w:sz="4" w:space="0"/>
            </w:tcBorders>
            <w:noWrap w:val="0"/>
            <w:vAlign w:val="center"/>
          </w:tcPr>
          <w:p w14:paraId="47D6F991">
            <w:pPr>
              <w:overflowPunct/>
              <w:autoSpaceDE/>
              <w:autoSpaceDN/>
              <w:adjustRightInd/>
              <w:jc w:val="center"/>
              <w:textAlignment w:val="auto"/>
              <w:rPr>
                <w:rFonts w:ascii="宋体" w:hAnsi="宋体" w:eastAsia="宋体" w:cs="宋体"/>
                <w:color w:val="auto"/>
                <w:sz w:val="21"/>
                <w:szCs w:val="21"/>
                <w:highlight w:val="none"/>
                <w:lang w:val="en-US"/>
              </w:rPr>
            </w:pPr>
            <w:r>
              <w:rPr>
                <w:rFonts w:hint="eastAsia" w:ascii="宋体" w:hAnsi="宋体" w:eastAsia="宋体" w:cs="宋体"/>
                <w:color w:val="auto"/>
                <w:sz w:val="21"/>
                <w:szCs w:val="21"/>
                <w:highlight w:val="none"/>
                <w:lang w:val="en-US"/>
              </w:rPr>
              <w:t>服务质量</w:t>
            </w:r>
          </w:p>
        </w:tc>
        <w:tc>
          <w:tcPr>
            <w:tcW w:w="425" w:type="dxa"/>
            <w:tcBorders>
              <w:top w:val="nil"/>
              <w:left w:val="nil"/>
              <w:bottom w:val="single" w:color="auto" w:sz="4" w:space="0"/>
              <w:right w:val="single" w:color="auto" w:sz="4" w:space="0"/>
            </w:tcBorders>
            <w:noWrap w:val="0"/>
            <w:vAlign w:val="center"/>
          </w:tcPr>
          <w:p w14:paraId="705A3E14">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3168" w:type="dxa"/>
            <w:gridSpan w:val="2"/>
            <w:tcBorders>
              <w:top w:val="single" w:color="auto" w:sz="4" w:space="0"/>
              <w:left w:val="nil"/>
              <w:bottom w:val="single" w:color="auto" w:sz="4" w:space="0"/>
              <w:right w:val="single" w:color="auto" w:sz="4" w:space="0"/>
            </w:tcBorders>
            <w:noWrap w:val="0"/>
            <w:vAlign w:val="center"/>
          </w:tcPr>
          <w:p w14:paraId="3705BD41">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因运力不足导致跳单。</w:t>
            </w:r>
          </w:p>
        </w:tc>
        <w:tc>
          <w:tcPr>
            <w:tcW w:w="1320" w:type="dxa"/>
            <w:tcBorders>
              <w:top w:val="nil"/>
              <w:left w:val="nil"/>
              <w:bottom w:val="single" w:color="auto" w:sz="4" w:space="0"/>
              <w:right w:val="single" w:color="auto" w:sz="4" w:space="0"/>
            </w:tcBorders>
            <w:noWrap w:val="0"/>
            <w:vAlign w:val="center"/>
          </w:tcPr>
          <w:p w14:paraId="2F11EC41">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nil"/>
              <w:left w:val="nil"/>
              <w:bottom w:val="single" w:color="auto" w:sz="4" w:space="0"/>
              <w:right w:val="single" w:color="auto" w:sz="4" w:space="0"/>
            </w:tcBorders>
            <w:noWrap w:val="0"/>
            <w:vAlign w:val="center"/>
          </w:tcPr>
          <w:p w14:paraId="76A162C6">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846" w:type="dxa"/>
            <w:tcBorders>
              <w:top w:val="nil"/>
              <w:left w:val="nil"/>
              <w:bottom w:val="single" w:color="auto" w:sz="4" w:space="0"/>
              <w:right w:val="single" w:color="auto" w:sz="4" w:space="0"/>
            </w:tcBorders>
            <w:noWrap w:val="0"/>
            <w:vAlign w:val="center"/>
          </w:tcPr>
          <w:p w14:paraId="75F23F5C">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71" w:type="dxa"/>
            <w:tcBorders>
              <w:top w:val="nil"/>
              <w:left w:val="nil"/>
              <w:bottom w:val="single" w:color="auto" w:sz="4" w:space="0"/>
              <w:right w:val="single" w:color="auto" w:sz="4" w:space="0"/>
            </w:tcBorders>
            <w:noWrap w:val="0"/>
            <w:vAlign w:val="center"/>
          </w:tcPr>
          <w:p w14:paraId="4BF27ACF">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每次扣1分；</w:t>
            </w:r>
          </w:p>
        </w:tc>
      </w:tr>
      <w:tr w14:paraId="02B4E308">
        <w:tblPrEx>
          <w:tblCellMar>
            <w:top w:w="0" w:type="dxa"/>
            <w:left w:w="108" w:type="dxa"/>
            <w:bottom w:w="0" w:type="dxa"/>
            <w:right w:w="108" w:type="dxa"/>
          </w:tblCellMar>
        </w:tblPrEx>
        <w:trPr>
          <w:trHeight w:val="540" w:hRule="atLeast"/>
          <w:jc w:val="center"/>
        </w:trPr>
        <w:tc>
          <w:tcPr>
            <w:tcW w:w="414" w:type="dxa"/>
            <w:vMerge w:val="continue"/>
            <w:tcBorders>
              <w:left w:val="single" w:color="auto" w:sz="4" w:space="0"/>
              <w:right w:val="single" w:color="auto" w:sz="4" w:space="0"/>
            </w:tcBorders>
            <w:noWrap w:val="0"/>
            <w:vAlign w:val="center"/>
          </w:tcPr>
          <w:p w14:paraId="30ABD3C9">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single" w:color="auto" w:sz="4" w:space="0"/>
              <w:left w:val="single" w:color="auto" w:sz="4" w:space="0"/>
              <w:bottom w:val="single" w:color="auto" w:sz="4" w:space="0"/>
              <w:right w:val="single" w:color="auto" w:sz="4" w:space="0"/>
            </w:tcBorders>
            <w:noWrap w:val="0"/>
            <w:vAlign w:val="center"/>
          </w:tcPr>
          <w:p w14:paraId="341DD4CB">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6</w:t>
            </w:r>
          </w:p>
        </w:tc>
        <w:tc>
          <w:tcPr>
            <w:tcW w:w="3168" w:type="dxa"/>
            <w:gridSpan w:val="2"/>
            <w:tcBorders>
              <w:top w:val="single" w:color="auto" w:sz="4" w:space="0"/>
              <w:left w:val="nil"/>
              <w:bottom w:val="single" w:color="auto" w:sz="4" w:space="0"/>
              <w:right w:val="single" w:color="auto" w:sz="4" w:space="0"/>
            </w:tcBorders>
            <w:noWrap w:val="0"/>
            <w:vAlign w:val="center"/>
          </w:tcPr>
          <w:p w14:paraId="0B434852">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正常派单情况下，未按时响应新东欣派单计划。</w:t>
            </w:r>
          </w:p>
        </w:tc>
        <w:tc>
          <w:tcPr>
            <w:tcW w:w="1320" w:type="dxa"/>
            <w:tcBorders>
              <w:top w:val="single" w:color="auto" w:sz="4" w:space="0"/>
              <w:left w:val="nil"/>
              <w:bottom w:val="single" w:color="auto" w:sz="4" w:space="0"/>
              <w:right w:val="single" w:color="auto" w:sz="4" w:space="0"/>
            </w:tcBorders>
            <w:noWrap w:val="0"/>
            <w:vAlign w:val="center"/>
          </w:tcPr>
          <w:p w14:paraId="2F4D2BD5">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single" w:color="auto" w:sz="4" w:space="0"/>
              <w:left w:val="nil"/>
              <w:bottom w:val="single" w:color="auto" w:sz="4" w:space="0"/>
              <w:right w:val="single" w:color="auto" w:sz="4" w:space="0"/>
            </w:tcBorders>
            <w:noWrap w:val="0"/>
            <w:vAlign w:val="center"/>
          </w:tcPr>
          <w:p w14:paraId="365CCE61">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846" w:type="dxa"/>
            <w:tcBorders>
              <w:top w:val="single" w:color="auto" w:sz="4" w:space="0"/>
              <w:left w:val="nil"/>
              <w:bottom w:val="single" w:color="auto" w:sz="4" w:space="0"/>
              <w:right w:val="single" w:color="auto" w:sz="4" w:space="0"/>
            </w:tcBorders>
            <w:noWrap w:val="0"/>
            <w:vAlign w:val="center"/>
          </w:tcPr>
          <w:p w14:paraId="01B01B67">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71" w:type="dxa"/>
            <w:tcBorders>
              <w:top w:val="single" w:color="auto" w:sz="4" w:space="0"/>
              <w:left w:val="nil"/>
              <w:bottom w:val="single" w:color="auto" w:sz="4" w:space="0"/>
              <w:right w:val="single" w:color="auto" w:sz="4" w:space="0"/>
            </w:tcBorders>
            <w:noWrap w:val="0"/>
            <w:vAlign w:val="center"/>
          </w:tcPr>
          <w:p w14:paraId="29579C51">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不按时，每次扣0.5分；</w:t>
            </w:r>
          </w:p>
        </w:tc>
      </w:tr>
      <w:tr w14:paraId="40475F1A">
        <w:tblPrEx>
          <w:tblCellMar>
            <w:top w:w="0" w:type="dxa"/>
            <w:left w:w="108" w:type="dxa"/>
            <w:bottom w:w="0" w:type="dxa"/>
            <w:right w:w="108" w:type="dxa"/>
          </w:tblCellMar>
        </w:tblPrEx>
        <w:trPr>
          <w:trHeight w:val="540" w:hRule="atLeast"/>
          <w:jc w:val="center"/>
        </w:trPr>
        <w:tc>
          <w:tcPr>
            <w:tcW w:w="414" w:type="dxa"/>
            <w:vMerge w:val="continue"/>
            <w:tcBorders>
              <w:left w:val="single" w:color="auto" w:sz="4" w:space="0"/>
              <w:right w:val="single" w:color="auto" w:sz="4" w:space="0"/>
            </w:tcBorders>
            <w:noWrap w:val="0"/>
            <w:vAlign w:val="center"/>
          </w:tcPr>
          <w:p w14:paraId="3D6E5923">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single" w:color="auto" w:sz="4" w:space="0"/>
              <w:left w:val="nil"/>
              <w:bottom w:val="single" w:color="auto" w:sz="4" w:space="0"/>
              <w:right w:val="single" w:color="auto" w:sz="4" w:space="0"/>
            </w:tcBorders>
            <w:noWrap w:val="0"/>
            <w:vAlign w:val="center"/>
          </w:tcPr>
          <w:p w14:paraId="0A0742B3">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7</w:t>
            </w:r>
          </w:p>
        </w:tc>
        <w:tc>
          <w:tcPr>
            <w:tcW w:w="3168" w:type="dxa"/>
            <w:gridSpan w:val="2"/>
            <w:tcBorders>
              <w:top w:val="single" w:color="auto" w:sz="4" w:space="0"/>
              <w:left w:val="nil"/>
              <w:bottom w:val="single" w:color="auto" w:sz="4" w:space="0"/>
              <w:right w:val="single" w:color="auto" w:sz="4" w:space="0"/>
            </w:tcBorders>
            <w:noWrap w:val="0"/>
            <w:vAlign w:val="center"/>
          </w:tcPr>
          <w:p w14:paraId="609F8210">
            <w:pPr>
              <w:overflowPunct/>
              <w:autoSpaceDE/>
              <w:autoSpaceDN/>
              <w:adjustRightInd/>
              <w:spacing w:line="320" w:lineRule="exact"/>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未按约定时间抵达客户现场，且未与客户提供沟通取得同意，导致客户投诉的</w:t>
            </w:r>
          </w:p>
        </w:tc>
        <w:tc>
          <w:tcPr>
            <w:tcW w:w="1320" w:type="dxa"/>
            <w:tcBorders>
              <w:top w:val="single" w:color="auto" w:sz="4" w:space="0"/>
              <w:left w:val="nil"/>
              <w:bottom w:val="single" w:color="auto" w:sz="4" w:space="0"/>
              <w:right w:val="single" w:color="auto" w:sz="4" w:space="0"/>
            </w:tcBorders>
            <w:noWrap w:val="0"/>
            <w:vAlign w:val="center"/>
          </w:tcPr>
          <w:p w14:paraId="4AC326EF">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single" w:color="auto" w:sz="4" w:space="0"/>
              <w:left w:val="nil"/>
              <w:bottom w:val="single" w:color="auto" w:sz="4" w:space="0"/>
              <w:right w:val="single" w:color="auto" w:sz="4" w:space="0"/>
            </w:tcBorders>
            <w:noWrap w:val="0"/>
            <w:vAlign w:val="center"/>
          </w:tcPr>
          <w:p w14:paraId="359A4C42">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846" w:type="dxa"/>
            <w:tcBorders>
              <w:top w:val="single" w:color="auto" w:sz="4" w:space="0"/>
              <w:left w:val="nil"/>
              <w:bottom w:val="single" w:color="auto" w:sz="4" w:space="0"/>
              <w:right w:val="single" w:color="auto" w:sz="4" w:space="0"/>
            </w:tcBorders>
            <w:noWrap w:val="0"/>
            <w:vAlign w:val="center"/>
          </w:tcPr>
          <w:p w14:paraId="4AE0AAC1">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71" w:type="dxa"/>
            <w:tcBorders>
              <w:top w:val="single" w:color="auto" w:sz="4" w:space="0"/>
              <w:left w:val="nil"/>
              <w:bottom w:val="single" w:color="auto" w:sz="4" w:space="0"/>
              <w:right w:val="single" w:color="auto" w:sz="4" w:space="0"/>
            </w:tcBorders>
            <w:noWrap w:val="0"/>
            <w:vAlign w:val="center"/>
          </w:tcPr>
          <w:p w14:paraId="463F9004">
            <w:pPr>
              <w:overflowPunct/>
              <w:autoSpaceDE/>
              <w:autoSpaceDN/>
              <w:adjustRightInd/>
              <w:spacing w:line="320" w:lineRule="exact"/>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造成投诉，每次扣1分；</w:t>
            </w:r>
          </w:p>
        </w:tc>
      </w:tr>
      <w:tr w14:paraId="0BFD745B">
        <w:tblPrEx>
          <w:tblCellMar>
            <w:top w:w="0" w:type="dxa"/>
            <w:left w:w="108" w:type="dxa"/>
            <w:bottom w:w="0" w:type="dxa"/>
            <w:right w:w="108" w:type="dxa"/>
          </w:tblCellMar>
        </w:tblPrEx>
        <w:trPr>
          <w:trHeight w:val="540" w:hRule="atLeast"/>
          <w:jc w:val="center"/>
        </w:trPr>
        <w:tc>
          <w:tcPr>
            <w:tcW w:w="414" w:type="dxa"/>
            <w:vMerge w:val="continue"/>
            <w:tcBorders>
              <w:left w:val="single" w:color="auto" w:sz="4" w:space="0"/>
              <w:right w:val="single" w:color="auto" w:sz="4" w:space="0"/>
            </w:tcBorders>
            <w:noWrap w:val="0"/>
            <w:vAlign w:val="center"/>
          </w:tcPr>
          <w:p w14:paraId="50706343">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nil"/>
              <w:left w:val="nil"/>
              <w:bottom w:val="single" w:color="auto" w:sz="4" w:space="0"/>
              <w:right w:val="single" w:color="auto" w:sz="4" w:space="0"/>
            </w:tcBorders>
            <w:noWrap w:val="0"/>
            <w:vAlign w:val="center"/>
          </w:tcPr>
          <w:p w14:paraId="3ACED62B">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8</w:t>
            </w:r>
          </w:p>
        </w:tc>
        <w:tc>
          <w:tcPr>
            <w:tcW w:w="3168" w:type="dxa"/>
            <w:gridSpan w:val="2"/>
            <w:tcBorders>
              <w:top w:val="nil"/>
              <w:left w:val="nil"/>
              <w:bottom w:val="single" w:color="auto" w:sz="4" w:space="0"/>
              <w:right w:val="single" w:color="auto" w:sz="4" w:space="0"/>
            </w:tcBorders>
            <w:noWrap w:val="0"/>
            <w:vAlign w:val="center"/>
          </w:tcPr>
          <w:p w14:paraId="77FC1D26">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运输服务过程发生异常情况，未在30分钟内反馈给新东欣调度人员（包括装卸货、数量异常、废物异常、沟通异常等）。</w:t>
            </w:r>
          </w:p>
        </w:tc>
        <w:tc>
          <w:tcPr>
            <w:tcW w:w="1320" w:type="dxa"/>
            <w:tcBorders>
              <w:top w:val="nil"/>
              <w:left w:val="nil"/>
              <w:bottom w:val="single" w:color="auto" w:sz="4" w:space="0"/>
              <w:right w:val="single" w:color="auto" w:sz="4" w:space="0"/>
            </w:tcBorders>
            <w:noWrap w:val="0"/>
            <w:vAlign w:val="center"/>
          </w:tcPr>
          <w:p w14:paraId="39092B69">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nil"/>
              <w:left w:val="nil"/>
              <w:bottom w:val="single" w:color="auto" w:sz="4" w:space="0"/>
              <w:right w:val="single" w:color="auto" w:sz="4" w:space="0"/>
            </w:tcBorders>
            <w:noWrap w:val="0"/>
            <w:vAlign w:val="center"/>
          </w:tcPr>
          <w:p w14:paraId="12D1DEE5">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846" w:type="dxa"/>
            <w:tcBorders>
              <w:top w:val="nil"/>
              <w:left w:val="nil"/>
              <w:bottom w:val="single" w:color="auto" w:sz="4" w:space="0"/>
              <w:right w:val="single" w:color="auto" w:sz="4" w:space="0"/>
            </w:tcBorders>
            <w:noWrap w:val="0"/>
            <w:vAlign w:val="center"/>
          </w:tcPr>
          <w:p w14:paraId="58D104EA">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71" w:type="dxa"/>
            <w:tcBorders>
              <w:top w:val="nil"/>
              <w:left w:val="nil"/>
              <w:bottom w:val="single" w:color="auto" w:sz="4" w:space="0"/>
              <w:right w:val="single" w:color="auto" w:sz="4" w:space="0"/>
            </w:tcBorders>
            <w:noWrap w:val="0"/>
            <w:vAlign w:val="center"/>
          </w:tcPr>
          <w:p w14:paraId="124624F2">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不及时，每次扣0.5分；不反馈，每次扣1分；</w:t>
            </w:r>
          </w:p>
        </w:tc>
      </w:tr>
      <w:tr w14:paraId="6D7F6939">
        <w:tblPrEx>
          <w:tblCellMar>
            <w:top w:w="0" w:type="dxa"/>
            <w:left w:w="108" w:type="dxa"/>
            <w:bottom w:w="0" w:type="dxa"/>
            <w:right w:w="108" w:type="dxa"/>
          </w:tblCellMar>
        </w:tblPrEx>
        <w:trPr>
          <w:trHeight w:val="549" w:hRule="atLeast"/>
          <w:jc w:val="center"/>
        </w:trPr>
        <w:tc>
          <w:tcPr>
            <w:tcW w:w="414" w:type="dxa"/>
            <w:vMerge w:val="continue"/>
            <w:tcBorders>
              <w:left w:val="single" w:color="auto" w:sz="4" w:space="0"/>
              <w:right w:val="single" w:color="auto" w:sz="4" w:space="0"/>
            </w:tcBorders>
            <w:noWrap w:val="0"/>
            <w:vAlign w:val="center"/>
          </w:tcPr>
          <w:p w14:paraId="47E2C1F0">
            <w:pPr>
              <w:overflowPunct/>
              <w:autoSpaceDE/>
              <w:autoSpaceDN/>
              <w:adjustRightInd/>
              <w:spacing w:line="320" w:lineRule="exact"/>
              <w:jc w:val="center"/>
              <w:textAlignment w:val="auto"/>
              <w:rPr>
                <w:rFonts w:ascii="宋体" w:hAnsi="宋体" w:eastAsia="宋体" w:cs="宋体"/>
                <w:color w:val="auto"/>
                <w:sz w:val="21"/>
                <w:szCs w:val="21"/>
                <w:highlight w:val="none"/>
                <w:lang w:val="en-US"/>
              </w:rPr>
            </w:pPr>
          </w:p>
        </w:tc>
        <w:tc>
          <w:tcPr>
            <w:tcW w:w="425" w:type="dxa"/>
            <w:tcBorders>
              <w:top w:val="nil"/>
              <w:left w:val="nil"/>
              <w:bottom w:val="single" w:color="auto" w:sz="4" w:space="0"/>
              <w:right w:val="single" w:color="auto" w:sz="4" w:space="0"/>
            </w:tcBorders>
            <w:noWrap w:val="0"/>
            <w:vAlign w:val="center"/>
          </w:tcPr>
          <w:p w14:paraId="352DF83B">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9</w:t>
            </w:r>
          </w:p>
        </w:tc>
        <w:tc>
          <w:tcPr>
            <w:tcW w:w="3168" w:type="dxa"/>
            <w:gridSpan w:val="2"/>
            <w:tcBorders>
              <w:top w:val="nil"/>
              <w:left w:val="nil"/>
              <w:bottom w:val="single" w:color="auto" w:sz="4" w:space="0"/>
              <w:right w:val="single" w:color="auto" w:sz="4" w:space="0"/>
            </w:tcBorders>
            <w:noWrap w:val="0"/>
            <w:vAlign w:val="center"/>
          </w:tcPr>
          <w:p w14:paraId="6D762589">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运输服务过程态度不佳，与客户或新东欣公司人员发生纠纷、冲突、或被投诉且经调查属实的情况。</w:t>
            </w:r>
          </w:p>
        </w:tc>
        <w:tc>
          <w:tcPr>
            <w:tcW w:w="1320" w:type="dxa"/>
            <w:tcBorders>
              <w:top w:val="nil"/>
              <w:left w:val="nil"/>
              <w:bottom w:val="single" w:color="auto" w:sz="4" w:space="0"/>
              <w:right w:val="single" w:color="auto" w:sz="4" w:space="0"/>
            </w:tcBorders>
            <w:noWrap w:val="0"/>
            <w:vAlign w:val="center"/>
          </w:tcPr>
          <w:p w14:paraId="7B54911A">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nil"/>
              <w:left w:val="nil"/>
              <w:bottom w:val="single" w:color="auto" w:sz="4" w:space="0"/>
              <w:right w:val="single" w:color="auto" w:sz="4" w:space="0"/>
            </w:tcBorders>
            <w:noWrap w:val="0"/>
            <w:vAlign w:val="center"/>
          </w:tcPr>
          <w:p w14:paraId="176B8E32">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846" w:type="dxa"/>
            <w:tcBorders>
              <w:top w:val="nil"/>
              <w:left w:val="nil"/>
              <w:bottom w:val="single" w:color="auto" w:sz="4" w:space="0"/>
              <w:right w:val="single" w:color="auto" w:sz="4" w:space="0"/>
            </w:tcBorders>
            <w:noWrap w:val="0"/>
            <w:vAlign w:val="center"/>
          </w:tcPr>
          <w:p w14:paraId="1180C2BD">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p>
        </w:tc>
        <w:tc>
          <w:tcPr>
            <w:tcW w:w="1171" w:type="dxa"/>
            <w:tcBorders>
              <w:top w:val="nil"/>
              <w:left w:val="nil"/>
              <w:bottom w:val="single" w:color="auto" w:sz="4" w:space="0"/>
              <w:right w:val="single" w:color="auto" w:sz="4" w:space="0"/>
            </w:tcBorders>
            <w:noWrap w:val="0"/>
            <w:vAlign w:val="center"/>
          </w:tcPr>
          <w:p w14:paraId="11394514">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发生每次扣1分</w:t>
            </w:r>
          </w:p>
        </w:tc>
      </w:tr>
      <w:tr w14:paraId="1AA7B909">
        <w:tblPrEx>
          <w:tblCellMar>
            <w:top w:w="0" w:type="dxa"/>
            <w:left w:w="108" w:type="dxa"/>
            <w:bottom w:w="0" w:type="dxa"/>
            <w:right w:w="108" w:type="dxa"/>
          </w:tblCellMar>
        </w:tblPrEx>
        <w:trPr>
          <w:trHeight w:val="459" w:hRule="atLeast"/>
          <w:jc w:val="center"/>
        </w:trPr>
        <w:tc>
          <w:tcPr>
            <w:tcW w:w="414" w:type="dxa"/>
            <w:vMerge w:val="continue"/>
            <w:tcBorders>
              <w:left w:val="single" w:color="auto" w:sz="4" w:space="0"/>
              <w:right w:val="single" w:color="auto" w:sz="4" w:space="0"/>
            </w:tcBorders>
            <w:noWrap w:val="0"/>
            <w:vAlign w:val="center"/>
          </w:tcPr>
          <w:p w14:paraId="316A38DD">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nil"/>
              <w:left w:val="nil"/>
              <w:bottom w:val="single" w:color="auto" w:sz="4" w:space="0"/>
              <w:right w:val="single" w:color="auto" w:sz="4" w:space="0"/>
            </w:tcBorders>
            <w:noWrap w:val="0"/>
            <w:vAlign w:val="center"/>
          </w:tcPr>
          <w:p w14:paraId="40611EEB">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3168" w:type="dxa"/>
            <w:gridSpan w:val="2"/>
            <w:tcBorders>
              <w:top w:val="nil"/>
              <w:left w:val="nil"/>
              <w:bottom w:val="single" w:color="auto" w:sz="4" w:space="0"/>
              <w:right w:val="single" w:color="auto" w:sz="4" w:space="0"/>
            </w:tcBorders>
            <w:noWrap w:val="0"/>
            <w:vAlign w:val="center"/>
          </w:tcPr>
          <w:p w14:paraId="1D318A29">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运输服务人员不专业，如：装车不合理、遇到废物发生异常时处置不合理、遇到车辆突发异常时处置不合理</w:t>
            </w:r>
          </w:p>
        </w:tc>
        <w:tc>
          <w:tcPr>
            <w:tcW w:w="1320" w:type="dxa"/>
            <w:tcBorders>
              <w:top w:val="nil"/>
              <w:left w:val="nil"/>
              <w:bottom w:val="single" w:color="auto" w:sz="4" w:space="0"/>
              <w:right w:val="single" w:color="auto" w:sz="4" w:space="0"/>
            </w:tcBorders>
            <w:noWrap w:val="0"/>
            <w:vAlign w:val="top"/>
          </w:tcPr>
          <w:p w14:paraId="7AA677E0">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p w14:paraId="371A99CD">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物控部</w:t>
            </w:r>
          </w:p>
          <w:p w14:paraId="4C1D3322">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安环部</w:t>
            </w:r>
          </w:p>
        </w:tc>
        <w:tc>
          <w:tcPr>
            <w:tcW w:w="890" w:type="dxa"/>
            <w:tcBorders>
              <w:top w:val="nil"/>
              <w:left w:val="nil"/>
              <w:bottom w:val="single" w:color="auto" w:sz="4" w:space="0"/>
              <w:right w:val="single" w:color="auto" w:sz="4" w:space="0"/>
            </w:tcBorders>
            <w:noWrap w:val="0"/>
            <w:vAlign w:val="center"/>
          </w:tcPr>
          <w:p w14:paraId="3A7CCA28">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15</w:t>
            </w:r>
          </w:p>
        </w:tc>
        <w:tc>
          <w:tcPr>
            <w:tcW w:w="846" w:type="dxa"/>
            <w:tcBorders>
              <w:top w:val="nil"/>
              <w:left w:val="nil"/>
              <w:bottom w:val="single" w:color="auto" w:sz="4" w:space="0"/>
              <w:right w:val="single" w:color="auto" w:sz="4" w:space="0"/>
            </w:tcBorders>
            <w:noWrap w:val="0"/>
            <w:vAlign w:val="center"/>
          </w:tcPr>
          <w:p w14:paraId="73C78D5C">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71" w:type="dxa"/>
            <w:tcBorders>
              <w:top w:val="nil"/>
              <w:left w:val="nil"/>
              <w:bottom w:val="single" w:color="auto" w:sz="4" w:space="0"/>
              <w:right w:val="single" w:color="auto" w:sz="4" w:space="0"/>
            </w:tcBorders>
            <w:noWrap w:val="0"/>
            <w:vAlign w:val="center"/>
          </w:tcPr>
          <w:p w14:paraId="7AD800E4">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不专业造成轻微事故每次扣1分；造成严重事故的，每次扣5分</w:t>
            </w:r>
          </w:p>
        </w:tc>
      </w:tr>
      <w:tr w14:paraId="03E6AE0A">
        <w:tblPrEx>
          <w:tblCellMar>
            <w:top w:w="0" w:type="dxa"/>
            <w:left w:w="108" w:type="dxa"/>
            <w:bottom w:w="0" w:type="dxa"/>
            <w:right w:w="108" w:type="dxa"/>
          </w:tblCellMar>
        </w:tblPrEx>
        <w:trPr>
          <w:trHeight w:val="492" w:hRule="atLeast"/>
          <w:jc w:val="center"/>
        </w:trPr>
        <w:tc>
          <w:tcPr>
            <w:tcW w:w="414" w:type="dxa"/>
            <w:vMerge w:val="restart"/>
            <w:tcBorders>
              <w:top w:val="nil"/>
              <w:left w:val="single" w:color="auto" w:sz="4" w:space="0"/>
              <w:right w:val="single" w:color="auto" w:sz="4" w:space="0"/>
            </w:tcBorders>
            <w:noWrap w:val="0"/>
            <w:vAlign w:val="center"/>
          </w:tcPr>
          <w:p w14:paraId="6B270B52">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其他</w:t>
            </w:r>
          </w:p>
        </w:tc>
        <w:tc>
          <w:tcPr>
            <w:tcW w:w="425" w:type="dxa"/>
            <w:tcBorders>
              <w:top w:val="nil"/>
              <w:left w:val="nil"/>
              <w:bottom w:val="single" w:color="auto" w:sz="4" w:space="0"/>
              <w:right w:val="single" w:color="auto" w:sz="4" w:space="0"/>
            </w:tcBorders>
            <w:noWrap w:val="0"/>
            <w:vAlign w:val="center"/>
          </w:tcPr>
          <w:p w14:paraId="26F22BE8">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11</w:t>
            </w:r>
          </w:p>
        </w:tc>
        <w:tc>
          <w:tcPr>
            <w:tcW w:w="3168" w:type="dxa"/>
            <w:gridSpan w:val="2"/>
            <w:tcBorders>
              <w:top w:val="nil"/>
              <w:left w:val="nil"/>
              <w:bottom w:val="single" w:color="auto" w:sz="4" w:space="0"/>
              <w:right w:val="single" w:color="auto" w:sz="4" w:space="0"/>
            </w:tcBorders>
            <w:noWrap w:val="0"/>
            <w:vAlign w:val="center"/>
          </w:tcPr>
          <w:p w14:paraId="13DD5CBA">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现场收货的承运单未与客户确认并签字、或漏签字或代替客户签字，或运输公司人员将废物明细及数量填写错误或错扣皮重，导致新东欣入库后修改数据。</w:t>
            </w:r>
          </w:p>
        </w:tc>
        <w:tc>
          <w:tcPr>
            <w:tcW w:w="1320" w:type="dxa"/>
            <w:tcBorders>
              <w:top w:val="nil"/>
              <w:left w:val="nil"/>
              <w:bottom w:val="single" w:color="auto" w:sz="4" w:space="0"/>
              <w:right w:val="single" w:color="auto" w:sz="4" w:space="0"/>
            </w:tcBorders>
            <w:noWrap w:val="0"/>
            <w:vAlign w:val="center"/>
          </w:tcPr>
          <w:p w14:paraId="7BD44207">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p w14:paraId="5ECEE336">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物控部</w:t>
            </w:r>
          </w:p>
        </w:tc>
        <w:tc>
          <w:tcPr>
            <w:tcW w:w="890" w:type="dxa"/>
            <w:tcBorders>
              <w:top w:val="nil"/>
              <w:left w:val="nil"/>
              <w:bottom w:val="single" w:color="auto" w:sz="4" w:space="0"/>
              <w:right w:val="single" w:color="auto" w:sz="4" w:space="0"/>
            </w:tcBorders>
            <w:noWrap w:val="0"/>
            <w:vAlign w:val="center"/>
          </w:tcPr>
          <w:p w14:paraId="0F211110">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846" w:type="dxa"/>
            <w:tcBorders>
              <w:top w:val="nil"/>
              <w:left w:val="nil"/>
              <w:bottom w:val="single" w:color="auto" w:sz="4" w:space="0"/>
              <w:right w:val="single" w:color="auto" w:sz="4" w:space="0"/>
            </w:tcBorders>
            <w:noWrap w:val="0"/>
            <w:vAlign w:val="center"/>
          </w:tcPr>
          <w:p w14:paraId="7DB1138F">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71" w:type="dxa"/>
            <w:tcBorders>
              <w:top w:val="nil"/>
              <w:left w:val="nil"/>
              <w:bottom w:val="single" w:color="auto" w:sz="4" w:space="0"/>
              <w:right w:val="single" w:color="auto" w:sz="4" w:space="0"/>
            </w:tcBorders>
            <w:noWrap w:val="0"/>
            <w:vAlign w:val="center"/>
          </w:tcPr>
          <w:p w14:paraId="5261F842">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每次扣0.5分</w:t>
            </w:r>
          </w:p>
        </w:tc>
      </w:tr>
      <w:tr w14:paraId="1BD97DBD">
        <w:tblPrEx>
          <w:tblCellMar>
            <w:top w:w="0" w:type="dxa"/>
            <w:left w:w="108" w:type="dxa"/>
            <w:bottom w:w="0" w:type="dxa"/>
            <w:right w:w="108" w:type="dxa"/>
          </w:tblCellMar>
        </w:tblPrEx>
        <w:trPr>
          <w:trHeight w:val="400" w:hRule="atLeast"/>
          <w:jc w:val="center"/>
        </w:trPr>
        <w:tc>
          <w:tcPr>
            <w:tcW w:w="414" w:type="dxa"/>
            <w:vMerge w:val="continue"/>
            <w:tcBorders>
              <w:left w:val="single" w:color="auto" w:sz="4" w:space="0"/>
              <w:right w:val="single" w:color="auto" w:sz="4" w:space="0"/>
            </w:tcBorders>
            <w:noWrap w:val="0"/>
            <w:vAlign w:val="center"/>
          </w:tcPr>
          <w:p w14:paraId="0EFB04B5">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nil"/>
              <w:left w:val="nil"/>
              <w:bottom w:val="single" w:color="auto" w:sz="4" w:space="0"/>
              <w:right w:val="single" w:color="auto" w:sz="4" w:space="0"/>
            </w:tcBorders>
            <w:noWrap w:val="0"/>
            <w:vAlign w:val="center"/>
          </w:tcPr>
          <w:p w14:paraId="08E99860">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12</w:t>
            </w:r>
          </w:p>
        </w:tc>
        <w:tc>
          <w:tcPr>
            <w:tcW w:w="3168" w:type="dxa"/>
            <w:gridSpan w:val="2"/>
            <w:tcBorders>
              <w:top w:val="nil"/>
              <w:left w:val="nil"/>
              <w:bottom w:val="single" w:color="auto" w:sz="4" w:space="0"/>
              <w:right w:val="single" w:color="auto" w:sz="4" w:space="0"/>
            </w:tcBorders>
            <w:noWrap w:val="0"/>
            <w:vAlign w:val="center"/>
          </w:tcPr>
          <w:p w14:paraId="6A1FF51A">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因运输人员原因导致漏扫联单或错扫联单</w:t>
            </w:r>
          </w:p>
        </w:tc>
        <w:tc>
          <w:tcPr>
            <w:tcW w:w="1320" w:type="dxa"/>
            <w:tcBorders>
              <w:top w:val="nil"/>
              <w:left w:val="nil"/>
              <w:bottom w:val="single" w:color="auto" w:sz="4" w:space="0"/>
              <w:right w:val="single" w:color="auto" w:sz="4" w:space="0"/>
            </w:tcBorders>
            <w:noWrap w:val="0"/>
            <w:vAlign w:val="center"/>
          </w:tcPr>
          <w:p w14:paraId="12075D99">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nil"/>
              <w:left w:val="nil"/>
              <w:bottom w:val="single" w:color="auto" w:sz="4" w:space="0"/>
              <w:right w:val="single" w:color="auto" w:sz="4" w:space="0"/>
            </w:tcBorders>
            <w:noWrap w:val="0"/>
            <w:vAlign w:val="center"/>
          </w:tcPr>
          <w:p w14:paraId="7C8DDA54">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846" w:type="dxa"/>
            <w:tcBorders>
              <w:top w:val="nil"/>
              <w:left w:val="nil"/>
              <w:bottom w:val="single" w:color="auto" w:sz="4" w:space="0"/>
              <w:right w:val="single" w:color="auto" w:sz="4" w:space="0"/>
            </w:tcBorders>
            <w:noWrap w:val="0"/>
            <w:vAlign w:val="center"/>
          </w:tcPr>
          <w:p w14:paraId="3D7A30EA">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71" w:type="dxa"/>
            <w:tcBorders>
              <w:top w:val="nil"/>
              <w:left w:val="nil"/>
              <w:bottom w:val="single" w:color="auto" w:sz="4" w:space="0"/>
              <w:right w:val="single" w:color="auto" w:sz="4" w:space="0"/>
            </w:tcBorders>
            <w:noWrap w:val="0"/>
            <w:vAlign w:val="center"/>
          </w:tcPr>
          <w:p w14:paraId="6A3E9B77">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每次扣1分</w:t>
            </w:r>
          </w:p>
        </w:tc>
      </w:tr>
      <w:tr w14:paraId="2801EBC2">
        <w:tblPrEx>
          <w:tblCellMar>
            <w:top w:w="0" w:type="dxa"/>
            <w:left w:w="108" w:type="dxa"/>
            <w:bottom w:w="0" w:type="dxa"/>
            <w:right w:w="108" w:type="dxa"/>
          </w:tblCellMar>
        </w:tblPrEx>
        <w:trPr>
          <w:trHeight w:val="579" w:hRule="atLeast"/>
          <w:jc w:val="center"/>
        </w:trPr>
        <w:tc>
          <w:tcPr>
            <w:tcW w:w="414" w:type="dxa"/>
            <w:vMerge w:val="continue"/>
            <w:tcBorders>
              <w:left w:val="single" w:color="auto" w:sz="4" w:space="0"/>
              <w:right w:val="single" w:color="auto" w:sz="4" w:space="0"/>
            </w:tcBorders>
            <w:noWrap w:val="0"/>
            <w:vAlign w:val="center"/>
          </w:tcPr>
          <w:p w14:paraId="0427F969">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nil"/>
              <w:left w:val="nil"/>
              <w:bottom w:val="single" w:color="auto" w:sz="4" w:space="0"/>
              <w:right w:val="single" w:color="auto" w:sz="4" w:space="0"/>
            </w:tcBorders>
            <w:noWrap w:val="0"/>
            <w:vAlign w:val="center"/>
          </w:tcPr>
          <w:p w14:paraId="2120546E">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13</w:t>
            </w:r>
          </w:p>
        </w:tc>
        <w:tc>
          <w:tcPr>
            <w:tcW w:w="3168" w:type="dxa"/>
            <w:gridSpan w:val="2"/>
            <w:tcBorders>
              <w:top w:val="nil"/>
              <w:left w:val="nil"/>
              <w:bottom w:val="single" w:color="auto" w:sz="4" w:space="0"/>
              <w:right w:val="single" w:color="auto" w:sz="4" w:space="0"/>
            </w:tcBorders>
            <w:noWrap w:val="0"/>
            <w:vAlign w:val="center"/>
          </w:tcPr>
          <w:p w14:paraId="1CA8DE97">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运输费对账资料和发票未按时提交，数据存在反复修改</w:t>
            </w:r>
          </w:p>
        </w:tc>
        <w:tc>
          <w:tcPr>
            <w:tcW w:w="1320" w:type="dxa"/>
            <w:tcBorders>
              <w:top w:val="nil"/>
              <w:left w:val="nil"/>
              <w:bottom w:val="single" w:color="auto" w:sz="4" w:space="0"/>
              <w:right w:val="single" w:color="auto" w:sz="4" w:space="0"/>
            </w:tcBorders>
            <w:noWrap w:val="0"/>
            <w:vAlign w:val="center"/>
          </w:tcPr>
          <w:p w14:paraId="4BEF3F28">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nil"/>
              <w:left w:val="nil"/>
              <w:bottom w:val="single" w:color="auto" w:sz="4" w:space="0"/>
              <w:right w:val="single" w:color="auto" w:sz="4" w:space="0"/>
            </w:tcBorders>
            <w:noWrap w:val="0"/>
            <w:vAlign w:val="center"/>
          </w:tcPr>
          <w:p w14:paraId="3ACA7871">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2</w:t>
            </w:r>
          </w:p>
        </w:tc>
        <w:tc>
          <w:tcPr>
            <w:tcW w:w="846" w:type="dxa"/>
            <w:tcBorders>
              <w:top w:val="nil"/>
              <w:left w:val="nil"/>
              <w:bottom w:val="single" w:color="auto" w:sz="4" w:space="0"/>
              <w:right w:val="single" w:color="auto" w:sz="4" w:space="0"/>
            </w:tcBorders>
            <w:noWrap w:val="0"/>
            <w:vAlign w:val="center"/>
          </w:tcPr>
          <w:p w14:paraId="5C22D6A3">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p>
        </w:tc>
        <w:tc>
          <w:tcPr>
            <w:tcW w:w="1171" w:type="dxa"/>
            <w:tcBorders>
              <w:top w:val="nil"/>
              <w:left w:val="nil"/>
              <w:bottom w:val="single" w:color="auto" w:sz="4" w:space="0"/>
              <w:right w:val="single" w:color="auto" w:sz="4" w:space="0"/>
            </w:tcBorders>
            <w:noWrap w:val="0"/>
            <w:vAlign w:val="center"/>
          </w:tcPr>
          <w:p w14:paraId="577DF914">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延迟提交一次扣0.2分；反复修改扣0.5分</w:t>
            </w:r>
          </w:p>
        </w:tc>
      </w:tr>
      <w:tr w14:paraId="5EF426C3">
        <w:tblPrEx>
          <w:tblCellMar>
            <w:top w:w="0" w:type="dxa"/>
            <w:left w:w="108" w:type="dxa"/>
            <w:bottom w:w="0" w:type="dxa"/>
            <w:right w:w="108" w:type="dxa"/>
          </w:tblCellMar>
        </w:tblPrEx>
        <w:trPr>
          <w:trHeight w:val="486" w:hRule="atLeast"/>
          <w:jc w:val="center"/>
        </w:trPr>
        <w:tc>
          <w:tcPr>
            <w:tcW w:w="414" w:type="dxa"/>
            <w:vMerge w:val="continue"/>
            <w:tcBorders>
              <w:left w:val="single" w:color="auto" w:sz="4" w:space="0"/>
              <w:right w:val="single" w:color="auto" w:sz="4" w:space="0"/>
            </w:tcBorders>
            <w:noWrap w:val="0"/>
            <w:vAlign w:val="center"/>
          </w:tcPr>
          <w:p w14:paraId="45654729">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nil"/>
              <w:left w:val="nil"/>
              <w:bottom w:val="single" w:color="auto" w:sz="4" w:space="0"/>
              <w:right w:val="single" w:color="auto" w:sz="4" w:space="0"/>
            </w:tcBorders>
            <w:noWrap w:val="0"/>
            <w:vAlign w:val="center"/>
          </w:tcPr>
          <w:p w14:paraId="6CE3A744">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14</w:t>
            </w:r>
          </w:p>
        </w:tc>
        <w:tc>
          <w:tcPr>
            <w:tcW w:w="3168" w:type="dxa"/>
            <w:gridSpan w:val="2"/>
            <w:tcBorders>
              <w:top w:val="nil"/>
              <w:left w:val="nil"/>
              <w:bottom w:val="single" w:color="auto" w:sz="4" w:space="0"/>
              <w:right w:val="single" w:color="auto" w:sz="4" w:space="0"/>
            </w:tcBorders>
            <w:noWrap w:val="0"/>
            <w:vAlign w:val="center"/>
          </w:tcPr>
          <w:p w14:paraId="1F6D8293">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整改报告未按时提交，整改措施不合理且无效</w:t>
            </w:r>
          </w:p>
        </w:tc>
        <w:tc>
          <w:tcPr>
            <w:tcW w:w="1320" w:type="dxa"/>
            <w:tcBorders>
              <w:top w:val="nil"/>
              <w:left w:val="nil"/>
              <w:bottom w:val="single" w:color="auto" w:sz="4" w:space="0"/>
              <w:right w:val="single" w:color="auto" w:sz="4" w:space="0"/>
            </w:tcBorders>
            <w:noWrap w:val="0"/>
            <w:vAlign w:val="center"/>
          </w:tcPr>
          <w:p w14:paraId="23482A47">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nil"/>
              <w:left w:val="nil"/>
              <w:bottom w:val="single" w:color="auto" w:sz="4" w:space="0"/>
              <w:right w:val="single" w:color="auto" w:sz="4" w:space="0"/>
            </w:tcBorders>
            <w:noWrap w:val="0"/>
            <w:vAlign w:val="center"/>
          </w:tcPr>
          <w:p w14:paraId="34A8583F">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3</w:t>
            </w:r>
          </w:p>
        </w:tc>
        <w:tc>
          <w:tcPr>
            <w:tcW w:w="846" w:type="dxa"/>
            <w:tcBorders>
              <w:top w:val="nil"/>
              <w:left w:val="nil"/>
              <w:bottom w:val="single" w:color="auto" w:sz="4" w:space="0"/>
              <w:right w:val="single" w:color="auto" w:sz="4" w:space="0"/>
            </w:tcBorders>
            <w:noWrap w:val="0"/>
            <w:vAlign w:val="center"/>
          </w:tcPr>
          <w:p w14:paraId="104B7BB4">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p>
        </w:tc>
        <w:tc>
          <w:tcPr>
            <w:tcW w:w="1171" w:type="dxa"/>
            <w:tcBorders>
              <w:top w:val="nil"/>
              <w:left w:val="nil"/>
              <w:bottom w:val="single" w:color="auto" w:sz="4" w:space="0"/>
              <w:right w:val="single" w:color="auto" w:sz="4" w:space="0"/>
            </w:tcBorders>
            <w:noWrap w:val="0"/>
            <w:vAlign w:val="center"/>
          </w:tcPr>
          <w:p w14:paraId="51E660D1">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不符合一次扣0.5分</w:t>
            </w:r>
          </w:p>
        </w:tc>
      </w:tr>
      <w:tr w14:paraId="152A619A">
        <w:tblPrEx>
          <w:tblCellMar>
            <w:top w:w="0" w:type="dxa"/>
            <w:left w:w="108" w:type="dxa"/>
            <w:bottom w:w="0" w:type="dxa"/>
            <w:right w:w="108" w:type="dxa"/>
          </w:tblCellMar>
        </w:tblPrEx>
        <w:trPr>
          <w:trHeight w:val="397" w:hRule="exact"/>
          <w:jc w:val="center"/>
        </w:trPr>
        <w:tc>
          <w:tcPr>
            <w:tcW w:w="5327" w:type="dxa"/>
            <w:gridSpan w:val="5"/>
            <w:tcBorders>
              <w:top w:val="single" w:color="auto" w:sz="4" w:space="0"/>
              <w:left w:val="single" w:color="auto" w:sz="4" w:space="0"/>
              <w:bottom w:val="single" w:color="auto" w:sz="4" w:space="0"/>
              <w:right w:val="nil"/>
            </w:tcBorders>
            <w:noWrap w:val="0"/>
            <w:vAlign w:val="center"/>
          </w:tcPr>
          <w:p w14:paraId="2773E37B">
            <w:pPr>
              <w:overflowPunct/>
              <w:autoSpaceDE/>
              <w:autoSpaceDN/>
              <w:adjustRightInd/>
              <w:spacing w:line="320" w:lineRule="exact"/>
              <w:jc w:val="center"/>
              <w:textAlignment w:val="auto"/>
              <w:rPr>
                <w:rFonts w:ascii="宋体" w:hAnsi="宋体" w:eastAsia="宋体" w:cs="宋体"/>
                <w:b/>
                <w:color w:val="auto"/>
                <w:sz w:val="18"/>
                <w:szCs w:val="18"/>
                <w:highlight w:val="none"/>
                <w:lang w:val="en-US"/>
              </w:rPr>
            </w:pPr>
            <w:r>
              <w:rPr>
                <w:rFonts w:hint="eastAsia" w:ascii="宋体" w:hAnsi="宋体" w:eastAsia="宋体" w:cs="宋体"/>
                <w:b/>
                <w:color w:val="auto"/>
                <w:sz w:val="18"/>
                <w:szCs w:val="18"/>
                <w:highlight w:val="none"/>
                <w:lang w:val="en-US"/>
              </w:rPr>
              <w:t>合计</w:t>
            </w:r>
          </w:p>
        </w:tc>
        <w:tc>
          <w:tcPr>
            <w:tcW w:w="890" w:type="dxa"/>
            <w:tcBorders>
              <w:top w:val="nil"/>
              <w:left w:val="single" w:color="auto" w:sz="4" w:space="0"/>
              <w:bottom w:val="single" w:color="auto" w:sz="4" w:space="0"/>
              <w:right w:val="single" w:color="auto" w:sz="4" w:space="0"/>
            </w:tcBorders>
            <w:noWrap w:val="0"/>
            <w:vAlign w:val="center"/>
          </w:tcPr>
          <w:p w14:paraId="190C3CE7">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100</w:t>
            </w:r>
          </w:p>
        </w:tc>
        <w:tc>
          <w:tcPr>
            <w:tcW w:w="846" w:type="dxa"/>
            <w:tcBorders>
              <w:top w:val="nil"/>
              <w:left w:val="nil"/>
              <w:bottom w:val="single" w:color="auto" w:sz="4" w:space="0"/>
              <w:right w:val="single" w:color="auto" w:sz="4" w:space="0"/>
            </w:tcBorders>
            <w:noWrap w:val="0"/>
            <w:vAlign w:val="center"/>
          </w:tcPr>
          <w:p w14:paraId="1F200F73">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71" w:type="dxa"/>
            <w:tcBorders>
              <w:top w:val="nil"/>
              <w:left w:val="nil"/>
              <w:bottom w:val="single" w:color="auto" w:sz="4" w:space="0"/>
              <w:right w:val="single" w:color="auto" w:sz="4" w:space="0"/>
            </w:tcBorders>
            <w:noWrap w:val="0"/>
            <w:vAlign w:val="center"/>
          </w:tcPr>
          <w:p w14:paraId="0185EDFF">
            <w:pPr>
              <w:overflowPunct/>
              <w:autoSpaceDE/>
              <w:autoSpaceDN/>
              <w:adjustRightInd/>
              <w:spacing w:line="320" w:lineRule="exact"/>
              <w:textAlignment w:val="auto"/>
              <w:rPr>
                <w:rFonts w:ascii="宋体" w:hAnsi="宋体" w:eastAsia="宋体" w:cs="宋体"/>
                <w:color w:val="auto"/>
                <w:sz w:val="18"/>
                <w:szCs w:val="18"/>
                <w:highlight w:val="none"/>
                <w:lang w:val="en-US"/>
              </w:rPr>
            </w:pPr>
          </w:p>
        </w:tc>
      </w:tr>
    </w:tbl>
    <w:p w14:paraId="4F818628">
      <w:pPr>
        <w:tabs>
          <w:tab w:val="left" w:pos="8090"/>
        </w:tabs>
        <w:rPr>
          <w:rFonts w:ascii="宋体" w:hAnsi="宋体" w:eastAsia="宋体"/>
          <w:color w:val="auto"/>
          <w:sz w:val="21"/>
          <w:szCs w:val="21"/>
          <w:highlight w:val="none"/>
          <w:lang w:val="en-US"/>
        </w:rPr>
      </w:pPr>
    </w:p>
    <w:p w14:paraId="3F0D81D3">
      <w:pPr>
        <w:tabs>
          <w:tab w:val="left" w:pos="8090"/>
        </w:tabs>
        <w:spacing w:line="240" w:lineRule="auto"/>
        <w:rPr>
          <w:rFonts w:ascii="宋体" w:hAnsi="宋体" w:eastAsia="宋体"/>
          <w:color w:val="auto"/>
          <w:sz w:val="21"/>
          <w:szCs w:val="21"/>
          <w:highlight w:val="none"/>
          <w:lang w:val="en-US"/>
        </w:rPr>
      </w:pPr>
      <w:r>
        <w:rPr>
          <w:rFonts w:hint="eastAsia" w:ascii="宋体" w:hAnsi="宋体" w:eastAsia="宋体"/>
          <w:color w:val="auto"/>
          <w:sz w:val="21"/>
          <w:szCs w:val="21"/>
          <w:highlight w:val="none"/>
          <w:lang w:val="en-US"/>
        </w:rPr>
        <w:t xml:space="preserve">市场部签字： </w:t>
      </w:r>
      <w:r>
        <w:rPr>
          <w:rFonts w:ascii="宋体" w:hAnsi="宋体" w:eastAsia="宋体"/>
          <w:color w:val="auto"/>
          <w:sz w:val="21"/>
          <w:szCs w:val="21"/>
          <w:highlight w:val="none"/>
          <w:lang w:val="en-US"/>
        </w:rPr>
        <w:t xml:space="preserve">                                          </w:t>
      </w:r>
      <w:r>
        <w:rPr>
          <w:rFonts w:hint="eastAsia" w:ascii="宋体" w:hAnsi="宋体" w:eastAsia="宋体"/>
          <w:color w:val="auto"/>
          <w:sz w:val="21"/>
          <w:szCs w:val="21"/>
          <w:highlight w:val="none"/>
          <w:lang w:val="en-US"/>
        </w:rPr>
        <w:t>物控部签字：</w:t>
      </w:r>
    </w:p>
    <w:p w14:paraId="2333B3D3">
      <w:pPr>
        <w:tabs>
          <w:tab w:val="left" w:pos="8090"/>
        </w:tabs>
        <w:spacing w:line="240" w:lineRule="auto"/>
        <w:rPr>
          <w:rFonts w:ascii="宋体" w:hAnsi="宋体" w:eastAsia="宋体"/>
          <w:color w:val="auto"/>
          <w:sz w:val="21"/>
          <w:szCs w:val="21"/>
          <w:highlight w:val="none"/>
          <w:lang w:val="en-US"/>
        </w:rPr>
      </w:pPr>
    </w:p>
    <w:p w14:paraId="69C72F07">
      <w:pPr>
        <w:tabs>
          <w:tab w:val="left" w:pos="8090"/>
        </w:tabs>
        <w:spacing w:line="240" w:lineRule="auto"/>
        <w:rPr>
          <w:rFonts w:ascii="宋体" w:hAnsi="宋体" w:eastAsia="宋体"/>
          <w:color w:val="auto"/>
          <w:sz w:val="21"/>
          <w:szCs w:val="21"/>
          <w:highlight w:val="none"/>
          <w:lang w:val="en-US"/>
        </w:rPr>
      </w:pPr>
      <w:r>
        <w:rPr>
          <w:rFonts w:hint="eastAsia" w:ascii="宋体" w:hAnsi="宋体" w:eastAsia="宋体"/>
          <w:color w:val="auto"/>
          <w:sz w:val="21"/>
          <w:szCs w:val="21"/>
          <w:highlight w:val="none"/>
          <w:lang w:val="en-US"/>
        </w:rPr>
        <w:t xml:space="preserve">招采部签字： </w:t>
      </w:r>
      <w:r>
        <w:rPr>
          <w:rFonts w:ascii="宋体" w:hAnsi="宋体" w:eastAsia="宋体"/>
          <w:color w:val="auto"/>
          <w:sz w:val="21"/>
          <w:szCs w:val="21"/>
          <w:highlight w:val="none"/>
          <w:lang w:val="en-US"/>
        </w:rPr>
        <w:t xml:space="preserve">                    </w:t>
      </w:r>
      <w:r>
        <w:rPr>
          <w:rFonts w:hint="eastAsia" w:ascii="宋体" w:hAnsi="宋体" w:eastAsia="宋体"/>
          <w:color w:val="auto"/>
          <w:sz w:val="21"/>
          <w:szCs w:val="21"/>
          <w:highlight w:val="none"/>
          <w:lang w:val="en-US"/>
        </w:rPr>
        <w:t xml:space="preserve"> </w:t>
      </w:r>
      <w:r>
        <w:rPr>
          <w:rFonts w:ascii="宋体" w:hAnsi="宋体" w:eastAsia="宋体"/>
          <w:color w:val="auto"/>
          <w:sz w:val="21"/>
          <w:szCs w:val="21"/>
          <w:highlight w:val="none"/>
          <w:lang w:val="en-US"/>
        </w:rPr>
        <w:t xml:space="preserve">                 </w:t>
      </w:r>
      <w:r>
        <w:rPr>
          <w:rFonts w:hint="eastAsia" w:ascii="宋体" w:hAnsi="宋体" w:eastAsia="宋体"/>
          <w:color w:val="auto"/>
          <w:sz w:val="21"/>
          <w:szCs w:val="21"/>
          <w:highlight w:val="none"/>
          <w:lang w:val="en-US"/>
        </w:rPr>
        <w:t xml:space="preserve">    安环部签字：</w:t>
      </w:r>
    </w:p>
    <w:p w14:paraId="5D5843CD">
      <w:pPr>
        <w:tabs>
          <w:tab w:val="left" w:pos="8090"/>
        </w:tabs>
        <w:spacing w:line="240" w:lineRule="auto"/>
        <w:rPr>
          <w:rFonts w:ascii="宋体" w:hAnsi="宋体" w:eastAsia="宋体"/>
          <w:color w:val="auto"/>
          <w:sz w:val="21"/>
          <w:szCs w:val="21"/>
          <w:highlight w:val="none"/>
          <w:lang w:val="en-US"/>
        </w:rPr>
      </w:pPr>
    </w:p>
    <w:p w14:paraId="71F089B0">
      <w:pPr>
        <w:spacing w:line="240" w:lineRule="auto"/>
        <w:jc w:val="left"/>
        <w:outlineLvl w:val="9"/>
        <w:rPr>
          <w:rFonts w:ascii="宋体" w:hAnsi="宋体" w:eastAsia="宋体"/>
          <w:color w:val="auto"/>
          <w:sz w:val="21"/>
          <w:szCs w:val="21"/>
          <w:highlight w:val="none"/>
          <w:lang w:val="en-US"/>
        </w:rPr>
        <w:sectPr>
          <w:pgSz w:w="11906" w:h="16838"/>
          <w:pgMar w:top="1418" w:right="1800" w:bottom="1440" w:left="1800" w:header="851" w:footer="992" w:gutter="0"/>
          <w:pgBorders>
            <w:top w:val="none" w:sz="0" w:space="0"/>
            <w:left w:val="none" w:sz="0" w:space="0"/>
            <w:bottom w:val="none" w:sz="0" w:space="0"/>
            <w:right w:val="none" w:sz="0" w:space="0"/>
          </w:pgBorders>
          <w:pgNumType w:fmt="decimal"/>
          <w:cols w:space="720" w:num="1"/>
          <w:docGrid w:type="lines" w:linePitch="312" w:charSpace="0"/>
        </w:sectPr>
      </w:pPr>
      <w:r>
        <w:rPr>
          <w:rFonts w:hint="eastAsia" w:ascii="宋体" w:hAnsi="宋体" w:eastAsia="宋体"/>
          <w:color w:val="auto"/>
          <w:sz w:val="21"/>
          <w:szCs w:val="21"/>
          <w:highlight w:val="none"/>
          <w:lang w:val="en-US"/>
        </w:rPr>
        <w:t xml:space="preserve">运输公司签章： </w:t>
      </w:r>
      <w:r>
        <w:rPr>
          <w:rFonts w:ascii="宋体" w:hAnsi="宋体" w:eastAsia="宋体"/>
          <w:color w:val="auto"/>
          <w:sz w:val="21"/>
          <w:szCs w:val="21"/>
          <w:highlight w:val="none"/>
          <w:lang w:val="en-US"/>
        </w:rPr>
        <w:t xml:space="preserve">     </w:t>
      </w:r>
    </w:p>
    <w:p w14:paraId="161E55C6">
      <w:pPr>
        <w:jc w:val="left"/>
        <w:outlineLvl w:val="1"/>
        <w:rPr>
          <w:rFonts w:hint="default" w:ascii="黑体" w:eastAsia="黑体"/>
          <w:color w:val="auto"/>
          <w:sz w:val="28"/>
          <w:szCs w:val="28"/>
          <w:highlight w:val="none"/>
          <w:lang w:val="en-US"/>
        </w:rPr>
      </w:pPr>
      <w:bookmarkStart w:id="951" w:name="_Toc28414"/>
      <w:bookmarkStart w:id="952" w:name="_Toc29489"/>
      <w:bookmarkStart w:id="953" w:name="_Toc13230"/>
      <w:bookmarkStart w:id="954" w:name="_Toc3746"/>
      <w:bookmarkStart w:id="955" w:name="_Toc25183"/>
      <w:bookmarkStart w:id="956" w:name="_Toc5268"/>
      <w:bookmarkStart w:id="957" w:name="_Toc29622"/>
      <w:bookmarkStart w:id="958" w:name="_Toc18299"/>
      <w:bookmarkStart w:id="959" w:name="_Toc26460"/>
      <w:bookmarkStart w:id="960" w:name="_Toc1338"/>
      <w:bookmarkStart w:id="961" w:name="_Toc5255"/>
      <w:r>
        <w:rPr>
          <w:rFonts w:hint="eastAsia" w:ascii="宋体" w:hAnsi="宋体"/>
          <w:b/>
          <w:color w:val="auto"/>
          <w:sz w:val="21"/>
          <w:szCs w:val="21"/>
          <w:highlight w:val="none"/>
          <w:lang w:val="en-US" w:eastAsia="zh-CN"/>
        </w:rPr>
        <w:t>合同</w:t>
      </w:r>
      <w:r>
        <w:rPr>
          <w:rFonts w:ascii="Times New Roman" w:hAnsi="Times New Roman" w:cs="Times New Roman"/>
          <w:b/>
          <w:color w:val="auto"/>
          <w:szCs w:val="21"/>
          <w:highlight w:val="none"/>
        </w:rPr>
        <w:t>附件</w:t>
      </w:r>
      <w:r>
        <w:rPr>
          <w:rFonts w:hint="eastAsia" w:cs="Times New Roman"/>
          <w:b/>
          <w:color w:val="auto"/>
          <w:szCs w:val="21"/>
          <w:highlight w:val="none"/>
          <w:lang w:val="en-US" w:eastAsia="zh-CN"/>
        </w:rPr>
        <w:t>7</w:t>
      </w:r>
      <w:r>
        <w:rPr>
          <w:rFonts w:ascii="Times New Roman" w:hAnsi="Times New Roman" w:cs="Times New Roman"/>
          <w:b/>
          <w:color w:val="auto"/>
          <w:szCs w:val="21"/>
          <w:highlight w:val="none"/>
        </w:rPr>
        <w:t>《</w:t>
      </w:r>
      <w:r>
        <w:rPr>
          <w:rFonts w:hint="eastAsia" w:cs="Times New Roman"/>
          <w:b/>
          <w:color w:val="auto"/>
          <w:szCs w:val="21"/>
          <w:highlight w:val="none"/>
          <w:lang w:val="en-US" w:eastAsia="zh-CN"/>
        </w:rPr>
        <w:t>运输单位搬运费分级标准》</w:t>
      </w:r>
      <w:bookmarkEnd w:id="951"/>
      <w:bookmarkEnd w:id="952"/>
      <w:bookmarkEnd w:id="953"/>
      <w:bookmarkEnd w:id="954"/>
      <w:bookmarkEnd w:id="955"/>
      <w:bookmarkEnd w:id="956"/>
      <w:bookmarkEnd w:id="957"/>
      <w:bookmarkEnd w:id="958"/>
      <w:bookmarkEnd w:id="959"/>
      <w:bookmarkEnd w:id="960"/>
      <w:bookmarkEnd w:id="961"/>
    </w:p>
    <w:tbl>
      <w:tblPr>
        <w:tblStyle w:val="2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59"/>
        <w:gridCol w:w="6237"/>
        <w:gridCol w:w="1197"/>
      </w:tblGrid>
      <w:tr w14:paraId="32D82A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9" w:type="dxa"/>
          </w:tcPr>
          <w:p w14:paraId="6AA45537">
            <w:pPr>
              <w:spacing w:line="360" w:lineRule="auto"/>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类别</w:t>
            </w:r>
          </w:p>
        </w:tc>
        <w:tc>
          <w:tcPr>
            <w:tcW w:w="6237" w:type="dxa"/>
          </w:tcPr>
          <w:p w14:paraId="0B0DD4FE">
            <w:pPr>
              <w:spacing w:line="360" w:lineRule="auto"/>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标准</w:t>
            </w:r>
          </w:p>
        </w:tc>
        <w:tc>
          <w:tcPr>
            <w:tcW w:w="1197" w:type="dxa"/>
          </w:tcPr>
          <w:p w14:paraId="40113E6F">
            <w:pPr>
              <w:spacing w:line="360" w:lineRule="auto"/>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打包费</w:t>
            </w:r>
          </w:p>
        </w:tc>
      </w:tr>
      <w:tr w14:paraId="6AAFA9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9" w:type="dxa"/>
          </w:tcPr>
          <w:p w14:paraId="648E3636">
            <w:pPr>
              <w:tabs>
                <w:tab w:val="left" w:pos="358"/>
              </w:tabs>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正常</w:t>
            </w:r>
          </w:p>
          <w:p w14:paraId="4C735C0A">
            <w:pPr>
              <w:tabs>
                <w:tab w:val="left" w:pos="358"/>
              </w:tabs>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服务</w:t>
            </w:r>
          </w:p>
        </w:tc>
        <w:tc>
          <w:tcPr>
            <w:tcW w:w="6237" w:type="dxa"/>
          </w:tcPr>
          <w:p w14:paraId="2CDC9583">
            <w:pPr>
              <w:jc w:val="left"/>
              <w:rPr>
                <w:rFonts w:hint="eastAsia" w:ascii="宋体" w:hAnsi="宋体" w:eastAsia="宋体" w:cs="宋体"/>
                <w:bCs/>
                <w:color w:val="auto"/>
                <w:sz w:val="21"/>
                <w:szCs w:val="21"/>
                <w:highlight w:val="none"/>
              </w:rPr>
            </w:pPr>
            <w:r>
              <w:rPr>
                <w:rFonts w:hint="eastAsia" w:ascii="宋体" w:hAnsi="宋体" w:eastAsia="宋体" w:cs="宋体"/>
                <w:color w:val="auto"/>
                <w:sz w:val="21"/>
                <w:szCs w:val="21"/>
                <w:highlight w:val="none"/>
              </w:rPr>
              <w:t>收运现场废物已码好卡板，</w:t>
            </w:r>
            <w:r>
              <w:rPr>
                <w:rFonts w:hint="eastAsia" w:ascii="宋体" w:hAnsi="宋体" w:eastAsia="宋体" w:cs="宋体"/>
                <w:bCs/>
                <w:color w:val="auto"/>
                <w:sz w:val="21"/>
                <w:szCs w:val="21"/>
                <w:highlight w:val="none"/>
              </w:rPr>
              <w:t>仅需要缠膜固定（甲方提供拉伸膜）和使用手叉车上车，或者机动叉车装货时需要运输人员协助挂耳操作，属于正常服务，不额外支付装卸服务费。</w:t>
            </w:r>
          </w:p>
        </w:tc>
        <w:tc>
          <w:tcPr>
            <w:tcW w:w="1197" w:type="dxa"/>
            <w:vAlign w:val="center"/>
          </w:tcPr>
          <w:p w14:paraId="0A874325">
            <w:pPr>
              <w:spacing w:line="360" w:lineRule="auto"/>
              <w:jc w:val="center"/>
              <w:rPr>
                <w:rFonts w:hint="eastAsia" w:ascii="宋体" w:hAnsi="宋体" w:eastAsia="宋体" w:cs="宋体"/>
                <w:bCs/>
                <w:color w:val="auto"/>
                <w:sz w:val="21"/>
                <w:szCs w:val="21"/>
                <w:highlight w:val="none"/>
              </w:rPr>
            </w:pPr>
            <w:r>
              <w:rPr>
                <w:rFonts w:hint="eastAsia" w:ascii="宋体" w:hAnsi="宋体" w:eastAsia="宋体" w:cs="宋体"/>
                <w:bCs/>
                <w:color w:val="auto"/>
                <w:sz w:val="21"/>
                <w:szCs w:val="21"/>
                <w:highlight w:val="none"/>
              </w:rPr>
              <w:t>0元</w:t>
            </w:r>
          </w:p>
        </w:tc>
      </w:tr>
      <w:tr w14:paraId="38189E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9" w:type="dxa"/>
            <w:vAlign w:val="center"/>
          </w:tcPr>
          <w:p w14:paraId="22D57885">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属于</w:t>
            </w:r>
          </w:p>
          <w:p w14:paraId="0753E04D">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搬运</w:t>
            </w:r>
          </w:p>
          <w:p w14:paraId="62DDE4F2">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打包</w:t>
            </w:r>
          </w:p>
          <w:p w14:paraId="49734B88">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服务</w:t>
            </w:r>
          </w:p>
          <w:p w14:paraId="179EDC99">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的</w:t>
            </w:r>
          </w:p>
          <w:p w14:paraId="50FBFC2B">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类型</w:t>
            </w:r>
          </w:p>
        </w:tc>
        <w:tc>
          <w:tcPr>
            <w:tcW w:w="6237" w:type="dxa"/>
          </w:tcPr>
          <w:p w14:paraId="33A3C315">
            <w:pPr>
              <w:numPr>
                <w:ilvl w:val="0"/>
                <w:numId w:val="12"/>
              </w:numPr>
              <w:jc w:val="left"/>
              <w:rPr>
                <w:rFonts w:hint="eastAsia" w:ascii="宋体" w:hAnsi="宋体" w:eastAsia="宋体" w:cs="宋体"/>
                <w:color w:val="auto"/>
                <w:sz w:val="21"/>
                <w:szCs w:val="21"/>
                <w:highlight w:val="none"/>
              </w:rPr>
            </w:pPr>
            <w:r>
              <w:rPr>
                <w:rFonts w:hint="eastAsia" w:ascii="宋体" w:hAnsi="宋体" w:eastAsia="宋体" w:cs="宋体"/>
                <w:bCs/>
                <w:color w:val="auto"/>
                <w:sz w:val="21"/>
                <w:szCs w:val="21"/>
                <w:highlight w:val="none"/>
              </w:rPr>
              <w:t>客户</w:t>
            </w:r>
            <w:r>
              <w:rPr>
                <w:rFonts w:hint="eastAsia" w:ascii="宋体" w:hAnsi="宋体" w:eastAsia="宋体" w:cs="宋体"/>
                <w:color w:val="auto"/>
                <w:sz w:val="21"/>
                <w:szCs w:val="21"/>
                <w:highlight w:val="none"/>
              </w:rPr>
              <w:t>废物码放不规范，需运输人员重新拆包并重新码板打包的。</w:t>
            </w:r>
          </w:p>
          <w:p w14:paraId="22152834">
            <w:pPr>
              <w:numPr>
                <w:ilvl w:val="0"/>
                <w:numId w:val="12"/>
              </w:num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桶装液体类废物，客户未提前码板，需运输人员搬上卡板的。</w:t>
            </w:r>
          </w:p>
          <w:p w14:paraId="285EC9BA">
            <w:pPr>
              <w:numPr>
                <w:ilvl w:val="0"/>
                <w:numId w:val="12"/>
              </w:num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小袋装的固体废物，客户未提前码板，需运输人员搬上卡板的。</w:t>
            </w:r>
          </w:p>
          <w:p w14:paraId="15726805">
            <w:pPr>
              <w:numPr>
                <w:ilvl w:val="0"/>
                <w:numId w:val="12"/>
              </w:num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散装的粉末状或污泥状固体废物，客户未提前装桶或装吨袋的，需要运输人员装桶或者装袋的。</w:t>
            </w:r>
          </w:p>
          <w:p w14:paraId="624B3A00">
            <w:pPr>
              <w:numPr>
                <w:ilvl w:val="0"/>
                <w:numId w:val="12"/>
              </w:num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装货现场条件限制，无法使用手动叉车装货（例如台阶，无电梯的楼层），需要人工搬动转移货物的。</w:t>
            </w:r>
          </w:p>
          <w:p w14:paraId="61A9D25A">
            <w:p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6、现场抽取废液的操作环境十分不便，需要人工反复上下或者管线超长</w:t>
            </w:r>
          </w:p>
        </w:tc>
        <w:tc>
          <w:tcPr>
            <w:tcW w:w="1197" w:type="dxa"/>
            <w:vAlign w:val="center"/>
          </w:tcPr>
          <w:p w14:paraId="68BDEF2D">
            <w:pPr>
              <w:spacing w:line="360" w:lineRule="auto"/>
              <w:jc w:val="center"/>
              <w:rPr>
                <w:rFonts w:hint="eastAsia" w:ascii="宋体" w:hAnsi="宋体" w:eastAsia="宋体" w:cs="宋体"/>
                <w:bCs/>
                <w:color w:val="auto"/>
                <w:sz w:val="21"/>
                <w:szCs w:val="21"/>
                <w:highlight w:val="none"/>
              </w:rPr>
            </w:pPr>
            <w:r>
              <w:rPr>
                <w:rFonts w:hint="eastAsia" w:ascii="宋体" w:hAnsi="宋体" w:eastAsia="宋体" w:cs="宋体"/>
                <w:bCs/>
                <w:color w:val="auto"/>
                <w:sz w:val="21"/>
                <w:szCs w:val="21"/>
                <w:highlight w:val="none"/>
              </w:rPr>
              <w:t>按本表的</w:t>
            </w:r>
          </w:p>
          <w:p w14:paraId="1432783D">
            <w:pPr>
              <w:spacing w:line="360" w:lineRule="auto"/>
              <w:jc w:val="center"/>
              <w:rPr>
                <w:rFonts w:hint="eastAsia" w:ascii="宋体" w:hAnsi="宋体" w:eastAsia="宋体" w:cs="宋体"/>
                <w:bCs/>
                <w:color w:val="auto"/>
                <w:sz w:val="21"/>
                <w:szCs w:val="21"/>
                <w:highlight w:val="none"/>
              </w:rPr>
            </w:pPr>
            <w:r>
              <w:rPr>
                <w:rFonts w:hint="eastAsia" w:ascii="宋体" w:hAnsi="宋体" w:eastAsia="宋体" w:cs="宋体"/>
                <w:bCs/>
                <w:color w:val="auto"/>
                <w:sz w:val="21"/>
                <w:szCs w:val="21"/>
                <w:highlight w:val="none"/>
              </w:rPr>
              <w:t>标准付费</w:t>
            </w:r>
          </w:p>
        </w:tc>
      </w:tr>
      <w:tr w14:paraId="7AFBD7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54" w:hRule="atLeast"/>
        </w:trPr>
        <w:tc>
          <w:tcPr>
            <w:tcW w:w="959" w:type="dxa"/>
            <w:vAlign w:val="center"/>
          </w:tcPr>
          <w:p w14:paraId="7A56F27C">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5-6米</w:t>
            </w:r>
          </w:p>
          <w:p w14:paraId="6584C11D">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厢车</w:t>
            </w:r>
          </w:p>
        </w:tc>
        <w:tc>
          <w:tcPr>
            <w:tcW w:w="6237" w:type="dxa"/>
            <w:vAlign w:val="center"/>
          </w:tcPr>
          <w:p w14:paraId="456E18EC">
            <w:p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符合上述类型</w:t>
            </w:r>
          </w:p>
        </w:tc>
        <w:tc>
          <w:tcPr>
            <w:tcW w:w="1197" w:type="dxa"/>
            <w:vAlign w:val="center"/>
          </w:tcPr>
          <w:p w14:paraId="692B8019">
            <w:pPr>
              <w:spacing w:line="360" w:lineRule="auto"/>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100元/车</w:t>
            </w:r>
          </w:p>
        </w:tc>
      </w:tr>
      <w:tr w14:paraId="10CE37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959" w:type="dxa"/>
            <w:vAlign w:val="center"/>
          </w:tcPr>
          <w:p w14:paraId="3F9E8E12">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7-8米</w:t>
            </w:r>
          </w:p>
          <w:p w14:paraId="51A3C613">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厢车</w:t>
            </w:r>
          </w:p>
        </w:tc>
        <w:tc>
          <w:tcPr>
            <w:tcW w:w="6237" w:type="dxa"/>
            <w:vAlign w:val="center"/>
          </w:tcPr>
          <w:p w14:paraId="440E3F0F">
            <w:p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符合上述类型</w:t>
            </w:r>
          </w:p>
        </w:tc>
        <w:tc>
          <w:tcPr>
            <w:tcW w:w="1197" w:type="dxa"/>
            <w:vAlign w:val="center"/>
          </w:tcPr>
          <w:p w14:paraId="10663FA2">
            <w:pPr>
              <w:spacing w:line="360" w:lineRule="auto"/>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150元/车</w:t>
            </w:r>
          </w:p>
        </w:tc>
      </w:tr>
      <w:tr w14:paraId="43419F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91" w:hRule="atLeast"/>
        </w:trPr>
        <w:tc>
          <w:tcPr>
            <w:tcW w:w="959" w:type="dxa"/>
            <w:vAlign w:val="center"/>
          </w:tcPr>
          <w:p w14:paraId="3FCC11A0">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9-10米</w:t>
            </w:r>
          </w:p>
          <w:p w14:paraId="3C8A7D2E">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厢车</w:t>
            </w:r>
          </w:p>
        </w:tc>
        <w:tc>
          <w:tcPr>
            <w:tcW w:w="6237" w:type="dxa"/>
            <w:vAlign w:val="center"/>
          </w:tcPr>
          <w:p w14:paraId="7E13A61A">
            <w:p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符合上述类型</w:t>
            </w:r>
          </w:p>
        </w:tc>
        <w:tc>
          <w:tcPr>
            <w:tcW w:w="1197" w:type="dxa"/>
            <w:vAlign w:val="center"/>
          </w:tcPr>
          <w:p w14:paraId="4BBC217C">
            <w:pPr>
              <w:spacing w:line="360" w:lineRule="auto"/>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250元/车</w:t>
            </w:r>
          </w:p>
        </w:tc>
      </w:tr>
      <w:tr w14:paraId="7A1D2B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9" w:type="dxa"/>
            <w:vAlign w:val="center"/>
          </w:tcPr>
          <w:p w14:paraId="32E8384A">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槽车</w:t>
            </w:r>
          </w:p>
        </w:tc>
        <w:tc>
          <w:tcPr>
            <w:tcW w:w="6237" w:type="dxa"/>
            <w:vAlign w:val="center"/>
          </w:tcPr>
          <w:p w14:paraId="4615CF28">
            <w:p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符合上述第6点</w:t>
            </w:r>
          </w:p>
        </w:tc>
        <w:tc>
          <w:tcPr>
            <w:tcW w:w="1197" w:type="dxa"/>
            <w:vAlign w:val="center"/>
          </w:tcPr>
          <w:p w14:paraId="34D694FC">
            <w:pPr>
              <w:spacing w:line="360" w:lineRule="auto"/>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100元/车</w:t>
            </w:r>
          </w:p>
        </w:tc>
      </w:tr>
      <w:tr w14:paraId="709020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9" w:type="dxa"/>
            <w:vAlign w:val="center"/>
          </w:tcPr>
          <w:p w14:paraId="3E288AC1">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特殊</w:t>
            </w:r>
          </w:p>
        </w:tc>
        <w:tc>
          <w:tcPr>
            <w:tcW w:w="6237" w:type="dxa"/>
            <w:vAlign w:val="center"/>
          </w:tcPr>
          <w:p w14:paraId="57302A8C">
            <w:p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现场打包工作量巨大，不适用按车次支付搬运费，提供凭证，可按吨支付搬运费。</w:t>
            </w:r>
          </w:p>
        </w:tc>
        <w:tc>
          <w:tcPr>
            <w:tcW w:w="1197" w:type="dxa"/>
            <w:vAlign w:val="center"/>
          </w:tcPr>
          <w:p w14:paraId="12B4212D">
            <w:pPr>
              <w:spacing w:line="360" w:lineRule="auto"/>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50元/吨</w:t>
            </w:r>
          </w:p>
        </w:tc>
      </w:tr>
      <w:tr w14:paraId="040339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9" w:type="dxa"/>
            <w:vAlign w:val="center"/>
          </w:tcPr>
          <w:p w14:paraId="77720203">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备注</w:t>
            </w:r>
          </w:p>
        </w:tc>
        <w:tc>
          <w:tcPr>
            <w:tcW w:w="7434" w:type="dxa"/>
            <w:gridSpan w:val="2"/>
            <w:vAlign w:val="center"/>
          </w:tcPr>
          <w:p w14:paraId="1BBAFF9D">
            <w:pPr>
              <w:spacing w:line="240" w:lineRule="auto"/>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费用的申请：</w:t>
            </w:r>
          </w:p>
          <w:p w14:paraId="1B2F5B6F">
            <w:pPr>
              <w:numPr>
                <w:ilvl w:val="0"/>
                <w:numId w:val="13"/>
              </w:numPr>
              <w:spacing w:line="240" w:lineRule="auto"/>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每月制作搬运打包费申请表，表内必须包含收运日期、客户名称、搬运废物的重量，同时提供对应客户现场能体现打包服务的水印照片和短视频，视频及照片文件名须按“日期+客户+重量”格式命名，并电子版打包发至</w:t>
            </w:r>
            <w:r>
              <w:rPr>
                <w:rFonts w:hint="eastAsia" w:ascii="宋体" w:hAnsi="宋体" w:eastAsia="宋体" w:cs="宋体"/>
                <w:bCs/>
                <w:color w:val="auto"/>
                <w:sz w:val="21"/>
                <w:szCs w:val="21"/>
                <w:highlight w:val="none"/>
              </w:rPr>
              <w:t>甲方</w:t>
            </w:r>
            <w:r>
              <w:rPr>
                <w:rFonts w:hint="eastAsia" w:ascii="宋体" w:hAnsi="宋体" w:eastAsia="宋体" w:cs="宋体"/>
                <w:color w:val="auto"/>
                <w:sz w:val="21"/>
                <w:szCs w:val="21"/>
                <w:highlight w:val="none"/>
              </w:rPr>
              <w:t>留存。</w:t>
            </w:r>
          </w:p>
          <w:p w14:paraId="50F5C062">
            <w:pPr>
              <w:numPr>
                <w:ilvl w:val="0"/>
                <w:numId w:val="13"/>
              </w:numPr>
              <w:spacing w:line="240" w:lineRule="auto"/>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提供对账单纸质时，须将对应的水印照片打印出来作为结算凭证，对账纸质资料每页盖章。</w:t>
            </w:r>
          </w:p>
          <w:p w14:paraId="55B14591">
            <w:pPr>
              <w:spacing w:line="240" w:lineRule="auto"/>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3、无法提供上述资料的不予支付打包费用（客户现场不允许携带手机的，可与客户沟通协助拍摄，协商不成的需要提前告知</w:t>
            </w:r>
            <w:r>
              <w:rPr>
                <w:rFonts w:hint="eastAsia" w:ascii="宋体" w:hAnsi="宋体" w:eastAsia="宋体" w:cs="宋体"/>
                <w:bCs/>
                <w:color w:val="auto"/>
                <w:sz w:val="21"/>
                <w:szCs w:val="21"/>
                <w:highlight w:val="none"/>
              </w:rPr>
              <w:t>甲方</w:t>
            </w:r>
            <w:r>
              <w:rPr>
                <w:rFonts w:hint="eastAsia" w:ascii="宋体" w:hAnsi="宋体" w:eastAsia="宋体" w:cs="宋体"/>
                <w:color w:val="auto"/>
                <w:sz w:val="21"/>
                <w:szCs w:val="21"/>
                <w:highlight w:val="none"/>
              </w:rPr>
              <w:t>，以便</w:t>
            </w:r>
            <w:r>
              <w:rPr>
                <w:rFonts w:hint="eastAsia" w:ascii="宋体" w:hAnsi="宋体" w:eastAsia="宋体" w:cs="宋体"/>
                <w:bCs/>
                <w:color w:val="auto"/>
                <w:sz w:val="21"/>
                <w:szCs w:val="21"/>
                <w:highlight w:val="none"/>
              </w:rPr>
              <w:t>甲方</w:t>
            </w:r>
            <w:r>
              <w:rPr>
                <w:rFonts w:hint="eastAsia" w:ascii="宋体" w:hAnsi="宋体" w:eastAsia="宋体" w:cs="宋体"/>
                <w:color w:val="auto"/>
                <w:sz w:val="21"/>
                <w:szCs w:val="21"/>
                <w:highlight w:val="none"/>
              </w:rPr>
              <w:t>与客户确认打包服务属实）。</w:t>
            </w:r>
          </w:p>
        </w:tc>
      </w:tr>
    </w:tbl>
    <w:p w14:paraId="56F0684C">
      <w:pPr>
        <w:outlineLvl w:val="1"/>
        <w:rPr>
          <w:rFonts w:ascii="宋体" w:hAnsi="宋体"/>
          <w:b/>
          <w:color w:val="auto"/>
          <w:sz w:val="24"/>
          <w:highlight w:val="none"/>
        </w:rPr>
      </w:pPr>
      <w:bookmarkStart w:id="962" w:name="_Toc8404"/>
      <w:bookmarkStart w:id="963" w:name="_Toc22240"/>
      <w:bookmarkStart w:id="964" w:name="_Toc23239"/>
      <w:bookmarkStart w:id="965" w:name="_Toc2880"/>
      <w:bookmarkStart w:id="966" w:name="_Toc12783"/>
      <w:bookmarkStart w:id="967" w:name="_Toc13191"/>
      <w:bookmarkStart w:id="968" w:name="_Toc3829"/>
      <w:bookmarkStart w:id="969" w:name="_Toc10383"/>
      <w:bookmarkStart w:id="970" w:name="_Toc24341"/>
      <w:bookmarkStart w:id="971" w:name="_Toc25687"/>
      <w:bookmarkStart w:id="972" w:name="_Toc9882"/>
      <w:r>
        <w:rPr>
          <w:rFonts w:hint="eastAsia" w:ascii="宋体" w:hAnsi="宋体"/>
          <w:b/>
          <w:color w:val="auto"/>
          <w:sz w:val="21"/>
          <w:szCs w:val="21"/>
          <w:highlight w:val="none"/>
          <w:lang w:val="en-US" w:eastAsia="zh-CN"/>
        </w:rPr>
        <w:t>合同</w:t>
      </w:r>
      <w:r>
        <w:rPr>
          <w:rFonts w:hint="eastAsia" w:ascii="宋体" w:hAnsi="宋体"/>
          <w:b/>
          <w:color w:val="auto"/>
          <w:sz w:val="21"/>
          <w:szCs w:val="21"/>
          <w:highlight w:val="none"/>
        </w:rPr>
        <w:t>附件8：《承运单》</w:t>
      </w:r>
      <w:bookmarkEnd w:id="962"/>
      <w:bookmarkEnd w:id="963"/>
      <w:bookmarkEnd w:id="964"/>
      <w:bookmarkEnd w:id="965"/>
      <w:bookmarkEnd w:id="966"/>
      <w:bookmarkEnd w:id="967"/>
      <w:bookmarkEnd w:id="968"/>
      <w:bookmarkEnd w:id="969"/>
      <w:bookmarkEnd w:id="970"/>
      <w:bookmarkEnd w:id="971"/>
      <w:bookmarkEnd w:id="972"/>
    </w:p>
    <w:tbl>
      <w:tblPr>
        <w:tblStyle w:val="28"/>
        <w:tblW w:w="5000" w:type="pct"/>
        <w:jc w:val="center"/>
        <w:tblLayout w:type="fixed"/>
        <w:tblCellMar>
          <w:top w:w="0" w:type="dxa"/>
          <w:left w:w="108" w:type="dxa"/>
          <w:bottom w:w="0" w:type="dxa"/>
          <w:right w:w="108" w:type="dxa"/>
        </w:tblCellMar>
      </w:tblPr>
      <w:tblGrid>
        <w:gridCol w:w="966"/>
        <w:gridCol w:w="973"/>
        <w:gridCol w:w="1024"/>
        <w:gridCol w:w="661"/>
        <w:gridCol w:w="1011"/>
        <w:gridCol w:w="1071"/>
        <w:gridCol w:w="1183"/>
        <w:gridCol w:w="816"/>
        <w:gridCol w:w="817"/>
      </w:tblGrid>
      <w:tr w14:paraId="30919FBD">
        <w:tblPrEx>
          <w:tblCellMar>
            <w:top w:w="0" w:type="dxa"/>
            <w:left w:w="108" w:type="dxa"/>
            <w:bottom w:w="0" w:type="dxa"/>
            <w:right w:w="108" w:type="dxa"/>
          </w:tblCellMar>
        </w:tblPrEx>
        <w:trPr>
          <w:trHeight w:val="500" w:hRule="atLeast"/>
          <w:jc w:val="center"/>
        </w:trPr>
        <w:tc>
          <w:tcPr>
            <w:tcW w:w="5000" w:type="pct"/>
            <w:gridSpan w:val="9"/>
            <w:tcBorders>
              <w:top w:val="nil"/>
              <w:left w:val="nil"/>
              <w:bottom w:val="nil"/>
              <w:right w:val="nil"/>
            </w:tcBorders>
            <w:noWrap/>
            <w:vAlign w:val="center"/>
          </w:tcPr>
          <w:p w14:paraId="36456AF5">
            <w:pPr>
              <w:jc w:val="both"/>
              <w:textAlignment w:val="center"/>
              <w:rPr>
                <w:rFonts w:hAnsi="宋体" w:cs="宋体"/>
                <w:b/>
                <w:bCs/>
                <w:color w:val="auto"/>
                <w:szCs w:val="21"/>
                <w:highlight w:val="none"/>
              </w:rPr>
            </w:pPr>
            <w:r>
              <w:rPr>
                <w:rFonts w:hint="eastAsia" w:hAnsi="宋体" w:cs="宋体"/>
                <w:b/>
                <w:bCs/>
                <w:color w:val="auto"/>
                <w:szCs w:val="21"/>
                <w:highlight w:val="none"/>
              </w:rPr>
              <w:t xml:space="preserve">承  运  单                                                         </w:t>
            </w:r>
            <w:r>
              <w:rPr>
                <w:rStyle w:val="83"/>
                <w:rFonts w:hint="default"/>
                <w:color w:val="auto"/>
                <w:sz w:val="21"/>
                <w:szCs w:val="21"/>
                <w:highlight w:val="none"/>
              </w:rPr>
              <w:t xml:space="preserve"> 编号：  XXXXXXXXX   </w:t>
            </w:r>
          </w:p>
        </w:tc>
      </w:tr>
      <w:tr w14:paraId="5F59966D">
        <w:tblPrEx>
          <w:tblCellMar>
            <w:top w:w="0" w:type="dxa"/>
            <w:left w:w="108" w:type="dxa"/>
            <w:bottom w:w="0" w:type="dxa"/>
            <w:right w:w="108" w:type="dxa"/>
          </w:tblCellMar>
        </w:tblPrEx>
        <w:trPr>
          <w:trHeight w:val="487"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65737063">
            <w:pPr>
              <w:jc w:val="center"/>
              <w:textAlignment w:val="center"/>
              <w:rPr>
                <w:rFonts w:hAnsi="宋体" w:cs="宋体"/>
                <w:color w:val="auto"/>
                <w:szCs w:val="21"/>
                <w:highlight w:val="none"/>
              </w:rPr>
            </w:pPr>
            <w:r>
              <w:rPr>
                <w:rFonts w:hint="eastAsia" w:hAnsi="宋体" w:cs="宋体"/>
                <w:color w:val="auto"/>
                <w:szCs w:val="21"/>
                <w:highlight w:val="none"/>
              </w:rPr>
              <w:t>产废单位：</w:t>
            </w:r>
          </w:p>
        </w:tc>
        <w:tc>
          <w:tcPr>
            <w:tcW w:w="1559" w:type="pct"/>
            <w:gridSpan w:val="3"/>
            <w:tcBorders>
              <w:top w:val="single" w:color="000000" w:sz="4" w:space="0"/>
              <w:left w:val="single" w:color="000000" w:sz="4" w:space="0"/>
              <w:bottom w:val="single" w:color="000000" w:sz="4" w:space="0"/>
              <w:right w:val="single" w:color="000000" w:sz="4" w:space="0"/>
            </w:tcBorders>
            <w:noWrap/>
            <w:vAlign w:val="center"/>
          </w:tcPr>
          <w:p w14:paraId="2112A427">
            <w:pPr>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29A64D51">
            <w:pPr>
              <w:jc w:val="both"/>
              <w:textAlignment w:val="center"/>
              <w:rPr>
                <w:rFonts w:hAnsi="宋体" w:cs="宋体"/>
                <w:color w:val="auto"/>
                <w:szCs w:val="21"/>
                <w:highlight w:val="none"/>
              </w:rPr>
            </w:pPr>
            <w:r>
              <w:rPr>
                <w:rFonts w:hint="eastAsia" w:hAnsi="宋体" w:cs="宋体"/>
                <w:color w:val="auto"/>
                <w:szCs w:val="21"/>
                <w:highlight w:val="none"/>
              </w:rPr>
              <w:t>收运日期：</w:t>
            </w:r>
          </w:p>
        </w:tc>
        <w:tc>
          <w:tcPr>
            <w:tcW w:w="2280" w:type="pct"/>
            <w:gridSpan w:val="4"/>
            <w:tcBorders>
              <w:top w:val="single" w:color="000000" w:sz="4" w:space="0"/>
              <w:left w:val="single" w:color="000000" w:sz="4" w:space="0"/>
              <w:bottom w:val="single" w:color="000000" w:sz="4" w:space="0"/>
              <w:right w:val="single" w:color="000000" w:sz="4" w:space="0"/>
            </w:tcBorders>
            <w:noWrap/>
            <w:vAlign w:val="center"/>
          </w:tcPr>
          <w:p w14:paraId="4B1C6986">
            <w:pPr>
              <w:textAlignment w:val="center"/>
              <w:rPr>
                <w:rFonts w:hAnsi="宋体" w:cs="宋体"/>
                <w:color w:val="auto"/>
                <w:szCs w:val="21"/>
                <w:highlight w:val="none"/>
              </w:rPr>
            </w:pPr>
            <w:r>
              <w:rPr>
                <w:rFonts w:hint="eastAsia" w:hAnsi="宋体" w:cs="宋体"/>
                <w:color w:val="auto"/>
                <w:szCs w:val="21"/>
                <w:highlight w:val="none"/>
              </w:rPr>
              <w:t>XX年XX月XX日</w:t>
            </w:r>
          </w:p>
        </w:tc>
      </w:tr>
      <w:tr w14:paraId="661B9D87">
        <w:tblPrEx>
          <w:tblCellMar>
            <w:top w:w="0" w:type="dxa"/>
            <w:left w:w="108" w:type="dxa"/>
            <w:bottom w:w="0" w:type="dxa"/>
            <w:right w:w="108" w:type="dxa"/>
          </w:tblCellMar>
        </w:tblPrEx>
        <w:trPr>
          <w:trHeight w:val="500"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3F6AC649">
            <w:pPr>
              <w:jc w:val="center"/>
              <w:textAlignment w:val="center"/>
              <w:rPr>
                <w:rFonts w:hAnsi="宋体" w:cs="宋体"/>
                <w:color w:val="auto"/>
                <w:szCs w:val="21"/>
                <w:highlight w:val="none"/>
              </w:rPr>
            </w:pPr>
            <w:r>
              <w:rPr>
                <w:rFonts w:hint="eastAsia" w:hAnsi="宋体" w:cs="宋体"/>
                <w:color w:val="auto"/>
                <w:szCs w:val="21"/>
                <w:highlight w:val="none"/>
              </w:rPr>
              <w:t>运输单位：</w:t>
            </w:r>
          </w:p>
        </w:tc>
        <w:tc>
          <w:tcPr>
            <w:tcW w:w="1559" w:type="pct"/>
            <w:gridSpan w:val="3"/>
            <w:tcBorders>
              <w:top w:val="single" w:color="000000" w:sz="4" w:space="0"/>
              <w:left w:val="single" w:color="000000" w:sz="4" w:space="0"/>
              <w:bottom w:val="single" w:color="000000" w:sz="4" w:space="0"/>
              <w:right w:val="single" w:color="000000" w:sz="4" w:space="0"/>
            </w:tcBorders>
            <w:noWrap/>
            <w:vAlign w:val="center"/>
          </w:tcPr>
          <w:p w14:paraId="6BF9F2F4">
            <w:pPr>
              <w:rPr>
                <w:rFonts w:hAnsi="宋体" w:cs="宋体"/>
                <w:color w:val="auto"/>
                <w:szCs w:val="21"/>
                <w:highlight w:val="none"/>
              </w:rPr>
            </w:pPr>
          </w:p>
        </w:tc>
        <w:tc>
          <w:tcPr>
            <w:tcW w:w="593" w:type="pct"/>
            <w:vMerge w:val="restart"/>
            <w:tcBorders>
              <w:top w:val="single" w:color="000000" w:sz="4" w:space="0"/>
              <w:left w:val="single" w:color="000000" w:sz="4" w:space="0"/>
              <w:bottom w:val="single" w:color="000000" w:sz="4" w:space="0"/>
              <w:right w:val="single" w:color="000000" w:sz="4" w:space="0"/>
            </w:tcBorders>
            <w:vAlign w:val="center"/>
          </w:tcPr>
          <w:p w14:paraId="763CB57A">
            <w:pPr>
              <w:jc w:val="center"/>
              <w:textAlignment w:val="center"/>
              <w:rPr>
                <w:rFonts w:hAnsi="宋体" w:cs="宋体"/>
                <w:color w:val="auto"/>
                <w:szCs w:val="21"/>
                <w:highlight w:val="none"/>
              </w:rPr>
            </w:pPr>
            <w:r>
              <w:rPr>
                <w:rFonts w:hint="eastAsia" w:hAnsi="宋体" w:cs="宋体"/>
                <w:color w:val="auto"/>
                <w:szCs w:val="21"/>
                <w:highlight w:val="none"/>
              </w:rPr>
              <w:t>收运地址</w:t>
            </w:r>
          </w:p>
          <w:p w14:paraId="7C8259B0">
            <w:pPr>
              <w:jc w:val="center"/>
              <w:textAlignment w:val="center"/>
              <w:rPr>
                <w:rFonts w:hAnsi="宋体" w:cs="宋体"/>
                <w:color w:val="auto"/>
                <w:szCs w:val="21"/>
                <w:highlight w:val="none"/>
              </w:rPr>
            </w:pPr>
            <w:r>
              <w:rPr>
                <w:rFonts w:hint="eastAsia" w:hAnsi="宋体" w:cs="宋体"/>
                <w:color w:val="auto"/>
                <w:szCs w:val="21"/>
                <w:highlight w:val="none"/>
              </w:rPr>
              <w:t>所属区域</w:t>
            </w:r>
          </w:p>
        </w:tc>
        <w:tc>
          <w:tcPr>
            <w:tcW w:w="2280" w:type="pct"/>
            <w:gridSpan w:val="4"/>
            <w:vMerge w:val="restart"/>
            <w:tcBorders>
              <w:top w:val="single" w:color="000000" w:sz="4" w:space="0"/>
              <w:left w:val="single" w:color="000000" w:sz="4" w:space="0"/>
              <w:bottom w:val="single" w:color="000000" w:sz="4" w:space="0"/>
              <w:right w:val="single" w:color="000000" w:sz="4" w:space="0"/>
            </w:tcBorders>
            <w:vAlign w:val="center"/>
          </w:tcPr>
          <w:p w14:paraId="242B7845">
            <w:pPr>
              <w:jc w:val="both"/>
              <w:textAlignment w:val="center"/>
              <w:rPr>
                <w:rFonts w:hAnsi="宋体" w:cs="宋体"/>
                <w:color w:val="auto"/>
                <w:szCs w:val="21"/>
                <w:highlight w:val="none"/>
              </w:rPr>
            </w:pPr>
            <w:r>
              <w:rPr>
                <w:rFonts w:hint="eastAsia" w:hAnsi="宋体" w:cs="宋体"/>
                <w:color w:val="auto"/>
                <w:szCs w:val="21"/>
                <w:highlight w:val="none"/>
              </w:rPr>
              <w:t>□东莞 □广州 □深圳 □惠州 □中山</w:t>
            </w:r>
          </w:p>
          <w:p w14:paraId="3BB49AF4">
            <w:pPr>
              <w:jc w:val="both"/>
              <w:textAlignment w:val="center"/>
              <w:rPr>
                <w:rFonts w:hAnsi="宋体" w:cs="宋体"/>
                <w:color w:val="auto"/>
                <w:szCs w:val="21"/>
                <w:highlight w:val="none"/>
              </w:rPr>
            </w:pPr>
            <w:r>
              <w:rPr>
                <w:rFonts w:hint="eastAsia" w:hAnsi="宋体" w:cs="宋体"/>
                <w:color w:val="auto"/>
                <w:szCs w:val="21"/>
                <w:highlight w:val="none"/>
              </w:rPr>
              <w:t>□佛山 □珠海 □江门 □肇庆 □云浮</w:t>
            </w:r>
          </w:p>
          <w:p w14:paraId="1096C8A7">
            <w:pPr>
              <w:jc w:val="both"/>
              <w:textAlignment w:val="center"/>
              <w:rPr>
                <w:rFonts w:hAnsi="宋体" w:cs="宋体"/>
                <w:color w:val="auto"/>
                <w:szCs w:val="21"/>
                <w:highlight w:val="none"/>
              </w:rPr>
            </w:pPr>
            <w:r>
              <w:rPr>
                <w:rFonts w:hint="eastAsia" w:hAnsi="宋体" w:cs="宋体"/>
                <w:color w:val="auto"/>
                <w:szCs w:val="21"/>
                <w:highlight w:val="none"/>
              </w:rPr>
              <w:t>□清远 □茂名 □湛江 □阳江 □汕尾</w:t>
            </w:r>
          </w:p>
          <w:p w14:paraId="7EF7A6F0">
            <w:pPr>
              <w:jc w:val="both"/>
              <w:textAlignment w:val="center"/>
              <w:rPr>
                <w:rFonts w:hAnsi="宋体" w:cs="宋体"/>
                <w:color w:val="auto"/>
                <w:szCs w:val="21"/>
                <w:highlight w:val="none"/>
              </w:rPr>
            </w:pPr>
            <w:r>
              <w:rPr>
                <w:rFonts w:hint="eastAsia" w:hAnsi="宋体" w:cs="宋体"/>
                <w:color w:val="auto"/>
                <w:szCs w:val="21"/>
                <w:highlight w:val="none"/>
              </w:rPr>
              <w:t>□韶关 □揭阳 □河源 □梅州 □潮州</w:t>
            </w:r>
          </w:p>
          <w:p w14:paraId="527FC3E2">
            <w:pPr>
              <w:jc w:val="both"/>
              <w:textAlignment w:val="center"/>
              <w:rPr>
                <w:rFonts w:hAnsi="宋体" w:cs="宋体"/>
                <w:color w:val="auto"/>
                <w:szCs w:val="21"/>
                <w:highlight w:val="none"/>
              </w:rPr>
            </w:pPr>
            <w:r>
              <w:rPr>
                <w:rFonts w:hint="eastAsia" w:hAnsi="宋体" w:cs="宋体"/>
                <w:color w:val="auto"/>
                <w:szCs w:val="21"/>
                <w:highlight w:val="none"/>
              </w:rPr>
              <w:t>□汕头</w:t>
            </w:r>
          </w:p>
        </w:tc>
      </w:tr>
      <w:tr w14:paraId="33C40EBB">
        <w:tblPrEx>
          <w:tblCellMar>
            <w:top w:w="0" w:type="dxa"/>
            <w:left w:w="108" w:type="dxa"/>
            <w:bottom w:w="0" w:type="dxa"/>
            <w:right w:w="108" w:type="dxa"/>
          </w:tblCellMar>
        </w:tblPrEx>
        <w:trPr>
          <w:trHeight w:val="500"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645A258F">
            <w:pPr>
              <w:jc w:val="center"/>
              <w:textAlignment w:val="center"/>
              <w:rPr>
                <w:rFonts w:hAnsi="宋体" w:cs="宋体"/>
                <w:color w:val="auto"/>
                <w:szCs w:val="21"/>
                <w:highlight w:val="none"/>
              </w:rPr>
            </w:pPr>
            <w:r>
              <w:rPr>
                <w:rFonts w:hint="eastAsia" w:hAnsi="宋体" w:cs="宋体"/>
                <w:color w:val="auto"/>
                <w:szCs w:val="21"/>
                <w:highlight w:val="none"/>
              </w:rPr>
              <w:t>处置单位：</w:t>
            </w:r>
          </w:p>
        </w:tc>
        <w:tc>
          <w:tcPr>
            <w:tcW w:w="1559" w:type="pct"/>
            <w:gridSpan w:val="3"/>
            <w:tcBorders>
              <w:top w:val="single" w:color="000000" w:sz="4" w:space="0"/>
              <w:left w:val="single" w:color="000000" w:sz="4" w:space="0"/>
              <w:bottom w:val="single" w:color="000000" w:sz="4" w:space="0"/>
              <w:right w:val="single" w:color="000000" w:sz="4" w:space="0"/>
            </w:tcBorders>
            <w:noWrap/>
            <w:vAlign w:val="center"/>
          </w:tcPr>
          <w:p w14:paraId="2FEA7850">
            <w:pPr>
              <w:textAlignment w:val="center"/>
              <w:rPr>
                <w:rFonts w:hAnsi="宋体" w:cs="宋体"/>
                <w:color w:val="auto"/>
                <w:szCs w:val="21"/>
                <w:highlight w:val="none"/>
              </w:rPr>
            </w:pPr>
            <w:r>
              <w:rPr>
                <w:rFonts w:hint="eastAsia" w:hAnsi="宋体" w:cs="宋体"/>
                <w:color w:val="auto"/>
                <w:szCs w:val="21"/>
                <w:highlight w:val="none"/>
              </w:rPr>
              <w:t>东莞市新东欣环保投资有限公司</w:t>
            </w:r>
          </w:p>
        </w:tc>
        <w:tc>
          <w:tcPr>
            <w:tcW w:w="593" w:type="pct"/>
            <w:vMerge w:val="continue"/>
            <w:tcBorders>
              <w:top w:val="single" w:color="000000" w:sz="4" w:space="0"/>
              <w:left w:val="single" w:color="000000" w:sz="4" w:space="0"/>
              <w:bottom w:val="single" w:color="000000" w:sz="4" w:space="0"/>
              <w:right w:val="single" w:color="000000" w:sz="4" w:space="0"/>
            </w:tcBorders>
            <w:vAlign w:val="center"/>
          </w:tcPr>
          <w:p w14:paraId="247C667B">
            <w:pPr>
              <w:jc w:val="center"/>
              <w:rPr>
                <w:rFonts w:hAnsi="宋体" w:cs="宋体"/>
                <w:color w:val="auto"/>
                <w:szCs w:val="21"/>
                <w:highlight w:val="none"/>
              </w:rPr>
            </w:pPr>
          </w:p>
        </w:tc>
        <w:tc>
          <w:tcPr>
            <w:tcW w:w="2280" w:type="pct"/>
            <w:gridSpan w:val="4"/>
            <w:vMerge w:val="continue"/>
            <w:tcBorders>
              <w:top w:val="single" w:color="000000" w:sz="4" w:space="0"/>
              <w:left w:val="single" w:color="000000" w:sz="4" w:space="0"/>
              <w:bottom w:val="single" w:color="000000" w:sz="4" w:space="0"/>
              <w:right w:val="single" w:color="000000" w:sz="4" w:space="0"/>
            </w:tcBorders>
            <w:vAlign w:val="center"/>
          </w:tcPr>
          <w:p w14:paraId="6905C3F3">
            <w:pPr>
              <w:jc w:val="both"/>
              <w:rPr>
                <w:rFonts w:hAnsi="宋体" w:cs="宋体"/>
                <w:color w:val="auto"/>
                <w:szCs w:val="21"/>
                <w:highlight w:val="none"/>
              </w:rPr>
            </w:pPr>
          </w:p>
        </w:tc>
      </w:tr>
      <w:tr w14:paraId="0D290393">
        <w:tblPrEx>
          <w:tblCellMar>
            <w:top w:w="0" w:type="dxa"/>
            <w:left w:w="108" w:type="dxa"/>
            <w:bottom w:w="0" w:type="dxa"/>
            <w:right w:w="108" w:type="dxa"/>
          </w:tblCellMar>
        </w:tblPrEx>
        <w:trPr>
          <w:trHeight w:val="810"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5E684A1A">
            <w:pPr>
              <w:jc w:val="center"/>
              <w:textAlignment w:val="center"/>
              <w:rPr>
                <w:rFonts w:hAnsi="宋体" w:cs="宋体"/>
                <w:color w:val="auto"/>
                <w:szCs w:val="21"/>
                <w:highlight w:val="none"/>
              </w:rPr>
            </w:pPr>
            <w:r>
              <w:rPr>
                <w:rFonts w:hint="eastAsia" w:hAnsi="宋体" w:cs="宋体"/>
                <w:color w:val="auto"/>
                <w:szCs w:val="21"/>
                <w:highlight w:val="none"/>
              </w:rPr>
              <w:t>序号</w:t>
            </w:r>
          </w:p>
        </w:tc>
        <w:tc>
          <w:tcPr>
            <w:tcW w:w="570" w:type="pct"/>
            <w:tcBorders>
              <w:top w:val="single" w:color="000000" w:sz="4" w:space="0"/>
              <w:left w:val="single" w:color="000000" w:sz="4" w:space="0"/>
              <w:bottom w:val="single" w:color="000000" w:sz="4" w:space="0"/>
              <w:right w:val="single" w:color="000000" w:sz="4" w:space="0"/>
            </w:tcBorders>
            <w:vAlign w:val="center"/>
          </w:tcPr>
          <w:p w14:paraId="10C1D276">
            <w:pPr>
              <w:jc w:val="center"/>
              <w:textAlignment w:val="center"/>
              <w:rPr>
                <w:rFonts w:hAnsi="宋体" w:cs="宋体"/>
                <w:color w:val="auto"/>
                <w:szCs w:val="21"/>
                <w:highlight w:val="none"/>
              </w:rPr>
            </w:pPr>
            <w:r>
              <w:rPr>
                <w:rFonts w:hint="eastAsia" w:hAnsi="宋体" w:cs="宋体"/>
                <w:color w:val="auto"/>
                <w:szCs w:val="21"/>
                <w:highlight w:val="none"/>
              </w:rPr>
              <w:t>废物名称</w:t>
            </w:r>
          </w:p>
          <w:p w14:paraId="1439D3BC">
            <w:pPr>
              <w:jc w:val="center"/>
              <w:textAlignment w:val="center"/>
              <w:rPr>
                <w:rFonts w:hAnsi="宋体" w:cs="宋体"/>
                <w:color w:val="auto"/>
                <w:szCs w:val="21"/>
                <w:highlight w:val="none"/>
              </w:rPr>
            </w:pPr>
            <w:r>
              <w:rPr>
                <w:rFonts w:hint="eastAsia" w:hAnsi="宋体" w:cs="宋体"/>
                <w:color w:val="auto"/>
                <w:szCs w:val="21"/>
                <w:highlight w:val="none"/>
              </w:rPr>
              <w:t>（按合同废物名称，每种废物写一行）</w:t>
            </w:r>
          </w:p>
        </w:tc>
        <w:tc>
          <w:tcPr>
            <w:tcW w:w="600" w:type="pct"/>
            <w:tcBorders>
              <w:top w:val="single" w:color="000000" w:sz="4" w:space="0"/>
              <w:left w:val="single" w:color="000000" w:sz="4" w:space="0"/>
              <w:bottom w:val="single" w:color="000000" w:sz="4" w:space="0"/>
              <w:right w:val="single" w:color="000000" w:sz="4" w:space="0"/>
            </w:tcBorders>
            <w:vAlign w:val="center"/>
          </w:tcPr>
          <w:p w14:paraId="5FB1BD94">
            <w:pPr>
              <w:jc w:val="center"/>
              <w:textAlignment w:val="center"/>
              <w:rPr>
                <w:rFonts w:hAnsi="宋体" w:cs="宋体"/>
                <w:color w:val="auto"/>
                <w:szCs w:val="21"/>
                <w:highlight w:val="none"/>
              </w:rPr>
            </w:pPr>
            <w:r>
              <w:rPr>
                <w:rFonts w:hint="eastAsia" w:hAnsi="宋体" w:cs="宋体"/>
                <w:color w:val="auto"/>
                <w:szCs w:val="21"/>
                <w:highlight w:val="none"/>
              </w:rPr>
              <w:t>包装方式</w:t>
            </w:r>
          </w:p>
          <w:p w14:paraId="00EAB358">
            <w:pPr>
              <w:jc w:val="center"/>
              <w:textAlignment w:val="center"/>
              <w:rPr>
                <w:rFonts w:hAnsi="宋体" w:cs="宋体"/>
                <w:color w:val="auto"/>
                <w:szCs w:val="21"/>
                <w:highlight w:val="none"/>
              </w:rPr>
            </w:pPr>
            <w:r>
              <w:rPr>
                <w:rFonts w:hint="eastAsia" w:hAnsi="宋体" w:cs="宋体"/>
                <w:color w:val="auto"/>
                <w:szCs w:val="21"/>
                <w:highlight w:val="none"/>
              </w:rPr>
              <w:t>（桶/袋/散装）</w:t>
            </w:r>
          </w:p>
        </w:tc>
        <w:tc>
          <w:tcPr>
            <w:tcW w:w="387" w:type="pct"/>
            <w:tcBorders>
              <w:top w:val="single" w:color="000000" w:sz="4" w:space="0"/>
              <w:left w:val="single" w:color="000000" w:sz="4" w:space="0"/>
              <w:bottom w:val="single" w:color="000000" w:sz="4" w:space="0"/>
              <w:right w:val="single" w:color="000000" w:sz="4" w:space="0"/>
            </w:tcBorders>
            <w:vAlign w:val="center"/>
          </w:tcPr>
          <w:p w14:paraId="489C1051">
            <w:pPr>
              <w:jc w:val="both"/>
              <w:textAlignment w:val="center"/>
              <w:rPr>
                <w:rFonts w:hAnsi="宋体" w:cs="宋体"/>
                <w:color w:val="auto"/>
                <w:szCs w:val="21"/>
                <w:highlight w:val="none"/>
              </w:rPr>
            </w:pPr>
            <w:r>
              <w:rPr>
                <w:rFonts w:hint="eastAsia" w:hAnsi="宋体" w:cs="宋体"/>
                <w:color w:val="auto"/>
                <w:szCs w:val="21"/>
                <w:highlight w:val="none"/>
              </w:rPr>
              <w:t>包装物规格</w:t>
            </w:r>
          </w:p>
          <w:p w14:paraId="6ADFC95E">
            <w:pPr>
              <w:jc w:val="both"/>
              <w:textAlignment w:val="center"/>
              <w:rPr>
                <w:rFonts w:hAnsi="宋体" w:cs="宋体"/>
                <w:color w:val="auto"/>
                <w:szCs w:val="21"/>
                <w:highlight w:val="none"/>
              </w:rPr>
            </w:pPr>
            <w:r>
              <w:rPr>
                <w:rFonts w:hint="eastAsia" w:hAnsi="宋体" w:cs="宋体"/>
                <w:color w:val="auto"/>
                <w:szCs w:val="21"/>
                <w:highlight w:val="none"/>
              </w:rPr>
              <w:t>(L/KG)</w:t>
            </w:r>
          </w:p>
        </w:tc>
        <w:tc>
          <w:tcPr>
            <w:tcW w:w="593" w:type="pct"/>
            <w:tcBorders>
              <w:top w:val="single" w:color="000000" w:sz="4" w:space="0"/>
              <w:left w:val="single" w:color="000000" w:sz="4" w:space="0"/>
              <w:bottom w:val="single" w:color="000000" w:sz="4" w:space="0"/>
              <w:right w:val="single" w:color="000000" w:sz="4" w:space="0"/>
            </w:tcBorders>
            <w:vAlign w:val="center"/>
          </w:tcPr>
          <w:p w14:paraId="518643F2">
            <w:pPr>
              <w:jc w:val="center"/>
              <w:textAlignment w:val="center"/>
              <w:rPr>
                <w:rFonts w:hAnsi="宋体" w:cs="宋体"/>
                <w:color w:val="auto"/>
                <w:szCs w:val="21"/>
                <w:highlight w:val="none"/>
              </w:rPr>
            </w:pPr>
            <w:r>
              <w:rPr>
                <w:rFonts w:hint="eastAsia" w:hAnsi="宋体" w:cs="宋体"/>
                <w:color w:val="auto"/>
                <w:szCs w:val="21"/>
                <w:highlight w:val="none"/>
              </w:rPr>
              <w:t>数量</w:t>
            </w:r>
          </w:p>
          <w:p w14:paraId="063A2108">
            <w:pPr>
              <w:jc w:val="center"/>
              <w:textAlignment w:val="center"/>
              <w:rPr>
                <w:rFonts w:hAnsi="宋体" w:cs="宋体"/>
                <w:color w:val="auto"/>
                <w:szCs w:val="21"/>
                <w:highlight w:val="none"/>
              </w:rPr>
            </w:pPr>
            <w:r>
              <w:rPr>
                <w:rFonts w:hint="eastAsia" w:hAnsi="宋体" w:cs="宋体"/>
                <w:color w:val="auto"/>
                <w:szCs w:val="21"/>
                <w:highlight w:val="none"/>
              </w:rPr>
              <w:t>（个）</w:t>
            </w: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5B01EB70">
            <w:pPr>
              <w:jc w:val="center"/>
              <w:textAlignment w:val="center"/>
              <w:rPr>
                <w:rFonts w:hAnsi="宋体" w:cs="宋体"/>
                <w:color w:val="auto"/>
                <w:szCs w:val="21"/>
                <w:highlight w:val="none"/>
              </w:rPr>
            </w:pPr>
            <w:r>
              <w:rPr>
                <w:rFonts w:hint="eastAsia" w:hAnsi="宋体" w:cs="宋体"/>
                <w:color w:val="auto"/>
                <w:szCs w:val="21"/>
                <w:highlight w:val="none"/>
              </w:rPr>
              <w:t>废物毛重</w:t>
            </w:r>
          </w:p>
          <w:p w14:paraId="4CA1B5E2">
            <w:pPr>
              <w:jc w:val="center"/>
              <w:textAlignment w:val="center"/>
              <w:rPr>
                <w:rFonts w:hAnsi="宋体" w:cs="宋体"/>
                <w:b/>
                <w:bCs/>
                <w:color w:val="auto"/>
                <w:szCs w:val="21"/>
                <w:highlight w:val="none"/>
              </w:rPr>
            </w:pPr>
            <w:r>
              <w:rPr>
                <w:rFonts w:hint="eastAsia" w:hAnsi="宋体" w:cs="宋体"/>
                <w:color w:val="auto"/>
                <w:szCs w:val="21"/>
                <w:highlight w:val="none"/>
              </w:rPr>
              <w:t>（KG）</w:t>
            </w: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6DE31CF1">
            <w:pPr>
              <w:jc w:val="both"/>
              <w:textAlignment w:val="center"/>
              <w:rPr>
                <w:rStyle w:val="86"/>
                <w:rFonts w:ascii="宋体" w:hAnsi="宋体" w:eastAsia="宋体" w:cs="宋体"/>
                <w:b w:val="0"/>
                <w:bCs w:val="0"/>
                <w:color w:val="auto"/>
                <w:sz w:val="21"/>
                <w:szCs w:val="21"/>
                <w:highlight w:val="none"/>
              </w:rPr>
            </w:pPr>
            <w:r>
              <w:rPr>
                <w:rStyle w:val="86"/>
                <w:rFonts w:hint="eastAsia" w:ascii="宋体" w:hAnsi="宋体" w:eastAsia="宋体" w:cs="宋体"/>
                <w:b w:val="0"/>
                <w:bCs w:val="0"/>
                <w:color w:val="auto"/>
                <w:sz w:val="21"/>
                <w:szCs w:val="21"/>
                <w:highlight w:val="none"/>
              </w:rPr>
              <w:t>（卡板/桶）皮重</w:t>
            </w:r>
          </w:p>
          <w:p w14:paraId="278FD705">
            <w:pPr>
              <w:jc w:val="center"/>
              <w:textAlignment w:val="center"/>
              <w:rPr>
                <w:rFonts w:hAnsi="宋体" w:cs="宋体"/>
                <w:b/>
                <w:bCs/>
                <w:color w:val="auto"/>
                <w:szCs w:val="21"/>
                <w:highlight w:val="none"/>
              </w:rPr>
            </w:pPr>
            <w:r>
              <w:rPr>
                <w:rFonts w:hint="eastAsia" w:hAnsi="宋体" w:cs="宋体"/>
                <w:color w:val="auto"/>
                <w:szCs w:val="21"/>
                <w:highlight w:val="none"/>
              </w:rPr>
              <w:t>（KG）</w:t>
            </w:r>
          </w:p>
        </w:tc>
        <w:tc>
          <w:tcPr>
            <w:tcW w:w="478" w:type="pct"/>
            <w:tcBorders>
              <w:top w:val="single" w:color="000000" w:sz="4" w:space="0"/>
              <w:left w:val="single" w:color="000000" w:sz="4" w:space="0"/>
              <w:bottom w:val="single" w:color="000000" w:sz="4" w:space="0"/>
              <w:right w:val="single" w:color="000000" w:sz="4" w:space="0"/>
            </w:tcBorders>
            <w:noWrap/>
            <w:vAlign w:val="center"/>
          </w:tcPr>
          <w:p w14:paraId="28C387FF">
            <w:pPr>
              <w:jc w:val="center"/>
              <w:textAlignment w:val="center"/>
              <w:rPr>
                <w:rFonts w:hAnsi="宋体" w:cs="宋体"/>
                <w:color w:val="auto"/>
                <w:szCs w:val="21"/>
                <w:highlight w:val="none"/>
              </w:rPr>
            </w:pPr>
            <w:r>
              <w:rPr>
                <w:rFonts w:hint="eastAsia" w:hAnsi="宋体" w:cs="宋体"/>
                <w:color w:val="auto"/>
                <w:szCs w:val="21"/>
                <w:highlight w:val="none"/>
              </w:rPr>
              <w:t>废物净重</w:t>
            </w:r>
          </w:p>
          <w:p w14:paraId="0AD3C55F">
            <w:pPr>
              <w:jc w:val="center"/>
              <w:textAlignment w:val="center"/>
              <w:rPr>
                <w:rFonts w:hAnsi="宋体" w:cs="宋体"/>
                <w:color w:val="auto"/>
                <w:szCs w:val="21"/>
                <w:highlight w:val="none"/>
              </w:rPr>
            </w:pPr>
            <w:r>
              <w:rPr>
                <w:rFonts w:hint="eastAsia" w:hAnsi="宋体" w:cs="宋体"/>
                <w:color w:val="auto"/>
                <w:szCs w:val="21"/>
                <w:highlight w:val="none"/>
              </w:rPr>
              <w:t>（KG）</w:t>
            </w:r>
          </w:p>
        </w:tc>
        <w:tc>
          <w:tcPr>
            <w:tcW w:w="479" w:type="pct"/>
            <w:tcBorders>
              <w:top w:val="single" w:color="000000" w:sz="4" w:space="0"/>
              <w:left w:val="single" w:color="000000" w:sz="4" w:space="0"/>
              <w:bottom w:val="single" w:color="000000" w:sz="4" w:space="0"/>
              <w:right w:val="single" w:color="000000" w:sz="4" w:space="0"/>
            </w:tcBorders>
            <w:vAlign w:val="center"/>
          </w:tcPr>
          <w:p w14:paraId="7D13C3B3">
            <w:pPr>
              <w:jc w:val="both"/>
              <w:textAlignment w:val="center"/>
              <w:rPr>
                <w:rFonts w:hAnsi="宋体" w:cs="宋体"/>
                <w:color w:val="auto"/>
                <w:szCs w:val="21"/>
                <w:highlight w:val="none"/>
              </w:rPr>
            </w:pPr>
            <w:r>
              <w:rPr>
                <w:rFonts w:hint="eastAsia" w:hAnsi="宋体" w:cs="宋体"/>
                <w:color w:val="auto"/>
                <w:szCs w:val="21"/>
                <w:highlight w:val="none"/>
              </w:rPr>
              <w:t>扣皮个数说明或其他备注</w:t>
            </w:r>
          </w:p>
        </w:tc>
      </w:tr>
      <w:tr w14:paraId="7A19AAB4">
        <w:tblPrEx>
          <w:tblCellMar>
            <w:top w:w="0" w:type="dxa"/>
            <w:left w:w="108" w:type="dxa"/>
            <w:bottom w:w="0" w:type="dxa"/>
            <w:right w:w="108" w:type="dxa"/>
          </w:tblCellMar>
        </w:tblPrEx>
        <w:trPr>
          <w:trHeight w:val="397"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5F3BF36F">
            <w:pPr>
              <w:jc w:val="center"/>
              <w:textAlignment w:val="center"/>
              <w:rPr>
                <w:rFonts w:hAnsi="宋体" w:cs="宋体"/>
                <w:color w:val="auto"/>
                <w:szCs w:val="21"/>
                <w:highlight w:val="none"/>
              </w:rPr>
            </w:pPr>
            <w:r>
              <w:rPr>
                <w:rFonts w:hint="eastAsia" w:hAnsi="宋体" w:cs="宋体"/>
                <w:color w:val="auto"/>
                <w:szCs w:val="21"/>
                <w:highlight w:val="none"/>
              </w:rPr>
              <w:t>1</w:t>
            </w:r>
          </w:p>
        </w:tc>
        <w:tc>
          <w:tcPr>
            <w:tcW w:w="570" w:type="pct"/>
            <w:tcBorders>
              <w:top w:val="single" w:color="000000" w:sz="4" w:space="0"/>
              <w:left w:val="single" w:color="000000" w:sz="4" w:space="0"/>
              <w:bottom w:val="single" w:color="000000" w:sz="4" w:space="0"/>
              <w:right w:val="single" w:color="000000" w:sz="4" w:space="0"/>
            </w:tcBorders>
            <w:noWrap/>
            <w:vAlign w:val="center"/>
          </w:tcPr>
          <w:p w14:paraId="30CA6D6C">
            <w:pPr>
              <w:jc w:val="center"/>
              <w:rPr>
                <w:rFonts w:hAnsi="宋体" w:cs="宋体"/>
                <w:color w:val="auto"/>
                <w:szCs w:val="21"/>
                <w:highlight w:val="none"/>
              </w:rPr>
            </w:pPr>
          </w:p>
        </w:tc>
        <w:tc>
          <w:tcPr>
            <w:tcW w:w="600" w:type="pct"/>
            <w:tcBorders>
              <w:top w:val="single" w:color="000000" w:sz="4" w:space="0"/>
              <w:left w:val="single" w:color="000000" w:sz="4" w:space="0"/>
              <w:bottom w:val="single" w:color="000000" w:sz="4" w:space="0"/>
              <w:right w:val="single" w:color="000000" w:sz="4" w:space="0"/>
            </w:tcBorders>
            <w:noWrap/>
            <w:vAlign w:val="center"/>
          </w:tcPr>
          <w:p w14:paraId="1F25CA63">
            <w:pPr>
              <w:jc w:val="center"/>
              <w:rPr>
                <w:rFonts w:hAnsi="宋体" w:cs="宋体"/>
                <w:color w:val="auto"/>
                <w:szCs w:val="21"/>
                <w:highlight w:val="none"/>
              </w:rPr>
            </w:pPr>
          </w:p>
        </w:tc>
        <w:tc>
          <w:tcPr>
            <w:tcW w:w="387" w:type="pct"/>
            <w:tcBorders>
              <w:top w:val="single" w:color="000000" w:sz="4" w:space="0"/>
              <w:left w:val="single" w:color="000000" w:sz="4" w:space="0"/>
              <w:bottom w:val="single" w:color="000000" w:sz="4" w:space="0"/>
              <w:right w:val="single" w:color="000000" w:sz="4" w:space="0"/>
            </w:tcBorders>
            <w:noWrap/>
            <w:vAlign w:val="center"/>
          </w:tcPr>
          <w:p w14:paraId="6F1CDA71">
            <w:pPr>
              <w:jc w:val="center"/>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2D767B89">
            <w:pPr>
              <w:jc w:val="center"/>
              <w:rPr>
                <w:rFonts w:hAnsi="宋体" w:cs="宋体"/>
                <w:color w:val="auto"/>
                <w:szCs w:val="21"/>
                <w:highlight w:val="none"/>
              </w:rPr>
            </w:pP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42129955">
            <w:pPr>
              <w:jc w:val="center"/>
              <w:rPr>
                <w:rFonts w:hAnsi="宋体" w:cs="宋体"/>
                <w:color w:val="auto"/>
                <w:szCs w:val="21"/>
                <w:highlight w:val="none"/>
              </w:rPr>
            </w:pP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35070B31">
            <w:pPr>
              <w:jc w:val="center"/>
              <w:rPr>
                <w:rFonts w:hAnsi="宋体" w:cs="宋体"/>
                <w:color w:val="auto"/>
                <w:szCs w:val="21"/>
                <w:highlight w:val="none"/>
              </w:rPr>
            </w:pPr>
          </w:p>
        </w:tc>
        <w:tc>
          <w:tcPr>
            <w:tcW w:w="478" w:type="pct"/>
            <w:tcBorders>
              <w:top w:val="single" w:color="000000" w:sz="4" w:space="0"/>
              <w:left w:val="single" w:color="000000" w:sz="4" w:space="0"/>
              <w:bottom w:val="single" w:color="000000" w:sz="4" w:space="0"/>
              <w:right w:val="single" w:color="000000" w:sz="4" w:space="0"/>
            </w:tcBorders>
            <w:noWrap/>
            <w:vAlign w:val="center"/>
          </w:tcPr>
          <w:p w14:paraId="7A2CCF3E">
            <w:pPr>
              <w:jc w:val="center"/>
              <w:rPr>
                <w:rFonts w:hAnsi="宋体" w:cs="宋体"/>
                <w:color w:val="auto"/>
                <w:szCs w:val="21"/>
                <w:highlight w:val="none"/>
              </w:rPr>
            </w:pPr>
          </w:p>
        </w:tc>
        <w:tc>
          <w:tcPr>
            <w:tcW w:w="479" w:type="pct"/>
            <w:tcBorders>
              <w:top w:val="single" w:color="000000" w:sz="4" w:space="0"/>
              <w:left w:val="single" w:color="000000" w:sz="4" w:space="0"/>
              <w:bottom w:val="single" w:color="000000" w:sz="4" w:space="0"/>
              <w:right w:val="single" w:color="000000" w:sz="4" w:space="0"/>
            </w:tcBorders>
            <w:noWrap/>
            <w:vAlign w:val="center"/>
          </w:tcPr>
          <w:p w14:paraId="078A0E88">
            <w:pPr>
              <w:jc w:val="center"/>
              <w:rPr>
                <w:rFonts w:hAnsi="宋体" w:cs="宋体"/>
                <w:color w:val="auto"/>
                <w:szCs w:val="21"/>
                <w:highlight w:val="none"/>
              </w:rPr>
            </w:pPr>
          </w:p>
        </w:tc>
      </w:tr>
      <w:tr w14:paraId="63C2B5C7">
        <w:tblPrEx>
          <w:tblCellMar>
            <w:top w:w="0" w:type="dxa"/>
            <w:left w:w="108" w:type="dxa"/>
            <w:bottom w:w="0" w:type="dxa"/>
            <w:right w:w="108" w:type="dxa"/>
          </w:tblCellMar>
        </w:tblPrEx>
        <w:trPr>
          <w:trHeight w:val="397"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3588F0AE">
            <w:pPr>
              <w:jc w:val="center"/>
              <w:textAlignment w:val="center"/>
              <w:rPr>
                <w:rFonts w:hAnsi="宋体" w:cs="宋体"/>
                <w:color w:val="auto"/>
                <w:szCs w:val="21"/>
                <w:highlight w:val="none"/>
              </w:rPr>
            </w:pPr>
            <w:r>
              <w:rPr>
                <w:rFonts w:hint="eastAsia" w:hAnsi="宋体" w:cs="宋体"/>
                <w:color w:val="auto"/>
                <w:szCs w:val="21"/>
                <w:highlight w:val="none"/>
              </w:rPr>
              <w:t>2</w:t>
            </w:r>
          </w:p>
        </w:tc>
        <w:tc>
          <w:tcPr>
            <w:tcW w:w="570" w:type="pct"/>
            <w:tcBorders>
              <w:top w:val="single" w:color="000000" w:sz="4" w:space="0"/>
              <w:left w:val="single" w:color="000000" w:sz="4" w:space="0"/>
              <w:bottom w:val="single" w:color="000000" w:sz="4" w:space="0"/>
              <w:right w:val="single" w:color="000000" w:sz="4" w:space="0"/>
            </w:tcBorders>
            <w:noWrap/>
            <w:vAlign w:val="center"/>
          </w:tcPr>
          <w:p w14:paraId="688AEA32">
            <w:pPr>
              <w:jc w:val="center"/>
              <w:rPr>
                <w:rFonts w:hAnsi="宋体" w:cs="宋体"/>
                <w:color w:val="auto"/>
                <w:szCs w:val="21"/>
                <w:highlight w:val="none"/>
              </w:rPr>
            </w:pPr>
          </w:p>
        </w:tc>
        <w:tc>
          <w:tcPr>
            <w:tcW w:w="600" w:type="pct"/>
            <w:tcBorders>
              <w:top w:val="single" w:color="000000" w:sz="4" w:space="0"/>
              <w:left w:val="single" w:color="000000" w:sz="4" w:space="0"/>
              <w:bottom w:val="single" w:color="000000" w:sz="4" w:space="0"/>
              <w:right w:val="single" w:color="000000" w:sz="4" w:space="0"/>
            </w:tcBorders>
            <w:noWrap/>
            <w:vAlign w:val="center"/>
          </w:tcPr>
          <w:p w14:paraId="1AB151B7">
            <w:pPr>
              <w:jc w:val="center"/>
              <w:rPr>
                <w:rFonts w:hAnsi="宋体" w:cs="宋体"/>
                <w:color w:val="auto"/>
                <w:szCs w:val="21"/>
                <w:highlight w:val="none"/>
              </w:rPr>
            </w:pPr>
          </w:p>
        </w:tc>
        <w:tc>
          <w:tcPr>
            <w:tcW w:w="387" w:type="pct"/>
            <w:tcBorders>
              <w:top w:val="single" w:color="000000" w:sz="4" w:space="0"/>
              <w:left w:val="single" w:color="000000" w:sz="4" w:space="0"/>
              <w:bottom w:val="single" w:color="000000" w:sz="4" w:space="0"/>
              <w:right w:val="single" w:color="000000" w:sz="4" w:space="0"/>
            </w:tcBorders>
            <w:noWrap/>
            <w:vAlign w:val="center"/>
          </w:tcPr>
          <w:p w14:paraId="07A08EF3">
            <w:pPr>
              <w:jc w:val="center"/>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45901F98">
            <w:pPr>
              <w:jc w:val="center"/>
              <w:rPr>
                <w:rFonts w:hAnsi="宋体" w:cs="宋体"/>
                <w:color w:val="auto"/>
                <w:szCs w:val="21"/>
                <w:highlight w:val="none"/>
              </w:rPr>
            </w:pP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74C490B6">
            <w:pPr>
              <w:jc w:val="center"/>
              <w:rPr>
                <w:rFonts w:hAnsi="宋体" w:cs="宋体"/>
                <w:color w:val="auto"/>
                <w:szCs w:val="21"/>
                <w:highlight w:val="none"/>
              </w:rPr>
            </w:pP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1ADE9B3B">
            <w:pPr>
              <w:jc w:val="center"/>
              <w:rPr>
                <w:rFonts w:hAnsi="宋体" w:cs="宋体"/>
                <w:color w:val="auto"/>
                <w:szCs w:val="21"/>
                <w:highlight w:val="none"/>
              </w:rPr>
            </w:pPr>
          </w:p>
        </w:tc>
        <w:tc>
          <w:tcPr>
            <w:tcW w:w="478" w:type="pct"/>
            <w:tcBorders>
              <w:top w:val="single" w:color="000000" w:sz="4" w:space="0"/>
              <w:left w:val="single" w:color="000000" w:sz="4" w:space="0"/>
              <w:bottom w:val="single" w:color="000000" w:sz="4" w:space="0"/>
              <w:right w:val="single" w:color="000000" w:sz="4" w:space="0"/>
            </w:tcBorders>
            <w:noWrap/>
            <w:vAlign w:val="center"/>
          </w:tcPr>
          <w:p w14:paraId="49361561">
            <w:pPr>
              <w:jc w:val="center"/>
              <w:rPr>
                <w:rFonts w:hAnsi="宋体" w:cs="宋体"/>
                <w:color w:val="auto"/>
                <w:szCs w:val="21"/>
                <w:highlight w:val="none"/>
              </w:rPr>
            </w:pPr>
          </w:p>
        </w:tc>
        <w:tc>
          <w:tcPr>
            <w:tcW w:w="479" w:type="pct"/>
            <w:tcBorders>
              <w:top w:val="single" w:color="000000" w:sz="4" w:space="0"/>
              <w:left w:val="single" w:color="000000" w:sz="4" w:space="0"/>
              <w:bottom w:val="single" w:color="000000" w:sz="4" w:space="0"/>
              <w:right w:val="single" w:color="000000" w:sz="4" w:space="0"/>
            </w:tcBorders>
            <w:noWrap/>
            <w:vAlign w:val="center"/>
          </w:tcPr>
          <w:p w14:paraId="50295B2B">
            <w:pPr>
              <w:jc w:val="center"/>
              <w:rPr>
                <w:rFonts w:hAnsi="宋体" w:cs="宋体"/>
                <w:color w:val="auto"/>
                <w:szCs w:val="21"/>
                <w:highlight w:val="none"/>
              </w:rPr>
            </w:pPr>
          </w:p>
        </w:tc>
      </w:tr>
      <w:tr w14:paraId="29058B03">
        <w:tblPrEx>
          <w:tblCellMar>
            <w:top w:w="0" w:type="dxa"/>
            <w:left w:w="108" w:type="dxa"/>
            <w:bottom w:w="0" w:type="dxa"/>
            <w:right w:w="108" w:type="dxa"/>
          </w:tblCellMar>
        </w:tblPrEx>
        <w:trPr>
          <w:trHeight w:val="397"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6F5BAE1E">
            <w:pPr>
              <w:jc w:val="center"/>
              <w:textAlignment w:val="center"/>
              <w:rPr>
                <w:rFonts w:hAnsi="宋体" w:cs="宋体"/>
                <w:color w:val="auto"/>
                <w:szCs w:val="21"/>
                <w:highlight w:val="none"/>
              </w:rPr>
            </w:pPr>
            <w:r>
              <w:rPr>
                <w:rFonts w:hint="eastAsia" w:hAnsi="宋体" w:cs="宋体"/>
                <w:color w:val="auto"/>
                <w:szCs w:val="21"/>
                <w:highlight w:val="none"/>
              </w:rPr>
              <w:t>3</w:t>
            </w:r>
          </w:p>
        </w:tc>
        <w:tc>
          <w:tcPr>
            <w:tcW w:w="570" w:type="pct"/>
            <w:tcBorders>
              <w:top w:val="single" w:color="000000" w:sz="4" w:space="0"/>
              <w:left w:val="single" w:color="000000" w:sz="4" w:space="0"/>
              <w:bottom w:val="single" w:color="000000" w:sz="4" w:space="0"/>
              <w:right w:val="single" w:color="000000" w:sz="4" w:space="0"/>
            </w:tcBorders>
            <w:noWrap/>
            <w:vAlign w:val="center"/>
          </w:tcPr>
          <w:p w14:paraId="10410BA3">
            <w:pPr>
              <w:jc w:val="center"/>
              <w:rPr>
                <w:rFonts w:hAnsi="宋体" w:cs="宋体"/>
                <w:color w:val="auto"/>
                <w:szCs w:val="21"/>
                <w:highlight w:val="none"/>
              </w:rPr>
            </w:pPr>
          </w:p>
        </w:tc>
        <w:tc>
          <w:tcPr>
            <w:tcW w:w="600" w:type="pct"/>
            <w:tcBorders>
              <w:top w:val="single" w:color="000000" w:sz="4" w:space="0"/>
              <w:left w:val="single" w:color="000000" w:sz="4" w:space="0"/>
              <w:bottom w:val="single" w:color="000000" w:sz="4" w:space="0"/>
              <w:right w:val="single" w:color="000000" w:sz="4" w:space="0"/>
            </w:tcBorders>
            <w:noWrap/>
            <w:vAlign w:val="center"/>
          </w:tcPr>
          <w:p w14:paraId="5A0C919E">
            <w:pPr>
              <w:jc w:val="center"/>
              <w:rPr>
                <w:rFonts w:hAnsi="宋体" w:cs="宋体"/>
                <w:color w:val="auto"/>
                <w:szCs w:val="21"/>
                <w:highlight w:val="none"/>
              </w:rPr>
            </w:pPr>
          </w:p>
        </w:tc>
        <w:tc>
          <w:tcPr>
            <w:tcW w:w="387" w:type="pct"/>
            <w:tcBorders>
              <w:top w:val="single" w:color="000000" w:sz="4" w:space="0"/>
              <w:left w:val="single" w:color="000000" w:sz="4" w:space="0"/>
              <w:bottom w:val="single" w:color="000000" w:sz="4" w:space="0"/>
              <w:right w:val="single" w:color="000000" w:sz="4" w:space="0"/>
            </w:tcBorders>
            <w:noWrap/>
            <w:vAlign w:val="center"/>
          </w:tcPr>
          <w:p w14:paraId="125C6FDD">
            <w:pPr>
              <w:jc w:val="center"/>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1D11D921">
            <w:pPr>
              <w:jc w:val="center"/>
              <w:rPr>
                <w:rFonts w:hAnsi="宋体" w:cs="宋体"/>
                <w:color w:val="auto"/>
                <w:szCs w:val="21"/>
                <w:highlight w:val="none"/>
              </w:rPr>
            </w:pP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3DBF1234">
            <w:pPr>
              <w:jc w:val="center"/>
              <w:rPr>
                <w:rFonts w:hAnsi="宋体" w:cs="宋体"/>
                <w:color w:val="auto"/>
                <w:szCs w:val="21"/>
                <w:highlight w:val="none"/>
              </w:rPr>
            </w:pP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02CD8027">
            <w:pPr>
              <w:jc w:val="center"/>
              <w:rPr>
                <w:rFonts w:hAnsi="宋体" w:cs="宋体"/>
                <w:color w:val="auto"/>
                <w:szCs w:val="21"/>
                <w:highlight w:val="none"/>
              </w:rPr>
            </w:pPr>
          </w:p>
        </w:tc>
        <w:tc>
          <w:tcPr>
            <w:tcW w:w="478" w:type="pct"/>
            <w:tcBorders>
              <w:top w:val="single" w:color="000000" w:sz="4" w:space="0"/>
              <w:left w:val="single" w:color="000000" w:sz="4" w:space="0"/>
              <w:bottom w:val="single" w:color="000000" w:sz="4" w:space="0"/>
              <w:right w:val="single" w:color="000000" w:sz="4" w:space="0"/>
            </w:tcBorders>
            <w:noWrap/>
            <w:vAlign w:val="center"/>
          </w:tcPr>
          <w:p w14:paraId="1D79C755">
            <w:pPr>
              <w:jc w:val="center"/>
              <w:rPr>
                <w:rFonts w:hAnsi="宋体" w:cs="宋体"/>
                <w:color w:val="auto"/>
                <w:szCs w:val="21"/>
                <w:highlight w:val="none"/>
              </w:rPr>
            </w:pPr>
          </w:p>
        </w:tc>
        <w:tc>
          <w:tcPr>
            <w:tcW w:w="479" w:type="pct"/>
            <w:tcBorders>
              <w:top w:val="single" w:color="000000" w:sz="4" w:space="0"/>
              <w:left w:val="single" w:color="000000" w:sz="4" w:space="0"/>
              <w:bottom w:val="single" w:color="000000" w:sz="4" w:space="0"/>
              <w:right w:val="single" w:color="000000" w:sz="4" w:space="0"/>
            </w:tcBorders>
            <w:noWrap/>
            <w:vAlign w:val="center"/>
          </w:tcPr>
          <w:p w14:paraId="440454B3">
            <w:pPr>
              <w:jc w:val="center"/>
              <w:rPr>
                <w:rFonts w:hAnsi="宋体" w:cs="宋体"/>
                <w:color w:val="auto"/>
                <w:szCs w:val="21"/>
                <w:highlight w:val="none"/>
              </w:rPr>
            </w:pPr>
          </w:p>
        </w:tc>
      </w:tr>
      <w:tr w14:paraId="2E9AAF9B">
        <w:tblPrEx>
          <w:tblCellMar>
            <w:top w:w="0" w:type="dxa"/>
            <w:left w:w="108" w:type="dxa"/>
            <w:bottom w:w="0" w:type="dxa"/>
            <w:right w:w="108" w:type="dxa"/>
          </w:tblCellMar>
        </w:tblPrEx>
        <w:trPr>
          <w:trHeight w:val="397"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7A503BA7">
            <w:pPr>
              <w:jc w:val="center"/>
              <w:textAlignment w:val="center"/>
              <w:rPr>
                <w:rFonts w:hAnsi="宋体" w:cs="宋体"/>
                <w:color w:val="auto"/>
                <w:szCs w:val="21"/>
                <w:highlight w:val="none"/>
              </w:rPr>
            </w:pPr>
            <w:r>
              <w:rPr>
                <w:rFonts w:hint="eastAsia" w:hAnsi="宋体" w:cs="宋体"/>
                <w:color w:val="auto"/>
                <w:szCs w:val="21"/>
                <w:highlight w:val="none"/>
              </w:rPr>
              <w:t>4</w:t>
            </w:r>
          </w:p>
        </w:tc>
        <w:tc>
          <w:tcPr>
            <w:tcW w:w="570" w:type="pct"/>
            <w:tcBorders>
              <w:top w:val="single" w:color="000000" w:sz="4" w:space="0"/>
              <w:left w:val="single" w:color="000000" w:sz="4" w:space="0"/>
              <w:bottom w:val="single" w:color="000000" w:sz="4" w:space="0"/>
              <w:right w:val="single" w:color="000000" w:sz="4" w:space="0"/>
            </w:tcBorders>
            <w:noWrap/>
            <w:vAlign w:val="center"/>
          </w:tcPr>
          <w:p w14:paraId="59E06072">
            <w:pPr>
              <w:jc w:val="center"/>
              <w:rPr>
                <w:rFonts w:hAnsi="宋体" w:cs="宋体"/>
                <w:color w:val="auto"/>
                <w:szCs w:val="21"/>
                <w:highlight w:val="none"/>
              </w:rPr>
            </w:pPr>
          </w:p>
        </w:tc>
        <w:tc>
          <w:tcPr>
            <w:tcW w:w="600" w:type="pct"/>
            <w:tcBorders>
              <w:top w:val="single" w:color="000000" w:sz="4" w:space="0"/>
              <w:left w:val="single" w:color="000000" w:sz="4" w:space="0"/>
              <w:bottom w:val="single" w:color="000000" w:sz="4" w:space="0"/>
              <w:right w:val="single" w:color="000000" w:sz="4" w:space="0"/>
            </w:tcBorders>
            <w:noWrap/>
            <w:vAlign w:val="center"/>
          </w:tcPr>
          <w:p w14:paraId="26E9B52C">
            <w:pPr>
              <w:jc w:val="center"/>
              <w:rPr>
                <w:rFonts w:hAnsi="宋体" w:cs="宋体"/>
                <w:color w:val="auto"/>
                <w:szCs w:val="21"/>
                <w:highlight w:val="none"/>
              </w:rPr>
            </w:pPr>
          </w:p>
        </w:tc>
        <w:tc>
          <w:tcPr>
            <w:tcW w:w="387" w:type="pct"/>
            <w:tcBorders>
              <w:top w:val="single" w:color="000000" w:sz="4" w:space="0"/>
              <w:left w:val="single" w:color="000000" w:sz="4" w:space="0"/>
              <w:bottom w:val="single" w:color="000000" w:sz="4" w:space="0"/>
              <w:right w:val="single" w:color="000000" w:sz="4" w:space="0"/>
            </w:tcBorders>
            <w:noWrap/>
            <w:vAlign w:val="center"/>
          </w:tcPr>
          <w:p w14:paraId="0D96C7AA">
            <w:pPr>
              <w:jc w:val="center"/>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521B6F28">
            <w:pPr>
              <w:jc w:val="center"/>
              <w:rPr>
                <w:rFonts w:hAnsi="宋体" w:cs="宋体"/>
                <w:color w:val="auto"/>
                <w:szCs w:val="21"/>
                <w:highlight w:val="none"/>
              </w:rPr>
            </w:pP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09A5CB21">
            <w:pPr>
              <w:jc w:val="center"/>
              <w:rPr>
                <w:rFonts w:hAnsi="宋体" w:cs="宋体"/>
                <w:color w:val="auto"/>
                <w:szCs w:val="21"/>
                <w:highlight w:val="none"/>
              </w:rPr>
            </w:pP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6F14AF02">
            <w:pPr>
              <w:jc w:val="center"/>
              <w:rPr>
                <w:rFonts w:hAnsi="宋体" w:cs="宋体"/>
                <w:color w:val="auto"/>
                <w:szCs w:val="21"/>
                <w:highlight w:val="none"/>
              </w:rPr>
            </w:pPr>
          </w:p>
        </w:tc>
        <w:tc>
          <w:tcPr>
            <w:tcW w:w="478" w:type="pct"/>
            <w:tcBorders>
              <w:top w:val="single" w:color="000000" w:sz="4" w:space="0"/>
              <w:left w:val="single" w:color="000000" w:sz="4" w:space="0"/>
              <w:bottom w:val="single" w:color="000000" w:sz="4" w:space="0"/>
              <w:right w:val="single" w:color="000000" w:sz="4" w:space="0"/>
            </w:tcBorders>
            <w:noWrap/>
            <w:vAlign w:val="center"/>
          </w:tcPr>
          <w:p w14:paraId="10792EAF">
            <w:pPr>
              <w:jc w:val="center"/>
              <w:rPr>
                <w:rFonts w:hAnsi="宋体" w:cs="宋体"/>
                <w:color w:val="auto"/>
                <w:szCs w:val="21"/>
                <w:highlight w:val="none"/>
              </w:rPr>
            </w:pPr>
          </w:p>
        </w:tc>
        <w:tc>
          <w:tcPr>
            <w:tcW w:w="479" w:type="pct"/>
            <w:tcBorders>
              <w:top w:val="single" w:color="000000" w:sz="4" w:space="0"/>
              <w:left w:val="single" w:color="000000" w:sz="4" w:space="0"/>
              <w:bottom w:val="single" w:color="000000" w:sz="4" w:space="0"/>
              <w:right w:val="single" w:color="000000" w:sz="4" w:space="0"/>
            </w:tcBorders>
            <w:noWrap/>
            <w:vAlign w:val="center"/>
          </w:tcPr>
          <w:p w14:paraId="55C4F7B0">
            <w:pPr>
              <w:jc w:val="center"/>
              <w:rPr>
                <w:rFonts w:hAnsi="宋体" w:cs="宋体"/>
                <w:color w:val="auto"/>
                <w:szCs w:val="21"/>
                <w:highlight w:val="none"/>
              </w:rPr>
            </w:pPr>
          </w:p>
        </w:tc>
      </w:tr>
      <w:tr w14:paraId="669D2B87">
        <w:tblPrEx>
          <w:tblCellMar>
            <w:top w:w="0" w:type="dxa"/>
            <w:left w:w="108" w:type="dxa"/>
            <w:bottom w:w="0" w:type="dxa"/>
            <w:right w:w="108" w:type="dxa"/>
          </w:tblCellMar>
        </w:tblPrEx>
        <w:trPr>
          <w:trHeight w:val="397"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4495FEF8">
            <w:pPr>
              <w:jc w:val="center"/>
              <w:textAlignment w:val="center"/>
              <w:rPr>
                <w:rFonts w:hAnsi="宋体" w:cs="宋体"/>
                <w:color w:val="auto"/>
                <w:szCs w:val="21"/>
                <w:highlight w:val="none"/>
              </w:rPr>
            </w:pPr>
            <w:r>
              <w:rPr>
                <w:rFonts w:hint="eastAsia" w:hAnsi="宋体" w:cs="宋体"/>
                <w:color w:val="auto"/>
                <w:szCs w:val="21"/>
                <w:highlight w:val="none"/>
              </w:rPr>
              <w:t>5</w:t>
            </w:r>
          </w:p>
        </w:tc>
        <w:tc>
          <w:tcPr>
            <w:tcW w:w="570" w:type="pct"/>
            <w:tcBorders>
              <w:top w:val="single" w:color="000000" w:sz="4" w:space="0"/>
              <w:left w:val="single" w:color="000000" w:sz="4" w:space="0"/>
              <w:bottom w:val="single" w:color="000000" w:sz="4" w:space="0"/>
              <w:right w:val="single" w:color="000000" w:sz="4" w:space="0"/>
            </w:tcBorders>
            <w:noWrap/>
            <w:vAlign w:val="center"/>
          </w:tcPr>
          <w:p w14:paraId="6D6185D6">
            <w:pPr>
              <w:jc w:val="center"/>
              <w:rPr>
                <w:rFonts w:hAnsi="宋体" w:cs="宋体"/>
                <w:color w:val="auto"/>
                <w:szCs w:val="21"/>
                <w:highlight w:val="none"/>
              </w:rPr>
            </w:pPr>
          </w:p>
        </w:tc>
        <w:tc>
          <w:tcPr>
            <w:tcW w:w="600" w:type="pct"/>
            <w:tcBorders>
              <w:top w:val="single" w:color="000000" w:sz="4" w:space="0"/>
              <w:left w:val="single" w:color="000000" w:sz="4" w:space="0"/>
              <w:bottom w:val="single" w:color="000000" w:sz="4" w:space="0"/>
              <w:right w:val="single" w:color="000000" w:sz="4" w:space="0"/>
            </w:tcBorders>
            <w:noWrap/>
            <w:vAlign w:val="center"/>
          </w:tcPr>
          <w:p w14:paraId="7B9E4ABF">
            <w:pPr>
              <w:jc w:val="center"/>
              <w:rPr>
                <w:rFonts w:hAnsi="宋体" w:cs="宋体"/>
                <w:color w:val="auto"/>
                <w:szCs w:val="21"/>
                <w:highlight w:val="none"/>
              </w:rPr>
            </w:pPr>
          </w:p>
        </w:tc>
        <w:tc>
          <w:tcPr>
            <w:tcW w:w="387" w:type="pct"/>
            <w:tcBorders>
              <w:top w:val="single" w:color="000000" w:sz="4" w:space="0"/>
              <w:left w:val="single" w:color="000000" w:sz="4" w:space="0"/>
              <w:bottom w:val="single" w:color="000000" w:sz="4" w:space="0"/>
              <w:right w:val="single" w:color="000000" w:sz="4" w:space="0"/>
            </w:tcBorders>
            <w:noWrap/>
            <w:vAlign w:val="center"/>
          </w:tcPr>
          <w:p w14:paraId="03D69476">
            <w:pPr>
              <w:jc w:val="center"/>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48ADFC46">
            <w:pPr>
              <w:jc w:val="center"/>
              <w:rPr>
                <w:rFonts w:hAnsi="宋体" w:cs="宋体"/>
                <w:color w:val="auto"/>
                <w:szCs w:val="21"/>
                <w:highlight w:val="none"/>
              </w:rPr>
            </w:pP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064379E2">
            <w:pPr>
              <w:jc w:val="center"/>
              <w:rPr>
                <w:rFonts w:hAnsi="宋体" w:cs="宋体"/>
                <w:color w:val="auto"/>
                <w:szCs w:val="21"/>
                <w:highlight w:val="none"/>
              </w:rPr>
            </w:pP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180C3778">
            <w:pPr>
              <w:jc w:val="center"/>
              <w:rPr>
                <w:rFonts w:hAnsi="宋体" w:cs="宋体"/>
                <w:color w:val="auto"/>
                <w:szCs w:val="21"/>
                <w:highlight w:val="none"/>
              </w:rPr>
            </w:pPr>
          </w:p>
        </w:tc>
        <w:tc>
          <w:tcPr>
            <w:tcW w:w="478" w:type="pct"/>
            <w:tcBorders>
              <w:top w:val="single" w:color="000000" w:sz="4" w:space="0"/>
              <w:left w:val="single" w:color="000000" w:sz="4" w:space="0"/>
              <w:bottom w:val="single" w:color="000000" w:sz="4" w:space="0"/>
              <w:right w:val="single" w:color="000000" w:sz="4" w:space="0"/>
            </w:tcBorders>
            <w:noWrap/>
            <w:vAlign w:val="center"/>
          </w:tcPr>
          <w:p w14:paraId="6654D2DF">
            <w:pPr>
              <w:jc w:val="center"/>
              <w:rPr>
                <w:rFonts w:hAnsi="宋体" w:cs="宋体"/>
                <w:color w:val="auto"/>
                <w:szCs w:val="21"/>
                <w:highlight w:val="none"/>
              </w:rPr>
            </w:pPr>
          </w:p>
        </w:tc>
        <w:tc>
          <w:tcPr>
            <w:tcW w:w="479" w:type="pct"/>
            <w:tcBorders>
              <w:top w:val="single" w:color="000000" w:sz="4" w:space="0"/>
              <w:left w:val="single" w:color="000000" w:sz="4" w:space="0"/>
              <w:bottom w:val="single" w:color="000000" w:sz="4" w:space="0"/>
              <w:right w:val="single" w:color="000000" w:sz="4" w:space="0"/>
            </w:tcBorders>
            <w:noWrap/>
            <w:vAlign w:val="center"/>
          </w:tcPr>
          <w:p w14:paraId="036996C7">
            <w:pPr>
              <w:jc w:val="center"/>
              <w:rPr>
                <w:rFonts w:hAnsi="宋体" w:cs="宋体"/>
                <w:color w:val="auto"/>
                <w:szCs w:val="21"/>
                <w:highlight w:val="none"/>
              </w:rPr>
            </w:pPr>
          </w:p>
        </w:tc>
      </w:tr>
      <w:tr w14:paraId="480E997F">
        <w:tblPrEx>
          <w:tblCellMar>
            <w:top w:w="0" w:type="dxa"/>
            <w:left w:w="108" w:type="dxa"/>
            <w:bottom w:w="0" w:type="dxa"/>
            <w:right w:w="108" w:type="dxa"/>
          </w:tblCellMar>
        </w:tblPrEx>
        <w:trPr>
          <w:trHeight w:val="397"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4711D811">
            <w:pPr>
              <w:jc w:val="center"/>
              <w:textAlignment w:val="center"/>
              <w:rPr>
                <w:rFonts w:hAnsi="宋体" w:cs="宋体"/>
                <w:color w:val="auto"/>
                <w:szCs w:val="21"/>
                <w:highlight w:val="none"/>
              </w:rPr>
            </w:pPr>
            <w:r>
              <w:rPr>
                <w:rFonts w:hint="eastAsia" w:hAnsi="宋体" w:cs="宋体"/>
                <w:color w:val="auto"/>
                <w:szCs w:val="21"/>
                <w:highlight w:val="none"/>
              </w:rPr>
              <w:t>6</w:t>
            </w:r>
          </w:p>
        </w:tc>
        <w:tc>
          <w:tcPr>
            <w:tcW w:w="570" w:type="pct"/>
            <w:tcBorders>
              <w:top w:val="single" w:color="000000" w:sz="4" w:space="0"/>
              <w:left w:val="single" w:color="000000" w:sz="4" w:space="0"/>
              <w:bottom w:val="single" w:color="000000" w:sz="4" w:space="0"/>
              <w:right w:val="single" w:color="000000" w:sz="4" w:space="0"/>
            </w:tcBorders>
            <w:noWrap/>
            <w:vAlign w:val="center"/>
          </w:tcPr>
          <w:p w14:paraId="79A372D5">
            <w:pPr>
              <w:jc w:val="center"/>
              <w:rPr>
                <w:rFonts w:hAnsi="宋体" w:cs="宋体"/>
                <w:color w:val="auto"/>
                <w:szCs w:val="21"/>
                <w:highlight w:val="none"/>
              </w:rPr>
            </w:pPr>
          </w:p>
        </w:tc>
        <w:tc>
          <w:tcPr>
            <w:tcW w:w="600" w:type="pct"/>
            <w:tcBorders>
              <w:top w:val="single" w:color="000000" w:sz="4" w:space="0"/>
              <w:left w:val="single" w:color="000000" w:sz="4" w:space="0"/>
              <w:bottom w:val="single" w:color="000000" w:sz="4" w:space="0"/>
              <w:right w:val="single" w:color="000000" w:sz="4" w:space="0"/>
            </w:tcBorders>
            <w:noWrap/>
            <w:vAlign w:val="center"/>
          </w:tcPr>
          <w:p w14:paraId="2786CA6A">
            <w:pPr>
              <w:jc w:val="center"/>
              <w:rPr>
                <w:rFonts w:hAnsi="宋体" w:cs="宋体"/>
                <w:color w:val="auto"/>
                <w:szCs w:val="21"/>
                <w:highlight w:val="none"/>
              </w:rPr>
            </w:pPr>
          </w:p>
        </w:tc>
        <w:tc>
          <w:tcPr>
            <w:tcW w:w="387" w:type="pct"/>
            <w:tcBorders>
              <w:top w:val="single" w:color="000000" w:sz="4" w:space="0"/>
              <w:left w:val="single" w:color="000000" w:sz="4" w:space="0"/>
              <w:bottom w:val="single" w:color="000000" w:sz="4" w:space="0"/>
              <w:right w:val="single" w:color="000000" w:sz="4" w:space="0"/>
            </w:tcBorders>
            <w:noWrap/>
            <w:vAlign w:val="center"/>
          </w:tcPr>
          <w:p w14:paraId="08A543B8">
            <w:pPr>
              <w:jc w:val="center"/>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380A0E6E">
            <w:pPr>
              <w:jc w:val="center"/>
              <w:rPr>
                <w:rFonts w:hAnsi="宋体" w:cs="宋体"/>
                <w:color w:val="auto"/>
                <w:szCs w:val="21"/>
                <w:highlight w:val="none"/>
              </w:rPr>
            </w:pP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10E1FE0A">
            <w:pPr>
              <w:jc w:val="center"/>
              <w:rPr>
                <w:rFonts w:hAnsi="宋体" w:cs="宋体"/>
                <w:color w:val="auto"/>
                <w:szCs w:val="21"/>
                <w:highlight w:val="none"/>
              </w:rPr>
            </w:pP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7349D8E6">
            <w:pPr>
              <w:jc w:val="center"/>
              <w:rPr>
                <w:rFonts w:hAnsi="宋体" w:cs="宋体"/>
                <w:color w:val="auto"/>
                <w:szCs w:val="21"/>
                <w:highlight w:val="none"/>
              </w:rPr>
            </w:pPr>
          </w:p>
        </w:tc>
        <w:tc>
          <w:tcPr>
            <w:tcW w:w="478" w:type="pct"/>
            <w:tcBorders>
              <w:top w:val="single" w:color="000000" w:sz="4" w:space="0"/>
              <w:left w:val="single" w:color="000000" w:sz="4" w:space="0"/>
              <w:bottom w:val="single" w:color="000000" w:sz="4" w:space="0"/>
              <w:right w:val="single" w:color="000000" w:sz="4" w:space="0"/>
            </w:tcBorders>
            <w:noWrap/>
            <w:vAlign w:val="center"/>
          </w:tcPr>
          <w:p w14:paraId="0E01E1B0">
            <w:pPr>
              <w:jc w:val="center"/>
              <w:rPr>
                <w:rFonts w:hAnsi="宋体" w:cs="宋体"/>
                <w:color w:val="auto"/>
                <w:szCs w:val="21"/>
                <w:highlight w:val="none"/>
              </w:rPr>
            </w:pPr>
          </w:p>
        </w:tc>
        <w:tc>
          <w:tcPr>
            <w:tcW w:w="479" w:type="pct"/>
            <w:tcBorders>
              <w:top w:val="single" w:color="000000" w:sz="4" w:space="0"/>
              <w:left w:val="single" w:color="000000" w:sz="4" w:space="0"/>
              <w:bottom w:val="single" w:color="000000" w:sz="4" w:space="0"/>
              <w:right w:val="single" w:color="000000" w:sz="4" w:space="0"/>
            </w:tcBorders>
            <w:noWrap/>
            <w:vAlign w:val="center"/>
          </w:tcPr>
          <w:p w14:paraId="1FB0C7D7">
            <w:pPr>
              <w:jc w:val="center"/>
              <w:rPr>
                <w:rFonts w:hAnsi="宋体" w:cs="宋体"/>
                <w:color w:val="auto"/>
                <w:szCs w:val="21"/>
                <w:highlight w:val="none"/>
              </w:rPr>
            </w:pPr>
          </w:p>
        </w:tc>
      </w:tr>
      <w:tr w14:paraId="53C4EB38">
        <w:tblPrEx>
          <w:tblCellMar>
            <w:top w:w="0" w:type="dxa"/>
            <w:left w:w="108" w:type="dxa"/>
            <w:bottom w:w="0" w:type="dxa"/>
            <w:right w:w="108" w:type="dxa"/>
          </w:tblCellMar>
        </w:tblPrEx>
        <w:trPr>
          <w:trHeight w:val="397"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1777FC66">
            <w:pPr>
              <w:jc w:val="center"/>
              <w:textAlignment w:val="center"/>
              <w:rPr>
                <w:rFonts w:hAnsi="宋体" w:cs="宋体"/>
                <w:color w:val="auto"/>
                <w:szCs w:val="21"/>
                <w:highlight w:val="none"/>
              </w:rPr>
            </w:pPr>
            <w:r>
              <w:rPr>
                <w:rFonts w:hint="eastAsia" w:hAnsi="宋体" w:cs="宋体"/>
                <w:color w:val="auto"/>
                <w:szCs w:val="21"/>
                <w:highlight w:val="none"/>
              </w:rPr>
              <w:t>7</w:t>
            </w:r>
          </w:p>
        </w:tc>
        <w:tc>
          <w:tcPr>
            <w:tcW w:w="570" w:type="pct"/>
            <w:tcBorders>
              <w:top w:val="single" w:color="000000" w:sz="4" w:space="0"/>
              <w:left w:val="single" w:color="000000" w:sz="4" w:space="0"/>
              <w:bottom w:val="single" w:color="000000" w:sz="4" w:space="0"/>
              <w:right w:val="single" w:color="000000" w:sz="4" w:space="0"/>
            </w:tcBorders>
            <w:noWrap/>
            <w:vAlign w:val="center"/>
          </w:tcPr>
          <w:p w14:paraId="76B39A09">
            <w:pPr>
              <w:jc w:val="center"/>
              <w:rPr>
                <w:rFonts w:hAnsi="宋体" w:cs="宋体"/>
                <w:color w:val="auto"/>
                <w:szCs w:val="21"/>
                <w:highlight w:val="none"/>
              </w:rPr>
            </w:pPr>
          </w:p>
        </w:tc>
        <w:tc>
          <w:tcPr>
            <w:tcW w:w="600" w:type="pct"/>
            <w:tcBorders>
              <w:top w:val="single" w:color="000000" w:sz="4" w:space="0"/>
              <w:left w:val="single" w:color="000000" w:sz="4" w:space="0"/>
              <w:bottom w:val="single" w:color="000000" w:sz="4" w:space="0"/>
              <w:right w:val="single" w:color="000000" w:sz="4" w:space="0"/>
            </w:tcBorders>
            <w:noWrap/>
            <w:vAlign w:val="center"/>
          </w:tcPr>
          <w:p w14:paraId="3C3910B5">
            <w:pPr>
              <w:jc w:val="center"/>
              <w:rPr>
                <w:rFonts w:hAnsi="宋体" w:cs="宋体"/>
                <w:color w:val="auto"/>
                <w:szCs w:val="21"/>
                <w:highlight w:val="none"/>
              </w:rPr>
            </w:pPr>
          </w:p>
        </w:tc>
        <w:tc>
          <w:tcPr>
            <w:tcW w:w="387" w:type="pct"/>
            <w:tcBorders>
              <w:top w:val="single" w:color="000000" w:sz="4" w:space="0"/>
              <w:left w:val="single" w:color="000000" w:sz="4" w:space="0"/>
              <w:bottom w:val="single" w:color="000000" w:sz="4" w:space="0"/>
              <w:right w:val="single" w:color="000000" w:sz="4" w:space="0"/>
            </w:tcBorders>
            <w:noWrap/>
            <w:vAlign w:val="center"/>
          </w:tcPr>
          <w:p w14:paraId="1BDD9DFB">
            <w:pPr>
              <w:jc w:val="center"/>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498B97DA">
            <w:pPr>
              <w:jc w:val="center"/>
              <w:rPr>
                <w:rFonts w:hAnsi="宋体" w:cs="宋体"/>
                <w:color w:val="auto"/>
                <w:szCs w:val="21"/>
                <w:highlight w:val="none"/>
              </w:rPr>
            </w:pP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2819264C">
            <w:pPr>
              <w:jc w:val="center"/>
              <w:rPr>
                <w:rFonts w:hAnsi="宋体" w:cs="宋体"/>
                <w:color w:val="auto"/>
                <w:szCs w:val="21"/>
                <w:highlight w:val="none"/>
              </w:rPr>
            </w:pP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5FB6F8E3">
            <w:pPr>
              <w:jc w:val="center"/>
              <w:rPr>
                <w:rFonts w:hAnsi="宋体" w:cs="宋体"/>
                <w:color w:val="auto"/>
                <w:szCs w:val="21"/>
                <w:highlight w:val="none"/>
              </w:rPr>
            </w:pPr>
          </w:p>
        </w:tc>
        <w:tc>
          <w:tcPr>
            <w:tcW w:w="478" w:type="pct"/>
            <w:tcBorders>
              <w:top w:val="single" w:color="000000" w:sz="4" w:space="0"/>
              <w:left w:val="single" w:color="000000" w:sz="4" w:space="0"/>
              <w:bottom w:val="single" w:color="000000" w:sz="4" w:space="0"/>
              <w:right w:val="single" w:color="000000" w:sz="4" w:space="0"/>
            </w:tcBorders>
            <w:noWrap/>
            <w:vAlign w:val="center"/>
          </w:tcPr>
          <w:p w14:paraId="6C8CC0E0">
            <w:pPr>
              <w:jc w:val="center"/>
              <w:rPr>
                <w:rFonts w:hAnsi="宋体" w:cs="宋体"/>
                <w:color w:val="auto"/>
                <w:szCs w:val="21"/>
                <w:highlight w:val="none"/>
              </w:rPr>
            </w:pPr>
          </w:p>
        </w:tc>
        <w:tc>
          <w:tcPr>
            <w:tcW w:w="479" w:type="pct"/>
            <w:tcBorders>
              <w:top w:val="single" w:color="000000" w:sz="4" w:space="0"/>
              <w:left w:val="single" w:color="000000" w:sz="4" w:space="0"/>
              <w:bottom w:val="single" w:color="000000" w:sz="4" w:space="0"/>
              <w:right w:val="single" w:color="000000" w:sz="4" w:space="0"/>
            </w:tcBorders>
            <w:noWrap/>
            <w:vAlign w:val="center"/>
          </w:tcPr>
          <w:p w14:paraId="22F2DAF3">
            <w:pPr>
              <w:jc w:val="center"/>
              <w:rPr>
                <w:rFonts w:hAnsi="宋体" w:cs="宋体"/>
                <w:color w:val="auto"/>
                <w:szCs w:val="21"/>
                <w:highlight w:val="none"/>
              </w:rPr>
            </w:pPr>
          </w:p>
        </w:tc>
      </w:tr>
      <w:tr w14:paraId="20290ABD">
        <w:tblPrEx>
          <w:tblCellMar>
            <w:top w:w="0" w:type="dxa"/>
            <w:left w:w="108" w:type="dxa"/>
            <w:bottom w:w="0" w:type="dxa"/>
            <w:right w:w="108" w:type="dxa"/>
          </w:tblCellMar>
        </w:tblPrEx>
        <w:trPr>
          <w:trHeight w:val="397"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709E9FE2">
            <w:pPr>
              <w:jc w:val="center"/>
              <w:textAlignment w:val="center"/>
              <w:rPr>
                <w:rFonts w:hAnsi="宋体" w:cs="宋体"/>
                <w:color w:val="auto"/>
                <w:szCs w:val="21"/>
                <w:highlight w:val="none"/>
              </w:rPr>
            </w:pPr>
            <w:r>
              <w:rPr>
                <w:rFonts w:hint="eastAsia" w:hAnsi="宋体" w:cs="宋体"/>
                <w:color w:val="auto"/>
                <w:szCs w:val="21"/>
                <w:highlight w:val="none"/>
              </w:rPr>
              <w:t>8</w:t>
            </w:r>
          </w:p>
        </w:tc>
        <w:tc>
          <w:tcPr>
            <w:tcW w:w="570" w:type="pct"/>
            <w:tcBorders>
              <w:top w:val="single" w:color="000000" w:sz="4" w:space="0"/>
              <w:left w:val="single" w:color="000000" w:sz="4" w:space="0"/>
              <w:bottom w:val="single" w:color="000000" w:sz="4" w:space="0"/>
              <w:right w:val="single" w:color="000000" w:sz="4" w:space="0"/>
            </w:tcBorders>
            <w:noWrap/>
            <w:vAlign w:val="center"/>
          </w:tcPr>
          <w:p w14:paraId="3A713BBF">
            <w:pPr>
              <w:jc w:val="center"/>
              <w:rPr>
                <w:rFonts w:hAnsi="宋体" w:cs="宋体"/>
                <w:color w:val="auto"/>
                <w:szCs w:val="21"/>
                <w:highlight w:val="none"/>
              </w:rPr>
            </w:pPr>
          </w:p>
        </w:tc>
        <w:tc>
          <w:tcPr>
            <w:tcW w:w="600" w:type="pct"/>
            <w:tcBorders>
              <w:top w:val="single" w:color="000000" w:sz="4" w:space="0"/>
              <w:left w:val="single" w:color="000000" w:sz="4" w:space="0"/>
              <w:bottom w:val="single" w:color="000000" w:sz="4" w:space="0"/>
              <w:right w:val="single" w:color="000000" w:sz="4" w:space="0"/>
            </w:tcBorders>
            <w:noWrap/>
            <w:vAlign w:val="center"/>
          </w:tcPr>
          <w:p w14:paraId="17472C44">
            <w:pPr>
              <w:jc w:val="center"/>
              <w:rPr>
                <w:rFonts w:hAnsi="宋体" w:cs="宋体"/>
                <w:color w:val="auto"/>
                <w:szCs w:val="21"/>
                <w:highlight w:val="none"/>
              </w:rPr>
            </w:pPr>
          </w:p>
        </w:tc>
        <w:tc>
          <w:tcPr>
            <w:tcW w:w="387" w:type="pct"/>
            <w:tcBorders>
              <w:top w:val="single" w:color="000000" w:sz="4" w:space="0"/>
              <w:left w:val="single" w:color="000000" w:sz="4" w:space="0"/>
              <w:bottom w:val="single" w:color="000000" w:sz="4" w:space="0"/>
              <w:right w:val="single" w:color="000000" w:sz="4" w:space="0"/>
            </w:tcBorders>
            <w:noWrap/>
            <w:vAlign w:val="center"/>
          </w:tcPr>
          <w:p w14:paraId="57E42315">
            <w:pPr>
              <w:jc w:val="center"/>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2689380F">
            <w:pPr>
              <w:jc w:val="center"/>
              <w:rPr>
                <w:rFonts w:hAnsi="宋体" w:cs="宋体"/>
                <w:color w:val="auto"/>
                <w:szCs w:val="21"/>
                <w:highlight w:val="none"/>
              </w:rPr>
            </w:pP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5B368CB0">
            <w:pPr>
              <w:jc w:val="center"/>
              <w:rPr>
                <w:rFonts w:hAnsi="宋体" w:cs="宋体"/>
                <w:color w:val="auto"/>
                <w:szCs w:val="21"/>
                <w:highlight w:val="none"/>
              </w:rPr>
            </w:pP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40DFB5B4">
            <w:pPr>
              <w:jc w:val="center"/>
              <w:rPr>
                <w:rFonts w:hAnsi="宋体" w:cs="宋体"/>
                <w:color w:val="auto"/>
                <w:szCs w:val="21"/>
                <w:highlight w:val="none"/>
              </w:rPr>
            </w:pPr>
          </w:p>
        </w:tc>
        <w:tc>
          <w:tcPr>
            <w:tcW w:w="478" w:type="pct"/>
            <w:tcBorders>
              <w:top w:val="single" w:color="000000" w:sz="4" w:space="0"/>
              <w:left w:val="single" w:color="000000" w:sz="4" w:space="0"/>
              <w:bottom w:val="single" w:color="000000" w:sz="4" w:space="0"/>
              <w:right w:val="single" w:color="000000" w:sz="4" w:space="0"/>
            </w:tcBorders>
            <w:noWrap/>
            <w:vAlign w:val="center"/>
          </w:tcPr>
          <w:p w14:paraId="517CF8FE">
            <w:pPr>
              <w:jc w:val="center"/>
              <w:rPr>
                <w:rFonts w:hAnsi="宋体" w:cs="宋体"/>
                <w:color w:val="auto"/>
                <w:szCs w:val="21"/>
                <w:highlight w:val="none"/>
              </w:rPr>
            </w:pPr>
          </w:p>
        </w:tc>
        <w:tc>
          <w:tcPr>
            <w:tcW w:w="479" w:type="pct"/>
            <w:tcBorders>
              <w:top w:val="single" w:color="000000" w:sz="4" w:space="0"/>
              <w:left w:val="single" w:color="000000" w:sz="4" w:space="0"/>
              <w:bottom w:val="single" w:color="000000" w:sz="4" w:space="0"/>
              <w:right w:val="single" w:color="000000" w:sz="4" w:space="0"/>
            </w:tcBorders>
            <w:noWrap/>
            <w:vAlign w:val="center"/>
          </w:tcPr>
          <w:p w14:paraId="72B62269">
            <w:pPr>
              <w:jc w:val="center"/>
              <w:rPr>
                <w:rFonts w:hAnsi="宋体" w:cs="宋体"/>
                <w:color w:val="auto"/>
                <w:szCs w:val="21"/>
                <w:highlight w:val="none"/>
              </w:rPr>
            </w:pPr>
          </w:p>
        </w:tc>
      </w:tr>
      <w:tr w14:paraId="58E40741">
        <w:tblPrEx>
          <w:tblCellMar>
            <w:top w:w="0" w:type="dxa"/>
            <w:left w:w="108" w:type="dxa"/>
            <w:bottom w:w="0" w:type="dxa"/>
            <w:right w:w="108" w:type="dxa"/>
          </w:tblCellMar>
        </w:tblPrEx>
        <w:trPr>
          <w:trHeight w:val="397"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56567346">
            <w:pPr>
              <w:jc w:val="center"/>
              <w:textAlignment w:val="center"/>
              <w:rPr>
                <w:rFonts w:hAnsi="宋体" w:cs="宋体"/>
                <w:color w:val="auto"/>
                <w:szCs w:val="21"/>
                <w:highlight w:val="none"/>
              </w:rPr>
            </w:pPr>
            <w:r>
              <w:rPr>
                <w:rFonts w:hint="eastAsia" w:hAnsi="宋体" w:cs="宋体"/>
                <w:color w:val="auto"/>
                <w:szCs w:val="21"/>
                <w:highlight w:val="none"/>
              </w:rPr>
              <w:t>9</w:t>
            </w:r>
          </w:p>
        </w:tc>
        <w:tc>
          <w:tcPr>
            <w:tcW w:w="570" w:type="pct"/>
            <w:tcBorders>
              <w:top w:val="single" w:color="000000" w:sz="4" w:space="0"/>
              <w:left w:val="single" w:color="000000" w:sz="4" w:space="0"/>
              <w:bottom w:val="single" w:color="000000" w:sz="4" w:space="0"/>
              <w:right w:val="single" w:color="000000" w:sz="4" w:space="0"/>
            </w:tcBorders>
            <w:noWrap/>
            <w:vAlign w:val="center"/>
          </w:tcPr>
          <w:p w14:paraId="1098323F">
            <w:pPr>
              <w:jc w:val="center"/>
              <w:rPr>
                <w:rFonts w:hAnsi="宋体" w:cs="宋体"/>
                <w:color w:val="auto"/>
                <w:szCs w:val="21"/>
                <w:highlight w:val="none"/>
              </w:rPr>
            </w:pPr>
          </w:p>
        </w:tc>
        <w:tc>
          <w:tcPr>
            <w:tcW w:w="600" w:type="pct"/>
            <w:tcBorders>
              <w:top w:val="single" w:color="000000" w:sz="4" w:space="0"/>
              <w:left w:val="single" w:color="000000" w:sz="4" w:space="0"/>
              <w:bottom w:val="single" w:color="000000" w:sz="4" w:space="0"/>
              <w:right w:val="single" w:color="000000" w:sz="4" w:space="0"/>
            </w:tcBorders>
            <w:noWrap/>
            <w:vAlign w:val="center"/>
          </w:tcPr>
          <w:p w14:paraId="47E0A985">
            <w:pPr>
              <w:jc w:val="center"/>
              <w:rPr>
                <w:rFonts w:hAnsi="宋体" w:cs="宋体"/>
                <w:color w:val="auto"/>
                <w:szCs w:val="21"/>
                <w:highlight w:val="none"/>
              </w:rPr>
            </w:pPr>
          </w:p>
        </w:tc>
        <w:tc>
          <w:tcPr>
            <w:tcW w:w="387" w:type="pct"/>
            <w:tcBorders>
              <w:top w:val="single" w:color="000000" w:sz="4" w:space="0"/>
              <w:left w:val="single" w:color="000000" w:sz="4" w:space="0"/>
              <w:bottom w:val="single" w:color="000000" w:sz="4" w:space="0"/>
              <w:right w:val="single" w:color="000000" w:sz="4" w:space="0"/>
            </w:tcBorders>
            <w:noWrap/>
            <w:vAlign w:val="center"/>
          </w:tcPr>
          <w:p w14:paraId="6D11D9B3">
            <w:pPr>
              <w:jc w:val="center"/>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777A920F">
            <w:pPr>
              <w:jc w:val="center"/>
              <w:rPr>
                <w:rFonts w:hAnsi="宋体" w:cs="宋体"/>
                <w:color w:val="auto"/>
                <w:szCs w:val="21"/>
                <w:highlight w:val="none"/>
              </w:rPr>
            </w:pP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00673C5F">
            <w:pPr>
              <w:jc w:val="center"/>
              <w:rPr>
                <w:rFonts w:hAnsi="宋体" w:cs="宋体"/>
                <w:color w:val="auto"/>
                <w:szCs w:val="21"/>
                <w:highlight w:val="none"/>
              </w:rPr>
            </w:pP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4A0ACAEE">
            <w:pPr>
              <w:jc w:val="center"/>
              <w:rPr>
                <w:rFonts w:hAnsi="宋体" w:cs="宋体"/>
                <w:color w:val="auto"/>
                <w:szCs w:val="21"/>
                <w:highlight w:val="none"/>
              </w:rPr>
            </w:pPr>
          </w:p>
        </w:tc>
        <w:tc>
          <w:tcPr>
            <w:tcW w:w="478" w:type="pct"/>
            <w:tcBorders>
              <w:top w:val="single" w:color="000000" w:sz="4" w:space="0"/>
              <w:left w:val="single" w:color="000000" w:sz="4" w:space="0"/>
              <w:bottom w:val="single" w:color="000000" w:sz="4" w:space="0"/>
              <w:right w:val="single" w:color="000000" w:sz="4" w:space="0"/>
            </w:tcBorders>
            <w:noWrap/>
            <w:vAlign w:val="center"/>
          </w:tcPr>
          <w:p w14:paraId="53713B1A">
            <w:pPr>
              <w:jc w:val="center"/>
              <w:rPr>
                <w:rFonts w:hAnsi="宋体" w:cs="宋体"/>
                <w:color w:val="auto"/>
                <w:szCs w:val="21"/>
                <w:highlight w:val="none"/>
              </w:rPr>
            </w:pPr>
          </w:p>
        </w:tc>
        <w:tc>
          <w:tcPr>
            <w:tcW w:w="479" w:type="pct"/>
            <w:tcBorders>
              <w:top w:val="single" w:color="000000" w:sz="4" w:space="0"/>
              <w:left w:val="single" w:color="000000" w:sz="4" w:space="0"/>
              <w:bottom w:val="single" w:color="000000" w:sz="4" w:space="0"/>
              <w:right w:val="single" w:color="000000" w:sz="4" w:space="0"/>
            </w:tcBorders>
            <w:noWrap/>
            <w:vAlign w:val="center"/>
          </w:tcPr>
          <w:p w14:paraId="1EC8203F">
            <w:pPr>
              <w:jc w:val="center"/>
              <w:rPr>
                <w:rFonts w:hAnsi="宋体" w:cs="宋体"/>
                <w:color w:val="auto"/>
                <w:szCs w:val="21"/>
                <w:highlight w:val="none"/>
              </w:rPr>
            </w:pPr>
          </w:p>
        </w:tc>
      </w:tr>
      <w:tr w14:paraId="14128F45">
        <w:tblPrEx>
          <w:tblCellMar>
            <w:top w:w="0" w:type="dxa"/>
            <w:left w:w="108" w:type="dxa"/>
            <w:bottom w:w="0" w:type="dxa"/>
            <w:right w:w="108" w:type="dxa"/>
          </w:tblCellMar>
        </w:tblPrEx>
        <w:trPr>
          <w:trHeight w:val="397"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77F5AD5F">
            <w:pPr>
              <w:jc w:val="center"/>
              <w:textAlignment w:val="center"/>
              <w:rPr>
                <w:rFonts w:hAnsi="宋体" w:cs="宋体"/>
                <w:color w:val="auto"/>
                <w:szCs w:val="21"/>
                <w:highlight w:val="none"/>
              </w:rPr>
            </w:pPr>
            <w:r>
              <w:rPr>
                <w:rFonts w:hint="eastAsia" w:hAnsi="宋体" w:cs="宋体"/>
                <w:color w:val="auto"/>
                <w:szCs w:val="21"/>
                <w:highlight w:val="none"/>
              </w:rPr>
              <w:t>10</w:t>
            </w:r>
          </w:p>
        </w:tc>
        <w:tc>
          <w:tcPr>
            <w:tcW w:w="570" w:type="pct"/>
            <w:tcBorders>
              <w:top w:val="single" w:color="000000" w:sz="4" w:space="0"/>
              <w:left w:val="single" w:color="000000" w:sz="4" w:space="0"/>
              <w:bottom w:val="single" w:color="000000" w:sz="4" w:space="0"/>
              <w:right w:val="single" w:color="000000" w:sz="4" w:space="0"/>
            </w:tcBorders>
            <w:noWrap/>
            <w:vAlign w:val="center"/>
          </w:tcPr>
          <w:p w14:paraId="237BE475">
            <w:pPr>
              <w:jc w:val="center"/>
              <w:rPr>
                <w:rFonts w:hAnsi="宋体" w:cs="宋体"/>
                <w:color w:val="auto"/>
                <w:szCs w:val="21"/>
                <w:highlight w:val="none"/>
              </w:rPr>
            </w:pPr>
          </w:p>
        </w:tc>
        <w:tc>
          <w:tcPr>
            <w:tcW w:w="600" w:type="pct"/>
            <w:tcBorders>
              <w:top w:val="single" w:color="000000" w:sz="4" w:space="0"/>
              <w:left w:val="single" w:color="000000" w:sz="4" w:space="0"/>
              <w:bottom w:val="single" w:color="000000" w:sz="4" w:space="0"/>
              <w:right w:val="single" w:color="000000" w:sz="4" w:space="0"/>
            </w:tcBorders>
            <w:noWrap/>
            <w:vAlign w:val="center"/>
          </w:tcPr>
          <w:p w14:paraId="167D8CDB">
            <w:pPr>
              <w:jc w:val="center"/>
              <w:rPr>
                <w:rFonts w:hAnsi="宋体" w:cs="宋体"/>
                <w:color w:val="auto"/>
                <w:szCs w:val="21"/>
                <w:highlight w:val="none"/>
              </w:rPr>
            </w:pPr>
          </w:p>
        </w:tc>
        <w:tc>
          <w:tcPr>
            <w:tcW w:w="387" w:type="pct"/>
            <w:tcBorders>
              <w:top w:val="single" w:color="000000" w:sz="4" w:space="0"/>
              <w:left w:val="single" w:color="000000" w:sz="4" w:space="0"/>
              <w:bottom w:val="single" w:color="000000" w:sz="4" w:space="0"/>
              <w:right w:val="single" w:color="000000" w:sz="4" w:space="0"/>
            </w:tcBorders>
            <w:noWrap/>
            <w:vAlign w:val="center"/>
          </w:tcPr>
          <w:p w14:paraId="631D5E13">
            <w:pPr>
              <w:jc w:val="center"/>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4BB1984C">
            <w:pPr>
              <w:jc w:val="center"/>
              <w:rPr>
                <w:rFonts w:hAnsi="宋体" w:cs="宋体"/>
                <w:color w:val="auto"/>
                <w:szCs w:val="21"/>
                <w:highlight w:val="none"/>
              </w:rPr>
            </w:pP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18C6BBE6">
            <w:pPr>
              <w:jc w:val="center"/>
              <w:rPr>
                <w:rFonts w:hAnsi="宋体" w:cs="宋体"/>
                <w:color w:val="auto"/>
                <w:szCs w:val="21"/>
                <w:highlight w:val="none"/>
              </w:rPr>
            </w:pP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1DE7A237">
            <w:pPr>
              <w:jc w:val="center"/>
              <w:rPr>
                <w:rFonts w:hAnsi="宋体" w:cs="宋体"/>
                <w:color w:val="auto"/>
                <w:szCs w:val="21"/>
                <w:highlight w:val="none"/>
              </w:rPr>
            </w:pPr>
          </w:p>
        </w:tc>
        <w:tc>
          <w:tcPr>
            <w:tcW w:w="478" w:type="pct"/>
            <w:tcBorders>
              <w:top w:val="single" w:color="000000" w:sz="4" w:space="0"/>
              <w:left w:val="single" w:color="000000" w:sz="4" w:space="0"/>
              <w:bottom w:val="single" w:color="000000" w:sz="4" w:space="0"/>
              <w:right w:val="single" w:color="000000" w:sz="4" w:space="0"/>
            </w:tcBorders>
            <w:noWrap/>
            <w:vAlign w:val="center"/>
          </w:tcPr>
          <w:p w14:paraId="4531AB41">
            <w:pPr>
              <w:jc w:val="center"/>
              <w:rPr>
                <w:rFonts w:hAnsi="宋体" w:cs="宋体"/>
                <w:color w:val="auto"/>
                <w:szCs w:val="21"/>
                <w:highlight w:val="none"/>
              </w:rPr>
            </w:pPr>
          </w:p>
        </w:tc>
        <w:tc>
          <w:tcPr>
            <w:tcW w:w="479" w:type="pct"/>
            <w:tcBorders>
              <w:top w:val="single" w:color="000000" w:sz="4" w:space="0"/>
              <w:left w:val="single" w:color="000000" w:sz="4" w:space="0"/>
              <w:bottom w:val="single" w:color="000000" w:sz="4" w:space="0"/>
              <w:right w:val="single" w:color="000000" w:sz="4" w:space="0"/>
            </w:tcBorders>
            <w:noWrap/>
            <w:vAlign w:val="center"/>
          </w:tcPr>
          <w:p w14:paraId="67A1E33F">
            <w:pPr>
              <w:jc w:val="center"/>
              <w:rPr>
                <w:rFonts w:hAnsi="宋体" w:cs="宋体"/>
                <w:color w:val="auto"/>
                <w:szCs w:val="21"/>
                <w:highlight w:val="none"/>
              </w:rPr>
            </w:pPr>
          </w:p>
        </w:tc>
      </w:tr>
      <w:tr w14:paraId="6BD01958">
        <w:tblPrEx>
          <w:tblCellMar>
            <w:top w:w="0" w:type="dxa"/>
            <w:left w:w="108" w:type="dxa"/>
            <w:bottom w:w="0" w:type="dxa"/>
            <w:right w:w="108" w:type="dxa"/>
          </w:tblCellMar>
        </w:tblPrEx>
        <w:trPr>
          <w:trHeight w:val="860" w:hRule="atLeast"/>
          <w:jc w:val="center"/>
        </w:trPr>
        <w:tc>
          <w:tcPr>
            <w:tcW w:w="5000" w:type="pct"/>
            <w:gridSpan w:val="9"/>
            <w:tcBorders>
              <w:top w:val="single" w:color="000000" w:sz="4" w:space="0"/>
              <w:left w:val="single" w:color="000000" w:sz="4" w:space="0"/>
              <w:bottom w:val="single" w:color="000000" w:sz="4" w:space="0"/>
              <w:right w:val="single" w:color="000000" w:sz="4" w:space="0"/>
            </w:tcBorders>
            <w:vAlign w:val="center"/>
          </w:tcPr>
          <w:p w14:paraId="1342E355">
            <w:pPr>
              <w:jc w:val="both"/>
              <w:textAlignment w:val="center"/>
              <w:rPr>
                <w:rFonts w:hAnsi="宋体" w:cs="宋体"/>
                <w:color w:val="auto"/>
                <w:szCs w:val="21"/>
                <w:highlight w:val="none"/>
              </w:rPr>
            </w:pPr>
            <w:r>
              <w:rPr>
                <w:rFonts w:hint="eastAsia" w:hAnsi="宋体" w:cs="宋体"/>
                <w:color w:val="auto"/>
                <w:szCs w:val="21"/>
                <w:highlight w:val="none"/>
              </w:rPr>
              <w:t>备注：</w:t>
            </w:r>
          </w:p>
          <w:p w14:paraId="0C104176">
            <w:pPr>
              <w:jc w:val="both"/>
              <w:textAlignment w:val="center"/>
              <w:rPr>
                <w:rFonts w:hAnsi="宋体" w:cs="宋体"/>
                <w:color w:val="auto"/>
                <w:szCs w:val="21"/>
                <w:highlight w:val="none"/>
              </w:rPr>
            </w:pPr>
            <w:r>
              <w:rPr>
                <w:rFonts w:hint="eastAsia" w:hAnsi="宋体" w:cs="宋体"/>
                <w:color w:val="auto"/>
                <w:szCs w:val="21"/>
                <w:highlight w:val="none"/>
              </w:rPr>
              <w:t>1、此承运单一式四联，白联存根，其余三联三方各执一联；</w:t>
            </w:r>
          </w:p>
          <w:p w14:paraId="094EF77D">
            <w:pPr>
              <w:jc w:val="both"/>
              <w:textAlignment w:val="center"/>
              <w:rPr>
                <w:rFonts w:hAnsi="宋体" w:cs="宋体"/>
                <w:color w:val="auto"/>
                <w:szCs w:val="21"/>
                <w:highlight w:val="none"/>
              </w:rPr>
            </w:pPr>
            <w:r>
              <w:rPr>
                <w:rFonts w:hint="eastAsia" w:hAnsi="宋体" w:cs="宋体"/>
                <w:b/>
                <w:bCs/>
                <w:color w:val="auto"/>
                <w:szCs w:val="21"/>
                <w:highlight w:val="none"/>
              </w:rPr>
              <w:t>2、袋装不扣皮，200L以下桶不扣皮，卡板和200L及以上桶按实际情况扣皮。</w:t>
            </w:r>
          </w:p>
        </w:tc>
      </w:tr>
      <w:tr w14:paraId="52CA2397">
        <w:tblPrEx>
          <w:tblCellMar>
            <w:top w:w="0" w:type="dxa"/>
            <w:left w:w="108" w:type="dxa"/>
            <w:bottom w:w="0" w:type="dxa"/>
            <w:right w:w="108" w:type="dxa"/>
          </w:tblCellMar>
        </w:tblPrEx>
        <w:trPr>
          <w:trHeight w:val="493"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2768ED5A">
            <w:pPr>
              <w:jc w:val="center"/>
              <w:textAlignment w:val="center"/>
              <w:rPr>
                <w:rFonts w:hAnsi="宋体" w:cs="宋体"/>
                <w:color w:val="auto"/>
                <w:szCs w:val="21"/>
                <w:highlight w:val="none"/>
              </w:rPr>
            </w:pPr>
            <w:r>
              <w:rPr>
                <w:rFonts w:hint="eastAsia" w:hAnsi="宋体" w:cs="宋体"/>
                <w:color w:val="auto"/>
                <w:szCs w:val="21"/>
                <w:highlight w:val="none"/>
              </w:rPr>
              <w:t>车牌号：</w:t>
            </w:r>
          </w:p>
        </w:tc>
        <w:tc>
          <w:tcPr>
            <w:tcW w:w="570" w:type="pct"/>
            <w:tcBorders>
              <w:top w:val="single" w:color="000000" w:sz="4" w:space="0"/>
              <w:left w:val="single" w:color="000000" w:sz="4" w:space="0"/>
              <w:bottom w:val="single" w:color="000000" w:sz="4" w:space="0"/>
              <w:right w:val="single" w:color="000000" w:sz="4" w:space="0"/>
            </w:tcBorders>
            <w:noWrap/>
            <w:vAlign w:val="center"/>
          </w:tcPr>
          <w:p w14:paraId="57360B32">
            <w:pPr>
              <w:jc w:val="center"/>
              <w:rPr>
                <w:rFonts w:hAnsi="宋体" w:cs="宋体"/>
                <w:color w:val="auto"/>
                <w:szCs w:val="21"/>
                <w:highlight w:val="none"/>
              </w:rPr>
            </w:pPr>
          </w:p>
        </w:tc>
        <w:tc>
          <w:tcPr>
            <w:tcW w:w="600" w:type="pct"/>
            <w:tcBorders>
              <w:top w:val="single" w:color="000000" w:sz="4" w:space="0"/>
              <w:left w:val="single" w:color="000000" w:sz="4" w:space="0"/>
              <w:bottom w:val="single" w:color="000000" w:sz="4" w:space="0"/>
              <w:right w:val="single" w:color="000000" w:sz="4" w:space="0"/>
            </w:tcBorders>
            <w:noWrap/>
            <w:vAlign w:val="center"/>
          </w:tcPr>
          <w:p w14:paraId="61D19DCC">
            <w:pPr>
              <w:jc w:val="center"/>
              <w:textAlignment w:val="center"/>
              <w:rPr>
                <w:rFonts w:hAnsi="宋体" w:cs="宋体"/>
                <w:color w:val="auto"/>
                <w:szCs w:val="21"/>
                <w:highlight w:val="none"/>
              </w:rPr>
            </w:pPr>
            <w:r>
              <w:rPr>
                <w:rFonts w:hint="eastAsia" w:hAnsi="宋体" w:cs="宋体"/>
                <w:color w:val="auto"/>
                <w:szCs w:val="21"/>
                <w:highlight w:val="none"/>
              </w:rPr>
              <w:t>司机/押运：</w:t>
            </w:r>
          </w:p>
        </w:tc>
        <w:tc>
          <w:tcPr>
            <w:tcW w:w="387" w:type="pct"/>
            <w:tcBorders>
              <w:top w:val="single" w:color="000000" w:sz="4" w:space="0"/>
              <w:left w:val="single" w:color="000000" w:sz="4" w:space="0"/>
              <w:bottom w:val="single" w:color="000000" w:sz="4" w:space="0"/>
              <w:right w:val="single" w:color="000000" w:sz="4" w:space="0"/>
            </w:tcBorders>
            <w:noWrap/>
            <w:vAlign w:val="center"/>
          </w:tcPr>
          <w:p w14:paraId="19DB9C1D">
            <w:pPr>
              <w:jc w:val="center"/>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58D1AD3F">
            <w:pPr>
              <w:jc w:val="center"/>
              <w:textAlignment w:val="center"/>
              <w:rPr>
                <w:rFonts w:hAnsi="宋体" w:cs="宋体"/>
                <w:color w:val="auto"/>
                <w:szCs w:val="21"/>
                <w:highlight w:val="none"/>
              </w:rPr>
            </w:pPr>
            <w:r>
              <w:rPr>
                <w:rFonts w:hint="eastAsia" w:hAnsi="宋体" w:cs="宋体"/>
                <w:color w:val="auto"/>
                <w:szCs w:val="21"/>
                <w:highlight w:val="none"/>
              </w:rPr>
              <w:t>产废单位签名：</w:t>
            </w: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6ECA11EC">
            <w:pPr>
              <w:jc w:val="center"/>
              <w:rPr>
                <w:rFonts w:hAnsi="宋体" w:cs="宋体"/>
                <w:color w:val="auto"/>
                <w:szCs w:val="21"/>
                <w:highlight w:val="none"/>
              </w:rPr>
            </w:pP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7ED8DA5D">
            <w:pPr>
              <w:jc w:val="center"/>
              <w:textAlignment w:val="center"/>
              <w:rPr>
                <w:rFonts w:hAnsi="宋体" w:cs="宋体"/>
                <w:color w:val="auto"/>
                <w:szCs w:val="21"/>
                <w:highlight w:val="none"/>
              </w:rPr>
            </w:pPr>
            <w:r>
              <w:rPr>
                <w:rFonts w:hint="eastAsia" w:hAnsi="宋体" w:cs="宋体"/>
                <w:color w:val="auto"/>
                <w:szCs w:val="21"/>
                <w:highlight w:val="none"/>
              </w:rPr>
              <w:t>处置单位签字/日期：</w:t>
            </w:r>
          </w:p>
        </w:tc>
        <w:tc>
          <w:tcPr>
            <w:tcW w:w="958" w:type="pct"/>
            <w:gridSpan w:val="2"/>
            <w:tcBorders>
              <w:top w:val="single" w:color="000000" w:sz="4" w:space="0"/>
              <w:left w:val="single" w:color="000000" w:sz="4" w:space="0"/>
              <w:bottom w:val="single" w:color="000000" w:sz="4" w:space="0"/>
              <w:right w:val="single" w:color="000000" w:sz="4" w:space="0"/>
            </w:tcBorders>
            <w:noWrap/>
            <w:vAlign w:val="center"/>
          </w:tcPr>
          <w:p w14:paraId="0AE678A7">
            <w:pPr>
              <w:jc w:val="center"/>
              <w:rPr>
                <w:rFonts w:hAnsi="宋体" w:cs="宋体"/>
                <w:color w:val="auto"/>
                <w:szCs w:val="21"/>
                <w:highlight w:val="none"/>
              </w:rPr>
            </w:pPr>
          </w:p>
        </w:tc>
      </w:tr>
    </w:tbl>
    <w:p w14:paraId="31CB4055">
      <w:pPr>
        <w:outlineLvl w:val="1"/>
        <w:rPr>
          <w:rFonts w:hint="eastAsia" w:ascii="宋体" w:hAnsi="宋体" w:eastAsia="宋体"/>
          <w:b/>
          <w:color w:val="auto"/>
          <w:sz w:val="21"/>
          <w:szCs w:val="21"/>
          <w:highlight w:val="none"/>
          <w:lang w:eastAsia="zh-CN"/>
        </w:rPr>
      </w:pPr>
      <w:r>
        <w:rPr>
          <w:rFonts w:hint="eastAsia" w:ascii="宋体" w:hAnsi="宋体"/>
          <w:b/>
          <w:color w:val="auto"/>
          <w:sz w:val="24"/>
          <w:highlight w:val="none"/>
        </w:rPr>
        <w:br w:type="page"/>
      </w:r>
      <w:bookmarkStart w:id="973" w:name="_Toc18919"/>
      <w:bookmarkStart w:id="974" w:name="_Toc15692"/>
      <w:bookmarkStart w:id="975" w:name="_Toc7965"/>
      <w:bookmarkStart w:id="976" w:name="_Toc11284"/>
      <w:bookmarkStart w:id="977" w:name="_Toc5582"/>
      <w:bookmarkStart w:id="978" w:name="_Toc5150"/>
      <w:bookmarkStart w:id="979" w:name="_Toc1598"/>
      <w:bookmarkStart w:id="980" w:name="_Toc27372"/>
      <w:bookmarkStart w:id="981" w:name="_Toc3536"/>
      <w:bookmarkStart w:id="982" w:name="_Toc13638"/>
      <w:bookmarkStart w:id="983" w:name="_Toc22481"/>
      <w:r>
        <w:rPr>
          <w:rFonts w:hint="eastAsia" w:ascii="宋体" w:hAnsi="宋体"/>
          <w:b/>
          <w:color w:val="auto"/>
          <w:sz w:val="21"/>
          <w:szCs w:val="21"/>
          <w:highlight w:val="none"/>
          <w:lang w:val="en-US" w:eastAsia="zh-CN"/>
        </w:rPr>
        <w:t>合同</w:t>
      </w:r>
      <w:r>
        <w:rPr>
          <w:rFonts w:hint="eastAsia" w:ascii="宋体" w:hAnsi="宋体"/>
          <w:b/>
          <w:color w:val="auto"/>
          <w:sz w:val="21"/>
          <w:szCs w:val="21"/>
          <w:highlight w:val="none"/>
        </w:rPr>
        <w:t>附件9：</w:t>
      </w:r>
      <w:r>
        <w:rPr>
          <w:rFonts w:hint="eastAsia" w:ascii="宋体" w:hAnsi="宋体"/>
          <w:b/>
          <w:color w:val="auto"/>
          <w:sz w:val="21"/>
          <w:szCs w:val="21"/>
          <w:highlight w:val="none"/>
          <w:lang w:eastAsia="zh-CN"/>
        </w:rPr>
        <w:t>《</w:t>
      </w:r>
      <w:r>
        <w:rPr>
          <w:rFonts w:hint="eastAsia" w:ascii="宋体" w:hAnsi="宋体"/>
          <w:b/>
          <w:color w:val="auto"/>
          <w:szCs w:val="21"/>
          <w:highlight w:val="none"/>
        </w:rPr>
        <w:t>东莞市新东欣环保投资有限公司202</w:t>
      </w:r>
      <w:r>
        <w:rPr>
          <w:rFonts w:hint="eastAsia" w:ascii="宋体" w:hAnsi="宋体"/>
          <w:b/>
          <w:color w:val="auto"/>
          <w:szCs w:val="21"/>
          <w:highlight w:val="none"/>
          <w:lang w:val="en-US" w:eastAsia="zh-CN"/>
        </w:rPr>
        <w:t>5</w:t>
      </w:r>
      <w:r>
        <w:rPr>
          <w:rFonts w:hint="eastAsia" w:ascii="宋体" w:hAnsi="宋体"/>
          <w:b/>
          <w:color w:val="auto"/>
          <w:szCs w:val="21"/>
          <w:highlight w:val="none"/>
        </w:rPr>
        <w:t>-202</w:t>
      </w:r>
      <w:r>
        <w:rPr>
          <w:rFonts w:hint="eastAsia" w:ascii="宋体" w:hAnsi="宋体"/>
          <w:b/>
          <w:color w:val="auto"/>
          <w:szCs w:val="21"/>
          <w:highlight w:val="none"/>
          <w:lang w:val="en-US" w:eastAsia="zh-CN"/>
        </w:rPr>
        <w:t>6</w:t>
      </w:r>
      <w:r>
        <w:rPr>
          <w:rFonts w:hint="eastAsia" w:ascii="宋体" w:hAnsi="宋体"/>
          <w:b/>
          <w:color w:val="auto"/>
          <w:szCs w:val="21"/>
          <w:highlight w:val="none"/>
        </w:rPr>
        <w:t>年度危险废物运输服务技术需求书</w:t>
      </w:r>
      <w:r>
        <w:rPr>
          <w:rFonts w:hint="eastAsia" w:ascii="宋体" w:hAnsi="宋体"/>
          <w:b/>
          <w:color w:val="auto"/>
          <w:sz w:val="21"/>
          <w:szCs w:val="21"/>
          <w:highlight w:val="none"/>
          <w:lang w:eastAsia="zh-CN"/>
        </w:rPr>
        <w:t>》</w:t>
      </w:r>
      <w:bookmarkEnd w:id="973"/>
    </w:p>
    <w:p w14:paraId="7FA0C8F5">
      <w:pPr>
        <w:outlineLvl w:val="9"/>
        <w:rPr>
          <w:rFonts w:hint="eastAsia" w:ascii="宋体" w:hAnsi="宋体"/>
          <w:b/>
          <w:color w:val="auto"/>
          <w:sz w:val="21"/>
          <w:szCs w:val="21"/>
          <w:highlight w:val="none"/>
          <w:lang w:val="en-US" w:eastAsia="zh-CN"/>
        </w:rPr>
      </w:pPr>
    </w:p>
    <w:p w14:paraId="1E8F753D">
      <w:pPr>
        <w:jc w:val="center"/>
        <w:outlineLvl w:val="9"/>
        <w:rPr>
          <w:rFonts w:hint="eastAsia" w:ascii="宋体" w:hAnsi="宋体"/>
          <w:b/>
          <w:color w:val="auto"/>
          <w:sz w:val="21"/>
          <w:szCs w:val="21"/>
          <w:highlight w:val="none"/>
          <w:lang w:val="en-US" w:eastAsia="zh-CN"/>
        </w:rPr>
        <w:sectPr>
          <w:pgSz w:w="11906" w:h="16838"/>
          <w:pgMar w:top="1440" w:right="1800" w:bottom="1440" w:left="1800" w:header="708" w:footer="708" w:gutter="0"/>
          <w:pgBorders>
            <w:top w:val="none" w:sz="0" w:space="0"/>
            <w:left w:val="none" w:sz="0" w:space="0"/>
            <w:bottom w:val="none" w:sz="0" w:space="0"/>
            <w:right w:val="none" w:sz="0" w:space="0"/>
          </w:pgBorders>
          <w:pgNumType w:fmt="decimal"/>
          <w:cols w:space="708" w:num="1"/>
          <w:titlePg/>
          <w:docGrid w:type="lines" w:linePitch="360" w:charSpace="0"/>
        </w:sectPr>
      </w:pPr>
      <w:bookmarkStart w:id="984" w:name="_Toc28512"/>
      <w:r>
        <w:rPr>
          <w:rFonts w:hint="eastAsia" w:ascii="宋体" w:hAnsi="宋体"/>
          <w:b/>
          <w:color w:val="auto"/>
          <w:sz w:val="21"/>
          <w:szCs w:val="21"/>
          <w:highlight w:val="none"/>
          <w:lang w:val="en-US" w:eastAsia="zh-CN"/>
        </w:rPr>
        <w:t>（详见采购文件第二章：技术需求书）</w:t>
      </w:r>
      <w:bookmarkEnd w:id="984"/>
    </w:p>
    <w:p w14:paraId="388413BD">
      <w:pPr>
        <w:outlineLvl w:val="1"/>
        <w:rPr>
          <w:rFonts w:ascii="宋体" w:hAnsi="宋体"/>
          <w:b/>
          <w:color w:val="auto"/>
          <w:sz w:val="24"/>
          <w:highlight w:val="none"/>
        </w:rPr>
      </w:pPr>
      <w:bookmarkStart w:id="985" w:name="_Toc7349"/>
      <w:r>
        <w:rPr>
          <w:rFonts w:hint="eastAsia" w:ascii="宋体" w:hAnsi="宋体"/>
          <w:b/>
          <w:color w:val="auto"/>
          <w:sz w:val="21"/>
          <w:szCs w:val="21"/>
          <w:highlight w:val="none"/>
          <w:lang w:val="en-US" w:eastAsia="zh-CN"/>
        </w:rPr>
        <w:t>合同附件10：</w:t>
      </w:r>
      <w:r>
        <w:rPr>
          <w:rFonts w:hint="eastAsia" w:ascii="宋体" w:hAnsi="宋体"/>
          <w:b/>
          <w:color w:val="auto"/>
          <w:sz w:val="21"/>
          <w:szCs w:val="21"/>
          <w:highlight w:val="none"/>
        </w:rPr>
        <w:t>《阳光合作协议》</w:t>
      </w:r>
      <w:bookmarkEnd w:id="974"/>
      <w:bookmarkEnd w:id="975"/>
      <w:bookmarkEnd w:id="976"/>
      <w:bookmarkEnd w:id="977"/>
      <w:bookmarkEnd w:id="978"/>
      <w:bookmarkEnd w:id="979"/>
      <w:bookmarkEnd w:id="980"/>
      <w:bookmarkEnd w:id="981"/>
      <w:bookmarkEnd w:id="982"/>
      <w:bookmarkEnd w:id="983"/>
      <w:bookmarkEnd w:id="985"/>
    </w:p>
    <w:p w14:paraId="3B138C39">
      <w:pPr>
        <w:rPr>
          <w:rFonts w:ascii="宋体" w:hAnsi="宋体" w:cs="Times New Roman"/>
          <w:b/>
          <w:color w:val="auto"/>
          <w:sz w:val="24"/>
          <w:highlight w:val="none"/>
        </w:rPr>
      </w:pPr>
    </w:p>
    <w:p w14:paraId="28970AF8">
      <w:pPr>
        <w:jc w:val="center"/>
        <w:rPr>
          <w:b/>
          <w:bCs/>
          <w:color w:val="auto"/>
          <w:sz w:val="32"/>
          <w:szCs w:val="32"/>
          <w:highlight w:val="none"/>
        </w:rPr>
      </w:pPr>
      <w:bookmarkStart w:id="986" w:name="_Toc31539"/>
      <w:bookmarkStart w:id="987" w:name="_Toc2825"/>
      <w:bookmarkStart w:id="988" w:name="_Toc30736"/>
      <w:bookmarkStart w:id="989" w:name="_Toc6739"/>
      <w:bookmarkStart w:id="990" w:name="_Toc19734"/>
      <w:bookmarkStart w:id="991" w:name="_Toc25909"/>
      <w:bookmarkStart w:id="992" w:name="_Toc4917"/>
      <w:r>
        <w:rPr>
          <w:rFonts w:hint="eastAsia"/>
          <w:b/>
          <w:bCs/>
          <w:color w:val="auto"/>
          <w:sz w:val="32"/>
          <w:szCs w:val="32"/>
          <w:highlight w:val="none"/>
        </w:rPr>
        <w:t>阳光合作协议</w:t>
      </w:r>
    </w:p>
    <w:p w14:paraId="27F3A52E">
      <w:pPr>
        <w:spacing w:before="180" w:beforeLines="50" w:after="180" w:afterLines="50"/>
        <w:ind w:firstLine="420" w:firstLineChars="200"/>
        <w:contextualSpacing/>
        <w:rPr>
          <w:rFonts w:ascii="宋体" w:hAnsi="宋体"/>
          <w:color w:val="auto"/>
          <w:szCs w:val="21"/>
          <w:highlight w:val="none"/>
        </w:rPr>
      </w:pPr>
    </w:p>
    <w:p w14:paraId="2B4EFFB0">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甲方：</w:t>
      </w:r>
      <w:r>
        <w:rPr>
          <w:rFonts w:hint="eastAsia" w:ascii="宋体" w:hAnsi="宋体"/>
          <w:color w:val="auto"/>
          <w:szCs w:val="21"/>
          <w:highlight w:val="none"/>
          <w:u w:val="single"/>
        </w:rPr>
        <w:t xml:space="preserve">                                      </w:t>
      </w:r>
    </w:p>
    <w:p w14:paraId="6EF6827E">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乙方：</w:t>
      </w:r>
      <w:r>
        <w:rPr>
          <w:rFonts w:hint="eastAsia" w:ascii="宋体" w:hAnsi="宋体"/>
          <w:color w:val="auto"/>
          <w:szCs w:val="21"/>
          <w:highlight w:val="none"/>
          <w:u w:val="single"/>
        </w:rPr>
        <w:t xml:space="preserve">                                       </w:t>
      </w:r>
    </w:p>
    <w:p w14:paraId="19C606DC">
      <w:pPr>
        <w:spacing w:before="180" w:beforeLines="50" w:after="180" w:afterLines="50"/>
        <w:ind w:firstLine="420" w:firstLineChars="200"/>
        <w:contextualSpacing/>
        <w:rPr>
          <w:rFonts w:ascii="宋体" w:hAnsi="宋体"/>
          <w:color w:val="auto"/>
          <w:szCs w:val="21"/>
          <w:highlight w:val="none"/>
        </w:rPr>
      </w:pPr>
    </w:p>
    <w:p w14:paraId="6A63A59E">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甲乙双方于</w:t>
      </w:r>
      <w:r>
        <w:rPr>
          <w:rFonts w:hint="eastAsia" w:ascii="宋体" w:hAnsi="宋体"/>
          <w:color w:val="auto"/>
          <w:szCs w:val="21"/>
          <w:highlight w:val="none"/>
          <w:u w:val="single"/>
        </w:rPr>
        <w:t xml:space="preserve">      </w:t>
      </w:r>
      <w:r>
        <w:rPr>
          <w:rFonts w:hint="eastAsia" w:ascii="宋体" w:hAnsi="宋体"/>
          <w:color w:val="auto"/>
          <w:szCs w:val="21"/>
          <w:highlight w:val="none"/>
        </w:rPr>
        <w:t>年</w:t>
      </w:r>
      <w:r>
        <w:rPr>
          <w:rFonts w:hint="eastAsia" w:ascii="宋体" w:hAnsi="宋体"/>
          <w:color w:val="auto"/>
          <w:szCs w:val="21"/>
          <w:highlight w:val="none"/>
          <w:u w:val="single"/>
        </w:rPr>
        <w:t xml:space="preserve">      </w:t>
      </w:r>
      <w:r>
        <w:rPr>
          <w:rFonts w:hint="eastAsia" w:ascii="宋体" w:hAnsi="宋体"/>
          <w:color w:val="auto"/>
          <w:szCs w:val="21"/>
          <w:highlight w:val="none"/>
        </w:rPr>
        <w:t>月</w:t>
      </w:r>
      <w:r>
        <w:rPr>
          <w:rFonts w:hint="eastAsia" w:ascii="宋体" w:hAnsi="宋体"/>
          <w:color w:val="auto"/>
          <w:szCs w:val="21"/>
          <w:highlight w:val="none"/>
          <w:u w:val="single"/>
        </w:rPr>
        <w:t xml:space="preserve">      </w:t>
      </w:r>
      <w:r>
        <w:rPr>
          <w:rFonts w:hint="eastAsia" w:ascii="宋体" w:hAnsi="宋体"/>
          <w:color w:val="auto"/>
          <w:szCs w:val="21"/>
          <w:highlight w:val="none"/>
        </w:rPr>
        <w:t>日签署了《……合同》（以下简称原合同），为加强双方阳光合作，保证职员职业安全，甲乙双方经协商签订本协议并作为双方共同遵守的阳光合作行为准则。</w:t>
      </w:r>
    </w:p>
    <w:p w14:paraId="18C0C738">
      <w:pPr>
        <w:spacing w:before="180" w:beforeLines="50" w:after="180" w:afterLines="50"/>
        <w:ind w:firstLine="422" w:firstLineChars="200"/>
        <w:contextualSpacing/>
        <w:rPr>
          <w:rFonts w:ascii="宋体" w:hAnsi="宋体"/>
          <w:b/>
          <w:bCs/>
          <w:color w:val="auto"/>
          <w:szCs w:val="21"/>
          <w:highlight w:val="none"/>
        </w:rPr>
      </w:pPr>
      <w:r>
        <w:rPr>
          <w:rFonts w:hint="eastAsia" w:ascii="宋体" w:hAnsi="宋体"/>
          <w:b/>
          <w:bCs/>
          <w:color w:val="auto"/>
          <w:szCs w:val="21"/>
          <w:highlight w:val="none"/>
        </w:rPr>
        <w:t>一、甲方责任</w:t>
      </w:r>
    </w:p>
    <w:p w14:paraId="2869E962">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1.甲方有责任向乙方介绍本单位有关采购管理通用原则和本协议的规定。</w:t>
      </w:r>
    </w:p>
    <w:p w14:paraId="6794079B">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2.甲方有责任对本单位相关人员进行阳光合作教育。</w:t>
      </w:r>
    </w:p>
    <w:p w14:paraId="484396E3">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 xml:space="preserve">3.甲方人员应严格遵守本单位有关阳光合作管理的规定，不得接受乙方任何形式的回扣、实物、现金、有价证券、礼券等有价物品，不得参加乙方提供的旅游或其他可能影响职务行为公正履行的活动。 </w:t>
      </w:r>
    </w:p>
    <w:p w14:paraId="6897DA7E">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4.甲方人员如违反阳光合作管理制度及本协议规定，甲方视情节轻重、影响大小给予行政及经济处罚。</w:t>
      </w:r>
    </w:p>
    <w:p w14:paraId="17260976">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5．对于乙方举报甲方人员违反阳光合作规定的情况，甲方应及时进行调查，根据调查情况进行处理，并将调查结果向乙方反馈。</w:t>
      </w:r>
    </w:p>
    <w:p w14:paraId="46DEC5D0">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6.接受举报的一方应为举报方保密，不得对举报方进行报复，对举报属实和严格遵守《阳光合作协议》的合作方，在同等条件下给予后续合作的优先权。</w:t>
      </w:r>
    </w:p>
    <w:p w14:paraId="13FCA914">
      <w:pPr>
        <w:spacing w:before="180" w:beforeLines="50" w:after="180" w:afterLines="50"/>
        <w:ind w:firstLine="422" w:firstLineChars="200"/>
        <w:contextualSpacing/>
        <w:rPr>
          <w:rFonts w:ascii="宋体" w:hAnsi="宋体"/>
          <w:b/>
          <w:bCs/>
          <w:color w:val="auto"/>
          <w:szCs w:val="21"/>
          <w:highlight w:val="none"/>
        </w:rPr>
      </w:pPr>
      <w:r>
        <w:rPr>
          <w:rFonts w:hint="eastAsia" w:ascii="宋体" w:hAnsi="宋体"/>
          <w:b/>
          <w:bCs/>
          <w:color w:val="auto"/>
          <w:szCs w:val="21"/>
          <w:highlight w:val="none"/>
        </w:rPr>
        <w:t>二、乙方责任</w:t>
      </w:r>
    </w:p>
    <w:p w14:paraId="46FD4642">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1.乙方应保证乙方人员了解甲方有关采购管理通用原则和及本协议的规定，并遵照执行。</w:t>
      </w:r>
    </w:p>
    <w:p w14:paraId="43F4CC01">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2.乙方不得以任何形式给予甲方人员回扣、赠送实物、现金、有价证券、礼券等有价物品或提供旅游等其他可能影响职务行为公正履行的活动（以下统称“财物”）。</w:t>
      </w:r>
    </w:p>
    <w:p w14:paraId="2561A943">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3.乙方有责任接受甲方对乙方在合作期间阳光合作管理执行情况的监督，并对甲方相关调查工作主动配合。</w:t>
      </w:r>
    </w:p>
    <w:p w14:paraId="43697547">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4.乙方有义务就甲方人员任何形式的索取或收受财物行为及时向甲方（直接联系人为东莞实业投资控股集团有限公司法律合规部）举报。如乙方或其人员向甲方人员给予财物，或甲方人员向乙方索取财物，乙方满足其要求并且未向甲方举报的，一经查实（包括但不限于被甲方核实属实，或者被司法机关或第三方核实属实的），甲方将在内部通报；乙方除应向甲方赔偿由此给甲方造成的损失外，乙方还应向甲方支付相当于原合同总价的10%的违约金，并对乙方知情不报人员进行相应处罚；连续出现2次及以上类似情况或者如因乙方在合作期间贿赂甲方人员，被司法机关立案查处核实属实的，甲方有权解除原合同，如甲方解除原合同的，则乙方应退还甲方所支付的所有款项并按原合同与本合同约定承担违约责任，且五年之内不得作为东实集团（东莞实业投资控股集团有限公司及下属子公司）合格供应商。</w:t>
      </w:r>
    </w:p>
    <w:p w14:paraId="6D50C676">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 xml:space="preserve">5．甲方接受乙方实名或匿名举报，保证为举报者的信息保密，常设举报部门及电话： </w:t>
      </w:r>
    </w:p>
    <w:p w14:paraId="62B4E364">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举报受理部门：东莞实业投资控股集团有限公司法律合规部</w:t>
      </w:r>
    </w:p>
    <w:p w14:paraId="42B925D3">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东实集团举报邮箱：dgsyxf@163.com</w:t>
      </w:r>
    </w:p>
    <w:p w14:paraId="3ADD7CBF">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东实集团举报电话：0769-28820703（周一至周五9:00-12:00和14:00-18:00）</w:t>
      </w:r>
    </w:p>
    <w:p w14:paraId="5031106C">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邮寄地址：东莞市东城区八一路1号机关二号大院9号楼，东莞实业投资控股集团有限公司法律合规部收，邮编523000。</w:t>
      </w:r>
    </w:p>
    <w:p w14:paraId="3C8345C7">
      <w:pPr>
        <w:spacing w:before="180" w:beforeLines="50" w:after="180" w:afterLines="50"/>
        <w:ind w:firstLine="422" w:firstLineChars="200"/>
        <w:contextualSpacing/>
        <w:rPr>
          <w:rFonts w:ascii="宋体" w:hAnsi="宋体"/>
          <w:b/>
          <w:bCs/>
          <w:color w:val="auto"/>
          <w:szCs w:val="21"/>
          <w:highlight w:val="none"/>
        </w:rPr>
      </w:pPr>
      <w:r>
        <w:rPr>
          <w:rFonts w:hint="eastAsia" w:ascii="宋体" w:hAnsi="宋体"/>
          <w:b/>
          <w:bCs/>
          <w:color w:val="auto"/>
          <w:szCs w:val="21"/>
          <w:highlight w:val="none"/>
        </w:rPr>
        <w:t>三、其他</w:t>
      </w:r>
    </w:p>
    <w:p w14:paraId="72F15946">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1.本协议是原合同的补充协议，与原合同有同等法律效力。</w:t>
      </w:r>
    </w:p>
    <w:p w14:paraId="3BAD156F">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2.本协议一式陆份，甲方执肆份，乙方执贰份,具有同等法律效力。</w:t>
      </w:r>
    </w:p>
    <w:p w14:paraId="4AED8540">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3.本协议经双方签署后生效。</w:t>
      </w:r>
    </w:p>
    <w:p w14:paraId="3C26D2AD">
      <w:pPr>
        <w:adjustRightInd/>
        <w:snapToGrid/>
        <w:ind w:firstLine="480" w:firstLineChars="200"/>
        <w:contextualSpacing/>
        <w:jc w:val="both"/>
        <w:rPr>
          <w:rFonts w:ascii="楷体" w:hAnsi="楷体" w:eastAsia="楷体"/>
          <w:color w:val="auto"/>
          <w:sz w:val="24"/>
          <w:szCs w:val="24"/>
          <w:highlight w:val="none"/>
        </w:rPr>
      </w:pPr>
    </w:p>
    <w:p w14:paraId="3CDF5F1B">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 xml:space="preserve">甲方（盖章）：                      乙方（盖章）： </w:t>
      </w:r>
    </w:p>
    <w:p w14:paraId="6D465D47">
      <w:pPr>
        <w:spacing w:before="180" w:beforeLines="50" w:after="180" w:afterLines="50"/>
        <w:ind w:firstLine="420" w:firstLineChars="200"/>
        <w:contextualSpacing/>
        <w:rPr>
          <w:rFonts w:ascii="宋体" w:hAnsi="宋体"/>
          <w:color w:val="auto"/>
          <w:szCs w:val="21"/>
          <w:highlight w:val="none"/>
        </w:rPr>
      </w:pPr>
    </w:p>
    <w:p w14:paraId="1255210E">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法定代表人（授权代表）：</w:t>
      </w:r>
      <w:r>
        <w:rPr>
          <w:rFonts w:hint="eastAsia" w:ascii="宋体" w:hAnsi="宋体"/>
          <w:color w:val="auto"/>
          <w:szCs w:val="21"/>
          <w:highlight w:val="none"/>
        </w:rPr>
        <w:tab/>
      </w:r>
      <w:r>
        <w:rPr>
          <w:rFonts w:hint="eastAsia" w:ascii="宋体" w:hAnsi="宋体"/>
          <w:color w:val="auto"/>
          <w:szCs w:val="21"/>
          <w:highlight w:val="none"/>
        </w:rPr>
        <w:t xml:space="preserve">      法定代表人（授权代表）：</w:t>
      </w:r>
    </w:p>
    <w:p w14:paraId="3D0BCF29">
      <w:pPr>
        <w:spacing w:before="180" w:beforeLines="50" w:after="180" w:afterLines="50"/>
        <w:ind w:firstLine="420" w:firstLineChars="200"/>
        <w:contextualSpacing/>
        <w:rPr>
          <w:rFonts w:ascii="宋体" w:hAnsi="宋体"/>
          <w:color w:val="auto"/>
          <w:szCs w:val="21"/>
          <w:highlight w:val="none"/>
        </w:rPr>
      </w:pPr>
    </w:p>
    <w:p w14:paraId="17569080">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签约日期：   年   月   日</w:t>
      </w:r>
      <w:r>
        <w:rPr>
          <w:rFonts w:hint="eastAsia" w:ascii="宋体" w:hAnsi="宋体"/>
          <w:color w:val="auto"/>
          <w:szCs w:val="21"/>
          <w:highlight w:val="none"/>
        </w:rPr>
        <w:tab/>
      </w:r>
      <w:r>
        <w:rPr>
          <w:rFonts w:hint="eastAsia" w:ascii="宋体" w:hAnsi="宋体"/>
          <w:color w:val="auto"/>
          <w:szCs w:val="21"/>
          <w:highlight w:val="none"/>
        </w:rPr>
        <w:t xml:space="preserve">       签约日期：   年   月   日</w:t>
      </w:r>
    </w:p>
    <w:bookmarkEnd w:id="986"/>
    <w:bookmarkEnd w:id="987"/>
    <w:bookmarkEnd w:id="988"/>
    <w:bookmarkEnd w:id="989"/>
    <w:bookmarkEnd w:id="990"/>
    <w:bookmarkEnd w:id="991"/>
    <w:bookmarkEnd w:id="992"/>
    <w:p w14:paraId="0BB391D3">
      <w:pPr>
        <w:rPr>
          <w:color w:val="auto"/>
          <w:highlight w:val="none"/>
        </w:rPr>
      </w:pPr>
      <w:r>
        <w:rPr>
          <w:color w:val="auto"/>
          <w:highlight w:val="none"/>
          <w:lang w:bidi="zh-CN"/>
        </w:rPr>
        <w:br w:type="page"/>
      </w:r>
    </w:p>
    <w:p w14:paraId="2BF8B858">
      <w:pPr>
        <w:pStyle w:val="3"/>
        <w:spacing w:before="0" w:after="0" w:line="240" w:lineRule="auto"/>
        <w:rPr>
          <w:color w:val="auto"/>
          <w:sz w:val="28"/>
          <w:szCs w:val="28"/>
          <w:highlight w:val="none"/>
        </w:rPr>
      </w:pPr>
      <w:bookmarkStart w:id="993" w:name="_Toc16909"/>
      <w:bookmarkStart w:id="994" w:name="_Toc32114"/>
      <w:bookmarkStart w:id="995" w:name="_Toc29223"/>
      <w:bookmarkStart w:id="996" w:name="_Toc32376"/>
      <w:bookmarkStart w:id="997" w:name="_Toc24823"/>
      <w:bookmarkStart w:id="998" w:name="_Toc20520"/>
      <w:bookmarkStart w:id="999" w:name="_Toc10181"/>
      <w:bookmarkStart w:id="1000" w:name="_Toc12174"/>
      <w:bookmarkStart w:id="1001" w:name="_Toc6024"/>
      <w:bookmarkStart w:id="1002" w:name="_Toc14720"/>
      <w:bookmarkStart w:id="1003" w:name="_Toc6505"/>
      <w:r>
        <w:rPr>
          <w:rFonts w:hint="eastAsia"/>
          <w:color w:val="auto"/>
          <w:sz w:val="28"/>
          <w:szCs w:val="28"/>
          <w:highlight w:val="none"/>
        </w:rPr>
        <w:t>第六部分附件－投标文件格式</w:t>
      </w:r>
      <w:bookmarkEnd w:id="993"/>
      <w:bookmarkEnd w:id="994"/>
      <w:bookmarkEnd w:id="995"/>
      <w:bookmarkEnd w:id="996"/>
      <w:bookmarkEnd w:id="997"/>
      <w:bookmarkEnd w:id="998"/>
      <w:bookmarkEnd w:id="999"/>
      <w:bookmarkEnd w:id="1000"/>
      <w:bookmarkEnd w:id="1001"/>
      <w:bookmarkEnd w:id="1002"/>
      <w:bookmarkEnd w:id="1003"/>
    </w:p>
    <w:p w14:paraId="0FB0EB1D">
      <w:pPr>
        <w:rPr>
          <w:color w:val="auto"/>
          <w:highlight w:val="none"/>
        </w:rPr>
      </w:pPr>
    </w:p>
    <w:p w14:paraId="4DB4CAF9">
      <w:pPr>
        <w:pStyle w:val="5"/>
        <w:widowControl w:val="0"/>
        <w:overflowPunct w:val="0"/>
        <w:spacing w:line="240" w:lineRule="auto"/>
        <w:rPr>
          <w:rFonts w:ascii="宋体" w:hAnsi="宋体"/>
          <w:color w:val="auto"/>
          <w:sz w:val="21"/>
          <w:szCs w:val="21"/>
          <w:highlight w:val="none"/>
        </w:rPr>
      </w:pPr>
      <w:bookmarkStart w:id="1004" w:name="_Toc22175"/>
      <w:bookmarkStart w:id="1005" w:name="_Toc29486"/>
      <w:bookmarkStart w:id="1006" w:name="_Toc26544"/>
      <w:bookmarkStart w:id="1007" w:name="_Toc13536"/>
      <w:bookmarkStart w:id="1008" w:name="_Toc15940"/>
      <w:bookmarkStart w:id="1009" w:name="_Toc31805"/>
      <w:bookmarkStart w:id="1010" w:name="_Toc18865"/>
      <w:bookmarkStart w:id="1011" w:name="_Toc1135"/>
      <w:bookmarkStart w:id="1012" w:name="_Toc6571"/>
      <w:bookmarkStart w:id="1013" w:name="_Toc32066"/>
      <w:bookmarkStart w:id="1014" w:name="_Toc15201"/>
      <w:r>
        <w:rPr>
          <w:rFonts w:hint="eastAsia" w:ascii="宋体" w:hAnsi="宋体"/>
          <w:color w:val="auto"/>
          <w:sz w:val="21"/>
          <w:szCs w:val="21"/>
          <w:highlight w:val="none"/>
        </w:rPr>
        <w:t>投标文件目录</w:t>
      </w:r>
      <w:bookmarkEnd w:id="1004"/>
      <w:bookmarkEnd w:id="1005"/>
      <w:bookmarkEnd w:id="1006"/>
      <w:bookmarkEnd w:id="1007"/>
      <w:bookmarkEnd w:id="1008"/>
      <w:bookmarkEnd w:id="1009"/>
      <w:bookmarkEnd w:id="1010"/>
      <w:bookmarkEnd w:id="1011"/>
      <w:bookmarkEnd w:id="1012"/>
      <w:bookmarkEnd w:id="1013"/>
      <w:bookmarkEnd w:id="1014"/>
    </w:p>
    <w:p w14:paraId="31BFA050">
      <w:pPr>
        <w:jc w:val="center"/>
        <w:rPr>
          <w:rFonts w:ascii="黑体" w:eastAsia="黑体"/>
          <w:color w:val="auto"/>
          <w:sz w:val="32"/>
          <w:szCs w:val="32"/>
          <w:highlight w:val="none"/>
        </w:rPr>
      </w:pPr>
    </w:p>
    <w:p w14:paraId="2C674B37">
      <w:pPr>
        <w:jc w:val="center"/>
        <w:rPr>
          <w:rFonts w:ascii="黑体" w:eastAsia="黑体"/>
          <w:color w:val="auto"/>
          <w:sz w:val="32"/>
          <w:szCs w:val="32"/>
          <w:highlight w:val="none"/>
        </w:rPr>
      </w:pPr>
      <w:r>
        <w:rPr>
          <w:rFonts w:hint="eastAsia" w:ascii="黑体" w:eastAsia="黑体"/>
          <w:color w:val="auto"/>
          <w:sz w:val="32"/>
          <w:szCs w:val="32"/>
          <w:highlight w:val="none"/>
        </w:rPr>
        <w:t>目录</w:t>
      </w:r>
    </w:p>
    <w:p w14:paraId="7012BDF7">
      <w:pPr>
        <w:adjustRightInd/>
        <w:snapToGrid/>
        <w:spacing w:line="276" w:lineRule="auto"/>
        <w:rPr>
          <w:rFonts w:ascii="宋体" w:hAnsi="宋体"/>
          <w:color w:val="auto"/>
          <w:szCs w:val="21"/>
          <w:highlight w:val="none"/>
        </w:rPr>
      </w:pPr>
      <w:r>
        <w:rPr>
          <w:rFonts w:hint="eastAsia" w:ascii="宋体" w:hAnsi="宋体"/>
          <w:color w:val="auto"/>
          <w:szCs w:val="21"/>
          <w:highlight w:val="none"/>
        </w:rPr>
        <w:t>格式自理。</w:t>
      </w:r>
    </w:p>
    <w:p w14:paraId="33277F19">
      <w:pPr>
        <w:adjustRightInd/>
        <w:snapToGrid/>
        <w:spacing w:line="276" w:lineRule="auto"/>
        <w:rPr>
          <w:rFonts w:ascii="宋体" w:hAnsi="宋体"/>
          <w:color w:val="auto"/>
          <w:szCs w:val="21"/>
          <w:highlight w:val="none"/>
        </w:rPr>
      </w:pPr>
    </w:p>
    <w:p w14:paraId="41741190">
      <w:pPr>
        <w:adjustRightInd/>
        <w:snapToGrid/>
        <w:spacing w:line="276" w:lineRule="auto"/>
        <w:rPr>
          <w:rFonts w:ascii="宋体" w:hAnsi="宋体"/>
          <w:color w:val="auto"/>
          <w:szCs w:val="21"/>
          <w:highlight w:val="none"/>
        </w:rPr>
      </w:pPr>
    </w:p>
    <w:p w14:paraId="7F15B262">
      <w:pPr>
        <w:adjustRightInd/>
        <w:snapToGrid/>
        <w:spacing w:line="276" w:lineRule="auto"/>
        <w:rPr>
          <w:rFonts w:ascii="宋体" w:hAnsi="宋体"/>
          <w:color w:val="auto"/>
          <w:szCs w:val="21"/>
          <w:highlight w:val="none"/>
        </w:rPr>
      </w:pPr>
      <w:r>
        <w:rPr>
          <w:rFonts w:hint="eastAsia" w:ascii="宋体" w:hAnsi="宋体"/>
          <w:color w:val="auto"/>
          <w:szCs w:val="21"/>
          <w:highlight w:val="none"/>
        </w:rPr>
        <w:t>注：</w:t>
      </w:r>
    </w:p>
    <w:p w14:paraId="15518B7E">
      <w:pPr>
        <w:adjustRightInd/>
        <w:snapToGrid/>
        <w:spacing w:line="276" w:lineRule="auto"/>
        <w:rPr>
          <w:rFonts w:ascii="宋体" w:hAnsi="宋体"/>
          <w:color w:val="auto"/>
          <w:szCs w:val="21"/>
          <w:highlight w:val="none"/>
        </w:rPr>
      </w:pPr>
      <w:r>
        <w:rPr>
          <w:rFonts w:hint="eastAsia" w:ascii="宋体" w:hAnsi="宋体"/>
          <w:color w:val="auto"/>
          <w:szCs w:val="21"/>
          <w:highlight w:val="none"/>
        </w:rPr>
        <w:t>1、投标人制作的投标文件应当具备目录。</w:t>
      </w:r>
      <w:r>
        <w:rPr>
          <w:rFonts w:ascii="宋体" w:hAnsi="宋体"/>
          <w:color w:val="auto"/>
          <w:szCs w:val="21"/>
          <w:highlight w:val="none"/>
        </w:rPr>
        <w:br w:type="page"/>
      </w:r>
    </w:p>
    <w:p w14:paraId="2917AE3D">
      <w:pPr>
        <w:jc w:val="center"/>
        <w:rPr>
          <w:rFonts w:ascii="黑体" w:eastAsia="黑体"/>
          <w:color w:val="auto"/>
          <w:sz w:val="52"/>
          <w:szCs w:val="52"/>
          <w:highlight w:val="none"/>
        </w:rPr>
      </w:pPr>
      <w:bookmarkStart w:id="1015" w:name="_Toc30918"/>
      <w:bookmarkStart w:id="1016" w:name="_Toc18450"/>
      <w:bookmarkStart w:id="1017" w:name="_Toc20335"/>
      <w:bookmarkStart w:id="1018" w:name="_Toc28154"/>
      <w:bookmarkStart w:id="1019" w:name="_Toc21746"/>
    </w:p>
    <w:p w14:paraId="28CA85FF">
      <w:pPr>
        <w:pStyle w:val="3"/>
        <w:spacing w:before="0" w:after="0" w:line="360" w:lineRule="auto"/>
        <w:jc w:val="center"/>
        <w:rPr>
          <w:color w:val="auto"/>
          <w:sz w:val="72"/>
          <w:szCs w:val="72"/>
          <w:highlight w:val="none"/>
        </w:rPr>
      </w:pPr>
      <w:bookmarkStart w:id="1020" w:name="_Toc221"/>
      <w:bookmarkStart w:id="1021" w:name="_Toc23674"/>
      <w:bookmarkStart w:id="1022" w:name="_Toc15612"/>
      <w:bookmarkStart w:id="1023" w:name="_Toc13723"/>
      <w:bookmarkStart w:id="1024" w:name="_Toc2676"/>
      <w:bookmarkStart w:id="1025" w:name="_Toc12086"/>
      <w:bookmarkStart w:id="1026" w:name="_Toc5905"/>
      <w:bookmarkStart w:id="1027" w:name="_Toc16367"/>
      <w:bookmarkStart w:id="1028" w:name="_Toc5137"/>
      <w:bookmarkStart w:id="1029" w:name="_Toc28986"/>
      <w:bookmarkStart w:id="1030" w:name="_Toc23213"/>
      <w:r>
        <w:rPr>
          <w:rFonts w:hint="eastAsia"/>
          <w:color w:val="auto"/>
          <w:sz w:val="72"/>
          <w:szCs w:val="72"/>
          <w:highlight w:val="none"/>
        </w:rPr>
        <w:t>价格文件</w:t>
      </w:r>
      <w:bookmarkEnd w:id="1015"/>
      <w:bookmarkEnd w:id="1016"/>
      <w:bookmarkEnd w:id="1020"/>
      <w:bookmarkEnd w:id="1021"/>
      <w:bookmarkEnd w:id="1022"/>
      <w:bookmarkEnd w:id="1023"/>
      <w:bookmarkEnd w:id="1024"/>
      <w:bookmarkEnd w:id="1025"/>
      <w:bookmarkEnd w:id="1026"/>
      <w:bookmarkEnd w:id="1027"/>
      <w:bookmarkEnd w:id="1028"/>
      <w:bookmarkEnd w:id="1029"/>
      <w:bookmarkEnd w:id="1030"/>
      <w:bookmarkStart w:id="1031" w:name="_Hlt10519799"/>
      <w:bookmarkEnd w:id="1031"/>
      <w:bookmarkStart w:id="1032" w:name="_Hlt10456397"/>
      <w:bookmarkEnd w:id="1032"/>
    </w:p>
    <w:p w14:paraId="0F52DBE8">
      <w:pPr>
        <w:jc w:val="center"/>
        <w:rPr>
          <w:rFonts w:ascii="黑体" w:eastAsia="黑体"/>
          <w:color w:val="auto"/>
          <w:sz w:val="72"/>
          <w:szCs w:val="72"/>
          <w:highlight w:val="none"/>
        </w:rPr>
      </w:pPr>
      <w:r>
        <w:rPr>
          <w:rFonts w:hint="eastAsia" w:ascii="黑体" w:eastAsia="黑体"/>
          <w:color w:val="auto"/>
          <w:sz w:val="72"/>
          <w:szCs w:val="72"/>
          <w:highlight w:val="none"/>
        </w:rPr>
        <w:t>（单独装订成册）</w:t>
      </w:r>
      <w:bookmarkEnd w:id="1017"/>
      <w:bookmarkEnd w:id="1018"/>
      <w:bookmarkEnd w:id="1019"/>
    </w:p>
    <w:p w14:paraId="3D07978A">
      <w:pPr>
        <w:rPr>
          <w:color w:val="auto"/>
          <w:highlight w:val="none"/>
        </w:rPr>
      </w:pPr>
    </w:p>
    <w:p w14:paraId="54226495">
      <w:pPr>
        <w:pStyle w:val="9"/>
        <w:rPr>
          <w:color w:val="auto"/>
          <w:highlight w:val="none"/>
        </w:rPr>
      </w:pPr>
    </w:p>
    <w:p w14:paraId="5E743941">
      <w:pPr>
        <w:pStyle w:val="26"/>
        <w:keepNext w:val="0"/>
        <w:keepLines w:val="0"/>
        <w:pageBreakBefore w:val="0"/>
        <w:widowControl/>
        <w:kinsoku/>
        <w:wordWrap/>
        <w:overflowPunct/>
        <w:topLinePunct w:val="0"/>
        <w:autoSpaceDE/>
        <w:autoSpaceDN/>
        <w:bidi w:val="0"/>
        <w:adjustRightInd w:val="0"/>
        <w:snapToGrid w:val="0"/>
        <w:spacing w:before="0" w:after="0" w:afterAutospacing="0" w:line="360" w:lineRule="auto"/>
        <w:ind w:left="0" w:firstLine="240"/>
        <w:textAlignment w:val="auto"/>
        <w:rPr>
          <w:color w:val="auto"/>
          <w:highlight w:val="none"/>
        </w:rPr>
      </w:pPr>
    </w:p>
    <w:p w14:paraId="2FC17DA0">
      <w:pPr>
        <w:keepNext w:val="0"/>
        <w:keepLines w:val="0"/>
        <w:pageBreakBefore w:val="0"/>
        <w:widowControl/>
        <w:kinsoku/>
        <w:wordWrap/>
        <w:overflowPunct/>
        <w:topLinePunct w:val="0"/>
        <w:autoSpaceDE/>
        <w:autoSpaceDN/>
        <w:bidi w:val="0"/>
        <w:adjustRightInd w:val="0"/>
        <w:snapToGrid w:val="0"/>
        <w:spacing w:afterAutospacing="0" w:line="360" w:lineRule="auto"/>
        <w:ind w:left="0"/>
        <w:textAlignment w:val="auto"/>
        <w:rPr>
          <w:rFonts w:ascii="宋体" w:hAnsi="宋体" w:cs="宋体"/>
          <w:b/>
          <w:bCs/>
          <w:color w:val="auto"/>
          <w:spacing w:val="-6"/>
          <w:sz w:val="32"/>
          <w:szCs w:val="32"/>
          <w:highlight w:val="none"/>
        </w:rPr>
      </w:pPr>
      <w:r>
        <w:rPr>
          <w:rFonts w:hint="eastAsia" w:ascii="宋体" w:hAnsi="宋体" w:cs="宋体"/>
          <w:b/>
          <w:bCs/>
          <w:color w:val="auto"/>
          <w:spacing w:val="53"/>
          <w:kern w:val="0"/>
          <w:sz w:val="32"/>
          <w:szCs w:val="32"/>
          <w:highlight w:val="none"/>
          <w:fitText w:val="1600" w:id="1947737316"/>
        </w:rPr>
        <w:t>项目名</w:t>
      </w:r>
      <w:r>
        <w:rPr>
          <w:rFonts w:hint="eastAsia" w:ascii="宋体" w:hAnsi="宋体" w:cs="宋体"/>
          <w:b/>
          <w:bCs/>
          <w:color w:val="auto"/>
          <w:spacing w:val="1"/>
          <w:kern w:val="0"/>
          <w:sz w:val="32"/>
          <w:szCs w:val="32"/>
          <w:highlight w:val="none"/>
          <w:fitText w:val="1600" w:id="1947737316"/>
        </w:rPr>
        <w:t>称</w:t>
      </w:r>
      <w:r>
        <w:rPr>
          <w:rFonts w:hint="eastAsia" w:ascii="宋体" w:hAnsi="宋体" w:cs="宋体"/>
          <w:b/>
          <w:bCs/>
          <w:color w:val="auto"/>
          <w:spacing w:val="-6"/>
          <w:sz w:val="32"/>
          <w:szCs w:val="32"/>
          <w:highlight w:val="none"/>
        </w:rPr>
        <w:t>：东莞市新东欣环保投资有限公司2025-2026年度危废运输服务项目</w:t>
      </w:r>
    </w:p>
    <w:p w14:paraId="3AE2F046">
      <w:pPr>
        <w:keepNext w:val="0"/>
        <w:keepLines w:val="0"/>
        <w:pageBreakBefore w:val="0"/>
        <w:widowControl/>
        <w:kinsoku/>
        <w:wordWrap/>
        <w:overflowPunct/>
        <w:topLinePunct w:val="0"/>
        <w:autoSpaceDE/>
        <w:autoSpaceDN/>
        <w:bidi w:val="0"/>
        <w:adjustRightInd w:val="0"/>
        <w:snapToGrid w:val="0"/>
        <w:spacing w:afterAutospacing="0" w:line="360" w:lineRule="auto"/>
        <w:ind w:left="0"/>
        <w:textAlignment w:val="auto"/>
        <w:rPr>
          <w:rFonts w:ascii="宋体" w:hAnsi="宋体" w:cs="宋体"/>
          <w:b/>
          <w:bCs/>
          <w:color w:val="auto"/>
          <w:sz w:val="32"/>
          <w:szCs w:val="32"/>
          <w:highlight w:val="none"/>
        </w:rPr>
      </w:pPr>
      <w:r>
        <w:rPr>
          <w:rFonts w:hint="eastAsia" w:ascii="宋体" w:hAnsi="宋体" w:cs="宋体"/>
          <w:b/>
          <w:bCs/>
          <w:color w:val="auto"/>
          <w:spacing w:val="53"/>
          <w:kern w:val="0"/>
          <w:sz w:val="32"/>
          <w:szCs w:val="32"/>
          <w:highlight w:val="none"/>
          <w:fitText w:val="1600" w:id="70211570"/>
        </w:rPr>
        <w:t>项目编</w:t>
      </w:r>
      <w:r>
        <w:rPr>
          <w:rFonts w:hint="eastAsia" w:ascii="宋体" w:hAnsi="宋体" w:cs="宋体"/>
          <w:b/>
          <w:bCs/>
          <w:color w:val="auto"/>
          <w:spacing w:val="1"/>
          <w:kern w:val="0"/>
          <w:sz w:val="32"/>
          <w:szCs w:val="32"/>
          <w:highlight w:val="none"/>
          <w:fitText w:val="1600" w:id="70211570"/>
        </w:rPr>
        <w:t>号</w:t>
      </w:r>
      <w:r>
        <w:rPr>
          <w:rFonts w:hint="eastAsia" w:ascii="宋体" w:hAnsi="宋体" w:cs="宋体"/>
          <w:b/>
          <w:bCs/>
          <w:color w:val="auto"/>
          <w:sz w:val="32"/>
          <w:szCs w:val="32"/>
          <w:highlight w:val="none"/>
        </w:rPr>
        <w:t>：XDX-GK-2024-003</w:t>
      </w:r>
    </w:p>
    <w:p w14:paraId="48B01CC0">
      <w:pPr>
        <w:pStyle w:val="24"/>
        <w:keepNext w:val="0"/>
        <w:keepLines w:val="0"/>
        <w:pageBreakBefore w:val="0"/>
        <w:widowControl/>
        <w:kinsoku/>
        <w:wordWrap/>
        <w:overflowPunct/>
        <w:topLinePunct w:val="0"/>
        <w:autoSpaceDE/>
        <w:autoSpaceDN/>
        <w:bidi w:val="0"/>
        <w:adjustRightInd w:val="0"/>
        <w:snapToGrid w:val="0"/>
        <w:spacing w:afterAutospacing="0" w:line="360" w:lineRule="auto"/>
        <w:ind w:left="0"/>
        <w:jc w:val="left"/>
        <w:textAlignment w:val="auto"/>
        <w:rPr>
          <w:rFonts w:ascii="宋体" w:hAnsi="宋体" w:cs="宋体"/>
          <w:b/>
          <w:color w:val="auto"/>
          <w:spacing w:val="1280"/>
          <w:kern w:val="0"/>
          <w:sz w:val="32"/>
          <w:szCs w:val="32"/>
          <w:highlight w:val="none"/>
        </w:rPr>
      </w:pPr>
      <w:r>
        <w:rPr>
          <w:rFonts w:hint="eastAsia" w:ascii="宋体" w:hAnsi="宋体" w:cs="宋体"/>
          <w:b/>
          <w:color w:val="auto"/>
          <w:spacing w:val="106"/>
          <w:kern w:val="0"/>
          <w:sz w:val="32"/>
          <w:szCs w:val="32"/>
          <w:highlight w:val="none"/>
          <w:lang w:bidi="ar"/>
        </w:rPr>
        <w:t>包组号（如有）：</w:t>
      </w:r>
    </w:p>
    <w:p w14:paraId="746335E1">
      <w:pPr>
        <w:keepNext w:val="0"/>
        <w:keepLines w:val="0"/>
        <w:pageBreakBefore w:val="0"/>
        <w:widowControl/>
        <w:kinsoku/>
        <w:wordWrap/>
        <w:overflowPunct/>
        <w:topLinePunct w:val="0"/>
        <w:autoSpaceDE/>
        <w:autoSpaceDN/>
        <w:bidi w:val="0"/>
        <w:adjustRightInd w:val="0"/>
        <w:snapToGrid w:val="0"/>
        <w:spacing w:afterAutospacing="0" w:line="360" w:lineRule="auto"/>
        <w:ind w:left="0"/>
        <w:textAlignment w:val="auto"/>
        <w:rPr>
          <w:rFonts w:ascii="宋体" w:hAnsi="宋体" w:cs="宋体"/>
          <w:b/>
          <w:color w:val="auto"/>
          <w:sz w:val="32"/>
          <w:szCs w:val="32"/>
          <w:highlight w:val="none"/>
        </w:rPr>
      </w:pPr>
      <w:r>
        <w:rPr>
          <w:rFonts w:hint="eastAsia" w:ascii="宋体" w:hAnsi="宋体" w:cs="宋体"/>
          <w:b/>
          <w:color w:val="auto"/>
          <w:spacing w:val="0"/>
          <w:kern w:val="0"/>
          <w:sz w:val="32"/>
          <w:szCs w:val="32"/>
          <w:highlight w:val="none"/>
          <w:fitText w:val="1600" w:id="1458731915"/>
        </w:rPr>
        <w:t>投标人名称</w:t>
      </w:r>
      <w:r>
        <w:rPr>
          <w:rFonts w:hint="eastAsia" w:ascii="宋体" w:hAnsi="宋体" w:cs="宋体"/>
          <w:b/>
          <w:color w:val="auto"/>
          <w:sz w:val="32"/>
          <w:szCs w:val="32"/>
          <w:highlight w:val="none"/>
        </w:rPr>
        <w:t>：</w:t>
      </w:r>
    </w:p>
    <w:p w14:paraId="0885F6F1">
      <w:pPr>
        <w:keepNext w:val="0"/>
        <w:keepLines w:val="0"/>
        <w:pageBreakBefore w:val="0"/>
        <w:widowControl/>
        <w:kinsoku/>
        <w:wordWrap/>
        <w:overflowPunct/>
        <w:topLinePunct w:val="0"/>
        <w:autoSpaceDE/>
        <w:autoSpaceDN/>
        <w:bidi w:val="0"/>
        <w:adjustRightInd w:val="0"/>
        <w:snapToGrid w:val="0"/>
        <w:spacing w:afterAutospacing="0" w:line="360" w:lineRule="auto"/>
        <w:ind w:left="0"/>
        <w:textAlignment w:val="auto"/>
        <w:rPr>
          <w:rFonts w:ascii="宋体" w:hAnsi="宋体" w:cs="宋体"/>
          <w:b/>
          <w:color w:val="auto"/>
          <w:sz w:val="32"/>
          <w:szCs w:val="32"/>
          <w:highlight w:val="none"/>
        </w:rPr>
      </w:pPr>
      <w:r>
        <w:rPr>
          <w:rFonts w:hint="eastAsia" w:ascii="宋体" w:hAnsi="宋体" w:cs="宋体"/>
          <w:b/>
          <w:color w:val="auto"/>
          <w:spacing w:val="32"/>
          <w:kern w:val="0"/>
          <w:sz w:val="32"/>
          <w:szCs w:val="32"/>
          <w:highlight w:val="none"/>
          <w:fitText w:val="1600" w:id="437591866"/>
        </w:rPr>
        <w:t xml:space="preserve">日    </w:t>
      </w:r>
      <w:r>
        <w:rPr>
          <w:rFonts w:hint="eastAsia" w:ascii="宋体" w:hAnsi="宋体" w:cs="宋体"/>
          <w:b/>
          <w:color w:val="auto"/>
          <w:spacing w:val="0"/>
          <w:kern w:val="0"/>
          <w:sz w:val="32"/>
          <w:szCs w:val="32"/>
          <w:highlight w:val="none"/>
          <w:fitText w:val="1600" w:id="437591866"/>
        </w:rPr>
        <w:t>期</w:t>
      </w:r>
      <w:r>
        <w:rPr>
          <w:rFonts w:hint="eastAsia" w:ascii="宋体" w:hAnsi="宋体" w:cs="宋体"/>
          <w:b/>
          <w:color w:val="auto"/>
          <w:sz w:val="32"/>
          <w:szCs w:val="32"/>
          <w:highlight w:val="none"/>
        </w:rPr>
        <w:t>：</w:t>
      </w:r>
    </w:p>
    <w:p w14:paraId="1C5A3A7C">
      <w:pPr>
        <w:rPr>
          <w:color w:val="auto"/>
          <w:highlight w:val="none"/>
        </w:rPr>
      </w:pPr>
    </w:p>
    <w:p w14:paraId="5336FDC0">
      <w:pPr>
        <w:pStyle w:val="9"/>
        <w:rPr>
          <w:color w:val="auto"/>
          <w:highlight w:val="none"/>
        </w:rPr>
      </w:pPr>
    </w:p>
    <w:p w14:paraId="6BF03F57">
      <w:pPr>
        <w:pStyle w:val="26"/>
        <w:ind w:firstLine="240"/>
        <w:rPr>
          <w:color w:val="auto"/>
          <w:highlight w:val="none"/>
        </w:rPr>
      </w:pPr>
    </w:p>
    <w:p w14:paraId="724B7AD5">
      <w:pPr>
        <w:pStyle w:val="21"/>
        <w:rPr>
          <w:color w:val="auto"/>
          <w:highlight w:val="none"/>
        </w:rPr>
      </w:pPr>
    </w:p>
    <w:p w14:paraId="0FEEF097">
      <w:pPr>
        <w:rPr>
          <w:color w:val="auto"/>
          <w:highlight w:val="none"/>
        </w:rPr>
      </w:pPr>
    </w:p>
    <w:p w14:paraId="087D9323">
      <w:pPr>
        <w:pStyle w:val="9"/>
        <w:rPr>
          <w:color w:val="auto"/>
          <w:highlight w:val="none"/>
        </w:rPr>
      </w:pPr>
    </w:p>
    <w:p w14:paraId="503E2652">
      <w:pPr>
        <w:pStyle w:val="26"/>
        <w:ind w:firstLine="240"/>
        <w:rPr>
          <w:color w:val="auto"/>
          <w:highlight w:val="none"/>
        </w:rPr>
      </w:pPr>
    </w:p>
    <w:p w14:paraId="0CAE1789">
      <w:pPr>
        <w:pStyle w:val="21"/>
        <w:rPr>
          <w:color w:val="auto"/>
          <w:highlight w:val="none"/>
        </w:rPr>
      </w:pPr>
    </w:p>
    <w:p w14:paraId="6C9FB072">
      <w:pPr>
        <w:pStyle w:val="21"/>
        <w:ind w:left="0"/>
        <w:rPr>
          <w:color w:val="auto"/>
          <w:highlight w:val="none"/>
        </w:rPr>
      </w:pPr>
    </w:p>
    <w:p w14:paraId="6A03F104">
      <w:pPr>
        <w:rPr>
          <w:rFonts w:ascii="宋体" w:hAnsi="宋体"/>
          <w:color w:val="auto"/>
          <w:szCs w:val="21"/>
          <w:highlight w:val="none"/>
        </w:rPr>
      </w:pPr>
      <w:r>
        <w:rPr>
          <w:rFonts w:hint="eastAsia" w:ascii="宋体" w:hAnsi="宋体"/>
          <w:color w:val="auto"/>
          <w:szCs w:val="21"/>
          <w:highlight w:val="none"/>
        </w:rPr>
        <w:br w:type="page"/>
      </w:r>
    </w:p>
    <w:p w14:paraId="1F9C96BF">
      <w:pPr>
        <w:pStyle w:val="5"/>
        <w:widowControl w:val="0"/>
        <w:overflowPunct w:val="0"/>
        <w:spacing w:line="240" w:lineRule="auto"/>
        <w:rPr>
          <w:rFonts w:ascii="宋体" w:hAnsi="宋体"/>
          <w:color w:val="auto"/>
          <w:sz w:val="21"/>
          <w:szCs w:val="21"/>
          <w:highlight w:val="none"/>
        </w:rPr>
      </w:pPr>
      <w:bookmarkStart w:id="1033" w:name="_Toc7578"/>
      <w:bookmarkStart w:id="1034" w:name="_Toc13836"/>
      <w:bookmarkStart w:id="1035" w:name="_Toc18559"/>
      <w:bookmarkStart w:id="1036" w:name="_Toc3051"/>
      <w:bookmarkStart w:id="1037" w:name="_Toc26341"/>
      <w:bookmarkStart w:id="1038" w:name="_Toc21209"/>
      <w:bookmarkStart w:id="1039" w:name="_Toc18462"/>
      <w:bookmarkStart w:id="1040" w:name="_Toc27702"/>
      <w:bookmarkStart w:id="1041" w:name="_Toc792"/>
      <w:bookmarkStart w:id="1042" w:name="_Toc10023"/>
      <w:bookmarkStart w:id="1043" w:name="_Toc15717"/>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1</w:t>
      </w:r>
      <w:r>
        <w:rPr>
          <w:rFonts w:hint="eastAsia" w:ascii="宋体" w:hAnsi="宋体"/>
          <w:color w:val="auto"/>
          <w:sz w:val="21"/>
          <w:szCs w:val="21"/>
          <w:highlight w:val="none"/>
        </w:rPr>
        <w:t>.开标一览表格式</w:t>
      </w:r>
      <w:bookmarkEnd w:id="1033"/>
      <w:bookmarkEnd w:id="1034"/>
      <w:bookmarkEnd w:id="1035"/>
      <w:bookmarkEnd w:id="1036"/>
      <w:bookmarkEnd w:id="1037"/>
      <w:bookmarkEnd w:id="1038"/>
      <w:bookmarkEnd w:id="1039"/>
      <w:bookmarkEnd w:id="1040"/>
      <w:bookmarkEnd w:id="1041"/>
      <w:bookmarkEnd w:id="1042"/>
      <w:bookmarkEnd w:id="1043"/>
    </w:p>
    <w:p w14:paraId="0B172A4E">
      <w:pPr>
        <w:jc w:val="center"/>
        <w:rPr>
          <w:rFonts w:ascii="黑体" w:eastAsia="黑体"/>
          <w:color w:val="auto"/>
          <w:sz w:val="32"/>
          <w:szCs w:val="32"/>
          <w:highlight w:val="none"/>
        </w:rPr>
      </w:pPr>
      <w:r>
        <w:rPr>
          <w:rFonts w:hint="eastAsia" w:ascii="黑体" w:eastAsia="黑体"/>
          <w:color w:val="auto"/>
          <w:sz w:val="32"/>
          <w:szCs w:val="32"/>
          <w:highlight w:val="none"/>
        </w:rPr>
        <w:t>开标一览表</w:t>
      </w:r>
    </w:p>
    <w:p w14:paraId="7D644086">
      <w:pPr>
        <w:rPr>
          <w:color w:val="auto"/>
          <w:highlight w:val="none"/>
        </w:rPr>
      </w:pPr>
    </w:p>
    <w:p w14:paraId="759AB920">
      <w:pPr>
        <w:rPr>
          <w:rFonts w:ascii="宋体" w:hAnsi="宋体"/>
          <w:color w:val="auto"/>
          <w:szCs w:val="21"/>
          <w:highlight w:val="none"/>
        </w:rPr>
      </w:pPr>
      <w:r>
        <w:rPr>
          <w:rFonts w:hint="eastAsia" w:ascii="宋体" w:hAnsi="宋体"/>
          <w:color w:val="auto"/>
          <w:szCs w:val="21"/>
          <w:highlight w:val="none"/>
        </w:rPr>
        <w:t>投标人名称：东莞市新东欣环保投资有限公司2025-2026年度危废运输服务项目</w:t>
      </w:r>
    </w:p>
    <w:p w14:paraId="1165F7B3">
      <w:pPr>
        <w:rPr>
          <w:color w:val="auto"/>
          <w:highlight w:val="none"/>
        </w:rPr>
      </w:pPr>
      <w:r>
        <w:rPr>
          <w:rFonts w:hint="eastAsia" w:ascii="宋体" w:hAnsi="宋体"/>
          <w:color w:val="auto"/>
          <w:szCs w:val="21"/>
          <w:highlight w:val="none"/>
        </w:rPr>
        <w:t>采购项目编号：XDX-GK-2024-003</w:t>
      </w:r>
    </w:p>
    <w:tbl>
      <w:tblPr>
        <w:tblStyle w:val="28"/>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71"/>
        <w:gridCol w:w="1582"/>
        <w:gridCol w:w="1582"/>
        <w:gridCol w:w="1142"/>
        <w:gridCol w:w="1142"/>
        <w:gridCol w:w="1700"/>
      </w:tblGrid>
      <w:tr w14:paraId="0A12A5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804" w:type="pct"/>
            <w:vAlign w:val="center"/>
          </w:tcPr>
          <w:p w14:paraId="6658EE97">
            <w:pPr>
              <w:spacing w:line="240" w:lineRule="auto"/>
              <w:jc w:val="center"/>
              <w:rPr>
                <w:rFonts w:ascii="宋体" w:hAnsi="宋体" w:cs="宋体"/>
                <w:color w:val="auto"/>
                <w:kern w:val="28"/>
                <w:szCs w:val="21"/>
                <w:highlight w:val="none"/>
              </w:rPr>
            </w:pPr>
            <w:r>
              <w:rPr>
                <w:rFonts w:hint="eastAsia" w:ascii="宋体" w:hAnsi="宋体"/>
                <w:color w:val="auto"/>
                <w:szCs w:val="21"/>
                <w:highlight w:val="none"/>
              </w:rPr>
              <w:t>项目名称</w:t>
            </w:r>
          </w:p>
        </w:tc>
        <w:tc>
          <w:tcPr>
            <w:tcW w:w="928" w:type="pct"/>
            <w:vAlign w:val="center"/>
          </w:tcPr>
          <w:p w14:paraId="4FFB29DF">
            <w:pPr>
              <w:spacing w:line="240" w:lineRule="auto"/>
              <w:jc w:val="center"/>
              <w:rPr>
                <w:rFonts w:hint="eastAsia" w:ascii="宋体" w:hAnsi="宋体" w:eastAsia="宋体"/>
                <w:color w:val="auto"/>
                <w:szCs w:val="21"/>
                <w:highlight w:val="none"/>
                <w:lang w:val="en-US" w:eastAsia="zh-CN"/>
              </w:rPr>
            </w:pPr>
            <w:r>
              <w:rPr>
                <w:rFonts w:hint="eastAsia" w:ascii="宋体" w:hAnsi="宋体"/>
                <w:color w:val="auto"/>
                <w:szCs w:val="21"/>
                <w:highlight w:val="none"/>
                <w:lang w:val="en-US" w:eastAsia="zh-CN"/>
              </w:rPr>
              <w:t>标包</w:t>
            </w:r>
          </w:p>
        </w:tc>
        <w:tc>
          <w:tcPr>
            <w:tcW w:w="928" w:type="pct"/>
            <w:vAlign w:val="center"/>
          </w:tcPr>
          <w:p w14:paraId="04DDEFC9">
            <w:pPr>
              <w:spacing w:line="240" w:lineRule="auto"/>
              <w:jc w:val="center"/>
              <w:rPr>
                <w:rFonts w:ascii="宋体" w:hAnsi="宋体" w:cs="宋体"/>
                <w:color w:val="auto"/>
                <w:kern w:val="28"/>
                <w:szCs w:val="21"/>
                <w:highlight w:val="none"/>
              </w:rPr>
            </w:pPr>
            <w:r>
              <w:rPr>
                <w:rFonts w:hint="eastAsia" w:ascii="宋体" w:hAnsi="宋体" w:cs="宋体"/>
                <w:color w:val="auto"/>
                <w:kern w:val="28"/>
                <w:szCs w:val="21"/>
                <w:highlight w:val="none"/>
                <w:lang w:val="en-US" w:eastAsia="zh-CN"/>
              </w:rPr>
              <w:t>暂定含税</w:t>
            </w:r>
            <w:r>
              <w:rPr>
                <w:rFonts w:hint="eastAsia" w:ascii="宋体" w:hAnsi="宋体" w:cs="宋体"/>
                <w:color w:val="auto"/>
                <w:kern w:val="28"/>
                <w:szCs w:val="21"/>
                <w:highlight w:val="none"/>
              </w:rPr>
              <w:t>投标总价（元）</w:t>
            </w:r>
          </w:p>
        </w:tc>
        <w:tc>
          <w:tcPr>
            <w:tcW w:w="670" w:type="pct"/>
            <w:vAlign w:val="center"/>
          </w:tcPr>
          <w:p w14:paraId="2BBC772A">
            <w:pPr>
              <w:spacing w:line="240" w:lineRule="auto"/>
              <w:jc w:val="center"/>
              <w:rPr>
                <w:rFonts w:hint="eastAsia" w:ascii="宋体" w:hAnsi="宋体" w:eastAsia="宋体" w:cs="宋体"/>
                <w:color w:val="auto"/>
                <w:kern w:val="28"/>
                <w:szCs w:val="21"/>
                <w:highlight w:val="none"/>
                <w:lang w:val="en-US" w:eastAsia="zh-CN"/>
              </w:rPr>
            </w:pPr>
            <w:r>
              <w:rPr>
                <w:rFonts w:hint="eastAsia" w:ascii="宋体" w:hAnsi="宋体" w:cs="宋体"/>
                <w:color w:val="auto"/>
                <w:kern w:val="28"/>
                <w:szCs w:val="21"/>
                <w:highlight w:val="none"/>
                <w:lang w:val="en-US" w:eastAsia="zh-CN"/>
              </w:rPr>
              <w:t>税率</w:t>
            </w:r>
          </w:p>
        </w:tc>
        <w:tc>
          <w:tcPr>
            <w:tcW w:w="670" w:type="pct"/>
            <w:vAlign w:val="center"/>
          </w:tcPr>
          <w:p w14:paraId="158CCF9E">
            <w:pPr>
              <w:spacing w:line="240" w:lineRule="auto"/>
              <w:jc w:val="center"/>
              <w:rPr>
                <w:rFonts w:ascii="宋体" w:hAnsi="宋体" w:cs="宋体"/>
                <w:color w:val="auto"/>
                <w:kern w:val="28"/>
                <w:szCs w:val="21"/>
                <w:highlight w:val="none"/>
              </w:rPr>
            </w:pPr>
            <w:r>
              <w:rPr>
                <w:rFonts w:hint="eastAsia" w:ascii="宋体" w:hAnsi="宋体" w:cs="宋体"/>
                <w:color w:val="auto"/>
                <w:kern w:val="28"/>
                <w:szCs w:val="21"/>
                <w:highlight w:val="none"/>
              </w:rPr>
              <w:t>服务期</w:t>
            </w:r>
          </w:p>
        </w:tc>
        <w:tc>
          <w:tcPr>
            <w:tcW w:w="997" w:type="pct"/>
            <w:vAlign w:val="center"/>
          </w:tcPr>
          <w:p w14:paraId="50623CB5">
            <w:pPr>
              <w:spacing w:line="240" w:lineRule="auto"/>
              <w:jc w:val="center"/>
              <w:rPr>
                <w:rFonts w:ascii="宋体" w:hAnsi="宋体" w:cs="宋体"/>
                <w:color w:val="auto"/>
                <w:kern w:val="28"/>
                <w:szCs w:val="21"/>
                <w:highlight w:val="none"/>
              </w:rPr>
            </w:pPr>
            <w:r>
              <w:rPr>
                <w:rFonts w:hint="eastAsia" w:ascii="宋体" w:hAnsi="宋体" w:cs="宋体"/>
                <w:color w:val="auto"/>
                <w:kern w:val="28"/>
                <w:szCs w:val="21"/>
                <w:highlight w:val="none"/>
              </w:rPr>
              <w:t>备注</w:t>
            </w:r>
          </w:p>
        </w:tc>
      </w:tr>
      <w:tr w14:paraId="53478B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67" w:hRule="atLeast"/>
          <w:jc w:val="center"/>
        </w:trPr>
        <w:tc>
          <w:tcPr>
            <w:tcW w:w="804" w:type="pct"/>
            <w:vAlign w:val="center"/>
          </w:tcPr>
          <w:p w14:paraId="72410F4F">
            <w:pPr>
              <w:spacing w:line="240" w:lineRule="auto"/>
              <w:jc w:val="center"/>
              <w:rPr>
                <w:rFonts w:ascii="宋体" w:hAnsi="宋体" w:cs="宋体"/>
                <w:color w:val="auto"/>
                <w:szCs w:val="21"/>
                <w:highlight w:val="none"/>
              </w:rPr>
            </w:pPr>
            <w:r>
              <w:rPr>
                <w:rFonts w:hint="eastAsia"/>
                <w:color w:val="auto"/>
                <w:highlight w:val="none"/>
                <w:u w:val="single"/>
              </w:rPr>
              <w:t>东莞市新东欣环保投资有限公司202</w:t>
            </w:r>
            <w:r>
              <w:rPr>
                <w:rFonts w:hint="eastAsia"/>
                <w:color w:val="auto"/>
                <w:highlight w:val="none"/>
                <w:u w:val="single"/>
                <w:lang w:val="en-US" w:eastAsia="zh-CN"/>
              </w:rPr>
              <w:t>5</w:t>
            </w:r>
            <w:r>
              <w:rPr>
                <w:rFonts w:hint="eastAsia"/>
                <w:color w:val="auto"/>
                <w:highlight w:val="none"/>
                <w:u w:val="single"/>
              </w:rPr>
              <w:t>-202</w:t>
            </w:r>
            <w:r>
              <w:rPr>
                <w:rFonts w:hint="eastAsia"/>
                <w:color w:val="auto"/>
                <w:highlight w:val="none"/>
                <w:u w:val="single"/>
                <w:lang w:val="en-US" w:eastAsia="zh-CN"/>
              </w:rPr>
              <w:t>6</w:t>
            </w:r>
            <w:r>
              <w:rPr>
                <w:rFonts w:hint="eastAsia"/>
                <w:color w:val="auto"/>
                <w:highlight w:val="none"/>
                <w:u w:val="single"/>
              </w:rPr>
              <w:t>年度危废运输服务</w:t>
            </w:r>
            <w:r>
              <w:rPr>
                <w:color w:val="auto"/>
                <w:highlight w:val="none"/>
                <w:u w:val="single"/>
              </w:rPr>
              <w:t>项目</w:t>
            </w:r>
          </w:p>
        </w:tc>
        <w:tc>
          <w:tcPr>
            <w:tcW w:w="928" w:type="pct"/>
            <w:vAlign w:val="center"/>
          </w:tcPr>
          <w:p w14:paraId="1BE10597">
            <w:pPr>
              <w:spacing w:line="240" w:lineRule="auto"/>
              <w:jc w:val="center"/>
              <w:rPr>
                <w:rFonts w:hint="eastAsia"/>
                <w:color w:val="auto"/>
                <w:highlight w:val="none"/>
                <w:u w:val="single"/>
              </w:rPr>
            </w:pPr>
          </w:p>
        </w:tc>
        <w:tc>
          <w:tcPr>
            <w:tcW w:w="928" w:type="pct"/>
            <w:vAlign w:val="center"/>
          </w:tcPr>
          <w:p w14:paraId="660F8F38">
            <w:pPr>
              <w:spacing w:line="240" w:lineRule="auto"/>
              <w:jc w:val="center"/>
              <w:rPr>
                <w:rFonts w:ascii="宋体" w:hAnsi="宋体" w:cs="宋体"/>
                <w:color w:val="auto"/>
                <w:szCs w:val="21"/>
                <w:highlight w:val="none"/>
              </w:rPr>
            </w:pPr>
            <w:r>
              <w:rPr>
                <w:rFonts w:hint="eastAsia" w:ascii="宋体" w:hAnsi="宋体" w:cs="宋体"/>
                <w:color w:val="auto"/>
                <w:szCs w:val="21"/>
                <w:highlight w:val="none"/>
              </w:rPr>
              <w:t>小写：</w:t>
            </w:r>
          </w:p>
          <w:p w14:paraId="4DC4B34C">
            <w:pPr>
              <w:spacing w:line="240" w:lineRule="auto"/>
              <w:jc w:val="center"/>
              <w:rPr>
                <w:rFonts w:ascii="宋体" w:hAnsi="宋体" w:cs="宋体"/>
                <w:color w:val="auto"/>
                <w:szCs w:val="21"/>
                <w:highlight w:val="none"/>
              </w:rPr>
            </w:pPr>
            <w:r>
              <w:rPr>
                <w:rFonts w:hint="eastAsia" w:ascii="宋体" w:hAnsi="宋体" w:cs="宋体"/>
                <w:color w:val="auto"/>
                <w:szCs w:val="21"/>
                <w:highlight w:val="none"/>
              </w:rPr>
              <w:t>大写：</w:t>
            </w:r>
          </w:p>
        </w:tc>
        <w:tc>
          <w:tcPr>
            <w:tcW w:w="670" w:type="pct"/>
            <w:vAlign w:val="center"/>
          </w:tcPr>
          <w:p w14:paraId="268E8150">
            <w:pPr>
              <w:pStyle w:val="63"/>
              <w:jc w:val="center"/>
              <w:rPr>
                <w:rFonts w:hint="default" w:hAnsi="宋体" w:eastAsia="宋体"/>
                <w:color w:val="auto"/>
                <w:sz w:val="21"/>
                <w:szCs w:val="21"/>
                <w:highlight w:val="none"/>
                <w:lang w:val="en-US" w:eastAsia="zh-CN"/>
              </w:rPr>
            </w:pPr>
            <w:r>
              <w:rPr>
                <w:rFonts w:hint="eastAsia" w:hAnsi="宋体"/>
                <w:color w:val="auto"/>
                <w:sz w:val="21"/>
                <w:szCs w:val="21"/>
                <w:highlight w:val="none"/>
                <w:lang w:val="en-US" w:eastAsia="zh-CN"/>
              </w:rPr>
              <w:t>%</w:t>
            </w:r>
          </w:p>
        </w:tc>
        <w:tc>
          <w:tcPr>
            <w:tcW w:w="670" w:type="pct"/>
            <w:vAlign w:val="center"/>
          </w:tcPr>
          <w:p w14:paraId="77C00434">
            <w:pPr>
              <w:pStyle w:val="63"/>
              <w:jc w:val="center"/>
              <w:rPr>
                <w:rFonts w:hAnsi="宋体"/>
                <w:color w:val="auto"/>
                <w:sz w:val="21"/>
                <w:szCs w:val="21"/>
                <w:highlight w:val="none"/>
              </w:rPr>
            </w:pPr>
            <w:r>
              <w:rPr>
                <w:rFonts w:hint="eastAsia" w:hAnsi="宋体"/>
                <w:color w:val="auto"/>
                <w:sz w:val="21"/>
                <w:szCs w:val="21"/>
                <w:highlight w:val="none"/>
              </w:rPr>
              <w:t xml:space="preserve">合同服务期限自签订运输服务合同之日起一年。 </w:t>
            </w:r>
          </w:p>
        </w:tc>
        <w:tc>
          <w:tcPr>
            <w:tcW w:w="997" w:type="pct"/>
            <w:vAlign w:val="center"/>
          </w:tcPr>
          <w:p w14:paraId="0603F0F3">
            <w:pPr>
              <w:pStyle w:val="63"/>
              <w:jc w:val="center"/>
              <w:rPr>
                <w:rFonts w:hAnsi="宋体"/>
                <w:color w:val="auto"/>
                <w:sz w:val="21"/>
                <w:szCs w:val="21"/>
                <w:highlight w:val="none"/>
              </w:rPr>
            </w:pPr>
          </w:p>
        </w:tc>
      </w:tr>
    </w:tbl>
    <w:p w14:paraId="3E781336">
      <w:pPr>
        <w:rPr>
          <w:rFonts w:ascii="宋体" w:hAnsi="宋体"/>
          <w:color w:val="auto"/>
          <w:szCs w:val="21"/>
          <w:highlight w:val="none"/>
        </w:rPr>
      </w:pPr>
    </w:p>
    <w:p w14:paraId="7707DCC6">
      <w:pPr>
        <w:ind w:firstLine="359" w:firstLineChars="171"/>
        <w:rPr>
          <w:rFonts w:ascii="宋体" w:hAnsi="宋体"/>
          <w:color w:val="auto"/>
          <w:szCs w:val="21"/>
          <w:highlight w:val="none"/>
        </w:rPr>
      </w:pPr>
    </w:p>
    <w:p w14:paraId="6DAC4674">
      <w:pPr>
        <w:ind w:firstLine="359" w:firstLineChars="171"/>
        <w:rPr>
          <w:rFonts w:ascii="宋体" w:hAnsi="宋体"/>
          <w:color w:val="auto"/>
          <w:szCs w:val="21"/>
          <w:highlight w:val="none"/>
        </w:rPr>
      </w:pPr>
      <w:r>
        <w:rPr>
          <w:rFonts w:hint="eastAsia" w:ascii="宋体" w:hAnsi="宋体"/>
          <w:color w:val="auto"/>
          <w:szCs w:val="21"/>
          <w:highlight w:val="none"/>
        </w:rPr>
        <w:t>投标人代表签字：</w:t>
      </w:r>
    </w:p>
    <w:p w14:paraId="103FCFE8">
      <w:pPr>
        <w:ind w:firstLine="359" w:firstLineChars="171"/>
        <w:rPr>
          <w:rFonts w:ascii="宋体" w:hAnsi="宋体"/>
          <w:color w:val="auto"/>
          <w:szCs w:val="21"/>
          <w:highlight w:val="none"/>
        </w:rPr>
      </w:pPr>
      <w:r>
        <w:rPr>
          <w:rFonts w:hint="eastAsia" w:ascii="宋体" w:hAnsi="宋体"/>
          <w:color w:val="auto"/>
          <w:szCs w:val="21"/>
          <w:highlight w:val="none"/>
        </w:rPr>
        <w:t>投标人盖章：</w:t>
      </w:r>
    </w:p>
    <w:p w14:paraId="23D80403">
      <w:pPr>
        <w:ind w:firstLine="359" w:firstLineChars="171"/>
        <w:rPr>
          <w:rFonts w:ascii="宋体" w:hAnsi="宋体"/>
          <w:color w:val="auto"/>
          <w:szCs w:val="21"/>
          <w:highlight w:val="none"/>
        </w:rPr>
      </w:pPr>
      <w:r>
        <w:rPr>
          <w:rFonts w:hint="eastAsia" w:ascii="宋体" w:hAnsi="宋体"/>
          <w:color w:val="auto"/>
          <w:szCs w:val="21"/>
          <w:highlight w:val="none"/>
        </w:rPr>
        <w:t>日期：</w:t>
      </w:r>
    </w:p>
    <w:p w14:paraId="2D306812">
      <w:pPr>
        <w:ind w:firstLine="359" w:firstLineChars="171"/>
        <w:rPr>
          <w:rFonts w:ascii="宋体" w:hAnsi="宋体"/>
          <w:color w:val="auto"/>
          <w:szCs w:val="21"/>
          <w:highlight w:val="none"/>
        </w:rPr>
      </w:pPr>
    </w:p>
    <w:p w14:paraId="021614BC">
      <w:pPr>
        <w:ind w:left="391" w:hanging="390" w:hangingChars="186"/>
        <w:rPr>
          <w:rFonts w:ascii="宋体" w:hAnsi="宋体"/>
          <w:color w:val="auto"/>
          <w:szCs w:val="21"/>
          <w:highlight w:val="none"/>
        </w:rPr>
      </w:pPr>
      <w:r>
        <w:rPr>
          <w:rFonts w:hint="eastAsia" w:ascii="宋体" w:hAnsi="宋体"/>
          <w:color w:val="auto"/>
          <w:szCs w:val="21"/>
          <w:highlight w:val="none"/>
        </w:rPr>
        <w:t xml:space="preserve">    注：</w:t>
      </w:r>
    </w:p>
    <w:p w14:paraId="0F7FCF50">
      <w:pPr>
        <w:ind w:firstLine="420" w:firstLineChars="200"/>
        <w:rPr>
          <w:rFonts w:ascii="宋体" w:hAnsi="宋体"/>
          <w:color w:val="auto"/>
          <w:szCs w:val="21"/>
          <w:highlight w:val="none"/>
        </w:rPr>
      </w:pPr>
      <w:r>
        <w:rPr>
          <w:rFonts w:hint="eastAsia" w:ascii="宋体" w:hAnsi="宋体"/>
          <w:color w:val="auto"/>
          <w:szCs w:val="21"/>
          <w:highlight w:val="none"/>
        </w:rPr>
        <w:t>1、暂定含税投标总价栏按照《危险废物运输费单价表》对应标包各区域、各车型“预计车次*投标单价报价”之和计取，并须用大写金额和小写金额两种方式表示的投标总价，报价保留小数点后两位。投标总价大小写不一致，以大写为准;投标价格开标一览表与《危险废物运输费单价表》不一致，以《危险废物运输费单价表》为准。投标总价必须准确唯一且应包含采购文件要求的所有费用。</w:t>
      </w:r>
    </w:p>
    <w:p w14:paraId="04A169C9">
      <w:pPr>
        <w:ind w:firstLine="420" w:firstLineChars="200"/>
        <w:rPr>
          <w:rFonts w:ascii="宋体" w:hAnsi="宋体"/>
          <w:color w:val="auto"/>
          <w:szCs w:val="21"/>
          <w:highlight w:val="none"/>
        </w:rPr>
      </w:pPr>
      <w:r>
        <w:rPr>
          <w:rFonts w:hint="eastAsia" w:ascii="宋体" w:hAnsi="宋体"/>
          <w:color w:val="auto"/>
          <w:szCs w:val="21"/>
          <w:highlight w:val="none"/>
        </w:rPr>
        <w:t>2、温馨提示：未按采购文件要求报价、填写开标一览表是导致投标人废标的常见问题，请投标人仔细填写，认真核对。漏写、错写或报价超过单价限价的，将被视为非实质性响应而予以投标无效处理。</w:t>
      </w:r>
    </w:p>
    <w:p w14:paraId="6269DC2C">
      <w:pPr>
        <w:rPr>
          <w:rFonts w:ascii="宋体" w:hAnsi="宋体"/>
          <w:color w:val="auto"/>
          <w:szCs w:val="21"/>
          <w:highlight w:val="none"/>
        </w:rPr>
      </w:pPr>
      <w:r>
        <w:rPr>
          <w:rFonts w:hint="eastAsia" w:ascii="宋体" w:hAnsi="宋体"/>
          <w:color w:val="auto"/>
          <w:szCs w:val="21"/>
          <w:highlight w:val="none"/>
        </w:rPr>
        <w:br w:type="page"/>
      </w:r>
    </w:p>
    <w:p w14:paraId="61E9A8CE">
      <w:pPr>
        <w:pStyle w:val="5"/>
        <w:widowControl w:val="0"/>
        <w:overflowPunct w:val="0"/>
        <w:spacing w:line="240" w:lineRule="auto"/>
        <w:rPr>
          <w:rFonts w:ascii="宋体" w:hAnsi="宋体"/>
          <w:color w:val="auto"/>
          <w:sz w:val="21"/>
          <w:szCs w:val="21"/>
          <w:highlight w:val="none"/>
        </w:rPr>
      </w:pPr>
      <w:bookmarkStart w:id="1044" w:name="_Toc1792"/>
      <w:bookmarkStart w:id="1045" w:name="_Toc29661"/>
      <w:bookmarkStart w:id="1046" w:name="_Toc12250"/>
      <w:bookmarkStart w:id="1047" w:name="_Toc7521"/>
      <w:bookmarkStart w:id="1048" w:name="_Toc29732"/>
      <w:bookmarkStart w:id="1049" w:name="_Toc21353"/>
      <w:bookmarkStart w:id="1050" w:name="_Toc5924"/>
      <w:bookmarkStart w:id="1051" w:name="_Toc6293"/>
      <w:bookmarkStart w:id="1052" w:name="_Toc4520"/>
      <w:bookmarkStart w:id="1053" w:name="_Toc2005"/>
      <w:bookmarkStart w:id="1054" w:name="_Toc22399"/>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2</w:t>
      </w:r>
      <w:r>
        <w:rPr>
          <w:rFonts w:hint="eastAsia" w:ascii="宋体" w:hAnsi="宋体"/>
          <w:color w:val="auto"/>
          <w:sz w:val="21"/>
          <w:szCs w:val="21"/>
          <w:highlight w:val="none"/>
        </w:rPr>
        <w:t>.报价明细表格式</w:t>
      </w:r>
      <w:bookmarkEnd w:id="1044"/>
      <w:bookmarkEnd w:id="1045"/>
      <w:bookmarkEnd w:id="1046"/>
      <w:bookmarkEnd w:id="1047"/>
      <w:bookmarkEnd w:id="1048"/>
      <w:bookmarkEnd w:id="1049"/>
      <w:bookmarkEnd w:id="1050"/>
      <w:bookmarkEnd w:id="1051"/>
      <w:bookmarkEnd w:id="1052"/>
      <w:bookmarkEnd w:id="1053"/>
      <w:bookmarkEnd w:id="1054"/>
    </w:p>
    <w:p w14:paraId="6274BB22">
      <w:pPr>
        <w:rPr>
          <w:rFonts w:hint="eastAsia" w:ascii="宋体" w:hAnsi="宋体"/>
          <w:color w:val="auto"/>
          <w:szCs w:val="21"/>
          <w:highlight w:val="none"/>
        </w:rPr>
      </w:pPr>
      <w:bookmarkStart w:id="1055" w:name="_Toc12412"/>
      <w:r>
        <w:rPr>
          <w:rFonts w:hint="eastAsia" w:ascii="宋体" w:hAnsi="宋体"/>
          <w:color w:val="auto"/>
          <w:szCs w:val="21"/>
          <w:highlight w:val="none"/>
          <w:lang w:val="en-US" w:eastAsia="zh-CN"/>
        </w:rPr>
        <w:t>1.</w:t>
      </w:r>
      <w:r>
        <w:rPr>
          <w:rFonts w:hint="eastAsia" w:ascii="宋体" w:hAnsi="宋体"/>
          <w:color w:val="auto"/>
          <w:szCs w:val="21"/>
          <w:highlight w:val="none"/>
        </w:rPr>
        <w:t>格式详见采购文件附件《</w:t>
      </w:r>
      <w:r>
        <w:rPr>
          <w:rFonts w:hint="eastAsia" w:ascii="Times New Roman" w:hAnsi="Times New Roman" w:cs="Times New Roman"/>
          <w:b/>
          <w:color w:val="auto"/>
          <w:szCs w:val="21"/>
          <w:highlight w:val="none"/>
        </w:rPr>
        <w:t>危险废物运输费单价表</w:t>
      </w:r>
      <w:r>
        <w:rPr>
          <w:rFonts w:hint="eastAsia" w:ascii="宋体" w:hAnsi="宋体"/>
          <w:color w:val="auto"/>
          <w:szCs w:val="21"/>
          <w:highlight w:val="none"/>
        </w:rPr>
        <w:t>》</w:t>
      </w:r>
    </w:p>
    <w:p w14:paraId="13CBB80D">
      <w:pPr>
        <w:jc w:val="both"/>
        <w:rPr>
          <w:rFonts w:hint="eastAsia" w:ascii="宋体" w:hAnsi="宋体" w:eastAsia="宋体" w:cstheme="minorBidi"/>
          <w:color w:val="auto"/>
          <w:szCs w:val="21"/>
          <w:highlight w:val="none"/>
        </w:rPr>
      </w:pPr>
      <w:r>
        <w:rPr>
          <w:rFonts w:hint="eastAsia" w:ascii="宋体" w:hAnsi="宋体" w:cstheme="minorBidi"/>
          <w:color w:val="auto"/>
          <w:szCs w:val="21"/>
          <w:highlight w:val="none"/>
          <w:lang w:val="en-US" w:eastAsia="zh-CN"/>
        </w:rPr>
        <w:t>2.</w:t>
      </w:r>
      <w:r>
        <w:rPr>
          <w:rFonts w:hint="eastAsia" w:ascii="宋体" w:hAnsi="宋体" w:eastAsia="宋体" w:cstheme="minorBidi"/>
          <w:color w:val="auto"/>
          <w:szCs w:val="21"/>
          <w:highlight w:val="none"/>
        </w:rPr>
        <w:t>本项目采用固定单价暂定总价方式报价，投标人必须根据附件《危险废物运输费单价表》规定的各标段、各区域、各车型的单价限价（元/车次）范围内进行报价（</w:t>
      </w:r>
      <w:r>
        <w:rPr>
          <w:rFonts w:hint="eastAsia" w:ascii="宋体" w:hAnsi="宋体" w:eastAsia="宋体" w:cstheme="minorBidi"/>
          <w:b/>
          <w:bCs/>
          <w:color w:val="auto"/>
          <w:szCs w:val="21"/>
          <w:highlight w:val="none"/>
        </w:rPr>
        <w:t>报价为含税价且保留至个位数</w:t>
      </w:r>
      <w:r>
        <w:rPr>
          <w:rFonts w:hint="eastAsia" w:ascii="宋体" w:hAnsi="宋体" w:eastAsia="宋体" w:cstheme="minorBidi"/>
          <w:color w:val="auto"/>
          <w:szCs w:val="21"/>
          <w:highlight w:val="none"/>
        </w:rPr>
        <w:t>），并结合相应的预计车次计算出暂定总价</w:t>
      </w:r>
      <w:r>
        <w:rPr>
          <w:rFonts w:hint="eastAsia" w:ascii="宋体" w:hAnsi="宋体" w:cstheme="minorBidi"/>
          <w:color w:val="auto"/>
          <w:szCs w:val="21"/>
          <w:highlight w:val="none"/>
          <w:lang w:eastAsia="zh-CN"/>
        </w:rPr>
        <w:t>（</w:t>
      </w:r>
      <w:r>
        <w:rPr>
          <w:rFonts w:hint="eastAsia" w:ascii="宋体" w:hAnsi="宋体" w:cstheme="minorBidi"/>
          <w:color w:val="auto"/>
          <w:szCs w:val="21"/>
          <w:highlight w:val="none"/>
          <w:lang w:val="en-US" w:eastAsia="zh-CN"/>
        </w:rPr>
        <w:t>含税价</w:t>
      </w:r>
      <w:r>
        <w:rPr>
          <w:rFonts w:hint="eastAsia" w:ascii="宋体" w:hAnsi="宋体" w:cstheme="minorBidi"/>
          <w:color w:val="auto"/>
          <w:szCs w:val="21"/>
          <w:highlight w:val="none"/>
          <w:lang w:eastAsia="zh-CN"/>
        </w:rPr>
        <w:t>）</w:t>
      </w:r>
      <w:r>
        <w:rPr>
          <w:rFonts w:hint="eastAsia" w:ascii="宋体" w:hAnsi="宋体" w:eastAsia="宋体" w:cstheme="minorBidi"/>
          <w:color w:val="auto"/>
          <w:szCs w:val="21"/>
          <w:highlight w:val="none"/>
        </w:rPr>
        <w:t>，即某标段所有区域各车型供应商所投运输单价报价与对应预计次数的乘积之和；</w:t>
      </w:r>
    </w:p>
    <w:p w14:paraId="51F84229">
      <w:pPr>
        <w:jc w:val="both"/>
        <w:rPr>
          <w:rFonts w:hint="eastAsia" w:ascii="宋体" w:hAnsi="宋体"/>
          <w:color w:val="auto"/>
          <w:szCs w:val="21"/>
          <w:highlight w:val="none"/>
        </w:rPr>
      </w:pPr>
      <w:r>
        <w:rPr>
          <w:rFonts w:hint="eastAsia" w:ascii="宋体" w:hAnsi="宋体" w:cstheme="minorBidi"/>
          <w:color w:val="auto"/>
          <w:szCs w:val="21"/>
          <w:highlight w:val="none"/>
          <w:lang w:val="en-US" w:eastAsia="zh-CN"/>
        </w:rPr>
        <w:t>3.</w:t>
      </w:r>
      <w:r>
        <w:rPr>
          <w:rFonts w:hint="eastAsia" w:ascii="宋体" w:hAnsi="宋体" w:eastAsia="宋体" w:cstheme="minorBidi"/>
          <w:color w:val="auto"/>
          <w:szCs w:val="21"/>
          <w:highlight w:val="none"/>
        </w:rPr>
        <w:t>投标人必须严格按照附件《危险废物运输费单价表》进行填写，漏写、错写或报价超过单价限价的，将被视为非实质性响应而予以投标无效处理。</w:t>
      </w:r>
    </w:p>
    <w:p w14:paraId="396F0441">
      <w:pPr>
        <w:rPr>
          <w:rFonts w:ascii="宋体" w:hAnsi="宋体"/>
          <w:color w:val="auto"/>
          <w:szCs w:val="21"/>
          <w:highlight w:val="none"/>
        </w:rPr>
      </w:pPr>
      <w:r>
        <w:rPr>
          <w:rFonts w:hint="eastAsia" w:ascii="宋体" w:hAnsi="宋体"/>
          <w:color w:val="auto"/>
          <w:szCs w:val="21"/>
          <w:highlight w:val="none"/>
        </w:rPr>
        <w:br w:type="page"/>
      </w:r>
    </w:p>
    <w:bookmarkEnd w:id="1055"/>
    <w:p w14:paraId="0DAAA907">
      <w:pPr>
        <w:rPr>
          <w:color w:val="auto"/>
          <w:sz w:val="52"/>
          <w:szCs w:val="52"/>
          <w:highlight w:val="none"/>
        </w:rPr>
      </w:pPr>
    </w:p>
    <w:p w14:paraId="0EE0E218">
      <w:pPr>
        <w:pStyle w:val="3"/>
        <w:spacing w:before="0" w:after="0" w:line="360" w:lineRule="auto"/>
        <w:jc w:val="center"/>
        <w:rPr>
          <w:color w:val="auto"/>
          <w:sz w:val="72"/>
          <w:szCs w:val="72"/>
          <w:highlight w:val="none"/>
        </w:rPr>
      </w:pPr>
      <w:bookmarkStart w:id="1056" w:name="_Toc9229"/>
      <w:bookmarkStart w:id="1057" w:name="_Toc3062"/>
      <w:bookmarkStart w:id="1058" w:name="_Toc25337"/>
      <w:bookmarkStart w:id="1059" w:name="_Toc29446"/>
      <w:bookmarkStart w:id="1060" w:name="_Toc543"/>
      <w:bookmarkStart w:id="1061" w:name="_Toc10240"/>
      <w:bookmarkStart w:id="1062" w:name="_Toc20537"/>
      <w:bookmarkStart w:id="1063" w:name="_Toc9634"/>
      <w:bookmarkStart w:id="1064" w:name="_Toc20212"/>
      <w:bookmarkStart w:id="1065" w:name="_Toc1459"/>
      <w:bookmarkStart w:id="1066" w:name="_Toc19390"/>
      <w:r>
        <w:rPr>
          <w:rFonts w:hint="eastAsia"/>
          <w:color w:val="auto"/>
          <w:sz w:val="72"/>
          <w:szCs w:val="72"/>
          <w:highlight w:val="none"/>
        </w:rPr>
        <w:t>商务文件</w:t>
      </w:r>
      <w:bookmarkEnd w:id="1056"/>
      <w:bookmarkEnd w:id="1057"/>
      <w:bookmarkEnd w:id="1058"/>
      <w:bookmarkEnd w:id="1059"/>
      <w:bookmarkEnd w:id="1060"/>
      <w:bookmarkEnd w:id="1061"/>
      <w:bookmarkEnd w:id="1062"/>
      <w:bookmarkEnd w:id="1063"/>
      <w:bookmarkEnd w:id="1064"/>
      <w:bookmarkEnd w:id="1065"/>
      <w:bookmarkEnd w:id="1066"/>
    </w:p>
    <w:p w14:paraId="0EA91203">
      <w:pPr>
        <w:jc w:val="center"/>
        <w:rPr>
          <w:rFonts w:ascii="黑体" w:eastAsia="黑体"/>
          <w:color w:val="auto"/>
          <w:sz w:val="72"/>
          <w:szCs w:val="72"/>
          <w:highlight w:val="none"/>
        </w:rPr>
      </w:pPr>
      <w:r>
        <w:rPr>
          <w:rFonts w:hint="eastAsia" w:ascii="黑体" w:eastAsia="黑体"/>
          <w:color w:val="auto"/>
          <w:sz w:val="72"/>
          <w:szCs w:val="72"/>
          <w:highlight w:val="none"/>
        </w:rPr>
        <w:t>（单独装订成册）</w:t>
      </w:r>
    </w:p>
    <w:p w14:paraId="280BAE27">
      <w:pPr>
        <w:rPr>
          <w:color w:val="auto"/>
          <w:highlight w:val="none"/>
        </w:rPr>
      </w:pPr>
    </w:p>
    <w:p w14:paraId="7474EDE6">
      <w:pPr>
        <w:pStyle w:val="9"/>
        <w:rPr>
          <w:color w:val="auto"/>
          <w:highlight w:val="none"/>
        </w:rPr>
      </w:pPr>
    </w:p>
    <w:p w14:paraId="4317F4B4">
      <w:pPr>
        <w:pStyle w:val="26"/>
        <w:ind w:firstLine="240"/>
        <w:rPr>
          <w:color w:val="auto"/>
          <w:highlight w:val="none"/>
        </w:rPr>
      </w:pPr>
    </w:p>
    <w:p w14:paraId="5CA93673">
      <w:pPr>
        <w:rPr>
          <w:rFonts w:ascii="宋体" w:hAnsi="宋体" w:cs="宋体"/>
          <w:b/>
          <w:bCs/>
          <w:color w:val="auto"/>
          <w:spacing w:val="-6"/>
          <w:sz w:val="32"/>
          <w:szCs w:val="32"/>
          <w:highlight w:val="none"/>
        </w:rPr>
      </w:pPr>
      <w:r>
        <w:rPr>
          <w:rFonts w:hint="eastAsia" w:ascii="宋体" w:hAnsi="宋体" w:cs="宋体"/>
          <w:b/>
          <w:bCs/>
          <w:color w:val="auto"/>
          <w:spacing w:val="53"/>
          <w:kern w:val="0"/>
          <w:sz w:val="32"/>
          <w:szCs w:val="32"/>
          <w:highlight w:val="none"/>
          <w:fitText w:val="1600" w:id="292250509"/>
        </w:rPr>
        <w:t>项目名</w:t>
      </w:r>
      <w:r>
        <w:rPr>
          <w:rFonts w:hint="eastAsia" w:ascii="宋体" w:hAnsi="宋体" w:cs="宋体"/>
          <w:b/>
          <w:bCs/>
          <w:color w:val="auto"/>
          <w:spacing w:val="1"/>
          <w:kern w:val="0"/>
          <w:sz w:val="32"/>
          <w:szCs w:val="32"/>
          <w:highlight w:val="none"/>
          <w:fitText w:val="1600" w:id="292250509"/>
        </w:rPr>
        <w:t>称</w:t>
      </w:r>
      <w:r>
        <w:rPr>
          <w:rFonts w:hint="eastAsia" w:ascii="宋体" w:hAnsi="宋体" w:cs="宋体"/>
          <w:b/>
          <w:bCs/>
          <w:color w:val="auto"/>
          <w:spacing w:val="-6"/>
          <w:sz w:val="32"/>
          <w:szCs w:val="32"/>
          <w:highlight w:val="none"/>
        </w:rPr>
        <w:t>：东莞市新东欣环保投资有限公司2025-2026年度危废运输服务项目</w:t>
      </w:r>
    </w:p>
    <w:p w14:paraId="3390B017">
      <w:pPr>
        <w:rPr>
          <w:rFonts w:ascii="宋体" w:hAnsi="宋体" w:cs="宋体"/>
          <w:b/>
          <w:bCs/>
          <w:color w:val="auto"/>
          <w:sz w:val="32"/>
          <w:szCs w:val="32"/>
          <w:highlight w:val="none"/>
        </w:rPr>
      </w:pPr>
      <w:r>
        <w:rPr>
          <w:rFonts w:hint="eastAsia" w:ascii="宋体" w:hAnsi="宋体" w:cs="宋体"/>
          <w:b/>
          <w:bCs/>
          <w:color w:val="auto"/>
          <w:spacing w:val="53"/>
          <w:kern w:val="0"/>
          <w:sz w:val="32"/>
          <w:szCs w:val="32"/>
          <w:highlight w:val="none"/>
          <w:fitText w:val="1600" w:id="1231831253"/>
        </w:rPr>
        <w:t>项目编</w:t>
      </w:r>
      <w:r>
        <w:rPr>
          <w:rFonts w:hint="eastAsia" w:ascii="宋体" w:hAnsi="宋体" w:cs="宋体"/>
          <w:b/>
          <w:bCs/>
          <w:color w:val="auto"/>
          <w:spacing w:val="1"/>
          <w:kern w:val="0"/>
          <w:sz w:val="32"/>
          <w:szCs w:val="32"/>
          <w:highlight w:val="none"/>
          <w:fitText w:val="1600" w:id="1231831253"/>
        </w:rPr>
        <w:t>号</w:t>
      </w:r>
      <w:r>
        <w:rPr>
          <w:rFonts w:hint="eastAsia" w:ascii="宋体" w:hAnsi="宋体" w:cs="宋体"/>
          <w:b/>
          <w:bCs/>
          <w:color w:val="auto"/>
          <w:sz w:val="32"/>
          <w:szCs w:val="32"/>
          <w:highlight w:val="none"/>
        </w:rPr>
        <w:t>：XDX-GK-2024-003</w:t>
      </w:r>
    </w:p>
    <w:p w14:paraId="116AB216">
      <w:pPr>
        <w:pStyle w:val="9"/>
        <w:ind w:left="0"/>
        <w:rPr>
          <w:b/>
          <w:color w:val="auto"/>
          <w:spacing w:val="1280"/>
          <w:sz w:val="32"/>
          <w:szCs w:val="32"/>
          <w:highlight w:val="none"/>
        </w:rPr>
      </w:pPr>
      <w:r>
        <w:rPr>
          <w:b/>
          <w:color w:val="auto"/>
          <w:spacing w:val="106"/>
          <w:sz w:val="32"/>
          <w:szCs w:val="32"/>
          <w:highlight w:val="none"/>
          <w:lang w:val="en-US" w:bidi="ar-SA"/>
        </w:rPr>
        <w:t>包组号（如有）：</w:t>
      </w:r>
    </w:p>
    <w:p w14:paraId="0EB122CE">
      <w:pPr>
        <w:rPr>
          <w:rFonts w:ascii="宋体" w:hAnsi="宋体" w:cs="宋体"/>
          <w:b/>
          <w:color w:val="auto"/>
          <w:sz w:val="32"/>
          <w:szCs w:val="32"/>
          <w:highlight w:val="none"/>
        </w:rPr>
      </w:pPr>
      <w:r>
        <w:rPr>
          <w:rFonts w:hint="eastAsia" w:ascii="宋体" w:hAnsi="宋体" w:cs="宋体"/>
          <w:b/>
          <w:color w:val="auto"/>
          <w:spacing w:val="0"/>
          <w:kern w:val="0"/>
          <w:sz w:val="32"/>
          <w:szCs w:val="32"/>
          <w:highlight w:val="none"/>
          <w:fitText w:val="1600" w:id="1764384445"/>
        </w:rPr>
        <w:t>投标人名称</w:t>
      </w:r>
      <w:r>
        <w:rPr>
          <w:rFonts w:hint="eastAsia" w:ascii="宋体" w:hAnsi="宋体" w:cs="宋体"/>
          <w:b/>
          <w:color w:val="auto"/>
          <w:sz w:val="32"/>
          <w:szCs w:val="32"/>
          <w:highlight w:val="none"/>
        </w:rPr>
        <w:t>：</w:t>
      </w:r>
    </w:p>
    <w:p w14:paraId="31FD3050">
      <w:pPr>
        <w:rPr>
          <w:rFonts w:ascii="宋体" w:hAnsi="宋体" w:cs="宋体"/>
          <w:b/>
          <w:color w:val="auto"/>
          <w:sz w:val="32"/>
          <w:szCs w:val="32"/>
          <w:highlight w:val="none"/>
        </w:rPr>
      </w:pPr>
      <w:r>
        <w:rPr>
          <w:rFonts w:hint="eastAsia" w:ascii="宋体" w:hAnsi="宋体" w:cs="宋体"/>
          <w:b/>
          <w:color w:val="auto"/>
          <w:spacing w:val="32"/>
          <w:kern w:val="0"/>
          <w:sz w:val="32"/>
          <w:szCs w:val="32"/>
          <w:highlight w:val="none"/>
          <w:fitText w:val="1600" w:id="2061173831"/>
        </w:rPr>
        <w:t xml:space="preserve">日    </w:t>
      </w:r>
      <w:r>
        <w:rPr>
          <w:rFonts w:hint="eastAsia" w:ascii="宋体" w:hAnsi="宋体" w:cs="宋体"/>
          <w:b/>
          <w:color w:val="auto"/>
          <w:spacing w:val="0"/>
          <w:kern w:val="0"/>
          <w:sz w:val="32"/>
          <w:szCs w:val="32"/>
          <w:highlight w:val="none"/>
          <w:fitText w:val="1600" w:id="2061173831"/>
        </w:rPr>
        <w:t>期</w:t>
      </w:r>
      <w:r>
        <w:rPr>
          <w:rFonts w:hint="eastAsia" w:ascii="宋体" w:hAnsi="宋体" w:cs="宋体"/>
          <w:b/>
          <w:color w:val="auto"/>
          <w:sz w:val="32"/>
          <w:szCs w:val="32"/>
          <w:highlight w:val="none"/>
        </w:rPr>
        <w:t>：</w:t>
      </w:r>
    </w:p>
    <w:p w14:paraId="38A8C2A6">
      <w:pPr>
        <w:pStyle w:val="9"/>
        <w:rPr>
          <w:b/>
          <w:color w:val="auto"/>
          <w:sz w:val="32"/>
          <w:szCs w:val="32"/>
          <w:highlight w:val="none"/>
        </w:rPr>
      </w:pPr>
    </w:p>
    <w:p w14:paraId="03422CAD">
      <w:pPr>
        <w:pStyle w:val="26"/>
        <w:ind w:firstLine="321"/>
        <w:rPr>
          <w:b/>
          <w:color w:val="auto"/>
          <w:sz w:val="32"/>
          <w:szCs w:val="32"/>
          <w:highlight w:val="none"/>
        </w:rPr>
      </w:pPr>
    </w:p>
    <w:p w14:paraId="060CBA4F">
      <w:pPr>
        <w:pStyle w:val="21"/>
        <w:rPr>
          <w:rFonts w:ascii="宋体" w:hAnsi="宋体" w:cs="宋体"/>
          <w:b/>
          <w:color w:val="auto"/>
          <w:sz w:val="32"/>
          <w:szCs w:val="32"/>
          <w:highlight w:val="none"/>
        </w:rPr>
      </w:pPr>
    </w:p>
    <w:p w14:paraId="4141CEED">
      <w:pPr>
        <w:rPr>
          <w:rFonts w:ascii="宋体" w:hAnsi="宋体" w:cs="宋体"/>
          <w:b/>
          <w:color w:val="auto"/>
          <w:sz w:val="32"/>
          <w:szCs w:val="32"/>
          <w:highlight w:val="none"/>
        </w:rPr>
      </w:pPr>
    </w:p>
    <w:p w14:paraId="720318BF">
      <w:pPr>
        <w:pStyle w:val="9"/>
        <w:rPr>
          <w:b/>
          <w:color w:val="auto"/>
          <w:sz w:val="32"/>
          <w:szCs w:val="32"/>
          <w:highlight w:val="none"/>
        </w:rPr>
      </w:pPr>
    </w:p>
    <w:p w14:paraId="08622925">
      <w:pPr>
        <w:rPr>
          <w:color w:val="auto"/>
          <w:highlight w:val="none"/>
        </w:rPr>
      </w:pPr>
    </w:p>
    <w:p w14:paraId="2B9A3393">
      <w:pPr>
        <w:rPr>
          <w:rFonts w:ascii="宋体" w:hAnsi="宋体"/>
          <w:color w:val="auto"/>
          <w:szCs w:val="21"/>
          <w:highlight w:val="none"/>
        </w:rPr>
      </w:pPr>
      <w:r>
        <w:rPr>
          <w:rFonts w:hint="eastAsia" w:ascii="宋体" w:hAnsi="宋体"/>
          <w:color w:val="auto"/>
          <w:szCs w:val="21"/>
          <w:highlight w:val="none"/>
        </w:rPr>
        <w:br w:type="page"/>
      </w:r>
    </w:p>
    <w:p w14:paraId="23DD0A05">
      <w:pPr>
        <w:pStyle w:val="5"/>
        <w:widowControl w:val="0"/>
        <w:overflowPunct w:val="0"/>
        <w:spacing w:line="240" w:lineRule="auto"/>
        <w:rPr>
          <w:color w:val="auto"/>
          <w:highlight w:val="none"/>
        </w:rPr>
      </w:pPr>
      <w:bookmarkStart w:id="1067" w:name="_Toc16689"/>
      <w:bookmarkStart w:id="1068" w:name="_Toc16076"/>
      <w:bookmarkStart w:id="1069" w:name="_Toc22553"/>
      <w:bookmarkStart w:id="1070" w:name="_Toc25331"/>
      <w:bookmarkStart w:id="1071" w:name="_Toc29111"/>
      <w:bookmarkStart w:id="1072" w:name="_Toc17749"/>
      <w:bookmarkStart w:id="1073" w:name="_Toc27628"/>
      <w:bookmarkStart w:id="1074" w:name="_Toc26651"/>
      <w:bookmarkStart w:id="1075" w:name="_Toc12601"/>
      <w:bookmarkStart w:id="1076" w:name="_Toc16227"/>
      <w:bookmarkStart w:id="1077" w:name="_Toc15669"/>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3</w:t>
      </w:r>
      <w:r>
        <w:rPr>
          <w:rFonts w:hint="eastAsia" w:ascii="宋体" w:hAnsi="宋体"/>
          <w:color w:val="auto"/>
          <w:sz w:val="21"/>
          <w:szCs w:val="21"/>
          <w:highlight w:val="none"/>
        </w:rPr>
        <w:t>.投标书格式</w:t>
      </w:r>
      <w:bookmarkEnd w:id="1067"/>
      <w:bookmarkEnd w:id="1068"/>
      <w:bookmarkEnd w:id="1069"/>
      <w:bookmarkEnd w:id="1070"/>
      <w:bookmarkEnd w:id="1071"/>
      <w:bookmarkEnd w:id="1072"/>
      <w:bookmarkEnd w:id="1073"/>
      <w:bookmarkEnd w:id="1074"/>
      <w:bookmarkEnd w:id="1075"/>
      <w:bookmarkEnd w:id="1076"/>
      <w:bookmarkEnd w:id="1077"/>
    </w:p>
    <w:p w14:paraId="3F27AA95">
      <w:pPr>
        <w:jc w:val="center"/>
        <w:rPr>
          <w:rFonts w:ascii="宋体" w:hAnsi="宋体"/>
          <w:color w:val="auto"/>
          <w:szCs w:val="21"/>
          <w:highlight w:val="none"/>
        </w:rPr>
      </w:pPr>
      <w:r>
        <w:rPr>
          <w:rFonts w:hint="eastAsia" w:ascii="黑体" w:eastAsia="黑体"/>
          <w:color w:val="auto"/>
          <w:sz w:val="32"/>
          <w:szCs w:val="32"/>
          <w:highlight w:val="none"/>
        </w:rPr>
        <w:t>投标书</w:t>
      </w:r>
    </w:p>
    <w:p w14:paraId="77C6A023">
      <w:pPr>
        <w:rPr>
          <w:rFonts w:ascii="宋体" w:hAnsi="宋体"/>
          <w:color w:val="auto"/>
          <w:szCs w:val="21"/>
          <w:highlight w:val="none"/>
        </w:rPr>
      </w:pPr>
      <w:r>
        <w:rPr>
          <w:rFonts w:hint="eastAsia" w:ascii="宋体" w:hAnsi="宋体"/>
          <w:color w:val="auto"/>
          <w:szCs w:val="21"/>
          <w:highlight w:val="none"/>
        </w:rPr>
        <w:t>致：xxx公司：</w:t>
      </w:r>
    </w:p>
    <w:p w14:paraId="53FE8460">
      <w:pPr>
        <w:rPr>
          <w:rFonts w:ascii="宋体" w:hAnsi="宋体"/>
          <w:color w:val="auto"/>
          <w:szCs w:val="21"/>
          <w:highlight w:val="none"/>
        </w:rPr>
      </w:pPr>
    </w:p>
    <w:p w14:paraId="00121DD0">
      <w:pPr>
        <w:ind w:firstLine="420" w:firstLineChars="200"/>
        <w:rPr>
          <w:rFonts w:ascii="宋体" w:hAnsi="宋体"/>
          <w:color w:val="auto"/>
          <w:szCs w:val="21"/>
          <w:highlight w:val="none"/>
        </w:rPr>
      </w:pPr>
      <w:r>
        <w:rPr>
          <w:rFonts w:hint="eastAsia" w:ascii="宋体" w:hAnsi="宋体"/>
          <w:color w:val="auto"/>
          <w:szCs w:val="21"/>
          <w:highlight w:val="none"/>
        </w:rPr>
        <w:t>根据贵方为</w:t>
      </w:r>
      <w:r>
        <w:rPr>
          <w:rFonts w:hint="eastAsia" w:ascii="宋体" w:hAnsi="宋体"/>
          <w:color w:val="auto"/>
          <w:szCs w:val="21"/>
          <w:highlight w:val="none"/>
          <w:u w:val="single"/>
        </w:rPr>
        <w:t>（项目名称）（采购项目编号）</w:t>
      </w:r>
      <w:r>
        <w:rPr>
          <w:rFonts w:hint="eastAsia" w:ascii="宋体" w:hAnsi="宋体"/>
          <w:color w:val="auto"/>
          <w:szCs w:val="21"/>
          <w:highlight w:val="none"/>
        </w:rPr>
        <w:t>项目采购公告/采购邀请，签字代表</w:t>
      </w:r>
      <w:r>
        <w:rPr>
          <w:rFonts w:hint="eastAsia" w:ascii="宋体" w:hAnsi="宋体"/>
          <w:color w:val="auto"/>
          <w:szCs w:val="21"/>
          <w:highlight w:val="none"/>
          <w:u w:val="single"/>
        </w:rPr>
        <w:t>（姓名、职务）</w:t>
      </w:r>
      <w:r>
        <w:rPr>
          <w:rFonts w:hint="eastAsia" w:ascii="宋体" w:hAnsi="宋体"/>
          <w:color w:val="auto"/>
          <w:szCs w:val="21"/>
          <w:highlight w:val="none"/>
        </w:rPr>
        <w:t>经正式授权并代表投标人</w:t>
      </w:r>
      <w:r>
        <w:rPr>
          <w:rFonts w:hint="eastAsia" w:ascii="宋体" w:hAnsi="宋体"/>
          <w:color w:val="auto"/>
          <w:szCs w:val="21"/>
          <w:highlight w:val="none"/>
          <w:u w:val="single"/>
        </w:rPr>
        <w:t>（投标人名称、地址）</w:t>
      </w:r>
      <w:r>
        <w:rPr>
          <w:rFonts w:hint="eastAsia" w:ascii="宋体" w:hAnsi="宋体"/>
          <w:color w:val="auto"/>
          <w:szCs w:val="21"/>
          <w:highlight w:val="none"/>
        </w:rPr>
        <w:t>提交投标文件及“唱标信封”：</w:t>
      </w:r>
    </w:p>
    <w:p w14:paraId="7F8DE32C">
      <w:pPr>
        <w:ind w:firstLine="420" w:firstLineChars="200"/>
        <w:rPr>
          <w:rFonts w:ascii="宋体" w:hAnsi="宋体"/>
          <w:color w:val="auto"/>
          <w:szCs w:val="21"/>
          <w:highlight w:val="none"/>
        </w:rPr>
      </w:pPr>
      <w:r>
        <w:rPr>
          <w:rFonts w:hint="eastAsia" w:ascii="宋体" w:hAnsi="宋体"/>
          <w:color w:val="auto"/>
          <w:szCs w:val="21"/>
          <w:highlight w:val="none"/>
        </w:rPr>
        <w:t xml:space="preserve">在此，签字代表宣布同意如下： </w:t>
      </w:r>
    </w:p>
    <w:p w14:paraId="235342BE">
      <w:pPr>
        <w:widowControl w:val="0"/>
        <w:numPr>
          <w:ilvl w:val="0"/>
          <w:numId w:val="14"/>
        </w:numPr>
        <w:adjustRightInd/>
        <w:snapToGrid/>
        <w:jc w:val="both"/>
        <w:rPr>
          <w:rFonts w:ascii="宋体" w:hAnsi="宋体"/>
          <w:color w:val="auto"/>
          <w:szCs w:val="21"/>
          <w:highlight w:val="none"/>
        </w:rPr>
      </w:pPr>
      <w:r>
        <w:rPr>
          <w:rFonts w:hint="eastAsia" w:ascii="宋体" w:hAnsi="宋体"/>
          <w:color w:val="auto"/>
          <w:szCs w:val="21"/>
          <w:highlight w:val="none"/>
        </w:rPr>
        <w:t xml:space="preserve">我方将按采购文件的规定履行合同责任和义务。 </w:t>
      </w:r>
    </w:p>
    <w:p w14:paraId="6B658E26">
      <w:pPr>
        <w:widowControl w:val="0"/>
        <w:numPr>
          <w:ilvl w:val="0"/>
          <w:numId w:val="14"/>
        </w:numPr>
        <w:adjustRightInd/>
        <w:snapToGrid/>
        <w:jc w:val="both"/>
        <w:rPr>
          <w:rFonts w:ascii="宋体" w:hAnsi="宋体"/>
          <w:color w:val="auto"/>
          <w:szCs w:val="21"/>
          <w:highlight w:val="none"/>
        </w:rPr>
      </w:pPr>
      <w:r>
        <w:rPr>
          <w:rFonts w:hint="eastAsia" w:ascii="宋体" w:hAnsi="宋体"/>
          <w:b/>
          <w:color w:val="auto"/>
          <w:szCs w:val="21"/>
          <w:highlight w:val="none"/>
        </w:rPr>
        <w:t>我方已完整阅读了本项目采购文件的所有内容（包括澄清，以及所有已提供的参考资料和有关附件），并完全理解上述文件所表达的意思，该项目递交投标文件时间截止后，我方承诺不再对上述文件内容进行异议。</w:t>
      </w:r>
    </w:p>
    <w:p w14:paraId="5A9DBD70">
      <w:pPr>
        <w:widowControl w:val="0"/>
        <w:numPr>
          <w:ilvl w:val="0"/>
          <w:numId w:val="14"/>
        </w:numPr>
        <w:adjustRightInd/>
        <w:snapToGrid/>
        <w:jc w:val="both"/>
        <w:rPr>
          <w:rFonts w:ascii="宋体" w:hAnsi="宋体"/>
          <w:color w:val="auto"/>
          <w:szCs w:val="21"/>
          <w:highlight w:val="none"/>
        </w:rPr>
      </w:pPr>
      <w:r>
        <w:rPr>
          <w:rFonts w:hint="eastAsia" w:ascii="宋体" w:hAnsi="宋体"/>
          <w:color w:val="auto"/>
          <w:szCs w:val="21"/>
          <w:highlight w:val="none"/>
        </w:rPr>
        <w:t>本投标有效期为自开标日起</w:t>
      </w:r>
      <w:r>
        <w:rPr>
          <w:rFonts w:hint="eastAsia" w:ascii="宋体" w:hAnsi="宋体"/>
          <w:color w:val="auto"/>
          <w:szCs w:val="21"/>
          <w:highlight w:val="none"/>
          <w:u w:val="single"/>
        </w:rPr>
        <w:t>90</w:t>
      </w:r>
      <w:r>
        <w:rPr>
          <w:rFonts w:hint="eastAsia" w:ascii="宋体" w:hAnsi="宋体"/>
          <w:color w:val="auto"/>
          <w:szCs w:val="21"/>
          <w:highlight w:val="none"/>
        </w:rPr>
        <w:t xml:space="preserve">个日历日。 </w:t>
      </w:r>
    </w:p>
    <w:p w14:paraId="1B90D34C">
      <w:pPr>
        <w:widowControl w:val="0"/>
        <w:numPr>
          <w:ilvl w:val="0"/>
          <w:numId w:val="14"/>
        </w:numPr>
        <w:adjustRightInd/>
        <w:snapToGrid/>
        <w:jc w:val="both"/>
        <w:rPr>
          <w:rFonts w:ascii="宋体" w:hAnsi="宋体"/>
          <w:color w:val="auto"/>
          <w:szCs w:val="21"/>
          <w:highlight w:val="none"/>
        </w:rPr>
      </w:pPr>
      <w:r>
        <w:rPr>
          <w:rFonts w:hint="eastAsia" w:ascii="宋体" w:hAnsi="宋体"/>
          <w:color w:val="auto"/>
          <w:szCs w:val="21"/>
          <w:highlight w:val="none"/>
        </w:rPr>
        <w:t>我方保证遵守投标人须知中关于没收投标保证金的规定。</w:t>
      </w:r>
    </w:p>
    <w:p w14:paraId="6E1770EA">
      <w:pPr>
        <w:widowControl w:val="0"/>
        <w:numPr>
          <w:ilvl w:val="0"/>
          <w:numId w:val="14"/>
        </w:numPr>
        <w:adjustRightInd/>
        <w:snapToGrid/>
        <w:jc w:val="both"/>
        <w:rPr>
          <w:rFonts w:ascii="宋体" w:hAnsi="宋体"/>
          <w:color w:val="auto"/>
          <w:szCs w:val="21"/>
          <w:highlight w:val="none"/>
        </w:rPr>
      </w:pPr>
      <w:r>
        <w:rPr>
          <w:rFonts w:hint="eastAsia" w:ascii="宋体" w:hAnsi="宋体"/>
          <w:color w:val="auto"/>
          <w:szCs w:val="21"/>
          <w:highlight w:val="none"/>
        </w:rPr>
        <w:t xml:space="preserve">我方承诺，与买方聘请的为此项目提供咨询服务的公司及任何附属机构均无关联，我方不是买方的附属机构。 </w:t>
      </w:r>
    </w:p>
    <w:p w14:paraId="132A7102">
      <w:pPr>
        <w:widowControl w:val="0"/>
        <w:numPr>
          <w:ilvl w:val="0"/>
          <w:numId w:val="14"/>
        </w:numPr>
        <w:adjustRightInd/>
        <w:snapToGrid/>
        <w:jc w:val="both"/>
        <w:rPr>
          <w:rFonts w:ascii="宋体" w:hAnsi="宋体"/>
          <w:color w:val="auto"/>
          <w:szCs w:val="21"/>
          <w:highlight w:val="none"/>
        </w:rPr>
      </w:pPr>
      <w:r>
        <w:rPr>
          <w:rFonts w:hint="eastAsia" w:ascii="宋体" w:hAnsi="宋体"/>
          <w:color w:val="auto"/>
          <w:szCs w:val="21"/>
          <w:highlight w:val="none"/>
        </w:rPr>
        <w:t>我方承诺，我方具备投标人邀请中所要求的资格条件，已清楚采购文件所有要求及有关规定；并承诺参加本次采购活动中，如有违法、违规、弄虚作假行为，所造成的损失、不良后果及法律责任，一律由我方承担；</w:t>
      </w:r>
    </w:p>
    <w:p w14:paraId="0F440763">
      <w:pPr>
        <w:widowControl w:val="0"/>
        <w:numPr>
          <w:ilvl w:val="0"/>
          <w:numId w:val="14"/>
        </w:numPr>
        <w:adjustRightInd/>
        <w:snapToGrid/>
        <w:jc w:val="both"/>
        <w:rPr>
          <w:rFonts w:ascii="宋体" w:hAnsi="宋体"/>
          <w:color w:val="auto"/>
          <w:szCs w:val="21"/>
          <w:highlight w:val="none"/>
        </w:rPr>
      </w:pPr>
      <w:r>
        <w:rPr>
          <w:rFonts w:hint="eastAsia" w:ascii="宋体" w:hAnsi="宋体"/>
          <w:color w:val="auto"/>
          <w:szCs w:val="21"/>
          <w:highlight w:val="none"/>
        </w:rPr>
        <w:t>我方同意提供按照贵方可能要求的与其投标有关的一切数据或资料。</w:t>
      </w:r>
    </w:p>
    <w:p w14:paraId="7738F5B0">
      <w:pPr>
        <w:widowControl w:val="0"/>
        <w:numPr>
          <w:ilvl w:val="0"/>
          <w:numId w:val="14"/>
        </w:numPr>
        <w:adjustRightInd/>
        <w:snapToGrid/>
        <w:jc w:val="both"/>
        <w:rPr>
          <w:rFonts w:ascii="宋体" w:hAnsi="宋体"/>
          <w:color w:val="auto"/>
          <w:szCs w:val="21"/>
          <w:highlight w:val="none"/>
        </w:rPr>
      </w:pPr>
      <w:r>
        <w:rPr>
          <w:rFonts w:hint="eastAsia" w:ascii="宋体" w:hAnsi="宋体"/>
          <w:color w:val="auto"/>
          <w:szCs w:val="21"/>
          <w:highlight w:val="none"/>
        </w:rPr>
        <w:t>与本投标有关的一切正式信函请寄：</w:t>
      </w:r>
    </w:p>
    <w:p w14:paraId="7AD7CDF7">
      <w:pPr>
        <w:rPr>
          <w:rFonts w:ascii="宋体" w:hAnsi="宋体"/>
          <w:color w:val="auto"/>
          <w:szCs w:val="21"/>
          <w:highlight w:val="none"/>
        </w:rPr>
      </w:pPr>
      <w:r>
        <w:rPr>
          <w:rFonts w:hint="eastAsia" w:ascii="宋体" w:hAnsi="宋体"/>
          <w:color w:val="auto"/>
          <w:szCs w:val="21"/>
          <w:highlight w:val="none"/>
        </w:rPr>
        <w:t>地址：　　　　　　　　　　　　　　　　　　　 电子邮箱：</w:t>
      </w:r>
    </w:p>
    <w:p w14:paraId="1CB24D09">
      <w:pPr>
        <w:rPr>
          <w:rFonts w:ascii="宋体" w:hAnsi="宋体"/>
          <w:color w:val="auto"/>
          <w:szCs w:val="21"/>
          <w:highlight w:val="none"/>
        </w:rPr>
      </w:pPr>
      <w:r>
        <w:rPr>
          <w:rFonts w:hint="eastAsia" w:ascii="宋体" w:hAnsi="宋体"/>
          <w:color w:val="auto"/>
          <w:szCs w:val="21"/>
          <w:highlight w:val="none"/>
        </w:rPr>
        <w:t>电话/移动电话：　　　　　　　　　　　　　　　</w:t>
      </w:r>
    </w:p>
    <w:p w14:paraId="4E0797EB">
      <w:pPr>
        <w:rPr>
          <w:rFonts w:ascii="宋体" w:hAnsi="宋体"/>
          <w:color w:val="auto"/>
          <w:szCs w:val="21"/>
          <w:highlight w:val="none"/>
        </w:rPr>
      </w:pPr>
      <w:r>
        <w:rPr>
          <w:rFonts w:hint="eastAsia" w:ascii="宋体" w:hAnsi="宋体"/>
          <w:color w:val="auto"/>
          <w:szCs w:val="21"/>
          <w:highlight w:val="none"/>
        </w:rPr>
        <w:t xml:space="preserve">投标人法定代表人（或其授权代表）签字： </w:t>
      </w:r>
    </w:p>
    <w:p w14:paraId="3BEEAC56">
      <w:pPr>
        <w:rPr>
          <w:rFonts w:ascii="宋体" w:hAnsi="宋体"/>
          <w:color w:val="auto"/>
          <w:szCs w:val="21"/>
          <w:highlight w:val="none"/>
        </w:rPr>
      </w:pPr>
      <w:r>
        <w:rPr>
          <w:rFonts w:hint="eastAsia" w:ascii="宋体" w:hAnsi="宋体"/>
          <w:color w:val="auto"/>
          <w:szCs w:val="21"/>
          <w:highlight w:val="none"/>
        </w:rPr>
        <w:t xml:space="preserve">投标人名称（全称）： </w:t>
      </w:r>
    </w:p>
    <w:p w14:paraId="7899281E">
      <w:pPr>
        <w:rPr>
          <w:rFonts w:ascii="宋体" w:hAnsi="宋体"/>
          <w:color w:val="auto"/>
          <w:szCs w:val="21"/>
          <w:highlight w:val="none"/>
        </w:rPr>
      </w:pPr>
      <w:r>
        <w:rPr>
          <w:rFonts w:hint="eastAsia" w:ascii="宋体" w:hAnsi="宋体"/>
          <w:color w:val="auto"/>
          <w:szCs w:val="21"/>
          <w:highlight w:val="none"/>
        </w:rPr>
        <w:t xml:space="preserve">投标人盖章： </w:t>
      </w:r>
    </w:p>
    <w:p w14:paraId="2EC4B7EE">
      <w:pPr>
        <w:rPr>
          <w:color w:val="auto"/>
          <w:highlight w:val="none"/>
        </w:rPr>
      </w:pPr>
      <w:r>
        <w:rPr>
          <w:rFonts w:hint="eastAsia" w:ascii="宋体" w:hAnsi="宋体"/>
          <w:color w:val="auto"/>
          <w:szCs w:val="21"/>
          <w:highlight w:val="none"/>
        </w:rPr>
        <w:t>日期：</w:t>
      </w:r>
      <w:r>
        <w:rPr>
          <w:color w:val="auto"/>
          <w:highlight w:val="none"/>
        </w:rPr>
        <w:br w:type="page"/>
      </w:r>
    </w:p>
    <w:p w14:paraId="0F70ADB7">
      <w:pPr>
        <w:pStyle w:val="5"/>
        <w:widowControl w:val="0"/>
        <w:overflowPunct w:val="0"/>
        <w:spacing w:line="240" w:lineRule="auto"/>
        <w:rPr>
          <w:rFonts w:ascii="宋体" w:hAnsi="宋体"/>
          <w:color w:val="auto"/>
          <w:sz w:val="21"/>
          <w:szCs w:val="21"/>
          <w:highlight w:val="none"/>
        </w:rPr>
      </w:pPr>
      <w:bookmarkStart w:id="1078" w:name="_Toc26496"/>
      <w:bookmarkStart w:id="1079" w:name="_Toc10162"/>
      <w:bookmarkStart w:id="1080" w:name="_Toc6116"/>
      <w:bookmarkStart w:id="1081" w:name="_Toc7424"/>
      <w:bookmarkStart w:id="1082" w:name="_Toc6377"/>
      <w:bookmarkStart w:id="1083" w:name="_Toc24527"/>
      <w:bookmarkStart w:id="1084" w:name="_Toc24860"/>
      <w:bookmarkStart w:id="1085" w:name="_Toc4380"/>
      <w:bookmarkStart w:id="1086" w:name="_Toc24926"/>
      <w:bookmarkStart w:id="1087" w:name="_Toc21931"/>
      <w:bookmarkStart w:id="1088" w:name="_Toc3331"/>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4</w:t>
      </w:r>
      <w:r>
        <w:rPr>
          <w:rFonts w:hint="eastAsia" w:ascii="宋体" w:hAnsi="宋体"/>
          <w:color w:val="auto"/>
          <w:sz w:val="21"/>
          <w:szCs w:val="21"/>
          <w:highlight w:val="none"/>
        </w:rPr>
        <w:t>. 法定代表人证明书格式</w:t>
      </w:r>
      <w:bookmarkEnd w:id="1078"/>
      <w:bookmarkEnd w:id="1079"/>
      <w:bookmarkEnd w:id="1080"/>
      <w:bookmarkEnd w:id="1081"/>
      <w:bookmarkEnd w:id="1082"/>
      <w:bookmarkEnd w:id="1083"/>
      <w:bookmarkEnd w:id="1084"/>
      <w:bookmarkEnd w:id="1085"/>
      <w:bookmarkEnd w:id="1086"/>
      <w:bookmarkEnd w:id="1087"/>
      <w:bookmarkEnd w:id="1088"/>
    </w:p>
    <w:p w14:paraId="53E066EA">
      <w:pPr>
        <w:rPr>
          <w:color w:val="auto"/>
          <w:highlight w:val="none"/>
        </w:rPr>
      </w:pPr>
    </w:p>
    <w:p w14:paraId="08685CB5">
      <w:pPr>
        <w:jc w:val="center"/>
        <w:rPr>
          <w:rFonts w:ascii="黑体" w:eastAsia="黑体"/>
          <w:color w:val="auto"/>
          <w:sz w:val="28"/>
          <w:szCs w:val="28"/>
          <w:highlight w:val="none"/>
        </w:rPr>
      </w:pPr>
      <w:r>
        <w:rPr>
          <w:rFonts w:hint="eastAsia" w:ascii="黑体" w:eastAsia="黑体"/>
          <w:color w:val="auto"/>
          <w:sz w:val="28"/>
          <w:szCs w:val="28"/>
          <w:highlight w:val="none"/>
        </w:rPr>
        <w:t>法定代表人证明书</w:t>
      </w:r>
    </w:p>
    <w:p w14:paraId="780C5788">
      <w:pPr>
        <w:pStyle w:val="42"/>
        <w:spacing w:line="420" w:lineRule="atLeast"/>
        <w:ind w:firstLine="0" w:firstLineChars="0"/>
        <w:rPr>
          <w:rFonts w:ascii="宋体" w:eastAsia="宋体"/>
          <w:color w:val="auto"/>
          <w:sz w:val="21"/>
          <w:szCs w:val="21"/>
          <w:highlight w:val="none"/>
        </w:rPr>
      </w:pPr>
      <w:r>
        <w:rPr>
          <w:rFonts w:hint="eastAsia" w:ascii="宋体" w:eastAsia="宋体"/>
          <w:color w:val="auto"/>
          <w:sz w:val="21"/>
          <w:szCs w:val="21"/>
          <w:highlight w:val="none"/>
        </w:rPr>
        <w:t>致：xxx公司</w:t>
      </w:r>
    </w:p>
    <w:p w14:paraId="79A63117">
      <w:pPr>
        <w:pStyle w:val="42"/>
        <w:spacing w:line="420" w:lineRule="atLeast"/>
        <w:ind w:firstLine="433"/>
        <w:rPr>
          <w:rFonts w:ascii="宋体" w:eastAsia="宋体"/>
          <w:color w:val="auto"/>
          <w:sz w:val="21"/>
          <w:szCs w:val="21"/>
          <w:highlight w:val="none"/>
        </w:rPr>
      </w:pPr>
    </w:p>
    <w:p w14:paraId="3F7F58C7">
      <w:pPr>
        <w:pStyle w:val="42"/>
        <w:spacing w:line="420" w:lineRule="atLeast"/>
        <w:ind w:firstLine="433"/>
        <w:rPr>
          <w:rFonts w:ascii="宋体" w:eastAsia="宋体"/>
          <w:color w:val="auto"/>
          <w:sz w:val="21"/>
          <w:szCs w:val="21"/>
          <w:highlight w:val="none"/>
          <w:u w:val="single"/>
        </w:rPr>
      </w:pPr>
      <w:r>
        <w:rPr>
          <w:rFonts w:hint="eastAsia" w:ascii="宋体" w:eastAsia="宋体"/>
          <w:color w:val="auto"/>
          <w:sz w:val="21"/>
          <w:szCs w:val="21"/>
          <w:highlight w:val="none"/>
        </w:rPr>
        <w:t>投标人名称:</w:t>
      </w:r>
    </w:p>
    <w:p w14:paraId="46B582F3">
      <w:pPr>
        <w:pStyle w:val="42"/>
        <w:spacing w:line="420" w:lineRule="atLeast"/>
        <w:ind w:firstLine="433"/>
        <w:rPr>
          <w:rFonts w:ascii="宋体" w:eastAsia="宋体"/>
          <w:color w:val="auto"/>
          <w:sz w:val="21"/>
          <w:szCs w:val="21"/>
          <w:highlight w:val="none"/>
          <w:u w:val="single"/>
        </w:rPr>
      </w:pPr>
      <w:r>
        <w:rPr>
          <w:rFonts w:hint="eastAsia" w:ascii="宋体" w:eastAsia="宋体"/>
          <w:color w:val="auto"/>
          <w:sz w:val="21"/>
          <w:szCs w:val="21"/>
          <w:highlight w:val="none"/>
        </w:rPr>
        <w:t>单 位 性质：</w:t>
      </w:r>
    </w:p>
    <w:p w14:paraId="56B32F70">
      <w:pPr>
        <w:pStyle w:val="42"/>
        <w:spacing w:line="420" w:lineRule="atLeast"/>
        <w:ind w:firstLine="433"/>
        <w:rPr>
          <w:rFonts w:ascii="宋体" w:eastAsia="宋体"/>
          <w:color w:val="auto"/>
          <w:sz w:val="21"/>
          <w:szCs w:val="21"/>
          <w:highlight w:val="none"/>
          <w:u w:val="single"/>
        </w:rPr>
      </w:pPr>
      <w:r>
        <w:rPr>
          <w:rFonts w:hint="eastAsia" w:ascii="宋体" w:eastAsia="宋体"/>
          <w:color w:val="auto"/>
          <w:sz w:val="21"/>
          <w:szCs w:val="21"/>
          <w:highlight w:val="none"/>
        </w:rPr>
        <w:t>地      址：</w:t>
      </w:r>
    </w:p>
    <w:p w14:paraId="3F4B741D">
      <w:pPr>
        <w:pStyle w:val="42"/>
        <w:spacing w:line="420" w:lineRule="atLeast"/>
        <w:ind w:firstLine="433"/>
        <w:rPr>
          <w:rFonts w:ascii="宋体" w:eastAsia="宋体"/>
          <w:color w:val="auto"/>
          <w:sz w:val="21"/>
          <w:szCs w:val="21"/>
          <w:highlight w:val="none"/>
        </w:rPr>
      </w:pPr>
      <w:r>
        <w:rPr>
          <w:rFonts w:hint="eastAsia" w:ascii="宋体" w:eastAsia="宋体"/>
          <w:color w:val="auto"/>
          <w:sz w:val="21"/>
          <w:szCs w:val="21"/>
          <w:highlight w:val="none"/>
        </w:rPr>
        <w:t>成 立 时间：年月日</w:t>
      </w:r>
    </w:p>
    <w:p w14:paraId="41E75E19">
      <w:pPr>
        <w:pStyle w:val="42"/>
        <w:spacing w:line="420" w:lineRule="atLeast"/>
        <w:ind w:firstLine="433"/>
        <w:rPr>
          <w:rFonts w:ascii="宋体" w:eastAsia="宋体"/>
          <w:color w:val="auto"/>
          <w:sz w:val="21"/>
          <w:szCs w:val="21"/>
          <w:highlight w:val="none"/>
        </w:rPr>
      </w:pPr>
      <w:r>
        <w:rPr>
          <w:rFonts w:hint="eastAsia" w:ascii="宋体" w:eastAsia="宋体"/>
          <w:color w:val="auto"/>
          <w:sz w:val="21"/>
          <w:szCs w:val="21"/>
          <w:highlight w:val="none"/>
        </w:rPr>
        <w:t>经 营 期限：</w:t>
      </w:r>
    </w:p>
    <w:p w14:paraId="09966822">
      <w:pPr>
        <w:pStyle w:val="42"/>
        <w:spacing w:line="420" w:lineRule="atLeast"/>
        <w:ind w:firstLine="433"/>
        <w:rPr>
          <w:rFonts w:ascii="宋体" w:eastAsia="宋体"/>
          <w:color w:val="auto"/>
          <w:sz w:val="21"/>
          <w:szCs w:val="21"/>
          <w:highlight w:val="none"/>
        </w:rPr>
      </w:pPr>
      <w:r>
        <w:rPr>
          <w:rFonts w:hint="eastAsia" w:ascii="宋体" w:eastAsia="宋体"/>
          <w:color w:val="auto"/>
          <w:sz w:val="21"/>
          <w:szCs w:val="21"/>
          <w:highlight w:val="none"/>
        </w:rPr>
        <w:t>姓名：性别：年龄：职务：</w:t>
      </w:r>
    </w:p>
    <w:p w14:paraId="4681693E">
      <w:pPr>
        <w:pStyle w:val="42"/>
        <w:spacing w:line="420" w:lineRule="atLeast"/>
        <w:ind w:firstLine="433"/>
        <w:rPr>
          <w:rFonts w:ascii="宋体" w:eastAsia="宋体"/>
          <w:color w:val="auto"/>
          <w:sz w:val="21"/>
          <w:szCs w:val="21"/>
          <w:highlight w:val="none"/>
        </w:rPr>
      </w:pPr>
      <w:r>
        <w:rPr>
          <w:rFonts w:hint="eastAsia" w:ascii="宋体" w:eastAsia="宋体"/>
          <w:color w:val="auto"/>
          <w:sz w:val="21"/>
          <w:szCs w:val="21"/>
          <w:highlight w:val="none"/>
        </w:rPr>
        <w:t>系（投标人名称）的法定代表人。</w:t>
      </w:r>
    </w:p>
    <w:p w14:paraId="64DBB842">
      <w:pPr>
        <w:spacing w:line="420" w:lineRule="atLeast"/>
        <w:ind w:firstLine="420" w:firstLineChars="200"/>
        <w:rPr>
          <w:rFonts w:ascii="宋体" w:hAnsi="宋体"/>
          <w:color w:val="auto"/>
          <w:szCs w:val="21"/>
          <w:highlight w:val="none"/>
        </w:rPr>
      </w:pPr>
      <w:r>
        <w:rPr>
          <w:rFonts w:hint="eastAsia" w:ascii="宋体" w:hAnsi="宋体"/>
          <w:color w:val="auto"/>
          <w:szCs w:val="21"/>
          <w:highlight w:val="none"/>
        </w:rPr>
        <w:t>特此证明。</w:t>
      </w:r>
    </w:p>
    <w:p w14:paraId="172EF6FD">
      <w:pPr>
        <w:pStyle w:val="42"/>
        <w:spacing w:line="500" w:lineRule="atLeast"/>
        <w:ind w:firstLine="3517" w:firstLineChars="1675"/>
        <w:rPr>
          <w:rFonts w:ascii="宋体" w:eastAsia="宋体"/>
          <w:color w:val="auto"/>
          <w:sz w:val="21"/>
          <w:szCs w:val="21"/>
          <w:highlight w:val="none"/>
        </w:rPr>
      </w:pPr>
    </w:p>
    <w:p w14:paraId="05675415">
      <w:pPr>
        <w:pStyle w:val="42"/>
        <w:spacing w:line="500" w:lineRule="atLeast"/>
        <w:ind w:firstLine="3517" w:firstLineChars="1675"/>
        <w:rPr>
          <w:rFonts w:ascii="宋体" w:eastAsia="宋体"/>
          <w:color w:val="auto"/>
          <w:sz w:val="21"/>
          <w:szCs w:val="21"/>
          <w:highlight w:val="none"/>
        </w:rPr>
      </w:pPr>
      <w:r>
        <w:rPr>
          <w:rFonts w:hint="eastAsia" w:ascii="宋体" w:eastAsia="宋体"/>
          <w:color w:val="auto"/>
          <w:sz w:val="21"/>
          <w:szCs w:val="21"/>
          <w:highlight w:val="none"/>
        </w:rPr>
        <w:t>投标人名称（加盖公章）：</w:t>
      </w:r>
    </w:p>
    <w:p w14:paraId="43AB7ED8">
      <w:pPr>
        <w:pStyle w:val="42"/>
        <w:spacing w:line="500" w:lineRule="atLeast"/>
        <w:ind w:firstLine="3517" w:firstLineChars="1675"/>
        <w:rPr>
          <w:rFonts w:ascii="宋体" w:eastAsia="宋体"/>
          <w:color w:val="auto"/>
          <w:sz w:val="21"/>
          <w:szCs w:val="21"/>
          <w:highlight w:val="none"/>
        </w:rPr>
      </w:pPr>
      <w:r>
        <w:rPr>
          <w:rFonts w:hint="eastAsia" w:ascii="宋体" w:eastAsia="宋体"/>
          <w:color w:val="auto"/>
          <w:sz w:val="21"/>
          <w:szCs w:val="21"/>
          <w:highlight w:val="none"/>
        </w:rPr>
        <w:t>法定代表人（签名或盖私章）：</w:t>
      </w:r>
    </w:p>
    <w:p w14:paraId="18226813">
      <w:pPr>
        <w:pStyle w:val="42"/>
        <w:spacing w:line="500" w:lineRule="atLeast"/>
        <w:ind w:firstLine="3517" w:firstLineChars="1675"/>
        <w:rPr>
          <w:rFonts w:ascii="宋体" w:eastAsia="宋体"/>
          <w:color w:val="auto"/>
          <w:sz w:val="21"/>
          <w:szCs w:val="21"/>
          <w:highlight w:val="none"/>
        </w:rPr>
      </w:pPr>
      <w:r>
        <w:rPr>
          <w:rFonts w:hint="eastAsia" w:ascii="宋体" w:eastAsia="宋体"/>
          <w:color w:val="auto"/>
          <w:sz w:val="21"/>
          <w:szCs w:val="21"/>
          <w:highlight w:val="none"/>
        </w:rPr>
        <w:t>法定代表人联系方式：</w:t>
      </w:r>
    </w:p>
    <w:p w14:paraId="399F90EF">
      <w:pPr>
        <w:pStyle w:val="42"/>
        <w:spacing w:line="500" w:lineRule="atLeast"/>
        <w:ind w:firstLine="3517" w:firstLineChars="1675"/>
        <w:rPr>
          <w:rFonts w:ascii="宋体" w:eastAsia="宋体"/>
          <w:color w:val="auto"/>
          <w:sz w:val="21"/>
          <w:szCs w:val="21"/>
          <w:highlight w:val="none"/>
          <w:u w:val="single"/>
        </w:rPr>
      </w:pPr>
      <w:r>
        <w:rPr>
          <w:rFonts w:hint="eastAsia" w:ascii="宋体" w:eastAsia="宋体"/>
          <w:color w:val="auto"/>
          <w:sz w:val="21"/>
          <w:szCs w:val="21"/>
          <w:highlight w:val="none"/>
        </w:rPr>
        <w:t>身份证号码：</w:t>
      </w:r>
    </w:p>
    <w:p w14:paraId="076AB690">
      <w:pPr>
        <w:pStyle w:val="42"/>
        <w:spacing w:line="500" w:lineRule="atLeast"/>
        <w:ind w:firstLine="3507" w:firstLineChars="1670"/>
        <w:rPr>
          <w:rFonts w:ascii="宋体" w:eastAsia="宋体"/>
          <w:color w:val="auto"/>
          <w:sz w:val="21"/>
          <w:szCs w:val="21"/>
          <w:highlight w:val="none"/>
        </w:rPr>
      </w:pPr>
      <w:r>
        <w:rPr>
          <w:rFonts w:hint="eastAsia" w:ascii="宋体" w:eastAsia="宋体"/>
          <w:color w:val="auto"/>
          <w:sz w:val="21"/>
          <w:szCs w:val="21"/>
          <w:highlight w:val="none"/>
        </w:rPr>
        <w:t>日     期：  年  月  日</w:t>
      </w:r>
    </w:p>
    <w:p w14:paraId="1FC42C39">
      <w:pPr>
        <w:ind w:firstLine="420" w:firstLineChars="200"/>
        <w:rPr>
          <w:rFonts w:ascii="宋体" w:hAnsi="宋体"/>
          <w:color w:val="auto"/>
          <w:szCs w:val="21"/>
          <w:highlight w:val="none"/>
        </w:rPr>
      </w:pPr>
    </w:p>
    <w:p w14:paraId="48D15700">
      <w:pPr>
        <w:ind w:firstLine="420" w:firstLineChars="200"/>
        <w:rPr>
          <w:rFonts w:ascii="宋体" w:hAnsi="宋体"/>
          <w:color w:val="auto"/>
          <w:szCs w:val="21"/>
          <w:highlight w:val="none"/>
        </w:rPr>
      </w:pPr>
      <w:r>
        <w:rPr>
          <w:rFonts w:hint="eastAsia" w:ascii="宋体" w:hAnsi="宋体"/>
          <w:color w:val="auto"/>
          <w:szCs w:val="21"/>
          <w:highlight w:val="none"/>
        </w:rPr>
        <w:t>注：法定代表人身份证明书需附法人代表身份证复印件。</w:t>
      </w:r>
    </w:p>
    <w:tbl>
      <w:tblPr>
        <w:tblStyle w:val="28"/>
        <w:tblW w:w="8364" w:type="dxa"/>
        <w:jc w:val="center"/>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Layout w:type="fixed"/>
        <w:tblCellMar>
          <w:top w:w="0" w:type="dxa"/>
          <w:left w:w="108" w:type="dxa"/>
          <w:bottom w:w="0" w:type="dxa"/>
          <w:right w:w="108" w:type="dxa"/>
        </w:tblCellMar>
      </w:tblPr>
      <w:tblGrid>
        <w:gridCol w:w="4182"/>
        <w:gridCol w:w="4182"/>
      </w:tblGrid>
      <w:tr w14:paraId="49EDDF73">
        <w:tblPrEx>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CellMar>
            <w:top w:w="0" w:type="dxa"/>
            <w:left w:w="108" w:type="dxa"/>
            <w:bottom w:w="0" w:type="dxa"/>
            <w:right w:w="108" w:type="dxa"/>
          </w:tblCellMar>
        </w:tblPrEx>
        <w:trPr>
          <w:trHeight w:val="2517" w:hRule="atLeast"/>
          <w:jc w:val="center"/>
        </w:trPr>
        <w:tc>
          <w:tcPr>
            <w:tcW w:w="4182" w:type="dxa"/>
            <w:vAlign w:val="center"/>
          </w:tcPr>
          <w:p w14:paraId="407AD4F2">
            <w:pPr>
              <w:pStyle w:val="42"/>
              <w:spacing w:line="460" w:lineRule="exact"/>
              <w:ind w:firstLine="0" w:firstLineChars="0"/>
              <w:jc w:val="center"/>
              <w:rPr>
                <w:rFonts w:ascii="宋体" w:eastAsia="宋体"/>
                <w:color w:val="auto"/>
                <w:sz w:val="22"/>
                <w:highlight w:val="none"/>
              </w:rPr>
            </w:pPr>
            <w:r>
              <w:rPr>
                <w:rFonts w:hint="eastAsia" w:ascii="宋体" w:eastAsia="宋体"/>
                <w:color w:val="auto"/>
                <w:sz w:val="22"/>
                <w:highlight w:val="none"/>
              </w:rPr>
              <w:t>正面</w:t>
            </w:r>
          </w:p>
        </w:tc>
        <w:tc>
          <w:tcPr>
            <w:tcW w:w="4182" w:type="dxa"/>
            <w:vAlign w:val="center"/>
          </w:tcPr>
          <w:p w14:paraId="38F7D431">
            <w:pPr>
              <w:pStyle w:val="42"/>
              <w:spacing w:line="460" w:lineRule="exact"/>
              <w:ind w:firstLine="0" w:firstLineChars="0"/>
              <w:jc w:val="center"/>
              <w:rPr>
                <w:rFonts w:ascii="宋体" w:eastAsia="宋体"/>
                <w:color w:val="auto"/>
                <w:sz w:val="22"/>
                <w:highlight w:val="none"/>
              </w:rPr>
            </w:pPr>
            <w:r>
              <w:rPr>
                <w:rFonts w:hint="eastAsia" w:ascii="宋体" w:eastAsia="宋体"/>
                <w:color w:val="auto"/>
                <w:sz w:val="22"/>
                <w:highlight w:val="none"/>
              </w:rPr>
              <w:t>背面</w:t>
            </w:r>
          </w:p>
        </w:tc>
      </w:tr>
    </w:tbl>
    <w:p w14:paraId="57733E6E">
      <w:pPr>
        <w:rPr>
          <w:color w:val="auto"/>
          <w:highlight w:val="none"/>
        </w:rPr>
      </w:pPr>
    </w:p>
    <w:p w14:paraId="31723352">
      <w:pPr>
        <w:adjustRightInd/>
        <w:snapToGrid/>
        <w:spacing w:line="276" w:lineRule="auto"/>
        <w:rPr>
          <w:rFonts w:ascii="楷体_GB2312" w:eastAsia="楷体_GB2312" w:hAnsiTheme="majorHAnsi" w:cstheme="majorBidi"/>
          <w:b/>
          <w:bCs/>
          <w:color w:val="auto"/>
          <w:sz w:val="24"/>
          <w:szCs w:val="28"/>
          <w:highlight w:val="none"/>
        </w:rPr>
      </w:pPr>
      <w:r>
        <w:rPr>
          <w:rFonts w:ascii="楷体_GB2312" w:eastAsia="楷体_GB2312"/>
          <w:color w:val="auto"/>
          <w:sz w:val="24"/>
          <w:highlight w:val="none"/>
        </w:rPr>
        <w:br w:type="page"/>
      </w:r>
    </w:p>
    <w:p w14:paraId="0EAB52B7">
      <w:pPr>
        <w:pStyle w:val="5"/>
        <w:widowControl w:val="0"/>
        <w:overflowPunct w:val="0"/>
        <w:spacing w:line="240" w:lineRule="auto"/>
        <w:rPr>
          <w:color w:val="auto"/>
          <w:highlight w:val="none"/>
        </w:rPr>
      </w:pPr>
      <w:bookmarkStart w:id="1089" w:name="_Toc12624"/>
      <w:bookmarkStart w:id="1090" w:name="_Toc18473"/>
      <w:bookmarkStart w:id="1091" w:name="_Toc32042"/>
      <w:bookmarkStart w:id="1092" w:name="_Toc13009"/>
      <w:bookmarkStart w:id="1093" w:name="_Toc24736"/>
      <w:bookmarkStart w:id="1094" w:name="_Toc787"/>
      <w:bookmarkStart w:id="1095" w:name="_Toc3584"/>
      <w:bookmarkStart w:id="1096" w:name="_Toc15935"/>
      <w:bookmarkStart w:id="1097" w:name="_Toc10977"/>
      <w:bookmarkStart w:id="1098" w:name="_Toc20793"/>
      <w:bookmarkStart w:id="1099" w:name="_Toc7937"/>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5</w:t>
      </w:r>
      <w:r>
        <w:rPr>
          <w:rFonts w:hint="eastAsia" w:ascii="宋体" w:hAnsi="宋体"/>
          <w:color w:val="auto"/>
          <w:sz w:val="21"/>
          <w:szCs w:val="21"/>
          <w:highlight w:val="none"/>
        </w:rPr>
        <w:t>.法定代表人授权书格式</w:t>
      </w:r>
      <w:bookmarkEnd w:id="1089"/>
      <w:bookmarkEnd w:id="1090"/>
      <w:bookmarkEnd w:id="1091"/>
      <w:bookmarkEnd w:id="1092"/>
      <w:bookmarkEnd w:id="1093"/>
      <w:bookmarkEnd w:id="1094"/>
      <w:bookmarkEnd w:id="1095"/>
      <w:bookmarkEnd w:id="1096"/>
      <w:bookmarkEnd w:id="1097"/>
      <w:bookmarkEnd w:id="1098"/>
      <w:bookmarkEnd w:id="1099"/>
    </w:p>
    <w:p w14:paraId="4B543CD1">
      <w:pPr>
        <w:rPr>
          <w:color w:val="auto"/>
          <w:highlight w:val="none"/>
        </w:rPr>
      </w:pPr>
    </w:p>
    <w:p w14:paraId="067B06CD">
      <w:pPr>
        <w:jc w:val="center"/>
        <w:rPr>
          <w:rFonts w:ascii="黑体" w:eastAsia="黑体"/>
          <w:color w:val="auto"/>
          <w:sz w:val="28"/>
          <w:szCs w:val="28"/>
          <w:highlight w:val="none"/>
        </w:rPr>
      </w:pPr>
      <w:r>
        <w:rPr>
          <w:rFonts w:hint="eastAsia" w:ascii="黑体" w:eastAsia="黑体"/>
          <w:color w:val="auto"/>
          <w:sz w:val="28"/>
          <w:szCs w:val="28"/>
          <w:highlight w:val="none"/>
        </w:rPr>
        <w:t>法定代表人授权书</w:t>
      </w:r>
    </w:p>
    <w:p w14:paraId="44EE58F8">
      <w:pPr>
        <w:pStyle w:val="42"/>
        <w:spacing w:line="420" w:lineRule="atLeast"/>
        <w:ind w:firstLine="0" w:firstLineChars="0"/>
        <w:rPr>
          <w:rFonts w:ascii="宋体" w:eastAsia="宋体"/>
          <w:color w:val="auto"/>
          <w:sz w:val="21"/>
          <w:szCs w:val="21"/>
          <w:highlight w:val="none"/>
        </w:rPr>
      </w:pPr>
      <w:r>
        <w:rPr>
          <w:rFonts w:hint="eastAsia" w:ascii="宋体" w:eastAsia="宋体"/>
          <w:color w:val="auto"/>
          <w:sz w:val="21"/>
          <w:szCs w:val="21"/>
          <w:highlight w:val="none"/>
        </w:rPr>
        <w:t>致：xxx公司</w:t>
      </w:r>
    </w:p>
    <w:p w14:paraId="4819CC41">
      <w:pPr>
        <w:pStyle w:val="42"/>
        <w:spacing w:line="420" w:lineRule="atLeast"/>
        <w:ind w:firstLine="433"/>
        <w:rPr>
          <w:rFonts w:ascii="宋体" w:eastAsia="宋体"/>
          <w:color w:val="auto"/>
          <w:sz w:val="21"/>
          <w:szCs w:val="21"/>
          <w:highlight w:val="none"/>
        </w:rPr>
      </w:pPr>
    </w:p>
    <w:p w14:paraId="5B3EA06F">
      <w:pPr>
        <w:ind w:firstLine="420" w:firstLineChars="200"/>
        <w:rPr>
          <w:rFonts w:ascii="宋体" w:hAnsi="宋体" w:cs="Times New Roman"/>
          <w:color w:val="auto"/>
          <w:szCs w:val="21"/>
          <w:highlight w:val="none"/>
        </w:rPr>
      </w:pPr>
      <w:r>
        <w:rPr>
          <w:rFonts w:hint="eastAsia" w:ascii="宋体" w:hAnsi="宋体" w:cs="Times New Roman"/>
          <w:color w:val="auto"/>
          <w:szCs w:val="21"/>
          <w:highlight w:val="none"/>
        </w:rPr>
        <w:t>本授权书声明：注册于</w:t>
      </w:r>
      <w:r>
        <w:rPr>
          <w:rFonts w:hint="eastAsia" w:ascii="宋体" w:hAnsi="宋体" w:cs="Times New Roman"/>
          <w:color w:val="auto"/>
          <w:szCs w:val="21"/>
          <w:highlight w:val="none"/>
          <w:u w:val="single"/>
        </w:rPr>
        <w:t>（国家或地区的名称）</w:t>
      </w:r>
      <w:r>
        <w:rPr>
          <w:rFonts w:hint="eastAsia" w:ascii="宋体" w:hAnsi="宋体" w:cs="Times New Roman"/>
          <w:color w:val="auto"/>
          <w:szCs w:val="21"/>
          <w:highlight w:val="none"/>
        </w:rPr>
        <w:t>的</w:t>
      </w:r>
      <w:r>
        <w:rPr>
          <w:rFonts w:hint="eastAsia" w:ascii="宋体" w:hAnsi="宋体" w:cs="Times New Roman"/>
          <w:color w:val="auto"/>
          <w:szCs w:val="21"/>
          <w:highlight w:val="none"/>
          <w:u w:val="single"/>
        </w:rPr>
        <w:t>（单位名称）</w:t>
      </w:r>
      <w:r>
        <w:rPr>
          <w:rFonts w:hint="eastAsia" w:ascii="宋体" w:hAnsi="宋体" w:cs="Times New Roman"/>
          <w:color w:val="auto"/>
          <w:szCs w:val="21"/>
          <w:highlight w:val="none"/>
        </w:rPr>
        <w:t>的在下面签字的</w:t>
      </w:r>
      <w:r>
        <w:rPr>
          <w:rFonts w:hint="eastAsia" w:ascii="宋体" w:hAnsi="宋体" w:cs="Times New Roman"/>
          <w:color w:val="auto"/>
          <w:szCs w:val="21"/>
          <w:highlight w:val="none"/>
          <w:u w:val="single"/>
        </w:rPr>
        <w:t>（法定代表人姓名、职务）</w:t>
      </w:r>
      <w:r>
        <w:rPr>
          <w:rFonts w:hint="eastAsia" w:ascii="宋体" w:hAnsi="宋体" w:cs="Times New Roman"/>
          <w:color w:val="auto"/>
          <w:szCs w:val="21"/>
          <w:highlight w:val="none"/>
        </w:rPr>
        <w:t>代表本单位授权</w:t>
      </w:r>
      <w:r>
        <w:rPr>
          <w:rFonts w:hint="eastAsia" w:ascii="宋体" w:hAnsi="宋体" w:cs="Times New Roman"/>
          <w:color w:val="auto"/>
          <w:szCs w:val="21"/>
          <w:highlight w:val="none"/>
          <w:u w:val="single"/>
        </w:rPr>
        <w:t>（单位名称）</w:t>
      </w:r>
      <w:r>
        <w:rPr>
          <w:rFonts w:hint="eastAsia" w:ascii="宋体" w:hAnsi="宋体" w:cs="Times New Roman"/>
          <w:color w:val="auto"/>
          <w:szCs w:val="21"/>
          <w:highlight w:val="none"/>
        </w:rPr>
        <w:t>的在下面签字的</w:t>
      </w:r>
      <w:r>
        <w:rPr>
          <w:rFonts w:hint="eastAsia" w:ascii="宋体" w:hAnsi="宋体" w:cs="Times New Roman"/>
          <w:color w:val="auto"/>
          <w:szCs w:val="21"/>
          <w:highlight w:val="none"/>
          <w:u w:val="single"/>
        </w:rPr>
        <w:t>（被授权人的姓名、职务）</w:t>
      </w:r>
      <w:r>
        <w:rPr>
          <w:rFonts w:hint="eastAsia" w:ascii="宋体" w:hAnsi="宋体" w:cs="Times New Roman"/>
          <w:color w:val="auto"/>
          <w:szCs w:val="21"/>
          <w:highlight w:val="none"/>
        </w:rPr>
        <w:t>为本单位的合法代理人，就</w:t>
      </w:r>
      <w:r>
        <w:rPr>
          <w:rFonts w:hint="eastAsia" w:ascii="宋体" w:hAnsi="宋体" w:cs="Times New Roman"/>
          <w:color w:val="auto"/>
          <w:szCs w:val="21"/>
          <w:highlight w:val="none"/>
          <w:u w:val="single"/>
        </w:rPr>
        <w:t>（项目名称）</w:t>
      </w:r>
      <w:r>
        <w:rPr>
          <w:rFonts w:hint="eastAsia" w:ascii="宋体" w:hAnsi="宋体" w:cs="Times New Roman"/>
          <w:color w:val="auto"/>
          <w:szCs w:val="21"/>
          <w:highlight w:val="none"/>
        </w:rPr>
        <w:t>投标及参加项目谈判，以本单位名义处理一切与之有关的事务。</w:t>
      </w:r>
    </w:p>
    <w:p w14:paraId="3E958FEA">
      <w:pPr>
        <w:ind w:firstLine="315" w:firstLineChars="150"/>
        <w:rPr>
          <w:rFonts w:ascii="宋体" w:hAnsi="宋体" w:cs="Times New Roman"/>
          <w:color w:val="auto"/>
          <w:szCs w:val="21"/>
          <w:highlight w:val="none"/>
        </w:rPr>
      </w:pPr>
      <w:r>
        <w:rPr>
          <w:rFonts w:hint="eastAsia" w:ascii="宋体" w:hAnsi="宋体" w:cs="Times New Roman"/>
          <w:color w:val="auto"/>
          <w:szCs w:val="21"/>
          <w:highlight w:val="none"/>
        </w:rPr>
        <w:t>本授权书于</w:t>
      </w:r>
      <w:r>
        <w:rPr>
          <w:rFonts w:hint="eastAsia" w:ascii="宋体" w:hAnsi="宋体" w:cs="Times New Roman"/>
          <w:color w:val="auto"/>
          <w:szCs w:val="21"/>
          <w:highlight w:val="none"/>
          <w:u w:val="single"/>
        </w:rPr>
        <w:t>　　</w:t>
      </w:r>
      <w:r>
        <w:rPr>
          <w:rFonts w:hint="eastAsia" w:ascii="宋体" w:hAnsi="宋体" w:cs="Times New Roman"/>
          <w:color w:val="auto"/>
          <w:szCs w:val="21"/>
          <w:highlight w:val="none"/>
        </w:rPr>
        <w:t>年</w:t>
      </w:r>
      <w:r>
        <w:rPr>
          <w:rFonts w:hint="eastAsia" w:ascii="宋体" w:hAnsi="宋体" w:cs="Times New Roman"/>
          <w:color w:val="auto"/>
          <w:szCs w:val="21"/>
          <w:highlight w:val="none"/>
          <w:u w:val="single"/>
        </w:rPr>
        <w:t>　　</w:t>
      </w:r>
      <w:r>
        <w:rPr>
          <w:rFonts w:hint="eastAsia" w:ascii="宋体" w:hAnsi="宋体" w:cs="Times New Roman"/>
          <w:color w:val="auto"/>
          <w:szCs w:val="21"/>
          <w:highlight w:val="none"/>
        </w:rPr>
        <w:t>月</w:t>
      </w:r>
      <w:r>
        <w:rPr>
          <w:rFonts w:hint="eastAsia" w:ascii="宋体" w:hAnsi="宋体" w:cs="Times New Roman"/>
          <w:color w:val="auto"/>
          <w:szCs w:val="21"/>
          <w:highlight w:val="none"/>
          <w:u w:val="single"/>
        </w:rPr>
        <w:t>　　</w:t>
      </w:r>
      <w:r>
        <w:rPr>
          <w:rFonts w:hint="eastAsia" w:ascii="宋体" w:hAnsi="宋体" w:cs="Times New Roman"/>
          <w:color w:val="auto"/>
          <w:szCs w:val="21"/>
          <w:highlight w:val="none"/>
        </w:rPr>
        <w:t>日签字生效，特此声明。</w:t>
      </w:r>
    </w:p>
    <w:p w14:paraId="5D6F763B">
      <w:pPr>
        <w:pStyle w:val="42"/>
        <w:spacing w:line="500" w:lineRule="atLeast"/>
        <w:ind w:firstLine="3517" w:firstLineChars="1675"/>
        <w:rPr>
          <w:rFonts w:ascii="宋体" w:eastAsia="宋体"/>
          <w:color w:val="auto"/>
          <w:sz w:val="21"/>
          <w:szCs w:val="21"/>
          <w:highlight w:val="none"/>
        </w:rPr>
      </w:pPr>
    </w:p>
    <w:p w14:paraId="7C0BA581">
      <w:pPr>
        <w:pStyle w:val="42"/>
        <w:spacing w:line="500" w:lineRule="atLeast"/>
        <w:ind w:firstLine="3517" w:firstLineChars="1675"/>
        <w:rPr>
          <w:rFonts w:ascii="宋体" w:eastAsia="宋体"/>
          <w:color w:val="auto"/>
          <w:sz w:val="21"/>
          <w:szCs w:val="21"/>
          <w:highlight w:val="none"/>
        </w:rPr>
      </w:pPr>
      <w:r>
        <w:rPr>
          <w:rFonts w:hint="eastAsia" w:ascii="宋体" w:eastAsia="宋体"/>
          <w:color w:val="auto"/>
          <w:sz w:val="21"/>
          <w:szCs w:val="21"/>
          <w:highlight w:val="none"/>
        </w:rPr>
        <w:t>投标人名称（加盖公章）：</w:t>
      </w:r>
    </w:p>
    <w:p w14:paraId="309A94D4">
      <w:pPr>
        <w:pStyle w:val="42"/>
        <w:spacing w:line="500" w:lineRule="atLeast"/>
        <w:ind w:firstLine="3517" w:firstLineChars="1675"/>
        <w:rPr>
          <w:rFonts w:ascii="宋体" w:eastAsia="宋体"/>
          <w:color w:val="auto"/>
          <w:sz w:val="21"/>
          <w:szCs w:val="21"/>
          <w:highlight w:val="none"/>
          <w:u w:val="single"/>
        </w:rPr>
      </w:pPr>
      <w:r>
        <w:rPr>
          <w:rFonts w:hint="eastAsia" w:ascii="宋体" w:eastAsia="宋体"/>
          <w:color w:val="auto"/>
          <w:sz w:val="21"/>
          <w:szCs w:val="21"/>
          <w:highlight w:val="none"/>
        </w:rPr>
        <w:t>法定代表人签字（签名或盖私章）：</w:t>
      </w:r>
    </w:p>
    <w:p w14:paraId="327D60BB">
      <w:pPr>
        <w:pStyle w:val="42"/>
        <w:spacing w:line="500" w:lineRule="atLeast"/>
        <w:ind w:firstLine="3517" w:firstLineChars="1675"/>
        <w:rPr>
          <w:rFonts w:ascii="宋体" w:eastAsia="宋体"/>
          <w:color w:val="auto"/>
          <w:sz w:val="21"/>
          <w:szCs w:val="21"/>
          <w:highlight w:val="none"/>
        </w:rPr>
      </w:pPr>
      <w:r>
        <w:rPr>
          <w:rFonts w:hint="eastAsia" w:ascii="宋体" w:eastAsia="宋体"/>
          <w:color w:val="auto"/>
          <w:sz w:val="21"/>
          <w:szCs w:val="21"/>
          <w:highlight w:val="none"/>
        </w:rPr>
        <w:t>被授权人签字：</w:t>
      </w:r>
    </w:p>
    <w:p w14:paraId="3764A6D7">
      <w:pPr>
        <w:pStyle w:val="42"/>
        <w:spacing w:line="500" w:lineRule="atLeast"/>
        <w:ind w:firstLine="3517" w:firstLineChars="1675"/>
        <w:rPr>
          <w:rFonts w:ascii="宋体" w:eastAsia="宋体"/>
          <w:color w:val="auto"/>
          <w:sz w:val="21"/>
          <w:szCs w:val="21"/>
          <w:highlight w:val="none"/>
          <w:u w:val="single"/>
        </w:rPr>
      </w:pPr>
      <w:r>
        <w:rPr>
          <w:rFonts w:hint="eastAsia" w:ascii="宋体" w:eastAsia="宋体"/>
          <w:color w:val="auto"/>
          <w:sz w:val="21"/>
          <w:szCs w:val="21"/>
          <w:highlight w:val="none"/>
        </w:rPr>
        <w:t>职务：</w:t>
      </w:r>
    </w:p>
    <w:p w14:paraId="020152E8">
      <w:pPr>
        <w:pStyle w:val="42"/>
        <w:spacing w:line="500" w:lineRule="atLeast"/>
        <w:ind w:firstLine="3517" w:firstLineChars="1675"/>
        <w:rPr>
          <w:rFonts w:ascii="宋体" w:eastAsia="宋体"/>
          <w:color w:val="auto"/>
          <w:sz w:val="21"/>
          <w:szCs w:val="21"/>
          <w:highlight w:val="none"/>
        </w:rPr>
      </w:pPr>
      <w:r>
        <w:rPr>
          <w:rFonts w:hint="eastAsia" w:ascii="宋体" w:eastAsia="宋体"/>
          <w:color w:val="auto"/>
          <w:sz w:val="21"/>
          <w:szCs w:val="21"/>
          <w:highlight w:val="none"/>
        </w:rPr>
        <w:t xml:space="preserve">移动电话： </w:t>
      </w:r>
    </w:p>
    <w:p w14:paraId="1A71B0F4">
      <w:pPr>
        <w:pStyle w:val="42"/>
        <w:spacing w:line="500" w:lineRule="atLeast"/>
        <w:ind w:firstLine="3517" w:firstLineChars="1675"/>
        <w:rPr>
          <w:rFonts w:ascii="宋体" w:eastAsia="宋体"/>
          <w:color w:val="auto"/>
          <w:sz w:val="21"/>
          <w:szCs w:val="21"/>
          <w:highlight w:val="none"/>
        </w:rPr>
      </w:pPr>
      <w:r>
        <w:rPr>
          <w:rFonts w:hint="eastAsia" w:ascii="宋体" w:eastAsia="宋体"/>
          <w:color w:val="auto"/>
          <w:sz w:val="21"/>
          <w:szCs w:val="21"/>
          <w:highlight w:val="none"/>
        </w:rPr>
        <w:t>详细通讯地址：</w:t>
      </w:r>
    </w:p>
    <w:p w14:paraId="2B25C013">
      <w:pPr>
        <w:pStyle w:val="42"/>
        <w:spacing w:line="500" w:lineRule="atLeast"/>
        <w:ind w:firstLine="3517" w:firstLineChars="1675"/>
        <w:rPr>
          <w:rFonts w:ascii="宋体" w:eastAsia="宋体"/>
          <w:color w:val="auto"/>
          <w:sz w:val="21"/>
          <w:szCs w:val="21"/>
          <w:highlight w:val="none"/>
        </w:rPr>
      </w:pPr>
      <w:r>
        <w:rPr>
          <w:rFonts w:hint="eastAsia" w:ascii="宋体" w:eastAsia="宋体"/>
          <w:color w:val="auto"/>
          <w:sz w:val="21"/>
          <w:szCs w:val="21"/>
          <w:highlight w:val="none"/>
        </w:rPr>
        <w:t xml:space="preserve">邮箱：                          </w:t>
      </w:r>
    </w:p>
    <w:p w14:paraId="5E7C8569">
      <w:pPr>
        <w:pStyle w:val="42"/>
        <w:spacing w:line="500" w:lineRule="atLeast"/>
        <w:ind w:firstLine="3507" w:firstLineChars="1670"/>
        <w:rPr>
          <w:rFonts w:ascii="宋体" w:eastAsia="宋体"/>
          <w:color w:val="auto"/>
          <w:sz w:val="21"/>
          <w:szCs w:val="21"/>
          <w:highlight w:val="none"/>
        </w:rPr>
      </w:pPr>
      <w:r>
        <w:rPr>
          <w:rFonts w:hint="eastAsia" w:ascii="宋体" w:eastAsia="宋体"/>
          <w:color w:val="auto"/>
          <w:sz w:val="21"/>
          <w:szCs w:val="21"/>
          <w:highlight w:val="none"/>
        </w:rPr>
        <w:t>日     期：  年  月  日</w:t>
      </w:r>
    </w:p>
    <w:p w14:paraId="25516B4D">
      <w:pPr>
        <w:pStyle w:val="42"/>
        <w:spacing w:line="460" w:lineRule="exact"/>
        <w:ind w:firstLine="433"/>
        <w:rPr>
          <w:rFonts w:ascii="宋体" w:eastAsia="宋体"/>
          <w:color w:val="auto"/>
          <w:sz w:val="21"/>
          <w:szCs w:val="21"/>
          <w:highlight w:val="none"/>
        </w:rPr>
      </w:pPr>
    </w:p>
    <w:p w14:paraId="7AF40932">
      <w:pPr>
        <w:ind w:firstLine="420" w:firstLineChars="200"/>
        <w:rPr>
          <w:color w:val="auto"/>
          <w:highlight w:val="none"/>
        </w:rPr>
      </w:pPr>
      <w:r>
        <w:rPr>
          <w:rFonts w:hint="eastAsia" w:ascii="宋体" w:hAnsi="宋体"/>
          <w:color w:val="auto"/>
          <w:szCs w:val="21"/>
          <w:highlight w:val="none"/>
        </w:rPr>
        <w:t>须附：被授权人身份证复印件。</w:t>
      </w:r>
    </w:p>
    <w:tbl>
      <w:tblPr>
        <w:tblStyle w:val="28"/>
        <w:tblW w:w="8464" w:type="dxa"/>
        <w:jc w:val="center"/>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Layout w:type="fixed"/>
        <w:tblCellMar>
          <w:top w:w="0" w:type="dxa"/>
          <w:left w:w="108" w:type="dxa"/>
          <w:bottom w:w="0" w:type="dxa"/>
          <w:right w:w="108" w:type="dxa"/>
        </w:tblCellMar>
      </w:tblPr>
      <w:tblGrid>
        <w:gridCol w:w="4232"/>
        <w:gridCol w:w="4232"/>
      </w:tblGrid>
      <w:tr w14:paraId="33433A02">
        <w:tblPrEx>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CellMar>
            <w:top w:w="0" w:type="dxa"/>
            <w:left w:w="108" w:type="dxa"/>
            <w:bottom w:w="0" w:type="dxa"/>
            <w:right w:w="108" w:type="dxa"/>
          </w:tblCellMar>
        </w:tblPrEx>
        <w:trPr>
          <w:trHeight w:val="2661" w:hRule="atLeast"/>
          <w:jc w:val="center"/>
        </w:trPr>
        <w:tc>
          <w:tcPr>
            <w:tcW w:w="4232" w:type="dxa"/>
            <w:vAlign w:val="center"/>
          </w:tcPr>
          <w:p w14:paraId="3A1100BE">
            <w:pPr>
              <w:pStyle w:val="42"/>
              <w:spacing w:line="460" w:lineRule="exact"/>
              <w:ind w:firstLine="0" w:firstLineChars="0"/>
              <w:jc w:val="center"/>
              <w:rPr>
                <w:rFonts w:ascii="宋体" w:eastAsia="宋体"/>
                <w:color w:val="auto"/>
                <w:sz w:val="22"/>
                <w:highlight w:val="none"/>
              </w:rPr>
            </w:pPr>
            <w:r>
              <w:rPr>
                <w:rFonts w:hint="eastAsia" w:ascii="宋体" w:eastAsia="宋体"/>
                <w:color w:val="auto"/>
                <w:sz w:val="22"/>
                <w:highlight w:val="none"/>
              </w:rPr>
              <w:t>正面</w:t>
            </w:r>
          </w:p>
        </w:tc>
        <w:tc>
          <w:tcPr>
            <w:tcW w:w="4232" w:type="dxa"/>
            <w:vAlign w:val="center"/>
          </w:tcPr>
          <w:p w14:paraId="4193ABC8">
            <w:pPr>
              <w:pStyle w:val="42"/>
              <w:spacing w:line="460" w:lineRule="exact"/>
              <w:ind w:firstLine="0" w:firstLineChars="0"/>
              <w:jc w:val="center"/>
              <w:rPr>
                <w:rFonts w:ascii="宋体" w:eastAsia="宋体"/>
                <w:color w:val="auto"/>
                <w:sz w:val="22"/>
                <w:highlight w:val="none"/>
              </w:rPr>
            </w:pPr>
            <w:r>
              <w:rPr>
                <w:rFonts w:hint="eastAsia" w:ascii="宋体" w:eastAsia="宋体"/>
                <w:color w:val="auto"/>
                <w:sz w:val="22"/>
                <w:highlight w:val="none"/>
              </w:rPr>
              <w:t>背面</w:t>
            </w:r>
          </w:p>
        </w:tc>
      </w:tr>
    </w:tbl>
    <w:p w14:paraId="72A4F39B">
      <w:pPr>
        <w:adjustRightInd/>
        <w:snapToGrid/>
        <w:spacing w:line="276" w:lineRule="auto"/>
        <w:rPr>
          <w:color w:val="auto"/>
          <w:highlight w:val="none"/>
        </w:rPr>
      </w:pPr>
      <w:bookmarkStart w:id="1100" w:name="_Toc22486"/>
      <w:r>
        <w:rPr>
          <w:rFonts w:hint="eastAsia" w:ascii="宋体" w:hAnsi="宋体"/>
          <w:color w:val="auto"/>
          <w:szCs w:val="21"/>
          <w:highlight w:val="none"/>
        </w:rPr>
        <w:br w:type="page"/>
      </w:r>
    </w:p>
    <w:p w14:paraId="0263A240">
      <w:pPr>
        <w:pStyle w:val="5"/>
        <w:widowControl w:val="0"/>
        <w:overflowPunct w:val="0"/>
        <w:spacing w:line="240" w:lineRule="auto"/>
        <w:rPr>
          <w:rFonts w:ascii="宋体" w:hAnsi="宋体"/>
          <w:color w:val="auto"/>
          <w:sz w:val="21"/>
          <w:szCs w:val="21"/>
          <w:highlight w:val="none"/>
        </w:rPr>
      </w:pPr>
      <w:bookmarkStart w:id="1101" w:name="_Toc18232"/>
      <w:bookmarkStart w:id="1102" w:name="_Toc28498"/>
      <w:bookmarkStart w:id="1103" w:name="_Toc9973"/>
      <w:bookmarkStart w:id="1104" w:name="_Toc19327"/>
      <w:bookmarkStart w:id="1105" w:name="_Toc17278"/>
      <w:bookmarkStart w:id="1106" w:name="_Toc23522"/>
      <w:bookmarkStart w:id="1107" w:name="_Toc18035"/>
      <w:bookmarkStart w:id="1108" w:name="_Toc23349"/>
      <w:bookmarkStart w:id="1109" w:name="_Toc27691"/>
      <w:bookmarkStart w:id="1110" w:name="_Toc12787"/>
      <w:bookmarkStart w:id="1111" w:name="_Toc25842"/>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6</w:t>
      </w:r>
      <w:r>
        <w:rPr>
          <w:rFonts w:hint="eastAsia" w:ascii="宋体" w:hAnsi="宋体"/>
          <w:color w:val="auto"/>
          <w:sz w:val="21"/>
          <w:szCs w:val="21"/>
          <w:highlight w:val="none"/>
        </w:rPr>
        <w:t>.资格申明</w:t>
      </w:r>
      <w:bookmarkEnd w:id="1101"/>
      <w:bookmarkEnd w:id="1102"/>
      <w:bookmarkEnd w:id="1103"/>
      <w:bookmarkEnd w:id="1104"/>
      <w:bookmarkEnd w:id="1105"/>
      <w:bookmarkEnd w:id="1106"/>
      <w:bookmarkEnd w:id="1107"/>
      <w:bookmarkEnd w:id="1108"/>
      <w:bookmarkEnd w:id="1109"/>
      <w:bookmarkEnd w:id="1110"/>
      <w:bookmarkEnd w:id="1111"/>
    </w:p>
    <w:p w14:paraId="48FD7EB1">
      <w:pPr>
        <w:jc w:val="center"/>
        <w:rPr>
          <w:rFonts w:ascii="黑体" w:eastAsia="黑体"/>
          <w:color w:val="auto"/>
          <w:sz w:val="28"/>
          <w:szCs w:val="28"/>
          <w:highlight w:val="none"/>
        </w:rPr>
      </w:pPr>
      <w:r>
        <w:rPr>
          <w:rFonts w:hint="eastAsia" w:ascii="黑体" w:eastAsia="黑体"/>
          <w:color w:val="auto"/>
          <w:sz w:val="28"/>
          <w:szCs w:val="28"/>
          <w:highlight w:val="none"/>
        </w:rPr>
        <w:t>资格申明</w:t>
      </w:r>
    </w:p>
    <w:p w14:paraId="4E0AFC97">
      <w:pPr>
        <w:pStyle w:val="42"/>
        <w:spacing w:line="420" w:lineRule="atLeast"/>
        <w:ind w:firstLine="0" w:firstLineChars="0"/>
        <w:rPr>
          <w:rFonts w:ascii="宋体" w:eastAsia="宋体"/>
          <w:color w:val="auto"/>
          <w:sz w:val="21"/>
          <w:szCs w:val="21"/>
          <w:highlight w:val="none"/>
        </w:rPr>
      </w:pPr>
      <w:r>
        <w:rPr>
          <w:rFonts w:hint="eastAsia" w:ascii="宋体" w:eastAsia="宋体"/>
          <w:color w:val="auto"/>
          <w:sz w:val="21"/>
          <w:szCs w:val="21"/>
          <w:highlight w:val="none"/>
          <w:u w:val="single"/>
        </w:rPr>
        <w:t xml:space="preserve">  xxx   </w:t>
      </w:r>
      <w:r>
        <w:rPr>
          <w:rFonts w:hint="eastAsia" w:ascii="宋体" w:eastAsia="宋体"/>
          <w:color w:val="auto"/>
          <w:sz w:val="21"/>
          <w:szCs w:val="21"/>
          <w:highlight w:val="none"/>
        </w:rPr>
        <w:t>公司：</w:t>
      </w:r>
    </w:p>
    <w:p w14:paraId="27D630BD">
      <w:pPr>
        <w:ind w:firstLine="420" w:firstLineChars="200"/>
        <w:rPr>
          <w:rFonts w:ascii="宋体" w:hAnsi="宋体"/>
          <w:color w:val="auto"/>
          <w:szCs w:val="21"/>
          <w:highlight w:val="none"/>
        </w:rPr>
      </w:pPr>
    </w:p>
    <w:p w14:paraId="5295667F">
      <w:pPr>
        <w:ind w:firstLine="420" w:firstLineChars="200"/>
        <w:rPr>
          <w:rFonts w:ascii="宋体" w:hAnsi="宋体"/>
          <w:color w:val="auto"/>
          <w:szCs w:val="21"/>
          <w:highlight w:val="none"/>
        </w:rPr>
      </w:pPr>
      <w:r>
        <w:rPr>
          <w:rFonts w:hint="eastAsia" w:ascii="宋体" w:hAnsi="宋体"/>
          <w:color w:val="auto"/>
          <w:szCs w:val="21"/>
          <w:highlight w:val="none"/>
        </w:rPr>
        <w:t>我方</w:t>
      </w:r>
      <w:r>
        <w:rPr>
          <w:rFonts w:ascii="宋体" w:hAnsi="宋体"/>
          <w:color w:val="auto"/>
          <w:szCs w:val="21"/>
          <w:highlight w:val="none"/>
        </w:rPr>
        <w:t>愿响应</w:t>
      </w:r>
      <w:r>
        <w:rPr>
          <w:rFonts w:hint="eastAsia" w:ascii="宋体" w:hAnsi="宋体"/>
          <w:color w:val="auto"/>
          <w:szCs w:val="21"/>
          <w:highlight w:val="none"/>
        </w:rPr>
        <w:t>贵</w:t>
      </w:r>
      <w:r>
        <w:rPr>
          <w:rFonts w:ascii="宋体" w:hAnsi="宋体"/>
          <w:color w:val="auto"/>
          <w:szCs w:val="21"/>
          <w:highlight w:val="none"/>
        </w:rPr>
        <w:t>方</w:t>
      </w:r>
      <w:r>
        <w:rPr>
          <w:rFonts w:hint="eastAsia" w:ascii="宋体" w:hAnsi="宋体"/>
          <w:color w:val="auto"/>
          <w:szCs w:val="21"/>
          <w:highlight w:val="none"/>
        </w:rPr>
        <w:t>关于（项目名称：</w:t>
      </w:r>
      <w:r>
        <w:rPr>
          <w:rFonts w:hint="eastAsia" w:ascii="宋体" w:hAnsi="宋体"/>
          <w:color w:val="auto"/>
          <w:szCs w:val="21"/>
          <w:highlight w:val="none"/>
          <w:u w:val="single"/>
        </w:rPr>
        <w:t xml:space="preserve">         </w:t>
      </w:r>
      <w:r>
        <w:rPr>
          <w:rFonts w:hint="eastAsia" w:ascii="宋体" w:hAnsi="宋体"/>
          <w:color w:val="auto"/>
          <w:szCs w:val="21"/>
          <w:highlight w:val="none"/>
        </w:rPr>
        <w:t>）</w:t>
      </w:r>
      <w:r>
        <w:rPr>
          <w:rFonts w:ascii="宋体" w:hAnsi="宋体"/>
          <w:color w:val="auto"/>
          <w:szCs w:val="21"/>
          <w:highlight w:val="none"/>
        </w:rPr>
        <w:t>（</w:t>
      </w:r>
      <w:r>
        <w:rPr>
          <w:rFonts w:hint="eastAsia" w:ascii="宋体" w:hAnsi="宋体"/>
          <w:color w:val="auto"/>
          <w:szCs w:val="21"/>
          <w:highlight w:val="none"/>
        </w:rPr>
        <w:t>采购项目编号：</w:t>
      </w:r>
      <w:r>
        <w:rPr>
          <w:rFonts w:hint="eastAsia" w:ascii="宋体" w:hAnsi="宋体"/>
          <w:color w:val="auto"/>
          <w:szCs w:val="21"/>
          <w:highlight w:val="none"/>
          <w:u w:val="single"/>
        </w:rPr>
        <w:t xml:space="preserve">        </w:t>
      </w:r>
      <w:r>
        <w:rPr>
          <w:rFonts w:ascii="宋体" w:hAnsi="宋体"/>
          <w:color w:val="auto"/>
          <w:szCs w:val="21"/>
          <w:highlight w:val="none"/>
        </w:rPr>
        <w:t>）</w:t>
      </w:r>
      <w:r>
        <w:rPr>
          <w:rFonts w:hint="eastAsia" w:ascii="宋体" w:hAnsi="宋体"/>
          <w:color w:val="auto"/>
          <w:szCs w:val="21"/>
          <w:highlight w:val="none"/>
        </w:rPr>
        <w:t>的</w:t>
      </w:r>
      <w:r>
        <w:rPr>
          <w:rFonts w:ascii="宋体" w:hAnsi="宋体"/>
          <w:color w:val="auto"/>
          <w:szCs w:val="21"/>
          <w:highlight w:val="none"/>
        </w:rPr>
        <w:t>投标邀请，参与投标，提供用户需求书中规定的</w:t>
      </w:r>
      <w:r>
        <w:rPr>
          <w:rFonts w:hint="eastAsia" w:ascii="宋体" w:hAnsi="宋体"/>
          <w:color w:val="auto"/>
          <w:szCs w:val="21"/>
          <w:highlight w:val="none"/>
        </w:rPr>
        <w:t>相关服务</w:t>
      </w:r>
      <w:r>
        <w:rPr>
          <w:rFonts w:ascii="宋体" w:hAnsi="宋体"/>
          <w:color w:val="auto"/>
          <w:szCs w:val="21"/>
          <w:highlight w:val="none"/>
        </w:rPr>
        <w:t>，并按</w:t>
      </w:r>
      <w:r>
        <w:rPr>
          <w:rFonts w:hint="eastAsia" w:ascii="宋体" w:hAnsi="宋体"/>
          <w:color w:val="auto"/>
          <w:szCs w:val="21"/>
          <w:highlight w:val="none"/>
        </w:rPr>
        <w:t>采购</w:t>
      </w:r>
      <w:r>
        <w:rPr>
          <w:rFonts w:ascii="宋体" w:hAnsi="宋体"/>
          <w:color w:val="auto"/>
          <w:szCs w:val="21"/>
          <w:highlight w:val="none"/>
        </w:rPr>
        <w:t>文件要求提交所附资格文件且声明和保证如下：</w:t>
      </w:r>
    </w:p>
    <w:p w14:paraId="247AEC16">
      <w:pPr>
        <w:ind w:firstLine="420" w:firstLineChars="200"/>
        <w:rPr>
          <w:rFonts w:ascii="宋体" w:hAnsi="宋体"/>
          <w:color w:val="auto"/>
          <w:szCs w:val="21"/>
          <w:highlight w:val="none"/>
        </w:rPr>
      </w:pPr>
      <w:r>
        <w:rPr>
          <w:rFonts w:hint="eastAsia" w:ascii="宋体" w:hAnsi="宋体"/>
          <w:color w:val="auto"/>
          <w:szCs w:val="21"/>
          <w:highlight w:val="none"/>
        </w:rPr>
        <w:t>一、我方具备投标人邀请中所要求得资格条件，已清楚采购文件所有要求及有关规定；并承诺参加本次采购活动中，如有违法、违规、弄虚作假行为，所造成的损失、不良后果及法律责任，一律由我方承担；</w:t>
      </w:r>
    </w:p>
    <w:p w14:paraId="79D05C80">
      <w:pPr>
        <w:ind w:firstLine="420" w:firstLineChars="200"/>
        <w:rPr>
          <w:rFonts w:ascii="宋体" w:hAnsi="宋体"/>
          <w:color w:val="auto"/>
          <w:szCs w:val="21"/>
          <w:highlight w:val="none"/>
        </w:rPr>
      </w:pPr>
      <w:r>
        <w:rPr>
          <w:rFonts w:hint="eastAsia" w:ascii="宋体" w:hAnsi="宋体"/>
          <w:color w:val="auto"/>
          <w:szCs w:val="21"/>
          <w:highlight w:val="none"/>
        </w:rPr>
        <w:t>二、</w:t>
      </w:r>
      <w:r>
        <w:rPr>
          <w:rFonts w:ascii="宋体" w:hAnsi="宋体"/>
          <w:color w:val="auto"/>
          <w:szCs w:val="21"/>
          <w:highlight w:val="none"/>
        </w:rPr>
        <w:t>我方依法注册，在法律上、财务上和运作上完全独立于</w:t>
      </w:r>
      <w:r>
        <w:rPr>
          <w:rFonts w:hint="eastAsia" w:ascii="宋体" w:hAnsi="宋体"/>
          <w:color w:val="auto"/>
          <w:szCs w:val="21"/>
          <w:highlight w:val="none"/>
          <w:u w:val="single"/>
        </w:rPr>
        <w:t xml:space="preserve">  xxxx   </w:t>
      </w:r>
      <w:r>
        <w:rPr>
          <w:rFonts w:hint="eastAsia" w:ascii="宋体" w:hAnsi="宋体"/>
          <w:color w:val="auto"/>
          <w:szCs w:val="21"/>
          <w:highlight w:val="none"/>
        </w:rPr>
        <w:t>公司</w:t>
      </w:r>
      <w:r>
        <w:rPr>
          <w:rFonts w:ascii="宋体" w:hAnsi="宋体"/>
          <w:color w:val="auto"/>
          <w:szCs w:val="21"/>
          <w:highlight w:val="none"/>
        </w:rPr>
        <w:t>（</w:t>
      </w:r>
      <w:r>
        <w:rPr>
          <w:rFonts w:hint="eastAsia" w:ascii="宋体" w:hAnsi="宋体"/>
          <w:color w:val="auto"/>
          <w:szCs w:val="21"/>
          <w:highlight w:val="none"/>
        </w:rPr>
        <w:t>采购人</w:t>
      </w:r>
      <w:r>
        <w:rPr>
          <w:rFonts w:ascii="宋体" w:hAnsi="宋体"/>
          <w:color w:val="auto"/>
          <w:szCs w:val="21"/>
          <w:highlight w:val="none"/>
        </w:rPr>
        <w:t>）及</w:t>
      </w:r>
      <w:r>
        <w:rPr>
          <w:rFonts w:hint="eastAsia" w:ascii="宋体" w:hAnsi="宋体"/>
          <w:color w:val="auto"/>
          <w:szCs w:val="21"/>
          <w:highlight w:val="none"/>
          <w:u w:val="single"/>
        </w:rPr>
        <w:t xml:space="preserve">    xxx   </w:t>
      </w:r>
      <w:r>
        <w:rPr>
          <w:rFonts w:hint="eastAsia" w:ascii="宋体" w:hAnsi="宋体"/>
          <w:color w:val="auto"/>
          <w:szCs w:val="21"/>
          <w:highlight w:val="none"/>
        </w:rPr>
        <w:t>公司</w:t>
      </w:r>
      <w:r>
        <w:rPr>
          <w:rFonts w:ascii="宋体" w:hAnsi="宋体"/>
          <w:color w:val="auto"/>
          <w:szCs w:val="21"/>
          <w:highlight w:val="none"/>
        </w:rPr>
        <w:t>（采购代理机构）</w:t>
      </w:r>
      <w:r>
        <w:rPr>
          <w:rFonts w:hint="eastAsia" w:ascii="宋体" w:hAnsi="宋体"/>
          <w:color w:val="auto"/>
          <w:szCs w:val="21"/>
          <w:highlight w:val="none"/>
        </w:rPr>
        <w:t>。</w:t>
      </w:r>
    </w:p>
    <w:p w14:paraId="2FB09FA7">
      <w:pPr>
        <w:pStyle w:val="42"/>
        <w:spacing w:line="500" w:lineRule="atLeast"/>
        <w:ind w:firstLine="3517" w:firstLineChars="1675"/>
        <w:rPr>
          <w:rFonts w:ascii="宋体" w:eastAsia="宋体"/>
          <w:color w:val="auto"/>
          <w:sz w:val="21"/>
          <w:szCs w:val="21"/>
          <w:highlight w:val="none"/>
        </w:rPr>
      </w:pPr>
    </w:p>
    <w:p w14:paraId="25DF94B3">
      <w:pPr>
        <w:pStyle w:val="42"/>
        <w:spacing w:line="500" w:lineRule="atLeast"/>
        <w:ind w:firstLine="3517" w:firstLineChars="1675"/>
        <w:rPr>
          <w:rFonts w:ascii="宋体" w:eastAsia="宋体"/>
          <w:color w:val="auto"/>
          <w:sz w:val="21"/>
          <w:szCs w:val="21"/>
          <w:highlight w:val="none"/>
        </w:rPr>
      </w:pPr>
    </w:p>
    <w:p w14:paraId="1DFC5DB1">
      <w:pPr>
        <w:pStyle w:val="42"/>
        <w:spacing w:line="500" w:lineRule="atLeast"/>
        <w:ind w:firstLine="433"/>
        <w:rPr>
          <w:rFonts w:ascii="宋体" w:eastAsia="宋体"/>
          <w:color w:val="auto"/>
          <w:sz w:val="21"/>
          <w:szCs w:val="21"/>
          <w:highlight w:val="none"/>
        </w:rPr>
      </w:pPr>
      <w:r>
        <w:rPr>
          <w:rFonts w:hint="eastAsia" w:ascii="宋体" w:eastAsia="宋体"/>
          <w:color w:val="auto"/>
          <w:sz w:val="21"/>
          <w:szCs w:val="21"/>
          <w:highlight w:val="none"/>
        </w:rPr>
        <w:t>投标人名称（加盖公章）：</w:t>
      </w:r>
    </w:p>
    <w:p w14:paraId="2CB30D7A">
      <w:pPr>
        <w:pStyle w:val="42"/>
        <w:spacing w:line="500" w:lineRule="atLeast"/>
        <w:ind w:firstLine="433"/>
        <w:rPr>
          <w:rFonts w:ascii="宋体" w:eastAsia="宋体"/>
          <w:color w:val="auto"/>
          <w:sz w:val="21"/>
          <w:szCs w:val="21"/>
          <w:highlight w:val="none"/>
        </w:rPr>
      </w:pPr>
      <w:r>
        <w:rPr>
          <w:rFonts w:hint="eastAsia" w:ascii="宋体" w:eastAsia="宋体"/>
          <w:color w:val="auto"/>
          <w:sz w:val="21"/>
          <w:szCs w:val="21"/>
          <w:highlight w:val="none"/>
        </w:rPr>
        <w:t>法定代表人签字（签名或盖私章）：</w:t>
      </w:r>
    </w:p>
    <w:p w14:paraId="4885DFBC">
      <w:pPr>
        <w:pStyle w:val="42"/>
        <w:spacing w:line="500" w:lineRule="atLeast"/>
        <w:ind w:firstLine="433"/>
        <w:rPr>
          <w:rFonts w:ascii="宋体" w:eastAsia="宋体"/>
          <w:color w:val="auto"/>
          <w:sz w:val="21"/>
          <w:szCs w:val="21"/>
          <w:highlight w:val="none"/>
        </w:rPr>
      </w:pPr>
      <w:r>
        <w:rPr>
          <w:rFonts w:hint="eastAsia" w:ascii="宋体" w:eastAsia="宋体"/>
          <w:color w:val="auto"/>
          <w:sz w:val="21"/>
          <w:szCs w:val="21"/>
          <w:highlight w:val="none"/>
        </w:rPr>
        <w:t>日     期：年月日</w:t>
      </w:r>
    </w:p>
    <w:p w14:paraId="7925FF3F">
      <w:pPr>
        <w:pStyle w:val="42"/>
        <w:spacing w:line="500" w:lineRule="atLeast"/>
        <w:ind w:firstLine="433"/>
        <w:rPr>
          <w:rFonts w:ascii="宋体" w:eastAsia="宋体"/>
          <w:color w:val="auto"/>
          <w:sz w:val="21"/>
          <w:szCs w:val="21"/>
          <w:highlight w:val="none"/>
        </w:rPr>
      </w:pPr>
      <w:r>
        <w:rPr>
          <w:rFonts w:hint="eastAsia" w:ascii="宋体" w:eastAsia="宋体"/>
          <w:color w:val="auto"/>
          <w:sz w:val="21"/>
          <w:szCs w:val="21"/>
          <w:highlight w:val="none"/>
        </w:rPr>
        <w:br w:type="page"/>
      </w:r>
    </w:p>
    <w:p w14:paraId="1AA8CCA5">
      <w:pPr>
        <w:pStyle w:val="5"/>
        <w:widowControl w:val="0"/>
        <w:overflowPunct w:val="0"/>
        <w:spacing w:line="240" w:lineRule="auto"/>
        <w:rPr>
          <w:rFonts w:hint="eastAsia" w:ascii="宋体" w:hAnsi="宋体" w:eastAsia="宋体"/>
          <w:color w:val="auto"/>
          <w:sz w:val="21"/>
          <w:szCs w:val="21"/>
          <w:highlight w:val="none"/>
          <w:lang w:eastAsia="zh-CN"/>
        </w:rPr>
      </w:pPr>
      <w:bookmarkStart w:id="1112" w:name="_Toc6841"/>
      <w:bookmarkStart w:id="1113" w:name="_Toc8798"/>
      <w:bookmarkStart w:id="1114" w:name="_Toc1995"/>
      <w:bookmarkStart w:id="1115" w:name="_Toc12752"/>
      <w:bookmarkStart w:id="1116" w:name="_Toc9980"/>
      <w:bookmarkStart w:id="1117" w:name="_Toc32632"/>
      <w:bookmarkStart w:id="1118" w:name="_Toc18054"/>
      <w:bookmarkStart w:id="1119" w:name="_Toc31584"/>
      <w:bookmarkStart w:id="1120" w:name="_Toc7471"/>
      <w:bookmarkStart w:id="1121" w:name="_Toc22667"/>
      <w:bookmarkStart w:id="1122" w:name="_Toc3648"/>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7</w:t>
      </w:r>
      <w:r>
        <w:rPr>
          <w:rFonts w:hint="eastAsia" w:ascii="宋体" w:hAnsi="宋体"/>
          <w:color w:val="auto"/>
          <w:sz w:val="21"/>
          <w:szCs w:val="21"/>
          <w:highlight w:val="none"/>
        </w:rPr>
        <w:t>.营业执照</w:t>
      </w:r>
      <w:bookmarkEnd w:id="1112"/>
      <w:r>
        <w:rPr>
          <w:rFonts w:hint="eastAsia" w:ascii="宋体" w:hAnsi="宋体"/>
          <w:color w:val="auto"/>
          <w:sz w:val="21"/>
          <w:szCs w:val="21"/>
          <w:highlight w:val="none"/>
          <w:lang w:eastAsia="zh-CN"/>
        </w:rPr>
        <w:t>、道路运输经营许可证</w:t>
      </w:r>
      <w:bookmarkEnd w:id="1113"/>
      <w:bookmarkEnd w:id="1114"/>
      <w:bookmarkEnd w:id="1115"/>
      <w:bookmarkEnd w:id="1116"/>
      <w:bookmarkEnd w:id="1117"/>
      <w:bookmarkEnd w:id="1118"/>
      <w:bookmarkEnd w:id="1119"/>
      <w:bookmarkEnd w:id="1120"/>
      <w:bookmarkEnd w:id="1121"/>
      <w:bookmarkEnd w:id="1122"/>
    </w:p>
    <w:p w14:paraId="0DE636A6">
      <w:pPr>
        <w:jc w:val="center"/>
        <w:rPr>
          <w:rFonts w:hint="eastAsia" w:ascii="黑体" w:eastAsia="黑体"/>
          <w:color w:val="auto"/>
          <w:sz w:val="28"/>
          <w:szCs w:val="28"/>
          <w:highlight w:val="none"/>
          <w:lang w:eastAsia="zh-CN"/>
        </w:rPr>
      </w:pPr>
      <w:bookmarkStart w:id="1123" w:name="_Toc4926"/>
      <w:bookmarkStart w:id="1124" w:name="_Toc1511"/>
      <w:bookmarkStart w:id="1125" w:name="_Toc17470"/>
      <w:bookmarkStart w:id="1126" w:name="_Toc24210"/>
      <w:bookmarkStart w:id="1127" w:name="_Toc5919"/>
      <w:r>
        <w:rPr>
          <w:rFonts w:hint="eastAsia" w:ascii="黑体" w:eastAsia="黑体"/>
          <w:color w:val="auto"/>
          <w:sz w:val="28"/>
          <w:szCs w:val="28"/>
          <w:highlight w:val="none"/>
        </w:rPr>
        <w:t>营业执照</w:t>
      </w:r>
      <w:bookmarkEnd w:id="1123"/>
      <w:bookmarkEnd w:id="1124"/>
      <w:bookmarkEnd w:id="1125"/>
      <w:bookmarkEnd w:id="1126"/>
      <w:bookmarkEnd w:id="1127"/>
      <w:r>
        <w:rPr>
          <w:rFonts w:hint="eastAsia" w:ascii="黑体" w:eastAsia="黑体"/>
          <w:color w:val="auto"/>
          <w:sz w:val="28"/>
          <w:szCs w:val="28"/>
          <w:highlight w:val="none"/>
          <w:lang w:eastAsia="zh-CN"/>
        </w:rPr>
        <w:t>、道路运输经营许可证</w:t>
      </w:r>
    </w:p>
    <w:p w14:paraId="599CCDBE">
      <w:pPr>
        <w:jc w:val="center"/>
        <w:rPr>
          <w:rFonts w:hint="eastAsia" w:ascii="黑体" w:eastAsia="黑体"/>
          <w:color w:val="auto"/>
          <w:sz w:val="24"/>
          <w:szCs w:val="24"/>
          <w:highlight w:val="none"/>
          <w:lang w:eastAsia="zh-CN"/>
        </w:rPr>
        <w:sectPr>
          <w:pgSz w:w="11906" w:h="16838"/>
          <w:pgMar w:top="1440" w:right="1800" w:bottom="1440" w:left="1800" w:header="708" w:footer="708" w:gutter="0"/>
          <w:pgBorders>
            <w:top w:val="none" w:sz="0" w:space="0"/>
            <w:left w:val="none" w:sz="0" w:space="0"/>
            <w:bottom w:val="none" w:sz="0" w:space="0"/>
            <w:right w:val="none" w:sz="0" w:space="0"/>
          </w:pgBorders>
          <w:pgNumType w:fmt="decimal"/>
          <w:cols w:space="708" w:num="1"/>
          <w:titlePg/>
          <w:docGrid w:type="lines" w:linePitch="360" w:charSpace="0"/>
        </w:sectPr>
      </w:pPr>
      <w:r>
        <w:rPr>
          <w:rFonts w:hint="eastAsia" w:ascii="黑体" w:eastAsia="黑体"/>
          <w:color w:val="auto"/>
          <w:sz w:val="24"/>
          <w:szCs w:val="24"/>
          <w:highlight w:val="none"/>
          <w:lang w:eastAsia="zh-CN"/>
        </w:rPr>
        <w:t>（</w:t>
      </w:r>
      <w:r>
        <w:rPr>
          <w:rFonts w:hint="eastAsia" w:ascii="黑体" w:eastAsia="黑体"/>
          <w:color w:val="auto"/>
          <w:sz w:val="24"/>
          <w:szCs w:val="24"/>
          <w:highlight w:val="none"/>
          <w:lang w:val="en-US" w:eastAsia="zh-CN"/>
        </w:rPr>
        <w:t>提供复印件并加盖公章</w:t>
      </w:r>
      <w:r>
        <w:rPr>
          <w:rFonts w:hint="eastAsia" w:ascii="黑体" w:eastAsia="黑体"/>
          <w:color w:val="auto"/>
          <w:sz w:val="24"/>
          <w:szCs w:val="24"/>
          <w:highlight w:val="none"/>
          <w:lang w:eastAsia="zh-CN"/>
        </w:rPr>
        <w:t>）</w:t>
      </w:r>
    </w:p>
    <w:p w14:paraId="3373FE52">
      <w:pPr>
        <w:pStyle w:val="5"/>
        <w:widowControl w:val="0"/>
        <w:overflowPunct w:val="0"/>
        <w:spacing w:line="240" w:lineRule="auto"/>
        <w:rPr>
          <w:rFonts w:ascii="楷体_GB2312" w:eastAsia="楷体_GB2312"/>
          <w:color w:val="auto"/>
          <w:sz w:val="21"/>
          <w:szCs w:val="21"/>
          <w:highlight w:val="none"/>
        </w:rPr>
      </w:pPr>
      <w:bookmarkStart w:id="1128" w:name="_Toc20515"/>
      <w:bookmarkStart w:id="1129" w:name="_Toc18989"/>
      <w:bookmarkStart w:id="1130" w:name="_Toc20980"/>
      <w:bookmarkStart w:id="1131" w:name="_Toc25622"/>
      <w:bookmarkStart w:id="1132" w:name="_Toc466"/>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8</w:t>
      </w:r>
      <w:r>
        <w:rPr>
          <w:rFonts w:hint="eastAsia" w:ascii="宋体" w:hAnsi="宋体"/>
          <w:color w:val="auto"/>
          <w:sz w:val="21"/>
          <w:szCs w:val="21"/>
          <w:highlight w:val="none"/>
        </w:rPr>
        <w:t>.在经营活动中没有重大违法记录的书面声明格式</w:t>
      </w:r>
      <w:bookmarkEnd w:id="1128"/>
    </w:p>
    <w:p w14:paraId="3E182EE0">
      <w:pPr>
        <w:rPr>
          <w:color w:val="auto"/>
          <w:highlight w:val="none"/>
        </w:rPr>
      </w:pPr>
    </w:p>
    <w:p w14:paraId="70C1F502">
      <w:pPr>
        <w:jc w:val="center"/>
        <w:rPr>
          <w:rFonts w:ascii="黑体" w:eastAsia="黑体"/>
          <w:color w:val="auto"/>
          <w:sz w:val="28"/>
          <w:szCs w:val="28"/>
          <w:highlight w:val="none"/>
        </w:rPr>
      </w:pPr>
      <w:r>
        <w:rPr>
          <w:rFonts w:hint="eastAsia" w:ascii="黑体" w:eastAsia="黑体"/>
          <w:color w:val="auto"/>
          <w:sz w:val="28"/>
          <w:szCs w:val="28"/>
          <w:highlight w:val="none"/>
        </w:rPr>
        <w:t>投标人在经营活动中前三年内未有重大违法记录、没有不良信用记录的声明函</w:t>
      </w:r>
    </w:p>
    <w:p w14:paraId="48FF2BF7">
      <w:pPr>
        <w:ind w:firstLine="420" w:firstLineChars="200"/>
        <w:rPr>
          <w:rFonts w:ascii="宋体" w:hAnsi="宋体" w:cs="宋体"/>
          <w:color w:val="auto"/>
          <w:szCs w:val="21"/>
          <w:highlight w:val="none"/>
        </w:rPr>
      </w:pPr>
    </w:p>
    <w:p w14:paraId="66672749">
      <w:pPr>
        <w:spacing w:line="480" w:lineRule="auto"/>
        <w:ind w:firstLine="0" w:firstLineChars="0"/>
        <w:rPr>
          <w:rFonts w:ascii="宋体" w:hAnsi="宋体" w:cs="宋体"/>
          <w:color w:val="auto"/>
          <w:szCs w:val="21"/>
          <w:highlight w:val="none"/>
        </w:rPr>
      </w:pPr>
      <w:r>
        <w:rPr>
          <w:rFonts w:hint="eastAsia" w:ascii="宋体" w:hAnsi="宋体" w:cs="宋体"/>
          <w:color w:val="auto"/>
          <w:szCs w:val="21"/>
          <w:highlight w:val="none"/>
        </w:rPr>
        <w:t>x</w:t>
      </w:r>
      <w:r>
        <w:rPr>
          <w:rFonts w:ascii="宋体" w:hAnsi="宋体" w:cs="宋体"/>
          <w:color w:val="auto"/>
          <w:szCs w:val="21"/>
          <w:highlight w:val="none"/>
        </w:rPr>
        <w:t>xxxxx</w:t>
      </w:r>
      <w:r>
        <w:rPr>
          <w:rFonts w:hint="eastAsia" w:ascii="宋体" w:hAnsi="宋体" w:cs="宋体"/>
          <w:color w:val="auto"/>
          <w:szCs w:val="21"/>
          <w:highlight w:val="none"/>
        </w:rPr>
        <w:t>公司：</w:t>
      </w:r>
    </w:p>
    <w:p w14:paraId="6A16730F">
      <w:pPr>
        <w:spacing w:line="48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我公司郑重承诺：在参加“</w:t>
      </w:r>
      <w:r>
        <w:rPr>
          <w:rFonts w:hint="eastAsia" w:ascii="宋体" w:hAnsi="宋体" w:cs="宋体"/>
          <w:color w:val="auto"/>
          <w:szCs w:val="21"/>
          <w:highlight w:val="none"/>
          <w:u w:val="single"/>
        </w:rPr>
        <w:t xml:space="preserve">       （采购项目名称）</w:t>
      </w:r>
      <w:r>
        <w:rPr>
          <w:rFonts w:hint="eastAsia" w:ascii="宋体" w:hAnsi="宋体" w:cs="宋体"/>
          <w:color w:val="auto"/>
          <w:szCs w:val="21"/>
          <w:highlight w:val="none"/>
        </w:rPr>
        <w:t>” （项目编号:</w:t>
      </w:r>
      <w:r>
        <w:rPr>
          <w:rFonts w:hint="eastAsia" w:ascii="宋体" w:hAnsi="宋体" w:cs="宋体"/>
          <w:color w:val="auto"/>
          <w:szCs w:val="21"/>
          <w:highlight w:val="none"/>
          <w:lang w:val="en-US" w:eastAsia="zh-CN"/>
        </w:rPr>
        <w:t>XX</w:t>
      </w:r>
      <w:r>
        <w:rPr>
          <w:rFonts w:hint="eastAsia" w:ascii="宋体" w:hAnsi="宋体" w:cs="宋体"/>
          <w:color w:val="auto"/>
          <w:szCs w:val="21"/>
          <w:highlight w:val="none"/>
        </w:rPr>
        <w:t>）采购活动前三年内（设立不满三年的从设立之日计算），在经营活动中没有重大违法记录；至本项目提交投标文件截止时间止未被列入“信用中国”网站失信被执行人、重大税收违法失信主体、政府采购严重违法失信行为记录名单。</w:t>
      </w:r>
    </w:p>
    <w:p w14:paraId="28C109B5">
      <w:pPr>
        <w:spacing w:line="48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我公司以上承诺均为真实有效，绝无任何虚假、伪造的成份，否则，愿承担相应的后果和法律责任。</w:t>
      </w:r>
    </w:p>
    <w:p w14:paraId="3115E27A">
      <w:pPr>
        <w:ind w:firstLine="420" w:firstLineChars="200"/>
        <w:rPr>
          <w:rFonts w:ascii="宋体" w:hAnsi="宋体" w:cs="宋体"/>
          <w:color w:val="auto"/>
          <w:szCs w:val="21"/>
          <w:highlight w:val="none"/>
        </w:rPr>
      </w:pPr>
    </w:p>
    <w:p w14:paraId="335C11FF">
      <w:pPr>
        <w:rPr>
          <w:rFonts w:ascii="宋体" w:hAnsi="宋体" w:cs="宋体"/>
          <w:color w:val="auto"/>
          <w:szCs w:val="21"/>
          <w:highlight w:val="none"/>
        </w:rPr>
      </w:pPr>
    </w:p>
    <w:p w14:paraId="31517041">
      <w:pPr>
        <w:ind w:firstLine="420" w:firstLineChars="200"/>
        <w:rPr>
          <w:rFonts w:ascii="宋体" w:hAnsi="宋体" w:cs="宋体"/>
          <w:color w:val="auto"/>
          <w:szCs w:val="21"/>
          <w:highlight w:val="none"/>
        </w:rPr>
      </w:pPr>
      <w:r>
        <w:rPr>
          <w:rFonts w:hint="eastAsia" w:ascii="宋体" w:hAnsi="宋体" w:cs="宋体"/>
          <w:color w:val="auto"/>
          <w:szCs w:val="21"/>
          <w:highlight w:val="none"/>
        </w:rPr>
        <w:t>投标人名称（盖章）：</w:t>
      </w:r>
    </w:p>
    <w:p w14:paraId="16E0B7C0">
      <w:pPr>
        <w:rPr>
          <w:rFonts w:ascii="宋体" w:hAnsi="宋体" w:cs="宋体"/>
          <w:color w:val="auto"/>
          <w:szCs w:val="21"/>
          <w:highlight w:val="none"/>
        </w:rPr>
      </w:pPr>
    </w:p>
    <w:p w14:paraId="45D7D4DF">
      <w:pPr>
        <w:ind w:firstLine="420" w:firstLineChars="200"/>
        <w:rPr>
          <w:rFonts w:ascii="宋体" w:hAnsi="宋体" w:cs="宋体"/>
          <w:color w:val="auto"/>
          <w:szCs w:val="21"/>
          <w:highlight w:val="none"/>
        </w:rPr>
      </w:pPr>
      <w:r>
        <w:rPr>
          <w:rFonts w:hint="eastAsia" w:ascii="宋体" w:hAnsi="宋体" w:cs="宋体"/>
          <w:color w:val="auto"/>
          <w:szCs w:val="21"/>
          <w:highlight w:val="none"/>
        </w:rPr>
        <w:t>日期：</w:t>
      </w:r>
    </w:p>
    <w:p w14:paraId="4035BBA8">
      <w:pPr>
        <w:rPr>
          <w:color w:val="auto"/>
          <w:highlight w:val="none"/>
        </w:rPr>
      </w:pPr>
      <w:r>
        <w:rPr>
          <w:color w:val="auto"/>
          <w:highlight w:val="none"/>
        </w:rPr>
        <w:br w:type="page"/>
      </w:r>
    </w:p>
    <w:p w14:paraId="78763B74">
      <w:pPr>
        <w:pStyle w:val="5"/>
        <w:widowControl w:val="0"/>
        <w:overflowPunct w:val="0"/>
        <w:spacing w:line="240" w:lineRule="auto"/>
        <w:rPr>
          <w:rFonts w:hint="eastAsia" w:ascii="宋体" w:hAnsi="宋体" w:eastAsia="宋体"/>
          <w:color w:val="auto"/>
          <w:sz w:val="21"/>
          <w:szCs w:val="21"/>
          <w:highlight w:val="none"/>
          <w:lang w:val="en-US" w:eastAsia="zh-CN"/>
        </w:rPr>
      </w:pPr>
      <w:bookmarkStart w:id="1133" w:name="_Toc4423"/>
      <w:r>
        <w:rPr>
          <w:rFonts w:hint="eastAsia" w:ascii="宋体" w:hAnsi="宋体"/>
          <w:color w:val="auto"/>
          <w:sz w:val="21"/>
          <w:szCs w:val="21"/>
          <w:highlight w:val="none"/>
          <w:lang w:val="en-US" w:eastAsia="zh-CN"/>
        </w:rPr>
        <w:t>附件9.纳税证明和无欠税证明。</w:t>
      </w:r>
      <w:bookmarkEnd w:id="1133"/>
    </w:p>
    <w:p w14:paraId="651C0FDA">
      <w:pPr>
        <w:rPr>
          <w:rFonts w:hint="eastAsia" w:ascii="宋体" w:hAnsi="宋体"/>
          <w:color w:val="auto"/>
          <w:szCs w:val="21"/>
          <w:highlight w:val="none"/>
        </w:rPr>
      </w:pPr>
    </w:p>
    <w:p w14:paraId="4BC5B558">
      <w:pPr>
        <w:rPr>
          <w:rFonts w:ascii="宋体" w:hAnsi="宋体"/>
          <w:color w:val="auto"/>
          <w:szCs w:val="21"/>
          <w:highlight w:val="none"/>
        </w:rPr>
      </w:pPr>
      <w:r>
        <w:rPr>
          <w:rFonts w:hint="eastAsia" w:ascii="宋体" w:hAnsi="宋体"/>
          <w:color w:val="auto"/>
          <w:szCs w:val="21"/>
          <w:highlight w:val="none"/>
        </w:rPr>
        <w:t>报价人须提供投标截止日前6个月内任意1个月依法</w:t>
      </w:r>
      <w:r>
        <w:rPr>
          <w:rFonts w:hint="eastAsia" w:ascii="宋体" w:hAnsi="宋体"/>
          <w:b/>
          <w:bCs/>
          <w:color w:val="auto"/>
          <w:szCs w:val="21"/>
          <w:highlight w:val="none"/>
        </w:rPr>
        <w:t>缴纳税收的证明材料</w:t>
      </w:r>
      <w:r>
        <w:rPr>
          <w:rFonts w:hint="eastAsia" w:ascii="宋体" w:hAnsi="宋体"/>
          <w:b/>
          <w:bCs/>
          <w:color w:val="auto"/>
          <w:szCs w:val="21"/>
          <w:highlight w:val="none"/>
          <w:u w:val="single"/>
        </w:rPr>
        <w:t>及</w:t>
      </w:r>
      <w:r>
        <w:rPr>
          <w:rFonts w:hint="eastAsia" w:ascii="宋体" w:hAnsi="宋体"/>
          <w:b/>
          <w:bCs/>
          <w:color w:val="auto"/>
          <w:szCs w:val="21"/>
          <w:highlight w:val="none"/>
        </w:rPr>
        <w:t>无欠税的证明</w:t>
      </w:r>
      <w:r>
        <w:rPr>
          <w:rFonts w:hint="eastAsia" w:ascii="宋体" w:hAnsi="宋体"/>
          <w:color w:val="auto"/>
          <w:szCs w:val="21"/>
          <w:highlight w:val="none"/>
        </w:rPr>
        <w:t>材料。如依法免税的，须提供相应证明材料（提供依法缴纳税收的证明材料及无欠税的证明材料，</w:t>
      </w:r>
      <w:r>
        <w:rPr>
          <w:rFonts w:hint="eastAsia" w:ascii="宋体" w:hAnsi="宋体"/>
          <w:b/>
          <w:bCs/>
          <w:color w:val="auto"/>
          <w:szCs w:val="21"/>
          <w:highlight w:val="none"/>
        </w:rPr>
        <w:t>证明材料须加盖公章</w:t>
      </w:r>
      <w:r>
        <w:rPr>
          <w:rFonts w:hint="eastAsia" w:ascii="宋体" w:hAnsi="宋体"/>
          <w:color w:val="auto"/>
          <w:szCs w:val="21"/>
          <w:highlight w:val="none"/>
        </w:rPr>
        <w:t>）。</w:t>
      </w:r>
    </w:p>
    <w:p w14:paraId="67EA1AB6">
      <w:pPr>
        <w:pStyle w:val="9"/>
        <w:spacing w:line="460" w:lineRule="exact"/>
        <w:jc w:val="center"/>
        <w:rPr>
          <w:rFonts w:hint="eastAsia" w:ascii="楷体" w:hAnsi="楷体" w:eastAsia="楷体" w:cs="楷体"/>
          <w:sz w:val="24"/>
          <w:szCs w:val="24"/>
        </w:rPr>
      </w:pPr>
      <w:r>
        <w:rPr>
          <w:rFonts w:hint="eastAsia" w:ascii="楷体" w:hAnsi="楷体" w:eastAsia="楷体" w:cs="楷体"/>
          <w:sz w:val="24"/>
          <w:szCs w:val="24"/>
        </w:rPr>
        <w:drawing>
          <wp:anchor distT="0" distB="0" distL="114300" distR="114300" simplePos="0" relativeHeight="251669504" behindDoc="0" locked="0" layoutInCell="1" allowOverlap="1">
            <wp:simplePos x="0" y="0"/>
            <wp:positionH relativeFrom="column">
              <wp:posOffset>34925</wp:posOffset>
            </wp:positionH>
            <wp:positionV relativeFrom="paragraph">
              <wp:posOffset>225425</wp:posOffset>
            </wp:positionV>
            <wp:extent cx="5192395" cy="3663950"/>
            <wp:effectExtent l="0" t="0" r="8255" b="12700"/>
            <wp:wrapTopAndBottom/>
            <wp:docPr id="21" name="图片 21" descr="74358953-b4bf-4151-b761-5eed190046f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74358953-b4bf-4151-b761-5eed190046fc"/>
                    <pic:cNvPicPr>
                      <a:picLocks noChangeAspect="1"/>
                    </pic:cNvPicPr>
                  </pic:nvPicPr>
                  <pic:blipFill>
                    <a:blip r:embed="rId18"/>
                    <a:stretch>
                      <a:fillRect/>
                    </a:stretch>
                  </pic:blipFill>
                  <pic:spPr>
                    <a:xfrm>
                      <a:off x="0" y="0"/>
                      <a:ext cx="5192395" cy="3663950"/>
                    </a:xfrm>
                    <a:prstGeom prst="rect">
                      <a:avLst/>
                    </a:prstGeom>
                  </pic:spPr>
                </pic:pic>
              </a:graphicData>
            </a:graphic>
          </wp:anchor>
        </w:drawing>
      </w:r>
      <w:r>
        <w:rPr>
          <w:rFonts w:hint="eastAsia" w:ascii="楷体" w:hAnsi="楷体" w:eastAsia="楷体" w:cs="楷体"/>
          <w:sz w:val="24"/>
          <w:szCs w:val="24"/>
        </w:rPr>
        <w:t>▲</w:t>
      </w:r>
      <w:r>
        <w:rPr>
          <w:rFonts w:hint="eastAsia" w:ascii="楷体" w:hAnsi="楷体" w:eastAsia="楷体" w:cs="楷体"/>
          <w:sz w:val="24"/>
          <w:szCs w:val="24"/>
          <w:lang w:val="en-US" w:eastAsia="zh-CN"/>
        </w:rPr>
        <w:t>纳税（完税）证明</w:t>
      </w:r>
      <w:r>
        <w:rPr>
          <w:rFonts w:hint="eastAsia" w:ascii="楷体" w:hAnsi="楷体" w:eastAsia="楷体" w:cs="楷体"/>
          <w:sz w:val="24"/>
          <w:szCs w:val="24"/>
        </w:rPr>
        <w:t>示图，供参考</w:t>
      </w:r>
    </w:p>
    <w:p w14:paraId="311A4C40">
      <w:pPr>
        <w:jc w:val="center"/>
        <w:rPr>
          <w:rFonts w:hint="eastAsia" w:ascii="楷体" w:hAnsi="楷体" w:eastAsia="楷体" w:cs="楷体"/>
          <w:sz w:val="24"/>
          <w:szCs w:val="24"/>
        </w:rPr>
      </w:pPr>
      <w:r>
        <w:drawing>
          <wp:anchor distT="0" distB="0" distL="114300" distR="114300" simplePos="0" relativeHeight="251668480" behindDoc="0" locked="0" layoutInCell="1" allowOverlap="1">
            <wp:simplePos x="0" y="0"/>
            <wp:positionH relativeFrom="column">
              <wp:posOffset>113030</wp:posOffset>
            </wp:positionH>
            <wp:positionV relativeFrom="paragraph">
              <wp:posOffset>113030</wp:posOffset>
            </wp:positionV>
            <wp:extent cx="5120640" cy="2778760"/>
            <wp:effectExtent l="0" t="0" r="3810" b="2540"/>
            <wp:wrapTopAndBottom/>
            <wp:docPr id="2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
                    <pic:cNvPicPr>
                      <a:picLocks noChangeAspect="1"/>
                    </pic:cNvPicPr>
                  </pic:nvPicPr>
                  <pic:blipFill>
                    <a:blip r:embed="rId19"/>
                    <a:stretch>
                      <a:fillRect/>
                    </a:stretch>
                  </pic:blipFill>
                  <pic:spPr>
                    <a:xfrm>
                      <a:off x="0" y="0"/>
                      <a:ext cx="5120640" cy="2778760"/>
                    </a:xfrm>
                    <a:prstGeom prst="rect">
                      <a:avLst/>
                    </a:prstGeom>
                    <a:noFill/>
                    <a:ln>
                      <a:noFill/>
                    </a:ln>
                  </pic:spPr>
                </pic:pic>
              </a:graphicData>
            </a:graphic>
          </wp:anchor>
        </w:drawing>
      </w:r>
      <w:r>
        <w:rPr>
          <w:rFonts w:hint="eastAsia" w:ascii="楷体" w:hAnsi="楷体" w:eastAsia="楷体" w:cs="楷体"/>
          <w:sz w:val="24"/>
          <w:szCs w:val="24"/>
        </w:rPr>
        <w:t>▲</w:t>
      </w:r>
      <w:r>
        <w:rPr>
          <w:rFonts w:hint="eastAsia" w:ascii="楷体" w:hAnsi="楷体" w:eastAsia="楷体" w:cs="楷体"/>
          <w:sz w:val="24"/>
          <w:szCs w:val="24"/>
          <w:lang w:val="en-US" w:eastAsia="zh-CN"/>
        </w:rPr>
        <w:t>无欠税证明</w:t>
      </w:r>
      <w:r>
        <w:rPr>
          <w:rFonts w:hint="eastAsia" w:ascii="楷体" w:hAnsi="楷体" w:eastAsia="楷体" w:cs="楷体"/>
          <w:sz w:val="24"/>
          <w:szCs w:val="24"/>
        </w:rPr>
        <w:t>示图，供参考</w:t>
      </w:r>
    </w:p>
    <w:p w14:paraId="4481670C">
      <w:pPr>
        <w:spacing w:before="0" w:after="0" w:line="240" w:lineRule="auto"/>
        <w:outlineLvl w:val="9"/>
        <w:rPr>
          <w:rFonts w:hint="eastAsia" w:ascii="宋体" w:hAnsi="宋体"/>
          <w:color w:val="auto"/>
          <w:sz w:val="21"/>
          <w:szCs w:val="21"/>
          <w:highlight w:val="none"/>
        </w:rPr>
      </w:pPr>
      <w:r>
        <w:rPr>
          <w:rFonts w:hint="eastAsia" w:ascii="楷体" w:hAnsi="楷体" w:eastAsia="楷体" w:cs="楷体"/>
          <w:sz w:val="24"/>
          <w:szCs w:val="24"/>
        </w:rPr>
        <w:br w:type="page"/>
      </w:r>
    </w:p>
    <w:p w14:paraId="0D9EFB82">
      <w:pPr>
        <w:pStyle w:val="5"/>
        <w:spacing w:before="0" w:after="0" w:line="240" w:lineRule="auto"/>
        <w:outlineLvl w:val="3"/>
        <w:rPr>
          <w:rFonts w:hint="eastAsia" w:ascii="宋体" w:hAnsi="宋体"/>
          <w:color w:val="auto"/>
          <w:sz w:val="21"/>
          <w:szCs w:val="21"/>
          <w:highlight w:val="none"/>
          <w:lang w:val="en-US" w:eastAsia="zh-CN"/>
        </w:rPr>
      </w:pPr>
      <w:bookmarkStart w:id="1134" w:name="_Toc5677"/>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10</w:t>
      </w:r>
      <w:r>
        <w:rPr>
          <w:rFonts w:hint="eastAsia" w:ascii="宋体" w:hAnsi="宋体"/>
          <w:color w:val="auto"/>
          <w:sz w:val="21"/>
          <w:szCs w:val="21"/>
          <w:highlight w:val="none"/>
        </w:rPr>
        <w:t>.2023年固废平台运输量截图</w:t>
      </w:r>
      <w:bookmarkEnd w:id="1134"/>
    </w:p>
    <w:p w14:paraId="3DCDCC66">
      <w:pPr>
        <w:rPr>
          <w:color w:val="auto"/>
          <w:highlight w:val="none"/>
        </w:rPr>
      </w:pPr>
    </w:p>
    <w:p w14:paraId="3CD056DD">
      <w:pPr>
        <w:keepNext w:val="0"/>
        <w:keepLines w:val="0"/>
        <w:pageBreakBefore w:val="0"/>
        <w:widowControl/>
        <w:numPr>
          <w:ilvl w:val="0"/>
          <w:numId w:val="0"/>
        </w:numPr>
        <w:kinsoku/>
        <w:wordWrap/>
        <w:overflowPunct/>
        <w:topLinePunct w:val="0"/>
        <w:autoSpaceDE/>
        <w:autoSpaceDN/>
        <w:bidi w:val="0"/>
        <w:adjustRightInd w:val="0"/>
        <w:snapToGrid w:val="0"/>
        <w:spacing w:line="360" w:lineRule="auto"/>
        <w:ind w:left="0" w:leftChars="0" w:firstLine="422" w:firstLineChars="200"/>
        <w:jc w:val="both"/>
        <w:textAlignment w:val="auto"/>
        <w:rPr>
          <w:rFonts w:hint="eastAsia" w:ascii="宋体" w:hAnsi="宋体" w:eastAsia="宋体"/>
          <w:b/>
          <w:bCs/>
          <w:color w:val="auto"/>
          <w:szCs w:val="21"/>
          <w:highlight w:val="none"/>
        </w:rPr>
      </w:pPr>
      <w:r>
        <w:rPr>
          <w:rFonts w:hint="eastAsia" w:ascii="宋体" w:hAnsi="宋体"/>
          <w:b/>
          <w:bCs/>
          <w:color w:val="auto"/>
          <w:szCs w:val="21"/>
          <w:highlight w:val="none"/>
          <w:lang w:val="en-US" w:eastAsia="zh-CN"/>
        </w:rPr>
        <w:t>一、</w:t>
      </w:r>
      <w:r>
        <w:rPr>
          <w:rFonts w:hint="eastAsia" w:ascii="宋体" w:hAnsi="宋体" w:eastAsia="宋体"/>
          <w:b/>
          <w:bCs/>
          <w:color w:val="auto"/>
          <w:szCs w:val="21"/>
          <w:highlight w:val="none"/>
        </w:rPr>
        <w:t>厢车类型</w:t>
      </w:r>
      <w:r>
        <w:rPr>
          <w:rFonts w:hint="eastAsia" w:ascii="宋体" w:hAnsi="宋体"/>
          <w:b/>
          <w:bCs/>
          <w:color w:val="auto"/>
          <w:szCs w:val="21"/>
          <w:highlight w:val="none"/>
          <w:lang w:eastAsia="zh-CN"/>
        </w:rPr>
        <w:t>投标人</w:t>
      </w:r>
      <w:r>
        <w:rPr>
          <w:rFonts w:hint="eastAsia" w:ascii="宋体" w:hAnsi="宋体" w:eastAsia="宋体"/>
          <w:b/>
          <w:bCs/>
          <w:color w:val="auto"/>
          <w:szCs w:val="21"/>
          <w:highlight w:val="none"/>
        </w:rPr>
        <w:t>必须具备：</w:t>
      </w:r>
    </w:p>
    <w:p w14:paraId="4EE117E9">
      <w:pPr>
        <w:keepNext w:val="0"/>
        <w:keepLines w:val="0"/>
        <w:pageBreakBefore w:val="0"/>
        <w:widowControl/>
        <w:numPr>
          <w:ilvl w:val="0"/>
          <w:numId w:val="0"/>
        </w:numPr>
        <w:kinsoku/>
        <w:wordWrap/>
        <w:overflowPunct/>
        <w:topLinePunct w:val="0"/>
        <w:autoSpaceDE/>
        <w:autoSpaceDN/>
        <w:bidi w:val="0"/>
        <w:adjustRightInd w:val="0"/>
        <w:snapToGrid w:val="0"/>
        <w:spacing w:line="360" w:lineRule="auto"/>
        <w:ind w:left="0" w:leftChars="0" w:firstLine="420" w:firstLineChars="200"/>
        <w:jc w:val="both"/>
        <w:textAlignment w:val="auto"/>
        <w:rPr>
          <w:rFonts w:hint="eastAsia" w:ascii="宋体" w:hAnsi="宋体" w:eastAsia="宋体"/>
          <w:color w:val="auto"/>
          <w:szCs w:val="21"/>
          <w:highlight w:val="none"/>
        </w:rPr>
      </w:pPr>
      <w:r>
        <w:rPr>
          <w:rFonts w:hint="eastAsia" w:ascii="宋体" w:hAnsi="宋体" w:eastAsia="宋体"/>
          <w:color w:val="auto"/>
          <w:szCs w:val="21"/>
          <w:highlight w:val="none"/>
        </w:rPr>
        <w:t>必须符合：“广东省固体废物环境监管信息平台”</w:t>
      </w:r>
      <w:r>
        <w:rPr>
          <w:rFonts w:hint="eastAsia" w:ascii="宋体" w:hAnsi="宋体"/>
          <w:color w:val="auto"/>
          <w:szCs w:val="21"/>
          <w:highlight w:val="none"/>
          <w:lang w:eastAsia="zh-CN"/>
        </w:rPr>
        <w:t>（</w:t>
      </w:r>
      <w:r>
        <w:rPr>
          <w:rFonts w:hint="eastAsia" w:ascii="宋体" w:hAnsi="宋体" w:eastAsia="宋体"/>
          <w:color w:val="auto"/>
          <w:szCs w:val="21"/>
          <w:highlight w:val="none"/>
        </w:rPr>
        <w:t>https://www-app.gdeei.cn/gfjgqy-rz/login</w:t>
      </w:r>
      <w:r>
        <w:rPr>
          <w:rFonts w:hint="eastAsia" w:ascii="宋体" w:hAnsi="宋体"/>
          <w:color w:val="auto"/>
          <w:szCs w:val="21"/>
          <w:highlight w:val="none"/>
          <w:lang w:eastAsia="zh-CN"/>
        </w:rPr>
        <w:t>）</w:t>
      </w:r>
      <w:r>
        <w:rPr>
          <w:rFonts w:hint="eastAsia" w:ascii="宋体" w:hAnsi="宋体" w:eastAsia="宋体"/>
          <w:color w:val="auto"/>
          <w:szCs w:val="21"/>
          <w:highlight w:val="none"/>
        </w:rPr>
        <w:t>，</w:t>
      </w:r>
      <w:r>
        <w:rPr>
          <w:rFonts w:hint="eastAsia" w:ascii="宋体" w:hAnsi="宋体" w:eastAsia="宋体"/>
          <w:b/>
          <w:bCs/>
          <w:color w:val="auto"/>
          <w:szCs w:val="21"/>
          <w:highlight w:val="none"/>
        </w:rPr>
        <w:t>2023年全年</w:t>
      </w:r>
      <w:r>
        <w:rPr>
          <w:rFonts w:hint="eastAsia" w:ascii="宋体" w:hAnsi="宋体" w:eastAsia="宋体"/>
          <w:color w:val="auto"/>
          <w:szCs w:val="21"/>
          <w:highlight w:val="none"/>
        </w:rPr>
        <w:t>运输危险废物，如下处置方式的合计总量</w:t>
      </w:r>
      <w:r>
        <w:rPr>
          <w:rFonts w:hint="eastAsia" w:ascii="宋体" w:hAnsi="宋体" w:eastAsia="宋体"/>
          <w:b/>
          <w:bCs/>
          <w:color w:val="auto"/>
          <w:szCs w:val="21"/>
          <w:highlight w:val="none"/>
        </w:rPr>
        <w:t>不低于1000吨</w:t>
      </w:r>
      <w:r>
        <w:rPr>
          <w:rFonts w:hint="eastAsia" w:ascii="宋体" w:hAnsi="宋体" w:eastAsia="宋体"/>
          <w:color w:val="auto"/>
          <w:szCs w:val="21"/>
          <w:highlight w:val="none"/>
        </w:rPr>
        <w:t>：固废平台数据筛选按下表：</w:t>
      </w:r>
    </w:p>
    <w:tbl>
      <w:tblPr>
        <w:tblStyle w:val="29"/>
        <w:tblW w:w="85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74"/>
        <w:gridCol w:w="2316"/>
        <w:gridCol w:w="4110"/>
      </w:tblGrid>
      <w:tr w14:paraId="257373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74" w:type="dxa"/>
            <w:vAlign w:val="center"/>
          </w:tcPr>
          <w:p w14:paraId="49FEDCBF">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处置方式大类</w:t>
            </w:r>
          </w:p>
        </w:tc>
        <w:tc>
          <w:tcPr>
            <w:tcW w:w="2316" w:type="dxa"/>
            <w:vAlign w:val="center"/>
          </w:tcPr>
          <w:p w14:paraId="1868BC65">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处置方式小类</w:t>
            </w:r>
          </w:p>
        </w:tc>
        <w:tc>
          <w:tcPr>
            <w:tcW w:w="4110" w:type="dxa"/>
            <w:vAlign w:val="center"/>
          </w:tcPr>
          <w:p w14:paraId="58E24B63">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2023年合计量（吨）</w:t>
            </w:r>
          </w:p>
        </w:tc>
      </w:tr>
      <w:tr w14:paraId="0C2114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74" w:type="dxa"/>
            <w:vMerge w:val="restart"/>
            <w:vAlign w:val="center"/>
          </w:tcPr>
          <w:p w14:paraId="29942378">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D-处置</w:t>
            </w:r>
          </w:p>
        </w:tc>
        <w:tc>
          <w:tcPr>
            <w:tcW w:w="2316" w:type="dxa"/>
            <w:vAlign w:val="center"/>
          </w:tcPr>
          <w:p w14:paraId="68F84DE8">
            <w:pPr>
              <w:numPr>
                <w:ilvl w:val="0"/>
                <w:numId w:val="0"/>
              </w:numPr>
              <w:spacing w:line="400" w:lineRule="exact"/>
              <w:ind w:left="426" w:leftChars="0"/>
              <w:rPr>
                <w:rFonts w:hint="default" w:ascii="宋体" w:hAnsi="宋体" w:eastAsia="宋体"/>
                <w:color w:val="auto"/>
                <w:szCs w:val="21"/>
                <w:highlight w:val="none"/>
                <w:lang w:val="en-US" w:eastAsia="zh-CN"/>
              </w:rPr>
            </w:pPr>
            <w:r>
              <w:rPr>
                <w:rFonts w:hint="eastAsia" w:ascii="宋体" w:hAnsi="宋体" w:eastAsia="宋体"/>
                <w:color w:val="auto"/>
                <w:szCs w:val="21"/>
                <w:highlight w:val="none"/>
              </w:rPr>
              <w:t>D</w:t>
            </w:r>
            <w:r>
              <w:rPr>
                <w:rFonts w:hint="eastAsia" w:ascii="宋体" w:hAnsi="宋体"/>
                <w:color w:val="auto"/>
                <w:szCs w:val="21"/>
                <w:highlight w:val="none"/>
                <w:lang w:val="en-US" w:eastAsia="zh-CN"/>
              </w:rPr>
              <w:t>9物理化学处理</w:t>
            </w:r>
          </w:p>
        </w:tc>
        <w:tc>
          <w:tcPr>
            <w:tcW w:w="4110" w:type="dxa"/>
            <w:vMerge w:val="restart"/>
            <w:vAlign w:val="center"/>
          </w:tcPr>
          <w:p w14:paraId="37A67176">
            <w:pPr>
              <w:numPr>
                <w:ilvl w:val="0"/>
                <w:numId w:val="0"/>
              </w:numPr>
              <w:spacing w:line="400" w:lineRule="exact"/>
              <w:ind w:left="0" w:leftChars="0"/>
              <w:rPr>
                <w:rFonts w:hint="eastAsia" w:ascii="宋体" w:hAnsi="宋体" w:eastAsia="宋体"/>
                <w:color w:val="auto"/>
                <w:szCs w:val="21"/>
                <w:highlight w:val="none"/>
              </w:rPr>
            </w:pPr>
          </w:p>
        </w:tc>
      </w:tr>
      <w:tr w14:paraId="2A6329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74" w:type="dxa"/>
            <w:vMerge w:val="continue"/>
            <w:vAlign w:val="center"/>
          </w:tcPr>
          <w:p w14:paraId="5BF4DD58">
            <w:pPr>
              <w:numPr>
                <w:ilvl w:val="0"/>
                <w:numId w:val="0"/>
              </w:numPr>
              <w:spacing w:line="400" w:lineRule="exact"/>
              <w:ind w:left="426" w:leftChars="0"/>
              <w:rPr>
                <w:rFonts w:hint="eastAsia" w:ascii="宋体" w:hAnsi="宋体" w:eastAsia="宋体"/>
                <w:color w:val="auto"/>
                <w:szCs w:val="21"/>
                <w:highlight w:val="none"/>
              </w:rPr>
            </w:pPr>
          </w:p>
        </w:tc>
        <w:tc>
          <w:tcPr>
            <w:tcW w:w="2316" w:type="dxa"/>
            <w:vAlign w:val="center"/>
          </w:tcPr>
          <w:p w14:paraId="2FAA013D">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D10-焚烧</w:t>
            </w:r>
          </w:p>
        </w:tc>
        <w:tc>
          <w:tcPr>
            <w:tcW w:w="4110" w:type="dxa"/>
            <w:vMerge w:val="continue"/>
            <w:vAlign w:val="center"/>
          </w:tcPr>
          <w:p w14:paraId="2FDAFFA7">
            <w:pPr>
              <w:numPr>
                <w:ilvl w:val="0"/>
                <w:numId w:val="0"/>
              </w:numPr>
              <w:spacing w:line="400" w:lineRule="exact"/>
              <w:ind w:left="0" w:leftChars="0"/>
              <w:rPr>
                <w:rFonts w:hint="eastAsia" w:ascii="宋体" w:hAnsi="宋体" w:eastAsia="宋体"/>
                <w:color w:val="auto"/>
                <w:szCs w:val="21"/>
                <w:highlight w:val="none"/>
              </w:rPr>
            </w:pPr>
          </w:p>
        </w:tc>
      </w:tr>
      <w:tr w14:paraId="5B14AE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74" w:type="dxa"/>
            <w:vMerge w:val="continue"/>
            <w:vAlign w:val="center"/>
          </w:tcPr>
          <w:p w14:paraId="0416BC73">
            <w:pPr>
              <w:spacing w:line="400" w:lineRule="exact"/>
              <w:ind w:left="851" w:hanging="425"/>
              <w:rPr>
                <w:rFonts w:hint="eastAsia" w:ascii="宋体" w:hAnsi="宋体" w:eastAsia="宋体"/>
                <w:color w:val="auto"/>
                <w:szCs w:val="21"/>
                <w:highlight w:val="none"/>
              </w:rPr>
            </w:pPr>
          </w:p>
        </w:tc>
        <w:tc>
          <w:tcPr>
            <w:tcW w:w="2316" w:type="dxa"/>
            <w:vAlign w:val="center"/>
          </w:tcPr>
          <w:p w14:paraId="3BE50908">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D16-其他</w:t>
            </w:r>
          </w:p>
        </w:tc>
        <w:tc>
          <w:tcPr>
            <w:tcW w:w="4110" w:type="dxa"/>
            <w:vMerge w:val="continue"/>
            <w:vAlign w:val="center"/>
          </w:tcPr>
          <w:p w14:paraId="28B3C935">
            <w:pPr>
              <w:spacing w:line="400" w:lineRule="exact"/>
              <w:ind w:left="851" w:hanging="425"/>
              <w:rPr>
                <w:rFonts w:hint="eastAsia" w:ascii="宋体" w:hAnsi="宋体" w:eastAsia="宋体"/>
                <w:color w:val="auto"/>
                <w:szCs w:val="21"/>
                <w:highlight w:val="none"/>
              </w:rPr>
            </w:pPr>
          </w:p>
        </w:tc>
      </w:tr>
      <w:tr w14:paraId="717043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74" w:type="dxa"/>
            <w:vAlign w:val="center"/>
          </w:tcPr>
          <w:p w14:paraId="25AADE2F">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S-贮存</w:t>
            </w:r>
          </w:p>
        </w:tc>
        <w:tc>
          <w:tcPr>
            <w:tcW w:w="2316" w:type="dxa"/>
            <w:vAlign w:val="center"/>
          </w:tcPr>
          <w:p w14:paraId="73941BCD">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S01至S06</w:t>
            </w:r>
          </w:p>
        </w:tc>
        <w:tc>
          <w:tcPr>
            <w:tcW w:w="4110" w:type="dxa"/>
            <w:vMerge w:val="continue"/>
            <w:vAlign w:val="center"/>
          </w:tcPr>
          <w:p w14:paraId="55914816">
            <w:pPr>
              <w:spacing w:line="400" w:lineRule="exact"/>
              <w:ind w:left="851" w:hanging="425"/>
              <w:rPr>
                <w:rFonts w:hint="eastAsia" w:ascii="宋体" w:hAnsi="宋体" w:eastAsia="宋体"/>
                <w:color w:val="auto"/>
                <w:szCs w:val="21"/>
                <w:highlight w:val="none"/>
              </w:rPr>
            </w:pPr>
          </w:p>
        </w:tc>
      </w:tr>
      <w:tr w14:paraId="5B138E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00" w:type="dxa"/>
            <w:gridSpan w:val="3"/>
            <w:vAlign w:val="center"/>
          </w:tcPr>
          <w:p w14:paraId="51277750">
            <w:pPr>
              <w:numPr>
                <w:ilvl w:val="-1"/>
                <w:numId w:val="0"/>
              </w:numPr>
              <w:spacing w:line="400" w:lineRule="exact"/>
              <w:ind w:left="0" w:firstLine="0"/>
              <w:rPr>
                <w:rFonts w:hint="eastAsia" w:ascii="宋体" w:hAnsi="宋体"/>
                <w:color w:val="auto"/>
                <w:szCs w:val="21"/>
                <w:highlight w:val="none"/>
                <w:lang w:val="en-US" w:eastAsia="zh-CN"/>
              </w:rPr>
            </w:pPr>
            <w:r>
              <w:rPr>
                <w:rFonts w:hint="eastAsia" w:ascii="宋体" w:hAnsi="宋体"/>
                <w:color w:val="auto"/>
                <w:szCs w:val="21"/>
                <w:highlight w:val="none"/>
                <w:lang w:val="en-US" w:eastAsia="zh-CN"/>
              </w:rPr>
              <w:t>备注：</w:t>
            </w:r>
            <w:r>
              <w:rPr>
                <w:rFonts w:hint="eastAsia" w:ascii="宋体" w:hAnsi="宋体"/>
                <w:b/>
                <w:bCs/>
                <w:color w:val="auto"/>
                <w:szCs w:val="21"/>
                <w:highlight w:val="none"/>
                <w:lang w:val="en-US" w:eastAsia="zh-CN"/>
              </w:rPr>
              <w:t>要求提供</w:t>
            </w:r>
            <w:r>
              <w:rPr>
                <w:rFonts w:hint="eastAsia" w:ascii="宋体" w:hAnsi="宋体"/>
                <w:b/>
                <w:bCs/>
                <w:color w:val="auto"/>
                <w:szCs w:val="21"/>
                <w:highlight w:val="none"/>
              </w:rPr>
              <w:t>“广东省固体废物环境监管信息平台”</w:t>
            </w:r>
            <w:r>
              <w:rPr>
                <w:rFonts w:hint="eastAsia" w:ascii="宋体" w:hAnsi="宋体"/>
                <w:b/>
                <w:bCs/>
                <w:color w:val="auto"/>
                <w:szCs w:val="21"/>
                <w:highlight w:val="none"/>
                <w:lang w:val="en-US" w:eastAsia="zh-CN"/>
              </w:rPr>
              <w:t>截图证明及加盖公章</w:t>
            </w:r>
            <w:r>
              <w:rPr>
                <w:rFonts w:hint="eastAsia" w:ascii="宋体" w:hAnsi="宋体"/>
                <w:color w:val="auto"/>
                <w:szCs w:val="21"/>
                <w:highlight w:val="none"/>
                <w:lang w:val="en-US" w:eastAsia="zh-CN"/>
              </w:rPr>
              <w:t>（示例见图1），包括但不限于：</w:t>
            </w:r>
          </w:p>
          <w:p w14:paraId="33C9A416">
            <w:pPr>
              <w:numPr>
                <w:ilvl w:val="-1"/>
                <w:numId w:val="0"/>
              </w:numPr>
              <w:spacing w:line="400" w:lineRule="exact"/>
              <w:ind w:left="0" w:firstLine="0"/>
              <w:rPr>
                <w:rFonts w:hint="default" w:ascii="宋体" w:hAnsi="宋体"/>
                <w:color w:val="auto"/>
                <w:szCs w:val="21"/>
                <w:highlight w:val="none"/>
              </w:rPr>
            </w:pPr>
            <w:r>
              <w:rPr>
                <w:rFonts w:hint="eastAsia" w:ascii="宋体" w:hAnsi="宋体"/>
                <w:color w:val="auto"/>
                <w:szCs w:val="21"/>
                <w:highlight w:val="none"/>
                <w:lang w:val="en-US" w:eastAsia="zh-CN"/>
              </w:rPr>
              <w:t>①</w:t>
            </w:r>
            <w:r>
              <w:rPr>
                <w:rFonts w:hint="default" w:ascii="宋体" w:hAnsi="宋体"/>
                <w:color w:val="auto"/>
                <w:szCs w:val="21"/>
                <w:highlight w:val="none"/>
              </w:rPr>
              <w:t>处置方式大类：D-处置且不含</w:t>
            </w:r>
            <w:r>
              <w:rPr>
                <w:rFonts w:hint="eastAsia" w:ascii="宋体" w:hAnsi="宋体"/>
                <w:color w:val="auto"/>
                <w:szCs w:val="21"/>
                <w:highlight w:val="none"/>
                <w:lang w:eastAsia="zh-CN"/>
              </w:rPr>
              <w:t>“</w:t>
            </w:r>
            <w:r>
              <w:rPr>
                <w:rFonts w:hint="default" w:ascii="宋体" w:hAnsi="宋体"/>
                <w:color w:val="auto"/>
                <w:szCs w:val="21"/>
                <w:highlight w:val="none"/>
              </w:rPr>
              <w:t>D1-填埋</w:t>
            </w:r>
            <w:r>
              <w:rPr>
                <w:rFonts w:hint="eastAsia" w:ascii="宋体" w:hAnsi="宋体"/>
                <w:color w:val="auto"/>
                <w:szCs w:val="21"/>
                <w:highlight w:val="none"/>
                <w:lang w:eastAsia="zh-CN"/>
              </w:rPr>
              <w:t>”</w:t>
            </w:r>
            <w:r>
              <w:rPr>
                <w:rFonts w:hint="eastAsia" w:ascii="宋体" w:hAnsi="宋体"/>
                <w:color w:val="auto"/>
                <w:szCs w:val="21"/>
                <w:highlight w:val="none"/>
                <w:lang w:val="en-US" w:eastAsia="zh-CN"/>
              </w:rPr>
              <w:t>（示例见图2）</w:t>
            </w:r>
            <w:r>
              <w:rPr>
                <w:rFonts w:hint="default" w:ascii="宋体" w:hAnsi="宋体"/>
                <w:color w:val="auto"/>
                <w:szCs w:val="21"/>
                <w:highlight w:val="none"/>
              </w:rPr>
              <w:t>；</w:t>
            </w:r>
            <w:r>
              <w:rPr>
                <w:rFonts w:hint="eastAsia" w:ascii="宋体" w:hAnsi="宋体"/>
                <w:color w:val="auto"/>
                <w:szCs w:val="21"/>
                <w:highlight w:val="none"/>
                <w:lang w:val="en-US" w:eastAsia="zh-CN"/>
              </w:rPr>
              <w:t>要求D9、</w:t>
            </w:r>
            <w:r>
              <w:rPr>
                <w:rFonts w:hint="default" w:ascii="宋体" w:hAnsi="宋体"/>
                <w:color w:val="auto"/>
                <w:szCs w:val="21"/>
                <w:highlight w:val="none"/>
              </w:rPr>
              <w:t>D10、D16分别打印3页盖章。</w:t>
            </w:r>
          </w:p>
          <w:p w14:paraId="27B19EE9">
            <w:pPr>
              <w:numPr>
                <w:ilvl w:val="-1"/>
                <w:numId w:val="0"/>
              </w:numPr>
              <w:spacing w:line="400" w:lineRule="exact"/>
              <w:ind w:left="0" w:leftChars="0" w:firstLine="0" w:firstLineChars="0"/>
              <w:rPr>
                <w:rFonts w:hint="default" w:ascii="宋体" w:hAnsi="宋体" w:eastAsia="宋体" w:cstheme="minorBidi"/>
                <w:color w:val="auto"/>
                <w:sz w:val="21"/>
                <w:szCs w:val="21"/>
                <w:highlight w:val="none"/>
                <w:lang w:val="en-US" w:eastAsia="zh-CN" w:bidi="ar-SA"/>
              </w:rPr>
            </w:pPr>
            <w:r>
              <w:rPr>
                <w:rFonts w:hint="eastAsia" w:ascii="宋体" w:hAnsi="宋体"/>
                <w:color w:val="auto"/>
                <w:szCs w:val="21"/>
                <w:highlight w:val="none"/>
                <w:lang w:eastAsia="zh-CN"/>
              </w:rPr>
              <w:t>②</w:t>
            </w:r>
            <w:r>
              <w:rPr>
                <w:rFonts w:hint="default" w:ascii="宋体" w:hAnsi="宋体"/>
                <w:color w:val="auto"/>
                <w:szCs w:val="21"/>
                <w:highlight w:val="none"/>
              </w:rPr>
              <w:t>处置方式大类：S-贮存</w:t>
            </w:r>
            <w:r>
              <w:rPr>
                <w:rFonts w:hint="eastAsia" w:ascii="宋体" w:hAnsi="宋体"/>
                <w:color w:val="auto"/>
                <w:szCs w:val="21"/>
                <w:highlight w:val="none"/>
                <w:lang w:val="en-US" w:eastAsia="zh-CN"/>
              </w:rPr>
              <w:t>（示例见图3）</w:t>
            </w:r>
            <w:r>
              <w:rPr>
                <w:rFonts w:hint="default" w:ascii="宋体" w:hAnsi="宋体"/>
                <w:color w:val="auto"/>
                <w:szCs w:val="21"/>
                <w:highlight w:val="none"/>
              </w:rPr>
              <w:t>，打印1页盖章。</w:t>
            </w:r>
          </w:p>
        </w:tc>
      </w:tr>
    </w:tbl>
    <w:p w14:paraId="549D5CED">
      <w:pPr>
        <w:numPr>
          <w:ilvl w:val="0"/>
          <w:numId w:val="0"/>
        </w:numPr>
        <w:spacing w:line="400" w:lineRule="exact"/>
        <w:ind w:left="0" w:leftChars="0"/>
        <w:jc w:val="center"/>
        <w:rPr>
          <w:rFonts w:hint="eastAsia" w:ascii="宋体" w:hAnsi="宋体"/>
          <w:color w:val="auto"/>
          <w:szCs w:val="21"/>
          <w:highlight w:val="none"/>
          <w:lang w:val="en-US" w:eastAsia="zh-CN"/>
        </w:rPr>
      </w:pPr>
      <w:r>
        <w:rPr>
          <w:rFonts w:hint="eastAsia" w:ascii="宋体" w:hAnsi="宋体" w:eastAsia="宋体"/>
          <w:color w:val="auto"/>
          <w:szCs w:val="21"/>
          <w:highlight w:val="none"/>
        </w:rPr>
        <w:drawing>
          <wp:anchor distT="0" distB="0" distL="0" distR="0" simplePos="0" relativeHeight="251670528" behindDoc="0" locked="0" layoutInCell="1" allowOverlap="1">
            <wp:simplePos x="0" y="0"/>
            <wp:positionH relativeFrom="column">
              <wp:posOffset>-50800</wp:posOffset>
            </wp:positionH>
            <wp:positionV relativeFrom="paragraph">
              <wp:posOffset>172085</wp:posOffset>
            </wp:positionV>
            <wp:extent cx="5237480" cy="2829560"/>
            <wp:effectExtent l="0" t="0" r="1270" b="8890"/>
            <wp:wrapTopAndBottom/>
            <wp:docPr id="1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pic:cNvPicPr>
                      <a:picLocks noChangeAspect="1"/>
                    </pic:cNvPicPr>
                  </pic:nvPicPr>
                  <pic:blipFill>
                    <a:blip r:embed="rId13"/>
                    <a:stretch>
                      <a:fillRect/>
                    </a:stretch>
                  </pic:blipFill>
                  <pic:spPr>
                    <a:xfrm>
                      <a:off x="0" y="0"/>
                      <a:ext cx="5255819" cy="2839889"/>
                    </a:xfrm>
                    <a:prstGeom prst="rect">
                      <a:avLst/>
                    </a:prstGeom>
                  </pic:spPr>
                </pic:pic>
              </a:graphicData>
            </a:graphic>
          </wp:anchor>
        </w:drawing>
      </w:r>
      <w:r>
        <w:rPr>
          <w:rFonts w:hint="eastAsia" w:ascii="宋体" w:hAnsi="宋体" w:eastAsia="宋体"/>
          <w:color w:val="auto"/>
          <w:szCs w:val="21"/>
          <w:highlight w:val="none"/>
        </w:rPr>
        <w:t>▲</w:t>
      </w:r>
      <w:r>
        <w:rPr>
          <w:rFonts w:hint="eastAsia" w:ascii="宋体" w:hAnsi="宋体"/>
          <w:color w:val="auto"/>
          <w:szCs w:val="21"/>
          <w:highlight w:val="none"/>
          <w:lang w:val="en-US" w:eastAsia="zh-CN"/>
        </w:rPr>
        <w:t>图1</w:t>
      </w:r>
    </w:p>
    <w:p w14:paraId="242E040D">
      <w:pPr>
        <w:numPr>
          <w:ilvl w:val="0"/>
          <w:numId w:val="0"/>
        </w:numPr>
        <w:spacing w:line="400" w:lineRule="exact"/>
        <w:ind w:left="0" w:leftChars="0"/>
        <w:jc w:val="center"/>
        <w:rPr>
          <w:rFonts w:hint="eastAsia" w:ascii="宋体" w:hAnsi="宋体"/>
          <w:color w:val="auto"/>
          <w:szCs w:val="21"/>
          <w:highlight w:val="none"/>
          <w:lang w:val="en-US" w:eastAsia="zh-CN"/>
        </w:rPr>
      </w:pPr>
      <w:r>
        <w:rPr>
          <w:rFonts w:hint="eastAsia" w:ascii="仿宋" w:hAnsi="仿宋" w:eastAsia="仿宋"/>
          <w:sz w:val="28"/>
          <w:szCs w:val="28"/>
          <w:highlight w:val="none"/>
        </w:rPr>
        <w:drawing>
          <wp:anchor distT="0" distB="0" distL="114300" distR="114300" simplePos="0" relativeHeight="251672576" behindDoc="0" locked="0" layoutInCell="1" allowOverlap="1">
            <wp:simplePos x="0" y="0"/>
            <wp:positionH relativeFrom="column">
              <wp:posOffset>-42545</wp:posOffset>
            </wp:positionH>
            <wp:positionV relativeFrom="paragraph">
              <wp:posOffset>8890</wp:posOffset>
            </wp:positionV>
            <wp:extent cx="5273040" cy="706755"/>
            <wp:effectExtent l="0" t="0" r="3810" b="17145"/>
            <wp:wrapSquare wrapText="bothSides"/>
            <wp:docPr id="18" name="图片 18" descr="1715052146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1715052146446"/>
                    <pic:cNvPicPr>
                      <a:picLocks noChangeAspect="1"/>
                    </pic:cNvPicPr>
                  </pic:nvPicPr>
                  <pic:blipFill>
                    <a:blip r:embed="rId14"/>
                    <a:stretch>
                      <a:fillRect/>
                    </a:stretch>
                  </pic:blipFill>
                  <pic:spPr>
                    <a:xfrm>
                      <a:off x="0" y="0"/>
                      <a:ext cx="5273040" cy="706755"/>
                    </a:xfrm>
                    <a:prstGeom prst="rect">
                      <a:avLst/>
                    </a:prstGeom>
                  </pic:spPr>
                </pic:pic>
              </a:graphicData>
            </a:graphic>
          </wp:anchor>
        </w:drawing>
      </w:r>
      <w:r>
        <w:rPr>
          <w:rFonts w:hint="eastAsia" w:ascii="宋体" w:hAnsi="宋体" w:eastAsia="宋体"/>
          <w:color w:val="auto"/>
          <w:szCs w:val="21"/>
          <w:highlight w:val="none"/>
        </w:rPr>
        <w:t>▲</w:t>
      </w:r>
      <w:r>
        <w:rPr>
          <w:rFonts w:hint="eastAsia" w:ascii="宋体" w:hAnsi="宋体"/>
          <w:color w:val="auto"/>
          <w:szCs w:val="21"/>
          <w:highlight w:val="none"/>
          <w:lang w:val="en-US" w:eastAsia="zh-CN"/>
        </w:rPr>
        <w:t>图2</w:t>
      </w:r>
    </w:p>
    <w:p w14:paraId="64E4A0D2">
      <w:pPr>
        <w:numPr>
          <w:ilvl w:val="0"/>
          <w:numId w:val="0"/>
        </w:numPr>
        <w:spacing w:line="400" w:lineRule="exact"/>
        <w:ind w:left="0" w:leftChars="0"/>
        <w:jc w:val="center"/>
        <w:rPr>
          <w:rFonts w:hint="eastAsia" w:ascii="宋体" w:hAnsi="宋体"/>
          <w:color w:val="auto"/>
          <w:szCs w:val="21"/>
          <w:highlight w:val="none"/>
          <w:lang w:val="en-US" w:eastAsia="zh-CN"/>
        </w:rPr>
      </w:pPr>
      <w:r>
        <w:rPr>
          <w:rFonts w:hint="eastAsia" w:ascii="宋体" w:hAnsi="宋体" w:eastAsia="宋体"/>
          <w:color w:val="auto"/>
          <w:szCs w:val="21"/>
          <w:highlight w:val="none"/>
        </w:rPr>
        <w:drawing>
          <wp:anchor distT="0" distB="0" distL="114300" distR="114300" simplePos="0" relativeHeight="251671552" behindDoc="0" locked="0" layoutInCell="1" allowOverlap="1">
            <wp:simplePos x="0" y="0"/>
            <wp:positionH relativeFrom="column">
              <wp:posOffset>-18415</wp:posOffset>
            </wp:positionH>
            <wp:positionV relativeFrom="paragraph">
              <wp:posOffset>186055</wp:posOffset>
            </wp:positionV>
            <wp:extent cx="5262245" cy="414020"/>
            <wp:effectExtent l="0" t="0" r="14605" b="5080"/>
            <wp:wrapTopAndBottom/>
            <wp:docPr id="19" name="图片 19" descr="1715052086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1715052086161"/>
                    <pic:cNvPicPr>
                      <a:picLocks noChangeAspect="1"/>
                    </pic:cNvPicPr>
                  </pic:nvPicPr>
                  <pic:blipFill>
                    <a:blip r:embed="rId15"/>
                    <a:stretch>
                      <a:fillRect/>
                    </a:stretch>
                  </pic:blipFill>
                  <pic:spPr>
                    <a:xfrm>
                      <a:off x="0" y="0"/>
                      <a:ext cx="5262245" cy="414020"/>
                    </a:xfrm>
                    <a:prstGeom prst="rect">
                      <a:avLst/>
                    </a:prstGeom>
                  </pic:spPr>
                </pic:pic>
              </a:graphicData>
            </a:graphic>
          </wp:anchor>
        </w:drawing>
      </w:r>
      <w:r>
        <w:rPr>
          <w:rFonts w:hint="eastAsia" w:ascii="宋体" w:hAnsi="宋体" w:eastAsia="宋体"/>
          <w:color w:val="auto"/>
          <w:szCs w:val="21"/>
          <w:highlight w:val="none"/>
        </w:rPr>
        <w:t>▲</w:t>
      </w:r>
      <w:r>
        <w:rPr>
          <w:rFonts w:hint="eastAsia" w:ascii="宋体" w:hAnsi="宋体"/>
          <w:color w:val="auto"/>
          <w:szCs w:val="21"/>
          <w:highlight w:val="none"/>
          <w:lang w:val="en-US" w:eastAsia="zh-CN"/>
        </w:rPr>
        <w:t>图3</w:t>
      </w:r>
    </w:p>
    <w:p w14:paraId="5C96D104">
      <w:pPr>
        <w:numPr>
          <w:ilvl w:val="-1"/>
          <w:numId w:val="0"/>
        </w:numPr>
        <w:spacing w:line="240" w:lineRule="auto"/>
        <w:ind w:left="0" w:leftChars="0"/>
        <w:jc w:val="left"/>
        <w:rPr>
          <w:rFonts w:hint="eastAsia" w:ascii="宋体" w:hAnsi="宋体"/>
          <w:color w:val="auto"/>
          <w:szCs w:val="21"/>
          <w:highlight w:val="none"/>
          <w:lang w:val="en-US" w:eastAsia="zh-CN"/>
        </w:rPr>
      </w:pPr>
      <w:r>
        <w:rPr>
          <w:rFonts w:hint="eastAsia" w:ascii="宋体" w:hAnsi="宋体"/>
          <w:color w:val="auto"/>
          <w:szCs w:val="21"/>
          <w:highlight w:val="none"/>
          <w:lang w:val="en-US" w:eastAsia="zh-CN"/>
        </w:rPr>
        <w:br w:type="page"/>
      </w:r>
    </w:p>
    <w:p w14:paraId="2FC3DD03">
      <w:pPr>
        <w:numPr>
          <w:ilvl w:val="0"/>
          <w:numId w:val="0"/>
        </w:numPr>
        <w:spacing w:line="400" w:lineRule="exact"/>
        <w:ind w:left="0" w:leftChars="0"/>
        <w:jc w:val="center"/>
        <w:rPr>
          <w:rFonts w:hint="eastAsia" w:ascii="宋体" w:hAnsi="宋体"/>
          <w:color w:val="auto"/>
          <w:szCs w:val="21"/>
          <w:highlight w:val="none"/>
          <w:lang w:val="en-US" w:eastAsia="zh-CN"/>
        </w:rPr>
      </w:pPr>
    </w:p>
    <w:p w14:paraId="21FCD923">
      <w:pPr>
        <w:keepNext w:val="0"/>
        <w:keepLines w:val="0"/>
        <w:pageBreakBefore w:val="0"/>
        <w:widowControl/>
        <w:numPr>
          <w:ilvl w:val="1"/>
          <w:numId w:val="0"/>
        </w:numPr>
        <w:kinsoku/>
        <w:overflowPunct/>
        <w:topLinePunct w:val="0"/>
        <w:autoSpaceDE/>
        <w:autoSpaceDN/>
        <w:bidi w:val="0"/>
        <w:snapToGrid w:val="0"/>
        <w:spacing w:line="360" w:lineRule="auto"/>
        <w:ind w:left="0" w:leftChars="0" w:firstLine="422" w:firstLineChars="200"/>
        <w:jc w:val="both"/>
        <w:textAlignment w:val="auto"/>
        <w:rPr>
          <w:rFonts w:hint="eastAsia" w:ascii="宋体" w:hAnsi="宋体"/>
          <w:b/>
          <w:bCs/>
          <w:color w:val="auto"/>
          <w:szCs w:val="21"/>
          <w:highlight w:val="none"/>
        </w:rPr>
      </w:pPr>
      <w:r>
        <w:rPr>
          <w:rFonts w:hint="eastAsia" w:ascii="宋体" w:hAnsi="宋体"/>
          <w:b/>
          <w:bCs/>
          <w:color w:val="auto"/>
          <w:szCs w:val="21"/>
          <w:highlight w:val="none"/>
          <w:lang w:val="en-US" w:eastAsia="zh-CN"/>
        </w:rPr>
        <w:t>二、槽车</w:t>
      </w:r>
      <w:r>
        <w:rPr>
          <w:rFonts w:hint="eastAsia" w:ascii="宋体" w:hAnsi="宋体"/>
          <w:b/>
          <w:bCs/>
          <w:color w:val="auto"/>
          <w:szCs w:val="21"/>
          <w:highlight w:val="none"/>
        </w:rPr>
        <w:t>类型</w:t>
      </w:r>
      <w:r>
        <w:rPr>
          <w:rFonts w:hint="eastAsia" w:ascii="宋体" w:hAnsi="宋体"/>
          <w:b/>
          <w:bCs/>
          <w:color w:val="auto"/>
          <w:szCs w:val="21"/>
          <w:highlight w:val="none"/>
          <w:lang w:eastAsia="zh-CN"/>
        </w:rPr>
        <w:t>投标人</w:t>
      </w:r>
      <w:r>
        <w:rPr>
          <w:rFonts w:hint="eastAsia" w:ascii="宋体" w:hAnsi="宋体"/>
          <w:b/>
          <w:bCs/>
          <w:color w:val="auto"/>
          <w:szCs w:val="21"/>
          <w:highlight w:val="none"/>
        </w:rPr>
        <w:t>必须具备：</w:t>
      </w:r>
    </w:p>
    <w:p w14:paraId="235821BB">
      <w:pPr>
        <w:keepNext w:val="0"/>
        <w:keepLines w:val="0"/>
        <w:pageBreakBefore w:val="0"/>
        <w:widowControl/>
        <w:numPr>
          <w:ilvl w:val="1"/>
          <w:numId w:val="0"/>
        </w:numPr>
        <w:kinsoku/>
        <w:overflowPunct/>
        <w:topLinePunct w:val="0"/>
        <w:autoSpaceDE/>
        <w:autoSpaceDN/>
        <w:bidi w:val="0"/>
        <w:snapToGrid w:val="0"/>
        <w:spacing w:line="360" w:lineRule="auto"/>
        <w:ind w:left="0" w:leftChars="0" w:firstLine="420" w:firstLineChars="200"/>
        <w:jc w:val="both"/>
        <w:textAlignment w:val="auto"/>
        <w:rPr>
          <w:rFonts w:hint="default" w:ascii="宋体" w:hAnsi="宋体"/>
          <w:color w:val="auto"/>
          <w:szCs w:val="21"/>
          <w:highlight w:val="none"/>
          <w:lang w:val="en-US" w:eastAsia="zh-CN"/>
        </w:rPr>
      </w:pPr>
      <w:r>
        <w:rPr>
          <w:rFonts w:hint="default" w:ascii="宋体" w:hAnsi="宋体"/>
          <w:color w:val="auto"/>
          <w:szCs w:val="21"/>
          <w:highlight w:val="none"/>
        </w:rPr>
        <w:t>必须符合：“广东省固体废物环境监管信息平台”（https://www-app.gdeei.cn/gfjgqy-rz/login），</w:t>
      </w:r>
      <w:r>
        <w:rPr>
          <w:rFonts w:hint="default" w:ascii="宋体" w:hAnsi="宋体"/>
          <w:b/>
          <w:bCs/>
          <w:color w:val="auto"/>
          <w:szCs w:val="21"/>
          <w:highlight w:val="none"/>
        </w:rPr>
        <w:t>2023年全年HW34类</w:t>
      </w:r>
      <w:r>
        <w:rPr>
          <w:rFonts w:hint="default" w:ascii="宋体" w:hAnsi="宋体"/>
          <w:color w:val="auto"/>
          <w:szCs w:val="21"/>
          <w:highlight w:val="none"/>
        </w:rPr>
        <w:t>废物运输总量</w:t>
      </w:r>
      <w:r>
        <w:rPr>
          <w:rFonts w:hint="default" w:ascii="宋体" w:hAnsi="宋体"/>
          <w:b/>
          <w:bCs/>
          <w:color w:val="auto"/>
          <w:szCs w:val="21"/>
          <w:highlight w:val="none"/>
        </w:rPr>
        <w:t>不低于300吨</w:t>
      </w:r>
      <w:r>
        <w:rPr>
          <w:rFonts w:hint="default" w:ascii="宋体" w:hAnsi="宋体"/>
          <w:color w:val="auto"/>
          <w:szCs w:val="21"/>
          <w:highlight w:val="none"/>
        </w:rPr>
        <w:t>：固废平台数据筛选按下表（</w:t>
      </w:r>
      <w:r>
        <w:rPr>
          <w:rFonts w:hint="default" w:ascii="宋体" w:hAnsi="宋体"/>
          <w:b/>
          <w:bCs/>
          <w:color w:val="auto"/>
          <w:szCs w:val="21"/>
          <w:highlight w:val="none"/>
        </w:rPr>
        <w:t>要求提供“广东省固体废物环境监管信息平台”截图证明及加盖公章</w:t>
      </w:r>
      <w:r>
        <w:rPr>
          <w:rFonts w:hint="default" w:ascii="宋体" w:hAnsi="宋体"/>
          <w:color w:val="auto"/>
          <w:szCs w:val="21"/>
          <w:highlight w:val="none"/>
        </w:rPr>
        <w:t>）：</w:t>
      </w:r>
    </w:p>
    <w:p w14:paraId="19861BDD">
      <w:pPr>
        <w:keepNext w:val="0"/>
        <w:keepLines w:val="0"/>
        <w:pageBreakBefore w:val="0"/>
        <w:widowControl/>
        <w:numPr>
          <w:ilvl w:val="1"/>
          <w:numId w:val="0"/>
        </w:numPr>
        <w:kinsoku/>
        <w:overflowPunct/>
        <w:topLinePunct w:val="0"/>
        <w:autoSpaceDE/>
        <w:autoSpaceDN/>
        <w:bidi w:val="0"/>
        <w:snapToGrid w:val="0"/>
        <w:spacing w:line="360" w:lineRule="auto"/>
        <w:ind w:left="0" w:leftChars="0" w:firstLine="0" w:firstLineChars="0"/>
        <w:jc w:val="both"/>
        <w:textAlignment w:val="auto"/>
        <w:rPr>
          <w:rFonts w:hint="eastAsia" w:ascii="宋体" w:hAnsi="宋体"/>
          <w:color w:val="0000FF"/>
          <w:szCs w:val="21"/>
          <w:highlight w:val="none"/>
          <w:lang w:val="en-US" w:eastAsia="zh-CN"/>
        </w:rPr>
      </w:pPr>
      <w:r>
        <w:rPr>
          <w:rFonts w:hint="eastAsia" w:ascii="宋体" w:hAnsi="宋体" w:eastAsia="宋体"/>
          <w:color w:val="auto"/>
          <w:szCs w:val="21"/>
          <w:highlight w:val="none"/>
          <w:lang w:eastAsia="zh-CN"/>
        </w:rPr>
        <w:drawing>
          <wp:inline distT="0" distB="0" distL="114300" distR="114300">
            <wp:extent cx="5264150" cy="2757170"/>
            <wp:effectExtent l="0" t="0" r="12700" b="5080"/>
            <wp:docPr id="20" name="图片 20" descr="1736503234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1736503234401"/>
                    <pic:cNvPicPr>
                      <a:picLocks noChangeAspect="1"/>
                    </pic:cNvPicPr>
                  </pic:nvPicPr>
                  <pic:blipFill>
                    <a:blip r:embed="rId16"/>
                    <a:stretch>
                      <a:fillRect/>
                    </a:stretch>
                  </pic:blipFill>
                  <pic:spPr>
                    <a:xfrm>
                      <a:off x="0" y="0"/>
                      <a:ext cx="5264150" cy="2757170"/>
                    </a:xfrm>
                    <a:prstGeom prst="rect">
                      <a:avLst/>
                    </a:prstGeom>
                  </pic:spPr>
                </pic:pic>
              </a:graphicData>
            </a:graphic>
          </wp:inline>
        </w:drawing>
      </w:r>
    </w:p>
    <w:p w14:paraId="7E52FC3E">
      <w:pPr>
        <w:jc w:val="center"/>
        <w:rPr>
          <w:rFonts w:hint="eastAsia" w:ascii="楷体" w:hAnsi="楷体" w:eastAsia="楷体" w:cs="楷体"/>
          <w:sz w:val="24"/>
          <w:szCs w:val="24"/>
        </w:rPr>
      </w:pPr>
    </w:p>
    <w:p w14:paraId="56193498">
      <w:pPr>
        <w:rPr>
          <w:color w:val="auto"/>
          <w:highlight w:val="none"/>
        </w:rPr>
      </w:pPr>
    </w:p>
    <w:p w14:paraId="2C8A53FE">
      <w:pPr>
        <w:rPr>
          <w:rFonts w:ascii="宋体" w:hAnsi="宋体"/>
          <w:color w:val="auto"/>
          <w:szCs w:val="21"/>
          <w:highlight w:val="none"/>
        </w:rPr>
      </w:pPr>
    </w:p>
    <w:p w14:paraId="5B20EE7B">
      <w:pPr>
        <w:pStyle w:val="5"/>
        <w:widowControl w:val="0"/>
        <w:overflowPunct w:val="0"/>
        <w:spacing w:line="240" w:lineRule="auto"/>
        <w:rPr>
          <w:rFonts w:ascii="宋体" w:hAnsi="宋体"/>
          <w:color w:val="auto"/>
          <w:sz w:val="21"/>
          <w:szCs w:val="21"/>
          <w:highlight w:val="none"/>
        </w:rPr>
      </w:pPr>
      <w:r>
        <w:rPr>
          <w:rFonts w:hint="eastAsia" w:ascii="宋体" w:hAnsi="宋体"/>
          <w:color w:val="auto"/>
          <w:sz w:val="21"/>
          <w:szCs w:val="21"/>
          <w:highlight w:val="none"/>
        </w:rPr>
        <w:br w:type="page"/>
      </w:r>
      <w:bookmarkStart w:id="1135" w:name="_Toc6263"/>
      <w:r>
        <w:rPr>
          <w:rFonts w:hint="eastAsia" w:ascii="宋体" w:hAnsi="宋体"/>
          <w:color w:val="auto"/>
          <w:sz w:val="21"/>
          <w:szCs w:val="21"/>
          <w:highlight w:val="none"/>
        </w:rPr>
        <w:t>附件1</w:t>
      </w:r>
      <w:r>
        <w:rPr>
          <w:rFonts w:hint="eastAsia" w:ascii="宋体" w:hAnsi="宋体"/>
          <w:color w:val="auto"/>
          <w:sz w:val="21"/>
          <w:szCs w:val="21"/>
          <w:highlight w:val="none"/>
          <w:lang w:val="en-US" w:eastAsia="zh-CN"/>
        </w:rPr>
        <w:t>1</w:t>
      </w:r>
      <w:r>
        <w:rPr>
          <w:rFonts w:hint="eastAsia" w:ascii="宋体" w:hAnsi="宋体"/>
          <w:color w:val="auto"/>
          <w:sz w:val="21"/>
          <w:szCs w:val="21"/>
          <w:highlight w:val="none"/>
        </w:rPr>
        <w:t>.商务需求条款偏离表格式</w:t>
      </w:r>
      <w:bookmarkEnd w:id="1135"/>
    </w:p>
    <w:p w14:paraId="2245F698">
      <w:pPr>
        <w:jc w:val="center"/>
        <w:rPr>
          <w:rFonts w:ascii="黑体" w:eastAsia="黑体"/>
          <w:color w:val="auto"/>
          <w:sz w:val="28"/>
          <w:szCs w:val="28"/>
          <w:highlight w:val="none"/>
        </w:rPr>
      </w:pPr>
    </w:p>
    <w:p w14:paraId="2DAB6C83">
      <w:pPr>
        <w:jc w:val="center"/>
        <w:rPr>
          <w:rFonts w:ascii="黑体" w:eastAsia="黑体"/>
          <w:color w:val="auto"/>
          <w:sz w:val="28"/>
          <w:szCs w:val="28"/>
          <w:highlight w:val="none"/>
        </w:rPr>
      </w:pPr>
      <w:r>
        <w:rPr>
          <w:rFonts w:hint="eastAsia" w:ascii="黑体" w:eastAsia="黑体"/>
          <w:color w:val="auto"/>
          <w:sz w:val="28"/>
          <w:szCs w:val="28"/>
          <w:highlight w:val="none"/>
        </w:rPr>
        <w:t>商务需求条款偏离表</w:t>
      </w:r>
    </w:p>
    <w:tbl>
      <w:tblPr>
        <w:tblStyle w:val="28"/>
        <w:tblW w:w="843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08"/>
        <w:gridCol w:w="1620"/>
        <w:gridCol w:w="1360"/>
        <w:gridCol w:w="1587"/>
        <w:gridCol w:w="1133"/>
        <w:gridCol w:w="1730"/>
      </w:tblGrid>
      <w:tr w14:paraId="69B58E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2" w:hRule="atLeast"/>
        </w:trPr>
        <w:tc>
          <w:tcPr>
            <w:tcW w:w="1008" w:type="dxa"/>
            <w:vAlign w:val="center"/>
          </w:tcPr>
          <w:p w14:paraId="1921A38B">
            <w:pPr>
              <w:jc w:val="center"/>
              <w:rPr>
                <w:rFonts w:ascii="宋体" w:hAnsi="宋体"/>
                <w:color w:val="auto"/>
                <w:szCs w:val="21"/>
                <w:highlight w:val="none"/>
              </w:rPr>
            </w:pPr>
            <w:r>
              <w:rPr>
                <w:rFonts w:hint="eastAsia" w:ascii="宋体" w:hAnsi="宋体"/>
                <w:color w:val="auto"/>
                <w:szCs w:val="21"/>
                <w:highlight w:val="none"/>
              </w:rPr>
              <w:t>序号</w:t>
            </w:r>
          </w:p>
        </w:tc>
        <w:tc>
          <w:tcPr>
            <w:tcW w:w="1620" w:type="dxa"/>
            <w:vAlign w:val="center"/>
          </w:tcPr>
          <w:p w14:paraId="0A57506B">
            <w:pPr>
              <w:jc w:val="center"/>
              <w:rPr>
                <w:rFonts w:ascii="宋体" w:hAnsi="宋体"/>
                <w:color w:val="auto"/>
                <w:szCs w:val="21"/>
                <w:highlight w:val="none"/>
              </w:rPr>
            </w:pPr>
            <w:r>
              <w:rPr>
                <w:rFonts w:hint="eastAsia" w:ascii="宋体" w:hAnsi="宋体"/>
                <w:color w:val="auto"/>
                <w:szCs w:val="21"/>
                <w:highlight w:val="none"/>
              </w:rPr>
              <w:t>服务项目名称</w:t>
            </w:r>
          </w:p>
        </w:tc>
        <w:tc>
          <w:tcPr>
            <w:tcW w:w="1360" w:type="dxa"/>
            <w:vAlign w:val="center"/>
          </w:tcPr>
          <w:p w14:paraId="78EDDF63">
            <w:pPr>
              <w:jc w:val="center"/>
              <w:rPr>
                <w:rFonts w:ascii="宋体" w:hAnsi="宋体"/>
                <w:color w:val="auto"/>
                <w:szCs w:val="21"/>
                <w:highlight w:val="none"/>
              </w:rPr>
            </w:pPr>
            <w:r>
              <w:rPr>
                <w:rFonts w:hint="eastAsia" w:ascii="宋体" w:hAnsi="宋体"/>
                <w:color w:val="auto"/>
                <w:szCs w:val="21"/>
                <w:highlight w:val="none"/>
              </w:rPr>
              <w:t>采购要求</w:t>
            </w:r>
          </w:p>
        </w:tc>
        <w:tc>
          <w:tcPr>
            <w:tcW w:w="1587" w:type="dxa"/>
            <w:vAlign w:val="center"/>
          </w:tcPr>
          <w:p w14:paraId="681B1835">
            <w:pPr>
              <w:jc w:val="center"/>
              <w:rPr>
                <w:rFonts w:ascii="宋体" w:hAnsi="宋体"/>
                <w:color w:val="auto"/>
                <w:szCs w:val="21"/>
                <w:highlight w:val="none"/>
              </w:rPr>
            </w:pPr>
            <w:r>
              <w:rPr>
                <w:rFonts w:hint="eastAsia" w:ascii="宋体" w:hAnsi="宋体"/>
                <w:color w:val="auto"/>
                <w:szCs w:val="21"/>
                <w:highlight w:val="none"/>
              </w:rPr>
              <w:t>投标实际响应</w:t>
            </w:r>
          </w:p>
        </w:tc>
        <w:tc>
          <w:tcPr>
            <w:tcW w:w="1133" w:type="dxa"/>
            <w:vAlign w:val="center"/>
          </w:tcPr>
          <w:p w14:paraId="46FB1332">
            <w:pPr>
              <w:jc w:val="center"/>
              <w:rPr>
                <w:rFonts w:ascii="宋体" w:hAnsi="宋体"/>
                <w:color w:val="auto"/>
                <w:szCs w:val="21"/>
                <w:highlight w:val="none"/>
              </w:rPr>
            </w:pPr>
            <w:r>
              <w:rPr>
                <w:rFonts w:hint="eastAsia" w:ascii="宋体" w:hAnsi="宋体"/>
                <w:color w:val="auto"/>
                <w:szCs w:val="21"/>
                <w:highlight w:val="none"/>
              </w:rPr>
              <w:t>是否偏离</w:t>
            </w:r>
          </w:p>
        </w:tc>
        <w:tc>
          <w:tcPr>
            <w:tcW w:w="1730" w:type="dxa"/>
            <w:vAlign w:val="center"/>
          </w:tcPr>
          <w:p w14:paraId="1804403C">
            <w:pPr>
              <w:jc w:val="center"/>
              <w:rPr>
                <w:rFonts w:ascii="宋体" w:hAnsi="宋体"/>
                <w:color w:val="auto"/>
                <w:szCs w:val="21"/>
                <w:highlight w:val="none"/>
              </w:rPr>
            </w:pPr>
            <w:r>
              <w:rPr>
                <w:rFonts w:hint="eastAsia" w:ascii="宋体" w:hAnsi="宋体"/>
                <w:color w:val="auto"/>
                <w:szCs w:val="21"/>
                <w:highlight w:val="none"/>
              </w:rPr>
              <w:t>说明</w:t>
            </w:r>
          </w:p>
        </w:tc>
      </w:tr>
      <w:tr w14:paraId="74347D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vAlign w:val="center"/>
          </w:tcPr>
          <w:p w14:paraId="5F3FDB95">
            <w:pPr>
              <w:jc w:val="center"/>
              <w:rPr>
                <w:rFonts w:ascii="宋体" w:hAnsi="宋体"/>
                <w:color w:val="auto"/>
                <w:szCs w:val="21"/>
                <w:highlight w:val="none"/>
              </w:rPr>
            </w:pPr>
          </w:p>
        </w:tc>
        <w:tc>
          <w:tcPr>
            <w:tcW w:w="1620" w:type="dxa"/>
            <w:vAlign w:val="center"/>
          </w:tcPr>
          <w:p w14:paraId="621DBD8F">
            <w:pPr>
              <w:jc w:val="center"/>
              <w:rPr>
                <w:rFonts w:ascii="宋体" w:hAnsi="宋体"/>
                <w:color w:val="auto"/>
                <w:szCs w:val="21"/>
                <w:highlight w:val="none"/>
              </w:rPr>
            </w:pPr>
          </w:p>
        </w:tc>
        <w:tc>
          <w:tcPr>
            <w:tcW w:w="1360" w:type="dxa"/>
            <w:vAlign w:val="center"/>
          </w:tcPr>
          <w:p w14:paraId="4FCAE7CF">
            <w:pPr>
              <w:jc w:val="center"/>
              <w:rPr>
                <w:rFonts w:ascii="宋体" w:hAnsi="宋体"/>
                <w:color w:val="auto"/>
                <w:szCs w:val="21"/>
                <w:highlight w:val="none"/>
              </w:rPr>
            </w:pPr>
          </w:p>
        </w:tc>
        <w:tc>
          <w:tcPr>
            <w:tcW w:w="1587" w:type="dxa"/>
            <w:vAlign w:val="center"/>
          </w:tcPr>
          <w:p w14:paraId="0C6A8A89">
            <w:pPr>
              <w:jc w:val="center"/>
              <w:rPr>
                <w:rFonts w:ascii="宋体" w:hAnsi="宋体"/>
                <w:color w:val="auto"/>
                <w:szCs w:val="21"/>
                <w:highlight w:val="none"/>
              </w:rPr>
            </w:pPr>
          </w:p>
        </w:tc>
        <w:tc>
          <w:tcPr>
            <w:tcW w:w="1133" w:type="dxa"/>
            <w:vAlign w:val="center"/>
          </w:tcPr>
          <w:p w14:paraId="3EA0E501">
            <w:pPr>
              <w:jc w:val="center"/>
              <w:rPr>
                <w:rFonts w:ascii="宋体" w:hAnsi="宋体"/>
                <w:color w:val="auto"/>
                <w:szCs w:val="21"/>
                <w:highlight w:val="none"/>
              </w:rPr>
            </w:pPr>
          </w:p>
        </w:tc>
        <w:tc>
          <w:tcPr>
            <w:tcW w:w="1730" w:type="dxa"/>
            <w:vAlign w:val="center"/>
          </w:tcPr>
          <w:p w14:paraId="3212D2DA">
            <w:pPr>
              <w:jc w:val="center"/>
              <w:rPr>
                <w:rFonts w:ascii="宋体" w:hAnsi="宋体"/>
                <w:color w:val="auto"/>
                <w:szCs w:val="21"/>
                <w:highlight w:val="none"/>
              </w:rPr>
            </w:pPr>
          </w:p>
        </w:tc>
      </w:tr>
      <w:tr w14:paraId="275B31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vAlign w:val="center"/>
          </w:tcPr>
          <w:p w14:paraId="53F251E2">
            <w:pPr>
              <w:jc w:val="center"/>
              <w:rPr>
                <w:rFonts w:ascii="宋体" w:hAnsi="宋体"/>
                <w:color w:val="auto"/>
                <w:szCs w:val="21"/>
                <w:highlight w:val="none"/>
              </w:rPr>
            </w:pPr>
          </w:p>
        </w:tc>
        <w:tc>
          <w:tcPr>
            <w:tcW w:w="1620" w:type="dxa"/>
            <w:vAlign w:val="center"/>
          </w:tcPr>
          <w:p w14:paraId="54F64B75">
            <w:pPr>
              <w:jc w:val="center"/>
              <w:rPr>
                <w:rFonts w:ascii="宋体" w:hAnsi="宋体"/>
                <w:color w:val="auto"/>
                <w:szCs w:val="21"/>
                <w:highlight w:val="none"/>
              </w:rPr>
            </w:pPr>
          </w:p>
        </w:tc>
        <w:tc>
          <w:tcPr>
            <w:tcW w:w="1360" w:type="dxa"/>
            <w:vAlign w:val="center"/>
          </w:tcPr>
          <w:p w14:paraId="2403BE1D">
            <w:pPr>
              <w:jc w:val="center"/>
              <w:rPr>
                <w:rFonts w:ascii="宋体" w:hAnsi="宋体"/>
                <w:color w:val="auto"/>
                <w:szCs w:val="21"/>
                <w:highlight w:val="none"/>
              </w:rPr>
            </w:pPr>
          </w:p>
        </w:tc>
        <w:tc>
          <w:tcPr>
            <w:tcW w:w="1587" w:type="dxa"/>
            <w:vAlign w:val="center"/>
          </w:tcPr>
          <w:p w14:paraId="52B76E58">
            <w:pPr>
              <w:jc w:val="center"/>
              <w:rPr>
                <w:rFonts w:ascii="宋体" w:hAnsi="宋体"/>
                <w:color w:val="auto"/>
                <w:szCs w:val="21"/>
                <w:highlight w:val="none"/>
              </w:rPr>
            </w:pPr>
          </w:p>
        </w:tc>
        <w:tc>
          <w:tcPr>
            <w:tcW w:w="1133" w:type="dxa"/>
            <w:vAlign w:val="center"/>
          </w:tcPr>
          <w:p w14:paraId="77B6BF07">
            <w:pPr>
              <w:jc w:val="center"/>
              <w:rPr>
                <w:rFonts w:ascii="宋体" w:hAnsi="宋体"/>
                <w:color w:val="auto"/>
                <w:szCs w:val="21"/>
                <w:highlight w:val="none"/>
              </w:rPr>
            </w:pPr>
          </w:p>
        </w:tc>
        <w:tc>
          <w:tcPr>
            <w:tcW w:w="1730" w:type="dxa"/>
            <w:vAlign w:val="center"/>
          </w:tcPr>
          <w:p w14:paraId="773950B6">
            <w:pPr>
              <w:jc w:val="center"/>
              <w:rPr>
                <w:rFonts w:ascii="宋体" w:hAnsi="宋体"/>
                <w:color w:val="auto"/>
                <w:szCs w:val="21"/>
                <w:highlight w:val="none"/>
              </w:rPr>
            </w:pPr>
          </w:p>
        </w:tc>
      </w:tr>
      <w:tr w14:paraId="6DF3B3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vAlign w:val="center"/>
          </w:tcPr>
          <w:p w14:paraId="435040E5">
            <w:pPr>
              <w:jc w:val="center"/>
              <w:rPr>
                <w:rFonts w:ascii="宋体" w:hAnsi="宋体"/>
                <w:color w:val="auto"/>
                <w:szCs w:val="21"/>
                <w:highlight w:val="none"/>
              </w:rPr>
            </w:pPr>
          </w:p>
        </w:tc>
        <w:tc>
          <w:tcPr>
            <w:tcW w:w="1620" w:type="dxa"/>
            <w:vAlign w:val="center"/>
          </w:tcPr>
          <w:p w14:paraId="1C4C74CA">
            <w:pPr>
              <w:jc w:val="center"/>
              <w:rPr>
                <w:rFonts w:ascii="宋体" w:hAnsi="宋体"/>
                <w:color w:val="auto"/>
                <w:szCs w:val="21"/>
                <w:highlight w:val="none"/>
              </w:rPr>
            </w:pPr>
          </w:p>
        </w:tc>
        <w:tc>
          <w:tcPr>
            <w:tcW w:w="1360" w:type="dxa"/>
            <w:vAlign w:val="center"/>
          </w:tcPr>
          <w:p w14:paraId="02D9B9D4">
            <w:pPr>
              <w:jc w:val="center"/>
              <w:rPr>
                <w:rFonts w:ascii="宋体" w:hAnsi="宋体"/>
                <w:color w:val="auto"/>
                <w:szCs w:val="21"/>
                <w:highlight w:val="none"/>
              </w:rPr>
            </w:pPr>
          </w:p>
        </w:tc>
        <w:tc>
          <w:tcPr>
            <w:tcW w:w="1587" w:type="dxa"/>
            <w:vAlign w:val="center"/>
          </w:tcPr>
          <w:p w14:paraId="24A28464">
            <w:pPr>
              <w:jc w:val="center"/>
              <w:rPr>
                <w:rFonts w:ascii="宋体" w:hAnsi="宋体"/>
                <w:color w:val="auto"/>
                <w:szCs w:val="21"/>
                <w:highlight w:val="none"/>
              </w:rPr>
            </w:pPr>
          </w:p>
        </w:tc>
        <w:tc>
          <w:tcPr>
            <w:tcW w:w="1133" w:type="dxa"/>
            <w:vAlign w:val="center"/>
          </w:tcPr>
          <w:p w14:paraId="0E43866C">
            <w:pPr>
              <w:jc w:val="center"/>
              <w:rPr>
                <w:rFonts w:ascii="宋体" w:hAnsi="宋体"/>
                <w:color w:val="auto"/>
                <w:szCs w:val="21"/>
                <w:highlight w:val="none"/>
              </w:rPr>
            </w:pPr>
          </w:p>
        </w:tc>
        <w:tc>
          <w:tcPr>
            <w:tcW w:w="1730" w:type="dxa"/>
            <w:vAlign w:val="center"/>
          </w:tcPr>
          <w:p w14:paraId="5E6490EA">
            <w:pPr>
              <w:jc w:val="center"/>
              <w:rPr>
                <w:rFonts w:ascii="宋体" w:hAnsi="宋体"/>
                <w:color w:val="auto"/>
                <w:szCs w:val="21"/>
                <w:highlight w:val="none"/>
              </w:rPr>
            </w:pPr>
          </w:p>
        </w:tc>
      </w:tr>
      <w:tr w14:paraId="3639EC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vAlign w:val="center"/>
          </w:tcPr>
          <w:p w14:paraId="79E661A0">
            <w:pPr>
              <w:jc w:val="center"/>
              <w:rPr>
                <w:rFonts w:ascii="宋体" w:hAnsi="宋体"/>
                <w:color w:val="auto"/>
                <w:szCs w:val="21"/>
                <w:highlight w:val="none"/>
              </w:rPr>
            </w:pPr>
          </w:p>
        </w:tc>
        <w:tc>
          <w:tcPr>
            <w:tcW w:w="1620" w:type="dxa"/>
            <w:vAlign w:val="center"/>
          </w:tcPr>
          <w:p w14:paraId="1CA05037">
            <w:pPr>
              <w:jc w:val="center"/>
              <w:rPr>
                <w:rFonts w:ascii="宋体" w:hAnsi="宋体"/>
                <w:color w:val="auto"/>
                <w:szCs w:val="21"/>
                <w:highlight w:val="none"/>
              </w:rPr>
            </w:pPr>
          </w:p>
        </w:tc>
        <w:tc>
          <w:tcPr>
            <w:tcW w:w="1360" w:type="dxa"/>
            <w:vAlign w:val="center"/>
          </w:tcPr>
          <w:p w14:paraId="2EE44EA5">
            <w:pPr>
              <w:jc w:val="center"/>
              <w:rPr>
                <w:rFonts w:ascii="宋体" w:hAnsi="宋体"/>
                <w:color w:val="auto"/>
                <w:szCs w:val="21"/>
                <w:highlight w:val="none"/>
              </w:rPr>
            </w:pPr>
          </w:p>
        </w:tc>
        <w:tc>
          <w:tcPr>
            <w:tcW w:w="1587" w:type="dxa"/>
            <w:vAlign w:val="center"/>
          </w:tcPr>
          <w:p w14:paraId="5ACBC88A">
            <w:pPr>
              <w:jc w:val="center"/>
              <w:rPr>
                <w:rFonts w:ascii="宋体" w:hAnsi="宋体"/>
                <w:color w:val="auto"/>
                <w:szCs w:val="21"/>
                <w:highlight w:val="none"/>
              </w:rPr>
            </w:pPr>
          </w:p>
        </w:tc>
        <w:tc>
          <w:tcPr>
            <w:tcW w:w="1133" w:type="dxa"/>
            <w:vAlign w:val="center"/>
          </w:tcPr>
          <w:p w14:paraId="1758B1C7">
            <w:pPr>
              <w:jc w:val="center"/>
              <w:rPr>
                <w:rFonts w:ascii="宋体" w:hAnsi="宋体"/>
                <w:color w:val="auto"/>
                <w:szCs w:val="21"/>
                <w:highlight w:val="none"/>
              </w:rPr>
            </w:pPr>
          </w:p>
        </w:tc>
        <w:tc>
          <w:tcPr>
            <w:tcW w:w="1730" w:type="dxa"/>
            <w:vAlign w:val="center"/>
          </w:tcPr>
          <w:p w14:paraId="656E5850">
            <w:pPr>
              <w:jc w:val="center"/>
              <w:rPr>
                <w:rFonts w:ascii="宋体" w:hAnsi="宋体"/>
                <w:color w:val="auto"/>
                <w:szCs w:val="21"/>
                <w:highlight w:val="none"/>
              </w:rPr>
            </w:pPr>
          </w:p>
        </w:tc>
      </w:tr>
      <w:tr w14:paraId="6B79EB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vAlign w:val="center"/>
          </w:tcPr>
          <w:p w14:paraId="60CD06E0">
            <w:pPr>
              <w:jc w:val="center"/>
              <w:rPr>
                <w:rFonts w:ascii="宋体" w:hAnsi="宋体"/>
                <w:color w:val="auto"/>
                <w:szCs w:val="21"/>
                <w:highlight w:val="none"/>
              </w:rPr>
            </w:pPr>
          </w:p>
        </w:tc>
        <w:tc>
          <w:tcPr>
            <w:tcW w:w="1620" w:type="dxa"/>
            <w:vAlign w:val="center"/>
          </w:tcPr>
          <w:p w14:paraId="5C881DA4">
            <w:pPr>
              <w:jc w:val="center"/>
              <w:rPr>
                <w:rFonts w:ascii="宋体" w:hAnsi="宋体"/>
                <w:color w:val="auto"/>
                <w:szCs w:val="21"/>
                <w:highlight w:val="none"/>
              </w:rPr>
            </w:pPr>
          </w:p>
        </w:tc>
        <w:tc>
          <w:tcPr>
            <w:tcW w:w="1360" w:type="dxa"/>
            <w:vAlign w:val="center"/>
          </w:tcPr>
          <w:p w14:paraId="2846DDF0">
            <w:pPr>
              <w:jc w:val="center"/>
              <w:rPr>
                <w:rFonts w:ascii="宋体" w:hAnsi="宋体"/>
                <w:color w:val="auto"/>
                <w:szCs w:val="21"/>
                <w:highlight w:val="none"/>
              </w:rPr>
            </w:pPr>
          </w:p>
        </w:tc>
        <w:tc>
          <w:tcPr>
            <w:tcW w:w="1587" w:type="dxa"/>
            <w:vAlign w:val="center"/>
          </w:tcPr>
          <w:p w14:paraId="1063E553">
            <w:pPr>
              <w:jc w:val="center"/>
              <w:rPr>
                <w:rFonts w:ascii="宋体" w:hAnsi="宋体"/>
                <w:color w:val="auto"/>
                <w:szCs w:val="21"/>
                <w:highlight w:val="none"/>
              </w:rPr>
            </w:pPr>
          </w:p>
        </w:tc>
        <w:tc>
          <w:tcPr>
            <w:tcW w:w="1133" w:type="dxa"/>
            <w:vAlign w:val="center"/>
          </w:tcPr>
          <w:p w14:paraId="5DCA71D2">
            <w:pPr>
              <w:jc w:val="center"/>
              <w:rPr>
                <w:rFonts w:ascii="宋体" w:hAnsi="宋体"/>
                <w:color w:val="auto"/>
                <w:szCs w:val="21"/>
                <w:highlight w:val="none"/>
              </w:rPr>
            </w:pPr>
          </w:p>
        </w:tc>
        <w:tc>
          <w:tcPr>
            <w:tcW w:w="1730" w:type="dxa"/>
            <w:vAlign w:val="center"/>
          </w:tcPr>
          <w:p w14:paraId="7CFBC673">
            <w:pPr>
              <w:jc w:val="center"/>
              <w:rPr>
                <w:rFonts w:ascii="宋体" w:hAnsi="宋体"/>
                <w:color w:val="auto"/>
                <w:szCs w:val="21"/>
                <w:highlight w:val="none"/>
              </w:rPr>
            </w:pPr>
          </w:p>
        </w:tc>
      </w:tr>
      <w:tr w14:paraId="7E1851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vAlign w:val="center"/>
          </w:tcPr>
          <w:p w14:paraId="1E1C6C0F">
            <w:pPr>
              <w:jc w:val="center"/>
              <w:rPr>
                <w:rFonts w:ascii="宋体" w:hAnsi="宋体"/>
                <w:color w:val="auto"/>
                <w:szCs w:val="21"/>
                <w:highlight w:val="none"/>
              </w:rPr>
            </w:pPr>
          </w:p>
        </w:tc>
        <w:tc>
          <w:tcPr>
            <w:tcW w:w="1620" w:type="dxa"/>
            <w:vAlign w:val="center"/>
          </w:tcPr>
          <w:p w14:paraId="30BB9DA8">
            <w:pPr>
              <w:jc w:val="center"/>
              <w:rPr>
                <w:rFonts w:ascii="宋体" w:hAnsi="宋体"/>
                <w:color w:val="auto"/>
                <w:szCs w:val="21"/>
                <w:highlight w:val="none"/>
              </w:rPr>
            </w:pPr>
          </w:p>
        </w:tc>
        <w:tc>
          <w:tcPr>
            <w:tcW w:w="1360" w:type="dxa"/>
            <w:vAlign w:val="center"/>
          </w:tcPr>
          <w:p w14:paraId="4AAA1B59">
            <w:pPr>
              <w:jc w:val="center"/>
              <w:rPr>
                <w:rFonts w:ascii="宋体" w:hAnsi="宋体"/>
                <w:color w:val="auto"/>
                <w:szCs w:val="21"/>
                <w:highlight w:val="none"/>
              </w:rPr>
            </w:pPr>
          </w:p>
        </w:tc>
        <w:tc>
          <w:tcPr>
            <w:tcW w:w="1587" w:type="dxa"/>
            <w:vAlign w:val="center"/>
          </w:tcPr>
          <w:p w14:paraId="1E58B522">
            <w:pPr>
              <w:jc w:val="center"/>
              <w:rPr>
                <w:rFonts w:ascii="宋体" w:hAnsi="宋体"/>
                <w:color w:val="auto"/>
                <w:szCs w:val="21"/>
                <w:highlight w:val="none"/>
              </w:rPr>
            </w:pPr>
          </w:p>
        </w:tc>
        <w:tc>
          <w:tcPr>
            <w:tcW w:w="1133" w:type="dxa"/>
            <w:vAlign w:val="center"/>
          </w:tcPr>
          <w:p w14:paraId="2394B5BF">
            <w:pPr>
              <w:jc w:val="center"/>
              <w:rPr>
                <w:rFonts w:ascii="宋体" w:hAnsi="宋体"/>
                <w:color w:val="auto"/>
                <w:szCs w:val="21"/>
                <w:highlight w:val="none"/>
              </w:rPr>
            </w:pPr>
          </w:p>
        </w:tc>
        <w:tc>
          <w:tcPr>
            <w:tcW w:w="1730" w:type="dxa"/>
            <w:vAlign w:val="center"/>
          </w:tcPr>
          <w:p w14:paraId="4E75FBC4">
            <w:pPr>
              <w:jc w:val="center"/>
              <w:rPr>
                <w:rFonts w:ascii="宋体" w:hAnsi="宋体"/>
                <w:color w:val="auto"/>
                <w:szCs w:val="21"/>
                <w:highlight w:val="none"/>
              </w:rPr>
            </w:pPr>
          </w:p>
        </w:tc>
      </w:tr>
      <w:tr w14:paraId="02E7BC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vAlign w:val="center"/>
          </w:tcPr>
          <w:p w14:paraId="7F895C24">
            <w:pPr>
              <w:jc w:val="center"/>
              <w:rPr>
                <w:rFonts w:ascii="宋体" w:hAnsi="宋体"/>
                <w:color w:val="auto"/>
                <w:szCs w:val="21"/>
                <w:highlight w:val="none"/>
              </w:rPr>
            </w:pPr>
          </w:p>
        </w:tc>
        <w:tc>
          <w:tcPr>
            <w:tcW w:w="1620" w:type="dxa"/>
            <w:vAlign w:val="center"/>
          </w:tcPr>
          <w:p w14:paraId="38481C42">
            <w:pPr>
              <w:jc w:val="center"/>
              <w:rPr>
                <w:rFonts w:ascii="宋体" w:hAnsi="宋体"/>
                <w:color w:val="auto"/>
                <w:szCs w:val="21"/>
                <w:highlight w:val="none"/>
              </w:rPr>
            </w:pPr>
          </w:p>
        </w:tc>
        <w:tc>
          <w:tcPr>
            <w:tcW w:w="1360" w:type="dxa"/>
            <w:vAlign w:val="center"/>
          </w:tcPr>
          <w:p w14:paraId="0AC6F3C3">
            <w:pPr>
              <w:jc w:val="center"/>
              <w:rPr>
                <w:rFonts w:ascii="宋体" w:hAnsi="宋体"/>
                <w:color w:val="auto"/>
                <w:szCs w:val="21"/>
                <w:highlight w:val="none"/>
              </w:rPr>
            </w:pPr>
          </w:p>
        </w:tc>
        <w:tc>
          <w:tcPr>
            <w:tcW w:w="1587" w:type="dxa"/>
            <w:vAlign w:val="center"/>
          </w:tcPr>
          <w:p w14:paraId="5C21516C">
            <w:pPr>
              <w:jc w:val="center"/>
              <w:rPr>
                <w:rFonts w:ascii="宋体" w:hAnsi="宋体"/>
                <w:color w:val="auto"/>
                <w:szCs w:val="21"/>
                <w:highlight w:val="none"/>
              </w:rPr>
            </w:pPr>
          </w:p>
        </w:tc>
        <w:tc>
          <w:tcPr>
            <w:tcW w:w="1133" w:type="dxa"/>
            <w:vAlign w:val="center"/>
          </w:tcPr>
          <w:p w14:paraId="4CEEDF91">
            <w:pPr>
              <w:jc w:val="center"/>
              <w:rPr>
                <w:rFonts w:ascii="宋体" w:hAnsi="宋体"/>
                <w:color w:val="auto"/>
                <w:szCs w:val="21"/>
                <w:highlight w:val="none"/>
              </w:rPr>
            </w:pPr>
          </w:p>
        </w:tc>
        <w:tc>
          <w:tcPr>
            <w:tcW w:w="1730" w:type="dxa"/>
            <w:vAlign w:val="center"/>
          </w:tcPr>
          <w:p w14:paraId="1714D53B">
            <w:pPr>
              <w:jc w:val="center"/>
              <w:rPr>
                <w:rFonts w:ascii="宋体" w:hAnsi="宋体"/>
                <w:color w:val="auto"/>
                <w:szCs w:val="21"/>
                <w:highlight w:val="none"/>
              </w:rPr>
            </w:pPr>
          </w:p>
        </w:tc>
      </w:tr>
      <w:tr w14:paraId="4F166F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vAlign w:val="center"/>
          </w:tcPr>
          <w:p w14:paraId="0C587A6F">
            <w:pPr>
              <w:jc w:val="center"/>
              <w:rPr>
                <w:rFonts w:ascii="宋体" w:hAnsi="宋体"/>
                <w:color w:val="auto"/>
                <w:szCs w:val="21"/>
                <w:highlight w:val="none"/>
              </w:rPr>
            </w:pPr>
          </w:p>
        </w:tc>
        <w:tc>
          <w:tcPr>
            <w:tcW w:w="1620" w:type="dxa"/>
            <w:vAlign w:val="center"/>
          </w:tcPr>
          <w:p w14:paraId="0DDA3AB3">
            <w:pPr>
              <w:jc w:val="center"/>
              <w:rPr>
                <w:rFonts w:ascii="宋体" w:hAnsi="宋体"/>
                <w:color w:val="auto"/>
                <w:szCs w:val="21"/>
                <w:highlight w:val="none"/>
              </w:rPr>
            </w:pPr>
          </w:p>
        </w:tc>
        <w:tc>
          <w:tcPr>
            <w:tcW w:w="1360" w:type="dxa"/>
            <w:vAlign w:val="center"/>
          </w:tcPr>
          <w:p w14:paraId="6AEBDA8C">
            <w:pPr>
              <w:jc w:val="center"/>
              <w:rPr>
                <w:rFonts w:ascii="宋体" w:hAnsi="宋体"/>
                <w:color w:val="auto"/>
                <w:szCs w:val="21"/>
                <w:highlight w:val="none"/>
              </w:rPr>
            </w:pPr>
          </w:p>
        </w:tc>
        <w:tc>
          <w:tcPr>
            <w:tcW w:w="1587" w:type="dxa"/>
            <w:vAlign w:val="center"/>
          </w:tcPr>
          <w:p w14:paraId="47F04957">
            <w:pPr>
              <w:jc w:val="center"/>
              <w:rPr>
                <w:rFonts w:ascii="宋体" w:hAnsi="宋体"/>
                <w:color w:val="auto"/>
                <w:szCs w:val="21"/>
                <w:highlight w:val="none"/>
              </w:rPr>
            </w:pPr>
          </w:p>
        </w:tc>
        <w:tc>
          <w:tcPr>
            <w:tcW w:w="1133" w:type="dxa"/>
            <w:vAlign w:val="center"/>
          </w:tcPr>
          <w:p w14:paraId="7DC71EE9">
            <w:pPr>
              <w:jc w:val="center"/>
              <w:rPr>
                <w:rFonts w:ascii="宋体" w:hAnsi="宋体"/>
                <w:color w:val="auto"/>
                <w:szCs w:val="21"/>
                <w:highlight w:val="none"/>
              </w:rPr>
            </w:pPr>
          </w:p>
        </w:tc>
        <w:tc>
          <w:tcPr>
            <w:tcW w:w="1730" w:type="dxa"/>
            <w:vAlign w:val="center"/>
          </w:tcPr>
          <w:p w14:paraId="135AED37">
            <w:pPr>
              <w:jc w:val="center"/>
              <w:rPr>
                <w:rFonts w:ascii="宋体" w:hAnsi="宋体"/>
                <w:color w:val="auto"/>
                <w:szCs w:val="21"/>
                <w:highlight w:val="none"/>
              </w:rPr>
            </w:pPr>
          </w:p>
        </w:tc>
      </w:tr>
      <w:tr w14:paraId="5EFB7E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vAlign w:val="center"/>
          </w:tcPr>
          <w:p w14:paraId="2831CBA4">
            <w:pPr>
              <w:jc w:val="center"/>
              <w:rPr>
                <w:rFonts w:ascii="宋体" w:hAnsi="宋体"/>
                <w:color w:val="auto"/>
                <w:szCs w:val="21"/>
                <w:highlight w:val="none"/>
              </w:rPr>
            </w:pPr>
          </w:p>
        </w:tc>
        <w:tc>
          <w:tcPr>
            <w:tcW w:w="1620" w:type="dxa"/>
            <w:vAlign w:val="center"/>
          </w:tcPr>
          <w:p w14:paraId="0F7B2254">
            <w:pPr>
              <w:jc w:val="center"/>
              <w:rPr>
                <w:rFonts w:ascii="宋体" w:hAnsi="宋体"/>
                <w:color w:val="auto"/>
                <w:szCs w:val="21"/>
                <w:highlight w:val="none"/>
              </w:rPr>
            </w:pPr>
          </w:p>
        </w:tc>
        <w:tc>
          <w:tcPr>
            <w:tcW w:w="1360" w:type="dxa"/>
            <w:vAlign w:val="center"/>
          </w:tcPr>
          <w:p w14:paraId="0FF580FF">
            <w:pPr>
              <w:jc w:val="center"/>
              <w:rPr>
                <w:rFonts w:ascii="宋体" w:hAnsi="宋体"/>
                <w:color w:val="auto"/>
                <w:szCs w:val="21"/>
                <w:highlight w:val="none"/>
              </w:rPr>
            </w:pPr>
          </w:p>
        </w:tc>
        <w:tc>
          <w:tcPr>
            <w:tcW w:w="1587" w:type="dxa"/>
            <w:vAlign w:val="center"/>
          </w:tcPr>
          <w:p w14:paraId="4066DB87">
            <w:pPr>
              <w:jc w:val="center"/>
              <w:rPr>
                <w:rFonts w:ascii="宋体" w:hAnsi="宋体"/>
                <w:color w:val="auto"/>
                <w:szCs w:val="21"/>
                <w:highlight w:val="none"/>
              </w:rPr>
            </w:pPr>
          </w:p>
        </w:tc>
        <w:tc>
          <w:tcPr>
            <w:tcW w:w="1133" w:type="dxa"/>
            <w:vAlign w:val="center"/>
          </w:tcPr>
          <w:p w14:paraId="4ABBC980">
            <w:pPr>
              <w:jc w:val="center"/>
              <w:rPr>
                <w:rFonts w:ascii="宋体" w:hAnsi="宋体"/>
                <w:color w:val="auto"/>
                <w:szCs w:val="21"/>
                <w:highlight w:val="none"/>
              </w:rPr>
            </w:pPr>
          </w:p>
        </w:tc>
        <w:tc>
          <w:tcPr>
            <w:tcW w:w="1730" w:type="dxa"/>
            <w:vAlign w:val="center"/>
          </w:tcPr>
          <w:p w14:paraId="55E78F91">
            <w:pPr>
              <w:jc w:val="center"/>
              <w:rPr>
                <w:rFonts w:ascii="宋体" w:hAnsi="宋体"/>
                <w:color w:val="auto"/>
                <w:szCs w:val="21"/>
                <w:highlight w:val="none"/>
              </w:rPr>
            </w:pPr>
          </w:p>
        </w:tc>
      </w:tr>
      <w:tr w14:paraId="22E9B5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vAlign w:val="center"/>
          </w:tcPr>
          <w:p w14:paraId="3BF68D81">
            <w:pPr>
              <w:jc w:val="center"/>
              <w:rPr>
                <w:rFonts w:ascii="宋体" w:hAnsi="宋体"/>
                <w:color w:val="auto"/>
                <w:szCs w:val="21"/>
                <w:highlight w:val="none"/>
              </w:rPr>
            </w:pPr>
          </w:p>
        </w:tc>
        <w:tc>
          <w:tcPr>
            <w:tcW w:w="1620" w:type="dxa"/>
            <w:vAlign w:val="center"/>
          </w:tcPr>
          <w:p w14:paraId="29D8B68B">
            <w:pPr>
              <w:jc w:val="center"/>
              <w:rPr>
                <w:rFonts w:ascii="宋体" w:hAnsi="宋体"/>
                <w:color w:val="auto"/>
                <w:szCs w:val="21"/>
                <w:highlight w:val="none"/>
              </w:rPr>
            </w:pPr>
          </w:p>
        </w:tc>
        <w:tc>
          <w:tcPr>
            <w:tcW w:w="1360" w:type="dxa"/>
            <w:vAlign w:val="center"/>
          </w:tcPr>
          <w:p w14:paraId="6F9F5156">
            <w:pPr>
              <w:jc w:val="center"/>
              <w:rPr>
                <w:rFonts w:ascii="宋体" w:hAnsi="宋体"/>
                <w:color w:val="auto"/>
                <w:szCs w:val="21"/>
                <w:highlight w:val="none"/>
              </w:rPr>
            </w:pPr>
          </w:p>
        </w:tc>
        <w:tc>
          <w:tcPr>
            <w:tcW w:w="1587" w:type="dxa"/>
            <w:vAlign w:val="center"/>
          </w:tcPr>
          <w:p w14:paraId="11B2EF5E">
            <w:pPr>
              <w:jc w:val="center"/>
              <w:rPr>
                <w:rFonts w:ascii="宋体" w:hAnsi="宋体"/>
                <w:color w:val="auto"/>
                <w:szCs w:val="21"/>
                <w:highlight w:val="none"/>
              </w:rPr>
            </w:pPr>
          </w:p>
        </w:tc>
        <w:tc>
          <w:tcPr>
            <w:tcW w:w="1133" w:type="dxa"/>
            <w:vAlign w:val="center"/>
          </w:tcPr>
          <w:p w14:paraId="485A10B1">
            <w:pPr>
              <w:jc w:val="center"/>
              <w:rPr>
                <w:rFonts w:ascii="宋体" w:hAnsi="宋体"/>
                <w:color w:val="auto"/>
                <w:szCs w:val="21"/>
                <w:highlight w:val="none"/>
              </w:rPr>
            </w:pPr>
          </w:p>
        </w:tc>
        <w:tc>
          <w:tcPr>
            <w:tcW w:w="1730" w:type="dxa"/>
            <w:vAlign w:val="center"/>
          </w:tcPr>
          <w:p w14:paraId="02D47A20">
            <w:pPr>
              <w:jc w:val="center"/>
              <w:rPr>
                <w:rFonts w:ascii="宋体" w:hAnsi="宋体"/>
                <w:color w:val="auto"/>
                <w:szCs w:val="21"/>
                <w:highlight w:val="none"/>
              </w:rPr>
            </w:pPr>
          </w:p>
        </w:tc>
      </w:tr>
    </w:tbl>
    <w:p w14:paraId="48AAFAB2">
      <w:pPr>
        <w:rPr>
          <w:rFonts w:ascii="宋体" w:hAnsi="宋体"/>
          <w:color w:val="auto"/>
          <w:szCs w:val="21"/>
          <w:highlight w:val="none"/>
        </w:rPr>
      </w:pPr>
    </w:p>
    <w:p w14:paraId="5B70513A">
      <w:pPr>
        <w:rPr>
          <w:rFonts w:ascii="宋体" w:hAnsi="宋体"/>
          <w:color w:val="auto"/>
          <w:szCs w:val="21"/>
          <w:highlight w:val="none"/>
        </w:rPr>
      </w:pPr>
      <w:r>
        <w:rPr>
          <w:rFonts w:hint="eastAsia" w:ascii="宋体" w:hAnsi="宋体"/>
          <w:color w:val="auto"/>
          <w:szCs w:val="21"/>
          <w:highlight w:val="none"/>
        </w:rPr>
        <w:t>投标人代表签字：</w:t>
      </w:r>
    </w:p>
    <w:p w14:paraId="5121A7B8">
      <w:pPr>
        <w:rPr>
          <w:rFonts w:ascii="宋体" w:hAnsi="宋体"/>
          <w:color w:val="auto"/>
          <w:szCs w:val="21"/>
          <w:highlight w:val="none"/>
        </w:rPr>
      </w:pPr>
      <w:r>
        <w:rPr>
          <w:rFonts w:hint="eastAsia" w:ascii="宋体" w:hAnsi="宋体"/>
          <w:color w:val="auto"/>
          <w:szCs w:val="21"/>
          <w:highlight w:val="none"/>
        </w:rPr>
        <w:t>投标人盖章：</w:t>
      </w:r>
    </w:p>
    <w:p w14:paraId="3B5642EA">
      <w:pPr>
        <w:rPr>
          <w:rFonts w:ascii="宋体" w:hAnsi="宋体"/>
          <w:color w:val="auto"/>
          <w:szCs w:val="21"/>
          <w:highlight w:val="none"/>
        </w:rPr>
      </w:pPr>
    </w:p>
    <w:p w14:paraId="6F64FFEB">
      <w:pPr>
        <w:ind w:left="718" w:hanging="718" w:hangingChars="342"/>
        <w:rPr>
          <w:rFonts w:ascii="宋体" w:hAnsi="宋体"/>
          <w:color w:val="auto"/>
          <w:szCs w:val="21"/>
          <w:highlight w:val="none"/>
        </w:rPr>
      </w:pPr>
      <w:r>
        <w:rPr>
          <w:rFonts w:hint="eastAsia" w:ascii="宋体" w:hAnsi="宋体"/>
          <w:color w:val="auto"/>
          <w:szCs w:val="21"/>
          <w:highlight w:val="none"/>
        </w:rPr>
        <w:t>注：</w:t>
      </w:r>
    </w:p>
    <w:p w14:paraId="6AE9A9A6">
      <w:pPr>
        <w:rPr>
          <w:rFonts w:ascii="宋体" w:hAnsi="宋体"/>
          <w:color w:val="auto"/>
          <w:szCs w:val="21"/>
          <w:highlight w:val="none"/>
        </w:rPr>
      </w:pPr>
      <w:r>
        <w:rPr>
          <w:rFonts w:hint="eastAsia" w:ascii="宋体" w:hAnsi="宋体"/>
          <w:color w:val="auto"/>
          <w:szCs w:val="21"/>
          <w:highlight w:val="none"/>
        </w:rPr>
        <w:t>1、投标人应对照采购文件商务需求书中商务要求，说明已对采购文件的商务内容做出了实质性的响应。</w:t>
      </w:r>
    </w:p>
    <w:p w14:paraId="0F2151D3">
      <w:pPr>
        <w:rPr>
          <w:rFonts w:ascii="宋体" w:hAnsi="宋体"/>
          <w:color w:val="auto"/>
          <w:szCs w:val="21"/>
          <w:highlight w:val="none"/>
        </w:rPr>
      </w:pPr>
      <w:r>
        <w:rPr>
          <w:rFonts w:hint="eastAsia" w:ascii="宋体" w:hAnsi="宋体"/>
          <w:color w:val="auto"/>
          <w:szCs w:val="21"/>
          <w:highlight w:val="none"/>
        </w:rPr>
        <w:t>2、</w:t>
      </w:r>
      <w:r>
        <w:rPr>
          <w:rFonts w:hint="eastAsia" w:hAnsi="宋体" w:cs="宋体"/>
          <w:color w:val="auto"/>
          <w:szCs w:val="21"/>
          <w:highlight w:val="none"/>
        </w:rPr>
        <w:t>不论出于何种原因此表未填写</w:t>
      </w:r>
      <w:r>
        <w:rPr>
          <w:rFonts w:hint="eastAsia" w:ascii="宋体" w:hAnsi="宋体"/>
          <w:color w:val="auto"/>
          <w:szCs w:val="21"/>
          <w:highlight w:val="none"/>
        </w:rPr>
        <w:t>完整</w:t>
      </w:r>
      <w:r>
        <w:rPr>
          <w:rFonts w:hint="eastAsia" w:hAnsi="宋体" w:cs="宋体"/>
          <w:color w:val="auto"/>
          <w:szCs w:val="21"/>
          <w:highlight w:val="none"/>
        </w:rPr>
        <w:t>，投标人都被认为已清楚了解采购文件“</w:t>
      </w:r>
      <w:r>
        <w:rPr>
          <w:rFonts w:hint="eastAsia" w:ascii="宋体" w:hAnsi="宋体"/>
          <w:color w:val="auto"/>
          <w:szCs w:val="21"/>
          <w:highlight w:val="none"/>
        </w:rPr>
        <w:t>商务</w:t>
      </w:r>
      <w:r>
        <w:rPr>
          <w:rFonts w:hint="eastAsia" w:hAnsi="宋体" w:cs="宋体"/>
          <w:color w:val="auto"/>
          <w:szCs w:val="21"/>
          <w:highlight w:val="none"/>
        </w:rPr>
        <w:t>需求书”的内容并对采购人所需的服务要求作全面响应，投标人必须承担完成“</w:t>
      </w:r>
      <w:r>
        <w:rPr>
          <w:rFonts w:hint="eastAsia" w:ascii="宋体" w:hAnsi="宋体"/>
          <w:color w:val="auto"/>
          <w:szCs w:val="21"/>
          <w:highlight w:val="none"/>
        </w:rPr>
        <w:t>商务</w:t>
      </w:r>
      <w:r>
        <w:rPr>
          <w:rFonts w:hint="eastAsia" w:hAnsi="宋体" w:cs="宋体"/>
          <w:color w:val="auto"/>
          <w:szCs w:val="21"/>
          <w:highlight w:val="none"/>
        </w:rPr>
        <w:t>需求书”所描述内容的义务</w:t>
      </w:r>
      <w:r>
        <w:rPr>
          <w:rFonts w:hint="eastAsia" w:ascii="宋体" w:hAnsi="宋体"/>
          <w:color w:val="auto"/>
          <w:szCs w:val="21"/>
          <w:highlight w:val="none"/>
        </w:rPr>
        <w:t>，因此对投标人投标产生负面影响的，投标人自行承担后果。</w:t>
      </w:r>
    </w:p>
    <w:p w14:paraId="6C0635DD">
      <w:pPr>
        <w:rPr>
          <w:rFonts w:ascii="宋体" w:hAnsi="宋体"/>
          <w:color w:val="auto"/>
          <w:szCs w:val="21"/>
          <w:highlight w:val="none"/>
        </w:rPr>
      </w:pPr>
      <w:r>
        <w:rPr>
          <w:rFonts w:hint="eastAsia" w:ascii="宋体" w:hAnsi="宋体"/>
          <w:color w:val="auto"/>
          <w:szCs w:val="21"/>
          <w:highlight w:val="none"/>
        </w:rPr>
        <w:t>3、</w:t>
      </w:r>
      <w:r>
        <w:rPr>
          <w:rFonts w:hint="eastAsia" w:hAnsi="宋体" w:cs="宋体"/>
          <w:color w:val="auto"/>
          <w:szCs w:val="21"/>
          <w:highlight w:val="none"/>
        </w:rPr>
        <w:t>如有偏离，应在“偏离情况”栏内注明“正”、“负”或“无”，并在“说明”栏内予以说明。</w:t>
      </w:r>
    </w:p>
    <w:p w14:paraId="2CA1FD80">
      <w:pPr>
        <w:rPr>
          <w:rFonts w:ascii="宋体" w:hAnsi="宋体"/>
          <w:color w:val="auto"/>
          <w:szCs w:val="21"/>
          <w:highlight w:val="none"/>
        </w:rPr>
      </w:pPr>
      <w:r>
        <w:rPr>
          <w:rFonts w:hint="eastAsia" w:ascii="宋体" w:hAnsi="宋体"/>
          <w:color w:val="auto"/>
          <w:szCs w:val="21"/>
          <w:highlight w:val="none"/>
        </w:rPr>
        <w:t>4、</w:t>
      </w:r>
      <w:r>
        <w:rPr>
          <w:rFonts w:hint="eastAsia" w:hAnsi="宋体" w:cs="宋体"/>
          <w:color w:val="auto"/>
          <w:szCs w:val="21"/>
          <w:highlight w:val="none"/>
        </w:rPr>
        <w:t>如投标人差异内容较多可另附页说明。</w:t>
      </w:r>
    </w:p>
    <w:p w14:paraId="761C6D06">
      <w:pPr>
        <w:widowControl w:val="0"/>
        <w:overflowPunct w:val="0"/>
        <w:spacing w:line="240" w:lineRule="auto"/>
        <w:rPr>
          <w:rFonts w:hint="eastAsia" w:hAnsi="宋体" w:cs="宋体"/>
          <w:color w:val="auto"/>
          <w:szCs w:val="21"/>
          <w:highlight w:val="none"/>
        </w:rPr>
      </w:pPr>
      <w:r>
        <w:rPr>
          <w:rFonts w:hint="eastAsia" w:ascii="宋体" w:hAnsi="宋体"/>
          <w:color w:val="auto"/>
          <w:szCs w:val="21"/>
          <w:highlight w:val="none"/>
        </w:rPr>
        <w:t>5、</w:t>
      </w:r>
      <w:r>
        <w:rPr>
          <w:rFonts w:hint="eastAsia" w:hAnsi="宋体" w:cs="宋体"/>
          <w:color w:val="auto"/>
          <w:szCs w:val="21"/>
          <w:highlight w:val="none"/>
        </w:rPr>
        <w:t>如投标人对用户需求书商务要求的条款全部响应的，也可以在表格下面用文字总括性的说明。</w:t>
      </w:r>
    </w:p>
    <w:p w14:paraId="79DC0F1A">
      <w:pPr>
        <w:widowControl w:val="0"/>
        <w:overflowPunct w:val="0"/>
        <w:spacing w:line="240" w:lineRule="auto"/>
        <w:rPr>
          <w:rFonts w:hint="eastAsia" w:hAnsi="宋体" w:cs="宋体"/>
          <w:color w:val="auto"/>
          <w:szCs w:val="21"/>
          <w:highlight w:val="none"/>
        </w:rPr>
      </w:pPr>
      <w:r>
        <w:rPr>
          <w:rFonts w:hint="eastAsia" w:hAnsi="宋体" w:cs="宋体"/>
          <w:color w:val="auto"/>
          <w:szCs w:val="21"/>
          <w:highlight w:val="none"/>
        </w:rPr>
        <w:br w:type="page"/>
      </w:r>
    </w:p>
    <w:p w14:paraId="03153374">
      <w:pPr>
        <w:pStyle w:val="5"/>
        <w:widowControl w:val="0"/>
        <w:overflowPunct w:val="0"/>
        <w:spacing w:line="240" w:lineRule="auto"/>
        <w:rPr>
          <w:rFonts w:ascii="宋体" w:hAnsi="宋体"/>
          <w:color w:val="auto"/>
          <w:sz w:val="21"/>
          <w:szCs w:val="21"/>
          <w:highlight w:val="none"/>
        </w:rPr>
      </w:pPr>
      <w:bookmarkStart w:id="1136" w:name="_Toc24792"/>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12</w:t>
      </w:r>
      <w:r>
        <w:rPr>
          <w:rFonts w:hint="eastAsia" w:ascii="宋体" w:hAnsi="宋体"/>
          <w:color w:val="auto"/>
          <w:sz w:val="21"/>
          <w:szCs w:val="21"/>
          <w:highlight w:val="none"/>
        </w:rPr>
        <w:t>.相关资质证明文件</w:t>
      </w:r>
      <w:bookmarkEnd w:id="1129"/>
      <w:bookmarkEnd w:id="1130"/>
      <w:bookmarkEnd w:id="1131"/>
      <w:bookmarkEnd w:id="1132"/>
      <w:bookmarkEnd w:id="1136"/>
    </w:p>
    <w:p w14:paraId="4199566C">
      <w:pPr>
        <w:rPr>
          <w:color w:val="auto"/>
          <w:highlight w:val="none"/>
        </w:rPr>
      </w:pPr>
    </w:p>
    <w:p w14:paraId="7324570E">
      <w:pPr>
        <w:jc w:val="center"/>
        <w:rPr>
          <w:rFonts w:ascii="黑体" w:eastAsia="黑体"/>
          <w:color w:val="auto"/>
          <w:sz w:val="28"/>
          <w:szCs w:val="28"/>
          <w:highlight w:val="none"/>
        </w:rPr>
      </w:pPr>
      <w:r>
        <w:rPr>
          <w:rFonts w:hint="eastAsia" w:ascii="黑体" w:eastAsia="黑体"/>
          <w:color w:val="auto"/>
          <w:sz w:val="28"/>
          <w:szCs w:val="28"/>
          <w:highlight w:val="none"/>
        </w:rPr>
        <w:t>相关资质证明文件</w:t>
      </w:r>
    </w:p>
    <w:p w14:paraId="6B2F80B8">
      <w:pPr>
        <w:numPr>
          <w:ilvl w:val="0"/>
          <w:numId w:val="15"/>
        </w:numPr>
        <w:tabs>
          <w:tab w:val="left" w:pos="1680"/>
        </w:tabs>
        <w:jc w:val="both"/>
        <w:rPr>
          <w:rFonts w:ascii="宋体" w:hAnsi="宋体" w:cs="宋体"/>
          <w:b/>
          <w:bCs/>
          <w:color w:val="auto"/>
          <w:szCs w:val="21"/>
          <w:highlight w:val="none"/>
        </w:rPr>
      </w:pPr>
      <w:r>
        <w:rPr>
          <w:rFonts w:hint="eastAsia" w:ascii="宋体" w:hAnsi="宋体" w:cs="宋体"/>
          <w:b/>
          <w:bCs/>
          <w:color w:val="auto"/>
          <w:szCs w:val="21"/>
          <w:highlight w:val="none"/>
        </w:rPr>
        <w:t>符合投标邀请书“投标人资格要求”其他要求对应的证明文件；</w:t>
      </w:r>
    </w:p>
    <w:p w14:paraId="6754F873">
      <w:pPr>
        <w:numPr>
          <w:ilvl w:val="0"/>
          <w:numId w:val="15"/>
        </w:numPr>
        <w:tabs>
          <w:tab w:val="left" w:pos="1680"/>
        </w:tabs>
        <w:jc w:val="both"/>
        <w:rPr>
          <w:rFonts w:hint="eastAsia" w:ascii="宋体" w:hAnsi="宋体" w:cs="宋体"/>
          <w:b/>
          <w:bCs/>
          <w:color w:val="auto"/>
          <w:szCs w:val="21"/>
          <w:highlight w:val="none"/>
          <w:lang w:eastAsia="zh-CN"/>
        </w:rPr>
      </w:pPr>
      <w:r>
        <w:rPr>
          <w:rFonts w:hint="eastAsia" w:ascii="宋体" w:hAnsi="宋体" w:cs="宋体"/>
          <w:b/>
          <w:bCs/>
          <w:color w:val="auto"/>
          <w:szCs w:val="21"/>
          <w:highlight w:val="none"/>
        </w:rPr>
        <w:t>投标人认为必要的文件</w:t>
      </w:r>
      <w:r>
        <w:rPr>
          <w:rFonts w:hint="eastAsia" w:ascii="宋体" w:hAnsi="宋体" w:cs="宋体"/>
          <w:b/>
          <w:bCs/>
          <w:color w:val="auto"/>
          <w:szCs w:val="21"/>
          <w:highlight w:val="none"/>
          <w:lang w:eastAsia="zh-CN"/>
        </w:rPr>
        <w:t>。</w:t>
      </w:r>
    </w:p>
    <w:p w14:paraId="4BA94EB7">
      <w:pPr>
        <w:numPr>
          <w:ilvl w:val="0"/>
          <w:numId w:val="0"/>
        </w:numPr>
        <w:rPr>
          <w:rFonts w:ascii="宋体" w:hAnsi="宋体"/>
          <w:color w:val="auto"/>
          <w:szCs w:val="21"/>
          <w:highlight w:val="none"/>
        </w:rPr>
      </w:pPr>
      <w:r>
        <w:rPr>
          <w:rFonts w:hint="eastAsia" w:ascii="宋体" w:hAnsi="宋体" w:cs="宋体"/>
          <w:b/>
          <w:bCs/>
          <w:color w:val="auto"/>
          <w:szCs w:val="21"/>
          <w:highlight w:val="none"/>
          <w:lang w:eastAsia="zh-CN"/>
        </w:rPr>
        <w:br w:type="page"/>
      </w:r>
      <w:bookmarkEnd w:id="1100"/>
    </w:p>
    <w:p w14:paraId="3B377608">
      <w:pPr>
        <w:pStyle w:val="5"/>
        <w:widowControl w:val="0"/>
        <w:overflowPunct w:val="0"/>
        <w:spacing w:line="240" w:lineRule="auto"/>
        <w:rPr>
          <w:color w:val="auto"/>
          <w:highlight w:val="none"/>
        </w:rPr>
      </w:pPr>
      <w:bookmarkStart w:id="1137" w:name="_Toc16324"/>
      <w:bookmarkStart w:id="1138" w:name="_Toc17437"/>
      <w:bookmarkStart w:id="1139" w:name="_Toc3228"/>
      <w:bookmarkStart w:id="1140" w:name="_Toc30127"/>
      <w:bookmarkStart w:id="1141" w:name="_Toc18421"/>
      <w:bookmarkStart w:id="1142" w:name="_Toc21350"/>
      <w:bookmarkStart w:id="1143" w:name="_Toc1278"/>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13</w:t>
      </w:r>
      <w:r>
        <w:rPr>
          <w:rFonts w:hint="eastAsia" w:ascii="宋体" w:hAnsi="宋体"/>
          <w:color w:val="auto"/>
          <w:sz w:val="21"/>
          <w:szCs w:val="21"/>
          <w:highlight w:val="none"/>
        </w:rPr>
        <w:t>.投标保证金汇入情况说明格式</w:t>
      </w:r>
      <w:bookmarkEnd w:id="1137"/>
      <w:bookmarkEnd w:id="1138"/>
      <w:bookmarkEnd w:id="1139"/>
      <w:bookmarkEnd w:id="1140"/>
      <w:bookmarkEnd w:id="1141"/>
      <w:bookmarkEnd w:id="1142"/>
      <w:bookmarkEnd w:id="1143"/>
    </w:p>
    <w:p w14:paraId="67173027">
      <w:pPr>
        <w:rPr>
          <w:color w:val="auto"/>
          <w:highlight w:val="none"/>
        </w:rPr>
      </w:pPr>
    </w:p>
    <w:p w14:paraId="14DDF947">
      <w:pPr>
        <w:jc w:val="center"/>
        <w:rPr>
          <w:rFonts w:ascii="黑体" w:eastAsia="黑体"/>
          <w:color w:val="auto"/>
          <w:sz w:val="28"/>
          <w:szCs w:val="28"/>
          <w:highlight w:val="none"/>
        </w:rPr>
      </w:pPr>
      <w:r>
        <w:rPr>
          <w:rFonts w:hint="eastAsia" w:ascii="黑体" w:eastAsia="黑体"/>
          <w:color w:val="auto"/>
          <w:sz w:val="28"/>
          <w:szCs w:val="28"/>
          <w:highlight w:val="none"/>
        </w:rPr>
        <w:t>投标保证金汇入情况说明</w:t>
      </w:r>
    </w:p>
    <w:p w14:paraId="41EDED10">
      <w:pPr>
        <w:spacing w:line="480" w:lineRule="auto"/>
        <w:rPr>
          <w:rFonts w:ascii="宋体" w:hAnsi="宋体"/>
          <w:color w:val="auto"/>
          <w:szCs w:val="21"/>
          <w:highlight w:val="none"/>
        </w:rPr>
      </w:pPr>
      <w:r>
        <w:rPr>
          <w:rFonts w:hint="eastAsia" w:ascii="宋体" w:hAnsi="宋体"/>
          <w:color w:val="auto"/>
          <w:szCs w:val="21"/>
          <w:highlight w:val="none"/>
        </w:rPr>
        <w:t>致：x</w:t>
      </w:r>
      <w:r>
        <w:rPr>
          <w:rFonts w:ascii="宋体" w:hAnsi="宋体"/>
          <w:color w:val="auto"/>
          <w:szCs w:val="21"/>
          <w:highlight w:val="none"/>
        </w:rPr>
        <w:t>xxxxx</w:t>
      </w:r>
      <w:r>
        <w:rPr>
          <w:rFonts w:hint="eastAsia" w:ascii="宋体" w:hAnsi="宋体"/>
          <w:color w:val="auto"/>
          <w:szCs w:val="21"/>
          <w:highlight w:val="none"/>
        </w:rPr>
        <w:t>公司：</w:t>
      </w:r>
    </w:p>
    <w:p w14:paraId="7DEB26ED">
      <w:pPr>
        <w:spacing w:line="480" w:lineRule="auto"/>
        <w:ind w:firstLine="420" w:firstLineChars="200"/>
        <w:rPr>
          <w:rFonts w:ascii="宋体" w:hAnsi="宋体"/>
          <w:color w:val="auto"/>
          <w:szCs w:val="21"/>
          <w:highlight w:val="none"/>
        </w:rPr>
      </w:pPr>
      <w:r>
        <w:rPr>
          <w:rFonts w:hint="eastAsia" w:ascii="宋体" w:hAnsi="宋体"/>
          <w:color w:val="auto"/>
          <w:szCs w:val="21"/>
          <w:highlight w:val="none"/>
        </w:rPr>
        <w:t>本单位已按</w:t>
      </w:r>
      <w:r>
        <w:rPr>
          <w:rFonts w:hint="eastAsia" w:ascii="宋体" w:hAnsi="宋体"/>
          <w:color w:val="auto"/>
          <w:szCs w:val="21"/>
          <w:highlight w:val="none"/>
          <w:u w:val="single"/>
        </w:rPr>
        <w:t xml:space="preserve">         </w:t>
      </w:r>
      <w:r>
        <w:rPr>
          <w:rFonts w:hint="eastAsia" w:ascii="宋体" w:hAnsi="宋体"/>
          <w:color w:val="auto"/>
          <w:szCs w:val="21"/>
          <w:highlight w:val="none"/>
        </w:rPr>
        <w:t>项目（采购项目编号：）的采购文件要求，于年月日前以</w:t>
      </w:r>
      <w:r>
        <w:rPr>
          <w:rFonts w:hint="eastAsia" w:ascii="宋体" w:hAnsi="宋体"/>
          <w:color w:val="auto"/>
          <w:szCs w:val="21"/>
          <w:highlight w:val="none"/>
          <w:u w:val="single"/>
        </w:rPr>
        <w:t xml:space="preserve">           （付款形式）</w:t>
      </w:r>
      <w:r>
        <w:rPr>
          <w:rFonts w:hint="eastAsia" w:ascii="宋体" w:hAnsi="宋体"/>
          <w:color w:val="auto"/>
          <w:szCs w:val="21"/>
          <w:highlight w:val="none"/>
        </w:rPr>
        <w:t>方式汇入指定</w:t>
      </w:r>
      <w:r>
        <w:rPr>
          <w:rFonts w:hint="eastAsia" w:ascii="宋体" w:hAnsi="宋体"/>
          <w:color w:val="auto"/>
          <w:szCs w:val="21"/>
          <w:highlight w:val="none"/>
          <w:lang w:eastAsia="zh-CN"/>
        </w:rPr>
        <w:t>账</w:t>
      </w:r>
      <w:r>
        <w:rPr>
          <w:rFonts w:hint="eastAsia" w:ascii="宋体" w:hAnsi="宋体"/>
          <w:color w:val="auto"/>
          <w:szCs w:val="21"/>
          <w:highlight w:val="none"/>
        </w:rPr>
        <w:t>户（</w:t>
      </w:r>
      <w:r>
        <w:rPr>
          <w:rFonts w:hint="eastAsia" w:ascii="宋体" w:hAnsi="宋体"/>
          <w:color w:val="auto"/>
          <w:szCs w:val="21"/>
          <w:highlight w:val="none"/>
          <w:lang w:eastAsia="zh-CN"/>
        </w:rPr>
        <w:t>账</w:t>
      </w:r>
      <w:r>
        <w:rPr>
          <w:rFonts w:hint="eastAsia" w:ascii="宋体" w:hAnsi="宋体"/>
          <w:color w:val="auto"/>
          <w:szCs w:val="21"/>
          <w:highlight w:val="none"/>
        </w:rPr>
        <w:t>户名称：</w:t>
      </w:r>
      <w:r>
        <w:rPr>
          <w:rFonts w:hint="eastAsia" w:ascii="宋体" w:hAnsi="宋体"/>
          <w:color w:val="auto"/>
          <w:szCs w:val="21"/>
          <w:highlight w:val="none"/>
          <w:u w:val="single"/>
        </w:rPr>
        <w:t xml:space="preserve">       </w:t>
      </w:r>
      <w:r>
        <w:rPr>
          <w:rFonts w:hint="eastAsia" w:ascii="宋体" w:hAnsi="宋体"/>
          <w:color w:val="auto"/>
          <w:szCs w:val="21"/>
          <w:highlight w:val="none"/>
        </w:rPr>
        <w:t>，</w:t>
      </w:r>
      <w:r>
        <w:rPr>
          <w:rFonts w:hint="eastAsia" w:ascii="宋体" w:hAnsi="宋体"/>
          <w:color w:val="auto"/>
          <w:szCs w:val="21"/>
          <w:highlight w:val="none"/>
          <w:lang w:eastAsia="zh-CN"/>
        </w:rPr>
        <w:t>账</w:t>
      </w:r>
      <w:r>
        <w:rPr>
          <w:rFonts w:hint="eastAsia" w:ascii="宋体" w:hAnsi="宋体"/>
          <w:color w:val="auto"/>
          <w:szCs w:val="21"/>
          <w:highlight w:val="none"/>
        </w:rPr>
        <w:t>号：</w:t>
      </w:r>
      <w:r>
        <w:rPr>
          <w:rFonts w:hint="eastAsia" w:ascii="宋体" w:hAnsi="宋体"/>
          <w:color w:val="auto"/>
          <w:szCs w:val="21"/>
          <w:highlight w:val="none"/>
          <w:u w:val="single"/>
        </w:rPr>
        <w:t xml:space="preserve">       </w:t>
      </w:r>
      <w:r>
        <w:rPr>
          <w:rFonts w:hint="eastAsia" w:ascii="宋体" w:hAnsi="宋体"/>
          <w:color w:val="auto"/>
          <w:szCs w:val="21"/>
          <w:highlight w:val="none"/>
        </w:rPr>
        <w:t>,开户银行：</w:t>
      </w:r>
      <w:r>
        <w:rPr>
          <w:rFonts w:hint="eastAsia" w:ascii="宋体" w:hAnsi="宋体"/>
          <w:color w:val="auto"/>
          <w:szCs w:val="21"/>
          <w:highlight w:val="none"/>
          <w:u w:val="single"/>
        </w:rPr>
        <w:t xml:space="preserve">       </w:t>
      </w:r>
      <w:r>
        <w:rPr>
          <w:rFonts w:hint="eastAsia" w:ascii="宋体" w:hAnsi="宋体"/>
          <w:color w:val="auto"/>
          <w:szCs w:val="21"/>
          <w:highlight w:val="none"/>
        </w:rPr>
        <w:t>）。</w:t>
      </w:r>
    </w:p>
    <w:p w14:paraId="1149BE74">
      <w:pPr>
        <w:spacing w:line="480" w:lineRule="auto"/>
        <w:ind w:firstLine="420" w:firstLineChars="200"/>
        <w:rPr>
          <w:rFonts w:ascii="宋体" w:hAnsi="宋体"/>
          <w:color w:val="auto"/>
          <w:szCs w:val="21"/>
          <w:highlight w:val="none"/>
        </w:rPr>
      </w:pPr>
      <w:r>
        <w:rPr>
          <w:rFonts w:hint="eastAsia" w:ascii="宋体" w:hAnsi="宋体"/>
          <w:color w:val="auto"/>
          <w:szCs w:val="21"/>
          <w:highlight w:val="none"/>
        </w:rPr>
        <w:t>本单位投标保证金的汇款情况：（详见附件－投标保证金进</w:t>
      </w:r>
      <w:r>
        <w:rPr>
          <w:rFonts w:hint="eastAsia" w:ascii="宋体" w:hAnsi="宋体"/>
          <w:color w:val="auto"/>
          <w:szCs w:val="21"/>
          <w:highlight w:val="none"/>
          <w:lang w:eastAsia="zh-CN"/>
        </w:rPr>
        <w:t>账</w:t>
      </w:r>
      <w:r>
        <w:rPr>
          <w:rFonts w:hint="eastAsia" w:ascii="宋体" w:hAnsi="宋体"/>
          <w:color w:val="auto"/>
          <w:szCs w:val="21"/>
          <w:highlight w:val="none"/>
        </w:rPr>
        <w:t>单）</w:t>
      </w:r>
    </w:p>
    <w:p w14:paraId="72C81C0F">
      <w:pPr>
        <w:spacing w:line="480" w:lineRule="auto"/>
        <w:ind w:firstLine="420" w:firstLineChars="200"/>
        <w:rPr>
          <w:rFonts w:ascii="宋体" w:hAnsi="宋体"/>
          <w:color w:val="auto"/>
          <w:szCs w:val="21"/>
          <w:highlight w:val="none"/>
        </w:rPr>
      </w:pPr>
      <w:r>
        <w:rPr>
          <w:rFonts w:hint="eastAsia" w:ascii="宋体" w:hAnsi="宋体"/>
          <w:color w:val="auto"/>
          <w:szCs w:val="21"/>
          <w:highlight w:val="none"/>
        </w:rPr>
        <w:t>汇出时间：</w:t>
      </w:r>
      <w:r>
        <w:rPr>
          <w:rFonts w:hint="eastAsia" w:ascii="宋体" w:hAnsi="宋体"/>
          <w:color w:val="auto"/>
          <w:szCs w:val="21"/>
          <w:highlight w:val="none"/>
          <w:u w:val="single"/>
        </w:rPr>
        <w:t xml:space="preserve">       </w:t>
      </w:r>
      <w:r>
        <w:rPr>
          <w:rFonts w:hint="eastAsia" w:ascii="宋体" w:hAnsi="宋体"/>
          <w:color w:val="auto"/>
          <w:szCs w:val="21"/>
          <w:highlight w:val="none"/>
        </w:rPr>
        <w:t>年</w:t>
      </w:r>
      <w:r>
        <w:rPr>
          <w:rFonts w:hint="eastAsia" w:ascii="宋体" w:hAnsi="宋体"/>
          <w:color w:val="auto"/>
          <w:szCs w:val="21"/>
          <w:highlight w:val="none"/>
          <w:u w:val="single"/>
        </w:rPr>
        <w:t xml:space="preserve">       </w:t>
      </w:r>
      <w:r>
        <w:rPr>
          <w:rFonts w:hint="eastAsia" w:ascii="宋体" w:hAnsi="宋体"/>
          <w:color w:val="auto"/>
          <w:szCs w:val="21"/>
          <w:highlight w:val="none"/>
        </w:rPr>
        <w:t>月</w:t>
      </w:r>
      <w:r>
        <w:rPr>
          <w:rFonts w:hint="eastAsia" w:ascii="宋体" w:hAnsi="宋体"/>
          <w:color w:val="auto"/>
          <w:szCs w:val="21"/>
          <w:highlight w:val="none"/>
          <w:u w:val="single"/>
        </w:rPr>
        <w:t xml:space="preserve">       </w:t>
      </w:r>
      <w:r>
        <w:rPr>
          <w:rFonts w:hint="eastAsia" w:ascii="宋体" w:hAnsi="宋体"/>
          <w:color w:val="auto"/>
          <w:szCs w:val="21"/>
          <w:highlight w:val="none"/>
        </w:rPr>
        <w:t>日；</w:t>
      </w:r>
    </w:p>
    <w:p w14:paraId="6D3D80E9">
      <w:pPr>
        <w:spacing w:line="480" w:lineRule="auto"/>
        <w:ind w:firstLine="420" w:firstLineChars="200"/>
        <w:rPr>
          <w:rFonts w:ascii="宋体" w:hAnsi="宋体"/>
          <w:color w:val="auto"/>
          <w:szCs w:val="21"/>
          <w:highlight w:val="none"/>
        </w:rPr>
      </w:pPr>
      <w:r>
        <w:rPr>
          <w:rFonts w:hint="eastAsia" w:ascii="宋体" w:hAnsi="宋体"/>
          <w:color w:val="auto"/>
          <w:szCs w:val="21"/>
          <w:highlight w:val="none"/>
        </w:rPr>
        <w:t>汇款金额：（大写）人民币</w:t>
      </w:r>
      <w:r>
        <w:rPr>
          <w:rFonts w:hint="eastAsia" w:ascii="宋体" w:hAnsi="宋体"/>
          <w:color w:val="auto"/>
          <w:szCs w:val="21"/>
          <w:highlight w:val="none"/>
          <w:u w:val="single"/>
        </w:rPr>
        <w:t xml:space="preserve">       </w:t>
      </w:r>
      <w:r>
        <w:rPr>
          <w:rFonts w:hint="eastAsia" w:ascii="宋体" w:hAnsi="宋体"/>
          <w:color w:val="auto"/>
          <w:szCs w:val="21"/>
          <w:highlight w:val="none"/>
        </w:rPr>
        <w:t>元（小写：￥</w:t>
      </w:r>
      <w:r>
        <w:rPr>
          <w:rFonts w:hint="eastAsia" w:ascii="宋体" w:hAnsi="宋体"/>
          <w:color w:val="auto"/>
          <w:szCs w:val="21"/>
          <w:highlight w:val="none"/>
          <w:u w:val="single"/>
        </w:rPr>
        <w:t xml:space="preserve">       </w:t>
      </w:r>
      <w:r>
        <w:rPr>
          <w:rFonts w:hint="eastAsia" w:ascii="宋体" w:hAnsi="宋体"/>
          <w:color w:val="auto"/>
          <w:szCs w:val="21"/>
          <w:highlight w:val="none"/>
        </w:rPr>
        <w:t>元），</w:t>
      </w:r>
    </w:p>
    <w:p w14:paraId="1565457A">
      <w:pPr>
        <w:spacing w:line="480" w:lineRule="auto"/>
        <w:ind w:firstLine="420" w:firstLineChars="200"/>
        <w:rPr>
          <w:rFonts w:ascii="宋体" w:hAnsi="宋体"/>
          <w:color w:val="auto"/>
          <w:szCs w:val="21"/>
          <w:highlight w:val="none"/>
        </w:rPr>
      </w:pPr>
      <w:r>
        <w:rPr>
          <w:rFonts w:hint="eastAsia" w:ascii="宋体" w:hAnsi="宋体"/>
          <w:color w:val="auto"/>
          <w:szCs w:val="21"/>
          <w:highlight w:val="none"/>
        </w:rPr>
        <w:t>汇款</w:t>
      </w:r>
      <w:r>
        <w:rPr>
          <w:rFonts w:hint="eastAsia" w:ascii="宋体" w:hAnsi="宋体"/>
          <w:color w:val="auto"/>
          <w:szCs w:val="21"/>
          <w:highlight w:val="none"/>
          <w:lang w:eastAsia="zh-CN"/>
        </w:rPr>
        <w:t>账</w:t>
      </w:r>
      <w:r>
        <w:rPr>
          <w:rFonts w:hint="eastAsia" w:ascii="宋体" w:hAnsi="宋体"/>
          <w:color w:val="auto"/>
          <w:szCs w:val="21"/>
          <w:highlight w:val="none"/>
        </w:rPr>
        <w:t>户名称：</w:t>
      </w:r>
      <w:r>
        <w:rPr>
          <w:rFonts w:hint="eastAsia" w:ascii="宋体" w:hAnsi="宋体"/>
          <w:color w:val="auto"/>
          <w:szCs w:val="21"/>
          <w:highlight w:val="none"/>
          <w:u w:val="single"/>
        </w:rPr>
        <w:t xml:space="preserve">  （必须是投标时使用的</w:t>
      </w:r>
      <w:r>
        <w:rPr>
          <w:rFonts w:hint="eastAsia" w:ascii="宋体" w:hAnsi="宋体"/>
          <w:color w:val="auto"/>
          <w:szCs w:val="21"/>
          <w:highlight w:val="none"/>
          <w:u w:val="single"/>
          <w:lang w:eastAsia="zh-CN"/>
        </w:rPr>
        <w:t>账</w:t>
      </w:r>
      <w:r>
        <w:rPr>
          <w:rFonts w:hint="eastAsia" w:ascii="宋体" w:hAnsi="宋体"/>
          <w:color w:val="auto"/>
          <w:szCs w:val="21"/>
          <w:highlight w:val="none"/>
          <w:u w:val="single"/>
        </w:rPr>
        <w:t xml:space="preserve">户名）   </w:t>
      </w:r>
    </w:p>
    <w:p w14:paraId="5E238ED8">
      <w:pPr>
        <w:spacing w:line="480" w:lineRule="auto"/>
        <w:ind w:firstLine="420" w:firstLineChars="200"/>
        <w:rPr>
          <w:rFonts w:ascii="宋体" w:hAnsi="宋体"/>
          <w:color w:val="auto"/>
          <w:szCs w:val="21"/>
          <w:highlight w:val="none"/>
        </w:rPr>
      </w:pPr>
      <w:r>
        <w:rPr>
          <w:rFonts w:hint="eastAsia" w:ascii="宋体" w:hAnsi="宋体"/>
          <w:color w:val="auto"/>
          <w:szCs w:val="21"/>
          <w:highlight w:val="none"/>
          <w:lang w:eastAsia="zh-CN"/>
        </w:rPr>
        <w:t>账</w:t>
      </w:r>
      <w:r>
        <w:rPr>
          <w:rFonts w:hint="eastAsia" w:ascii="宋体" w:hAnsi="宋体"/>
          <w:color w:val="auto"/>
          <w:szCs w:val="21"/>
          <w:highlight w:val="none"/>
        </w:rPr>
        <w:t xml:space="preserve">        号：</w:t>
      </w:r>
      <w:r>
        <w:rPr>
          <w:rFonts w:hint="eastAsia" w:ascii="宋体" w:hAnsi="宋体"/>
          <w:color w:val="auto"/>
          <w:szCs w:val="21"/>
          <w:highlight w:val="none"/>
          <w:u w:val="single"/>
        </w:rPr>
        <w:t xml:space="preserve">  （必须是投标时使用的</w:t>
      </w:r>
      <w:r>
        <w:rPr>
          <w:rFonts w:hint="eastAsia" w:ascii="宋体" w:hAnsi="宋体"/>
          <w:color w:val="auto"/>
          <w:szCs w:val="21"/>
          <w:highlight w:val="none"/>
          <w:u w:val="single"/>
          <w:lang w:eastAsia="zh-CN"/>
        </w:rPr>
        <w:t>账</w:t>
      </w:r>
      <w:r>
        <w:rPr>
          <w:rFonts w:hint="eastAsia" w:ascii="宋体" w:hAnsi="宋体"/>
          <w:color w:val="auto"/>
          <w:szCs w:val="21"/>
          <w:highlight w:val="none"/>
          <w:u w:val="single"/>
        </w:rPr>
        <w:t xml:space="preserve">号）        </w:t>
      </w:r>
    </w:p>
    <w:p w14:paraId="459E0470">
      <w:pPr>
        <w:spacing w:line="480" w:lineRule="auto"/>
        <w:ind w:firstLine="420" w:firstLineChars="200"/>
        <w:rPr>
          <w:rFonts w:ascii="宋体" w:hAnsi="宋体"/>
          <w:color w:val="auto"/>
          <w:szCs w:val="21"/>
          <w:highlight w:val="none"/>
          <w:u w:val="single"/>
        </w:rPr>
      </w:pPr>
      <w:r>
        <w:rPr>
          <w:rFonts w:hint="eastAsia" w:ascii="宋体" w:hAnsi="宋体"/>
          <w:color w:val="auto"/>
          <w:szCs w:val="21"/>
          <w:highlight w:val="none"/>
        </w:rPr>
        <w:t>开 户  银 行：</w:t>
      </w:r>
      <w:r>
        <w:rPr>
          <w:rFonts w:hint="eastAsia" w:ascii="宋体" w:hAnsi="宋体"/>
          <w:color w:val="auto"/>
          <w:szCs w:val="21"/>
          <w:highlight w:val="none"/>
          <w:u w:val="single"/>
        </w:rPr>
        <w:t xml:space="preserve">  （  XX 银行 XX 分行 XX 支行   ）</w:t>
      </w:r>
    </w:p>
    <w:p w14:paraId="49CC1122">
      <w:pPr>
        <w:spacing w:line="480" w:lineRule="auto"/>
        <w:ind w:firstLine="420" w:firstLineChars="200"/>
        <w:rPr>
          <w:rFonts w:ascii="宋体" w:hAnsi="宋体"/>
          <w:color w:val="auto"/>
          <w:szCs w:val="21"/>
          <w:highlight w:val="none"/>
        </w:rPr>
      </w:pPr>
      <w:r>
        <w:rPr>
          <w:rFonts w:hint="eastAsia" w:ascii="宋体" w:hAnsi="宋体"/>
          <w:color w:val="auto"/>
          <w:szCs w:val="21"/>
          <w:highlight w:val="none"/>
        </w:rPr>
        <w:t>本单位谨承诺上述资料是正确、真实的，如因上述证明与事实不符导致的一切损失，本单位保证承担赔偿等一切法律责任。</w:t>
      </w:r>
    </w:p>
    <w:p w14:paraId="221ABAD6">
      <w:pPr>
        <w:spacing w:line="480" w:lineRule="auto"/>
        <w:ind w:firstLine="420" w:firstLineChars="200"/>
        <w:rPr>
          <w:rFonts w:ascii="宋体" w:hAnsi="宋体"/>
          <w:color w:val="auto"/>
          <w:szCs w:val="21"/>
          <w:highlight w:val="none"/>
        </w:rPr>
      </w:pPr>
      <w:r>
        <w:rPr>
          <w:rFonts w:hint="eastAsia" w:ascii="宋体" w:hAnsi="宋体"/>
          <w:color w:val="auto"/>
          <w:szCs w:val="21"/>
          <w:highlight w:val="none"/>
        </w:rPr>
        <w:t>投标保证金退回时，请按上述资料退回。</w:t>
      </w:r>
    </w:p>
    <w:p w14:paraId="78550293">
      <w:pPr>
        <w:spacing w:line="480" w:lineRule="auto"/>
        <w:ind w:right="844" w:rightChars="402"/>
        <w:jc w:val="right"/>
        <w:rPr>
          <w:rFonts w:ascii="宋体" w:hAnsi="宋体"/>
          <w:color w:val="auto"/>
          <w:szCs w:val="21"/>
          <w:highlight w:val="none"/>
        </w:rPr>
      </w:pPr>
      <w:r>
        <w:rPr>
          <w:rFonts w:hint="eastAsia" w:ascii="宋体" w:hAnsi="宋体"/>
          <w:color w:val="auto"/>
          <w:szCs w:val="21"/>
          <w:highlight w:val="none"/>
        </w:rPr>
        <w:t>（单位公章）</w:t>
      </w:r>
    </w:p>
    <w:p w14:paraId="60378D52">
      <w:pPr>
        <w:spacing w:line="480" w:lineRule="auto"/>
        <w:ind w:right="628" w:rightChars="299"/>
        <w:jc w:val="right"/>
        <w:rPr>
          <w:rFonts w:ascii="宋体" w:hAnsi="宋体"/>
          <w:color w:val="auto"/>
          <w:szCs w:val="21"/>
          <w:highlight w:val="none"/>
        </w:rPr>
      </w:pPr>
      <w:r>
        <w:rPr>
          <w:rFonts w:hint="eastAsia" w:ascii="宋体" w:hAnsi="宋体"/>
          <w:color w:val="auto"/>
          <w:szCs w:val="21"/>
          <w:highlight w:val="none"/>
        </w:rPr>
        <w:t>年 月 日</w:t>
      </w:r>
    </w:p>
    <w:p w14:paraId="5DCC9529">
      <w:pPr>
        <w:spacing w:line="480" w:lineRule="auto"/>
        <w:rPr>
          <w:rFonts w:ascii="宋体" w:hAnsi="宋体"/>
          <w:color w:val="auto"/>
          <w:szCs w:val="21"/>
          <w:highlight w:val="none"/>
        </w:rPr>
      </w:pPr>
      <w:r>
        <w:rPr>
          <w:rFonts w:hint="eastAsia" w:ascii="宋体" w:hAnsi="宋体"/>
          <w:color w:val="auto"/>
          <w:szCs w:val="21"/>
          <w:highlight w:val="none"/>
        </w:rPr>
        <w:t>单位名称：</w:t>
      </w:r>
    </w:p>
    <w:p w14:paraId="616B88AB">
      <w:pPr>
        <w:spacing w:line="480" w:lineRule="auto"/>
        <w:rPr>
          <w:rFonts w:ascii="宋体" w:hAnsi="宋体"/>
          <w:color w:val="auto"/>
          <w:szCs w:val="21"/>
          <w:highlight w:val="none"/>
        </w:rPr>
      </w:pPr>
      <w:r>
        <w:rPr>
          <w:rFonts w:hint="eastAsia" w:ascii="宋体" w:hAnsi="宋体"/>
          <w:color w:val="auto"/>
          <w:szCs w:val="21"/>
          <w:highlight w:val="none"/>
        </w:rPr>
        <w:t>单位地址：</w:t>
      </w:r>
    </w:p>
    <w:p w14:paraId="710BB8BF">
      <w:pPr>
        <w:spacing w:line="480" w:lineRule="auto"/>
        <w:rPr>
          <w:rFonts w:ascii="宋体" w:hAnsi="宋体"/>
          <w:color w:val="auto"/>
          <w:szCs w:val="21"/>
          <w:highlight w:val="none"/>
        </w:rPr>
      </w:pPr>
      <w:r>
        <w:rPr>
          <w:rFonts w:hint="eastAsia" w:ascii="宋体" w:hAnsi="宋体"/>
          <w:color w:val="auto"/>
          <w:szCs w:val="21"/>
          <w:highlight w:val="none"/>
        </w:rPr>
        <w:t>联系人：</w:t>
      </w:r>
    </w:p>
    <w:p w14:paraId="7CDC129D">
      <w:pPr>
        <w:spacing w:line="480" w:lineRule="auto"/>
        <w:rPr>
          <w:rFonts w:ascii="宋体" w:hAnsi="宋体"/>
          <w:color w:val="auto"/>
          <w:szCs w:val="21"/>
          <w:highlight w:val="none"/>
        </w:rPr>
      </w:pPr>
      <w:r>
        <w:rPr>
          <w:rFonts w:hint="eastAsia" w:ascii="宋体" w:hAnsi="宋体"/>
          <w:color w:val="auto"/>
          <w:szCs w:val="21"/>
          <w:highlight w:val="none"/>
        </w:rPr>
        <w:t>单位电话： 联系人手机：</w:t>
      </w:r>
    </w:p>
    <w:p w14:paraId="693549DB">
      <w:pPr>
        <w:rPr>
          <w:rFonts w:ascii="宋体" w:hAnsi="宋体"/>
          <w:color w:val="auto"/>
          <w:szCs w:val="21"/>
          <w:highlight w:val="none"/>
        </w:rPr>
      </w:pPr>
    </w:p>
    <w:p w14:paraId="6122A23F">
      <w:pPr>
        <w:spacing w:line="380" w:lineRule="exact"/>
        <w:ind w:firstLine="420" w:firstLineChars="200"/>
        <w:rPr>
          <w:rFonts w:ascii="宋体" w:hAnsi="宋体"/>
          <w:color w:val="auto"/>
          <w:szCs w:val="21"/>
          <w:highlight w:val="none"/>
        </w:rPr>
      </w:pPr>
      <w:r>
        <w:rPr>
          <w:rFonts w:hint="eastAsia" w:ascii="宋体" w:hAnsi="宋体"/>
          <w:color w:val="auto"/>
          <w:szCs w:val="21"/>
          <w:highlight w:val="none"/>
        </w:rPr>
        <w:br w:type="page"/>
      </w:r>
    </w:p>
    <w:p w14:paraId="437D75DF">
      <w:pPr>
        <w:spacing w:line="380" w:lineRule="exact"/>
        <w:ind w:firstLine="420" w:firstLineChars="200"/>
        <w:rPr>
          <w:rFonts w:ascii="宋体" w:hAnsi="宋体"/>
          <w:color w:val="auto"/>
          <w:szCs w:val="21"/>
          <w:highlight w:val="none"/>
        </w:rPr>
      </w:pPr>
      <w:r>
        <w:rPr>
          <w:rFonts w:hint="eastAsia" w:ascii="宋体" w:hAnsi="宋体"/>
          <w:color w:val="auto"/>
          <w:szCs w:val="21"/>
          <w:highlight w:val="none"/>
        </w:rPr>
        <w:t>附：我方投标保证金汇款凭证</w:t>
      </w:r>
    </w:p>
    <w:tbl>
      <w:tblPr>
        <w:tblStyle w:val="28"/>
        <w:tblW w:w="8600"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600"/>
      </w:tblGrid>
      <w:tr w14:paraId="3A7F6E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89" w:hRule="atLeast"/>
        </w:trPr>
        <w:tc>
          <w:tcPr>
            <w:tcW w:w="8600" w:type="dxa"/>
            <w:vAlign w:val="center"/>
          </w:tcPr>
          <w:p w14:paraId="60F86DDA">
            <w:pPr>
              <w:tabs>
                <w:tab w:val="left" w:pos="3885"/>
              </w:tabs>
              <w:jc w:val="center"/>
              <w:rPr>
                <w:rFonts w:ascii="宋体" w:hAnsi="宋体"/>
                <w:color w:val="auto"/>
                <w:szCs w:val="21"/>
                <w:highlight w:val="none"/>
              </w:rPr>
            </w:pPr>
            <w:r>
              <w:rPr>
                <w:rFonts w:hint="eastAsia" w:ascii="宋体" w:hAnsi="宋体"/>
                <w:color w:val="auto"/>
                <w:szCs w:val="21"/>
                <w:highlight w:val="none"/>
              </w:rPr>
              <w:t>（粘贴汇款单或转账</w:t>
            </w:r>
            <w:r>
              <w:rPr>
                <w:rFonts w:ascii="宋体" w:hAnsi="宋体"/>
                <w:color w:val="auto"/>
                <w:szCs w:val="21"/>
                <w:highlight w:val="none"/>
              </w:rPr>
              <w:t>凭证</w:t>
            </w:r>
            <w:r>
              <w:rPr>
                <w:rFonts w:hint="eastAsia" w:ascii="宋体" w:hAnsi="宋体"/>
                <w:color w:val="auto"/>
                <w:szCs w:val="21"/>
                <w:highlight w:val="none"/>
              </w:rPr>
              <w:t>复印件，并在骑缝上加盖投标人公章，或是直接把转账</w:t>
            </w:r>
            <w:r>
              <w:rPr>
                <w:rFonts w:ascii="宋体" w:hAnsi="宋体"/>
                <w:color w:val="auto"/>
                <w:szCs w:val="21"/>
                <w:highlight w:val="none"/>
              </w:rPr>
              <w:t>凭证</w:t>
            </w:r>
            <w:r>
              <w:rPr>
                <w:rFonts w:hint="eastAsia" w:ascii="宋体" w:hAnsi="宋体"/>
                <w:color w:val="auto"/>
                <w:szCs w:val="21"/>
                <w:highlight w:val="none"/>
              </w:rPr>
              <w:t>复印到此张纸上）</w:t>
            </w:r>
          </w:p>
        </w:tc>
      </w:tr>
    </w:tbl>
    <w:p w14:paraId="6A8F0DFA">
      <w:pPr>
        <w:spacing w:line="480" w:lineRule="auto"/>
        <w:ind w:firstLine="420" w:firstLineChars="200"/>
        <w:rPr>
          <w:rFonts w:ascii="宋体" w:hAnsi="宋体"/>
          <w:color w:val="auto"/>
          <w:szCs w:val="21"/>
          <w:highlight w:val="none"/>
        </w:rPr>
      </w:pPr>
      <w:r>
        <w:rPr>
          <w:rFonts w:hint="eastAsia" w:ascii="宋体" w:hAnsi="宋体"/>
          <w:color w:val="auto"/>
          <w:szCs w:val="21"/>
          <w:highlight w:val="none"/>
        </w:rPr>
        <w:t>注：此表既要装订在投标文件中，又要按投标人须知的规定与开标一览表、投标保证金汇款底单复印件及授权委托书一同密封装入唱标信封，唱标信封单独提交。</w:t>
      </w:r>
    </w:p>
    <w:p w14:paraId="0BCEBBE8">
      <w:pPr>
        <w:rPr>
          <w:rFonts w:ascii="宋体" w:hAnsi="宋体"/>
          <w:color w:val="auto"/>
          <w:szCs w:val="21"/>
          <w:highlight w:val="none"/>
        </w:rPr>
      </w:pPr>
    </w:p>
    <w:p w14:paraId="2523E679">
      <w:pPr>
        <w:rPr>
          <w:rFonts w:ascii="宋体" w:hAnsi="宋体"/>
          <w:color w:val="auto"/>
          <w:szCs w:val="21"/>
          <w:highlight w:val="none"/>
        </w:rPr>
      </w:pPr>
      <w:r>
        <w:rPr>
          <w:rFonts w:ascii="宋体" w:hAnsi="宋体"/>
          <w:color w:val="auto"/>
          <w:szCs w:val="21"/>
          <w:highlight w:val="none"/>
        </w:rPr>
        <w:br w:type="page"/>
      </w:r>
    </w:p>
    <w:p w14:paraId="50BEDE1D">
      <w:pPr>
        <w:pStyle w:val="10"/>
        <w:rPr>
          <w:color w:val="auto"/>
          <w:highlight w:val="none"/>
        </w:rPr>
      </w:pPr>
    </w:p>
    <w:p w14:paraId="4FE16431">
      <w:pPr>
        <w:pStyle w:val="3"/>
        <w:spacing w:before="0" w:after="0" w:line="360" w:lineRule="auto"/>
        <w:jc w:val="center"/>
        <w:rPr>
          <w:color w:val="auto"/>
          <w:sz w:val="72"/>
          <w:szCs w:val="72"/>
          <w:highlight w:val="none"/>
        </w:rPr>
      </w:pPr>
      <w:bookmarkStart w:id="1144" w:name="_Toc17392"/>
      <w:bookmarkStart w:id="1145" w:name="_Toc678"/>
      <w:bookmarkStart w:id="1146" w:name="_Toc11352"/>
      <w:bookmarkStart w:id="1147" w:name="_Toc14236"/>
      <w:bookmarkStart w:id="1148" w:name="_Toc14937"/>
      <w:bookmarkStart w:id="1149" w:name="_Toc23461"/>
      <w:bookmarkStart w:id="1150" w:name="_Toc18641"/>
      <w:bookmarkStart w:id="1151" w:name="_Toc10326"/>
      <w:bookmarkStart w:id="1152" w:name="_Toc24577"/>
      <w:bookmarkStart w:id="1153" w:name="_Toc9141"/>
      <w:bookmarkStart w:id="1154" w:name="_Toc25268"/>
      <w:r>
        <w:rPr>
          <w:rFonts w:hint="eastAsia"/>
          <w:color w:val="auto"/>
          <w:sz w:val="72"/>
          <w:szCs w:val="72"/>
          <w:highlight w:val="none"/>
        </w:rPr>
        <w:t>技术文件</w:t>
      </w:r>
      <w:bookmarkEnd w:id="1144"/>
      <w:bookmarkEnd w:id="1145"/>
      <w:bookmarkEnd w:id="1146"/>
      <w:bookmarkEnd w:id="1147"/>
      <w:bookmarkEnd w:id="1148"/>
      <w:bookmarkEnd w:id="1149"/>
      <w:bookmarkEnd w:id="1150"/>
      <w:bookmarkEnd w:id="1151"/>
      <w:bookmarkEnd w:id="1152"/>
      <w:bookmarkEnd w:id="1153"/>
      <w:bookmarkEnd w:id="1154"/>
    </w:p>
    <w:p w14:paraId="0ACAE403">
      <w:pPr>
        <w:jc w:val="center"/>
        <w:rPr>
          <w:rFonts w:ascii="黑体" w:eastAsia="黑体"/>
          <w:color w:val="auto"/>
          <w:sz w:val="72"/>
          <w:szCs w:val="72"/>
          <w:highlight w:val="none"/>
        </w:rPr>
      </w:pPr>
      <w:r>
        <w:rPr>
          <w:rFonts w:hint="eastAsia" w:ascii="黑体" w:eastAsia="黑体"/>
          <w:color w:val="auto"/>
          <w:sz w:val="72"/>
          <w:szCs w:val="72"/>
          <w:highlight w:val="none"/>
        </w:rPr>
        <w:t>（单独装订成册）</w:t>
      </w:r>
    </w:p>
    <w:p w14:paraId="0729255C">
      <w:pPr>
        <w:rPr>
          <w:color w:val="auto"/>
          <w:highlight w:val="none"/>
        </w:rPr>
      </w:pPr>
    </w:p>
    <w:p w14:paraId="3415DE54">
      <w:pPr>
        <w:pStyle w:val="9"/>
        <w:rPr>
          <w:color w:val="auto"/>
          <w:highlight w:val="none"/>
        </w:rPr>
      </w:pPr>
    </w:p>
    <w:p w14:paraId="27864526">
      <w:pPr>
        <w:pStyle w:val="26"/>
        <w:ind w:firstLine="240"/>
        <w:rPr>
          <w:color w:val="auto"/>
          <w:highlight w:val="none"/>
        </w:rPr>
      </w:pPr>
    </w:p>
    <w:p w14:paraId="0FBDF95D">
      <w:pPr>
        <w:rPr>
          <w:rFonts w:ascii="宋体" w:hAnsi="宋体" w:cs="宋体"/>
          <w:b/>
          <w:bCs/>
          <w:color w:val="auto"/>
          <w:spacing w:val="-6"/>
          <w:sz w:val="32"/>
          <w:szCs w:val="32"/>
          <w:highlight w:val="none"/>
        </w:rPr>
      </w:pPr>
      <w:r>
        <w:rPr>
          <w:rFonts w:hint="eastAsia" w:ascii="宋体" w:hAnsi="宋体" w:cs="宋体"/>
          <w:b/>
          <w:bCs/>
          <w:color w:val="auto"/>
          <w:spacing w:val="53"/>
          <w:kern w:val="0"/>
          <w:sz w:val="32"/>
          <w:szCs w:val="32"/>
          <w:highlight w:val="none"/>
          <w:fitText w:val="1600" w:id="292250509"/>
        </w:rPr>
        <w:t>项目名</w:t>
      </w:r>
      <w:r>
        <w:rPr>
          <w:rFonts w:hint="eastAsia" w:ascii="宋体" w:hAnsi="宋体" w:cs="宋体"/>
          <w:b/>
          <w:bCs/>
          <w:color w:val="auto"/>
          <w:spacing w:val="1"/>
          <w:kern w:val="0"/>
          <w:sz w:val="32"/>
          <w:szCs w:val="32"/>
          <w:highlight w:val="none"/>
          <w:fitText w:val="1600" w:id="292250509"/>
        </w:rPr>
        <w:t>称</w:t>
      </w:r>
      <w:r>
        <w:rPr>
          <w:rFonts w:hint="eastAsia" w:ascii="宋体" w:hAnsi="宋体" w:cs="宋体"/>
          <w:b/>
          <w:bCs/>
          <w:color w:val="auto"/>
          <w:spacing w:val="-6"/>
          <w:sz w:val="32"/>
          <w:szCs w:val="32"/>
          <w:highlight w:val="none"/>
        </w:rPr>
        <w:t>：东莞市新东欣环保投资有限公司2025-2026年度危废运输服务项目</w:t>
      </w:r>
    </w:p>
    <w:p w14:paraId="5666CF44">
      <w:pPr>
        <w:rPr>
          <w:rFonts w:ascii="宋体" w:hAnsi="宋体" w:cs="宋体"/>
          <w:b/>
          <w:bCs/>
          <w:color w:val="auto"/>
          <w:sz w:val="32"/>
          <w:szCs w:val="32"/>
          <w:highlight w:val="none"/>
        </w:rPr>
      </w:pPr>
      <w:r>
        <w:rPr>
          <w:rFonts w:hint="eastAsia" w:ascii="宋体" w:hAnsi="宋体" w:cs="宋体"/>
          <w:b/>
          <w:bCs/>
          <w:color w:val="auto"/>
          <w:spacing w:val="53"/>
          <w:kern w:val="0"/>
          <w:sz w:val="32"/>
          <w:szCs w:val="32"/>
          <w:highlight w:val="none"/>
          <w:fitText w:val="1600" w:id="1231831253"/>
        </w:rPr>
        <w:t>项目编</w:t>
      </w:r>
      <w:r>
        <w:rPr>
          <w:rFonts w:hint="eastAsia" w:ascii="宋体" w:hAnsi="宋体" w:cs="宋体"/>
          <w:b/>
          <w:bCs/>
          <w:color w:val="auto"/>
          <w:spacing w:val="1"/>
          <w:kern w:val="0"/>
          <w:sz w:val="32"/>
          <w:szCs w:val="32"/>
          <w:highlight w:val="none"/>
          <w:fitText w:val="1600" w:id="1231831253"/>
        </w:rPr>
        <w:t>号</w:t>
      </w:r>
      <w:r>
        <w:rPr>
          <w:rFonts w:hint="eastAsia" w:ascii="宋体" w:hAnsi="宋体" w:cs="宋体"/>
          <w:b/>
          <w:bCs/>
          <w:color w:val="auto"/>
          <w:sz w:val="32"/>
          <w:szCs w:val="32"/>
          <w:highlight w:val="none"/>
        </w:rPr>
        <w:t>：XDX-GK-2024-003</w:t>
      </w:r>
    </w:p>
    <w:p w14:paraId="1BFC4F3E">
      <w:pPr>
        <w:pStyle w:val="9"/>
        <w:ind w:left="0"/>
        <w:rPr>
          <w:b/>
          <w:color w:val="auto"/>
          <w:spacing w:val="1280"/>
          <w:sz w:val="32"/>
          <w:szCs w:val="32"/>
          <w:highlight w:val="none"/>
        </w:rPr>
      </w:pPr>
      <w:r>
        <w:rPr>
          <w:b/>
          <w:color w:val="auto"/>
          <w:spacing w:val="106"/>
          <w:sz w:val="32"/>
          <w:szCs w:val="32"/>
          <w:highlight w:val="none"/>
          <w:lang w:val="en-US" w:bidi="ar-SA"/>
        </w:rPr>
        <w:t>包组号（如有）：</w:t>
      </w:r>
    </w:p>
    <w:p w14:paraId="3EE92E00">
      <w:pPr>
        <w:rPr>
          <w:rFonts w:ascii="宋体" w:hAnsi="宋体" w:cs="宋体"/>
          <w:b/>
          <w:color w:val="auto"/>
          <w:sz w:val="32"/>
          <w:szCs w:val="32"/>
          <w:highlight w:val="none"/>
        </w:rPr>
      </w:pPr>
      <w:r>
        <w:rPr>
          <w:rFonts w:hint="eastAsia" w:ascii="宋体" w:hAnsi="宋体" w:cs="宋体"/>
          <w:b/>
          <w:color w:val="auto"/>
          <w:spacing w:val="0"/>
          <w:kern w:val="0"/>
          <w:sz w:val="32"/>
          <w:szCs w:val="32"/>
          <w:highlight w:val="none"/>
          <w:fitText w:val="1600" w:id="1764384445"/>
        </w:rPr>
        <w:t>投标人名称</w:t>
      </w:r>
      <w:r>
        <w:rPr>
          <w:rFonts w:hint="eastAsia" w:ascii="宋体" w:hAnsi="宋体" w:cs="宋体"/>
          <w:b/>
          <w:color w:val="auto"/>
          <w:sz w:val="32"/>
          <w:szCs w:val="32"/>
          <w:highlight w:val="none"/>
        </w:rPr>
        <w:t>：</w:t>
      </w:r>
    </w:p>
    <w:p w14:paraId="1B3685C1">
      <w:pPr>
        <w:rPr>
          <w:rFonts w:ascii="宋体" w:hAnsi="宋体" w:cs="宋体"/>
          <w:b/>
          <w:color w:val="auto"/>
          <w:sz w:val="32"/>
          <w:szCs w:val="32"/>
          <w:highlight w:val="none"/>
        </w:rPr>
      </w:pPr>
      <w:r>
        <w:rPr>
          <w:rFonts w:hint="eastAsia" w:ascii="宋体" w:hAnsi="宋体" w:cs="宋体"/>
          <w:b/>
          <w:color w:val="auto"/>
          <w:spacing w:val="32"/>
          <w:kern w:val="0"/>
          <w:sz w:val="32"/>
          <w:szCs w:val="32"/>
          <w:highlight w:val="none"/>
          <w:fitText w:val="1600" w:id="2061173831"/>
        </w:rPr>
        <w:t xml:space="preserve">日    </w:t>
      </w:r>
      <w:r>
        <w:rPr>
          <w:rFonts w:hint="eastAsia" w:ascii="宋体" w:hAnsi="宋体" w:cs="宋体"/>
          <w:b/>
          <w:color w:val="auto"/>
          <w:spacing w:val="0"/>
          <w:kern w:val="0"/>
          <w:sz w:val="32"/>
          <w:szCs w:val="32"/>
          <w:highlight w:val="none"/>
          <w:fitText w:val="1600" w:id="2061173831"/>
        </w:rPr>
        <w:t>期</w:t>
      </w:r>
      <w:r>
        <w:rPr>
          <w:rFonts w:hint="eastAsia" w:ascii="宋体" w:hAnsi="宋体" w:cs="宋体"/>
          <w:b/>
          <w:color w:val="auto"/>
          <w:sz w:val="32"/>
          <w:szCs w:val="32"/>
          <w:highlight w:val="none"/>
        </w:rPr>
        <w:t>：</w:t>
      </w:r>
    </w:p>
    <w:p w14:paraId="7910B3FE">
      <w:pPr>
        <w:rPr>
          <w:rFonts w:hint="eastAsia" w:ascii="宋体" w:hAnsi="宋体"/>
          <w:color w:val="auto"/>
          <w:szCs w:val="21"/>
          <w:highlight w:val="none"/>
        </w:rPr>
        <w:sectPr>
          <w:pgSz w:w="11906" w:h="16838"/>
          <w:pgMar w:top="1440" w:right="1800" w:bottom="1440" w:left="1800" w:header="708" w:footer="708" w:gutter="0"/>
          <w:pgBorders>
            <w:top w:val="none" w:sz="0" w:space="0"/>
            <w:left w:val="none" w:sz="0" w:space="0"/>
            <w:bottom w:val="none" w:sz="0" w:space="0"/>
            <w:right w:val="none" w:sz="0" w:space="0"/>
          </w:pgBorders>
          <w:pgNumType w:fmt="decimal"/>
          <w:cols w:space="708" w:num="1"/>
          <w:titlePg/>
          <w:docGrid w:type="lines" w:linePitch="360" w:charSpace="0"/>
        </w:sectPr>
      </w:pPr>
      <w:r>
        <w:rPr>
          <w:rFonts w:hint="eastAsia" w:ascii="宋体" w:hAnsi="宋体"/>
          <w:color w:val="auto"/>
          <w:szCs w:val="21"/>
          <w:highlight w:val="none"/>
        </w:rPr>
        <w:br w:type="page"/>
      </w:r>
    </w:p>
    <w:p w14:paraId="13152C8B">
      <w:pPr>
        <w:pStyle w:val="5"/>
        <w:widowControl w:val="0"/>
        <w:overflowPunct w:val="0"/>
        <w:spacing w:line="240" w:lineRule="auto"/>
        <w:rPr>
          <w:rFonts w:ascii="宋体" w:hAnsi="宋体"/>
          <w:color w:val="auto"/>
          <w:sz w:val="21"/>
          <w:szCs w:val="21"/>
          <w:highlight w:val="none"/>
        </w:rPr>
      </w:pPr>
      <w:bookmarkStart w:id="1155" w:name="_Toc12232"/>
      <w:bookmarkStart w:id="1156" w:name="_Toc5277"/>
      <w:bookmarkStart w:id="1157" w:name="_Toc13761"/>
      <w:bookmarkStart w:id="1158" w:name="_Toc23065"/>
      <w:bookmarkStart w:id="1159" w:name="_Toc16855"/>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14</w:t>
      </w:r>
      <w:r>
        <w:rPr>
          <w:rFonts w:hint="eastAsia" w:ascii="宋体" w:hAnsi="宋体"/>
          <w:color w:val="auto"/>
          <w:sz w:val="21"/>
          <w:szCs w:val="21"/>
          <w:highlight w:val="none"/>
        </w:rPr>
        <w:t>.拟投入本项目的运输人员及运输车辆情况表格式</w:t>
      </w:r>
      <w:bookmarkEnd w:id="1155"/>
      <w:bookmarkEnd w:id="1156"/>
      <w:bookmarkEnd w:id="1157"/>
      <w:bookmarkEnd w:id="1158"/>
      <w:bookmarkEnd w:id="1159"/>
    </w:p>
    <w:p w14:paraId="1892236D">
      <w:pPr>
        <w:jc w:val="center"/>
        <w:rPr>
          <w:rFonts w:ascii="宋体" w:hAnsi="宋体"/>
          <w:color w:val="auto"/>
          <w:szCs w:val="21"/>
          <w:highlight w:val="none"/>
        </w:rPr>
      </w:pPr>
    </w:p>
    <w:p w14:paraId="779646B7">
      <w:pPr>
        <w:jc w:val="both"/>
        <w:rPr>
          <w:rFonts w:hint="eastAsia" w:ascii="宋体" w:hAnsi="宋体"/>
          <w:color w:val="auto"/>
          <w:szCs w:val="21"/>
          <w:highlight w:val="none"/>
        </w:rPr>
      </w:pPr>
      <w:r>
        <w:rPr>
          <w:rFonts w:hint="eastAsia" w:ascii="宋体" w:hAnsi="宋体"/>
          <w:color w:val="auto"/>
          <w:szCs w:val="21"/>
          <w:highlight w:val="none"/>
        </w:rPr>
        <w:t>（1）参加厢车标段的</w:t>
      </w:r>
      <w:r>
        <w:rPr>
          <w:rFonts w:hint="eastAsia" w:ascii="宋体" w:hAnsi="宋体"/>
          <w:color w:val="auto"/>
          <w:szCs w:val="21"/>
          <w:highlight w:val="none"/>
          <w:lang w:eastAsia="zh-CN"/>
        </w:rPr>
        <w:t>投标人</w:t>
      </w:r>
      <w:r>
        <w:rPr>
          <w:rFonts w:hint="eastAsia" w:ascii="宋体" w:hAnsi="宋体"/>
          <w:color w:val="auto"/>
          <w:szCs w:val="21"/>
          <w:highlight w:val="none"/>
        </w:rPr>
        <w:t>提供不少于</w:t>
      </w:r>
      <w:r>
        <w:rPr>
          <w:rFonts w:hint="eastAsia" w:ascii="宋体" w:hAnsi="宋体"/>
          <w:b/>
          <w:bCs/>
          <w:color w:val="auto"/>
          <w:szCs w:val="21"/>
          <w:highlight w:val="none"/>
        </w:rPr>
        <w:t>5台</w:t>
      </w:r>
      <w:r>
        <w:rPr>
          <w:rFonts w:hint="eastAsia" w:ascii="宋体" w:hAnsi="宋体"/>
          <w:b/>
          <w:bCs/>
          <w:color w:val="auto"/>
          <w:szCs w:val="21"/>
          <w:highlight w:val="none"/>
          <w:lang w:eastAsia="zh-CN"/>
        </w:rPr>
        <w:t>投标人</w:t>
      </w:r>
      <w:r>
        <w:rPr>
          <w:rFonts w:hint="eastAsia" w:ascii="宋体" w:hAnsi="宋体"/>
          <w:b/>
          <w:bCs/>
          <w:color w:val="auto"/>
          <w:szCs w:val="21"/>
          <w:highlight w:val="none"/>
        </w:rPr>
        <w:t>自有厢车信息</w:t>
      </w:r>
      <w:r>
        <w:rPr>
          <w:rFonts w:hint="eastAsia" w:ascii="宋体" w:hAnsi="宋体"/>
          <w:color w:val="auto"/>
          <w:szCs w:val="21"/>
          <w:highlight w:val="none"/>
        </w:rPr>
        <w:t>及对应的</w:t>
      </w:r>
      <w:r>
        <w:rPr>
          <w:rFonts w:hint="eastAsia" w:ascii="宋体" w:hAnsi="宋体"/>
          <w:b/>
          <w:bCs/>
          <w:color w:val="auto"/>
          <w:szCs w:val="21"/>
          <w:highlight w:val="none"/>
        </w:rPr>
        <w:t>《道路运输证》</w:t>
      </w:r>
      <w:r>
        <w:rPr>
          <w:rFonts w:hint="eastAsia" w:ascii="宋体" w:hAnsi="宋体"/>
          <w:color w:val="auto"/>
          <w:szCs w:val="21"/>
          <w:highlight w:val="none"/>
        </w:rPr>
        <w:t>，以及提供</w:t>
      </w:r>
      <w:r>
        <w:rPr>
          <w:rFonts w:hint="eastAsia" w:ascii="宋体" w:hAnsi="宋体"/>
          <w:b/>
          <w:bCs/>
          <w:color w:val="auto"/>
          <w:szCs w:val="21"/>
          <w:highlight w:val="none"/>
        </w:rPr>
        <w:t>不少于5名对应厢车驾驶员</w:t>
      </w:r>
      <w:r>
        <w:rPr>
          <w:rFonts w:hint="eastAsia" w:ascii="宋体" w:hAnsi="宋体"/>
          <w:color w:val="auto"/>
          <w:szCs w:val="21"/>
          <w:highlight w:val="none"/>
        </w:rPr>
        <w:t>和</w:t>
      </w:r>
      <w:r>
        <w:rPr>
          <w:rFonts w:hint="eastAsia" w:ascii="宋体" w:hAnsi="宋体"/>
          <w:b/>
          <w:bCs/>
          <w:color w:val="auto"/>
          <w:szCs w:val="21"/>
          <w:highlight w:val="none"/>
        </w:rPr>
        <w:t>不少于5名押运员</w:t>
      </w:r>
      <w:r>
        <w:rPr>
          <w:rFonts w:hint="eastAsia" w:ascii="宋体" w:hAnsi="宋体"/>
          <w:color w:val="auto"/>
          <w:szCs w:val="21"/>
          <w:highlight w:val="none"/>
        </w:rPr>
        <w:t>材料【提供不少于5台厢车</w:t>
      </w:r>
      <w:r>
        <w:rPr>
          <w:rFonts w:hint="eastAsia" w:ascii="宋体" w:hAnsi="宋体"/>
          <w:b/>
          <w:bCs/>
          <w:color w:val="auto"/>
          <w:szCs w:val="21"/>
          <w:highlight w:val="none"/>
        </w:rPr>
        <w:t>《道路运输证》</w:t>
      </w:r>
      <w:r>
        <w:rPr>
          <w:rFonts w:hint="eastAsia" w:ascii="宋体" w:hAnsi="宋体"/>
          <w:color w:val="auto"/>
          <w:szCs w:val="21"/>
          <w:highlight w:val="none"/>
        </w:rPr>
        <w:t>复印件，不少于5名驾驶员的</w:t>
      </w:r>
      <w:r>
        <w:rPr>
          <w:rFonts w:hint="eastAsia" w:ascii="宋体" w:hAnsi="宋体"/>
          <w:b/>
          <w:bCs/>
          <w:color w:val="auto"/>
          <w:szCs w:val="21"/>
          <w:highlight w:val="none"/>
        </w:rPr>
        <w:t>《道路运输从业人员从业资格证》</w:t>
      </w:r>
      <w:r>
        <w:rPr>
          <w:rFonts w:hint="eastAsia" w:ascii="宋体" w:hAnsi="宋体"/>
          <w:color w:val="auto"/>
          <w:szCs w:val="21"/>
          <w:highlight w:val="none"/>
        </w:rPr>
        <w:t>且从业资格类别包括“</w:t>
      </w:r>
      <w:r>
        <w:rPr>
          <w:rFonts w:hint="eastAsia" w:ascii="宋体" w:hAnsi="宋体"/>
          <w:b/>
          <w:bCs/>
          <w:color w:val="auto"/>
          <w:szCs w:val="21"/>
          <w:highlight w:val="none"/>
        </w:rPr>
        <w:t>道路危险货物运输驾驶</w:t>
      </w:r>
      <w:r>
        <w:rPr>
          <w:rFonts w:hint="eastAsia" w:ascii="宋体" w:hAnsi="宋体"/>
          <w:color w:val="auto"/>
          <w:szCs w:val="21"/>
          <w:highlight w:val="none"/>
        </w:rPr>
        <w:t>”，不少于5名押运员的</w:t>
      </w:r>
      <w:r>
        <w:rPr>
          <w:rFonts w:hint="eastAsia" w:ascii="宋体" w:hAnsi="宋体"/>
          <w:b/>
          <w:bCs/>
          <w:color w:val="auto"/>
          <w:szCs w:val="21"/>
          <w:highlight w:val="none"/>
        </w:rPr>
        <w:t>《道路运输从业人员从业资格证》</w:t>
      </w:r>
      <w:r>
        <w:rPr>
          <w:rFonts w:hint="eastAsia" w:ascii="宋体" w:hAnsi="宋体"/>
          <w:color w:val="auto"/>
          <w:szCs w:val="21"/>
          <w:highlight w:val="none"/>
        </w:rPr>
        <w:t>且从业资格类别包括</w:t>
      </w:r>
      <w:r>
        <w:rPr>
          <w:rFonts w:hint="eastAsia" w:ascii="宋体" w:hAnsi="宋体"/>
          <w:b/>
          <w:bCs/>
          <w:color w:val="auto"/>
          <w:szCs w:val="21"/>
          <w:highlight w:val="none"/>
        </w:rPr>
        <w:t>“道路危险货物运输押运人员</w:t>
      </w:r>
      <w:r>
        <w:rPr>
          <w:rFonts w:hint="eastAsia" w:ascii="宋体" w:hAnsi="宋体"/>
          <w:color w:val="auto"/>
          <w:szCs w:val="21"/>
          <w:highlight w:val="none"/>
        </w:rPr>
        <w:t>”，</w:t>
      </w:r>
      <w:r>
        <w:rPr>
          <w:rFonts w:hint="eastAsia" w:ascii="宋体" w:hAnsi="宋体"/>
          <w:b/>
          <w:bCs/>
          <w:color w:val="auto"/>
          <w:szCs w:val="21"/>
          <w:highlight w:val="none"/>
        </w:rPr>
        <w:t>均加盖公章</w:t>
      </w:r>
      <w:r>
        <w:rPr>
          <w:rFonts w:hint="eastAsia" w:ascii="宋体" w:hAnsi="宋体"/>
          <w:color w:val="auto"/>
          <w:szCs w:val="21"/>
          <w:highlight w:val="none"/>
        </w:rPr>
        <w:t>】；</w:t>
      </w:r>
    </w:p>
    <w:p w14:paraId="2313E8F2">
      <w:pPr>
        <w:jc w:val="both"/>
        <w:rPr>
          <w:rFonts w:hint="eastAsia" w:ascii="宋体" w:hAnsi="宋体"/>
          <w:color w:val="auto"/>
          <w:szCs w:val="21"/>
          <w:highlight w:val="none"/>
        </w:rPr>
      </w:pPr>
      <w:r>
        <w:rPr>
          <w:rFonts w:hint="eastAsia" w:ascii="宋体" w:hAnsi="宋体"/>
          <w:color w:val="auto"/>
          <w:szCs w:val="21"/>
          <w:highlight w:val="none"/>
        </w:rPr>
        <w:t>（2）参加槽车标段的</w:t>
      </w:r>
      <w:r>
        <w:rPr>
          <w:rFonts w:hint="eastAsia" w:ascii="宋体" w:hAnsi="宋体"/>
          <w:color w:val="auto"/>
          <w:szCs w:val="21"/>
          <w:highlight w:val="none"/>
          <w:lang w:eastAsia="zh-CN"/>
        </w:rPr>
        <w:t>投标人</w:t>
      </w:r>
      <w:r>
        <w:rPr>
          <w:rFonts w:hint="eastAsia" w:ascii="宋体" w:hAnsi="宋体"/>
          <w:color w:val="auto"/>
          <w:szCs w:val="21"/>
          <w:highlight w:val="none"/>
        </w:rPr>
        <w:t>提供不少于</w:t>
      </w:r>
      <w:r>
        <w:rPr>
          <w:rFonts w:hint="eastAsia" w:ascii="宋体" w:hAnsi="宋体"/>
          <w:b/>
          <w:bCs/>
          <w:color w:val="auto"/>
          <w:szCs w:val="21"/>
          <w:highlight w:val="none"/>
        </w:rPr>
        <w:t>5台槽车信息</w:t>
      </w:r>
      <w:r>
        <w:rPr>
          <w:rFonts w:hint="eastAsia" w:ascii="宋体" w:hAnsi="宋体"/>
          <w:color w:val="auto"/>
          <w:szCs w:val="21"/>
          <w:highlight w:val="none"/>
        </w:rPr>
        <w:t>及对应的《道路运输证》（</w:t>
      </w:r>
      <w:r>
        <w:rPr>
          <w:rFonts w:hint="eastAsia" w:ascii="宋体" w:hAnsi="宋体"/>
          <w:b/>
          <w:bCs/>
          <w:color w:val="auto"/>
          <w:szCs w:val="21"/>
          <w:highlight w:val="none"/>
        </w:rPr>
        <w:t>非自有车辆提供</w:t>
      </w:r>
      <w:r>
        <w:rPr>
          <w:rFonts w:hint="eastAsia" w:ascii="宋体" w:hAnsi="宋体"/>
          <w:b/>
          <w:bCs/>
          <w:color w:val="auto"/>
          <w:szCs w:val="21"/>
          <w:highlight w:val="none"/>
          <w:lang w:eastAsia="zh-CN"/>
        </w:rPr>
        <w:t>投标人</w:t>
      </w:r>
      <w:r>
        <w:rPr>
          <w:rFonts w:hint="eastAsia" w:ascii="宋体" w:hAnsi="宋体"/>
          <w:b/>
          <w:bCs/>
          <w:color w:val="auto"/>
          <w:szCs w:val="21"/>
          <w:highlight w:val="none"/>
        </w:rPr>
        <w:t>与承租方的租赁合同或合作协议</w:t>
      </w:r>
      <w:r>
        <w:rPr>
          <w:rFonts w:hint="eastAsia" w:ascii="宋体" w:hAnsi="宋体"/>
          <w:color w:val="auto"/>
          <w:szCs w:val="21"/>
          <w:highlight w:val="none"/>
        </w:rPr>
        <w:t>），以及提供</w:t>
      </w:r>
      <w:r>
        <w:rPr>
          <w:rFonts w:hint="eastAsia" w:ascii="宋体" w:hAnsi="宋体"/>
          <w:b/>
          <w:bCs/>
          <w:color w:val="auto"/>
          <w:szCs w:val="21"/>
          <w:highlight w:val="none"/>
        </w:rPr>
        <w:t>不少于5名对应槽车驾驶员</w:t>
      </w:r>
      <w:r>
        <w:rPr>
          <w:rFonts w:hint="eastAsia" w:ascii="宋体" w:hAnsi="宋体"/>
          <w:color w:val="auto"/>
          <w:szCs w:val="21"/>
          <w:highlight w:val="none"/>
        </w:rPr>
        <w:t>和</w:t>
      </w:r>
      <w:r>
        <w:rPr>
          <w:rFonts w:hint="eastAsia" w:ascii="宋体" w:hAnsi="宋体"/>
          <w:b/>
          <w:bCs/>
          <w:color w:val="auto"/>
          <w:szCs w:val="21"/>
          <w:highlight w:val="none"/>
        </w:rPr>
        <w:t>不少于5名押运员</w:t>
      </w:r>
      <w:r>
        <w:rPr>
          <w:rFonts w:hint="eastAsia" w:ascii="宋体" w:hAnsi="宋体"/>
          <w:color w:val="auto"/>
          <w:szCs w:val="21"/>
          <w:highlight w:val="none"/>
        </w:rPr>
        <w:t>材料【提供不少于5台槽车</w:t>
      </w:r>
      <w:r>
        <w:rPr>
          <w:rFonts w:hint="eastAsia" w:ascii="宋体" w:hAnsi="宋体"/>
          <w:b/>
          <w:bCs/>
          <w:color w:val="auto"/>
          <w:szCs w:val="21"/>
          <w:highlight w:val="none"/>
        </w:rPr>
        <w:t>《道路运输证》</w:t>
      </w:r>
      <w:r>
        <w:rPr>
          <w:rFonts w:hint="eastAsia" w:ascii="宋体" w:hAnsi="宋体"/>
          <w:color w:val="auto"/>
          <w:szCs w:val="21"/>
          <w:highlight w:val="none"/>
        </w:rPr>
        <w:t>复印件，不少于5名驾驶员的</w:t>
      </w:r>
      <w:r>
        <w:rPr>
          <w:rFonts w:hint="eastAsia" w:ascii="宋体" w:hAnsi="宋体"/>
          <w:b/>
          <w:bCs/>
          <w:color w:val="auto"/>
          <w:szCs w:val="21"/>
          <w:highlight w:val="none"/>
        </w:rPr>
        <w:t>《道路运输从业人员从业资格证》</w:t>
      </w:r>
      <w:r>
        <w:rPr>
          <w:rFonts w:hint="eastAsia" w:ascii="宋体" w:hAnsi="宋体"/>
          <w:color w:val="auto"/>
          <w:szCs w:val="21"/>
          <w:highlight w:val="none"/>
        </w:rPr>
        <w:t>且从业资格类别包括“</w:t>
      </w:r>
      <w:r>
        <w:rPr>
          <w:rFonts w:hint="eastAsia" w:ascii="宋体" w:hAnsi="宋体"/>
          <w:b/>
          <w:bCs/>
          <w:color w:val="auto"/>
          <w:szCs w:val="21"/>
          <w:highlight w:val="none"/>
        </w:rPr>
        <w:t>道路危险货物运输驾驶</w:t>
      </w:r>
      <w:r>
        <w:rPr>
          <w:rFonts w:hint="eastAsia" w:ascii="宋体" w:hAnsi="宋体"/>
          <w:color w:val="auto"/>
          <w:szCs w:val="21"/>
          <w:highlight w:val="none"/>
        </w:rPr>
        <w:t>”，不少于5名押运员的</w:t>
      </w:r>
      <w:r>
        <w:rPr>
          <w:rFonts w:hint="eastAsia" w:ascii="宋体" w:hAnsi="宋体"/>
          <w:b/>
          <w:bCs/>
          <w:color w:val="auto"/>
          <w:szCs w:val="21"/>
          <w:highlight w:val="none"/>
        </w:rPr>
        <w:t>《道路运输从业人员从业资格证》</w:t>
      </w:r>
      <w:r>
        <w:rPr>
          <w:rFonts w:hint="eastAsia" w:ascii="宋体" w:hAnsi="宋体"/>
          <w:color w:val="auto"/>
          <w:szCs w:val="21"/>
          <w:highlight w:val="none"/>
        </w:rPr>
        <w:t>且从业资格类别包括“</w:t>
      </w:r>
      <w:r>
        <w:rPr>
          <w:rFonts w:hint="eastAsia" w:ascii="宋体" w:hAnsi="宋体"/>
          <w:b/>
          <w:bCs/>
          <w:color w:val="auto"/>
          <w:szCs w:val="21"/>
          <w:highlight w:val="none"/>
        </w:rPr>
        <w:t>道路危险货物运输押运人员</w:t>
      </w:r>
      <w:r>
        <w:rPr>
          <w:rFonts w:hint="eastAsia" w:ascii="宋体" w:hAnsi="宋体"/>
          <w:color w:val="auto"/>
          <w:szCs w:val="21"/>
          <w:highlight w:val="none"/>
        </w:rPr>
        <w:t>”，</w:t>
      </w:r>
      <w:r>
        <w:rPr>
          <w:rFonts w:hint="eastAsia" w:ascii="宋体" w:hAnsi="宋体"/>
          <w:b/>
          <w:bCs/>
          <w:color w:val="auto"/>
          <w:szCs w:val="21"/>
          <w:highlight w:val="none"/>
        </w:rPr>
        <w:t>均加盖公章</w:t>
      </w:r>
      <w:r>
        <w:rPr>
          <w:rFonts w:hint="eastAsia" w:ascii="宋体" w:hAnsi="宋体"/>
          <w:color w:val="auto"/>
          <w:szCs w:val="21"/>
          <w:highlight w:val="none"/>
        </w:rPr>
        <w:t>】；</w:t>
      </w:r>
    </w:p>
    <w:p w14:paraId="0EC57124">
      <w:pPr>
        <w:jc w:val="left"/>
        <w:rPr>
          <w:rFonts w:ascii="宋体" w:hAnsi="宋体"/>
          <w:color w:val="auto"/>
          <w:szCs w:val="21"/>
          <w:highlight w:val="none"/>
        </w:rPr>
      </w:pPr>
      <w:r>
        <w:rPr>
          <w:rFonts w:ascii="宋体" w:hAnsi="宋体"/>
          <w:color w:val="auto"/>
          <w:szCs w:val="21"/>
          <w:highlight w:val="none"/>
        </w:rPr>
        <w:br w:type="page"/>
      </w:r>
    </w:p>
    <w:p w14:paraId="51E8929B">
      <w:pPr>
        <w:spacing w:before="180" w:beforeLines="50" w:after="180" w:afterLines="50" w:line="360" w:lineRule="exact"/>
        <w:jc w:val="center"/>
        <w:rPr>
          <w:rFonts w:ascii="Times New Roman" w:hAnsi="Times New Roman" w:cs="Times New Roman"/>
          <w:b/>
          <w:color w:val="auto"/>
          <w:sz w:val="22"/>
          <w:highlight w:val="none"/>
        </w:rPr>
      </w:pPr>
      <w:r>
        <w:rPr>
          <w:rFonts w:hint="eastAsia" w:ascii="Times New Roman" w:hAnsi="Times New Roman" w:cs="Times New Roman"/>
          <w:b/>
          <w:color w:val="auto"/>
          <w:sz w:val="22"/>
          <w:highlight w:val="none"/>
        </w:rPr>
        <w:t>运输车辆名册</w:t>
      </w:r>
    </w:p>
    <w:tbl>
      <w:tblPr>
        <w:tblStyle w:val="2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43"/>
        <w:gridCol w:w="2331"/>
        <w:gridCol w:w="2564"/>
        <w:gridCol w:w="2458"/>
      </w:tblGrid>
      <w:tr w14:paraId="583354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943" w:type="dxa"/>
          </w:tcPr>
          <w:p w14:paraId="06DB7C92">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序号</w:t>
            </w:r>
          </w:p>
        </w:tc>
        <w:tc>
          <w:tcPr>
            <w:tcW w:w="2331" w:type="dxa"/>
          </w:tcPr>
          <w:p w14:paraId="16F086AF">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车牌号</w:t>
            </w:r>
          </w:p>
        </w:tc>
        <w:tc>
          <w:tcPr>
            <w:tcW w:w="2564" w:type="dxa"/>
          </w:tcPr>
          <w:p w14:paraId="1ABBF8DE">
            <w:pPr>
              <w:widowControl w:val="0"/>
              <w:adjustRightInd/>
              <w:snapToGrid/>
              <w:spacing w:line="360" w:lineRule="exact"/>
              <w:ind w:firstLine="660" w:firstLineChars="300"/>
              <w:rPr>
                <w:rFonts w:ascii="宋体" w:hAnsi="宋体" w:cs="宋体"/>
                <w:color w:val="auto"/>
                <w:sz w:val="22"/>
                <w:highlight w:val="none"/>
              </w:rPr>
            </w:pPr>
            <w:r>
              <w:rPr>
                <w:rFonts w:hint="eastAsia" w:ascii="宋体" w:hAnsi="宋体" w:cs="宋体"/>
                <w:color w:val="auto"/>
                <w:sz w:val="22"/>
                <w:highlight w:val="none"/>
              </w:rPr>
              <w:t>车型</w:t>
            </w:r>
          </w:p>
        </w:tc>
        <w:tc>
          <w:tcPr>
            <w:tcW w:w="2458" w:type="dxa"/>
          </w:tcPr>
          <w:p w14:paraId="38F69F9E">
            <w:pPr>
              <w:widowControl w:val="0"/>
              <w:adjustRightInd/>
              <w:snapToGrid/>
              <w:spacing w:line="360" w:lineRule="exact"/>
              <w:ind w:firstLine="660" w:firstLineChars="300"/>
              <w:rPr>
                <w:rFonts w:ascii="宋体" w:hAnsi="宋体" w:cs="宋体"/>
                <w:color w:val="auto"/>
                <w:sz w:val="22"/>
                <w:highlight w:val="none"/>
              </w:rPr>
            </w:pPr>
            <w:r>
              <w:rPr>
                <w:rFonts w:hint="eastAsia" w:ascii="宋体" w:hAnsi="宋体" w:cs="宋体"/>
                <w:color w:val="auto"/>
                <w:sz w:val="22"/>
                <w:highlight w:val="none"/>
              </w:rPr>
              <w:t>备注</w:t>
            </w:r>
          </w:p>
        </w:tc>
      </w:tr>
      <w:tr w14:paraId="4E9C3E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2C27D9C4">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w:t>
            </w:r>
          </w:p>
        </w:tc>
        <w:tc>
          <w:tcPr>
            <w:tcW w:w="2331" w:type="dxa"/>
          </w:tcPr>
          <w:p w14:paraId="4EDCFC6A">
            <w:pPr>
              <w:widowControl w:val="0"/>
              <w:adjustRightInd/>
              <w:snapToGrid/>
              <w:spacing w:line="360" w:lineRule="exact"/>
              <w:rPr>
                <w:rFonts w:ascii="宋体" w:hAnsi="宋体" w:cs="宋体"/>
                <w:color w:val="auto"/>
                <w:sz w:val="22"/>
                <w:highlight w:val="none"/>
              </w:rPr>
            </w:pPr>
          </w:p>
        </w:tc>
        <w:tc>
          <w:tcPr>
            <w:tcW w:w="2564" w:type="dxa"/>
          </w:tcPr>
          <w:p w14:paraId="0A2509C8">
            <w:pPr>
              <w:widowControl w:val="0"/>
              <w:adjustRightInd/>
              <w:snapToGrid/>
              <w:spacing w:line="360" w:lineRule="exact"/>
              <w:rPr>
                <w:rFonts w:ascii="宋体" w:hAnsi="宋体" w:cs="宋体"/>
                <w:color w:val="auto"/>
                <w:sz w:val="22"/>
                <w:highlight w:val="none"/>
              </w:rPr>
            </w:pPr>
          </w:p>
        </w:tc>
        <w:tc>
          <w:tcPr>
            <w:tcW w:w="2458" w:type="dxa"/>
          </w:tcPr>
          <w:p w14:paraId="2E6CB05B">
            <w:pPr>
              <w:widowControl w:val="0"/>
              <w:adjustRightInd/>
              <w:snapToGrid/>
              <w:spacing w:line="360" w:lineRule="exact"/>
              <w:rPr>
                <w:rFonts w:ascii="宋体" w:hAnsi="宋体" w:cs="宋体"/>
                <w:color w:val="auto"/>
                <w:sz w:val="22"/>
                <w:highlight w:val="none"/>
              </w:rPr>
            </w:pPr>
          </w:p>
        </w:tc>
      </w:tr>
      <w:tr w14:paraId="77118B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16867B5A">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2</w:t>
            </w:r>
          </w:p>
        </w:tc>
        <w:tc>
          <w:tcPr>
            <w:tcW w:w="2331" w:type="dxa"/>
          </w:tcPr>
          <w:p w14:paraId="676902AB">
            <w:pPr>
              <w:widowControl w:val="0"/>
              <w:adjustRightInd/>
              <w:snapToGrid/>
              <w:spacing w:line="360" w:lineRule="exact"/>
              <w:rPr>
                <w:rFonts w:ascii="宋体" w:hAnsi="宋体" w:cs="宋体"/>
                <w:color w:val="auto"/>
                <w:sz w:val="22"/>
                <w:highlight w:val="none"/>
              </w:rPr>
            </w:pPr>
          </w:p>
        </w:tc>
        <w:tc>
          <w:tcPr>
            <w:tcW w:w="2564" w:type="dxa"/>
          </w:tcPr>
          <w:p w14:paraId="0AA7E91E">
            <w:pPr>
              <w:widowControl w:val="0"/>
              <w:adjustRightInd/>
              <w:snapToGrid/>
              <w:spacing w:line="360" w:lineRule="exact"/>
              <w:rPr>
                <w:rFonts w:ascii="宋体" w:hAnsi="宋体" w:cs="宋体"/>
                <w:color w:val="auto"/>
                <w:sz w:val="22"/>
                <w:highlight w:val="none"/>
              </w:rPr>
            </w:pPr>
          </w:p>
        </w:tc>
        <w:tc>
          <w:tcPr>
            <w:tcW w:w="2458" w:type="dxa"/>
          </w:tcPr>
          <w:p w14:paraId="61C94E2D">
            <w:pPr>
              <w:widowControl w:val="0"/>
              <w:adjustRightInd/>
              <w:snapToGrid/>
              <w:spacing w:line="360" w:lineRule="exact"/>
              <w:rPr>
                <w:rFonts w:ascii="宋体" w:hAnsi="宋体" w:cs="宋体"/>
                <w:color w:val="auto"/>
                <w:sz w:val="22"/>
                <w:highlight w:val="none"/>
              </w:rPr>
            </w:pPr>
          </w:p>
        </w:tc>
      </w:tr>
      <w:tr w14:paraId="5ACC25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2BBEDD95">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3</w:t>
            </w:r>
          </w:p>
        </w:tc>
        <w:tc>
          <w:tcPr>
            <w:tcW w:w="2331" w:type="dxa"/>
          </w:tcPr>
          <w:p w14:paraId="291645DD">
            <w:pPr>
              <w:widowControl w:val="0"/>
              <w:adjustRightInd/>
              <w:snapToGrid/>
              <w:spacing w:line="360" w:lineRule="exact"/>
              <w:rPr>
                <w:rFonts w:ascii="宋体" w:hAnsi="宋体" w:cs="宋体"/>
                <w:color w:val="auto"/>
                <w:sz w:val="22"/>
                <w:highlight w:val="none"/>
              </w:rPr>
            </w:pPr>
          </w:p>
        </w:tc>
        <w:tc>
          <w:tcPr>
            <w:tcW w:w="2564" w:type="dxa"/>
          </w:tcPr>
          <w:p w14:paraId="597A37A9">
            <w:pPr>
              <w:widowControl w:val="0"/>
              <w:adjustRightInd/>
              <w:snapToGrid/>
              <w:spacing w:line="360" w:lineRule="exact"/>
              <w:rPr>
                <w:rFonts w:ascii="宋体" w:hAnsi="宋体" w:cs="宋体"/>
                <w:color w:val="auto"/>
                <w:sz w:val="22"/>
                <w:highlight w:val="none"/>
              </w:rPr>
            </w:pPr>
          </w:p>
        </w:tc>
        <w:tc>
          <w:tcPr>
            <w:tcW w:w="2458" w:type="dxa"/>
          </w:tcPr>
          <w:p w14:paraId="602B30C7">
            <w:pPr>
              <w:widowControl w:val="0"/>
              <w:adjustRightInd/>
              <w:snapToGrid/>
              <w:spacing w:line="360" w:lineRule="exact"/>
              <w:rPr>
                <w:rFonts w:ascii="宋体" w:hAnsi="宋体" w:cs="宋体"/>
                <w:color w:val="auto"/>
                <w:sz w:val="22"/>
                <w:highlight w:val="none"/>
              </w:rPr>
            </w:pPr>
          </w:p>
        </w:tc>
      </w:tr>
      <w:tr w14:paraId="2948D3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65284E10">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4</w:t>
            </w:r>
          </w:p>
        </w:tc>
        <w:tc>
          <w:tcPr>
            <w:tcW w:w="2331" w:type="dxa"/>
          </w:tcPr>
          <w:p w14:paraId="0C915E1C">
            <w:pPr>
              <w:widowControl w:val="0"/>
              <w:adjustRightInd/>
              <w:snapToGrid/>
              <w:spacing w:line="360" w:lineRule="exact"/>
              <w:rPr>
                <w:rFonts w:ascii="宋体" w:hAnsi="宋体" w:cs="宋体"/>
                <w:color w:val="auto"/>
                <w:sz w:val="22"/>
                <w:highlight w:val="none"/>
              </w:rPr>
            </w:pPr>
          </w:p>
        </w:tc>
        <w:tc>
          <w:tcPr>
            <w:tcW w:w="2564" w:type="dxa"/>
          </w:tcPr>
          <w:p w14:paraId="29216F08">
            <w:pPr>
              <w:widowControl w:val="0"/>
              <w:adjustRightInd/>
              <w:snapToGrid/>
              <w:spacing w:line="360" w:lineRule="exact"/>
              <w:rPr>
                <w:rFonts w:ascii="宋体" w:hAnsi="宋体" w:cs="宋体"/>
                <w:color w:val="auto"/>
                <w:sz w:val="22"/>
                <w:highlight w:val="none"/>
              </w:rPr>
            </w:pPr>
          </w:p>
        </w:tc>
        <w:tc>
          <w:tcPr>
            <w:tcW w:w="2458" w:type="dxa"/>
          </w:tcPr>
          <w:p w14:paraId="51702B1D">
            <w:pPr>
              <w:widowControl w:val="0"/>
              <w:adjustRightInd/>
              <w:snapToGrid/>
              <w:spacing w:line="360" w:lineRule="exact"/>
              <w:rPr>
                <w:rFonts w:ascii="宋体" w:hAnsi="宋体" w:cs="宋体"/>
                <w:color w:val="auto"/>
                <w:sz w:val="22"/>
                <w:highlight w:val="none"/>
              </w:rPr>
            </w:pPr>
          </w:p>
        </w:tc>
      </w:tr>
      <w:tr w14:paraId="2FD709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33C51273">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5</w:t>
            </w:r>
          </w:p>
        </w:tc>
        <w:tc>
          <w:tcPr>
            <w:tcW w:w="2331" w:type="dxa"/>
          </w:tcPr>
          <w:p w14:paraId="2B1168C9">
            <w:pPr>
              <w:widowControl w:val="0"/>
              <w:adjustRightInd/>
              <w:snapToGrid/>
              <w:spacing w:line="360" w:lineRule="exact"/>
              <w:rPr>
                <w:rFonts w:ascii="宋体" w:hAnsi="宋体" w:cs="宋体"/>
                <w:color w:val="auto"/>
                <w:sz w:val="22"/>
                <w:highlight w:val="none"/>
              </w:rPr>
            </w:pPr>
          </w:p>
        </w:tc>
        <w:tc>
          <w:tcPr>
            <w:tcW w:w="2564" w:type="dxa"/>
          </w:tcPr>
          <w:p w14:paraId="7AC84FB0">
            <w:pPr>
              <w:widowControl w:val="0"/>
              <w:adjustRightInd/>
              <w:snapToGrid/>
              <w:spacing w:line="360" w:lineRule="exact"/>
              <w:rPr>
                <w:rFonts w:ascii="宋体" w:hAnsi="宋体" w:cs="宋体"/>
                <w:color w:val="auto"/>
                <w:sz w:val="22"/>
                <w:highlight w:val="none"/>
              </w:rPr>
            </w:pPr>
          </w:p>
        </w:tc>
        <w:tc>
          <w:tcPr>
            <w:tcW w:w="2458" w:type="dxa"/>
          </w:tcPr>
          <w:p w14:paraId="326D17CF">
            <w:pPr>
              <w:widowControl w:val="0"/>
              <w:adjustRightInd/>
              <w:snapToGrid/>
              <w:spacing w:line="360" w:lineRule="exact"/>
              <w:rPr>
                <w:rFonts w:ascii="宋体" w:hAnsi="宋体" w:cs="宋体"/>
                <w:color w:val="auto"/>
                <w:sz w:val="22"/>
                <w:highlight w:val="none"/>
              </w:rPr>
            </w:pPr>
          </w:p>
        </w:tc>
      </w:tr>
      <w:tr w14:paraId="0D5796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18017F4F">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6</w:t>
            </w:r>
          </w:p>
        </w:tc>
        <w:tc>
          <w:tcPr>
            <w:tcW w:w="2331" w:type="dxa"/>
          </w:tcPr>
          <w:p w14:paraId="45752066">
            <w:pPr>
              <w:widowControl w:val="0"/>
              <w:adjustRightInd/>
              <w:snapToGrid/>
              <w:spacing w:line="360" w:lineRule="exact"/>
              <w:rPr>
                <w:rFonts w:ascii="宋体" w:hAnsi="宋体" w:cs="宋体"/>
                <w:color w:val="auto"/>
                <w:sz w:val="22"/>
                <w:highlight w:val="none"/>
              </w:rPr>
            </w:pPr>
          </w:p>
        </w:tc>
        <w:tc>
          <w:tcPr>
            <w:tcW w:w="2564" w:type="dxa"/>
          </w:tcPr>
          <w:p w14:paraId="5D2CAB51">
            <w:pPr>
              <w:widowControl w:val="0"/>
              <w:adjustRightInd/>
              <w:snapToGrid/>
              <w:spacing w:line="360" w:lineRule="exact"/>
              <w:rPr>
                <w:rFonts w:ascii="宋体" w:hAnsi="宋体" w:cs="宋体"/>
                <w:color w:val="auto"/>
                <w:sz w:val="22"/>
                <w:highlight w:val="none"/>
              </w:rPr>
            </w:pPr>
          </w:p>
        </w:tc>
        <w:tc>
          <w:tcPr>
            <w:tcW w:w="2458" w:type="dxa"/>
          </w:tcPr>
          <w:p w14:paraId="2A0116F7">
            <w:pPr>
              <w:widowControl w:val="0"/>
              <w:adjustRightInd/>
              <w:snapToGrid/>
              <w:spacing w:line="360" w:lineRule="exact"/>
              <w:rPr>
                <w:rFonts w:ascii="宋体" w:hAnsi="宋体" w:cs="宋体"/>
                <w:color w:val="auto"/>
                <w:sz w:val="22"/>
                <w:highlight w:val="none"/>
              </w:rPr>
            </w:pPr>
          </w:p>
        </w:tc>
      </w:tr>
      <w:tr w14:paraId="7582A4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08F59EEF">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7</w:t>
            </w:r>
          </w:p>
        </w:tc>
        <w:tc>
          <w:tcPr>
            <w:tcW w:w="2331" w:type="dxa"/>
          </w:tcPr>
          <w:p w14:paraId="625A012A">
            <w:pPr>
              <w:widowControl w:val="0"/>
              <w:adjustRightInd/>
              <w:snapToGrid/>
              <w:spacing w:line="360" w:lineRule="exact"/>
              <w:rPr>
                <w:rFonts w:ascii="宋体" w:hAnsi="宋体" w:cs="宋体"/>
                <w:color w:val="auto"/>
                <w:sz w:val="22"/>
                <w:highlight w:val="none"/>
              </w:rPr>
            </w:pPr>
          </w:p>
        </w:tc>
        <w:tc>
          <w:tcPr>
            <w:tcW w:w="2564" w:type="dxa"/>
          </w:tcPr>
          <w:p w14:paraId="6C97DE06">
            <w:pPr>
              <w:widowControl w:val="0"/>
              <w:adjustRightInd/>
              <w:snapToGrid/>
              <w:spacing w:line="360" w:lineRule="exact"/>
              <w:rPr>
                <w:rFonts w:ascii="宋体" w:hAnsi="宋体" w:cs="宋体"/>
                <w:color w:val="auto"/>
                <w:sz w:val="22"/>
                <w:highlight w:val="none"/>
              </w:rPr>
            </w:pPr>
          </w:p>
        </w:tc>
        <w:tc>
          <w:tcPr>
            <w:tcW w:w="2458" w:type="dxa"/>
          </w:tcPr>
          <w:p w14:paraId="7FE5C6DE">
            <w:pPr>
              <w:widowControl w:val="0"/>
              <w:adjustRightInd/>
              <w:snapToGrid/>
              <w:spacing w:line="360" w:lineRule="exact"/>
              <w:rPr>
                <w:rFonts w:ascii="宋体" w:hAnsi="宋体" w:cs="宋体"/>
                <w:color w:val="auto"/>
                <w:sz w:val="22"/>
                <w:highlight w:val="none"/>
              </w:rPr>
            </w:pPr>
          </w:p>
        </w:tc>
      </w:tr>
      <w:tr w14:paraId="292AF8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368B346D">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8</w:t>
            </w:r>
          </w:p>
        </w:tc>
        <w:tc>
          <w:tcPr>
            <w:tcW w:w="2331" w:type="dxa"/>
          </w:tcPr>
          <w:p w14:paraId="5BDA441D">
            <w:pPr>
              <w:widowControl w:val="0"/>
              <w:adjustRightInd/>
              <w:snapToGrid/>
              <w:spacing w:line="360" w:lineRule="exact"/>
              <w:rPr>
                <w:rFonts w:ascii="宋体" w:hAnsi="宋体" w:cs="宋体"/>
                <w:color w:val="auto"/>
                <w:sz w:val="22"/>
                <w:highlight w:val="none"/>
              </w:rPr>
            </w:pPr>
          </w:p>
        </w:tc>
        <w:tc>
          <w:tcPr>
            <w:tcW w:w="2564" w:type="dxa"/>
          </w:tcPr>
          <w:p w14:paraId="5AE4D2F1">
            <w:pPr>
              <w:widowControl w:val="0"/>
              <w:adjustRightInd/>
              <w:snapToGrid/>
              <w:spacing w:line="360" w:lineRule="exact"/>
              <w:rPr>
                <w:rFonts w:ascii="宋体" w:hAnsi="宋体" w:cs="宋体"/>
                <w:color w:val="auto"/>
                <w:sz w:val="22"/>
                <w:highlight w:val="none"/>
              </w:rPr>
            </w:pPr>
          </w:p>
        </w:tc>
        <w:tc>
          <w:tcPr>
            <w:tcW w:w="2458" w:type="dxa"/>
          </w:tcPr>
          <w:p w14:paraId="187B4853">
            <w:pPr>
              <w:widowControl w:val="0"/>
              <w:adjustRightInd/>
              <w:snapToGrid/>
              <w:spacing w:line="360" w:lineRule="exact"/>
              <w:rPr>
                <w:rFonts w:ascii="宋体" w:hAnsi="宋体" w:cs="宋体"/>
                <w:color w:val="auto"/>
                <w:sz w:val="22"/>
                <w:highlight w:val="none"/>
              </w:rPr>
            </w:pPr>
          </w:p>
        </w:tc>
      </w:tr>
      <w:tr w14:paraId="4E49D2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34649B17">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9</w:t>
            </w:r>
          </w:p>
        </w:tc>
        <w:tc>
          <w:tcPr>
            <w:tcW w:w="2331" w:type="dxa"/>
          </w:tcPr>
          <w:p w14:paraId="1BE0CF61">
            <w:pPr>
              <w:widowControl w:val="0"/>
              <w:adjustRightInd/>
              <w:snapToGrid/>
              <w:spacing w:line="360" w:lineRule="exact"/>
              <w:rPr>
                <w:rFonts w:ascii="宋体" w:hAnsi="宋体" w:cs="宋体"/>
                <w:color w:val="auto"/>
                <w:sz w:val="22"/>
                <w:highlight w:val="none"/>
              </w:rPr>
            </w:pPr>
          </w:p>
        </w:tc>
        <w:tc>
          <w:tcPr>
            <w:tcW w:w="2564" w:type="dxa"/>
          </w:tcPr>
          <w:p w14:paraId="72519D21">
            <w:pPr>
              <w:widowControl w:val="0"/>
              <w:adjustRightInd/>
              <w:snapToGrid/>
              <w:spacing w:line="360" w:lineRule="exact"/>
              <w:rPr>
                <w:rFonts w:ascii="宋体" w:hAnsi="宋体" w:cs="宋体"/>
                <w:color w:val="auto"/>
                <w:sz w:val="22"/>
                <w:highlight w:val="none"/>
              </w:rPr>
            </w:pPr>
          </w:p>
        </w:tc>
        <w:tc>
          <w:tcPr>
            <w:tcW w:w="2458" w:type="dxa"/>
          </w:tcPr>
          <w:p w14:paraId="1E50DF2C">
            <w:pPr>
              <w:widowControl w:val="0"/>
              <w:adjustRightInd/>
              <w:snapToGrid/>
              <w:spacing w:line="360" w:lineRule="exact"/>
              <w:rPr>
                <w:rFonts w:ascii="宋体" w:hAnsi="宋体" w:cs="宋体"/>
                <w:color w:val="auto"/>
                <w:sz w:val="22"/>
                <w:highlight w:val="none"/>
              </w:rPr>
            </w:pPr>
          </w:p>
        </w:tc>
      </w:tr>
      <w:tr w14:paraId="7ADBEA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403A49A1">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10</w:t>
            </w:r>
          </w:p>
        </w:tc>
        <w:tc>
          <w:tcPr>
            <w:tcW w:w="2331" w:type="dxa"/>
          </w:tcPr>
          <w:p w14:paraId="3C4DD9AD">
            <w:pPr>
              <w:widowControl w:val="0"/>
              <w:adjustRightInd/>
              <w:snapToGrid/>
              <w:spacing w:line="360" w:lineRule="exact"/>
              <w:rPr>
                <w:rFonts w:ascii="宋体" w:hAnsi="宋体" w:cs="宋体"/>
                <w:color w:val="auto"/>
                <w:sz w:val="22"/>
                <w:highlight w:val="none"/>
              </w:rPr>
            </w:pPr>
          </w:p>
        </w:tc>
        <w:tc>
          <w:tcPr>
            <w:tcW w:w="2564" w:type="dxa"/>
          </w:tcPr>
          <w:p w14:paraId="522B96A4">
            <w:pPr>
              <w:widowControl w:val="0"/>
              <w:adjustRightInd/>
              <w:snapToGrid/>
              <w:spacing w:line="360" w:lineRule="exact"/>
              <w:rPr>
                <w:rFonts w:ascii="宋体" w:hAnsi="宋体" w:cs="宋体"/>
                <w:color w:val="auto"/>
                <w:sz w:val="22"/>
                <w:highlight w:val="none"/>
              </w:rPr>
            </w:pPr>
          </w:p>
        </w:tc>
        <w:tc>
          <w:tcPr>
            <w:tcW w:w="2458" w:type="dxa"/>
          </w:tcPr>
          <w:p w14:paraId="0E007E0D">
            <w:pPr>
              <w:widowControl w:val="0"/>
              <w:adjustRightInd/>
              <w:snapToGrid/>
              <w:spacing w:line="360" w:lineRule="exact"/>
              <w:rPr>
                <w:rFonts w:ascii="宋体" w:hAnsi="宋体" w:cs="宋体"/>
                <w:color w:val="auto"/>
                <w:sz w:val="22"/>
                <w:highlight w:val="none"/>
              </w:rPr>
            </w:pPr>
          </w:p>
        </w:tc>
      </w:tr>
      <w:tr w14:paraId="4352A0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699144F4">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11</w:t>
            </w:r>
          </w:p>
        </w:tc>
        <w:tc>
          <w:tcPr>
            <w:tcW w:w="2331" w:type="dxa"/>
          </w:tcPr>
          <w:p w14:paraId="454A4D9F">
            <w:pPr>
              <w:widowControl w:val="0"/>
              <w:adjustRightInd/>
              <w:snapToGrid/>
              <w:spacing w:line="360" w:lineRule="exact"/>
              <w:rPr>
                <w:rFonts w:ascii="宋体" w:hAnsi="宋体" w:cs="宋体"/>
                <w:color w:val="auto"/>
                <w:sz w:val="22"/>
                <w:highlight w:val="none"/>
              </w:rPr>
            </w:pPr>
          </w:p>
        </w:tc>
        <w:tc>
          <w:tcPr>
            <w:tcW w:w="2564" w:type="dxa"/>
          </w:tcPr>
          <w:p w14:paraId="5E6EB8B6">
            <w:pPr>
              <w:widowControl w:val="0"/>
              <w:adjustRightInd/>
              <w:snapToGrid/>
              <w:spacing w:line="360" w:lineRule="exact"/>
              <w:rPr>
                <w:rFonts w:ascii="宋体" w:hAnsi="宋体" w:cs="宋体"/>
                <w:color w:val="auto"/>
                <w:sz w:val="22"/>
                <w:highlight w:val="none"/>
              </w:rPr>
            </w:pPr>
          </w:p>
        </w:tc>
        <w:tc>
          <w:tcPr>
            <w:tcW w:w="2458" w:type="dxa"/>
          </w:tcPr>
          <w:p w14:paraId="2F44B619">
            <w:pPr>
              <w:widowControl w:val="0"/>
              <w:adjustRightInd/>
              <w:snapToGrid/>
              <w:spacing w:line="360" w:lineRule="exact"/>
              <w:rPr>
                <w:rFonts w:ascii="宋体" w:hAnsi="宋体" w:cs="宋体"/>
                <w:color w:val="auto"/>
                <w:sz w:val="22"/>
                <w:highlight w:val="none"/>
              </w:rPr>
            </w:pPr>
          </w:p>
        </w:tc>
      </w:tr>
      <w:tr w14:paraId="4C8A06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42E2324D">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12</w:t>
            </w:r>
          </w:p>
        </w:tc>
        <w:tc>
          <w:tcPr>
            <w:tcW w:w="2331" w:type="dxa"/>
          </w:tcPr>
          <w:p w14:paraId="3B922C37">
            <w:pPr>
              <w:widowControl w:val="0"/>
              <w:adjustRightInd/>
              <w:snapToGrid/>
              <w:spacing w:line="360" w:lineRule="exact"/>
              <w:rPr>
                <w:rFonts w:ascii="宋体" w:hAnsi="宋体" w:cs="宋体"/>
                <w:color w:val="auto"/>
                <w:sz w:val="22"/>
                <w:highlight w:val="none"/>
              </w:rPr>
            </w:pPr>
          </w:p>
        </w:tc>
        <w:tc>
          <w:tcPr>
            <w:tcW w:w="2564" w:type="dxa"/>
          </w:tcPr>
          <w:p w14:paraId="76978EA3">
            <w:pPr>
              <w:widowControl w:val="0"/>
              <w:adjustRightInd/>
              <w:snapToGrid/>
              <w:spacing w:line="360" w:lineRule="exact"/>
              <w:rPr>
                <w:rFonts w:ascii="宋体" w:hAnsi="宋体" w:cs="宋体"/>
                <w:color w:val="auto"/>
                <w:sz w:val="22"/>
                <w:highlight w:val="none"/>
              </w:rPr>
            </w:pPr>
          </w:p>
        </w:tc>
        <w:tc>
          <w:tcPr>
            <w:tcW w:w="2458" w:type="dxa"/>
          </w:tcPr>
          <w:p w14:paraId="1AD16878">
            <w:pPr>
              <w:widowControl w:val="0"/>
              <w:adjustRightInd/>
              <w:snapToGrid/>
              <w:spacing w:line="360" w:lineRule="exact"/>
              <w:rPr>
                <w:rFonts w:ascii="宋体" w:hAnsi="宋体" w:cs="宋体"/>
                <w:color w:val="auto"/>
                <w:sz w:val="22"/>
                <w:highlight w:val="none"/>
              </w:rPr>
            </w:pPr>
          </w:p>
        </w:tc>
      </w:tr>
      <w:tr w14:paraId="79768A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3CAA808E">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13</w:t>
            </w:r>
          </w:p>
        </w:tc>
        <w:tc>
          <w:tcPr>
            <w:tcW w:w="2331" w:type="dxa"/>
          </w:tcPr>
          <w:p w14:paraId="15C4DF14">
            <w:pPr>
              <w:widowControl w:val="0"/>
              <w:adjustRightInd/>
              <w:snapToGrid/>
              <w:spacing w:line="360" w:lineRule="exact"/>
              <w:rPr>
                <w:rFonts w:ascii="宋体" w:hAnsi="宋体" w:cs="宋体"/>
                <w:color w:val="auto"/>
                <w:sz w:val="22"/>
                <w:highlight w:val="none"/>
              </w:rPr>
            </w:pPr>
          </w:p>
        </w:tc>
        <w:tc>
          <w:tcPr>
            <w:tcW w:w="2564" w:type="dxa"/>
          </w:tcPr>
          <w:p w14:paraId="7FD130A7">
            <w:pPr>
              <w:widowControl w:val="0"/>
              <w:adjustRightInd/>
              <w:snapToGrid/>
              <w:spacing w:line="360" w:lineRule="exact"/>
              <w:rPr>
                <w:rFonts w:ascii="宋体" w:hAnsi="宋体" w:cs="宋体"/>
                <w:color w:val="auto"/>
                <w:sz w:val="22"/>
                <w:highlight w:val="none"/>
              </w:rPr>
            </w:pPr>
          </w:p>
        </w:tc>
        <w:tc>
          <w:tcPr>
            <w:tcW w:w="2458" w:type="dxa"/>
          </w:tcPr>
          <w:p w14:paraId="496BCC26">
            <w:pPr>
              <w:widowControl w:val="0"/>
              <w:adjustRightInd/>
              <w:snapToGrid/>
              <w:spacing w:line="360" w:lineRule="exact"/>
              <w:rPr>
                <w:rFonts w:ascii="宋体" w:hAnsi="宋体" w:cs="宋体"/>
                <w:color w:val="auto"/>
                <w:sz w:val="22"/>
                <w:highlight w:val="none"/>
              </w:rPr>
            </w:pPr>
          </w:p>
        </w:tc>
      </w:tr>
      <w:tr w14:paraId="10D91F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731E0612">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14</w:t>
            </w:r>
          </w:p>
        </w:tc>
        <w:tc>
          <w:tcPr>
            <w:tcW w:w="2331" w:type="dxa"/>
          </w:tcPr>
          <w:p w14:paraId="7A6B5524">
            <w:pPr>
              <w:widowControl w:val="0"/>
              <w:adjustRightInd/>
              <w:snapToGrid/>
              <w:spacing w:line="360" w:lineRule="exact"/>
              <w:rPr>
                <w:rFonts w:ascii="宋体" w:hAnsi="宋体" w:cs="宋体"/>
                <w:color w:val="auto"/>
                <w:sz w:val="22"/>
                <w:highlight w:val="none"/>
              </w:rPr>
            </w:pPr>
          </w:p>
        </w:tc>
        <w:tc>
          <w:tcPr>
            <w:tcW w:w="2564" w:type="dxa"/>
          </w:tcPr>
          <w:p w14:paraId="0CCFBAE1">
            <w:pPr>
              <w:widowControl w:val="0"/>
              <w:adjustRightInd/>
              <w:snapToGrid/>
              <w:spacing w:line="360" w:lineRule="exact"/>
              <w:rPr>
                <w:rFonts w:ascii="宋体" w:hAnsi="宋体" w:cs="宋体"/>
                <w:color w:val="auto"/>
                <w:sz w:val="22"/>
                <w:highlight w:val="none"/>
              </w:rPr>
            </w:pPr>
          </w:p>
        </w:tc>
        <w:tc>
          <w:tcPr>
            <w:tcW w:w="2458" w:type="dxa"/>
          </w:tcPr>
          <w:p w14:paraId="5F4487F5">
            <w:pPr>
              <w:widowControl w:val="0"/>
              <w:adjustRightInd/>
              <w:snapToGrid/>
              <w:spacing w:line="360" w:lineRule="exact"/>
              <w:rPr>
                <w:rFonts w:ascii="宋体" w:hAnsi="宋体" w:cs="宋体"/>
                <w:color w:val="auto"/>
                <w:sz w:val="22"/>
                <w:highlight w:val="none"/>
              </w:rPr>
            </w:pPr>
          </w:p>
        </w:tc>
      </w:tr>
      <w:tr w14:paraId="3F17A9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08639EC4">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15</w:t>
            </w:r>
          </w:p>
        </w:tc>
        <w:tc>
          <w:tcPr>
            <w:tcW w:w="2331" w:type="dxa"/>
          </w:tcPr>
          <w:p w14:paraId="11FC1958">
            <w:pPr>
              <w:widowControl w:val="0"/>
              <w:adjustRightInd/>
              <w:snapToGrid/>
              <w:spacing w:line="360" w:lineRule="exact"/>
              <w:rPr>
                <w:rFonts w:ascii="宋体" w:hAnsi="宋体" w:cs="宋体"/>
                <w:color w:val="auto"/>
                <w:sz w:val="22"/>
                <w:highlight w:val="none"/>
              </w:rPr>
            </w:pPr>
          </w:p>
        </w:tc>
        <w:tc>
          <w:tcPr>
            <w:tcW w:w="2564" w:type="dxa"/>
          </w:tcPr>
          <w:p w14:paraId="2F514AAD">
            <w:pPr>
              <w:widowControl w:val="0"/>
              <w:adjustRightInd/>
              <w:snapToGrid/>
              <w:spacing w:line="360" w:lineRule="exact"/>
              <w:rPr>
                <w:rFonts w:ascii="宋体" w:hAnsi="宋体" w:cs="宋体"/>
                <w:color w:val="auto"/>
                <w:sz w:val="22"/>
                <w:highlight w:val="none"/>
              </w:rPr>
            </w:pPr>
          </w:p>
        </w:tc>
        <w:tc>
          <w:tcPr>
            <w:tcW w:w="2458" w:type="dxa"/>
          </w:tcPr>
          <w:p w14:paraId="2016A601">
            <w:pPr>
              <w:widowControl w:val="0"/>
              <w:adjustRightInd/>
              <w:snapToGrid/>
              <w:spacing w:line="360" w:lineRule="exact"/>
              <w:rPr>
                <w:rFonts w:ascii="宋体" w:hAnsi="宋体" w:cs="宋体"/>
                <w:color w:val="auto"/>
                <w:sz w:val="22"/>
                <w:highlight w:val="none"/>
              </w:rPr>
            </w:pPr>
          </w:p>
        </w:tc>
      </w:tr>
      <w:tr w14:paraId="3963D5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7F8A3D6F">
            <w:pPr>
              <w:widowControl w:val="0"/>
              <w:adjustRightInd/>
              <w:snapToGrid/>
              <w:spacing w:line="360" w:lineRule="exact"/>
              <w:ind w:firstLine="220" w:firstLineChars="100"/>
              <w:rPr>
                <w:rFonts w:ascii="宋体" w:hAnsi="宋体" w:cs="宋体"/>
                <w:color w:val="auto"/>
                <w:sz w:val="22"/>
                <w:highlight w:val="none"/>
              </w:rPr>
            </w:pPr>
          </w:p>
        </w:tc>
        <w:tc>
          <w:tcPr>
            <w:tcW w:w="2331" w:type="dxa"/>
          </w:tcPr>
          <w:p w14:paraId="028ECE87">
            <w:pPr>
              <w:widowControl w:val="0"/>
              <w:adjustRightInd/>
              <w:snapToGrid/>
              <w:spacing w:line="360" w:lineRule="exact"/>
              <w:rPr>
                <w:rFonts w:ascii="宋体" w:hAnsi="宋体" w:cs="宋体"/>
                <w:color w:val="auto"/>
                <w:sz w:val="22"/>
                <w:highlight w:val="none"/>
              </w:rPr>
            </w:pPr>
          </w:p>
        </w:tc>
        <w:tc>
          <w:tcPr>
            <w:tcW w:w="2564" w:type="dxa"/>
          </w:tcPr>
          <w:p w14:paraId="71F0365B">
            <w:pPr>
              <w:widowControl w:val="0"/>
              <w:adjustRightInd/>
              <w:snapToGrid/>
              <w:spacing w:line="360" w:lineRule="exact"/>
              <w:rPr>
                <w:rFonts w:ascii="宋体" w:hAnsi="宋体" w:cs="宋体"/>
                <w:color w:val="auto"/>
                <w:sz w:val="22"/>
                <w:highlight w:val="none"/>
              </w:rPr>
            </w:pPr>
          </w:p>
        </w:tc>
        <w:tc>
          <w:tcPr>
            <w:tcW w:w="2458" w:type="dxa"/>
          </w:tcPr>
          <w:p w14:paraId="15036EEA">
            <w:pPr>
              <w:widowControl w:val="0"/>
              <w:adjustRightInd/>
              <w:snapToGrid/>
              <w:spacing w:line="360" w:lineRule="exact"/>
              <w:rPr>
                <w:rFonts w:ascii="宋体" w:hAnsi="宋体" w:cs="宋体"/>
                <w:color w:val="auto"/>
                <w:sz w:val="22"/>
                <w:highlight w:val="none"/>
              </w:rPr>
            </w:pPr>
          </w:p>
        </w:tc>
      </w:tr>
      <w:tr w14:paraId="63FEF8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309E3360">
            <w:pPr>
              <w:widowControl w:val="0"/>
              <w:adjustRightInd/>
              <w:snapToGrid/>
              <w:spacing w:line="360" w:lineRule="exact"/>
              <w:ind w:firstLine="220" w:firstLineChars="100"/>
              <w:rPr>
                <w:rFonts w:ascii="宋体" w:hAnsi="宋体" w:cs="宋体"/>
                <w:color w:val="auto"/>
                <w:sz w:val="22"/>
                <w:highlight w:val="none"/>
              </w:rPr>
            </w:pPr>
          </w:p>
        </w:tc>
        <w:tc>
          <w:tcPr>
            <w:tcW w:w="2331" w:type="dxa"/>
          </w:tcPr>
          <w:p w14:paraId="641850F2">
            <w:pPr>
              <w:widowControl w:val="0"/>
              <w:adjustRightInd/>
              <w:snapToGrid/>
              <w:spacing w:line="360" w:lineRule="exact"/>
              <w:rPr>
                <w:rFonts w:ascii="宋体" w:hAnsi="宋体" w:cs="宋体"/>
                <w:color w:val="auto"/>
                <w:sz w:val="22"/>
                <w:highlight w:val="none"/>
              </w:rPr>
            </w:pPr>
          </w:p>
        </w:tc>
        <w:tc>
          <w:tcPr>
            <w:tcW w:w="2564" w:type="dxa"/>
          </w:tcPr>
          <w:p w14:paraId="2C670E30">
            <w:pPr>
              <w:widowControl w:val="0"/>
              <w:adjustRightInd/>
              <w:snapToGrid/>
              <w:spacing w:line="360" w:lineRule="exact"/>
              <w:rPr>
                <w:rFonts w:ascii="宋体" w:hAnsi="宋体" w:cs="宋体"/>
                <w:color w:val="auto"/>
                <w:sz w:val="22"/>
                <w:highlight w:val="none"/>
              </w:rPr>
            </w:pPr>
          </w:p>
        </w:tc>
        <w:tc>
          <w:tcPr>
            <w:tcW w:w="2458" w:type="dxa"/>
          </w:tcPr>
          <w:p w14:paraId="233D9640">
            <w:pPr>
              <w:widowControl w:val="0"/>
              <w:adjustRightInd/>
              <w:snapToGrid/>
              <w:spacing w:line="360" w:lineRule="exact"/>
              <w:rPr>
                <w:rFonts w:ascii="宋体" w:hAnsi="宋体" w:cs="宋体"/>
                <w:color w:val="auto"/>
                <w:sz w:val="22"/>
                <w:highlight w:val="none"/>
              </w:rPr>
            </w:pPr>
          </w:p>
        </w:tc>
      </w:tr>
    </w:tbl>
    <w:p w14:paraId="413C2363">
      <w:pPr>
        <w:jc w:val="both"/>
        <w:outlineLvl w:val="9"/>
        <w:rPr>
          <w:rFonts w:hint="eastAsia"/>
          <w:color w:val="auto"/>
          <w:highlight w:val="none"/>
        </w:rPr>
      </w:pPr>
      <w:r>
        <w:rPr>
          <w:rFonts w:hint="eastAsia"/>
          <w:color w:val="auto"/>
          <w:highlight w:val="none"/>
        </w:rPr>
        <w:t>备注：</w:t>
      </w:r>
    </w:p>
    <w:p w14:paraId="29C04141">
      <w:pPr>
        <w:jc w:val="both"/>
        <w:outlineLvl w:val="9"/>
        <w:rPr>
          <w:rFonts w:hint="eastAsia"/>
          <w:color w:val="auto"/>
          <w:highlight w:val="none"/>
        </w:rPr>
      </w:pPr>
      <w:r>
        <w:rPr>
          <w:rFonts w:hint="eastAsia"/>
          <w:color w:val="auto"/>
          <w:highlight w:val="none"/>
        </w:rPr>
        <w:t>1、以上为拟投入本项目不少于5辆运输车辆清单，投标人可根据情况增加，不得减少。</w:t>
      </w:r>
      <w:r>
        <w:rPr>
          <w:rFonts w:hint="eastAsia"/>
          <w:color w:val="auto"/>
          <w:highlight w:val="none"/>
          <w:lang w:val="en-US" w:eastAsia="zh-CN"/>
        </w:rPr>
        <w:t>以上</w:t>
      </w:r>
      <w:r>
        <w:rPr>
          <w:rFonts w:hint="eastAsia"/>
          <w:color w:val="auto"/>
          <w:highlight w:val="none"/>
        </w:rPr>
        <w:t>名单为初步填写，后续如需更换，</w:t>
      </w:r>
      <w:r>
        <w:rPr>
          <w:rFonts w:hint="eastAsia"/>
          <w:color w:val="auto"/>
          <w:highlight w:val="none"/>
          <w:lang w:val="en-US" w:eastAsia="zh-CN"/>
        </w:rPr>
        <w:t>需</w:t>
      </w:r>
      <w:r>
        <w:rPr>
          <w:rFonts w:hint="eastAsia"/>
          <w:color w:val="auto"/>
          <w:highlight w:val="none"/>
        </w:rPr>
        <w:t>征得采购人</w:t>
      </w:r>
      <w:r>
        <w:rPr>
          <w:rFonts w:hint="eastAsia"/>
          <w:color w:val="auto"/>
          <w:highlight w:val="none"/>
          <w:lang w:val="en-US" w:eastAsia="zh-CN"/>
        </w:rPr>
        <w:t>书面</w:t>
      </w:r>
      <w:r>
        <w:rPr>
          <w:rFonts w:hint="eastAsia"/>
          <w:color w:val="auto"/>
          <w:highlight w:val="none"/>
        </w:rPr>
        <w:t>同意后方可更换。</w:t>
      </w:r>
    </w:p>
    <w:p w14:paraId="230DB5D3">
      <w:pPr>
        <w:jc w:val="both"/>
        <w:outlineLvl w:val="9"/>
        <w:rPr>
          <w:rFonts w:hint="eastAsia"/>
          <w:color w:val="auto"/>
          <w:highlight w:val="none"/>
        </w:rPr>
      </w:pPr>
      <w:r>
        <w:rPr>
          <w:rFonts w:hint="eastAsia"/>
          <w:color w:val="auto"/>
          <w:highlight w:val="none"/>
        </w:rPr>
        <w:t>2、资料要求：</w:t>
      </w:r>
    </w:p>
    <w:p w14:paraId="43ECB6A7">
      <w:pPr>
        <w:jc w:val="both"/>
        <w:outlineLvl w:val="9"/>
        <w:rPr>
          <w:rFonts w:hint="eastAsia"/>
          <w:color w:val="auto"/>
          <w:highlight w:val="none"/>
        </w:rPr>
      </w:pPr>
      <w:r>
        <w:rPr>
          <w:rFonts w:hint="eastAsia"/>
          <w:b/>
          <w:bCs/>
          <w:color w:val="auto"/>
          <w:highlight w:val="none"/>
        </w:rPr>
        <w:t>【投标时提供】</w:t>
      </w:r>
      <w:r>
        <w:rPr>
          <w:rFonts w:hint="eastAsia"/>
          <w:color w:val="auto"/>
          <w:highlight w:val="none"/>
        </w:rPr>
        <w:t>不少于5辆运输车辆的《道路运输证》（加盖公章），其中：厢车标段须为</w:t>
      </w:r>
      <w:r>
        <w:rPr>
          <w:rFonts w:hint="eastAsia"/>
          <w:b/>
          <w:bCs/>
          <w:color w:val="auto"/>
          <w:highlight w:val="none"/>
          <w:lang w:val="en-US" w:eastAsia="zh-CN"/>
        </w:rPr>
        <w:t>投标人</w:t>
      </w:r>
      <w:r>
        <w:rPr>
          <w:rFonts w:hint="eastAsia"/>
          <w:b/>
          <w:bCs/>
          <w:color w:val="auto"/>
          <w:highlight w:val="none"/>
        </w:rPr>
        <w:t>自有厢车</w:t>
      </w:r>
      <w:r>
        <w:rPr>
          <w:rFonts w:hint="eastAsia"/>
          <w:color w:val="auto"/>
          <w:highlight w:val="none"/>
        </w:rPr>
        <w:t>（根据《道路运输证》业务名称与投标人名称是否一致进行判断）；槽车标段</w:t>
      </w:r>
      <w:r>
        <w:rPr>
          <w:rFonts w:hint="eastAsia"/>
          <w:b/>
          <w:bCs/>
          <w:color w:val="auto"/>
          <w:highlight w:val="none"/>
        </w:rPr>
        <w:t>可为</w:t>
      </w:r>
      <w:r>
        <w:rPr>
          <w:rFonts w:hint="eastAsia"/>
          <w:b/>
          <w:bCs/>
          <w:color w:val="auto"/>
          <w:highlight w:val="none"/>
          <w:lang w:val="en-US" w:eastAsia="zh-CN"/>
        </w:rPr>
        <w:t>投标人</w:t>
      </w:r>
      <w:r>
        <w:rPr>
          <w:rFonts w:hint="eastAsia"/>
          <w:b/>
          <w:bCs/>
          <w:color w:val="auto"/>
          <w:highlight w:val="none"/>
        </w:rPr>
        <w:t>自有槽车</w:t>
      </w:r>
      <w:r>
        <w:rPr>
          <w:rFonts w:hint="eastAsia"/>
          <w:color w:val="auto"/>
          <w:highlight w:val="none"/>
        </w:rPr>
        <w:t>（根据《道路运输证》业户名称与投标人名称是否一致进行判断）</w:t>
      </w:r>
      <w:r>
        <w:rPr>
          <w:rFonts w:hint="eastAsia"/>
          <w:b/>
          <w:bCs/>
          <w:color w:val="auto"/>
          <w:highlight w:val="none"/>
        </w:rPr>
        <w:t>或合作方槽车</w:t>
      </w:r>
      <w:r>
        <w:rPr>
          <w:rFonts w:hint="eastAsia"/>
          <w:color w:val="auto"/>
          <w:highlight w:val="none"/>
        </w:rPr>
        <w:t>（提供合作方的合同或合作协议，根据投标列示</w:t>
      </w:r>
      <w:r>
        <w:rPr>
          <w:rFonts w:hint="eastAsia"/>
          <w:color w:val="auto"/>
          <w:highlight w:val="none"/>
          <w:lang w:val="en-US" w:eastAsia="zh-CN"/>
        </w:rPr>
        <w:t>的</w:t>
      </w:r>
      <w:r>
        <w:rPr>
          <w:rFonts w:hint="eastAsia"/>
          <w:color w:val="auto"/>
          <w:highlight w:val="none"/>
        </w:rPr>
        <w:t>《道路运输证》业户名称与合同或合作协议上的名称是否一致进行判断）</w:t>
      </w:r>
    </w:p>
    <w:p w14:paraId="149F8568">
      <w:pPr>
        <w:widowControl w:val="0"/>
        <w:adjustRightInd/>
        <w:snapToGrid/>
        <w:spacing w:line="360" w:lineRule="exact"/>
        <w:ind w:firstLine="0" w:firstLineChars="0"/>
        <w:rPr>
          <w:rFonts w:hint="eastAsia"/>
          <w:color w:val="auto"/>
          <w:highlight w:val="none"/>
        </w:rPr>
      </w:pPr>
      <w:r>
        <w:rPr>
          <w:rFonts w:hint="eastAsia"/>
          <w:b/>
          <w:bCs/>
          <w:color w:val="auto"/>
          <w:highlight w:val="none"/>
        </w:rPr>
        <w:t>【中标后向甲方备案】</w:t>
      </w:r>
      <w:r>
        <w:rPr>
          <w:rFonts w:hint="eastAsia"/>
          <w:color w:val="auto"/>
          <w:highlight w:val="none"/>
        </w:rPr>
        <w:t>不少于5辆运输车辆的行驶证、道路运输证、强制险保单、商业险保单、危险货物承运人保单、GPS定位系统安装证明、视频监控接入证明等。</w:t>
      </w:r>
    </w:p>
    <w:p w14:paraId="704C5226">
      <w:pPr>
        <w:widowControl w:val="0"/>
        <w:adjustRightInd/>
        <w:snapToGrid/>
        <w:spacing w:line="360" w:lineRule="exact"/>
        <w:ind w:firstLine="0" w:firstLineChars="0"/>
        <w:rPr>
          <w:rFonts w:hint="eastAsia"/>
          <w:color w:val="auto"/>
          <w:highlight w:val="none"/>
          <w:lang w:eastAsia="zh-CN"/>
        </w:rPr>
      </w:pPr>
    </w:p>
    <w:p w14:paraId="0055AE39">
      <w:pPr>
        <w:pStyle w:val="42"/>
        <w:ind w:firstLine="0" w:firstLineChars="0"/>
        <w:rPr>
          <w:rFonts w:ascii="宋体" w:eastAsia="宋体" w:cs="宋体"/>
          <w:color w:val="auto"/>
          <w:sz w:val="22"/>
          <w:highlight w:val="none"/>
        </w:rPr>
      </w:pPr>
      <w:r>
        <w:rPr>
          <w:rFonts w:hint="eastAsia" w:ascii="宋体" w:eastAsia="宋体" w:cs="宋体"/>
          <w:color w:val="auto"/>
          <w:sz w:val="22"/>
          <w:highlight w:val="none"/>
        </w:rPr>
        <w:t>投标人名称（加盖公章）：</w:t>
      </w:r>
    </w:p>
    <w:p w14:paraId="75A74A5A">
      <w:pPr>
        <w:pStyle w:val="42"/>
        <w:spacing w:before="180" w:beforeLines="50" w:after="180" w:afterLines="50" w:line="360" w:lineRule="exact"/>
        <w:ind w:firstLine="0" w:firstLineChars="0"/>
        <w:jc w:val="both"/>
        <w:outlineLvl w:val="9"/>
        <w:rPr>
          <w:highlight w:val="none"/>
        </w:rPr>
      </w:pPr>
      <w:r>
        <w:rPr>
          <w:rFonts w:hint="eastAsia" w:ascii="宋体" w:eastAsia="宋体" w:cs="宋体"/>
          <w:color w:val="auto"/>
          <w:sz w:val="22"/>
          <w:highlight w:val="none"/>
        </w:rPr>
        <w:t>日      期：</w:t>
      </w:r>
    </w:p>
    <w:p w14:paraId="0F2ADEFA">
      <w:pPr>
        <w:outlineLvl w:val="9"/>
        <w:rPr>
          <w:highlight w:val="none"/>
        </w:rPr>
      </w:pPr>
      <w:r>
        <w:rPr>
          <w:highlight w:val="none"/>
        </w:rPr>
        <w:br w:type="page"/>
      </w:r>
    </w:p>
    <w:p w14:paraId="0DADD73F">
      <w:pPr>
        <w:spacing w:before="180" w:beforeLines="50" w:after="180" w:afterLines="50" w:line="360" w:lineRule="exact"/>
        <w:jc w:val="center"/>
        <w:rPr>
          <w:rFonts w:ascii="Times New Roman" w:hAnsi="Times New Roman" w:cs="Times New Roman"/>
          <w:b/>
          <w:color w:val="auto"/>
          <w:sz w:val="22"/>
          <w:highlight w:val="none"/>
        </w:rPr>
      </w:pPr>
      <w:r>
        <w:rPr>
          <w:rFonts w:ascii="Times New Roman" w:hAnsi="Times New Roman" w:cs="Times New Roman"/>
          <w:b/>
          <w:color w:val="auto"/>
          <w:sz w:val="22"/>
          <w:highlight w:val="none"/>
        </w:rPr>
        <w:t>运输人员</w:t>
      </w:r>
      <w:r>
        <w:rPr>
          <w:rFonts w:hint="eastAsia" w:ascii="Times New Roman" w:hAnsi="Times New Roman" w:cs="Times New Roman"/>
          <w:b/>
          <w:color w:val="auto"/>
          <w:sz w:val="22"/>
          <w:highlight w:val="none"/>
          <w:lang w:val="en-US" w:eastAsia="zh-CN"/>
        </w:rPr>
        <w:t>花</w:t>
      </w:r>
      <w:r>
        <w:rPr>
          <w:rFonts w:ascii="Times New Roman" w:hAnsi="Times New Roman" w:cs="Times New Roman"/>
          <w:b/>
          <w:color w:val="auto"/>
          <w:sz w:val="22"/>
          <w:highlight w:val="none"/>
        </w:rPr>
        <w:t>名册</w:t>
      </w:r>
    </w:p>
    <w:tbl>
      <w:tblPr>
        <w:tblStyle w:val="2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43"/>
        <w:gridCol w:w="2331"/>
        <w:gridCol w:w="2564"/>
        <w:gridCol w:w="2458"/>
      </w:tblGrid>
      <w:tr w14:paraId="1FDF34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943" w:type="dxa"/>
          </w:tcPr>
          <w:p w14:paraId="0B1C300B">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序号</w:t>
            </w:r>
          </w:p>
        </w:tc>
        <w:tc>
          <w:tcPr>
            <w:tcW w:w="2331" w:type="dxa"/>
          </w:tcPr>
          <w:p w14:paraId="09F39EC6">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人员名单</w:t>
            </w:r>
          </w:p>
        </w:tc>
        <w:tc>
          <w:tcPr>
            <w:tcW w:w="2564" w:type="dxa"/>
          </w:tcPr>
          <w:p w14:paraId="02E7CC3C">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证照（类别）</w:t>
            </w:r>
          </w:p>
        </w:tc>
        <w:tc>
          <w:tcPr>
            <w:tcW w:w="2458" w:type="dxa"/>
          </w:tcPr>
          <w:p w14:paraId="59D75172">
            <w:pPr>
              <w:widowControl w:val="0"/>
              <w:adjustRightInd/>
              <w:snapToGrid/>
              <w:spacing w:line="360" w:lineRule="exact"/>
              <w:ind w:firstLine="660" w:firstLineChars="300"/>
              <w:rPr>
                <w:rFonts w:ascii="宋体" w:hAnsi="宋体" w:cs="宋体"/>
                <w:color w:val="auto"/>
                <w:sz w:val="22"/>
                <w:highlight w:val="none"/>
              </w:rPr>
            </w:pPr>
            <w:r>
              <w:rPr>
                <w:rFonts w:hint="eastAsia" w:ascii="宋体" w:hAnsi="宋体" w:cs="宋体"/>
                <w:color w:val="auto"/>
                <w:sz w:val="22"/>
                <w:highlight w:val="none"/>
              </w:rPr>
              <w:t>备注</w:t>
            </w:r>
          </w:p>
        </w:tc>
      </w:tr>
      <w:tr w14:paraId="30DE32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65725A7A">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w:t>
            </w:r>
          </w:p>
        </w:tc>
        <w:tc>
          <w:tcPr>
            <w:tcW w:w="2331" w:type="dxa"/>
          </w:tcPr>
          <w:p w14:paraId="16635708">
            <w:pPr>
              <w:widowControl w:val="0"/>
              <w:adjustRightInd/>
              <w:snapToGrid/>
              <w:spacing w:line="360" w:lineRule="exact"/>
              <w:rPr>
                <w:rFonts w:ascii="宋体" w:hAnsi="宋体" w:cs="宋体"/>
                <w:color w:val="auto"/>
                <w:sz w:val="22"/>
                <w:highlight w:val="none"/>
              </w:rPr>
            </w:pPr>
          </w:p>
        </w:tc>
        <w:tc>
          <w:tcPr>
            <w:tcW w:w="2564" w:type="dxa"/>
          </w:tcPr>
          <w:p w14:paraId="7E9FF081">
            <w:pPr>
              <w:widowControl w:val="0"/>
              <w:adjustRightInd/>
              <w:snapToGrid/>
              <w:spacing w:line="360" w:lineRule="exact"/>
              <w:rPr>
                <w:rFonts w:ascii="宋体" w:hAnsi="宋体" w:cs="宋体"/>
                <w:color w:val="auto"/>
                <w:sz w:val="22"/>
                <w:highlight w:val="none"/>
              </w:rPr>
            </w:pPr>
          </w:p>
        </w:tc>
        <w:tc>
          <w:tcPr>
            <w:tcW w:w="2458" w:type="dxa"/>
          </w:tcPr>
          <w:p w14:paraId="57464E7E">
            <w:pPr>
              <w:widowControl w:val="0"/>
              <w:adjustRightInd/>
              <w:snapToGrid/>
              <w:spacing w:line="360" w:lineRule="exact"/>
              <w:rPr>
                <w:rFonts w:ascii="宋体" w:hAnsi="宋体" w:cs="宋体"/>
                <w:color w:val="auto"/>
                <w:sz w:val="22"/>
                <w:highlight w:val="none"/>
              </w:rPr>
            </w:pPr>
          </w:p>
        </w:tc>
      </w:tr>
      <w:tr w14:paraId="4706BF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79DDD2D1">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2</w:t>
            </w:r>
          </w:p>
        </w:tc>
        <w:tc>
          <w:tcPr>
            <w:tcW w:w="2331" w:type="dxa"/>
          </w:tcPr>
          <w:p w14:paraId="717762D1">
            <w:pPr>
              <w:widowControl w:val="0"/>
              <w:adjustRightInd/>
              <w:snapToGrid/>
              <w:spacing w:line="360" w:lineRule="exact"/>
              <w:rPr>
                <w:rFonts w:ascii="宋体" w:hAnsi="宋体" w:cs="宋体"/>
                <w:color w:val="auto"/>
                <w:sz w:val="22"/>
                <w:highlight w:val="none"/>
              </w:rPr>
            </w:pPr>
          </w:p>
        </w:tc>
        <w:tc>
          <w:tcPr>
            <w:tcW w:w="2564" w:type="dxa"/>
          </w:tcPr>
          <w:p w14:paraId="35E36FD4">
            <w:pPr>
              <w:widowControl w:val="0"/>
              <w:adjustRightInd/>
              <w:snapToGrid/>
              <w:spacing w:line="360" w:lineRule="exact"/>
              <w:rPr>
                <w:rFonts w:ascii="宋体" w:hAnsi="宋体" w:cs="宋体"/>
                <w:color w:val="auto"/>
                <w:sz w:val="22"/>
                <w:highlight w:val="none"/>
              </w:rPr>
            </w:pPr>
          </w:p>
        </w:tc>
        <w:tc>
          <w:tcPr>
            <w:tcW w:w="2458" w:type="dxa"/>
          </w:tcPr>
          <w:p w14:paraId="71D400C6">
            <w:pPr>
              <w:widowControl w:val="0"/>
              <w:adjustRightInd/>
              <w:snapToGrid/>
              <w:spacing w:line="360" w:lineRule="exact"/>
              <w:rPr>
                <w:rFonts w:ascii="宋体" w:hAnsi="宋体" w:cs="宋体"/>
                <w:color w:val="auto"/>
                <w:sz w:val="22"/>
                <w:highlight w:val="none"/>
              </w:rPr>
            </w:pPr>
          </w:p>
        </w:tc>
      </w:tr>
      <w:tr w14:paraId="29F955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46536678">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3</w:t>
            </w:r>
          </w:p>
        </w:tc>
        <w:tc>
          <w:tcPr>
            <w:tcW w:w="2331" w:type="dxa"/>
          </w:tcPr>
          <w:p w14:paraId="3036A4B9">
            <w:pPr>
              <w:widowControl w:val="0"/>
              <w:adjustRightInd/>
              <w:snapToGrid/>
              <w:spacing w:line="360" w:lineRule="exact"/>
              <w:rPr>
                <w:rFonts w:ascii="宋体" w:hAnsi="宋体" w:cs="宋体"/>
                <w:color w:val="auto"/>
                <w:sz w:val="22"/>
                <w:highlight w:val="none"/>
              </w:rPr>
            </w:pPr>
          </w:p>
        </w:tc>
        <w:tc>
          <w:tcPr>
            <w:tcW w:w="2564" w:type="dxa"/>
          </w:tcPr>
          <w:p w14:paraId="57E6B242">
            <w:pPr>
              <w:widowControl w:val="0"/>
              <w:adjustRightInd/>
              <w:snapToGrid/>
              <w:spacing w:line="360" w:lineRule="exact"/>
              <w:rPr>
                <w:rFonts w:ascii="宋体" w:hAnsi="宋体" w:cs="宋体"/>
                <w:color w:val="auto"/>
                <w:sz w:val="22"/>
                <w:highlight w:val="none"/>
              </w:rPr>
            </w:pPr>
          </w:p>
        </w:tc>
        <w:tc>
          <w:tcPr>
            <w:tcW w:w="2458" w:type="dxa"/>
          </w:tcPr>
          <w:p w14:paraId="16DE9BB4">
            <w:pPr>
              <w:widowControl w:val="0"/>
              <w:adjustRightInd/>
              <w:snapToGrid/>
              <w:spacing w:line="360" w:lineRule="exact"/>
              <w:rPr>
                <w:rFonts w:ascii="宋体" w:hAnsi="宋体" w:cs="宋体"/>
                <w:color w:val="auto"/>
                <w:sz w:val="22"/>
                <w:highlight w:val="none"/>
              </w:rPr>
            </w:pPr>
          </w:p>
        </w:tc>
      </w:tr>
      <w:tr w14:paraId="47CB08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3E05DB65">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4</w:t>
            </w:r>
          </w:p>
        </w:tc>
        <w:tc>
          <w:tcPr>
            <w:tcW w:w="2331" w:type="dxa"/>
          </w:tcPr>
          <w:p w14:paraId="6F6FE64E">
            <w:pPr>
              <w:widowControl w:val="0"/>
              <w:adjustRightInd/>
              <w:snapToGrid/>
              <w:spacing w:line="360" w:lineRule="exact"/>
              <w:rPr>
                <w:rFonts w:ascii="宋体" w:hAnsi="宋体" w:cs="宋体"/>
                <w:color w:val="auto"/>
                <w:sz w:val="22"/>
                <w:highlight w:val="none"/>
              </w:rPr>
            </w:pPr>
          </w:p>
        </w:tc>
        <w:tc>
          <w:tcPr>
            <w:tcW w:w="2564" w:type="dxa"/>
          </w:tcPr>
          <w:p w14:paraId="1F4F1B11">
            <w:pPr>
              <w:widowControl w:val="0"/>
              <w:adjustRightInd/>
              <w:snapToGrid/>
              <w:spacing w:line="360" w:lineRule="exact"/>
              <w:rPr>
                <w:rFonts w:ascii="宋体" w:hAnsi="宋体" w:cs="宋体"/>
                <w:color w:val="auto"/>
                <w:sz w:val="22"/>
                <w:highlight w:val="none"/>
              </w:rPr>
            </w:pPr>
          </w:p>
        </w:tc>
        <w:tc>
          <w:tcPr>
            <w:tcW w:w="2458" w:type="dxa"/>
          </w:tcPr>
          <w:p w14:paraId="7E70C5FF">
            <w:pPr>
              <w:widowControl w:val="0"/>
              <w:adjustRightInd/>
              <w:snapToGrid/>
              <w:spacing w:line="360" w:lineRule="exact"/>
              <w:rPr>
                <w:rFonts w:ascii="宋体" w:hAnsi="宋体" w:cs="宋体"/>
                <w:color w:val="auto"/>
                <w:sz w:val="22"/>
                <w:highlight w:val="none"/>
              </w:rPr>
            </w:pPr>
          </w:p>
        </w:tc>
      </w:tr>
      <w:tr w14:paraId="5E5326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5238E142">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5</w:t>
            </w:r>
          </w:p>
        </w:tc>
        <w:tc>
          <w:tcPr>
            <w:tcW w:w="2331" w:type="dxa"/>
          </w:tcPr>
          <w:p w14:paraId="0C5C6F4F">
            <w:pPr>
              <w:widowControl w:val="0"/>
              <w:adjustRightInd/>
              <w:snapToGrid/>
              <w:spacing w:line="360" w:lineRule="exact"/>
              <w:rPr>
                <w:rFonts w:ascii="宋体" w:hAnsi="宋体" w:cs="宋体"/>
                <w:color w:val="auto"/>
                <w:sz w:val="22"/>
                <w:highlight w:val="none"/>
              </w:rPr>
            </w:pPr>
          </w:p>
        </w:tc>
        <w:tc>
          <w:tcPr>
            <w:tcW w:w="2564" w:type="dxa"/>
          </w:tcPr>
          <w:p w14:paraId="23C77F2D">
            <w:pPr>
              <w:widowControl w:val="0"/>
              <w:adjustRightInd/>
              <w:snapToGrid/>
              <w:spacing w:line="360" w:lineRule="exact"/>
              <w:rPr>
                <w:rFonts w:ascii="宋体" w:hAnsi="宋体" w:cs="宋体"/>
                <w:color w:val="auto"/>
                <w:sz w:val="22"/>
                <w:highlight w:val="none"/>
              </w:rPr>
            </w:pPr>
          </w:p>
        </w:tc>
        <w:tc>
          <w:tcPr>
            <w:tcW w:w="2458" w:type="dxa"/>
          </w:tcPr>
          <w:p w14:paraId="092FF520">
            <w:pPr>
              <w:widowControl w:val="0"/>
              <w:adjustRightInd/>
              <w:snapToGrid/>
              <w:spacing w:line="360" w:lineRule="exact"/>
              <w:rPr>
                <w:rFonts w:ascii="宋体" w:hAnsi="宋体" w:cs="宋体"/>
                <w:color w:val="auto"/>
                <w:sz w:val="22"/>
                <w:highlight w:val="none"/>
              </w:rPr>
            </w:pPr>
          </w:p>
        </w:tc>
      </w:tr>
      <w:tr w14:paraId="272DB9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6A49C639">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6</w:t>
            </w:r>
          </w:p>
        </w:tc>
        <w:tc>
          <w:tcPr>
            <w:tcW w:w="2331" w:type="dxa"/>
          </w:tcPr>
          <w:p w14:paraId="2813DB8D">
            <w:pPr>
              <w:widowControl w:val="0"/>
              <w:adjustRightInd/>
              <w:snapToGrid/>
              <w:spacing w:line="360" w:lineRule="exact"/>
              <w:rPr>
                <w:rFonts w:ascii="宋体" w:hAnsi="宋体" w:cs="宋体"/>
                <w:color w:val="auto"/>
                <w:sz w:val="22"/>
                <w:highlight w:val="none"/>
              </w:rPr>
            </w:pPr>
          </w:p>
        </w:tc>
        <w:tc>
          <w:tcPr>
            <w:tcW w:w="2564" w:type="dxa"/>
          </w:tcPr>
          <w:p w14:paraId="5B0F65A3">
            <w:pPr>
              <w:widowControl w:val="0"/>
              <w:adjustRightInd/>
              <w:snapToGrid/>
              <w:spacing w:line="360" w:lineRule="exact"/>
              <w:rPr>
                <w:rFonts w:ascii="宋体" w:hAnsi="宋体" w:cs="宋体"/>
                <w:color w:val="auto"/>
                <w:sz w:val="22"/>
                <w:highlight w:val="none"/>
              </w:rPr>
            </w:pPr>
          </w:p>
        </w:tc>
        <w:tc>
          <w:tcPr>
            <w:tcW w:w="2458" w:type="dxa"/>
          </w:tcPr>
          <w:p w14:paraId="57A507B9">
            <w:pPr>
              <w:widowControl w:val="0"/>
              <w:adjustRightInd/>
              <w:snapToGrid/>
              <w:spacing w:line="360" w:lineRule="exact"/>
              <w:rPr>
                <w:rFonts w:ascii="宋体" w:hAnsi="宋体" w:cs="宋体"/>
                <w:color w:val="auto"/>
                <w:sz w:val="22"/>
                <w:highlight w:val="none"/>
              </w:rPr>
            </w:pPr>
          </w:p>
        </w:tc>
      </w:tr>
      <w:tr w14:paraId="750BE4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2B13FF17">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7</w:t>
            </w:r>
          </w:p>
        </w:tc>
        <w:tc>
          <w:tcPr>
            <w:tcW w:w="2331" w:type="dxa"/>
          </w:tcPr>
          <w:p w14:paraId="686F864C">
            <w:pPr>
              <w:widowControl w:val="0"/>
              <w:adjustRightInd/>
              <w:snapToGrid/>
              <w:spacing w:line="360" w:lineRule="exact"/>
              <w:rPr>
                <w:rFonts w:ascii="宋体" w:hAnsi="宋体" w:cs="宋体"/>
                <w:color w:val="auto"/>
                <w:sz w:val="22"/>
                <w:highlight w:val="none"/>
              </w:rPr>
            </w:pPr>
          </w:p>
        </w:tc>
        <w:tc>
          <w:tcPr>
            <w:tcW w:w="2564" w:type="dxa"/>
          </w:tcPr>
          <w:p w14:paraId="7F5EFE70">
            <w:pPr>
              <w:widowControl w:val="0"/>
              <w:adjustRightInd/>
              <w:snapToGrid/>
              <w:spacing w:line="360" w:lineRule="exact"/>
              <w:rPr>
                <w:rFonts w:ascii="宋体" w:hAnsi="宋体" w:cs="宋体"/>
                <w:color w:val="auto"/>
                <w:sz w:val="22"/>
                <w:highlight w:val="none"/>
              </w:rPr>
            </w:pPr>
          </w:p>
        </w:tc>
        <w:tc>
          <w:tcPr>
            <w:tcW w:w="2458" w:type="dxa"/>
          </w:tcPr>
          <w:p w14:paraId="34EE548C">
            <w:pPr>
              <w:widowControl w:val="0"/>
              <w:adjustRightInd/>
              <w:snapToGrid/>
              <w:spacing w:line="360" w:lineRule="exact"/>
              <w:rPr>
                <w:rFonts w:ascii="宋体" w:hAnsi="宋体" w:cs="宋体"/>
                <w:color w:val="auto"/>
                <w:sz w:val="22"/>
                <w:highlight w:val="none"/>
              </w:rPr>
            </w:pPr>
          </w:p>
        </w:tc>
      </w:tr>
      <w:tr w14:paraId="5FB847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24A8C86C">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8</w:t>
            </w:r>
          </w:p>
        </w:tc>
        <w:tc>
          <w:tcPr>
            <w:tcW w:w="2331" w:type="dxa"/>
          </w:tcPr>
          <w:p w14:paraId="4E3E7ECC">
            <w:pPr>
              <w:widowControl w:val="0"/>
              <w:adjustRightInd/>
              <w:snapToGrid/>
              <w:spacing w:line="360" w:lineRule="exact"/>
              <w:rPr>
                <w:rFonts w:ascii="宋体" w:hAnsi="宋体" w:cs="宋体"/>
                <w:color w:val="auto"/>
                <w:sz w:val="22"/>
                <w:highlight w:val="none"/>
              </w:rPr>
            </w:pPr>
          </w:p>
        </w:tc>
        <w:tc>
          <w:tcPr>
            <w:tcW w:w="2564" w:type="dxa"/>
          </w:tcPr>
          <w:p w14:paraId="6237CB51">
            <w:pPr>
              <w:widowControl w:val="0"/>
              <w:adjustRightInd/>
              <w:snapToGrid/>
              <w:spacing w:line="360" w:lineRule="exact"/>
              <w:rPr>
                <w:rFonts w:ascii="宋体" w:hAnsi="宋体" w:cs="宋体"/>
                <w:color w:val="auto"/>
                <w:sz w:val="22"/>
                <w:highlight w:val="none"/>
              </w:rPr>
            </w:pPr>
          </w:p>
        </w:tc>
        <w:tc>
          <w:tcPr>
            <w:tcW w:w="2458" w:type="dxa"/>
          </w:tcPr>
          <w:p w14:paraId="332AFE0E">
            <w:pPr>
              <w:widowControl w:val="0"/>
              <w:adjustRightInd/>
              <w:snapToGrid/>
              <w:spacing w:line="360" w:lineRule="exact"/>
              <w:rPr>
                <w:rFonts w:ascii="宋体" w:hAnsi="宋体" w:cs="宋体"/>
                <w:color w:val="auto"/>
                <w:sz w:val="22"/>
                <w:highlight w:val="none"/>
              </w:rPr>
            </w:pPr>
          </w:p>
        </w:tc>
      </w:tr>
      <w:tr w14:paraId="655AC8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74951A9C">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9</w:t>
            </w:r>
          </w:p>
        </w:tc>
        <w:tc>
          <w:tcPr>
            <w:tcW w:w="2331" w:type="dxa"/>
          </w:tcPr>
          <w:p w14:paraId="57C00B13">
            <w:pPr>
              <w:widowControl w:val="0"/>
              <w:adjustRightInd/>
              <w:snapToGrid/>
              <w:spacing w:line="360" w:lineRule="exact"/>
              <w:rPr>
                <w:rFonts w:ascii="宋体" w:hAnsi="宋体" w:cs="宋体"/>
                <w:color w:val="auto"/>
                <w:sz w:val="22"/>
                <w:highlight w:val="none"/>
              </w:rPr>
            </w:pPr>
          </w:p>
        </w:tc>
        <w:tc>
          <w:tcPr>
            <w:tcW w:w="2564" w:type="dxa"/>
          </w:tcPr>
          <w:p w14:paraId="3A96E103">
            <w:pPr>
              <w:widowControl w:val="0"/>
              <w:adjustRightInd/>
              <w:snapToGrid/>
              <w:spacing w:line="360" w:lineRule="exact"/>
              <w:rPr>
                <w:rFonts w:ascii="宋体" w:hAnsi="宋体" w:cs="宋体"/>
                <w:color w:val="auto"/>
                <w:sz w:val="22"/>
                <w:highlight w:val="none"/>
              </w:rPr>
            </w:pPr>
          </w:p>
        </w:tc>
        <w:tc>
          <w:tcPr>
            <w:tcW w:w="2458" w:type="dxa"/>
          </w:tcPr>
          <w:p w14:paraId="37236F53">
            <w:pPr>
              <w:widowControl w:val="0"/>
              <w:adjustRightInd/>
              <w:snapToGrid/>
              <w:spacing w:line="360" w:lineRule="exact"/>
              <w:rPr>
                <w:rFonts w:ascii="宋体" w:hAnsi="宋体" w:cs="宋体"/>
                <w:color w:val="auto"/>
                <w:sz w:val="22"/>
                <w:highlight w:val="none"/>
              </w:rPr>
            </w:pPr>
          </w:p>
        </w:tc>
      </w:tr>
      <w:tr w14:paraId="1C9EFF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4AFF19BB">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10</w:t>
            </w:r>
          </w:p>
        </w:tc>
        <w:tc>
          <w:tcPr>
            <w:tcW w:w="2331" w:type="dxa"/>
          </w:tcPr>
          <w:p w14:paraId="0B48C0AC">
            <w:pPr>
              <w:widowControl w:val="0"/>
              <w:adjustRightInd/>
              <w:snapToGrid/>
              <w:spacing w:line="360" w:lineRule="exact"/>
              <w:rPr>
                <w:rFonts w:ascii="宋体" w:hAnsi="宋体" w:cs="宋体"/>
                <w:color w:val="auto"/>
                <w:sz w:val="22"/>
                <w:highlight w:val="none"/>
              </w:rPr>
            </w:pPr>
          </w:p>
        </w:tc>
        <w:tc>
          <w:tcPr>
            <w:tcW w:w="2564" w:type="dxa"/>
          </w:tcPr>
          <w:p w14:paraId="43DF32CC">
            <w:pPr>
              <w:widowControl w:val="0"/>
              <w:adjustRightInd/>
              <w:snapToGrid/>
              <w:spacing w:line="360" w:lineRule="exact"/>
              <w:rPr>
                <w:rFonts w:ascii="宋体" w:hAnsi="宋体" w:cs="宋体"/>
                <w:color w:val="auto"/>
                <w:sz w:val="22"/>
                <w:highlight w:val="none"/>
              </w:rPr>
            </w:pPr>
          </w:p>
        </w:tc>
        <w:tc>
          <w:tcPr>
            <w:tcW w:w="2458" w:type="dxa"/>
          </w:tcPr>
          <w:p w14:paraId="78021D1E">
            <w:pPr>
              <w:widowControl w:val="0"/>
              <w:adjustRightInd/>
              <w:snapToGrid/>
              <w:spacing w:line="360" w:lineRule="exact"/>
              <w:rPr>
                <w:rFonts w:ascii="宋体" w:hAnsi="宋体" w:cs="宋体"/>
                <w:color w:val="auto"/>
                <w:sz w:val="22"/>
                <w:highlight w:val="none"/>
              </w:rPr>
            </w:pPr>
          </w:p>
        </w:tc>
      </w:tr>
      <w:tr w14:paraId="522F16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32DC4855">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11</w:t>
            </w:r>
          </w:p>
        </w:tc>
        <w:tc>
          <w:tcPr>
            <w:tcW w:w="2331" w:type="dxa"/>
          </w:tcPr>
          <w:p w14:paraId="2F390C0B">
            <w:pPr>
              <w:widowControl w:val="0"/>
              <w:adjustRightInd/>
              <w:snapToGrid/>
              <w:spacing w:line="360" w:lineRule="exact"/>
              <w:rPr>
                <w:rFonts w:ascii="宋体" w:hAnsi="宋体" w:cs="宋体"/>
                <w:color w:val="auto"/>
                <w:sz w:val="22"/>
                <w:highlight w:val="none"/>
              </w:rPr>
            </w:pPr>
          </w:p>
        </w:tc>
        <w:tc>
          <w:tcPr>
            <w:tcW w:w="2564" w:type="dxa"/>
          </w:tcPr>
          <w:p w14:paraId="6E7E364D">
            <w:pPr>
              <w:widowControl w:val="0"/>
              <w:adjustRightInd/>
              <w:snapToGrid/>
              <w:spacing w:line="360" w:lineRule="exact"/>
              <w:rPr>
                <w:rFonts w:ascii="宋体" w:hAnsi="宋体" w:cs="宋体"/>
                <w:color w:val="auto"/>
                <w:sz w:val="22"/>
                <w:highlight w:val="none"/>
              </w:rPr>
            </w:pPr>
          </w:p>
        </w:tc>
        <w:tc>
          <w:tcPr>
            <w:tcW w:w="2458" w:type="dxa"/>
          </w:tcPr>
          <w:p w14:paraId="67994395">
            <w:pPr>
              <w:widowControl w:val="0"/>
              <w:adjustRightInd/>
              <w:snapToGrid/>
              <w:spacing w:line="360" w:lineRule="exact"/>
              <w:rPr>
                <w:rFonts w:ascii="宋体" w:hAnsi="宋体" w:cs="宋体"/>
                <w:color w:val="auto"/>
                <w:sz w:val="22"/>
                <w:highlight w:val="none"/>
              </w:rPr>
            </w:pPr>
          </w:p>
        </w:tc>
      </w:tr>
      <w:tr w14:paraId="4437A6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1E36DBDA">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12</w:t>
            </w:r>
          </w:p>
        </w:tc>
        <w:tc>
          <w:tcPr>
            <w:tcW w:w="2331" w:type="dxa"/>
          </w:tcPr>
          <w:p w14:paraId="476F58B1">
            <w:pPr>
              <w:widowControl w:val="0"/>
              <w:adjustRightInd/>
              <w:snapToGrid/>
              <w:spacing w:line="360" w:lineRule="exact"/>
              <w:rPr>
                <w:rFonts w:ascii="宋体" w:hAnsi="宋体" w:cs="宋体"/>
                <w:color w:val="auto"/>
                <w:sz w:val="22"/>
                <w:highlight w:val="none"/>
              </w:rPr>
            </w:pPr>
          </w:p>
        </w:tc>
        <w:tc>
          <w:tcPr>
            <w:tcW w:w="2564" w:type="dxa"/>
          </w:tcPr>
          <w:p w14:paraId="05EB7D7D">
            <w:pPr>
              <w:widowControl w:val="0"/>
              <w:adjustRightInd/>
              <w:snapToGrid/>
              <w:spacing w:line="360" w:lineRule="exact"/>
              <w:rPr>
                <w:rFonts w:ascii="宋体" w:hAnsi="宋体" w:cs="宋体"/>
                <w:color w:val="auto"/>
                <w:sz w:val="22"/>
                <w:highlight w:val="none"/>
              </w:rPr>
            </w:pPr>
          </w:p>
        </w:tc>
        <w:tc>
          <w:tcPr>
            <w:tcW w:w="2458" w:type="dxa"/>
          </w:tcPr>
          <w:p w14:paraId="418D7F85">
            <w:pPr>
              <w:widowControl w:val="0"/>
              <w:adjustRightInd/>
              <w:snapToGrid/>
              <w:spacing w:line="360" w:lineRule="exact"/>
              <w:rPr>
                <w:rFonts w:ascii="宋体" w:hAnsi="宋体" w:cs="宋体"/>
                <w:color w:val="auto"/>
                <w:sz w:val="22"/>
                <w:highlight w:val="none"/>
              </w:rPr>
            </w:pPr>
          </w:p>
        </w:tc>
      </w:tr>
      <w:tr w14:paraId="18B250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3FFF2B83">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13</w:t>
            </w:r>
          </w:p>
        </w:tc>
        <w:tc>
          <w:tcPr>
            <w:tcW w:w="2331" w:type="dxa"/>
          </w:tcPr>
          <w:p w14:paraId="5E4C9426">
            <w:pPr>
              <w:widowControl w:val="0"/>
              <w:adjustRightInd/>
              <w:snapToGrid/>
              <w:spacing w:line="360" w:lineRule="exact"/>
              <w:rPr>
                <w:rFonts w:ascii="宋体" w:hAnsi="宋体" w:cs="宋体"/>
                <w:color w:val="auto"/>
                <w:sz w:val="22"/>
                <w:highlight w:val="none"/>
              </w:rPr>
            </w:pPr>
          </w:p>
        </w:tc>
        <w:tc>
          <w:tcPr>
            <w:tcW w:w="2564" w:type="dxa"/>
          </w:tcPr>
          <w:p w14:paraId="1FE7E572">
            <w:pPr>
              <w:widowControl w:val="0"/>
              <w:adjustRightInd/>
              <w:snapToGrid/>
              <w:spacing w:line="360" w:lineRule="exact"/>
              <w:rPr>
                <w:rFonts w:ascii="宋体" w:hAnsi="宋体" w:cs="宋体"/>
                <w:color w:val="auto"/>
                <w:sz w:val="22"/>
                <w:highlight w:val="none"/>
              </w:rPr>
            </w:pPr>
          </w:p>
        </w:tc>
        <w:tc>
          <w:tcPr>
            <w:tcW w:w="2458" w:type="dxa"/>
          </w:tcPr>
          <w:p w14:paraId="0FCBF7A6">
            <w:pPr>
              <w:widowControl w:val="0"/>
              <w:adjustRightInd/>
              <w:snapToGrid/>
              <w:spacing w:line="360" w:lineRule="exact"/>
              <w:rPr>
                <w:rFonts w:ascii="宋体" w:hAnsi="宋体" w:cs="宋体"/>
                <w:color w:val="auto"/>
                <w:sz w:val="22"/>
                <w:highlight w:val="none"/>
              </w:rPr>
            </w:pPr>
          </w:p>
        </w:tc>
      </w:tr>
      <w:tr w14:paraId="2F8556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00ABBC3E">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14</w:t>
            </w:r>
          </w:p>
        </w:tc>
        <w:tc>
          <w:tcPr>
            <w:tcW w:w="2331" w:type="dxa"/>
          </w:tcPr>
          <w:p w14:paraId="0ED0EBB2">
            <w:pPr>
              <w:widowControl w:val="0"/>
              <w:adjustRightInd/>
              <w:snapToGrid/>
              <w:spacing w:line="360" w:lineRule="exact"/>
              <w:rPr>
                <w:rFonts w:ascii="宋体" w:hAnsi="宋体" w:cs="宋体"/>
                <w:color w:val="auto"/>
                <w:sz w:val="22"/>
                <w:highlight w:val="none"/>
              </w:rPr>
            </w:pPr>
          </w:p>
        </w:tc>
        <w:tc>
          <w:tcPr>
            <w:tcW w:w="2564" w:type="dxa"/>
          </w:tcPr>
          <w:p w14:paraId="6BEBE601">
            <w:pPr>
              <w:widowControl w:val="0"/>
              <w:adjustRightInd/>
              <w:snapToGrid/>
              <w:spacing w:line="360" w:lineRule="exact"/>
              <w:rPr>
                <w:rFonts w:ascii="宋体" w:hAnsi="宋体" w:cs="宋体"/>
                <w:color w:val="auto"/>
                <w:sz w:val="22"/>
                <w:highlight w:val="none"/>
              </w:rPr>
            </w:pPr>
          </w:p>
        </w:tc>
        <w:tc>
          <w:tcPr>
            <w:tcW w:w="2458" w:type="dxa"/>
          </w:tcPr>
          <w:p w14:paraId="041E2079">
            <w:pPr>
              <w:widowControl w:val="0"/>
              <w:adjustRightInd/>
              <w:snapToGrid/>
              <w:spacing w:line="360" w:lineRule="exact"/>
              <w:rPr>
                <w:rFonts w:ascii="宋体" w:hAnsi="宋体" w:cs="宋体"/>
                <w:color w:val="auto"/>
                <w:sz w:val="22"/>
                <w:highlight w:val="none"/>
              </w:rPr>
            </w:pPr>
          </w:p>
        </w:tc>
      </w:tr>
      <w:tr w14:paraId="24F118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2D769EE5">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15</w:t>
            </w:r>
          </w:p>
        </w:tc>
        <w:tc>
          <w:tcPr>
            <w:tcW w:w="2331" w:type="dxa"/>
          </w:tcPr>
          <w:p w14:paraId="508E1FF8">
            <w:pPr>
              <w:widowControl w:val="0"/>
              <w:adjustRightInd/>
              <w:snapToGrid/>
              <w:spacing w:line="360" w:lineRule="exact"/>
              <w:rPr>
                <w:rFonts w:ascii="宋体" w:hAnsi="宋体" w:cs="宋体"/>
                <w:color w:val="auto"/>
                <w:sz w:val="22"/>
                <w:highlight w:val="none"/>
              </w:rPr>
            </w:pPr>
          </w:p>
        </w:tc>
        <w:tc>
          <w:tcPr>
            <w:tcW w:w="2564" w:type="dxa"/>
          </w:tcPr>
          <w:p w14:paraId="19BCB0B6">
            <w:pPr>
              <w:widowControl w:val="0"/>
              <w:adjustRightInd/>
              <w:snapToGrid/>
              <w:spacing w:line="360" w:lineRule="exact"/>
              <w:rPr>
                <w:rFonts w:ascii="宋体" w:hAnsi="宋体" w:cs="宋体"/>
                <w:color w:val="auto"/>
                <w:sz w:val="22"/>
                <w:highlight w:val="none"/>
              </w:rPr>
            </w:pPr>
          </w:p>
        </w:tc>
        <w:tc>
          <w:tcPr>
            <w:tcW w:w="2458" w:type="dxa"/>
          </w:tcPr>
          <w:p w14:paraId="317BCC3F">
            <w:pPr>
              <w:widowControl w:val="0"/>
              <w:adjustRightInd/>
              <w:snapToGrid/>
              <w:spacing w:line="360" w:lineRule="exact"/>
              <w:rPr>
                <w:rFonts w:ascii="宋体" w:hAnsi="宋体" w:cs="宋体"/>
                <w:color w:val="auto"/>
                <w:sz w:val="22"/>
                <w:highlight w:val="none"/>
              </w:rPr>
            </w:pPr>
          </w:p>
        </w:tc>
      </w:tr>
      <w:tr w14:paraId="391EFC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79940557">
            <w:pPr>
              <w:widowControl w:val="0"/>
              <w:adjustRightInd/>
              <w:snapToGrid/>
              <w:spacing w:line="360" w:lineRule="exact"/>
              <w:ind w:firstLine="220" w:firstLineChars="100"/>
              <w:rPr>
                <w:rFonts w:ascii="宋体" w:hAnsi="宋体" w:cs="宋体"/>
                <w:color w:val="auto"/>
                <w:sz w:val="22"/>
                <w:highlight w:val="none"/>
              </w:rPr>
            </w:pPr>
          </w:p>
        </w:tc>
        <w:tc>
          <w:tcPr>
            <w:tcW w:w="2331" w:type="dxa"/>
          </w:tcPr>
          <w:p w14:paraId="74110FC2">
            <w:pPr>
              <w:widowControl w:val="0"/>
              <w:adjustRightInd/>
              <w:snapToGrid/>
              <w:spacing w:line="360" w:lineRule="exact"/>
              <w:rPr>
                <w:rFonts w:ascii="宋体" w:hAnsi="宋体" w:cs="宋体"/>
                <w:color w:val="auto"/>
                <w:sz w:val="22"/>
                <w:highlight w:val="none"/>
              </w:rPr>
            </w:pPr>
          </w:p>
        </w:tc>
        <w:tc>
          <w:tcPr>
            <w:tcW w:w="2564" w:type="dxa"/>
          </w:tcPr>
          <w:p w14:paraId="505DBD9E">
            <w:pPr>
              <w:widowControl w:val="0"/>
              <w:adjustRightInd/>
              <w:snapToGrid/>
              <w:spacing w:line="360" w:lineRule="exact"/>
              <w:rPr>
                <w:rFonts w:ascii="宋体" w:hAnsi="宋体" w:cs="宋体"/>
                <w:color w:val="auto"/>
                <w:sz w:val="22"/>
                <w:highlight w:val="none"/>
              </w:rPr>
            </w:pPr>
          </w:p>
        </w:tc>
        <w:tc>
          <w:tcPr>
            <w:tcW w:w="2458" w:type="dxa"/>
          </w:tcPr>
          <w:p w14:paraId="130EEDC8">
            <w:pPr>
              <w:widowControl w:val="0"/>
              <w:adjustRightInd/>
              <w:snapToGrid/>
              <w:spacing w:line="360" w:lineRule="exact"/>
              <w:rPr>
                <w:rFonts w:ascii="宋体" w:hAnsi="宋体" w:cs="宋体"/>
                <w:color w:val="auto"/>
                <w:sz w:val="22"/>
                <w:highlight w:val="none"/>
              </w:rPr>
            </w:pPr>
          </w:p>
        </w:tc>
      </w:tr>
      <w:tr w14:paraId="0C3DC9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2192F817">
            <w:pPr>
              <w:widowControl w:val="0"/>
              <w:adjustRightInd/>
              <w:snapToGrid/>
              <w:spacing w:line="360" w:lineRule="exact"/>
              <w:ind w:firstLine="220" w:firstLineChars="100"/>
              <w:rPr>
                <w:rFonts w:ascii="宋体" w:hAnsi="宋体" w:cs="宋体"/>
                <w:color w:val="auto"/>
                <w:sz w:val="22"/>
                <w:highlight w:val="none"/>
              </w:rPr>
            </w:pPr>
          </w:p>
        </w:tc>
        <w:tc>
          <w:tcPr>
            <w:tcW w:w="2331" w:type="dxa"/>
          </w:tcPr>
          <w:p w14:paraId="1ADC320D">
            <w:pPr>
              <w:widowControl w:val="0"/>
              <w:adjustRightInd/>
              <w:snapToGrid/>
              <w:spacing w:line="360" w:lineRule="exact"/>
              <w:rPr>
                <w:rFonts w:ascii="宋体" w:hAnsi="宋体" w:cs="宋体"/>
                <w:color w:val="auto"/>
                <w:sz w:val="22"/>
                <w:highlight w:val="none"/>
              </w:rPr>
            </w:pPr>
          </w:p>
        </w:tc>
        <w:tc>
          <w:tcPr>
            <w:tcW w:w="2564" w:type="dxa"/>
          </w:tcPr>
          <w:p w14:paraId="74423BB1">
            <w:pPr>
              <w:widowControl w:val="0"/>
              <w:adjustRightInd/>
              <w:snapToGrid/>
              <w:spacing w:line="360" w:lineRule="exact"/>
              <w:rPr>
                <w:rFonts w:ascii="宋体" w:hAnsi="宋体" w:cs="宋体"/>
                <w:color w:val="auto"/>
                <w:sz w:val="22"/>
                <w:highlight w:val="none"/>
              </w:rPr>
            </w:pPr>
          </w:p>
        </w:tc>
        <w:tc>
          <w:tcPr>
            <w:tcW w:w="2458" w:type="dxa"/>
          </w:tcPr>
          <w:p w14:paraId="344663E2">
            <w:pPr>
              <w:widowControl w:val="0"/>
              <w:adjustRightInd/>
              <w:snapToGrid/>
              <w:spacing w:line="360" w:lineRule="exact"/>
              <w:rPr>
                <w:rFonts w:ascii="宋体" w:hAnsi="宋体" w:cs="宋体"/>
                <w:color w:val="auto"/>
                <w:sz w:val="22"/>
                <w:highlight w:val="none"/>
              </w:rPr>
            </w:pPr>
          </w:p>
        </w:tc>
      </w:tr>
    </w:tbl>
    <w:p w14:paraId="4B0EB1BE">
      <w:pPr>
        <w:widowControl w:val="0"/>
        <w:adjustRightInd/>
        <w:snapToGrid/>
        <w:spacing w:line="360" w:lineRule="exact"/>
        <w:ind w:firstLine="440" w:firstLineChars="200"/>
        <w:jc w:val="both"/>
        <w:rPr>
          <w:rFonts w:hint="eastAsia" w:ascii="宋体" w:hAnsi="宋体" w:cs="宋体"/>
          <w:color w:val="auto"/>
          <w:sz w:val="22"/>
          <w:highlight w:val="none"/>
        </w:rPr>
      </w:pPr>
      <w:r>
        <w:rPr>
          <w:rFonts w:hint="eastAsia" w:ascii="宋体" w:hAnsi="宋体" w:cs="宋体"/>
          <w:color w:val="auto"/>
          <w:sz w:val="22"/>
          <w:highlight w:val="none"/>
        </w:rPr>
        <w:t>备注：</w:t>
      </w:r>
    </w:p>
    <w:p w14:paraId="57DA16D1">
      <w:pPr>
        <w:widowControl w:val="0"/>
        <w:adjustRightInd/>
        <w:snapToGrid/>
        <w:spacing w:line="360" w:lineRule="exact"/>
        <w:ind w:firstLine="440" w:firstLineChars="200"/>
        <w:jc w:val="both"/>
        <w:rPr>
          <w:rFonts w:hint="eastAsia" w:ascii="宋体" w:hAnsi="宋体" w:cs="宋体"/>
          <w:color w:val="auto"/>
          <w:sz w:val="22"/>
          <w:highlight w:val="none"/>
        </w:rPr>
      </w:pPr>
      <w:r>
        <w:rPr>
          <w:rFonts w:hint="eastAsia" w:ascii="宋体" w:hAnsi="宋体" w:cs="宋体"/>
          <w:color w:val="auto"/>
          <w:sz w:val="22"/>
          <w:highlight w:val="none"/>
        </w:rPr>
        <w:t>1、以上为拟投入本项目不少于5名驾驶员和不少于5名押运员人员名单表，投标人可根据情况增加，不得减少。具体人员名单为初步填写，后续如需更换，</w:t>
      </w:r>
      <w:r>
        <w:rPr>
          <w:rFonts w:hint="eastAsia" w:ascii="宋体" w:hAnsi="宋体" w:cs="宋体"/>
          <w:color w:val="auto"/>
          <w:sz w:val="22"/>
          <w:highlight w:val="none"/>
          <w:lang w:val="en-US" w:eastAsia="zh-CN"/>
        </w:rPr>
        <w:t>需</w:t>
      </w:r>
      <w:r>
        <w:rPr>
          <w:rFonts w:hint="eastAsia" w:ascii="宋体" w:hAnsi="宋体" w:cs="宋体"/>
          <w:color w:val="auto"/>
          <w:sz w:val="22"/>
          <w:highlight w:val="none"/>
        </w:rPr>
        <w:t>征得采购人</w:t>
      </w:r>
      <w:r>
        <w:rPr>
          <w:rFonts w:hint="eastAsia" w:ascii="宋体" w:hAnsi="宋体" w:cs="宋体"/>
          <w:color w:val="auto"/>
          <w:sz w:val="22"/>
          <w:highlight w:val="none"/>
          <w:lang w:val="en-US" w:eastAsia="zh-CN"/>
        </w:rPr>
        <w:t>书面</w:t>
      </w:r>
      <w:r>
        <w:rPr>
          <w:rFonts w:hint="eastAsia" w:ascii="宋体" w:hAnsi="宋体" w:cs="宋体"/>
          <w:color w:val="auto"/>
          <w:sz w:val="22"/>
          <w:highlight w:val="none"/>
        </w:rPr>
        <w:t>同意后方可更换。</w:t>
      </w:r>
    </w:p>
    <w:p w14:paraId="36FCD4CF">
      <w:pPr>
        <w:widowControl w:val="0"/>
        <w:adjustRightInd/>
        <w:snapToGrid/>
        <w:spacing w:line="360" w:lineRule="exact"/>
        <w:ind w:firstLine="440" w:firstLineChars="200"/>
        <w:jc w:val="both"/>
        <w:rPr>
          <w:rFonts w:hint="eastAsia" w:ascii="宋体" w:hAnsi="宋体" w:cs="宋体"/>
          <w:color w:val="auto"/>
          <w:sz w:val="22"/>
          <w:highlight w:val="none"/>
        </w:rPr>
      </w:pPr>
      <w:r>
        <w:rPr>
          <w:rFonts w:hint="eastAsia" w:ascii="宋体" w:hAnsi="宋体" w:cs="宋体"/>
          <w:color w:val="auto"/>
          <w:sz w:val="22"/>
          <w:highlight w:val="none"/>
          <w:lang w:val="en-US" w:eastAsia="zh-CN"/>
        </w:rPr>
        <w:t>2</w:t>
      </w:r>
      <w:r>
        <w:rPr>
          <w:rFonts w:hint="eastAsia" w:ascii="宋体" w:hAnsi="宋体" w:cs="宋体"/>
          <w:color w:val="auto"/>
          <w:sz w:val="22"/>
          <w:highlight w:val="none"/>
        </w:rPr>
        <w:t>、资料要求：</w:t>
      </w:r>
    </w:p>
    <w:p w14:paraId="4029BE61">
      <w:pPr>
        <w:widowControl w:val="0"/>
        <w:adjustRightInd/>
        <w:snapToGrid/>
        <w:spacing w:line="360" w:lineRule="exact"/>
        <w:ind w:firstLine="442" w:firstLineChars="200"/>
        <w:jc w:val="both"/>
        <w:rPr>
          <w:rFonts w:hint="eastAsia" w:ascii="宋体" w:hAnsi="宋体" w:cs="宋体"/>
          <w:color w:val="auto"/>
          <w:sz w:val="22"/>
          <w:highlight w:val="none"/>
        </w:rPr>
      </w:pPr>
      <w:r>
        <w:rPr>
          <w:rFonts w:hint="eastAsia" w:ascii="宋体" w:hAnsi="宋体" w:cs="宋体"/>
          <w:b/>
          <w:bCs/>
          <w:color w:val="auto"/>
          <w:sz w:val="22"/>
          <w:highlight w:val="none"/>
        </w:rPr>
        <w:t>【投标时提供】</w:t>
      </w:r>
      <w:r>
        <w:rPr>
          <w:rFonts w:hint="eastAsia" w:ascii="宋体" w:hAnsi="宋体" w:cs="宋体"/>
          <w:color w:val="auto"/>
          <w:sz w:val="22"/>
          <w:highlight w:val="none"/>
        </w:rPr>
        <w:t>不少于5名驾驶员的《道路运输从业人员从业资格证》及不少于5名押运员的《道路运输从业人员从业资格证》，加盖公章。</w:t>
      </w:r>
    </w:p>
    <w:p w14:paraId="474735EB">
      <w:pPr>
        <w:widowControl w:val="0"/>
        <w:adjustRightInd/>
        <w:snapToGrid/>
        <w:spacing w:line="360" w:lineRule="exact"/>
        <w:ind w:firstLine="442" w:firstLineChars="200"/>
        <w:jc w:val="both"/>
        <w:rPr>
          <w:rFonts w:hint="default" w:ascii="宋体" w:hAnsi="宋体" w:eastAsia="宋体" w:cs="宋体"/>
          <w:color w:val="auto"/>
          <w:sz w:val="22"/>
          <w:highlight w:val="none"/>
          <w:lang w:val="en-US" w:eastAsia="zh-CN"/>
        </w:rPr>
      </w:pPr>
      <w:r>
        <w:rPr>
          <w:rFonts w:hint="eastAsia" w:ascii="宋体" w:hAnsi="宋体" w:cs="宋体"/>
          <w:b/>
          <w:bCs/>
          <w:color w:val="auto"/>
          <w:sz w:val="22"/>
          <w:highlight w:val="none"/>
        </w:rPr>
        <w:t>【中标后</w:t>
      </w:r>
      <w:r>
        <w:rPr>
          <w:rFonts w:hint="eastAsia" w:ascii="宋体" w:hAnsi="宋体" w:cs="宋体"/>
          <w:b/>
          <w:bCs/>
          <w:color w:val="auto"/>
          <w:sz w:val="22"/>
          <w:highlight w:val="none"/>
          <w:lang w:val="en-US" w:eastAsia="zh-CN"/>
        </w:rPr>
        <w:t>向甲方备案</w:t>
      </w:r>
      <w:r>
        <w:rPr>
          <w:rFonts w:hint="eastAsia" w:ascii="宋体" w:hAnsi="宋体" w:cs="宋体"/>
          <w:b/>
          <w:bCs/>
          <w:color w:val="auto"/>
          <w:sz w:val="22"/>
          <w:highlight w:val="none"/>
        </w:rPr>
        <w:t>】</w:t>
      </w:r>
      <w:r>
        <w:rPr>
          <w:rFonts w:hint="eastAsia" w:ascii="宋体" w:hAnsi="宋体" w:cs="宋体"/>
          <w:color w:val="auto"/>
          <w:sz w:val="22"/>
          <w:highlight w:val="none"/>
        </w:rPr>
        <w:t>不少于5名驾驶员的身份证、</w:t>
      </w:r>
      <w:r>
        <w:rPr>
          <w:rFonts w:hint="eastAsia" w:ascii="宋体" w:hAnsi="宋体" w:cs="宋体"/>
          <w:color w:val="auto"/>
          <w:sz w:val="22"/>
          <w:highlight w:val="none"/>
          <w:lang w:val="en-US" w:eastAsia="zh-CN"/>
        </w:rPr>
        <w:t>驾驶证、</w:t>
      </w:r>
      <w:r>
        <w:rPr>
          <w:rFonts w:hint="eastAsia" w:ascii="宋体" w:hAnsi="宋体" w:cs="宋体"/>
          <w:color w:val="auto"/>
          <w:sz w:val="22"/>
          <w:highlight w:val="none"/>
        </w:rPr>
        <w:t>《道路运输从业人员从业资格证》</w:t>
      </w:r>
      <w:r>
        <w:rPr>
          <w:rFonts w:hint="eastAsia" w:ascii="宋体" w:hAnsi="宋体" w:cs="宋体"/>
          <w:color w:val="auto"/>
          <w:sz w:val="22"/>
          <w:highlight w:val="none"/>
          <w:lang w:val="en-US" w:eastAsia="zh-CN"/>
        </w:rPr>
        <w:t>和保险证明等；不少于5名押运员的身份证、</w:t>
      </w:r>
      <w:r>
        <w:rPr>
          <w:rFonts w:hint="eastAsia" w:ascii="宋体" w:hAnsi="宋体" w:cs="宋体"/>
          <w:color w:val="auto"/>
          <w:sz w:val="22"/>
          <w:highlight w:val="none"/>
        </w:rPr>
        <w:t>《道路运输从业人员从业资格证》</w:t>
      </w:r>
      <w:r>
        <w:rPr>
          <w:rFonts w:hint="eastAsia" w:ascii="宋体" w:hAnsi="宋体" w:cs="宋体"/>
          <w:color w:val="auto"/>
          <w:sz w:val="22"/>
          <w:highlight w:val="none"/>
          <w:lang w:val="en-US" w:eastAsia="zh-CN"/>
        </w:rPr>
        <w:t>和保险证明等。</w:t>
      </w:r>
    </w:p>
    <w:p w14:paraId="22C55503">
      <w:pPr>
        <w:spacing w:before="180" w:beforeLines="50" w:after="180" w:afterLines="50" w:line="360" w:lineRule="exact"/>
        <w:jc w:val="center"/>
        <w:rPr>
          <w:rFonts w:hint="eastAsia" w:ascii="Times New Roman" w:hAnsi="Times New Roman" w:cs="Times New Roman"/>
          <w:b/>
          <w:color w:val="auto"/>
          <w:sz w:val="22"/>
          <w:highlight w:val="none"/>
        </w:rPr>
      </w:pPr>
    </w:p>
    <w:p w14:paraId="0F053BBB">
      <w:pPr>
        <w:pStyle w:val="42"/>
        <w:ind w:firstLine="0" w:firstLineChars="0"/>
        <w:rPr>
          <w:rFonts w:ascii="宋体" w:eastAsia="宋体" w:cs="宋体"/>
          <w:color w:val="auto"/>
          <w:sz w:val="22"/>
          <w:highlight w:val="none"/>
        </w:rPr>
      </w:pPr>
      <w:r>
        <w:rPr>
          <w:rFonts w:hint="eastAsia" w:ascii="宋体" w:eastAsia="宋体" w:cs="宋体"/>
          <w:color w:val="auto"/>
          <w:sz w:val="22"/>
          <w:highlight w:val="none"/>
        </w:rPr>
        <w:t>投标人名称（加盖公章）：</w:t>
      </w:r>
    </w:p>
    <w:p w14:paraId="3338BE94">
      <w:pPr>
        <w:pStyle w:val="42"/>
        <w:spacing w:before="180" w:beforeLines="50" w:after="180" w:afterLines="50" w:line="360" w:lineRule="exact"/>
        <w:ind w:firstLine="0" w:firstLineChars="0"/>
        <w:jc w:val="both"/>
        <w:rPr>
          <w:rFonts w:hint="eastAsia" w:ascii="Times New Roman" w:hAnsi="Times New Roman" w:cs="Times New Roman"/>
          <w:b/>
          <w:color w:val="auto"/>
          <w:sz w:val="22"/>
          <w:highlight w:val="none"/>
        </w:rPr>
      </w:pPr>
      <w:r>
        <w:rPr>
          <w:rFonts w:hint="eastAsia" w:ascii="宋体" w:eastAsia="宋体" w:cs="宋体"/>
          <w:color w:val="auto"/>
          <w:sz w:val="22"/>
          <w:highlight w:val="none"/>
        </w:rPr>
        <w:t>日      期：</w:t>
      </w:r>
    </w:p>
    <w:p w14:paraId="6BC8D618">
      <w:pPr>
        <w:spacing w:before="0" w:beforeLines="-2147483648" w:after="0" w:afterLines="-2147483648" w:line="240" w:lineRule="auto"/>
        <w:jc w:val="left"/>
        <w:rPr>
          <w:rFonts w:hint="eastAsia" w:ascii="Times New Roman" w:hAnsi="Times New Roman" w:cs="Times New Roman"/>
          <w:b/>
          <w:color w:val="auto"/>
          <w:sz w:val="22"/>
          <w:highlight w:val="none"/>
        </w:rPr>
      </w:pPr>
      <w:r>
        <w:rPr>
          <w:rFonts w:hint="eastAsia" w:ascii="Times New Roman" w:hAnsi="Times New Roman" w:cs="Times New Roman"/>
          <w:b/>
          <w:color w:val="auto"/>
          <w:sz w:val="22"/>
          <w:highlight w:val="none"/>
        </w:rPr>
        <w:br w:type="page"/>
      </w:r>
    </w:p>
    <w:p w14:paraId="1924A2B8">
      <w:pPr>
        <w:outlineLvl w:val="3"/>
        <w:rPr>
          <w:rFonts w:hint="eastAsia" w:ascii="宋体" w:hAnsi="宋体"/>
          <w:color w:val="auto"/>
          <w:sz w:val="21"/>
          <w:szCs w:val="21"/>
          <w:highlight w:val="none"/>
        </w:rPr>
      </w:pPr>
      <w:bookmarkStart w:id="1160" w:name="_Toc5726"/>
      <w:bookmarkStart w:id="1161" w:name="_Toc17830"/>
      <w:bookmarkStart w:id="1162" w:name="_Toc19958"/>
      <w:bookmarkStart w:id="1163" w:name="_Toc24546"/>
      <w:bookmarkStart w:id="1164" w:name="_Toc13232"/>
      <w:r>
        <w:rPr>
          <w:rFonts w:hint="eastAsia" w:ascii="宋体" w:hAnsi="宋体"/>
          <w:color w:val="auto"/>
          <w:sz w:val="21"/>
          <w:szCs w:val="21"/>
          <w:highlight w:val="none"/>
        </w:rPr>
        <w:t>附件1</w:t>
      </w:r>
      <w:r>
        <w:rPr>
          <w:rFonts w:hint="eastAsia" w:ascii="宋体" w:hAnsi="宋体"/>
          <w:color w:val="auto"/>
          <w:sz w:val="21"/>
          <w:szCs w:val="21"/>
          <w:highlight w:val="none"/>
          <w:lang w:val="en-US" w:eastAsia="zh-CN"/>
        </w:rPr>
        <w:t>5</w:t>
      </w:r>
      <w:r>
        <w:rPr>
          <w:rFonts w:hint="eastAsia" w:ascii="宋体" w:hAnsi="宋体"/>
          <w:color w:val="auto"/>
          <w:sz w:val="21"/>
          <w:szCs w:val="21"/>
          <w:highlight w:val="none"/>
        </w:rPr>
        <w:t>.</w:t>
      </w:r>
      <w:r>
        <w:rPr>
          <w:rFonts w:hint="eastAsia" w:ascii="宋体" w:hAnsi="宋体"/>
          <w:color w:val="auto"/>
          <w:sz w:val="21"/>
          <w:szCs w:val="21"/>
          <w:highlight w:val="none"/>
          <w:lang w:eastAsia="zh-CN"/>
        </w:rPr>
        <w:t>“</w:t>
      </w:r>
      <w:r>
        <w:rPr>
          <w:rFonts w:hint="eastAsia" w:hAnsi="宋体"/>
          <w:color w:val="auto"/>
          <w:sz w:val="21"/>
          <w:szCs w:val="21"/>
          <w:highlight w:val="none"/>
        </w:rPr>
        <w:t>★</w:t>
      </w:r>
      <w:r>
        <w:rPr>
          <w:rFonts w:hint="eastAsia" w:ascii="宋体" w:hAnsi="宋体"/>
          <w:color w:val="auto"/>
          <w:sz w:val="21"/>
          <w:szCs w:val="21"/>
          <w:highlight w:val="none"/>
          <w:lang w:eastAsia="zh-CN"/>
        </w:rPr>
        <w:t>”</w:t>
      </w:r>
      <w:r>
        <w:rPr>
          <w:rFonts w:hint="eastAsia" w:ascii="宋体" w:hAnsi="宋体"/>
          <w:color w:val="auto"/>
          <w:sz w:val="21"/>
          <w:szCs w:val="21"/>
          <w:highlight w:val="none"/>
        </w:rPr>
        <w:t>条款</w:t>
      </w:r>
      <w:r>
        <w:rPr>
          <w:rFonts w:hint="eastAsia" w:ascii="宋体" w:hAnsi="宋体"/>
          <w:color w:val="auto"/>
          <w:sz w:val="21"/>
          <w:szCs w:val="21"/>
          <w:highlight w:val="none"/>
          <w:lang w:val="en-US" w:eastAsia="zh-CN"/>
        </w:rPr>
        <w:t>响应</w:t>
      </w:r>
      <w:r>
        <w:rPr>
          <w:rFonts w:hint="eastAsia" w:ascii="宋体" w:hAnsi="宋体"/>
          <w:color w:val="auto"/>
          <w:sz w:val="21"/>
          <w:szCs w:val="21"/>
          <w:highlight w:val="none"/>
        </w:rPr>
        <w:t>表格式</w:t>
      </w:r>
      <w:bookmarkEnd w:id="1160"/>
      <w:bookmarkEnd w:id="1161"/>
      <w:bookmarkEnd w:id="1162"/>
      <w:bookmarkEnd w:id="1163"/>
      <w:bookmarkEnd w:id="1164"/>
    </w:p>
    <w:p w14:paraId="080BAABF">
      <w:pPr>
        <w:rPr>
          <w:highlight w:val="none"/>
        </w:rPr>
      </w:pPr>
    </w:p>
    <w:p w14:paraId="59A4E8E1">
      <w:pPr>
        <w:jc w:val="center"/>
        <w:rPr>
          <w:rFonts w:ascii="黑体" w:eastAsia="黑体"/>
          <w:color w:val="auto"/>
          <w:sz w:val="28"/>
          <w:szCs w:val="28"/>
          <w:highlight w:val="none"/>
        </w:rPr>
      </w:pPr>
      <w:r>
        <w:rPr>
          <w:rFonts w:hint="eastAsia" w:ascii="黑体" w:eastAsia="黑体"/>
          <w:color w:val="auto"/>
          <w:sz w:val="28"/>
          <w:szCs w:val="28"/>
          <w:highlight w:val="none"/>
        </w:rPr>
        <w:t>“★”条款</w:t>
      </w:r>
      <w:r>
        <w:rPr>
          <w:rFonts w:hint="eastAsia" w:ascii="黑体" w:eastAsia="黑体"/>
          <w:color w:val="auto"/>
          <w:sz w:val="28"/>
          <w:szCs w:val="28"/>
          <w:highlight w:val="none"/>
          <w:lang w:val="en-US" w:eastAsia="zh-CN"/>
        </w:rPr>
        <w:t>响应</w:t>
      </w:r>
      <w:r>
        <w:rPr>
          <w:rFonts w:hint="eastAsia" w:ascii="黑体" w:eastAsia="黑体"/>
          <w:color w:val="auto"/>
          <w:sz w:val="28"/>
          <w:szCs w:val="28"/>
          <w:highlight w:val="none"/>
        </w:rPr>
        <w:t>表</w:t>
      </w:r>
    </w:p>
    <w:tbl>
      <w:tblPr>
        <w:tblStyle w:val="28"/>
        <w:tblW w:w="4998"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416"/>
        <w:gridCol w:w="966"/>
        <w:gridCol w:w="4764"/>
        <w:gridCol w:w="1127"/>
        <w:gridCol w:w="1246"/>
      </w:tblGrid>
      <w:tr w14:paraId="0C52D2B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44"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CADC9D7">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highlight w:val="none"/>
                <w:u w:val="none"/>
              </w:rPr>
            </w:pPr>
            <w:r>
              <w:rPr>
                <w:rFonts w:hint="eastAsia" w:ascii="宋体" w:hAnsi="宋体" w:eastAsia="宋体" w:cs="宋体"/>
                <w:i w:val="0"/>
                <w:iCs w:val="0"/>
                <w:color w:val="000000"/>
                <w:kern w:val="0"/>
                <w:sz w:val="20"/>
                <w:szCs w:val="20"/>
                <w:highlight w:val="none"/>
                <w:u w:val="none"/>
                <w:lang w:val="en-US" w:eastAsia="zh-CN" w:bidi="ar"/>
              </w:rPr>
              <w:t>序号</w:t>
            </w:r>
          </w:p>
        </w:tc>
        <w:tc>
          <w:tcPr>
            <w:tcW w:w="56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44C5758">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highlight w:val="none"/>
                <w:u w:val="none"/>
              </w:rPr>
            </w:pPr>
            <w:r>
              <w:rPr>
                <w:rFonts w:hint="eastAsia" w:ascii="宋体" w:hAnsi="宋体" w:eastAsia="宋体" w:cs="宋体"/>
                <w:i w:val="0"/>
                <w:iCs w:val="0"/>
                <w:color w:val="000000"/>
                <w:kern w:val="0"/>
                <w:sz w:val="20"/>
                <w:szCs w:val="20"/>
                <w:highlight w:val="none"/>
                <w:u w:val="none"/>
                <w:lang w:val="en-US" w:eastAsia="zh-CN" w:bidi="ar"/>
              </w:rPr>
              <w:t>条款来源</w:t>
            </w:r>
          </w:p>
        </w:tc>
        <w:tc>
          <w:tcPr>
            <w:tcW w:w="3456"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52590D90">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highlight w:val="none"/>
                <w:u w:val="none"/>
              </w:rPr>
            </w:pPr>
            <w:r>
              <w:rPr>
                <w:rFonts w:hint="eastAsia" w:ascii="宋体" w:hAnsi="宋体" w:eastAsia="宋体" w:cs="宋体"/>
                <w:i w:val="0"/>
                <w:iCs w:val="0"/>
                <w:color w:val="000000"/>
                <w:kern w:val="0"/>
                <w:sz w:val="20"/>
                <w:szCs w:val="20"/>
                <w:highlight w:val="none"/>
                <w:u w:val="none"/>
                <w:lang w:val="en-US" w:eastAsia="zh-CN" w:bidi="ar"/>
              </w:rPr>
              <w:t>采购文件“★”号条款要求</w:t>
            </w:r>
          </w:p>
        </w:tc>
        <w:tc>
          <w:tcPr>
            <w:tcW w:w="73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11AC8F5">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highlight w:val="none"/>
                <w:u w:val="none"/>
              </w:rPr>
            </w:pPr>
            <w:r>
              <w:rPr>
                <w:rFonts w:hint="eastAsia" w:ascii="宋体" w:hAnsi="宋体" w:eastAsia="宋体" w:cs="宋体"/>
                <w:i w:val="0"/>
                <w:iCs w:val="0"/>
                <w:color w:val="000000"/>
                <w:kern w:val="0"/>
                <w:sz w:val="20"/>
                <w:szCs w:val="20"/>
                <w:highlight w:val="none"/>
                <w:u w:val="none"/>
                <w:lang w:val="en-US" w:eastAsia="zh-CN" w:bidi="ar"/>
              </w:rPr>
              <w:t>响应情况</w:t>
            </w:r>
          </w:p>
        </w:tc>
      </w:tr>
      <w:tr w14:paraId="018CBBA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4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44160FB">
            <w:pPr>
              <w:jc w:val="center"/>
              <w:rPr>
                <w:rFonts w:hint="eastAsia" w:ascii="宋体" w:hAnsi="宋体" w:eastAsia="宋体" w:cs="宋体"/>
                <w:i w:val="0"/>
                <w:iCs w:val="0"/>
                <w:color w:val="000000"/>
                <w:sz w:val="20"/>
                <w:szCs w:val="20"/>
                <w:highlight w:val="none"/>
                <w:u w:val="none"/>
              </w:rPr>
            </w:pPr>
          </w:p>
        </w:tc>
        <w:tc>
          <w:tcPr>
            <w:tcW w:w="56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8B4DCA0">
            <w:pPr>
              <w:jc w:val="center"/>
              <w:rPr>
                <w:rFonts w:hint="eastAsia" w:ascii="宋体" w:hAnsi="宋体" w:eastAsia="宋体" w:cs="宋体"/>
                <w:i w:val="0"/>
                <w:iCs w:val="0"/>
                <w:color w:val="000000"/>
                <w:sz w:val="20"/>
                <w:szCs w:val="20"/>
                <w:highlight w:val="none"/>
                <w:u w:val="none"/>
              </w:rPr>
            </w:pPr>
          </w:p>
        </w:tc>
        <w:tc>
          <w:tcPr>
            <w:tcW w:w="27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2C0CBB">
            <w:pPr>
              <w:keepNext w:val="0"/>
              <w:keepLines w:val="0"/>
              <w:widowControl/>
              <w:suppressLineNumbers w:val="0"/>
              <w:jc w:val="center"/>
              <w:textAlignment w:val="center"/>
              <w:rPr>
                <w:rFonts w:hint="eastAsia" w:ascii="宋体" w:hAnsi="宋体" w:eastAsia="宋体" w:cs="宋体"/>
                <w:i w:val="0"/>
                <w:iCs w:val="0"/>
                <w:color w:val="000000"/>
                <w:sz w:val="20"/>
                <w:szCs w:val="20"/>
                <w:highlight w:val="none"/>
                <w:u w:val="none"/>
              </w:rPr>
            </w:pPr>
            <w:r>
              <w:rPr>
                <w:rFonts w:hint="eastAsia" w:ascii="宋体" w:hAnsi="宋体" w:eastAsia="宋体" w:cs="宋体"/>
                <w:i w:val="0"/>
                <w:iCs w:val="0"/>
                <w:color w:val="000000"/>
                <w:kern w:val="0"/>
                <w:sz w:val="20"/>
                <w:szCs w:val="20"/>
                <w:highlight w:val="none"/>
                <w:u w:val="none"/>
                <w:lang w:val="en-US" w:eastAsia="zh-CN" w:bidi="ar"/>
              </w:rPr>
              <w:t>响应内容要求</w:t>
            </w:r>
          </w:p>
        </w:tc>
        <w:tc>
          <w:tcPr>
            <w:tcW w:w="66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CC3395">
            <w:pPr>
              <w:keepNext w:val="0"/>
              <w:keepLines w:val="0"/>
              <w:widowControl/>
              <w:suppressLineNumbers w:val="0"/>
              <w:jc w:val="center"/>
              <w:textAlignment w:val="center"/>
              <w:rPr>
                <w:rFonts w:hint="eastAsia" w:ascii="宋体" w:hAnsi="宋体" w:eastAsia="宋体" w:cs="宋体"/>
                <w:i w:val="0"/>
                <w:iCs w:val="0"/>
                <w:color w:val="000000"/>
                <w:sz w:val="20"/>
                <w:szCs w:val="20"/>
                <w:highlight w:val="none"/>
                <w:u w:val="none"/>
              </w:rPr>
            </w:pPr>
            <w:r>
              <w:rPr>
                <w:rFonts w:hint="eastAsia" w:ascii="宋体" w:hAnsi="宋体" w:eastAsia="宋体" w:cs="宋体"/>
                <w:i w:val="0"/>
                <w:iCs w:val="0"/>
                <w:color w:val="000000"/>
                <w:kern w:val="0"/>
                <w:sz w:val="20"/>
                <w:szCs w:val="20"/>
                <w:highlight w:val="none"/>
                <w:u w:val="none"/>
                <w:lang w:val="en-US" w:eastAsia="zh-CN" w:bidi="ar"/>
              </w:rPr>
              <w:t>备注</w:t>
            </w:r>
          </w:p>
        </w:tc>
        <w:tc>
          <w:tcPr>
            <w:tcW w:w="73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C6ADAD1">
            <w:pPr>
              <w:jc w:val="center"/>
              <w:rPr>
                <w:rFonts w:hint="eastAsia" w:ascii="宋体" w:hAnsi="宋体" w:eastAsia="宋体" w:cs="宋体"/>
                <w:i w:val="0"/>
                <w:iCs w:val="0"/>
                <w:color w:val="000000"/>
                <w:sz w:val="20"/>
                <w:szCs w:val="20"/>
                <w:highlight w:val="none"/>
                <w:u w:val="none"/>
              </w:rPr>
            </w:pPr>
          </w:p>
        </w:tc>
      </w:tr>
      <w:tr w14:paraId="653170A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629" w:hRule="atLeast"/>
        </w:trPr>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A61B64">
            <w:pPr>
              <w:keepNext w:val="0"/>
              <w:keepLines w:val="0"/>
              <w:widowControl/>
              <w:suppressLineNumbers w:val="0"/>
              <w:spacing w:line="240" w:lineRule="auto"/>
              <w:jc w:val="center"/>
              <w:textAlignment w:val="center"/>
              <w:rPr>
                <w:rFonts w:ascii="Tahoma" w:hAnsi="Tahoma" w:eastAsia="Tahoma" w:cs="Tahoma"/>
                <w:i w:val="0"/>
                <w:iCs w:val="0"/>
                <w:color w:val="000000"/>
                <w:sz w:val="20"/>
                <w:szCs w:val="20"/>
                <w:highlight w:val="none"/>
                <w:u w:val="none"/>
              </w:rPr>
            </w:pPr>
            <w:r>
              <w:rPr>
                <w:rFonts w:hint="default" w:ascii="Tahoma" w:hAnsi="Tahoma" w:eastAsia="Tahoma" w:cs="Tahoma"/>
                <w:i w:val="0"/>
                <w:iCs w:val="0"/>
                <w:color w:val="000000"/>
                <w:kern w:val="0"/>
                <w:sz w:val="20"/>
                <w:szCs w:val="20"/>
                <w:highlight w:val="none"/>
                <w:u w:val="none"/>
                <w:lang w:val="en-US" w:eastAsia="zh-CN" w:bidi="ar"/>
              </w:rPr>
              <w:t>1</w:t>
            </w:r>
          </w:p>
        </w:tc>
        <w:tc>
          <w:tcPr>
            <w:tcW w:w="5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0BD33E">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highlight w:val="none"/>
                <w:u w:val="none"/>
              </w:rPr>
            </w:pPr>
            <w:r>
              <w:rPr>
                <w:rFonts w:hint="eastAsia" w:ascii="宋体" w:hAnsi="宋体" w:eastAsia="宋体" w:cs="宋体"/>
                <w:i w:val="0"/>
                <w:iCs w:val="0"/>
                <w:color w:val="000000"/>
                <w:kern w:val="0"/>
                <w:sz w:val="20"/>
                <w:szCs w:val="20"/>
                <w:highlight w:val="none"/>
                <w:u w:val="none"/>
                <w:lang w:val="en-US" w:eastAsia="zh-CN" w:bidi="ar"/>
              </w:rPr>
              <w:t>第二章</w:t>
            </w:r>
            <w:r>
              <w:rPr>
                <w:rFonts w:hint="default" w:ascii="Tahoma" w:hAnsi="Tahoma" w:eastAsia="Tahoma" w:cs="Tahoma"/>
                <w:i w:val="0"/>
                <w:iCs w:val="0"/>
                <w:color w:val="000000"/>
                <w:kern w:val="0"/>
                <w:sz w:val="20"/>
                <w:szCs w:val="20"/>
                <w:highlight w:val="none"/>
                <w:u w:val="none"/>
                <w:lang w:val="en-US" w:eastAsia="zh-CN" w:bidi="ar"/>
              </w:rPr>
              <w:t xml:space="preserve"> </w:t>
            </w:r>
            <w:r>
              <w:rPr>
                <w:rStyle w:val="89"/>
                <w:highlight w:val="none"/>
                <w:lang w:val="en-US" w:eastAsia="zh-CN" w:bidi="ar"/>
              </w:rPr>
              <w:t xml:space="preserve">技术需求书  </w:t>
            </w:r>
          </w:p>
        </w:tc>
        <w:tc>
          <w:tcPr>
            <w:tcW w:w="27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25CBC7">
            <w:pPr>
              <w:keepNext w:val="0"/>
              <w:keepLines w:val="0"/>
              <w:widowControl/>
              <w:suppressLineNumbers w:val="0"/>
              <w:spacing w:line="240" w:lineRule="auto"/>
              <w:jc w:val="both"/>
              <w:textAlignment w:val="center"/>
              <w:rPr>
                <w:rFonts w:hint="eastAsia" w:ascii="宋体" w:hAnsi="宋体" w:eastAsia="宋体" w:cs="宋体"/>
                <w:i w:val="0"/>
                <w:iCs w:val="0"/>
                <w:color w:val="000000"/>
                <w:sz w:val="20"/>
                <w:szCs w:val="20"/>
                <w:highlight w:val="none"/>
                <w:u w:val="none"/>
              </w:rPr>
            </w:pPr>
            <w:r>
              <w:rPr>
                <w:rFonts w:hint="eastAsia" w:ascii="宋体" w:hAnsi="宋体" w:eastAsia="宋体" w:cs="宋体"/>
                <w:i w:val="0"/>
                <w:iCs w:val="0"/>
                <w:color w:val="000000"/>
                <w:kern w:val="0"/>
                <w:sz w:val="20"/>
                <w:szCs w:val="20"/>
                <w:highlight w:val="none"/>
                <w:u w:val="none"/>
                <w:lang w:val="en-US" w:eastAsia="zh-CN" w:bidi="ar"/>
              </w:rPr>
              <w:t>★</w:t>
            </w:r>
            <w:r>
              <w:rPr>
                <w:rFonts w:hint="default" w:ascii="Tahoma" w:hAnsi="Tahoma" w:eastAsia="Tahoma" w:cs="Tahoma"/>
                <w:i w:val="0"/>
                <w:iCs w:val="0"/>
                <w:color w:val="000000"/>
                <w:kern w:val="0"/>
                <w:sz w:val="20"/>
                <w:szCs w:val="20"/>
                <w:highlight w:val="none"/>
                <w:u w:val="none"/>
                <w:lang w:val="en-US" w:eastAsia="zh-CN" w:bidi="ar"/>
              </w:rPr>
              <w:t>8</w:t>
            </w:r>
            <w:r>
              <w:rPr>
                <w:rStyle w:val="89"/>
                <w:highlight w:val="none"/>
                <w:lang w:val="en-US" w:eastAsia="zh-CN" w:bidi="ar"/>
              </w:rPr>
              <w:t>、</w:t>
            </w:r>
            <w:r>
              <w:rPr>
                <w:rStyle w:val="89"/>
                <w:rFonts w:hint="eastAsia"/>
                <w:highlight w:val="none"/>
                <w:lang w:eastAsia="zh-CN" w:bidi="ar"/>
              </w:rPr>
              <w:t>成交人</w:t>
            </w:r>
            <w:r>
              <w:rPr>
                <w:rStyle w:val="89"/>
                <w:rFonts w:hint="eastAsia"/>
                <w:highlight w:val="none"/>
                <w:lang w:bidi="ar"/>
              </w:rPr>
              <w:t>为深圳区域、广州区域承运人时，必须具备该城市内各限行区域的通行证，若交管部门变动限行区域，</w:t>
            </w:r>
            <w:r>
              <w:rPr>
                <w:rStyle w:val="89"/>
                <w:rFonts w:hint="eastAsia"/>
                <w:highlight w:val="none"/>
                <w:lang w:eastAsia="zh-CN" w:bidi="ar"/>
              </w:rPr>
              <w:t>成交人</w:t>
            </w:r>
            <w:r>
              <w:rPr>
                <w:rStyle w:val="89"/>
                <w:rFonts w:hint="eastAsia"/>
                <w:highlight w:val="none"/>
                <w:lang w:bidi="ar"/>
              </w:rPr>
              <w:t>需要承诺及时办理通行证，且不得因此拒绝提供服务。</w:t>
            </w:r>
          </w:p>
        </w:tc>
        <w:tc>
          <w:tcPr>
            <w:tcW w:w="66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E2FAFB">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highlight w:val="none"/>
                <w:u w:val="none"/>
              </w:rPr>
            </w:pPr>
            <w:r>
              <w:rPr>
                <w:rFonts w:hint="eastAsia" w:ascii="宋体" w:hAnsi="宋体" w:eastAsia="宋体" w:cs="宋体"/>
                <w:i w:val="0"/>
                <w:iCs w:val="0"/>
                <w:color w:val="000000"/>
                <w:kern w:val="0"/>
                <w:sz w:val="20"/>
                <w:szCs w:val="20"/>
                <w:highlight w:val="none"/>
                <w:u w:val="none"/>
                <w:lang w:val="en-US" w:eastAsia="zh-CN" w:bidi="ar"/>
              </w:rPr>
              <w:t>仅</w:t>
            </w:r>
            <w:r>
              <w:rPr>
                <w:rFonts w:hint="default" w:ascii="Tahoma" w:hAnsi="Tahoma" w:eastAsia="Tahoma" w:cs="Tahoma"/>
                <w:i w:val="0"/>
                <w:iCs w:val="0"/>
                <w:color w:val="000000"/>
                <w:kern w:val="0"/>
                <w:sz w:val="20"/>
                <w:szCs w:val="20"/>
                <w:highlight w:val="none"/>
                <w:u w:val="none"/>
                <w:lang w:val="en-US" w:eastAsia="zh-CN" w:bidi="ar"/>
              </w:rPr>
              <w:t>A</w:t>
            </w:r>
            <w:r>
              <w:rPr>
                <w:rFonts w:hint="eastAsia" w:ascii="宋体" w:hAnsi="宋体" w:eastAsia="宋体" w:cs="宋体"/>
                <w:i w:val="0"/>
                <w:iCs w:val="0"/>
                <w:color w:val="000000"/>
                <w:kern w:val="0"/>
                <w:sz w:val="20"/>
                <w:szCs w:val="20"/>
                <w:highlight w:val="none"/>
                <w:u w:val="none"/>
                <w:lang w:val="en-US" w:eastAsia="zh-CN" w:bidi="ar"/>
              </w:rPr>
              <w:t>包广州区域或</w:t>
            </w:r>
            <w:r>
              <w:rPr>
                <w:rFonts w:hint="default" w:ascii="Tahoma" w:hAnsi="Tahoma" w:eastAsia="Tahoma" w:cs="Tahoma"/>
                <w:i w:val="0"/>
                <w:iCs w:val="0"/>
                <w:color w:val="000000"/>
                <w:kern w:val="0"/>
                <w:sz w:val="20"/>
                <w:szCs w:val="20"/>
                <w:highlight w:val="none"/>
                <w:u w:val="none"/>
                <w:lang w:val="en-US" w:eastAsia="zh-CN" w:bidi="ar"/>
              </w:rPr>
              <w:t>B</w:t>
            </w:r>
            <w:r>
              <w:rPr>
                <w:rFonts w:hint="eastAsia" w:ascii="宋体" w:hAnsi="宋体" w:eastAsia="宋体" w:cs="宋体"/>
                <w:i w:val="0"/>
                <w:iCs w:val="0"/>
                <w:color w:val="000000"/>
                <w:kern w:val="0"/>
                <w:sz w:val="20"/>
                <w:szCs w:val="20"/>
                <w:highlight w:val="none"/>
                <w:u w:val="none"/>
                <w:lang w:val="en-US" w:eastAsia="zh-CN" w:bidi="ar"/>
              </w:rPr>
              <w:t>包深圳区域投标人进行响应</w:t>
            </w:r>
          </w:p>
        </w:tc>
        <w:tc>
          <w:tcPr>
            <w:tcW w:w="7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57B668">
            <w:pPr>
              <w:spacing w:line="240" w:lineRule="auto"/>
              <w:jc w:val="center"/>
              <w:rPr>
                <w:rFonts w:hint="default" w:ascii="Tahoma" w:hAnsi="Tahoma" w:eastAsia="Tahoma" w:cs="Tahoma"/>
                <w:i w:val="0"/>
                <w:iCs w:val="0"/>
                <w:color w:val="000000"/>
                <w:sz w:val="20"/>
                <w:szCs w:val="20"/>
                <w:highlight w:val="none"/>
                <w:u w:val="none"/>
              </w:rPr>
            </w:pPr>
          </w:p>
        </w:tc>
      </w:tr>
      <w:tr w14:paraId="42291CB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365" w:hRule="atLeast"/>
        </w:trPr>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AC5495">
            <w:pPr>
              <w:keepNext w:val="0"/>
              <w:keepLines w:val="0"/>
              <w:widowControl/>
              <w:suppressLineNumbers w:val="0"/>
              <w:spacing w:line="240" w:lineRule="auto"/>
              <w:jc w:val="center"/>
              <w:textAlignment w:val="center"/>
              <w:rPr>
                <w:rFonts w:hint="default" w:ascii="Tahoma" w:hAnsi="Tahoma" w:eastAsia="Tahoma" w:cs="Tahoma"/>
                <w:i w:val="0"/>
                <w:iCs w:val="0"/>
                <w:color w:val="000000"/>
                <w:sz w:val="20"/>
                <w:szCs w:val="20"/>
                <w:highlight w:val="none"/>
                <w:u w:val="none"/>
              </w:rPr>
            </w:pPr>
            <w:r>
              <w:rPr>
                <w:rFonts w:hint="default" w:ascii="Tahoma" w:hAnsi="Tahoma" w:eastAsia="Tahoma" w:cs="Tahoma"/>
                <w:i w:val="0"/>
                <w:iCs w:val="0"/>
                <w:color w:val="000000"/>
                <w:kern w:val="0"/>
                <w:sz w:val="20"/>
                <w:szCs w:val="20"/>
                <w:highlight w:val="none"/>
                <w:u w:val="none"/>
                <w:lang w:val="en-US" w:eastAsia="zh-CN" w:bidi="ar"/>
              </w:rPr>
              <w:t>2</w:t>
            </w:r>
          </w:p>
        </w:tc>
        <w:tc>
          <w:tcPr>
            <w:tcW w:w="5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4465CE">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highlight w:val="none"/>
                <w:u w:val="none"/>
              </w:rPr>
            </w:pPr>
            <w:r>
              <w:rPr>
                <w:rFonts w:hint="eastAsia" w:ascii="宋体" w:hAnsi="宋体" w:eastAsia="宋体" w:cs="宋体"/>
                <w:i w:val="0"/>
                <w:iCs w:val="0"/>
                <w:color w:val="000000"/>
                <w:kern w:val="0"/>
                <w:sz w:val="20"/>
                <w:szCs w:val="20"/>
                <w:highlight w:val="none"/>
                <w:u w:val="none"/>
                <w:lang w:val="en-US" w:eastAsia="zh-CN" w:bidi="ar"/>
              </w:rPr>
              <w:t>第二章</w:t>
            </w:r>
            <w:r>
              <w:rPr>
                <w:rFonts w:hint="default" w:ascii="Tahoma" w:hAnsi="Tahoma" w:eastAsia="Tahoma" w:cs="Tahoma"/>
                <w:i w:val="0"/>
                <w:iCs w:val="0"/>
                <w:color w:val="000000"/>
                <w:kern w:val="0"/>
                <w:sz w:val="20"/>
                <w:szCs w:val="20"/>
                <w:highlight w:val="none"/>
                <w:u w:val="none"/>
                <w:lang w:val="en-US" w:eastAsia="zh-CN" w:bidi="ar"/>
              </w:rPr>
              <w:t xml:space="preserve"> </w:t>
            </w:r>
            <w:r>
              <w:rPr>
                <w:rStyle w:val="89"/>
                <w:highlight w:val="none"/>
                <w:lang w:val="en-US" w:eastAsia="zh-CN" w:bidi="ar"/>
              </w:rPr>
              <w:t xml:space="preserve">技术需求书  </w:t>
            </w:r>
          </w:p>
        </w:tc>
        <w:tc>
          <w:tcPr>
            <w:tcW w:w="27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D59FC8">
            <w:pPr>
              <w:keepNext w:val="0"/>
              <w:keepLines w:val="0"/>
              <w:widowControl/>
              <w:suppressLineNumbers w:val="0"/>
              <w:spacing w:line="240" w:lineRule="auto"/>
              <w:jc w:val="both"/>
              <w:textAlignment w:val="center"/>
              <w:rPr>
                <w:rFonts w:hint="eastAsia" w:ascii="宋体" w:hAnsi="宋体" w:eastAsia="宋体" w:cs="宋体"/>
                <w:i w:val="0"/>
                <w:iCs w:val="0"/>
                <w:color w:val="000000"/>
                <w:sz w:val="20"/>
                <w:szCs w:val="20"/>
                <w:highlight w:val="none"/>
                <w:u w:val="none"/>
              </w:rPr>
            </w:pPr>
            <w:r>
              <w:rPr>
                <w:rFonts w:hint="eastAsia" w:ascii="宋体" w:hAnsi="宋体" w:eastAsia="宋体" w:cs="宋体"/>
                <w:i w:val="0"/>
                <w:iCs w:val="0"/>
                <w:color w:val="000000"/>
                <w:kern w:val="0"/>
                <w:sz w:val="20"/>
                <w:szCs w:val="20"/>
                <w:highlight w:val="none"/>
                <w:u w:val="none"/>
                <w:lang w:val="en-US" w:eastAsia="zh-CN" w:bidi="ar"/>
              </w:rPr>
              <w:t>★</w:t>
            </w:r>
            <w:r>
              <w:rPr>
                <w:rFonts w:hint="default" w:ascii="Tahoma" w:hAnsi="Tahoma" w:eastAsia="Tahoma" w:cs="Tahoma"/>
                <w:i w:val="0"/>
                <w:iCs w:val="0"/>
                <w:color w:val="000000"/>
                <w:kern w:val="0"/>
                <w:sz w:val="20"/>
                <w:szCs w:val="20"/>
                <w:highlight w:val="none"/>
                <w:u w:val="none"/>
                <w:lang w:val="en-US" w:eastAsia="zh-CN" w:bidi="ar"/>
              </w:rPr>
              <w:t>2</w:t>
            </w:r>
            <w:r>
              <w:rPr>
                <w:rStyle w:val="89"/>
                <w:highlight w:val="none"/>
                <w:lang w:val="en-US" w:eastAsia="zh-CN" w:bidi="ar"/>
              </w:rPr>
              <w:t>、成交人需严格遵守采购人相关要求，对于违反相关要求，采购人有权进行考核，并对相关人员进行处罚。对于违反相关要求，导致危害后果的，需进行赔偿，相关要求详见《东莞市新东欣环保投资有限公司承运单位违规行为处罚条款》。</w:t>
            </w:r>
          </w:p>
        </w:tc>
        <w:tc>
          <w:tcPr>
            <w:tcW w:w="66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30364EC">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highlight w:val="none"/>
                <w:u w:val="none"/>
              </w:rPr>
            </w:pPr>
            <w:r>
              <w:rPr>
                <w:rFonts w:hint="eastAsia" w:ascii="宋体" w:hAnsi="宋体" w:eastAsia="宋体" w:cs="宋体"/>
                <w:i w:val="0"/>
                <w:iCs w:val="0"/>
                <w:color w:val="000000"/>
                <w:kern w:val="0"/>
                <w:sz w:val="20"/>
                <w:szCs w:val="20"/>
                <w:highlight w:val="none"/>
                <w:u w:val="none"/>
                <w:lang w:val="en-US" w:eastAsia="zh-CN" w:bidi="ar"/>
              </w:rPr>
              <w:t>所有投标人均需响应</w:t>
            </w:r>
          </w:p>
        </w:tc>
        <w:tc>
          <w:tcPr>
            <w:tcW w:w="7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3B9AC7">
            <w:pPr>
              <w:spacing w:line="240" w:lineRule="auto"/>
              <w:jc w:val="center"/>
              <w:rPr>
                <w:rFonts w:hint="default" w:ascii="Tahoma" w:hAnsi="Tahoma" w:eastAsia="Tahoma" w:cs="Tahoma"/>
                <w:i w:val="0"/>
                <w:iCs w:val="0"/>
                <w:color w:val="000000"/>
                <w:sz w:val="20"/>
                <w:szCs w:val="20"/>
                <w:highlight w:val="none"/>
                <w:u w:val="none"/>
              </w:rPr>
            </w:pPr>
          </w:p>
        </w:tc>
      </w:tr>
      <w:tr w14:paraId="2E2C41A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028" w:hRule="atLeast"/>
        </w:trPr>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8FF5B9">
            <w:pPr>
              <w:keepNext w:val="0"/>
              <w:keepLines w:val="0"/>
              <w:widowControl/>
              <w:suppressLineNumbers w:val="0"/>
              <w:spacing w:line="240" w:lineRule="auto"/>
              <w:jc w:val="center"/>
              <w:textAlignment w:val="center"/>
              <w:rPr>
                <w:rFonts w:hint="default" w:ascii="Tahoma" w:hAnsi="Tahoma" w:eastAsia="Tahoma" w:cs="Tahoma"/>
                <w:i w:val="0"/>
                <w:iCs w:val="0"/>
                <w:color w:val="000000"/>
                <w:sz w:val="20"/>
                <w:szCs w:val="20"/>
                <w:highlight w:val="none"/>
                <w:u w:val="none"/>
              </w:rPr>
            </w:pPr>
            <w:r>
              <w:rPr>
                <w:rFonts w:hint="default" w:ascii="Tahoma" w:hAnsi="Tahoma" w:eastAsia="Tahoma" w:cs="Tahoma"/>
                <w:i w:val="0"/>
                <w:iCs w:val="0"/>
                <w:color w:val="000000"/>
                <w:kern w:val="0"/>
                <w:sz w:val="20"/>
                <w:szCs w:val="20"/>
                <w:highlight w:val="none"/>
                <w:u w:val="none"/>
                <w:lang w:val="en-US" w:eastAsia="zh-CN" w:bidi="ar"/>
              </w:rPr>
              <w:t>3</w:t>
            </w:r>
          </w:p>
        </w:tc>
        <w:tc>
          <w:tcPr>
            <w:tcW w:w="5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6CEE6B">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highlight w:val="none"/>
                <w:u w:val="none"/>
              </w:rPr>
            </w:pPr>
            <w:r>
              <w:rPr>
                <w:rFonts w:hint="eastAsia" w:ascii="宋体" w:hAnsi="宋体" w:eastAsia="宋体" w:cs="宋体"/>
                <w:i w:val="0"/>
                <w:iCs w:val="0"/>
                <w:color w:val="000000"/>
                <w:kern w:val="0"/>
                <w:sz w:val="20"/>
                <w:szCs w:val="20"/>
                <w:highlight w:val="none"/>
                <w:u w:val="none"/>
                <w:lang w:val="en-US" w:eastAsia="zh-CN" w:bidi="ar"/>
              </w:rPr>
              <w:t>第二章</w:t>
            </w:r>
            <w:r>
              <w:rPr>
                <w:rFonts w:hint="default" w:ascii="Tahoma" w:hAnsi="Tahoma" w:eastAsia="Tahoma" w:cs="Tahoma"/>
                <w:i w:val="0"/>
                <w:iCs w:val="0"/>
                <w:color w:val="000000"/>
                <w:kern w:val="0"/>
                <w:sz w:val="20"/>
                <w:szCs w:val="20"/>
                <w:highlight w:val="none"/>
                <w:u w:val="none"/>
                <w:lang w:val="en-US" w:eastAsia="zh-CN" w:bidi="ar"/>
              </w:rPr>
              <w:t xml:space="preserve"> </w:t>
            </w:r>
            <w:r>
              <w:rPr>
                <w:rStyle w:val="89"/>
                <w:highlight w:val="none"/>
                <w:lang w:val="en-US" w:eastAsia="zh-CN" w:bidi="ar"/>
              </w:rPr>
              <w:t xml:space="preserve">技术需求书  </w:t>
            </w:r>
          </w:p>
        </w:tc>
        <w:tc>
          <w:tcPr>
            <w:tcW w:w="27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6DE58A">
            <w:pPr>
              <w:keepNext w:val="0"/>
              <w:keepLines w:val="0"/>
              <w:widowControl/>
              <w:suppressLineNumbers w:val="0"/>
              <w:spacing w:line="240" w:lineRule="auto"/>
              <w:jc w:val="both"/>
              <w:textAlignment w:val="center"/>
              <w:rPr>
                <w:rFonts w:hint="eastAsia" w:ascii="宋体" w:hAnsi="宋体" w:eastAsia="宋体" w:cs="宋体"/>
                <w:i w:val="0"/>
                <w:iCs w:val="0"/>
                <w:color w:val="000000"/>
                <w:sz w:val="20"/>
                <w:szCs w:val="20"/>
                <w:highlight w:val="none"/>
                <w:u w:val="none"/>
              </w:rPr>
            </w:pPr>
            <w:r>
              <w:rPr>
                <w:rFonts w:hint="eastAsia" w:ascii="宋体" w:hAnsi="宋体" w:eastAsia="宋体" w:cs="宋体"/>
                <w:i w:val="0"/>
                <w:iCs w:val="0"/>
                <w:color w:val="000000"/>
                <w:kern w:val="0"/>
                <w:sz w:val="20"/>
                <w:szCs w:val="20"/>
                <w:highlight w:val="none"/>
                <w:u w:val="none"/>
                <w:lang w:val="en-US" w:eastAsia="zh-CN" w:bidi="ar"/>
              </w:rPr>
              <w:t>★</w:t>
            </w:r>
            <w:r>
              <w:rPr>
                <w:rFonts w:hint="default" w:ascii="Tahoma" w:hAnsi="Tahoma" w:eastAsia="Tahoma" w:cs="Tahoma"/>
                <w:i w:val="0"/>
                <w:iCs w:val="0"/>
                <w:color w:val="000000"/>
                <w:kern w:val="0"/>
                <w:sz w:val="20"/>
                <w:szCs w:val="20"/>
                <w:highlight w:val="none"/>
                <w:u w:val="none"/>
                <w:lang w:val="en-US" w:eastAsia="zh-CN" w:bidi="ar"/>
              </w:rPr>
              <w:t>3</w:t>
            </w:r>
            <w:r>
              <w:rPr>
                <w:rStyle w:val="89"/>
                <w:highlight w:val="none"/>
                <w:lang w:val="en-US" w:eastAsia="zh-CN" w:bidi="ar"/>
              </w:rPr>
              <w:t>、采购人按季度对成交人进行季度评分考核，根据考核结果进行处罚，考核内容详见《运输商季度考核评分表》</w:t>
            </w:r>
          </w:p>
        </w:tc>
        <w:tc>
          <w:tcPr>
            <w:tcW w:w="66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2655271">
            <w:pPr>
              <w:spacing w:line="240" w:lineRule="auto"/>
              <w:jc w:val="center"/>
              <w:rPr>
                <w:rFonts w:hint="eastAsia" w:ascii="宋体" w:hAnsi="宋体" w:eastAsia="宋体" w:cs="宋体"/>
                <w:i w:val="0"/>
                <w:iCs w:val="0"/>
                <w:color w:val="000000"/>
                <w:sz w:val="20"/>
                <w:szCs w:val="20"/>
                <w:highlight w:val="none"/>
                <w:u w:val="none"/>
              </w:rPr>
            </w:pPr>
          </w:p>
        </w:tc>
        <w:tc>
          <w:tcPr>
            <w:tcW w:w="7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904E04">
            <w:pPr>
              <w:spacing w:line="240" w:lineRule="auto"/>
              <w:jc w:val="center"/>
              <w:rPr>
                <w:rFonts w:hint="default" w:ascii="Tahoma" w:hAnsi="Tahoma" w:eastAsia="Tahoma" w:cs="Tahoma"/>
                <w:i w:val="0"/>
                <w:iCs w:val="0"/>
                <w:color w:val="000000"/>
                <w:sz w:val="20"/>
                <w:szCs w:val="20"/>
                <w:highlight w:val="none"/>
                <w:u w:val="none"/>
              </w:rPr>
            </w:pPr>
          </w:p>
        </w:tc>
      </w:tr>
      <w:tr w14:paraId="6FD226C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60" w:hRule="atLeast"/>
        </w:trPr>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F43C9C">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highlight w:val="none"/>
                <w:u w:val="none"/>
              </w:rPr>
            </w:pPr>
            <w:r>
              <w:rPr>
                <w:rFonts w:hint="eastAsia" w:ascii="宋体" w:hAnsi="宋体" w:eastAsia="宋体" w:cs="宋体"/>
                <w:i w:val="0"/>
                <w:iCs w:val="0"/>
                <w:color w:val="000000"/>
                <w:kern w:val="0"/>
                <w:sz w:val="20"/>
                <w:szCs w:val="20"/>
                <w:highlight w:val="none"/>
                <w:u w:val="none"/>
                <w:lang w:val="en-US" w:eastAsia="zh-CN" w:bidi="ar"/>
              </w:rPr>
              <w:t>4</w:t>
            </w:r>
          </w:p>
        </w:tc>
        <w:tc>
          <w:tcPr>
            <w:tcW w:w="5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80BADD">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highlight w:val="none"/>
                <w:u w:val="none"/>
              </w:rPr>
            </w:pPr>
            <w:r>
              <w:rPr>
                <w:rFonts w:hint="eastAsia" w:ascii="宋体" w:hAnsi="宋体" w:eastAsia="宋体" w:cs="宋体"/>
                <w:i w:val="0"/>
                <w:iCs w:val="0"/>
                <w:color w:val="000000"/>
                <w:kern w:val="0"/>
                <w:sz w:val="20"/>
                <w:szCs w:val="20"/>
                <w:highlight w:val="none"/>
                <w:u w:val="none"/>
                <w:lang w:val="en-US" w:eastAsia="zh-CN" w:bidi="ar"/>
              </w:rPr>
              <w:t>第二章</w:t>
            </w:r>
            <w:r>
              <w:rPr>
                <w:rFonts w:hint="default" w:ascii="Tahoma" w:hAnsi="Tahoma" w:eastAsia="Tahoma" w:cs="Tahoma"/>
                <w:i w:val="0"/>
                <w:iCs w:val="0"/>
                <w:color w:val="000000"/>
                <w:kern w:val="0"/>
                <w:sz w:val="20"/>
                <w:szCs w:val="20"/>
                <w:highlight w:val="none"/>
                <w:u w:val="none"/>
                <w:lang w:val="en-US" w:eastAsia="zh-CN" w:bidi="ar"/>
              </w:rPr>
              <w:t xml:space="preserve"> </w:t>
            </w:r>
            <w:r>
              <w:rPr>
                <w:rStyle w:val="89"/>
                <w:highlight w:val="none"/>
                <w:lang w:val="en-US" w:eastAsia="zh-CN" w:bidi="ar"/>
              </w:rPr>
              <w:t xml:space="preserve">技术需求书  </w:t>
            </w:r>
          </w:p>
        </w:tc>
        <w:tc>
          <w:tcPr>
            <w:tcW w:w="27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93DAAF">
            <w:pPr>
              <w:keepNext w:val="0"/>
              <w:keepLines w:val="0"/>
              <w:widowControl/>
              <w:suppressLineNumbers w:val="0"/>
              <w:spacing w:line="240" w:lineRule="auto"/>
              <w:jc w:val="both"/>
              <w:textAlignment w:val="center"/>
              <w:rPr>
                <w:rFonts w:hint="default" w:ascii="宋体" w:hAnsi="宋体" w:eastAsia="宋体" w:cs="宋体"/>
                <w:i w:val="0"/>
                <w:iCs w:val="0"/>
                <w:color w:val="000000"/>
                <w:sz w:val="20"/>
                <w:szCs w:val="20"/>
                <w:highlight w:val="none"/>
                <w:u w:val="none"/>
                <w:lang w:val="en-US"/>
              </w:rPr>
            </w:pPr>
            <w:r>
              <w:rPr>
                <w:rFonts w:hint="eastAsia" w:ascii="宋体" w:hAnsi="宋体" w:eastAsia="宋体" w:cs="宋体"/>
                <w:i w:val="0"/>
                <w:iCs w:val="0"/>
                <w:color w:val="000000"/>
                <w:kern w:val="0"/>
                <w:sz w:val="20"/>
                <w:szCs w:val="20"/>
                <w:highlight w:val="none"/>
                <w:u w:val="none"/>
                <w:lang w:val="en-US" w:eastAsia="zh-CN" w:bidi="ar"/>
              </w:rPr>
              <w:t>★（三）</w:t>
            </w:r>
            <w:r>
              <w:rPr>
                <w:rFonts w:hint="eastAsia" w:ascii="宋体" w:hAnsi="宋体" w:cs="宋体"/>
                <w:color w:val="000000"/>
                <w:sz w:val="20"/>
                <w:szCs w:val="20"/>
                <w:highlight w:val="none"/>
                <w:u w:val="none"/>
                <w:lang w:bidi="ar"/>
              </w:rPr>
              <w:t>跳单处罚：非不可抗力因素无法响应采购人派车需求的均属于跳单行为（例如：无法顺带包装物或者限行区域无通行证拒绝响应均属于跳单）。采购人安排厢车成交人20台车/天及以内，槽车成交人5台车/天及以内，成交人无法响应的，违约金额为采购人使用其他运输单位支出运输费用的2倍；采购人安排厢车成交人20台车/天以上，槽车成交人5台车/天以上时，成交人无法提供服务的，仅需承担采购人使用其他运输单位支出的运输费用。跳单违约金于跳单所属月份的运输费中扣除。运费不足以抵扣时，采购人有权从履约保证金中扣除。备注：跳单考核包括成交人已进行响应派车，后因成交人原因，无法按要求日期抵达客户现场进行收运的情况。</w:t>
            </w:r>
          </w:p>
        </w:tc>
        <w:tc>
          <w:tcPr>
            <w:tcW w:w="66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2281051">
            <w:pPr>
              <w:spacing w:line="240" w:lineRule="auto"/>
              <w:jc w:val="center"/>
              <w:rPr>
                <w:rFonts w:hint="eastAsia" w:ascii="宋体" w:hAnsi="宋体" w:eastAsia="宋体" w:cs="宋体"/>
                <w:i w:val="0"/>
                <w:iCs w:val="0"/>
                <w:color w:val="000000"/>
                <w:sz w:val="20"/>
                <w:szCs w:val="20"/>
                <w:highlight w:val="none"/>
                <w:u w:val="none"/>
              </w:rPr>
            </w:pPr>
          </w:p>
        </w:tc>
        <w:tc>
          <w:tcPr>
            <w:tcW w:w="7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5F4379">
            <w:pPr>
              <w:spacing w:line="240" w:lineRule="auto"/>
              <w:jc w:val="center"/>
              <w:rPr>
                <w:rFonts w:hint="default" w:ascii="Tahoma" w:hAnsi="Tahoma" w:eastAsia="Tahoma" w:cs="Tahoma"/>
                <w:i w:val="0"/>
                <w:iCs w:val="0"/>
                <w:color w:val="000000"/>
                <w:sz w:val="20"/>
                <w:szCs w:val="20"/>
                <w:highlight w:val="none"/>
                <w:u w:val="none"/>
              </w:rPr>
            </w:pPr>
          </w:p>
        </w:tc>
      </w:tr>
    </w:tbl>
    <w:p w14:paraId="722BF35C">
      <w:pPr>
        <w:rPr>
          <w:rFonts w:ascii="宋体" w:hAnsi="宋体"/>
          <w:color w:val="auto"/>
          <w:szCs w:val="21"/>
          <w:highlight w:val="none"/>
        </w:rPr>
      </w:pPr>
    </w:p>
    <w:p w14:paraId="180FEAA9">
      <w:pPr>
        <w:keepNext w:val="0"/>
        <w:keepLines w:val="0"/>
        <w:pageBreakBefore w:val="0"/>
        <w:widowControl/>
        <w:kinsoku/>
        <w:wordWrap/>
        <w:overflowPunct/>
        <w:topLinePunct w:val="0"/>
        <w:autoSpaceDE/>
        <w:autoSpaceDN/>
        <w:bidi w:val="0"/>
        <w:adjustRightInd w:val="0"/>
        <w:snapToGrid w:val="0"/>
        <w:spacing w:line="400" w:lineRule="exact"/>
        <w:ind w:left="0"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投标人代表签字：</w:t>
      </w:r>
    </w:p>
    <w:p w14:paraId="633E361A">
      <w:pPr>
        <w:keepNext w:val="0"/>
        <w:keepLines w:val="0"/>
        <w:pageBreakBefore w:val="0"/>
        <w:widowControl/>
        <w:kinsoku/>
        <w:wordWrap/>
        <w:overflowPunct/>
        <w:topLinePunct w:val="0"/>
        <w:autoSpaceDE/>
        <w:autoSpaceDN/>
        <w:bidi w:val="0"/>
        <w:adjustRightInd w:val="0"/>
        <w:snapToGrid w:val="0"/>
        <w:spacing w:line="400" w:lineRule="exact"/>
        <w:ind w:left="0"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投标人盖章：</w:t>
      </w:r>
    </w:p>
    <w:p w14:paraId="63DA197B">
      <w:pPr>
        <w:keepNext w:val="0"/>
        <w:keepLines w:val="0"/>
        <w:pageBreakBefore w:val="0"/>
        <w:widowControl/>
        <w:kinsoku/>
        <w:wordWrap/>
        <w:overflowPunct/>
        <w:topLinePunct w:val="0"/>
        <w:autoSpaceDE/>
        <w:autoSpaceDN/>
        <w:bidi w:val="0"/>
        <w:adjustRightInd w:val="0"/>
        <w:snapToGrid w:val="0"/>
        <w:spacing w:line="400" w:lineRule="exact"/>
        <w:ind w:left="0" w:firstLine="420" w:firstLineChars="200"/>
        <w:jc w:val="both"/>
        <w:textAlignment w:val="auto"/>
        <w:rPr>
          <w:rFonts w:ascii="宋体" w:hAnsi="宋体"/>
          <w:color w:val="auto"/>
          <w:szCs w:val="21"/>
          <w:highlight w:val="none"/>
        </w:rPr>
      </w:pPr>
    </w:p>
    <w:p w14:paraId="18E5A81B">
      <w:pPr>
        <w:keepNext w:val="0"/>
        <w:keepLines w:val="0"/>
        <w:pageBreakBefore w:val="0"/>
        <w:widowControl/>
        <w:kinsoku/>
        <w:wordWrap/>
        <w:overflowPunct/>
        <w:topLinePunct w:val="0"/>
        <w:autoSpaceDE/>
        <w:autoSpaceDN/>
        <w:bidi w:val="0"/>
        <w:adjustRightInd w:val="0"/>
        <w:snapToGrid w:val="0"/>
        <w:spacing w:line="400" w:lineRule="exact"/>
        <w:ind w:left="0" w:firstLine="420" w:firstLineChars="200"/>
        <w:jc w:val="both"/>
        <w:textAlignment w:val="auto"/>
        <w:rPr>
          <w:rFonts w:hint="eastAsia" w:ascii="宋体" w:hAnsi="宋体"/>
          <w:color w:val="auto"/>
          <w:szCs w:val="21"/>
          <w:highlight w:val="none"/>
        </w:rPr>
      </w:pPr>
      <w:r>
        <w:rPr>
          <w:rFonts w:hint="eastAsia" w:ascii="宋体" w:hAnsi="宋体"/>
          <w:color w:val="auto"/>
          <w:szCs w:val="21"/>
          <w:highlight w:val="none"/>
          <w:lang w:val="en-US" w:eastAsia="zh-CN"/>
        </w:rPr>
        <w:t>备</w:t>
      </w:r>
      <w:r>
        <w:rPr>
          <w:rFonts w:hint="eastAsia" w:ascii="宋体" w:hAnsi="宋体"/>
          <w:color w:val="auto"/>
          <w:szCs w:val="21"/>
          <w:highlight w:val="none"/>
        </w:rPr>
        <w:t>注：</w:t>
      </w:r>
    </w:p>
    <w:p w14:paraId="572C8CB9">
      <w:pPr>
        <w:keepNext w:val="0"/>
        <w:keepLines w:val="0"/>
        <w:pageBreakBefore w:val="0"/>
        <w:widowControl/>
        <w:kinsoku/>
        <w:wordWrap/>
        <w:overflowPunct/>
        <w:topLinePunct w:val="0"/>
        <w:autoSpaceDE/>
        <w:autoSpaceDN/>
        <w:bidi w:val="0"/>
        <w:adjustRightInd w:val="0"/>
        <w:snapToGrid w:val="0"/>
        <w:spacing w:line="400" w:lineRule="exact"/>
        <w:ind w:left="0"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1、</w:t>
      </w:r>
      <w:r>
        <w:rPr>
          <w:rFonts w:hint="eastAsia" w:ascii="宋体" w:hAnsi="宋体"/>
          <w:color w:val="auto"/>
          <w:szCs w:val="21"/>
          <w:highlight w:val="none"/>
          <w:lang w:val="en-US" w:eastAsia="zh-CN"/>
        </w:rPr>
        <w:t>投标人</w:t>
      </w:r>
      <w:r>
        <w:rPr>
          <w:rFonts w:hint="eastAsia" w:ascii="宋体" w:hAnsi="宋体"/>
          <w:color w:val="auto"/>
          <w:szCs w:val="21"/>
          <w:highlight w:val="none"/>
        </w:rPr>
        <w:t>应按照</w:t>
      </w:r>
      <w:r>
        <w:rPr>
          <w:rFonts w:hint="eastAsia" w:ascii="宋体" w:hAnsi="宋体"/>
          <w:color w:val="auto"/>
          <w:szCs w:val="21"/>
          <w:highlight w:val="none"/>
          <w:lang w:val="en-US" w:eastAsia="zh-CN"/>
        </w:rPr>
        <w:t>采购</w:t>
      </w:r>
      <w:r>
        <w:rPr>
          <w:rFonts w:hint="eastAsia" w:ascii="宋体" w:hAnsi="宋体"/>
          <w:color w:val="auto"/>
          <w:szCs w:val="21"/>
          <w:highlight w:val="none"/>
        </w:rPr>
        <w:t>文件用户需求要求，如实地填写“</w:t>
      </w:r>
      <w:r>
        <w:rPr>
          <w:rFonts w:hint="eastAsia" w:ascii="宋体" w:hAnsi="宋体"/>
          <w:color w:val="auto"/>
          <w:szCs w:val="21"/>
          <w:highlight w:val="none"/>
          <w:lang w:val="en-US" w:eastAsia="zh-CN"/>
        </w:rPr>
        <w:t>响应</w:t>
      </w:r>
      <w:r>
        <w:rPr>
          <w:rFonts w:hint="eastAsia" w:ascii="宋体" w:hAnsi="宋体"/>
          <w:color w:val="auto"/>
          <w:szCs w:val="21"/>
          <w:highlight w:val="none"/>
        </w:rPr>
        <w:t>情况”项。“</w:t>
      </w:r>
      <w:r>
        <w:rPr>
          <w:rFonts w:hint="eastAsia" w:ascii="宋体" w:hAnsi="宋体"/>
          <w:color w:val="auto"/>
          <w:szCs w:val="21"/>
          <w:highlight w:val="none"/>
          <w:lang w:val="en-US" w:eastAsia="zh-CN"/>
        </w:rPr>
        <w:t>响应</w:t>
      </w:r>
      <w:r>
        <w:rPr>
          <w:rFonts w:hint="eastAsia" w:ascii="宋体" w:hAnsi="宋体"/>
          <w:color w:val="auto"/>
          <w:szCs w:val="21"/>
          <w:highlight w:val="none"/>
        </w:rPr>
        <w:t>情况”项为</w:t>
      </w:r>
      <w:r>
        <w:rPr>
          <w:rFonts w:hint="eastAsia" w:ascii="宋体" w:hAnsi="宋体"/>
          <w:color w:val="auto"/>
          <w:szCs w:val="21"/>
          <w:highlight w:val="none"/>
          <w:lang w:val="en-US" w:eastAsia="zh-CN"/>
        </w:rPr>
        <w:t>响应</w:t>
      </w:r>
      <w:r>
        <w:rPr>
          <w:rFonts w:hint="eastAsia" w:ascii="宋体" w:hAnsi="宋体"/>
          <w:color w:val="auto"/>
          <w:szCs w:val="21"/>
          <w:highlight w:val="none"/>
        </w:rPr>
        <w:t>的，必须在“</w:t>
      </w:r>
      <w:r>
        <w:rPr>
          <w:rFonts w:hint="eastAsia" w:ascii="宋体" w:hAnsi="宋体"/>
          <w:color w:val="auto"/>
          <w:szCs w:val="21"/>
          <w:highlight w:val="none"/>
          <w:lang w:val="en-US" w:eastAsia="zh-CN"/>
        </w:rPr>
        <w:t>响应情况</w:t>
      </w:r>
      <w:r>
        <w:rPr>
          <w:rFonts w:hint="eastAsia" w:ascii="宋体" w:hAnsi="宋体"/>
          <w:color w:val="auto"/>
          <w:szCs w:val="21"/>
          <w:highlight w:val="none"/>
        </w:rPr>
        <w:t>”项内详细说明与</w:t>
      </w:r>
      <w:r>
        <w:rPr>
          <w:rFonts w:hint="eastAsia" w:ascii="宋体" w:hAnsi="宋体"/>
          <w:color w:val="auto"/>
          <w:szCs w:val="21"/>
          <w:highlight w:val="none"/>
          <w:lang w:val="en-US" w:eastAsia="zh-CN"/>
        </w:rPr>
        <w:t>采购</w:t>
      </w:r>
      <w:r>
        <w:rPr>
          <w:rFonts w:hint="eastAsia" w:ascii="宋体" w:hAnsi="宋体"/>
          <w:color w:val="auto"/>
          <w:szCs w:val="21"/>
          <w:highlight w:val="none"/>
        </w:rPr>
        <w:t>文件的</w:t>
      </w:r>
      <w:r>
        <w:rPr>
          <w:rFonts w:hint="eastAsia" w:ascii="宋体" w:hAnsi="宋体"/>
          <w:color w:val="auto"/>
          <w:szCs w:val="21"/>
          <w:highlight w:val="none"/>
          <w:lang w:val="en-US" w:eastAsia="zh-CN"/>
        </w:rPr>
        <w:t>响应</w:t>
      </w:r>
      <w:r>
        <w:rPr>
          <w:rFonts w:hint="eastAsia" w:ascii="宋体" w:hAnsi="宋体"/>
          <w:color w:val="auto"/>
          <w:szCs w:val="21"/>
          <w:highlight w:val="none"/>
        </w:rPr>
        <w:t>内容，“</w:t>
      </w:r>
      <w:r>
        <w:rPr>
          <w:rFonts w:hint="eastAsia" w:ascii="宋体" w:hAnsi="宋体"/>
          <w:color w:val="auto"/>
          <w:szCs w:val="21"/>
          <w:highlight w:val="none"/>
          <w:lang w:val="en-US" w:eastAsia="zh-CN"/>
        </w:rPr>
        <w:t>响应</w:t>
      </w:r>
      <w:r>
        <w:rPr>
          <w:rFonts w:hint="eastAsia" w:ascii="宋体" w:hAnsi="宋体"/>
          <w:color w:val="auto"/>
          <w:szCs w:val="21"/>
          <w:highlight w:val="none"/>
        </w:rPr>
        <w:t>情况”项为</w:t>
      </w:r>
      <w:r>
        <w:rPr>
          <w:rFonts w:hint="eastAsia" w:ascii="宋体" w:hAnsi="宋体"/>
          <w:color w:val="auto"/>
          <w:szCs w:val="21"/>
          <w:highlight w:val="none"/>
          <w:lang w:val="en-US" w:eastAsia="zh-CN"/>
        </w:rPr>
        <w:t>不响应</w:t>
      </w:r>
      <w:r>
        <w:rPr>
          <w:rFonts w:hint="eastAsia" w:ascii="宋体" w:hAnsi="宋体"/>
          <w:color w:val="auto"/>
          <w:szCs w:val="21"/>
          <w:highlight w:val="none"/>
        </w:rPr>
        <w:t>的，在“</w:t>
      </w:r>
      <w:r>
        <w:rPr>
          <w:rFonts w:hint="eastAsia" w:ascii="宋体" w:hAnsi="宋体"/>
          <w:color w:val="auto"/>
          <w:szCs w:val="21"/>
          <w:highlight w:val="none"/>
          <w:lang w:val="en-US" w:eastAsia="zh-CN"/>
        </w:rPr>
        <w:t>响应情况</w:t>
      </w:r>
      <w:r>
        <w:rPr>
          <w:rFonts w:hint="eastAsia" w:ascii="宋体" w:hAnsi="宋体"/>
          <w:color w:val="auto"/>
          <w:szCs w:val="21"/>
          <w:highlight w:val="none"/>
        </w:rPr>
        <w:t>”项内填“</w:t>
      </w:r>
      <w:r>
        <w:rPr>
          <w:rFonts w:hint="eastAsia" w:ascii="宋体" w:hAnsi="宋体"/>
          <w:color w:val="auto"/>
          <w:szCs w:val="21"/>
          <w:highlight w:val="none"/>
          <w:lang w:val="en-US" w:eastAsia="zh-CN"/>
        </w:rPr>
        <w:t>不响应</w:t>
      </w:r>
      <w:r>
        <w:rPr>
          <w:rFonts w:hint="eastAsia" w:ascii="宋体" w:hAnsi="宋体"/>
          <w:color w:val="auto"/>
          <w:szCs w:val="21"/>
          <w:highlight w:val="none"/>
        </w:rPr>
        <w:t>”。若发现虚假填写本表，按无效</w:t>
      </w:r>
      <w:r>
        <w:rPr>
          <w:rFonts w:hint="eastAsia" w:ascii="宋体" w:hAnsi="宋体"/>
          <w:color w:val="auto"/>
          <w:szCs w:val="21"/>
          <w:highlight w:val="none"/>
          <w:lang w:val="en-US" w:eastAsia="zh-CN"/>
        </w:rPr>
        <w:t>采购</w:t>
      </w:r>
      <w:r>
        <w:rPr>
          <w:rFonts w:hint="eastAsia" w:ascii="宋体" w:hAnsi="宋体"/>
          <w:color w:val="auto"/>
          <w:szCs w:val="21"/>
          <w:highlight w:val="none"/>
        </w:rPr>
        <w:t>响应文件处理。</w:t>
      </w:r>
    </w:p>
    <w:p w14:paraId="4C9B4D39">
      <w:pPr>
        <w:keepNext w:val="0"/>
        <w:keepLines w:val="0"/>
        <w:pageBreakBefore w:val="0"/>
        <w:widowControl/>
        <w:kinsoku/>
        <w:wordWrap/>
        <w:overflowPunct/>
        <w:topLinePunct w:val="0"/>
        <w:autoSpaceDE/>
        <w:autoSpaceDN/>
        <w:bidi w:val="0"/>
        <w:adjustRightInd w:val="0"/>
        <w:snapToGrid w:val="0"/>
        <w:spacing w:line="400" w:lineRule="exact"/>
        <w:ind w:left="0"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2、</w:t>
      </w:r>
      <w:r>
        <w:rPr>
          <w:rFonts w:hint="eastAsia" w:hAnsi="宋体" w:cs="宋体"/>
          <w:color w:val="auto"/>
          <w:szCs w:val="21"/>
          <w:highlight w:val="none"/>
        </w:rPr>
        <w:t>由</w:t>
      </w:r>
      <w:r>
        <w:rPr>
          <w:rFonts w:hint="eastAsia" w:hAnsi="宋体" w:cs="宋体"/>
          <w:color w:val="auto"/>
          <w:szCs w:val="21"/>
          <w:highlight w:val="none"/>
          <w:lang w:val="en-US" w:eastAsia="zh-CN"/>
        </w:rPr>
        <w:t>投标人</w:t>
      </w:r>
      <w:r>
        <w:rPr>
          <w:rFonts w:hint="eastAsia" w:hAnsi="宋体" w:cs="宋体"/>
          <w:color w:val="auto"/>
          <w:szCs w:val="21"/>
          <w:highlight w:val="none"/>
        </w:rPr>
        <w:t>自行补充</w:t>
      </w:r>
      <w:r>
        <w:rPr>
          <w:rFonts w:hint="eastAsia" w:hAnsi="宋体" w:cs="宋体"/>
          <w:color w:val="auto"/>
          <w:szCs w:val="21"/>
          <w:highlight w:val="none"/>
          <w:lang w:val="en-US" w:eastAsia="zh-CN"/>
        </w:rPr>
        <w:t>采购</w:t>
      </w:r>
      <w:r>
        <w:rPr>
          <w:rFonts w:hint="eastAsia" w:hAnsi="宋体" w:cs="宋体"/>
          <w:color w:val="auto"/>
          <w:szCs w:val="21"/>
          <w:highlight w:val="none"/>
        </w:rPr>
        <w:t>文件所有“★”号条款内容（如有），标注“★”号条款均为必须完全满足指标，</w:t>
      </w:r>
      <w:r>
        <w:rPr>
          <w:rFonts w:hint="eastAsia" w:hAnsi="宋体" w:cs="宋体"/>
          <w:color w:val="auto"/>
          <w:szCs w:val="21"/>
          <w:highlight w:val="none"/>
          <w:lang w:val="en-US" w:eastAsia="zh-CN"/>
        </w:rPr>
        <w:t>投标人</w:t>
      </w:r>
      <w:r>
        <w:rPr>
          <w:rFonts w:hint="eastAsia" w:hAnsi="宋体" w:cs="宋体"/>
          <w:color w:val="auto"/>
          <w:szCs w:val="21"/>
          <w:highlight w:val="none"/>
        </w:rPr>
        <w:t>须进行实质性响应，</w:t>
      </w:r>
      <w:r>
        <w:rPr>
          <w:rFonts w:hint="eastAsia" w:hAnsi="宋体" w:cs="宋体"/>
          <w:color w:val="auto"/>
          <w:szCs w:val="21"/>
          <w:highlight w:val="none"/>
          <w:lang w:val="en-US" w:eastAsia="zh-CN"/>
        </w:rPr>
        <w:t>投标人</w:t>
      </w:r>
      <w:r>
        <w:rPr>
          <w:rFonts w:hint="eastAsia" w:hAnsi="宋体" w:cs="宋体"/>
          <w:color w:val="auto"/>
          <w:szCs w:val="21"/>
          <w:highlight w:val="none"/>
        </w:rPr>
        <w:t>若有一项带“★”的条款未响应或不满足，将按无效</w:t>
      </w:r>
      <w:r>
        <w:rPr>
          <w:rFonts w:hint="eastAsia" w:hAnsi="宋体" w:cs="宋体"/>
          <w:color w:val="auto"/>
          <w:szCs w:val="21"/>
          <w:highlight w:val="none"/>
          <w:lang w:val="en-US" w:eastAsia="zh-CN"/>
        </w:rPr>
        <w:t>投标</w:t>
      </w:r>
      <w:r>
        <w:rPr>
          <w:rFonts w:hint="eastAsia" w:hAnsi="宋体" w:cs="宋体"/>
          <w:color w:val="auto"/>
          <w:szCs w:val="21"/>
          <w:highlight w:val="none"/>
        </w:rPr>
        <w:t>处理。</w:t>
      </w:r>
    </w:p>
    <w:p w14:paraId="211ED6B5">
      <w:pPr>
        <w:keepNext w:val="0"/>
        <w:keepLines w:val="0"/>
        <w:pageBreakBefore w:val="0"/>
        <w:widowControl/>
        <w:kinsoku/>
        <w:wordWrap/>
        <w:overflowPunct/>
        <w:topLinePunct w:val="0"/>
        <w:autoSpaceDE/>
        <w:autoSpaceDN/>
        <w:bidi w:val="0"/>
        <w:adjustRightInd w:val="0"/>
        <w:snapToGrid w:val="0"/>
        <w:spacing w:line="400" w:lineRule="exact"/>
        <w:ind w:left="0"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3、</w:t>
      </w:r>
      <w:r>
        <w:rPr>
          <w:rFonts w:hint="eastAsia" w:hAnsi="宋体" w:cs="宋体"/>
          <w:color w:val="auto"/>
          <w:szCs w:val="21"/>
          <w:highlight w:val="none"/>
        </w:rPr>
        <w:t>如投标人差异内容较多可另附页说明。</w:t>
      </w:r>
    </w:p>
    <w:p w14:paraId="073A9511">
      <w:pPr>
        <w:keepNext w:val="0"/>
        <w:keepLines w:val="0"/>
        <w:pageBreakBefore w:val="0"/>
        <w:widowControl/>
        <w:kinsoku/>
        <w:wordWrap/>
        <w:overflowPunct/>
        <w:topLinePunct w:val="0"/>
        <w:autoSpaceDE/>
        <w:autoSpaceDN/>
        <w:bidi w:val="0"/>
        <w:adjustRightInd w:val="0"/>
        <w:snapToGrid w:val="0"/>
        <w:spacing w:line="400" w:lineRule="exact"/>
        <w:ind w:left="0" w:firstLine="420" w:firstLineChars="200"/>
        <w:jc w:val="both"/>
        <w:textAlignment w:val="auto"/>
        <w:rPr>
          <w:rFonts w:ascii="宋体" w:hAnsi="宋体"/>
          <w:color w:val="auto"/>
          <w:szCs w:val="21"/>
          <w:highlight w:val="none"/>
        </w:rPr>
      </w:pPr>
      <w:r>
        <w:rPr>
          <w:rFonts w:hint="eastAsia" w:ascii="宋体" w:hAnsi="宋体"/>
          <w:color w:val="auto"/>
          <w:szCs w:val="21"/>
          <w:highlight w:val="none"/>
          <w:lang w:val="en-US" w:eastAsia="zh-CN"/>
        </w:rPr>
        <w:t>4</w:t>
      </w:r>
      <w:r>
        <w:rPr>
          <w:rFonts w:hint="eastAsia" w:ascii="宋体" w:hAnsi="宋体"/>
          <w:color w:val="auto"/>
          <w:szCs w:val="21"/>
          <w:highlight w:val="none"/>
        </w:rPr>
        <w:t>、</w:t>
      </w:r>
      <w:r>
        <w:rPr>
          <w:rFonts w:hint="eastAsia" w:hAnsi="宋体" w:cs="宋体"/>
          <w:color w:val="auto"/>
          <w:szCs w:val="21"/>
          <w:highlight w:val="none"/>
        </w:rPr>
        <w:t>如投标人对用户需求书所有“★”号条款内容全部响应的，也可以在表格下面用文字总括性的说明。</w:t>
      </w:r>
    </w:p>
    <w:p w14:paraId="3CF82DFD">
      <w:pPr>
        <w:keepNext w:val="0"/>
        <w:keepLines w:val="0"/>
        <w:pageBreakBefore w:val="0"/>
        <w:widowControl/>
        <w:kinsoku/>
        <w:wordWrap/>
        <w:overflowPunct/>
        <w:topLinePunct w:val="0"/>
        <w:autoSpaceDE/>
        <w:autoSpaceDN/>
        <w:bidi w:val="0"/>
        <w:adjustRightInd w:val="0"/>
        <w:snapToGrid w:val="0"/>
        <w:spacing w:line="400" w:lineRule="exact"/>
        <w:ind w:left="0" w:firstLine="420" w:firstLineChars="200"/>
        <w:jc w:val="both"/>
        <w:textAlignment w:val="auto"/>
        <w:rPr>
          <w:rFonts w:hint="eastAsia" w:ascii="宋体" w:hAnsi="宋体"/>
          <w:color w:val="auto"/>
          <w:szCs w:val="21"/>
          <w:highlight w:val="none"/>
        </w:rPr>
        <w:sectPr>
          <w:pgSz w:w="11906" w:h="16838"/>
          <w:pgMar w:top="1440" w:right="1800" w:bottom="1440" w:left="1800" w:header="708" w:footer="708" w:gutter="0"/>
          <w:pgBorders>
            <w:top w:val="none" w:sz="0" w:space="0"/>
            <w:left w:val="none" w:sz="0" w:space="0"/>
            <w:bottom w:val="none" w:sz="0" w:space="0"/>
            <w:right w:val="none" w:sz="0" w:space="0"/>
          </w:pgBorders>
          <w:pgNumType w:fmt="decimal"/>
          <w:cols w:space="708" w:num="1"/>
          <w:titlePg/>
          <w:docGrid w:type="lines" w:linePitch="360" w:charSpace="0"/>
        </w:sectPr>
      </w:pPr>
    </w:p>
    <w:p w14:paraId="746C1142">
      <w:pPr>
        <w:pStyle w:val="5"/>
        <w:widowControl w:val="0"/>
        <w:overflowPunct w:val="0"/>
        <w:spacing w:line="240" w:lineRule="auto"/>
        <w:rPr>
          <w:rFonts w:ascii="宋体" w:hAnsi="宋体"/>
          <w:color w:val="auto"/>
          <w:sz w:val="21"/>
          <w:szCs w:val="21"/>
          <w:highlight w:val="none"/>
        </w:rPr>
      </w:pPr>
      <w:bookmarkStart w:id="1165" w:name="_Toc26435"/>
      <w:bookmarkStart w:id="1166" w:name="_Toc6190"/>
      <w:bookmarkStart w:id="1167" w:name="_Toc107"/>
      <w:bookmarkStart w:id="1168" w:name="_Toc13552"/>
      <w:bookmarkStart w:id="1169" w:name="_Toc22143"/>
      <w:bookmarkStart w:id="1170" w:name="_Toc7824"/>
      <w:bookmarkStart w:id="1171" w:name="_Toc21216"/>
      <w:bookmarkStart w:id="1172" w:name="_Toc14912"/>
      <w:bookmarkStart w:id="1173" w:name="_Toc9023"/>
      <w:bookmarkStart w:id="1174" w:name="_Toc31557"/>
      <w:bookmarkStart w:id="1175" w:name="_Toc4819"/>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16</w:t>
      </w:r>
      <w:r>
        <w:rPr>
          <w:rFonts w:hint="eastAsia" w:ascii="宋体" w:hAnsi="宋体"/>
          <w:color w:val="auto"/>
          <w:sz w:val="21"/>
          <w:szCs w:val="21"/>
          <w:highlight w:val="none"/>
        </w:rPr>
        <w:t>. 技术规格偏离表格式</w:t>
      </w:r>
      <w:bookmarkEnd w:id="1165"/>
      <w:bookmarkEnd w:id="1166"/>
      <w:bookmarkEnd w:id="1167"/>
      <w:bookmarkEnd w:id="1168"/>
      <w:bookmarkEnd w:id="1169"/>
      <w:bookmarkEnd w:id="1170"/>
      <w:bookmarkEnd w:id="1171"/>
      <w:bookmarkEnd w:id="1172"/>
      <w:bookmarkEnd w:id="1173"/>
      <w:bookmarkEnd w:id="1174"/>
      <w:bookmarkEnd w:id="1175"/>
    </w:p>
    <w:p w14:paraId="0EC1032B">
      <w:pPr>
        <w:jc w:val="center"/>
        <w:rPr>
          <w:rFonts w:ascii="黑体" w:eastAsia="黑体"/>
          <w:color w:val="auto"/>
          <w:sz w:val="28"/>
          <w:szCs w:val="28"/>
          <w:highlight w:val="none"/>
        </w:rPr>
      </w:pPr>
    </w:p>
    <w:p w14:paraId="7E2B401E">
      <w:pPr>
        <w:jc w:val="center"/>
        <w:rPr>
          <w:rFonts w:ascii="黑体" w:eastAsia="黑体"/>
          <w:color w:val="auto"/>
          <w:sz w:val="28"/>
          <w:szCs w:val="28"/>
          <w:highlight w:val="none"/>
        </w:rPr>
      </w:pPr>
      <w:r>
        <w:rPr>
          <w:rFonts w:hint="eastAsia" w:ascii="黑体" w:eastAsia="黑体"/>
          <w:color w:val="auto"/>
          <w:sz w:val="28"/>
          <w:szCs w:val="28"/>
          <w:highlight w:val="none"/>
        </w:rPr>
        <w:t>技术规格偏离表</w:t>
      </w:r>
    </w:p>
    <w:tbl>
      <w:tblPr>
        <w:tblStyle w:val="28"/>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8"/>
        <w:gridCol w:w="1902"/>
        <w:gridCol w:w="1370"/>
        <w:gridCol w:w="1629"/>
        <w:gridCol w:w="1239"/>
        <w:gridCol w:w="1544"/>
      </w:tblGrid>
      <w:tr w14:paraId="0AB68A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6" w:hRule="atLeast"/>
        </w:trPr>
        <w:tc>
          <w:tcPr>
            <w:tcW w:w="838" w:type="dxa"/>
            <w:vAlign w:val="center"/>
          </w:tcPr>
          <w:p w14:paraId="0ED93E87">
            <w:pPr>
              <w:jc w:val="center"/>
              <w:rPr>
                <w:rFonts w:ascii="宋体" w:hAnsi="宋体"/>
                <w:color w:val="auto"/>
                <w:szCs w:val="21"/>
                <w:highlight w:val="none"/>
              </w:rPr>
            </w:pPr>
            <w:r>
              <w:rPr>
                <w:rFonts w:hint="eastAsia" w:ascii="宋体" w:hAnsi="宋体"/>
                <w:color w:val="auto"/>
                <w:szCs w:val="21"/>
                <w:highlight w:val="none"/>
              </w:rPr>
              <w:t>序号</w:t>
            </w:r>
          </w:p>
        </w:tc>
        <w:tc>
          <w:tcPr>
            <w:tcW w:w="1902" w:type="dxa"/>
            <w:vAlign w:val="center"/>
          </w:tcPr>
          <w:p w14:paraId="04EF6EEE">
            <w:pPr>
              <w:jc w:val="center"/>
              <w:rPr>
                <w:rFonts w:ascii="宋体" w:hAnsi="宋体"/>
                <w:color w:val="auto"/>
                <w:szCs w:val="21"/>
                <w:highlight w:val="none"/>
              </w:rPr>
            </w:pPr>
            <w:r>
              <w:rPr>
                <w:rFonts w:hint="eastAsia" w:ascii="宋体" w:hAnsi="宋体"/>
                <w:color w:val="auto"/>
                <w:szCs w:val="21"/>
                <w:highlight w:val="none"/>
              </w:rPr>
              <w:t>服务项目名称</w:t>
            </w:r>
          </w:p>
        </w:tc>
        <w:tc>
          <w:tcPr>
            <w:tcW w:w="1370" w:type="dxa"/>
            <w:vAlign w:val="center"/>
          </w:tcPr>
          <w:p w14:paraId="5B418C27">
            <w:pPr>
              <w:jc w:val="center"/>
              <w:rPr>
                <w:rFonts w:ascii="宋体" w:hAnsi="宋体"/>
                <w:color w:val="auto"/>
                <w:szCs w:val="21"/>
                <w:highlight w:val="none"/>
              </w:rPr>
            </w:pPr>
            <w:r>
              <w:rPr>
                <w:rFonts w:hint="eastAsia" w:ascii="宋体" w:hAnsi="宋体"/>
                <w:color w:val="auto"/>
                <w:szCs w:val="21"/>
                <w:highlight w:val="none"/>
              </w:rPr>
              <w:t>采购要求</w:t>
            </w:r>
          </w:p>
        </w:tc>
        <w:tc>
          <w:tcPr>
            <w:tcW w:w="1629" w:type="dxa"/>
            <w:vAlign w:val="center"/>
          </w:tcPr>
          <w:p w14:paraId="185460F5">
            <w:pPr>
              <w:jc w:val="center"/>
              <w:rPr>
                <w:rFonts w:ascii="宋体" w:hAnsi="宋体"/>
                <w:color w:val="auto"/>
                <w:szCs w:val="21"/>
                <w:highlight w:val="none"/>
              </w:rPr>
            </w:pPr>
            <w:r>
              <w:rPr>
                <w:rFonts w:hint="eastAsia" w:ascii="宋体" w:hAnsi="宋体"/>
                <w:color w:val="auto"/>
                <w:szCs w:val="21"/>
                <w:highlight w:val="none"/>
              </w:rPr>
              <w:t>投标实际响应</w:t>
            </w:r>
          </w:p>
        </w:tc>
        <w:tc>
          <w:tcPr>
            <w:tcW w:w="1239" w:type="dxa"/>
            <w:vAlign w:val="center"/>
          </w:tcPr>
          <w:p w14:paraId="6E2BF355">
            <w:pPr>
              <w:jc w:val="center"/>
              <w:rPr>
                <w:rFonts w:ascii="宋体" w:hAnsi="宋体"/>
                <w:color w:val="auto"/>
                <w:szCs w:val="21"/>
                <w:highlight w:val="none"/>
              </w:rPr>
            </w:pPr>
            <w:r>
              <w:rPr>
                <w:rFonts w:hint="eastAsia" w:ascii="宋体" w:hAnsi="宋体"/>
                <w:color w:val="auto"/>
                <w:szCs w:val="21"/>
                <w:highlight w:val="none"/>
              </w:rPr>
              <w:t>是否偏离</w:t>
            </w:r>
          </w:p>
        </w:tc>
        <w:tc>
          <w:tcPr>
            <w:tcW w:w="1544" w:type="dxa"/>
            <w:vAlign w:val="center"/>
          </w:tcPr>
          <w:p w14:paraId="40CCB90E">
            <w:pPr>
              <w:jc w:val="center"/>
              <w:rPr>
                <w:rFonts w:ascii="宋体" w:hAnsi="宋体"/>
                <w:color w:val="auto"/>
                <w:szCs w:val="21"/>
                <w:highlight w:val="none"/>
              </w:rPr>
            </w:pPr>
            <w:r>
              <w:rPr>
                <w:rFonts w:hint="eastAsia" w:ascii="宋体" w:hAnsi="宋体"/>
                <w:color w:val="auto"/>
                <w:szCs w:val="21"/>
                <w:highlight w:val="none"/>
              </w:rPr>
              <w:t>说明</w:t>
            </w:r>
          </w:p>
        </w:tc>
      </w:tr>
      <w:tr w14:paraId="44D4CB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 w:type="dxa"/>
            <w:vAlign w:val="center"/>
          </w:tcPr>
          <w:p w14:paraId="4D9373B3">
            <w:pPr>
              <w:jc w:val="center"/>
              <w:rPr>
                <w:rFonts w:ascii="宋体" w:hAnsi="宋体"/>
                <w:color w:val="auto"/>
                <w:szCs w:val="21"/>
                <w:highlight w:val="none"/>
              </w:rPr>
            </w:pPr>
          </w:p>
        </w:tc>
        <w:tc>
          <w:tcPr>
            <w:tcW w:w="1902" w:type="dxa"/>
            <w:vAlign w:val="center"/>
          </w:tcPr>
          <w:p w14:paraId="28B35B32">
            <w:pPr>
              <w:jc w:val="center"/>
              <w:rPr>
                <w:rFonts w:ascii="宋体" w:hAnsi="宋体"/>
                <w:color w:val="auto"/>
                <w:szCs w:val="21"/>
                <w:highlight w:val="none"/>
              </w:rPr>
            </w:pPr>
          </w:p>
        </w:tc>
        <w:tc>
          <w:tcPr>
            <w:tcW w:w="1370" w:type="dxa"/>
            <w:vAlign w:val="center"/>
          </w:tcPr>
          <w:p w14:paraId="08BC2E73">
            <w:pPr>
              <w:jc w:val="center"/>
              <w:rPr>
                <w:rFonts w:ascii="宋体" w:hAnsi="宋体"/>
                <w:color w:val="auto"/>
                <w:szCs w:val="21"/>
                <w:highlight w:val="none"/>
              </w:rPr>
            </w:pPr>
          </w:p>
        </w:tc>
        <w:tc>
          <w:tcPr>
            <w:tcW w:w="1629" w:type="dxa"/>
            <w:vAlign w:val="center"/>
          </w:tcPr>
          <w:p w14:paraId="3C4C3AFF">
            <w:pPr>
              <w:jc w:val="center"/>
              <w:rPr>
                <w:rFonts w:ascii="宋体" w:hAnsi="宋体"/>
                <w:color w:val="auto"/>
                <w:szCs w:val="21"/>
                <w:highlight w:val="none"/>
              </w:rPr>
            </w:pPr>
          </w:p>
        </w:tc>
        <w:tc>
          <w:tcPr>
            <w:tcW w:w="1239" w:type="dxa"/>
            <w:vAlign w:val="center"/>
          </w:tcPr>
          <w:p w14:paraId="267D2F75">
            <w:pPr>
              <w:jc w:val="center"/>
              <w:rPr>
                <w:rFonts w:ascii="宋体" w:hAnsi="宋体"/>
                <w:color w:val="auto"/>
                <w:szCs w:val="21"/>
                <w:highlight w:val="none"/>
              </w:rPr>
            </w:pPr>
          </w:p>
        </w:tc>
        <w:tc>
          <w:tcPr>
            <w:tcW w:w="1544" w:type="dxa"/>
            <w:vAlign w:val="center"/>
          </w:tcPr>
          <w:p w14:paraId="6959A4B2">
            <w:pPr>
              <w:jc w:val="center"/>
              <w:rPr>
                <w:rFonts w:ascii="宋体" w:hAnsi="宋体"/>
                <w:color w:val="auto"/>
                <w:szCs w:val="21"/>
                <w:highlight w:val="none"/>
              </w:rPr>
            </w:pPr>
          </w:p>
        </w:tc>
      </w:tr>
      <w:tr w14:paraId="443E9A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 w:type="dxa"/>
            <w:vAlign w:val="center"/>
          </w:tcPr>
          <w:p w14:paraId="4F3D105E">
            <w:pPr>
              <w:jc w:val="center"/>
              <w:rPr>
                <w:rFonts w:ascii="宋体" w:hAnsi="宋体"/>
                <w:color w:val="auto"/>
                <w:szCs w:val="21"/>
                <w:highlight w:val="none"/>
              </w:rPr>
            </w:pPr>
          </w:p>
        </w:tc>
        <w:tc>
          <w:tcPr>
            <w:tcW w:w="1902" w:type="dxa"/>
            <w:vAlign w:val="center"/>
          </w:tcPr>
          <w:p w14:paraId="053087F9">
            <w:pPr>
              <w:jc w:val="center"/>
              <w:rPr>
                <w:rFonts w:ascii="宋体" w:hAnsi="宋体"/>
                <w:color w:val="auto"/>
                <w:szCs w:val="21"/>
                <w:highlight w:val="none"/>
              </w:rPr>
            </w:pPr>
          </w:p>
        </w:tc>
        <w:tc>
          <w:tcPr>
            <w:tcW w:w="1370" w:type="dxa"/>
            <w:vAlign w:val="center"/>
          </w:tcPr>
          <w:p w14:paraId="2EC57398">
            <w:pPr>
              <w:jc w:val="center"/>
              <w:rPr>
                <w:rFonts w:ascii="宋体" w:hAnsi="宋体"/>
                <w:color w:val="auto"/>
                <w:szCs w:val="21"/>
                <w:highlight w:val="none"/>
              </w:rPr>
            </w:pPr>
          </w:p>
        </w:tc>
        <w:tc>
          <w:tcPr>
            <w:tcW w:w="1629" w:type="dxa"/>
            <w:vAlign w:val="center"/>
          </w:tcPr>
          <w:p w14:paraId="1B7C0CD7">
            <w:pPr>
              <w:jc w:val="center"/>
              <w:rPr>
                <w:rFonts w:ascii="宋体" w:hAnsi="宋体"/>
                <w:color w:val="auto"/>
                <w:szCs w:val="21"/>
                <w:highlight w:val="none"/>
              </w:rPr>
            </w:pPr>
          </w:p>
        </w:tc>
        <w:tc>
          <w:tcPr>
            <w:tcW w:w="1239" w:type="dxa"/>
            <w:vAlign w:val="center"/>
          </w:tcPr>
          <w:p w14:paraId="3541AB55">
            <w:pPr>
              <w:jc w:val="center"/>
              <w:rPr>
                <w:rFonts w:ascii="宋体" w:hAnsi="宋体"/>
                <w:color w:val="auto"/>
                <w:szCs w:val="21"/>
                <w:highlight w:val="none"/>
              </w:rPr>
            </w:pPr>
          </w:p>
        </w:tc>
        <w:tc>
          <w:tcPr>
            <w:tcW w:w="1544" w:type="dxa"/>
            <w:vAlign w:val="center"/>
          </w:tcPr>
          <w:p w14:paraId="0EAB911F">
            <w:pPr>
              <w:jc w:val="center"/>
              <w:rPr>
                <w:rFonts w:ascii="宋体" w:hAnsi="宋体"/>
                <w:color w:val="auto"/>
                <w:szCs w:val="21"/>
                <w:highlight w:val="none"/>
              </w:rPr>
            </w:pPr>
          </w:p>
        </w:tc>
      </w:tr>
      <w:tr w14:paraId="31C209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 w:type="dxa"/>
            <w:vAlign w:val="center"/>
          </w:tcPr>
          <w:p w14:paraId="09EE09F6">
            <w:pPr>
              <w:jc w:val="center"/>
              <w:rPr>
                <w:rFonts w:ascii="宋体" w:hAnsi="宋体"/>
                <w:color w:val="auto"/>
                <w:szCs w:val="21"/>
                <w:highlight w:val="none"/>
              </w:rPr>
            </w:pPr>
          </w:p>
        </w:tc>
        <w:tc>
          <w:tcPr>
            <w:tcW w:w="1902" w:type="dxa"/>
            <w:vAlign w:val="center"/>
          </w:tcPr>
          <w:p w14:paraId="2D86F983">
            <w:pPr>
              <w:jc w:val="center"/>
              <w:rPr>
                <w:rFonts w:ascii="宋体" w:hAnsi="宋体"/>
                <w:color w:val="auto"/>
                <w:szCs w:val="21"/>
                <w:highlight w:val="none"/>
              </w:rPr>
            </w:pPr>
          </w:p>
        </w:tc>
        <w:tc>
          <w:tcPr>
            <w:tcW w:w="1370" w:type="dxa"/>
            <w:vAlign w:val="center"/>
          </w:tcPr>
          <w:p w14:paraId="6120A465">
            <w:pPr>
              <w:jc w:val="center"/>
              <w:rPr>
                <w:rFonts w:ascii="宋体" w:hAnsi="宋体"/>
                <w:color w:val="auto"/>
                <w:szCs w:val="21"/>
                <w:highlight w:val="none"/>
              </w:rPr>
            </w:pPr>
          </w:p>
        </w:tc>
        <w:tc>
          <w:tcPr>
            <w:tcW w:w="1629" w:type="dxa"/>
            <w:vAlign w:val="center"/>
          </w:tcPr>
          <w:p w14:paraId="2D26B955">
            <w:pPr>
              <w:jc w:val="center"/>
              <w:rPr>
                <w:rFonts w:ascii="宋体" w:hAnsi="宋体"/>
                <w:color w:val="auto"/>
                <w:szCs w:val="21"/>
                <w:highlight w:val="none"/>
              </w:rPr>
            </w:pPr>
          </w:p>
        </w:tc>
        <w:tc>
          <w:tcPr>
            <w:tcW w:w="1239" w:type="dxa"/>
            <w:vAlign w:val="center"/>
          </w:tcPr>
          <w:p w14:paraId="2A710FDB">
            <w:pPr>
              <w:jc w:val="center"/>
              <w:rPr>
                <w:rFonts w:ascii="宋体" w:hAnsi="宋体"/>
                <w:color w:val="auto"/>
                <w:szCs w:val="21"/>
                <w:highlight w:val="none"/>
              </w:rPr>
            </w:pPr>
          </w:p>
        </w:tc>
        <w:tc>
          <w:tcPr>
            <w:tcW w:w="1544" w:type="dxa"/>
            <w:vAlign w:val="center"/>
          </w:tcPr>
          <w:p w14:paraId="10E20247">
            <w:pPr>
              <w:jc w:val="center"/>
              <w:rPr>
                <w:rFonts w:ascii="宋体" w:hAnsi="宋体"/>
                <w:color w:val="auto"/>
                <w:szCs w:val="21"/>
                <w:highlight w:val="none"/>
              </w:rPr>
            </w:pPr>
          </w:p>
        </w:tc>
      </w:tr>
      <w:tr w14:paraId="6D5139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 w:type="dxa"/>
            <w:vAlign w:val="center"/>
          </w:tcPr>
          <w:p w14:paraId="20EC752B">
            <w:pPr>
              <w:jc w:val="center"/>
              <w:rPr>
                <w:rFonts w:ascii="宋体" w:hAnsi="宋体"/>
                <w:color w:val="auto"/>
                <w:szCs w:val="21"/>
                <w:highlight w:val="none"/>
              </w:rPr>
            </w:pPr>
          </w:p>
        </w:tc>
        <w:tc>
          <w:tcPr>
            <w:tcW w:w="1902" w:type="dxa"/>
            <w:vAlign w:val="center"/>
          </w:tcPr>
          <w:p w14:paraId="6F73CFAF">
            <w:pPr>
              <w:jc w:val="center"/>
              <w:rPr>
                <w:rFonts w:ascii="宋体" w:hAnsi="宋体"/>
                <w:color w:val="auto"/>
                <w:szCs w:val="21"/>
                <w:highlight w:val="none"/>
              </w:rPr>
            </w:pPr>
          </w:p>
        </w:tc>
        <w:tc>
          <w:tcPr>
            <w:tcW w:w="1370" w:type="dxa"/>
            <w:vAlign w:val="center"/>
          </w:tcPr>
          <w:p w14:paraId="3EBA9D90">
            <w:pPr>
              <w:jc w:val="center"/>
              <w:rPr>
                <w:rFonts w:ascii="宋体" w:hAnsi="宋体"/>
                <w:color w:val="auto"/>
                <w:szCs w:val="21"/>
                <w:highlight w:val="none"/>
              </w:rPr>
            </w:pPr>
          </w:p>
        </w:tc>
        <w:tc>
          <w:tcPr>
            <w:tcW w:w="1629" w:type="dxa"/>
            <w:vAlign w:val="center"/>
          </w:tcPr>
          <w:p w14:paraId="34D9DBD7">
            <w:pPr>
              <w:jc w:val="center"/>
              <w:rPr>
                <w:rFonts w:ascii="宋体" w:hAnsi="宋体"/>
                <w:color w:val="auto"/>
                <w:szCs w:val="21"/>
                <w:highlight w:val="none"/>
              </w:rPr>
            </w:pPr>
          </w:p>
        </w:tc>
        <w:tc>
          <w:tcPr>
            <w:tcW w:w="1239" w:type="dxa"/>
            <w:vAlign w:val="center"/>
          </w:tcPr>
          <w:p w14:paraId="0AE5DE11">
            <w:pPr>
              <w:jc w:val="center"/>
              <w:rPr>
                <w:rFonts w:ascii="宋体" w:hAnsi="宋体"/>
                <w:color w:val="auto"/>
                <w:szCs w:val="21"/>
                <w:highlight w:val="none"/>
              </w:rPr>
            </w:pPr>
          </w:p>
        </w:tc>
        <w:tc>
          <w:tcPr>
            <w:tcW w:w="1544" w:type="dxa"/>
            <w:vAlign w:val="center"/>
          </w:tcPr>
          <w:p w14:paraId="5BB25187">
            <w:pPr>
              <w:jc w:val="center"/>
              <w:rPr>
                <w:rFonts w:ascii="宋体" w:hAnsi="宋体"/>
                <w:color w:val="auto"/>
                <w:szCs w:val="21"/>
                <w:highlight w:val="none"/>
              </w:rPr>
            </w:pPr>
          </w:p>
        </w:tc>
      </w:tr>
      <w:tr w14:paraId="299CF4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 w:type="dxa"/>
            <w:vAlign w:val="center"/>
          </w:tcPr>
          <w:p w14:paraId="74C0E5C1">
            <w:pPr>
              <w:jc w:val="center"/>
              <w:rPr>
                <w:rFonts w:ascii="宋体" w:hAnsi="宋体"/>
                <w:color w:val="auto"/>
                <w:szCs w:val="21"/>
                <w:highlight w:val="none"/>
              </w:rPr>
            </w:pPr>
          </w:p>
        </w:tc>
        <w:tc>
          <w:tcPr>
            <w:tcW w:w="1902" w:type="dxa"/>
            <w:vAlign w:val="center"/>
          </w:tcPr>
          <w:p w14:paraId="0D32EFBE">
            <w:pPr>
              <w:jc w:val="center"/>
              <w:rPr>
                <w:rFonts w:ascii="宋体" w:hAnsi="宋体"/>
                <w:color w:val="auto"/>
                <w:szCs w:val="21"/>
                <w:highlight w:val="none"/>
              </w:rPr>
            </w:pPr>
          </w:p>
        </w:tc>
        <w:tc>
          <w:tcPr>
            <w:tcW w:w="1370" w:type="dxa"/>
            <w:vAlign w:val="center"/>
          </w:tcPr>
          <w:p w14:paraId="04E7F81A">
            <w:pPr>
              <w:jc w:val="center"/>
              <w:rPr>
                <w:rFonts w:ascii="宋体" w:hAnsi="宋体"/>
                <w:color w:val="auto"/>
                <w:szCs w:val="21"/>
                <w:highlight w:val="none"/>
              </w:rPr>
            </w:pPr>
          </w:p>
        </w:tc>
        <w:tc>
          <w:tcPr>
            <w:tcW w:w="1629" w:type="dxa"/>
            <w:vAlign w:val="center"/>
          </w:tcPr>
          <w:p w14:paraId="759F0303">
            <w:pPr>
              <w:jc w:val="center"/>
              <w:rPr>
                <w:rFonts w:ascii="宋体" w:hAnsi="宋体"/>
                <w:color w:val="auto"/>
                <w:szCs w:val="21"/>
                <w:highlight w:val="none"/>
              </w:rPr>
            </w:pPr>
          </w:p>
        </w:tc>
        <w:tc>
          <w:tcPr>
            <w:tcW w:w="1239" w:type="dxa"/>
            <w:vAlign w:val="center"/>
          </w:tcPr>
          <w:p w14:paraId="055362F3">
            <w:pPr>
              <w:jc w:val="center"/>
              <w:rPr>
                <w:rFonts w:ascii="宋体" w:hAnsi="宋体"/>
                <w:color w:val="auto"/>
                <w:szCs w:val="21"/>
                <w:highlight w:val="none"/>
              </w:rPr>
            </w:pPr>
          </w:p>
        </w:tc>
        <w:tc>
          <w:tcPr>
            <w:tcW w:w="1544" w:type="dxa"/>
            <w:vAlign w:val="center"/>
          </w:tcPr>
          <w:p w14:paraId="58FC4871">
            <w:pPr>
              <w:jc w:val="center"/>
              <w:rPr>
                <w:rFonts w:ascii="宋体" w:hAnsi="宋体"/>
                <w:color w:val="auto"/>
                <w:szCs w:val="21"/>
                <w:highlight w:val="none"/>
              </w:rPr>
            </w:pPr>
          </w:p>
        </w:tc>
      </w:tr>
      <w:tr w14:paraId="745912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 w:type="dxa"/>
            <w:vAlign w:val="center"/>
          </w:tcPr>
          <w:p w14:paraId="0D9AAA4E">
            <w:pPr>
              <w:jc w:val="center"/>
              <w:rPr>
                <w:rFonts w:ascii="宋体" w:hAnsi="宋体"/>
                <w:color w:val="auto"/>
                <w:szCs w:val="21"/>
                <w:highlight w:val="none"/>
              </w:rPr>
            </w:pPr>
          </w:p>
        </w:tc>
        <w:tc>
          <w:tcPr>
            <w:tcW w:w="1902" w:type="dxa"/>
            <w:vAlign w:val="center"/>
          </w:tcPr>
          <w:p w14:paraId="04C0B6EB">
            <w:pPr>
              <w:jc w:val="center"/>
              <w:rPr>
                <w:rFonts w:ascii="宋体" w:hAnsi="宋体"/>
                <w:color w:val="auto"/>
                <w:szCs w:val="21"/>
                <w:highlight w:val="none"/>
              </w:rPr>
            </w:pPr>
          </w:p>
        </w:tc>
        <w:tc>
          <w:tcPr>
            <w:tcW w:w="1370" w:type="dxa"/>
            <w:vAlign w:val="center"/>
          </w:tcPr>
          <w:p w14:paraId="5C0C385C">
            <w:pPr>
              <w:jc w:val="center"/>
              <w:rPr>
                <w:rFonts w:ascii="宋体" w:hAnsi="宋体"/>
                <w:color w:val="auto"/>
                <w:szCs w:val="21"/>
                <w:highlight w:val="none"/>
              </w:rPr>
            </w:pPr>
          </w:p>
        </w:tc>
        <w:tc>
          <w:tcPr>
            <w:tcW w:w="1629" w:type="dxa"/>
            <w:vAlign w:val="center"/>
          </w:tcPr>
          <w:p w14:paraId="7A2E468A">
            <w:pPr>
              <w:jc w:val="center"/>
              <w:rPr>
                <w:rFonts w:ascii="宋体" w:hAnsi="宋体"/>
                <w:color w:val="auto"/>
                <w:szCs w:val="21"/>
                <w:highlight w:val="none"/>
              </w:rPr>
            </w:pPr>
          </w:p>
        </w:tc>
        <w:tc>
          <w:tcPr>
            <w:tcW w:w="1239" w:type="dxa"/>
            <w:vAlign w:val="center"/>
          </w:tcPr>
          <w:p w14:paraId="764DAE5A">
            <w:pPr>
              <w:jc w:val="center"/>
              <w:rPr>
                <w:rFonts w:ascii="宋体" w:hAnsi="宋体"/>
                <w:color w:val="auto"/>
                <w:szCs w:val="21"/>
                <w:highlight w:val="none"/>
              </w:rPr>
            </w:pPr>
          </w:p>
        </w:tc>
        <w:tc>
          <w:tcPr>
            <w:tcW w:w="1544" w:type="dxa"/>
            <w:vAlign w:val="center"/>
          </w:tcPr>
          <w:p w14:paraId="0A68C5A1">
            <w:pPr>
              <w:jc w:val="center"/>
              <w:rPr>
                <w:rFonts w:ascii="宋体" w:hAnsi="宋体"/>
                <w:color w:val="auto"/>
                <w:szCs w:val="21"/>
                <w:highlight w:val="none"/>
              </w:rPr>
            </w:pPr>
          </w:p>
        </w:tc>
      </w:tr>
      <w:tr w14:paraId="0692CD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 w:type="dxa"/>
            <w:vAlign w:val="center"/>
          </w:tcPr>
          <w:p w14:paraId="6092E017">
            <w:pPr>
              <w:jc w:val="center"/>
              <w:rPr>
                <w:rFonts w:ascii="宋体" w:hAnsi="宋体"/>
                <w:color w:val="auto"/>
                <w:szCs w:val="21"/>
                <w:highlight w:val="none"/>
              </w:rPr>
            </w:pPr>
          </w:p>
        </w:tc>
        <w:tc>
          <w:tcPr>
            <w:tcW w:w="1902" w:type="dxa"/>
            <w:vAlign w:val="center"/>
          </w:tcPr>
          <w:p w14:paraId="17C8F83E">
            <w:pPr>
              <w:jc w:val="center"/>
              <w:rPr>
                <w:rFonts w:ascii="宋体" w:hAnsi="宋体"/>
                <w:color w:val="auto"/>
                <w:szCs w:val="21"/>
                <w:highlight w:val="none"/>
              </w:rPr>
            </w:pPr>
          </w:p>
        </w:tc>
        <w:tc>
          <w:tcPr>
            <w:tcW w:w="1370" w:type="dxa"/>
            <w:vAlign w:val="center"/>
          </w:tcPr>
          <w:p w14:paraId="3B821B1D">
            <w:pPr>
              <w:jc w:val="center"/>
              <w:rPr>
                <w:rFonts w:ascii="宋体" w:hAnsi="宋体"/>
                <w:color w:val="auto"/>
                <w:szCs w:val="21"/>
                <w:highlight w:val="none"/>
              </w:rPr>
            </w:pPr>
          </w:p>
        </w:tc>
        <w:tc>
          <w:tcPr>
            <w:tcW w:w="1629" w:type="dxa"/>
            <w:vAlign w:val="center"/>
          </w:tcPr>
          <w:p w14:paraId="38C3DB66">
            <w:pPr>
              <w:jc w:val="center"/>
              <w:rPr>
                <w:rFonts w:ascii="宋体" w:hAnsi="宋体"/>
                <w:color w:val="auto"/>
                <w:szCs w:val="21"/>
                <w:highlight w:val="none"/>
              </w:rPr>
            </w:pPr>
          </w:p>
        </w:tc>
        <w:tc>
          <w:tcPr>
            <w:tcW w:w="1239" w:type="dxa"/>
            <w:vAlign w:val="center"/>
          </w:tcPr>
          <w:p w14:paraId="281C8CA8">
            <w:pPr>
              <w:jc w:val="center"/>
              <w:rPr>
                <w:rFonts w:ascii="宋体" w:hAnsi="宋体"/>
                <w:color w:val="auto"/>
                <w:szCs w:val="21"/>
                <w:highlight w:val="none"/>
              </w:rPr>
            </w:pPr>
          </w:p>
        </w:tc>
        <w:tc>
          <w:tcPr>
            <w:tcW w:w="1544" w:type="dxa"/>
            <w:vAlign w:val="center"/>
          </w:tcPr>
          <w:p w14:paraId="730C2570">
            <w:pPr>
              <w:jc w:val="center"/>
              <w:rPr>
                <w:rFonts w:ascii="宋体" w:hAnsi="宋体"/>
                <w:color w:val="auto"/>
                <w:szCs w:val="21"/>
                <w:highlight w:val="none"/>
              </w:rPr>
            </w:pPr>
          </w:p>
        </w:tc>
      </w:tr>
      <w:tr w14:paraId="355338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 w:type="dxa"/>
            <w:vAlign w:val="center"/>
          </w:tcPr>
          <w:p w14:paraId="222906BA">
            <w:pPr>
              <w:jc w:val="center"/>
              <w:rPr>
                <w:rFonts w:ascii="宋体" w:hAnsi="宋体"/>
                <w:color w:val="auto"/>
                <w:szCs w:val="21"/>
                <w:highlight w:val="none"/>
              </w:rPr>
            </w:pPr>
          </w:p>
        </w:tc>
        <w:tc>
          <w:tcPr>
            <w:tcW w:w="1902" w:type="dxa"/>
            <w:vAlign w:val="center"/>
          </w:tcPr>
          <w:p w14:paraId="2D18CD20">
            <w:pPr>
              <w:jc w:val="center"/>
              <w:rPr>
                <w:rFonts w:ascii="宋体" w:hAnsi="宋体"/>
                <w:color w:val="auto"/>
                <w:szCs w:val="21"/>
                <w:highlight w:val="none"/>
              </w:rPr>
            </w:pPr>
          </w:p>
        </w:tc>
        <w:tc>
          <w:tcPr>
            <w:tcW w:w="1370" w:type="dxa"/>
            <w:vAlign w:val="center"/>
          </w:tcPr>
          <w:p w14:paraId="312F5881">
            <w:pPr>
              <w:jc w:val="center"/>
              <w:rPr>
                <w:rFonts w:ascii="宋体" w:hAnsi="宋体"/>
                <w:color w:val="auto"/>
                <w:szCs w:val="21"/>
                <w:highlight w:val="none"/>
              </w:rPr>
            </w:pPr>
          </w:p>
        </w:tc>
        <w:tc>
          <w:tcPr>
            <w:tcW w:w="1629" w:type="dxa"/>
            <w:vAlign w:val="center"/>
          </w:tcPr>
          <w:p w14:paraId="456A2DE9">
            <w:pPr>
              <w:jc w:val="center"/>
              <w:rPr>
                <w:rFonts w:ascii="宋体" w:hAnsi="宋体"/>
                <w:color w:val="auto"/>
                <w:szCs w:val="21"/>
                <w:highlight w:val="none"/>
              </w:rPr>
            </w:pPr>
          </w:p>
        </w:tc>
        <w:tc>
          <w:tcPr>
            <w:tcW w:w="1239" w:type="dxa"/>
            <w:vAlign w:val="center"/>
          </w:tcPr>
          <w:p w14:paraId="0757A71A">
            <w:pPr>
              <w:jc w:val="center"/>
              <w:rPr>
                <w:rFonts w:ascii="宋体" w:hAnsi="宋体"/>
                <w:color w:val="auto"/>
                <w:szCs w:val="21"/>
                <w:highlight w:val="none"/>
              </w:rPr>
            </w:pPr>
          </w:p>
        </w:tc>
        <w:tc>
          <w:tcPr>
            <w:tcW w:w="1544" w:type="dxa"/>
            <w:vAlign w:val="center"/>
          </w:tcPr>
          <w:p w14:paraId="02E2FC25">
            <w:pPr>
              <w:jc w:val="center"/>
              <w:rPr>
                <w:rFonts w:ascii="宋体" w:hAnsi="宋体"/>
                <w:color w:val="auto"/>
                <w:szCs w:val="21"/>
                <w:highlight w:val="none"/>
              </w:rPr>
            </w:pPr>
          </w:p>
        </w:tc>
      </w:tr>
      <w:tr w14:paraId="37F68D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 w:type="dxa"/>
            <w:vAlign w:val="center"/>
          </w:tcPr>
          <w:p w14:paraId="06E995B6">
            <w:pPr>
              <w:jc w:val="center"/>
              <w:rPr>
                <w:rFonts w:ascii="宋体" w:hAnsi="宋体"/>
                <w:color w:val="auto"/>
                <w:szCs w:val="21"/>
                <w:highlight w:val="none"/>
              </w:rPr>
            </w:pPr>
          </w:p>
        </w:tc>
        <w:tc>
          <w:tcPr>
            <w:tcW w:w="1902" w:type="dxa"/>
            <w:vAlign w:val="center"/>
          </w:tcPr>
          <w:p w14:paraId="73872898">
            <w:pPr>
              <w:jc w:val="center"/>
              <w:rPr>
                <w:rFonts w:ascii="宋体" w:hAnsi="宋体"/>
                <w:color w:val="auto"/>
                <w:szCs w:val="21"/>
                <w:highlight w:val="none"/>
              </w:rPr>
            </w:pPr>
          </w:p>
        </w:tc>
        <w:tc>
          <w:tcPr>
            <w:tcW w:w="1370" w:type="dxa"/>
            <w:vAlign w:val="center"/>
          </w:tcPr>
          <w:p w14:paraId="5BA5CDEF">
            <w:pPr>
              <w:jc w:val="center"/>
              <w:rPr>
                <w:rFonts w:ascii="宋体" w:hAnsi="宋体"/>
                <w:color w:val="auto"/>
                <w:szCs w:val="21"/>
                <w:highlight w:val="none"/>
              </w:rPr>
            </w:pPr>
          </w:p>
        </w:tc>
        <w:tc>
          <w:tcPr>
            <w:tcW w:w="1629" w:type="dxa"/>
            <w:vAlign w:val="center"/>
          </w:tcPr>
          <w:p w14:paraId="24B4AEA0">
            <w:pPr>
              <w:jc w:val="center"/>
              <w:rPr>
                <w:rFonts w:ascii="宋体" w:hAnsi="宋体"/>
                <w:color w:val="auto"/>
                <w:szCs w:val="21"/>
                <w:highlight w:val="none"/>
              </w:rPr>
            </w:pPr>
          </w:p>
        </w:tc>
        <w:tc>
          <w:tcPr>
            <w:tcW w:w="1239" w:type="dxa"/>
            <w:vAlign w:val="center"/>
          </w:tcPr>
          <w:p w14:paraId="3532910A">
            <w:pPr>
              <w:jc w:val="center"/>
              <w:rPr>
                <w:rFonts w:ascii="宋体" w:hAnsi="宋体"/>
                <w:color w:val="auto"/>
                <w:szCs w:val="21"/>
                <w:highlight w:val="none"/>
              </w:rPr>
            </w:pPr>
          </w:p>
        </w:tc>
        <w:tc>
          <w:tcPr>
            <w:tcW w:w="1544" w:type="dxa"/>
            <w:vAlign w:val="center"/>
          </w:tcPr>
          <w:p w14:paraId="3D6DF253">
            <w:pPr>
              <w:jc w:val="center"/>
              <w:rPr>
                <w:rFonts w:ascii="宋体" w:hAnsi="宋体"/>
                <w:color w:val="auto"/>
                <w:szCs w:val="21"/>
                <w:highlight w:val="none"/>
              </w:rPr>
            </w:pPr>
          </w:p>
        </w:tc>
      </w:tr>
      <w:tr w14:paraId="27F829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 w:type="dxa"/>
            <w:vAlign w:val="center"/>
          </w:tcPr>
          <w:p w14:paraId="2E98CE7E">
            <w:pPr>
              <w:jc w:val="center"/>
              <w:rPr>
                <w:rFonts w:ascii="宋体" w:hAnsi="宋体"/>
                <w:color w:val="auto"/>
                <w:szCs w:val="21"/>
                <w:highlight w:val="none"/>
              </w:rPr>
            </w:pPr>
          </w:p>
        </w:tc>
        <w:tc>
          <w:tcPr>
            <w:tcW w:w="1902" w:type="dxa"/>
            <w:vAlign w:val="center"/>
          </w:tcPr>
          <w:p w14:paraId="7059FF04">
            <w:pPr>
              <w:jc w:val="center"/>
              <w:rPr>
                <w:rFonts w:ascii="宋体" w:hAnsi="宋体"/>
                <w:color w:val="auto"/>
                <w:szCs w:val="21"/>
                <w:highlight w:val="none"/>
              </w:rPr>
            </w:pPr>
          </w:p>
        </w:tc>
        <w:tc>
          <w:tcPr>
            <w:tcW w:w="1370" w:type="dxa"/>
            <w:vAlign w:val="center"/>
          </w:tcPr>
          <w:p w14:paraId="40901B1A">
            <w:pPr>
              <w:jc w:val="center"/>
              <w:rPr>
                <w:rFonts w:ascii="宋体" w:hAnsi="宋体"/>
                <w:color w:val="auto"/>
                <w:szCs w:val="21"/>
                <w:highlight w:val="none"/>
              </w:rPr>
            </w:pPr>
          </w:p>
        </w:tc>
        <w:tc>
          <w:tcPr>
            <w:tcW w:w="1629" w:type="dxa"/>
            <w:vAlign w:val="center"/>
          </w:tcPr>
          <w:p w14:paraId="267F5AE5">
            <w:pPr>
              <w:jc w:val="center"/>
              <w:rPr>
                <w:rFonts w:ascii="宋体" w:hAnsi="宋体"/>
                <w:color w:val="auto"/>
                <w:szCs w:val="21"/>
                <w:highlight w:val="none"/>
              </w:rPr>
            </w:pPr>
          </w:p>
        </w:tc>
        <w:tc>
          <w:tcPr>
            <w:tcW w:w="1239" w:type="dxa"/>
            <w:vAlign w:val="center"/>
          </w:tcPr>
          <w:p w14:paraId="5D28FCB4">
            <w:pPr>
              <w:jc w:val="center"/>
              <w:rPr>
                <w:rFonts w:ascii="宋体" w:hAnsi="宋体"/>
                <w:color w:val="auto"/>
                <w:szCs w:val="21"/>
                <w:highlight w:val="none"/>
              </w:rPr>
            </w:pPr>
          </w:p>
        </w:tc>
        <w:tc>
          <w:tcPr>
            <w:tcW w:w="1544" w:type="dxa"/>
            <w:vAlign w:val="center"/>
          </w:tcPr>
          <w:p w14:paraId="00AE100D">
            <w:pPr>
              <w:jc w:val="center"/>
              <w:rPr>
                <w:rFonts w:ascii="宋体" w:hAnsi="宋体"/>
                <w:color w:val="auto"/>
                <w:szCs w:val="21"/>
                <w:highlight w:val="none"/>
              </w:rPr>
            </w:pPr>
          </w:p>
        </w:tc>
      </w:tr>
    </w:tbl>
    <w:p w14:paraId="1033EC4C">
      <w:pPr>
        <w:rPr>
          <w:rFonts w:ascii="宋体" w:hAnsi="宋体"/>
          <w:color w:val="auto"/>
          <w:szCs w:val="21"/>
          <w:highlight w:val="none"/>
        </w:rPr>
      </w:pPr>
    </w:p>
    <w:p w14:paraId="2F856159">
      <w:pPr>
        <w:rPr>
          <w:rFonts w:ascii="宋体" w:hAnsi="宋体"/>
          <w:color w:val="auto"/>
          <w:szCs w:val="21"/>
          <w:highlight w:val="none"/>
        </w:rPr>
      </w:pPr>
      <w:r>
        <w:rPr>
          <w:rFonts w:hint="eastAsia" w:ascii="宋体" w:hAnsi="宋体"/>
          <w:color w:val="auto"/>
          <w:szCs w:val="21"/>
          <w:highlight w:val="none"/>
        </w:rPr>
        <w:t>投标人代表签字：</w:t>
      </w:r>
    </w:p>
    <w:p w14:paraId="78062949">
      <w:pPr>
        <w:rPr>
          <w:rFonts w:ascii="宋体" w:hAnsi="宋体"/>
          <w:color w:val="auto"/>
          <w:szCs w:val="21"/>
          <w:highlight w:val="none"/>
        </w:rPr>
      </w:pPr>
      <w:r>
        <w:rPr>
          <w:rFonts w:hint="eastAsia" w:ascii="宋体" w:hAnsi="宋体"/>
          <w:color w:val="auto"/>
          <w:szCs w:val="21"/>
          <w:highlight w:val="none"/>
        </w:rPr>
        <w:t>投标人盖章：</w:t>
      </w:r>
    </w:p>
    <w:p w14:paraId="28E5DE0A">
      <w:pPr>
        <w:ind w:firstLine="178" w:firstLineChars="85"/>
        <w:rPr>
          <w:rFonts w:ascii="宋体" w:hAnsi="宋体"/>
          <w:color w:val="auto"/>
          <w:szCs w:val="21"/>
          <w:highlight w:val="none"/>
        </w:rPr>
      </w:pPr>
    </w:p>
    <w:p w14:paraId="4D35A224">
      <w:pPr>
        <w:rPr>
          <w:rFonts w:ascii="宋体" w:hAnsi="宋体"/>
          <w:color w:val="auto"/>
          <w:szCs w:val="21"/>
          <w:highlight w:val="none"/>
        </w:rPr>
      </w:pPr>
      <w:r>
        <w:rPr>
          <w:rFonts w:hint="eastAsia" w:ascii="宋体" w:hAnsi="宋体"/>
          <w:color w:val="auto"/>
          <w:szCs w:val="21"/>
          <w:highlight w:val="none"/>
        </w:rPr>
        <w:t>注：</w:t>
      </w:r>
    </w:p>
    <w:p w14:paraId="10CD09A3">
      <w:pPr>
        <w:rPr>
          <w:rFonts w:ascii="宋体" w:hAnsi="宋体"/>
          <w:color w:val="auto"/>
          <w:szCs w:val="21"/>
          <w:highlight w:val="none"/>
        </w:rPr>
      </w:pPr>
      <w:r>
        <w:rPr>
          <w:rFonts w:hint="eastAsia" w:ascii="宋体" w:hAnsi="宋体"/>
          <w:color w:val="auto"/>
          <w:szCs w:val="21"/>
          <w:highlight w:val="none"/>
        </w:rPr>
        <w:t>1、投标人应对照采购文件技术需求书中技术规格，说明所提供服务已对采购文件的技术规格做出了实质性的响应，并申明与技术规格条文的偏差和例外。特别对有具体参数要求的指标，投标人必须提供所投设备的具体参数值。</w:t>
      </w:r>
    </w:p>
    <w:p w14:paraId="5581D892">
      <w:pPr>
        <w:rPr>
          <w:rFonts w:ascii="宋体" w:hAnsi="宋体"/>
          <w:color w:val="auto"/>
          <w:szCs w:val="21"/>
          <w:highlight w:val="none"/>
        </w:rPr>
      </w:pPr>
      <w:r>
        <w:rPr>
          <w:rFonts w:hint="eastAsia" w:ascii="宋体" w:hAnsi="宋体"/>
          <w:color w:val="auto"/>
          <w:szCs w:val="21"/>
          <w:highlight w:val="none"/>
        </w:rPr>
        <w:t>2、</w:t>
      </w:r>
      <w:r>
        <w:rPr>
          <w:rFonts w:hint="eastAsia" w:hAnsi="宋体" w:cs="宋体"/>
          <w:color w:val="auto"/>
          <w:szCs w:val="21"/>
          <w:highlight w:val="none"/>
        </w:rPr>
        <w:t>不论出于何种原因此表未填写</w:t>
      </w:r>
      <w:r>
        <w:rPr>
          <w:rFonts w:hint="eastAsia" w:ascii="宋体" w:hAnsi="宋体"/>
          <w:color w:val="auto"/>
          <w:szCs w:val="21"/>
          <w:highlight w:val="none"/>
        </w:rPr>
        <w:t>完整</w:t>
      </w:r>
      <w:r>
        <w:rPr>
          <w:rFonts w:hint="eastAsia" w:hAnsi="宋体" w:cs="宋体"/>
          <w:color w:val="auto"/>
          <w:szCs w:val="21"/>
          <w:highlight w:val="none"/>
        </w:rPr>
        <w:t>，投标人都被认为已清楚了解采购文件“技术需求书”的内容并对采购人所需的服务要求作全面响应，投标人必须承担完成“技术需求书”所描述内容的义务</w:t>
      </w:r>
      <w:r>
        <w:rPr>
          <w:rFonts w:hint="eastAsia" w:ascii="宋体" w:hAnsi="宋体"/>
          <w:color w:val="auto"/>
          <w:szCs w:val="21"/>
          <w:highlight w:val="none"/>
        </w:rPr>
        <w:t>，因此对投标人投标产生负面影响的，投标人自行承担后果。</w:t>
      </w:r>
    </w:p>
    <w:p w14:paraId="1999150C">
      <w:pPr>
        <w:rPr>
          <w:rFonts w:ascii="宋体" w:hAnsi="宋体"/>
          <w:color w:val="auto"/>
          <w:szCs w:val="21"/>
          <w:highlight w:val="none"/>
        </w:rPr>
      </w:pPr>
      <w:r>
        <w:rPr>
          <w:rFonts w:hint="eastAsia" w:ascii="宋体" w:hAnsi="宋体"/>
          <w:color w:val="auto"/>
          <w:szCs w:val="21"/>
          <w:highlight w:val="none"/>
        </w:rPr>
        <w:t>3、</w:t>
      </w:r>
      <w:r>
        <w:rPr>
          <w:rFonts w:hint="eastAsia" w:hAnsi="宋体" w:cs="宋体"/>
          <w:color w:val="auto"/>
          <w:szCs w:val="21"/>
          <w:highlight w:val="none"/>
        </w:rPr>
        <w:t>如有偏离，应在“偏离情况”栏内注明“正”、“负”或“无”，并在“说明”栏内予以说明。</w:t>
      </w:r>
    </w:p>
    <w:p w14:paraId="5A1D8F3C">
      <w:pPr>
        <w:rPr>
          <w:rFonts w:ascii="宋体" w:hAnsi="宋体"/>
          <w:color w:val="auto"/>
          <w:szCs w:val="21"/>
          <w:highlight w:val="none"/>
        </w:rPr>
      </w:pPr>
      <w:r>
        <w:rPr>
          <w:rFonts w:hint="eastAsia" w:ascii="宋体" w:hAnsi="宋体"/>
          <w:color w:val="auto"/>
          <w:szCs w:val="21"/>
          <w:highlight w:val="none"/>
        </w:rPr>
        <w:t>4、</w:t>
      </w:r>
      <w:r>
        <w:rPr>
          <w:rFonts w:hint="eastAsia" w:hAnsi="宋体" w:cs="宋体"/>
          <w:color w:val="auto"/>
          <w:szCs w:val="21"/>
          <w:highlight w:val="none"/>
        </w:rPr>
        <w:t>如投标人差异内容较多可另附页说明。</w:t>
      </w:r>
    </w:p>
    <w:p w14:paraId="59F93516">
      <w:pPr>
        <w:rPr>
          <w:rFonts w:ascii="宋体" w:hAnsi="宋体"/>
          <w:color w:val="auto"/>
          <w:szCs w:val="21"/>
          <w:highlight w:val="none"/>
        </w:rPr>
      </w:pPr>
      <w:r>
        <w:rPr>
          <w:rFonts w:hint="eastAsia" w:ascii="宋体" w:hAnsi="宋体"/>
          <w:color w:val="auto"/>
          <w:szCs w:val="21"/>
          <w:highlight w:val="none"/>
        </w:rPr>
        <w:t>5、</w:t>
      </w:r>
      <w:r>
        <w:rPr>
          <w:rFonts w:hint="eastAsia" w:hAnsi="宋体" w:cs="宋体"/>
          <w:color w:val="auto"/>
          <w:szCs w:val="21"/>
          <w:highlight w:val="none"/>
        </w:rPr>
        <w:t>如投标人对用户需求书商务要求的条款全部响应的，也可以在表格下面用文字总括性的说明。</w:t>
      </w:r>
    </w:p>
    <w:p w14:paraId="4AF47424">
      <w:pPr>
        <w:adjustRightInd/>
        <w:snapToGrid/>
        <w:spacing w:line="276" w:lineRule="auto"/>
        <w:rPr>
          <w:color w:val="auto"/>
          <w:highlight w:val="none"/>
        </w:rPr>
      </w:pPr>
    </w:p>
    <w:p w14:paraId="1BEDD6DD">
      <w:pPr>
        <w:outlineLvl w:val="9"/>
        <w:rPr>
          <w:highlight w:val="none"/>
        </w:rPr>
      </w:pPr>
    </w:p>
    <w:p w14:paraId="72B75E3B">
      <w:pPr>
        <w:widowControl w:val="0"/>
        <w:overflowPunct w:val="0"/>
        <w:spacing w:line="240" w:lineRule="auto"/>
        <w:rPr>
          <w:rFonts w:hint="eastAsia" w:ascii="宋体" w:hAnsi="宋体"/>
          <w:color w:val="auto"/>
          <w:sz w:val="21"/>
          <w:szCs w:val="21"/>
          <w:highlight w:val="none"/>
        </w:rPr>
      </w:pPr>
      <w:bookmarkStart w:id="1176" w:name="_Toc1290"/>
      <w:bookmarkStart w:id="1177" w:name="_Toc6498"/>
      <w:bookmarkStart w:id="1178" w:name="_Toc31319"/>
      <w:bookmarkStart w:id="1179" w:name="_Toc24099"/>
      <w:bookmarkStart w:id="1180" w:name="_Toc30378"/>
      <w:bookmarkStart w:id="1181" w:name="_Toc17683"/>
    </w:p>
    <w:p w14:paraId="11A9A744">
      <w:pPr>
        <w:widowControl w:val="0"/>
        <w:overflowPunct w:val="0"/>
        <w:spacing w:line="240" w:lineRule="auto"/>
        <w:outlineLvl w:val="3"/>
        <w:rPr>
          <w:rFonts w:ascii="宋体" w:hAnsi="宋体"/>
          <w:b/>
          <w:bCs/>
          <w:color w:val="auto"/>
          <w:sz w:val="21"/>
          <w:szCs w:val="21"/>
          <w:highlight w:val="none"/>
        </w:rPr>
      </w:pPr>
      <w:bookmarkStart w:id="1182" w:name="_Toc27822"/>
      <w:bookmarkStart w:id="1183" w:name="_Toc12308"/>
      <w:bookmarkStart w:id="1184" w:name="_Toc28872"/>
      <w:bookmarkStart w:id="1185" w:name="_Toc20432"/>
      <w:bookmarkStart w:id="1186" w:name="_Toc5495"/>
      <w:r>
        <w:rPr>
          <w:rFonts w:hint="eastAsia" w:ascii="宋体" w:hAnsi="宋体"/>
          <w:b/>
          <w:bCs/>
          <w:color w:val="auto"/>
          <w:sz w:val="21"/>
          <w:szCs w:val="21"/>
          <w:highlight w:val="none"/>
        </w:rPr>
        <w:t>附件</w:t>
      </w:r>
      <w:r>
        <w:rPr>
          <w:rFonts w:hint="eastAsia" w:ascii="宋体" w:hAnsi="宋体"/>
          <w:b/>
          <w:bCs/>
          <w:color w:val="auto"/>
          <w:sz w:val="21"/>
          <w:szCs w:val="21"/>
          <w:highlight w:val="none"/>
          <w:lang w:val="en-US" w:eastAsia="zh-CN"/>
        </w:rPr>
        <w:t>17</w:t>
      </w:r>
      <w:r>
        <w:rPr>
          <w:rFonts w:hint="eastAsia" w:ascii="宋体" w:hAnsi="宋体"/>
          <w:b/>
          <w:bCs/>
          <w:color w:val="auto"/>
          <w:sz w:val="21"/>
          <w:szCs w:val="21"/>
          <w:highlight w:val="none"/>
        </w:rPr>
        <w:t>.项目实施方案格式</w:t>
      </w:r>
      <w:bookmarkEnd w:id="1176"/>
      <w:bookmarkEnd w:id="1177"/>
      <w:bookmarkEnd w:id="1178"/>
      <w:bookmarkEnd w:id="1179"/>
      <w:bookmarkEnd w:id="1180"/>
      <w:bookmarkEnd w:id="1181"/>
      <w:bookmarkEnd w:id="1182"/>
      <w:bookmarkEnd w:id="1183"/>
      <w:bookmarkEnd w:id="1184"/>
      <w:bookmarkEnd w:id="1185"/>
      <w:bookmarkEnd w:id="1186"/>
    </w:p>
    <w:p w14:paraId="4B75DF50">
      <w:pPr>
        <w:jc w:val="center"/>
        <w:rPr>
          <w:rFonts w:ascii="黑体" w:eastAsia="黑体"/>
          <w:color w:val="auto"/>
          <w:sz w:val="32"/>
          <w:szCs w:val="32"/>
          <w:highlight w:val="none"/>
        </w:rPr>
      </w:pPr>
    </w:p>
    <w:p w14:paraId="38E64790">
      <w:pPr>
        <w:jc w:val="center"/>
        <w:rPr>
          <w:rFonts w:ascii="黑体" w:eastAsia="黑体"/>
          <w:color w:val="auto"/>
          <w:sz w:val="32"/>
          <w:szCs w:val="32"/>
          <w:highlight w:val="none"/>
        </w:rPr>
      </w:pPr>
      <w:r>
        <w:rPr>
          <w:rFonts w:hint="eastAsia" w:ascii="黑体" w:eastAsia="黑体"/>
          <w:color w:val="auto"/>
          <w:sz w:val="32"/>
          <w:szCs w:val="32"/>
          <w:highlight w:val="none"/>
        </w:rPr>
        <w:t>项目实施方案</w:t>
      </w:r>
    </w:p>
    <w:p w14:paraId="65DDD263">
      <w:pPr>
        <w:jc w:val="center"/>
        <w:rPr>
          <w:rFonts w:ascii="黑体" w:eastAsia="黑体"/>
          <w:color w:val="auto"/>
          <w:sz w:val="32"/>
          <w:szCs w:val="32"/>
          <w:highlight w:val="none"/>
        </w:rPr>
      </w:pPr>
    </w:p>
    <w:p w14:paraId="2B0994CC">
      <w:pPr>
        <w:ind w:left="718" w:leftChars="200" w:hanging="298" w:hangingChars="142"/>
        <w:rPr>
          <w:rFonts w:ascii="宋体" w:hAnsi="宋体"/>
          <w:color w:val="auto"/>
          <w:szCs w:val="21"/>
          <w:highlight w:val="none"/>
        </w:rPr>
      </w:pPr>
      <w:r>
        <w:rPr>
          <w:rFonts w:hint="eastAsia" w:ascii="宋体" w:hAnsi="宋体"/>
          <w:color w:val="auto"/>
          <w:szCs w:val="21"/>
          <w:highlight w:val="none"/>
        </w:rPr>
        <w:t>1、为完成本项目投标人临时投入的设备</w:t>
      </w:r>
    </w:p>
    <w:p w14:paraId="144F3BE0">
      <w:pPr>
        <w:ind w:left="718" w:leftChars="200" w:hanging="298" w:hangingChars="142"/>
        <w:rPr>
          <w:rFonts w:ascii="宋体" w:hAnsi="宋体"/>
          <w:color w:val="auto"/>
          <w:szCs w:val="21"/>
          <w:highlight w:val="none"/>
        </w:rPr>
      </w:pPr>
      <w:r>
        <w:rPr>
          <w:rFonts w:hint="eastAsia" w:ascii="宋体" w:hAnsi="宋体"/>
          <w:color w:val="auto"/>
          <w:szCs w:val="21"/>
          <w:highlight w:val="none"/>
        </w:rPr>
        <w:t>2、为完成本项目投标人投入的人员以及具体工作安排</w:t>
      </w:r>
    </w:p>
    <w:p w14:paraId="63C82CB1">
      <w:pPr>
        <w:ind w:left="718" w:leftChars="200" w:hanging="298" w:hangingChars="142"/>
        <w:rPr>
          <w:rFonts w:ascii="宋体" w:hAnsi="宋体"/>
          <w:color w:val="auto"/>
          <w:szCs w:val="21"/>
          <w:highlight w:val="none"/>
        </w:rPr>
      </w:pPr>
      <w:r>
        <w:rPr>
          <w:rFonts w:hint="eastAsia" w:ascii="宋体" w:hAnsi="宋体"/>
          <w:color w:val="auto"/>
          <w:szCs w:val="21"/>
          <w:highlight w:val="none"/>
        </w:rPr>
        <w:t>3、投标人为本项目制定的具体项目实施方案与项目实施流程</w:t>
      </w:r>
    </w:p>
    <w:p w14:paraId="767E332E">
      <w:pPr>
        <w:ind w:left="718" w:leftChars="200" w:hanging="298" w:hangingChars="142"/>
        <w:rPr>
          <w:rFonts w:ascii="宋体" w:hAnsi="宋体"/>
          <w:color w:val="auto"/>
          <w:szCs w:val="21"/>
          <w:highlight w:val="none"/>
        </w:rPr>
      </w:pPr>
      <w:r>
        <w:rPr>
          <w:rFonts w:hint="eastAsia" w:ascii="宋体" w:hAnsi="宋体"/>
          <w:color w:val="auto"/>
          <w:szCs w:val="21"/>
          <w:highlight w:val="none"/>
        </w:rPr>
        <w:t>4、服务方案</w:t>
      </w:r>
    </w:p>
    <w:p w14:paraId="0BA721F9">
      <w:pPr>
        <w:ind w:left="718" w:leftChars="200" w:hanging="298" w:hangingChars="142"/>
        <w:rPr>
          <w:rFonts w:ascii="宋体" w:hAnsi="宋体"/>
          <w:color w:val="auto"/>
          <w:szCs w:val="21"/>
          <w:highlight w:val="none"/>
        </w:rPr>
      </w:pPr>
      <w:r>
        <w:rPr>
          <w:rFonts w:hint="eastAsia" w:ascii="宋体" w:hAnsi="宋体"/>
          <w:color w:val="auto"/>
          <w:szCs w:val="21"/>
          <w:highlight w:val="none"/>
        </w:rPr>
        <w:t>5、..........</w:t>
      </w:r>
    </w:p>
    <w:p w14:paraId="39E2AC0F">
      <w:pPr>
        <w:ind w:left="718" w:leftChars="200" w:hanging="298" w:hangingChars="142"/>
        <w:rPr>
          <w:rFonts w:ascii="宋体" w:hAnsi="宋体" w:cs="Times New Roman"/>
          <w:color w:val="auto"/>
          <w:szCs w:val="21"/>
          <w:highlight w:val="none"/>
        </w:rPr>
      </w:pPr>
      <w:r>
        <w:rPr>
          <w:rFonts w:hint="eastAsia" w:ascii="宋体" w:hAnsi="宋体"/>
          <w:color w:val="auto"/>
          <w:szCs w:val="21"/>
          <w:highlight w:val="none"/>
        </w:rPr>
        <w:t>自行编写。</w:t>
      </w:r>
    </w:p>
    <w:p w14:paraId="2044D5E7">
      <w:pPr>
        <w:ind w:left="718" w:leftChars="200" w:hanging="298" w:hangingChars="142"/>
        <w:rPr>
          <w:rFonts w:ascii="宋体" w:hAnsi="宋体"/>
          <w:color w:val="auto"/>
          <w:szCs w:val="21"/>
          <w:highlight w:val="none"/>
        </w:rPr>
      </w:pPr>
    </w:p>
    <w:p w14:paraId="07FE4CFB">
      <w:pPr>
        <w:ind w:left="718" w:leftChars="200" w:hanging="298" w:hangingChars="142"/>
        <w:rPr>
          <w:rFonts w:ascii="宋体" w:hAnsi="宋体"/>
          <w:color w:val="auto"/>
          <w:szCs w:val="21"/>
          <w:highlight w:val="none"/>
        </w:rPr>
      </w:pPr>
    </w:p>
    <w:p w14:paraId="5AA729BB">
      <w:pPr>
        <w:ind w:left="718" w:leftChars="200" w:hanging="298" w:hangingChars="142"/>
        <w:rPr>
          <w:rFonts w:hint="eastAsia" w:ascii="宋体" w:hAnsi="宋体"/>
          <w:color w:val="auto"/>
          <w:szCs w:val="21"/>
          <w:highlight w:val="none"/>
        </w:rPr>
      </w:pPr>
    </w:p>
    <w:p w14:paraId="73FCF352">
      <w:pPr>
        <w:ind w:left="718" w:leftChars="200" w:hanging="298" w:hangingChars="142"/>
        <w:rPr>
          <w:rFonts w:hint="eastAsia" w:ascii="宋体" w:hAnsi="宋体"/>
          <w:color w:val="auto"/>
          <w:szCs w:val="21"/>
          <w:highlight w:val="none"/>
        </w:rPr>
      </w:pPr>
    </w:p>
    <w:p w14:paraId="1B5FC003">
      <w:pPr>
        <w:ind w:left="718" w:leftChars="200" w:hanging="298" w:hangingChars="142"/>
        <w:rPr>
          <w:rFonts w:hint="eastAsia" w:ascii="宋体" w:hAnsi="宋体"/>
          <w:color w:val="auto"/>
          <w:szCs w:val="21"/>
          <w:highlight w:val="none"/>
        </w:rPr>
      </w:pPr>
    </w:p>
    <w:p w14:paraId="6C04B5BB">
      <w:pPr>
        <w:ind w:left="718" w:leftChars="200" w:hanging="298" w:hangingChars="142"/>
        <w:rPr>
          <w:rFonts w:hint="eastAsia" w:ascii="宋体" w:hAnsi="宋体"/>
          <w:color w:val="auto"/>
          <w:szCs w:val="21"/>
          <w:highlight w:val="none"/>
        </w:rPr>
      </w:pPr>
    </w:p>
    <w:p w14:paraId="2E4BE4DF">
      <w:pPr>
        <w:pStyle w:val="39"/>
        <w:numPr>
          <w:ilvl w:val="0"/>
          <w:numId w:val="0"/>
        </w:numPr>
        <w:rPr>
          <w:rFonts w:hint="eastAsia" w:ascii="宋体" w:hAnsi="宋体"/>
          <w:b/>
          <w:bCs/>
          <w:color w:val="auto"/>
          <w:sz w:val="21"/>
          <w:szCs w:val="21"/>
          <w:highlight w:val="none"/>
        </w:rPr>
      </w:pPr>
      <w:bookmarkStart w:id="1187" w:name="_Toc10687"/>
      <w:bookmarkStart w:id="1188" w:name="_Toc13705"/>
      <w:bookmarkStart w:id="1189" w:name="_Toc10820"/>
      <w:bookmarkStart w:id="1190" w:name="_Toc19326"/>
      <w:bookmarkStart w:id="1191" w:name="_Toc21024"/>
    </w:p>
    <w:p w14:paraId="34FAE0EB">
      <w:pPr>
        <w:pStyle w:val="39"/>
        <w:numPr>
          <w:ilvl w:val="0"/>
          <w:numId w:val="0"/>
        </w:numPr>
        <w:rPr>
          <w:rFonts w:hint="eastAsia" w:ascii="宋体" w:hAnsi="宋体"/>
          <w:b/>
          <w:bCs/>
          <w:color w:val="auto"/>
          <w:sz w:val="21"/>
          <w:szCs w:val="21"/>
          <w:highlight w:val="none"/>
        </w:rPr>
      </w:pPr>
    </w:p>
    <w:p w14:paraId="3CCFE744">
      <w:pPr>
        <w:pStyle w:val="39"/>
        <w:numPr>
          <w:ilvl w:val="0"/>
          <w:numId w:val="0"/>
        </w:numPr>
        <w:rPr>
          <w:rFonts w:hint="eastAsia" w:ascii="宋体" w:hAnsi="宋体"/>
          <w:b/>
          <w:bCs/>
          <w:color w:val="auto"/>
          <w:sz w:val="21"/>
          <w:szCs w:val="21"/>
          <w:highlight w:val="none"/>
        </w:rPr>
      </w:pPr>
    </w:p>
    <w:p w14:paraId="635D6651">
      <w:pPr>
        <w:rPr>
          <w:rFonts w:hint="eastAsia" w:ascii="宋体" w:hAnsi="宋体"/>
          <w:b/>
          <w:bCs/>
          <w:color w:val="auto"/>
          <w:sz w:val="21"/>
          <w:szCs w:val="21"/>
          <w:highlight w:val="none"/>
        </w:rPr>
      </w:pPr>
    </w:p>
    <w:p w14:paraId="0DB8D664">
      <w:pPr>
        <w:rPr>
          <w:rFonts w:hint="eastAsia" w:ascii="宋体" w:hAnsi="宋体"/>
          <w:b/>
          <w:bCs/>
          <w:color w:val="auto"/>
          <w:sz w:val="21"/>
          <w:szCs w:val="21"/>
          <w:highlight w:val="none"/>
        </w:rPr>
      </w:pPr>
    </w:p>
    <w:p w14:paraId="3CE87BF1">
      <w:pPr>
        <w:rPr>
          <w:rFonts w:hint="eastAsia" w:ascii="宋体" w:hAnsi="宋体"/>
          <w:b/>
          <w:bCs/>
          <w:color w:val="auto"/>
          <w:sz w:val="21"/>
          <w:szCs w:val="21"/>
          <w:highlight w:val="none"/>
        </w:rPr>
      </w:pPr>
    </w:p>
    <w:p w14:paraId="54B22CCB">
      <w:pPr>
        <w:rPr>
          <w:rFonts w:hint="eastAsia" w:ascii="宋体" w:hAnsi="宋体"/>
          <w:b/>
          <w:bCs/>
          <w:color w:val="auto"/>
          <w:sz w:val="21"/>
          <w:szCs w:val="21"/>
          <w:highlight w:val="none"/>
        </w:rPr>
      </w:pPr>
    </w:p>
    <w:p w14:paraId="01EF44D3">
      <w:pPr>
        <w:rPr>
          <w:rFonts w:hint="eastAsia" w:ascii="宋体" w:hAnsi="宋体"/>
          <w:b/>
          <w:bCs/>
          <w:color w:val="auto"/>
          <w:sz w:val="21"/>
          <w:szCs w:val="21"/>
          <w:highlight w:val="none"/>
        </w:rPr>
      </w:pPr>
    </w:p>
    <w:p w14:paraId="46E8553F">
      <w:pPr>
        <w:rPr>
          <w:rFonts w:hint="eastAsia" w:ascii="宋体" w:hAnsi="宋体"/>
          <w:b/>
          <w:bCs/>
          <w:color w:val="auto"/>
          <w:sz w:val="21"/>
          <w:szCs w:val="21"/>
          <w:highlight w:val="none"/>
        </w:rPr>
      </w:pPr>
    </w:p>
    <w:p w14:paraId="27D095E4">
      <w:pPr>
        <w:rPr>
          <w:rFonts w:hint="eastAsia" w:ascii="宋体" w:hAnsi="宋体"/>
          <w:b/>
          <w:bCs/>
          <w:color w:val="auto"/>
          <w:sz w:val="21"/>
          <w:szCs w:val="21"/>
          <w:highlight w:val="none"/>
        </w:rPr>
      </w:pPr>
    </w:p>
    <w:p w14:paraId="5786984F">
      <w:pPr>
        <w:rPr>
          <w:rFonts w:hint="eastAsia" w:ascii="宋体" w:hAnsi="宋体"/>
          <w:b/>
          <w:bCs/>
          <w:color w:val="auto"/>
          <w:sz w:val="21"/>
          <w:szCs w:val="21"/>
          <w:highlight w:val="none"/>
        </w:rPr>
      </w:pPr>
    </w:p>
    <w:p w14:paraId="7C501404">
      <w:pPr>
        <w:rPr>
          <w:rFonts w:hint="eastAsia" w:ascii="宋体" w:hAnsi="宋体"/>
          <w:b/>
          <w:bCs/>
          <w:color w:val="auto"/>
          <w:sz w:val="21"/>
          <w:szCs w:val="21"/>
          <w:highlight w:val="none"/>
        </w:rPr>
      </w:pPr>
    </w:p>
    <w:p w14:paraId="74C0434D">
      <w:pPr>
        <w:rPr>
          <w:rFonts w:hint="eastAsia" w:ascii="宋体" w:hAnsi="宋体"/>
          <w:b/>
          <w:bCs/>
          <w:color w:val="auto"/>
          <w:sz w:val="21"/>
          <w:szCs w:val="21"/>
          <w:highlight w:val="none"/>
        </w:rPr>
      </w:pPr>
    </w:p>
    <w:p w14:paraId="3BCF4274">
      <w:pPr>
        <w:rPr>
          <w:rFonts w:hint="eastAsia" w:ascii="宋体" w:hAnsi="宋体"/>
          <w:b/>
          <w:bCs/>
          <w:color w:val="auto"/>
          <w:sz w:val="21"/>
          <w:szCs w:val="21"/>
          <w:highlight w:val="none"/>
        </w:rPr>
      </w:pPr>
    </w:p>
    <w:p w14:paraId="48360F00">
      <w:pPr>
        <w:rPr>
          <w:rFonts w:hint="eastAsia" w:ascii="宋体" w:hAnsi="宋体"/>
          <w:b/>
          <w:bCs/>
          <w:color w:val="auto"/>
          <w:sz w:val="21"/>
          <w:szCs w:val="21"/>
          <w:highlight w:val="none"/>
        </w:rPr>
      </w:pPr>
    </w:p>
    <w:p w14:paraId="5A3B4166">
      <w:pPr>
        <w:rPr>
          <w:rFonts w:hint="eastAsia" w:ascii="宋体" w:hAnsi="宋体"/>
          <w:b/>
          <w:bCs/>
          <w:color w:val="auto"/>
          <w:sz w:val="21"/>
          <w:szCs w:val="21"/>
          <w:highlight w:val="none"/>
        </w:rPr>
      </w:pPr>
    </w:p>
    <w:p w14:paraId="006E267C">
      <w:pPr>
        <w:outlineLvl w:val="9"/>
        <w:rPr>
          <w:rFonts w:hint="eastAsia" w:ascii="宋体" w:hAnsi="宋体"/>
          <w:b/>
          <w:bCs/>
          <w:color w:val="auto"/>
          <w:sz w:val="21"/>
          <w:szCs w:val="21"/>
          <w:highlight w:val="none"/>
        </w:rPr>
      </w:pPr>
      <w:bookmarkStart w:id="1192" w:name="_Toc6840"/>
      <w:bookmarkStart w:id="1193" w:name="_Toc4083"/>
      <w:bookmarkStart w:id="1194" w:name="_Toc19119"/>
      <w:r>
        <w:rPr>
          <w:rFonts w:hint="eastAsia" w:ascii="宋体" w:hAnsi="宋体"/>
          <w:b/>
          <w:bCs/>
          <w:color w:val="auto"/>
          <w:sz w:val="21"/>
          <w:szCs w:val="21"/>
          <w:highlight w:val="none"/>
        </w:rPr>
        <w:br w:type="page"/>
      </w:r>
    </w:p>
    <w:p w14:paraId="626B00AD">
      <w:pPr>
        <w:outlineLvl w:val="3"/>
        <w:rPr>
          <w:rFonts w:hint="eastAsia" w:ascii="宋体" w:hAnsi="宋体"/>
          <w:b/>
          <w:bCs/>
          <w:color w:val="auto"/>
          <w:sz w:val="21"/>
          <w:szCs w:val="21"/>
          <w:highlight w:val="none"/>
          <w:lang w:val="en-US" w:eastAsia="zh-CN"/>
        </w:rPr>
      </w:pPr>
      <w:bookmarkStart w:id="1195" w:name="_Toc15205"/>
      <w:bookmarkStart w:id="1196" w:name="_Toc3283"/>
      <w:r>
        <w:rPr>
          <w:rFonts w:hint="eastAsia" w:ascii="宋体" w:hAnsi="宋体"/>
          <w:b/>
          <w:bCs/>
          <w:color w:val="auto"/>
          <w:sz w:val="21"/>
          <w:szCs w:val="21"/>
          <w:highlight w:val="none"/>
        </w:rPr>
        <w:t>附件</w:t>
      </w:r>
      <w:r>
        <w:rPr>
          <w:rFonts w:hint="eastAsia" w:ascii="宋体" w:hAnsi="宋体"/>
          <w:b/>
          <w:bCs/>
          <w:color w:val="auto"/>
          <w:sz w:val="21"/>
          <w:szCs w:val="21"/>
          <w:highlight w:val="none"/>
          <w:lang w:val="en-US" w:eastAsia="zh-CN"/>
        </w:rPr>
        <w:t>18</w:t>
      </w:r>
      <w:r>
        <w:rPr>
          <w:rFonts w:hint="eastAsia" w:ascii="宋体" w:hAnsi="宋体"/>
          <w:b/>
          <w:bCs/>
          <w:color w:val="auto"/>
          <w:sz w:val="21"/>
          <w:szCs w:val="21"/>
          <w:highlight w:val="none"/>
        </w:rPr>
        <w:t>.</w:t>
      </w:r>
      <w:r>
        <w:rPr>
          <w:rFonts w:hint="eastAsia" w:ascii="宋体" w:hAnsi="宋体"/>
          <w:b/>
          <w:bCs/>
          <w:color w:val="auto"/>
          <w:sz w:val="21"/>
          <w:szCs w:val="21"/>
          <w:highlight w:val="none"/>
          <w:lang w:val="en-US" w:eastAsia="zh-CN"/>
        </w:rPr>
        <w:t>安全生产相关资料</w:t>
      </w:r>
      <w:bookmarkEnd w:id="1187"/>
      <w:bookmarkEnd w:id="1188"/>
      <w:bookmarkEnd w:id="1189"/>
      <w:bookmarkEnd w:id="1190"/>
      <w:bookmarkEnd w:id="1191"/>
      <w:bookmarkEnd w:id="1192"/>
      <w:bookmarkEnd w:id="1193"/>
      <w:bookmarkEnd w:id="1194"/>
      <w:bookmarkEnd w:id="1195"/>
      <w:bookmarkEnd w:id="1196"/>
    </w:p>
    <w:p w14:paraId="0F735627">
      <w:pPr>
        <w:spacing w:before="0" w:after="0" w:line="240" w:lineRule="auto"/>
        <w:outlineLvl w:val="9"/>
        <w:rPr>
          <w:rFonts w:hint="eastAsia" w:ascii="宋体" w:hAnsi="宋体"/>
          <w:color w:val="auto"/>
          <w:sz w:val="21"/>
          <w:szCs w:val="21"/>
          <w:highlight w:val="none"/>
          <w:lang w:val="en-US" w:eastAsia="zh-CN"/>
        </w:rPr>
      </w:pPr>
    </w:p>
    <w:p w14:paraId="207777C6">
      <w:pPr>
        <w:spacing w:line="240" w:lineRule="auto"/>
        <w:ind w:firstLine="420" w:firstLineChars="200"/>
        <w:jc w:val="left"/>
        <w:rPr>
          <w:rFonts w:hint="eastAsia" w:ascii="宋体" w:hAnsi="宋体" w:eastAsia="宋体" w:cs="宋体"/>
          <w:color w:val="auto"/>
          <w:szCs w:val="21"/>
          <w:highlight w:val="none"/>
        </w:rPr>
      </w:pPr>
      <w:r>
        <w:rPr>
          <w:rFonts w:hint="eastAsia" w:ascii="宋体" w:hAnsi="宋体" w:cs="宋体"/>
          <w:color w:val="auto"/>
          <w:szCs w:val="21"/>
          <w:highlight w:val="none"/>
          <w:lang w:eastAsia="zh-CN"/>
        </w:rPr>
        <w:t>（</w:t>
      </w:r>
      <w:r>
        <w:rPr>
          <w:rFonts w:hint="eastAsia" w:ascii="宋体" w:hAnsi="宋体" w:eastAsia="宋体" w:cs="宋体"/>
          <w:color w:val="auto"/>
          <w:szCs w:val="21"/>
          <w:highlight w:val="none"/>
        </w:rPr>
        <w:t>安全生产相关资料</w:t>
      </w:r>
      <w:r>
        <w:rPr>
          <w:rFonts w:hint="eastAsia" w:ascii="宋体" w:hAnsi="宋体" w:cs="宋体"/>
          <w:color w:val="auto"/>
          <w:szCs w:val="21"/>
          <w:highlight w:val="none"/>
          <w:lang w:val="en-US" w:eastAsia="zh-CN"/>
        </w:rPr>
        <w:t>要求</w:t>
      </w:r>
      <w:r>
        <w:rPr>
          <w:rFonts w:hint="eastAsia" w:ascii="宋体" w:hAnsi="宋体" w:eastAsia="宋体" w:cs="宋体"/>
          <w:color w:val="auto"/>
          <w:szCs w:val="21"/>
          <w:highlight w:val="none"/>
        </w:rPr>
        <w:t xml:space="preserve">：提供《安全生产制度》《应急预案》《安全生产操作规程》复印件；提供年度培训计划、培训《签到表》及培训教案，培训内容包括但不限于安全生产相关法律法规培训、危险废物类别及运输培训、突发泄露或火情情况下应急培训； </w:t>
      </w:r>
    </w:p>
    <w:p w14:paraId="3878CEAD">
      <w:pPr>
        <w:spacing w:line="240" w:lineRule="auto"/>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A.《安全生产管理制度》A4纸打印并加盖公章并装订成册；</w:t>
      </w:r>
    </w:p>
    <w:p w14:paraId="3E629049">
      <w:pPr>
        <w:spacing w:line="240" w:lineRule="auto"/>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B.《应急预案》A4纸打印并加盖公章并装订成册；</w:t>
      </w:r>
    </w:p>
    <w:p w14:paraId="7E5536D6">
      <w:pPr>
        <w:spacing w:line="240" w:lineRule="auto"/>
        <w:jc w:val="left"/>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rPr>
        <w:t>C.培训计划、培训签到表、培训教案A4纸分别打印，装订成册；</w:t>
      </w:r>
      <w:r>
        <w:rPr>
          <w:rFonts w:hint="eastAsia" w:ascii="宋体" w:hAnsi="宋体" w:cs="宋体"/>
          <w:color w:val="auto"/>
          <w:szCs w:val="21"/>
          <w:highlight w:val="none"/>
          <w:lang w:eastAsia="zh-CN"/>
        </w:rPr>
        <w:t>）</w:t>
      </w:r>
    </w:p>
    <w:p w14:paraId="4345335A">
      <w:pPr>
        <w:rPr>
          <w:rFonts w:hint="eastAsia" w:ascii="宋体" w:hAnsi="宋体"/>
          <w:color w:val="auto"/>
          <w:sz w:val="21"/>
          <w:szCs w:val="21"/>
          <w:highlight w:val="none"/>
        </w:rPr>
      </w:pPr>
      <w:bookmarkStart w:id="1197" w:name="_Toc30763"/>
      <w:bookmarkStart w:id="1198" w:name="_Toc7272"/>
      <w:r>
        <w:rPr>
          <w:rFonts w:hint="eastAsia" w:ascii="宋体" w:hAnsi="宋体"/>
          <w:color w:val="auto"/>
          <w:sz w:val="21"/>
          <w:szCs w:val="21"/>
          <w:highlight w:val="none"/>
        </w:rPr>
        <w:br w:type="page"/>
      </w:r>
    </w:p>
    <w:bookmarkEnd w:id="1197"/>
    <w:bookmarkEnd w:id="1198"/>
    <w:p w14:paraId="5B77C87C">
      <w:pPr>
        <w:jc w:val="center"/>
        <w:outlineLvl w:val="1"/>
        <w:rPr>
          <w:rFonts w:eastAsia="黑体"/>
          <w:color w:val="auto"/>
          <w:sz w:val="72"/>
          <w:szCs w:val="72"/>
          <w:highlight w:val="none"/>
        </w:rPr>
      </w:pPr>
      <w:bookmarkStart w:id="1199" w:name="_Toc1273"/>
      <w:bookmarkStart w:id="1200" w:name="_Toc6858"/>
      <w:bookmarkStart w:id="1201" w:name="_Toc15153"/>
      <w:bookmarkStart w:id="1202" w:name="_Toc21486"/>
      <w:bookmarkStart w:id="1203" w:name="_Toc11827"/>
      <w:bookmarkStart w:id="1204" w:name="_Toc21797"/>
      <w:bookmarkStart w:id="1205" w:name="_Toc6775"/>
      <w:bookmarkStart w:id="1206" w:name="_Toc15227"/>
      <w:bookmarkStart w:id="1207" w:name="_Toc8402"/>
      <w:bookmarkStart w:id="1208" w:name="_Toc9771"/>
      <w:bookmarkStart w:id="1209" w:name="_Toc27212"/>
      <w:bookmarkStart w:id="1210" w:name="_Toc1968"/>
      <w:r>
        <w:rPr>
          <w:rFonts w:hint="eastAsia" w:eastAsia="黑体"/>
          <w:color w:val="auto"/>
          <w:sz w:val="72"/>
          <w:szCs w:val="72"/>
          <w:highlight w:val="none"/>
        </w:rPr>
        <w:t>唱标信封</w:t>
      </w:r>
      <w:bookmarkEnd w:id="1199"/>
      <w:bookmarkEnd w:id="1200"/>
      <w:bookmarkEnd w:id="1201"/>
      <w:bookmarkEnd w:id="1202"/>
      <w:bookmarkEnd w:id="1203"/>
      <w:bookmarkEnd w:id="1204"/>
      <w:bookmarkEnd w:id="1205"/>
      <w:bookmarkEnd w:id="1206"/>
      <w:bookmarkEnd w:id="1207"/>
      <w:bookmarkEnd w:id="1208"/>
      <w:bookmarkEnd w:id="1209"/>
    </w:p>
    <w:p w14:paraId="162707BE">
      <w:pPr>
        <w:jc w:val="center"/>
        <w:rPr>
          <w:rFonts w:ascii="黑体" w:eastAsia="黑体"/>
          <w:color w:val="auto"/>
          <w:sz w:val="52"/>
          <w:szCs w:val="52"/>
          <w:highlight w:val="none"/>
        </w:rPr>
      </w:pPr>
      <w:r>
        <w:rPr>
          <w:rFonts w:hint="eastAsia" w:ascii="黑体" w:eastAsia="黑体"/>
          <w:color w:val="auto"/>
          <w:sz w:val="52"/>
          <w:szCs w:val="52"/>
          <w:highlight w:val="none"/>
        </w:rPr>
        <w:t>（单独装订成册，单独封装）</w:t>
      </w:r>
    </w:p>
    <w:p w14:paraId="3982EF29">
      <w:pPr>
        <w:rPr>
          <w:color w:val="auto"/>
          <w:highlight w:val="none"/>
        </w:rPr>
      </w:pPr>
    </w:p>
    <w:p w14:paraId="0CFC618A">
      <w:pPr>
        <w:pStyle w:val="9"/>
        <w:rPr>
          <w:color w:val="auto"/>
          <w:highlight w:val="none"/>
        </w:rPr>
      </w:pPr>
    </w:p>
    <w:p w14:paraId="38527A4C">
      <w:pPr>
        <w:pStyle w:val="26"/>
        <w:ind w:firstLine="240"/>
        <w:rPr>
          <w:color w:val="auto"/>
          <w:highlight w:val="none"/>
        </w:rPr>
      </w:pPr>
    </w:p>
    <w:p w14:paraId="4C9F342A">
      <w:pPr>
        <w:pStyle w:val="26"/>
        <w:ind w:firstLine="240"/>
        <w:rPr>
          <w:color w:val="auto"/>
          <w:highlight w:val="none"/>
        </w:rPr>
      </w:pPr>
    </w:p>
    <w:p w14:paraId="65184CDC">
      <w:pPr>
        <w:rPr>
          <w:rFonts w:ascii="宋体" w:hAnsi="宋体" w:cs="宋体"/>
          <w:b/>
          <w:color w:val="auto"/>
          <w:spacing w:val="-6"/>
          <w:sz w:val="32"/>
          <w:szCs w:val="32"/>
          <w:highlight w:val="none"/>
        </w:rPr>
      </w:pPr>
      <w:r>
        <w:rPr>
          <w:rFonts w:hint="eastAsia" w:ascii="宋体" w:hAnsi="宋体" w:cs="宋体"/>
          <w:b/>
          <w:color w:val="auto"/>
          <w:spacing w:val="106"/>
          <w:sz w:val="32"/>
          <w:szCs w:val="32"/>
          <w:highlight w:val="none"/>
        </w:rPr>
        <w:t>项目名</w:t>
      </w:r>
      <w:r>
        <w:rPr>
          <w:rFonts w:hint="eastAsia" w:ascii="宋体" w:hAnsi="宋体" w:cs="宋体"/>
          <w:b/>
          <w:color w:val="auto"/>
          <w:spacing w:val="2"/>
          <w:sz w:val="32"/>
          <w:szCs w:val="32"/>
          <w:highlight w:val="none"/>
        </w:rPr>
        <w:t>称</w:t>
      </w:r>
      <w:r>
        <w:rPr>
          <w:rFonts w:hint="eastAsia" w:ascii="宋体" w:hAnsi="宋体" w:cs="宋体"/>
          <w:b/>
          <w:color w:val="auto"/>
          <w:spacing w:val="-6"/>
          <w:sz w:val="32"/>
          <w:szCs w:val="32"/>
          <w:highlight w:val="none"/>
        </w:rPr>
        <w:t>：东莞市新东欣环保投资有限公司2025-2026年度危废运输服务项目</w:t>
      </w:r>
    </w:p>
    <w:p w14:paraId="0F097A96">
      <w:pPr>
        <w:rPr>
          <w:rFonts w:ascii="宋体" w:hAnsi="宋体" w:cs="宋体"/>
          <w:b/>
          <w:color w:val="auto"/>
          <w:sz w:val="32"/>
          <w:szCs w:val="32"/>
          <w:highlight w:val="none"/>
        </w:rPr>
      </w:pPr>
      <w:r>
        <w:rPr>
          <w:rFonts w:hint="eastAsia" w:ascii="宋体" w:hAnsi="宋体" w:cs="宋体"/>
          <w:b/>
          <w:color w:val="auto"/>
          <w:spacing w:val="106"/>
          <w:sz w:val="32"/>
          <w:szCs w:val="32"/>
          <w:highlight w:val="none"/>
        </w:rPr>
        <w:t>项目编</w:t>
      </w:r>
      <w:r>
        <w:rPr>
          <w:rFonts w:hint="eastAsia" w:ascii="宋体" w:hAnsi="宋体" w:cs="宋体"/>
          <w:b/>
          <w:color w:val="auto"/>
          <w:spacing w:val="2"/>
          <w:sz w:val="32"/>
          <w:szCs w:val="32"/>
          <w:highlight w:val="none"/>
        </w:rPr>
        <w:t>号</w:t>
      </w:r>
      <w:r>
        <w:rPr>
          <w:rFonts w:hint="eastAsia" w:ascii="宋体" w:hAnsi="宋体" w:cs="宋体"/>
          <w:b/>
          <w:color w:val="auto"/>
          <w:sz w:val="32"/>
          <w:szCs w:val="32"/>
          <w:highlight w:val="none"/>
        </w:rPr>
        <w:t>：XDX-GK-2024-003</w:t>
      </w:r>
    </w:p>
    <w:p w14:paraId="1F69D736">
      <w:pPr>
        <w:pStyle w:val="9"/>
        <w:ind w:left="0"/>
        <w:rPr>
          <w:b/>
          <w:color w:val="auto"/>
          <w:spacing w:val="106"/>
          <w:sz w:val="32"/>
          <w:szCs w:val="32"/>
          <w:highlight w:val="none"/>
          <w:lang w:val="en-US" w:bidi="ar-SA"/>
        </w:rPr>
      </w:pPr>
      <w:r>
        <w:rPr>
          <w:rFonts w:hint="eastAsia"/>
          <w:b/>
          <w:color w:val="auto"/>
          <w:spacing w:val="106"/>
          <w:sz w:val="32"/>
          <w:szCs w:val="32"/>
          <w:highlight w:val="none"/>
          <w:lang w:val="en-US" w:bidi="ar-SA"/>
        </w:rPr>
        <w:t>包组号（如有）：</w:t>
      </w:r>
    </w:p>
    <w:p w14:paraId="12D61371">
      <w:pPr>
        <w:rPr>
          <w:rFonts w:ascii="宋体" w:hAnsi="宋体" w:cs="宋体"/>
          <w:b/>
          <w:color w:val="auto"/>
          <w:sz w:val="32"/>
          <w:szCs w:val="32"/>
          <w:highlight w:val="none"/>
        </w:rPr>
      </w:pPr>
      <w:r>
        <w:rPr>
          <w:rFonts w:hint="eastAsia" w:ascii="宋体" w:hAnsi="宋体" w:cs="宋体"/>
          <w:b/>
          <w:color w:val="auto"/>
          <w:sz w:val="32"/>
          <w:szCs w:val="32"/>
          <w:highlight w:val="none"/>
        </w:rPr>
        <w:t>投标人名称：</w:t>
      </w:r>
    </w:p>
    <w:p w14:paraId="6586EC51">
      <w:pPr>
        <w:rPr>
          <w:rFonts w:ascii="宋体" w:hAnsi="宋体" w:cs="宋体"/>
          <w:b/>
          <w:color w:val="auto"/>
          <w:sz w:val="32"/>
          <w:szCs w:val="32"/>
          <w:highlight w:val="none"/>
        </w:rPr>
      </w:pPr>
      <w:r>
        <w:rPr>
          <w:rFonts w:hint="eastAsia" w:ascii="宋体" w:hAnsi="宋体" w:cs="宋体"/>
          <w:b/>
          <w:color w:val="auto"/>
          <w:spacing w:val="64"/>
          <w:sz w:val="32"/>
          <w:szCs w:val="32"/>
          <w:highlight w:val="none"/>
        </w:rPr>
        <w:t xml:space="preserve">日    </w:t>
      </w:r>
      <w:r>
        <w:rPr>
          <w:rFonts w:hint="eastAsia" w:ascii="宋体" w:hAnsi="宋体" w:cs="宋体"/>
          <w:b/>
          <w:color w:val="auto"/>
          <w:sz w:val="32"/>
          <w:szCs w:val="32"/>
          <w:highlight w:val="none"/>
        </w:rPr>
        <w:t>期：</w:t>
      </w:r>
    </w:p>
    <w:p w14:paraId="6FB2CAA0">
      <w:pPr>
        <w:rPr>
          <w:rFonts w:ascii="宋体" w:hAnsi="宋体"/>
          <w:color w:val="auto"/>
          <w:szCs w:val="21"/>
          <w:highlight w:val="none"/>
        </w:rPr>
      </w:pPr>
      <w:r>
        <w:rPr>
          <w:rFonts w:hint="eastAsia" w:ascii="宋体" w:hAnsi="宋体"/>
          <w:color w:val="auto"/>
          <w:szCs w:val="21"/>
          <w:highlight w:val="none"/>
        </w:rPr>
        <w:br w:type="page"/>
      </w:r>
    </w:p>
    <w:p w14:paraId="42C58AB4">
      <w:pPr>
        <w:outlineLvl w:val="1"/>
        <w:rPr>
          <w:color w:val="auto"/>
          <w:sz w:val="72"/>
          <w:szCs w:val="72"/>
          <w:highlight w:val="none"/>
        </w:rPr>
        <w:sectPr>
          <w:pgSz w:w="11906" w:h="16838"/>
          <w:pgMar w:top="1440" w:right="1800" w:bottom="1440" w:left="1800" w:header="708" w:footer="708" w:gutter="0"/>
          <w:pgBorders>
            <w:top w:val="none" w:sz="0" w:space="0"/>
            <w:left w:val="none" w:sz="0" w:space="0"/>
            <w:bottom w:val="none" w:sz="0" w:space="0"/>
            <w:right w:val="none" w:sz="0" w:space="0"/>
          </w:pgBorders>
          <w:pgNumType w:fmt="decimal"/>
          <w:cols w:space="708" w:num="1"/>
          <w:titlePg/>
          <w:docGrid w:type="lines" w:linePitch="360" w:charSpace="0"/>
        </w:sectPr>
      </w:pPr>
    </w:p>
    <w:bookmarkEnd w:id="1210"/>
    <w:p w14:paraId="31978E46">
      <w:pPr>
        <w:pStyle w:val="5"/>
        <w:numPr>
          <w:ilvl w:val="255"/>
          <w:numId w:val="0"/>
        </w:numPr>
        <w:tabs>
          <w:tab w:val="left" w:pos="720"/>
          <w:tab w:val="left" w:pos="3840"/>
        </w:tabs>
        <w:ind w:left="283"/>
        <w:jc w:val="both"/>
        <w:rPr>
          <w:rFonts w:ascii="宋体" w:hAnsi="宋体"/>
          <w:color w:val="auto"/>
          <w:sz w:val="21"/>
          <w:szCs w:val="21"/>
          <w:highlight w:val="none"/>
        </w:rPr>
      </w:pPr>
      <w:bookmarkStart w:id="1211" w:name="_Toc14128"/>
      <w:bookmarkStart w:id="1212" w:name="_Toc768"/>
      <w:bookmarkStart w:id="1213" w:name="_Toc5869"/>
      <w:bookmarkStart w:id="1214" w:name="_Toc9542"/>
      <w:bookmarkStart w:id="1215" w:name="_Toc32349"/>
      <w:bookmarkStart w:id="1216" w:name="_Toc21121"/>
      <w:bookmarkStart w:id="1217" w:name="_Toc31776"/>
      <w:bookmarkStart w:id="1218" w:name="_Toc3894"/>
      <w:bookmarkStart w:id="1219" w:name="_Toc11321"/>
      <w:bookmarkStart w:id="1220" w:name="_Toc27915"/>
      <w:bookmarkStart w:id="1221" w:name="_Toc5046"/>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19</w:t>
      </w:r>
      <w:r>
        <w:rPr>
          <w:rFonts w:hint="eastAsia" w:ascii="宋体" w:hAnsi="宋体"/>
          <w:color w:val="auto"/>
          <w:sz w:val="21"/>
          <w:szCs w:val="21"/>
          <w:highlight w:val="none"/>
        </w:rPr>
        <w:t>.唱标信封内装（内容务必与投标文件正本一致）</w:t>
      </w:r>
      <w:bookmarkEnd w:id="1211"/>
      <w:bookmarkEnd w:id="1212"/>
      <w:bookmarkEnd w:id="1213"/>
      <w:bookmarkEnd w:id="1214"/>
      <w:bookmarkEnd w:id="1215"/>
      <w:bookmarkEnd w:id="1216"/>
      <w:bookmarkEnd w:id="1217"/>
      <w:bookmarkEnd w:id="1218"/>
      <w:bookmarkEnd w:id="1219"/>
      <w:bookmarkEnd w:id="1220"/>
      <w:bookmarkEnd w:id="1221"/>
    </w:p>
    <w:p w14:paraId="581F7C35">
      <w:pPr>
        <w:numPr>
          <w:ilvl w:val="0"/>
          <w:numId w:val="16"/>
        </w:numPr>
        <w:ind w:firstLineChars="200"/>
        <w:rPr>
          <w:rFonts w:hAnsi="宋体"/>
          <w:color w:val="auto"/>
          <w:szCs w:val="21"/>
          <w:highlight w:val="none"/>
        </w:rPr>
      </w:pPr>
      <w:r>
        <w:rPr>
          <w:rFonts w:hint="eastAsia" w:hAnsi="宋体"/>
          <w:color w:val="auto"/>
          <w:szCs w:val="21"/>
          <w:highlight w:val="none"/>
        </w:rPr>
        <w:t>开标一览表加盖公章；</w:t>
      </w:r>
    </w:p>
    <w:p w14:paraId="4C130884">
      <w:pPr>
        <w:numPr>
          <w:ilvl w:val="0"/>
          <w:numId w:val="16"/>
        </w:numPr>
        <w:ind w:firstLineChars="200"/>
        <w:rPr>
          <w:rFonts w:hAnsi="宋体"/>
          <w:color w:val="auto"/>
          <w:szCs w:val="21"/>
          <w:highlight w:val="none"/>
        </w:rPr>
      </w:pPr>
      <w:r>
        <w:rPr>
          <w:rFonts w:hint="eastAsia" w:hAnsi="宋体"/>
          <w:color w:val="auto"/>
          <w:szCs w:val="21"/>
          <w:highlight w:val="none"/>
        </w:rPr>
        <w:t>法定代表人证明书加盖公章；</w:t>
      </w:r>
    </w:p>
    <w:p w14:paraId="39186129">
      <w:pPr>
        <w:numPr>
          <w:ilvl w:val="0"/>
          <w:numId w:val="16"/>
        </w:numPr>
        <w:ind w:firstLineChars="200"/>
        <w:rPr>
          <w:rFonts w:hAnsi="宋体"/>
          <w:color w:val="auto"/>
          <w:szCs w:val="21"/>
          <w:highlight w:val="none"/>
        </w:rPr>
      </w:pPr>
      <w:r>
        <w:rPr>
          <w:rFonts w:hint="eastAsia" w:hAnsi="宋体"/>
          <w:color w:val="auto"/>
          <w:szCs w:val="21"/>
          <w:highlight w:val="none"/>
        </w:rPr>
        <w:t>法定代表人授权委托书加盖公章（法定代表人投标的除外）；</w:t>
      </w:r>
    </w:p>
    <w:p w14:paraId="361E38AD">
      <w:pPr>
        <w:numPr>
          <w:ilvl w:val="0"/>
          <w:numId w:val="16"/>
        </w:numPr>
        <w:ind w:firstLineChars="200"/>
        <w:rPr>
          <w:rFonts w:hAnsi="宋体"/>
          <w:color w:val="auto"/>
          <w:szCs w:val="21"/>
          <w:highlight w:val="none"/>
        </w:rPr>
      </w:pPr>
      <w:r>
        <w:rPr>
          <w:rFonts w:hint="eastAsia" w:hAnsi="宋体"/>
          <w:color w:val="auto"/>
          <w:szCs w:val="21"/>
          <w:highlight w:val="none"/>
        </w:rPr>
        <w:t>投标保证金汇入情况说明（含银行汇款凭证）或投标保函加盖公章；</w:t>
      </w:r>
    </w:p>
    <w:p w14:paraId="37CA4FFF">
      <w:pPr>
        <w:numPr>
          <w:ilvl w:val="0"/>
          <w:numId w:val="16"/>
        </w:numPr>
        <w:ind w:firstLineChars="200"/>
        <w:rPr>
          <w:rFonts w:hAnsi="宋体"/>
          <w:color w:val="auto"/>
          <w:szCs w:val="21"/>
          <w:highlight w:val="none"/>
        </w:rPr>
      </w:pPr>
      <w:r>
        <w:rPr>
          <w:rFonts w:hint="eastAsia" w:hAnsi="宋体"/>
          <w:color w:val="auto"/>
          <w:szCs w:val="21"/>
          <w:highlight w:val="none"/>
        </w:rPr>
        <w:t>投标文件电子文件（U盘，须含盖章版PDF投标文件和WORD版投标文件各一版，文字采用WORD文档，计算表格采用 EXCEL文档。）</w:t>
      </w:r>
    </w:p>
    <w:p w14:paraId="4E96B25E">
      <w:pPr>
        <w:rPr>
          <w:rFonts w:ascii="宋体" w:hAnsi="宋体" w:cs="宋体"/>
          <w:color w:val="auto"/>
          <w:szCs w:val="21"/>
          <w:highlight w:val="none"/>
        </w:rPr>
      </w:pPr>
    </w:p>
    <w:p w14:paraId="2614C947">
      <w:pPr>
        <w:pStyle w:val="9"/>
        <w:rPr>
          <w:color w:val="auto"/>
          <w:highlight w:val="none"/>
        </w:rPr>
      </w:pPr>
    </w:p>
    <w:sectPr>
      <w:footerReference r:id="rId11" w:type="first"/>
      <w:footerReference r:id="rId10" w:type="default"/>
      <w:pgSz w:w="11906" w:h="16838"/>
      <w:pgMar w:top="1440" w:right="1800" w:bottom="1440" w:left="1800" w:header="708" w:footer="708" w:gutter="0"/>
      <w:pgBorders>
        <w:top w:val="none" w:sz="0" w:space="0"/>
        <w:left w:val="none" w:sz="0" w:space="0"/>
        <w:bottom w:val="none" w:sz="0" w:space="0"/>
        <w:right w:val="none" w:sz="0" w:space="0"/>
      </w:pgBorders>
      <w:pgNumType w:fmt="decimal"/>
      <w:cols w:space="708" w:num="1"/>
      <w:titlePg/>
      <w:docGrid w:type="lines"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7A"/>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Tahoma">
    <w:panose1 w:val="020B0604030504040204"/>
    <w:charset w:val="00"/>
    <w:family w:val="swiss"/>
    <w:pitch w:val="default"/>
    <w:sig w:usb0="E1002EFF" w:usb1="C000605B" w:usb2="00000029" w:usb3="00000000" w:csb0="200101FF" w:csb1="20280000"/>
  </w:font>
  <w:font w:name="Cambria">
    <w:panose1 w:val="02040503050406030204"/>
    <w:charset w:val="00"/>
    <w:family w:val="roman"/>
    <w:pitch w:val="default"/>
    <w:sig w:usb0="E00006FF" w:usb1="420024FF" w:usb2="02000000" w:usb3="00000000" w:csb0="2000019F" w:csb1="00000000"/>
  </w:font>
  <w:font w:name="方正书宋简体">
    <w:altName w:val="宋体"/>
    <w:panose1 w:val="00000000000000000000"/>
    <w:charset w:val="86"/>
    <w:family w:val="auto"/>
    <w:pitch w:val="default"/>
    <w:sig w:usb0="00000000" w:usb1="00000000" w:usb2="00000000" w:usb3="00000000" w:csb0="00040000"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楷体_GB2312">
    <w:altName w:val="楷体"/>
    <w:panose1 w:val="02010609030101010101"/>
    <w:charset w:val="86"/>
    <w:family w:val="modern"/>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 w:name="微软雅黑">
    <w:panose1 w:val="020B0503020204020204"/>
    <w:charset w:val="86"/>
    <w:family w:val="swiss"/>
    <w:pitch w:val="default"/>
    <w:sig w:usb0="80000287" w:usb1="2ACF3C50" w:usb2="00000016" w:usb3="00000000" w:csb0="0004001F" w:csb1="00000000"/>
  </w:font>
  <w:font w:name="等线">
    <w:panose1 w:val="02010600030101010101"/>
    <w:charset w:val="86"/>
    <w:family w:val="auto"/>
    <w:pitch w:val="default"/>
    <w:sig w:usb0="A00002BF" w:usb1="38CF7CFA" w:usb2="00000016" w:usb3="00000000" w:csb0="0004000F" w:csb1="00000000"/>
  </w:font>
  <w:font w:name="Wingdings 2">
    <w:altName w:val="Wingdings"/>
    <w:panose1 w:val="05020102010507070707"/>
    <w:charset w:val="02"/>
    <w:family w:val="roman"/>
    <w:pitch w:val="default"/>
    <w:sig w:usb0="00000000" w:usb1="00000000" w:usb2="00000000" w:usb3="00000000" w:csb0="80000000" w:csb1="00000000"/>
  </w:font>
  <w:font w:name="方正小标宋简体">
    <w:altName w:val="黑体"/>
    <w:panose1 w:val="03000509000000000000"/>
    <w:charset w:val="86"/>
    <w:family w:val="script"/>
    <w:pitch w:val="default"/>
    <w:sig w:usb0="00000000" w:usb1="00000000" w:usb2="00000000" w:usb3="00000000" w:csb0="00040000" w:csb1="00000000"/>
  </w:font>
  <w:font w:name="Kingsoft UE">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920A07E">
    <w:pPr>
      <w:pStyle w:val="1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332786D">
    <w:pPr>
      <w:pStyle w:val="16"/>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606CF42">
                          <w:pPr>
                            <w:pStyle w:val="16"/>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VhjD8rAgAAVQ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AFYYw/KwIAAFUEAAAOAAAAAAAAAAEAIAAAAB8BAABkcnMvZTJvRG9jLnhtbFBLBQYAAAAABgAG&#10;AFkBAAC8BQAAAAA=&#10;">
              <v:fill on="f" focussize="0,0"/>
              <v:stroke on="f" weight="0.5pt"/>
              <v:imagedata o:title=""/>
              <o:lock v:ext="edit" aspectratio="f"/>
              <v:textbox inset="0mm,0mm,0mm,0mm" style="mso-fit-shape-to-text:t;">
                <w:txbxContent>
                  <w:p w14:paraId="3606CF42">
                    <w:pPr>
                      <w:pStyle w:val="16"/>
                    </w:pP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019A80B">
    <w:pPr>
      <w:pStyle w:val="16"/>
    </w:pPr>
    <w:r>
      <w:rPr>
        <w:sz w:val="18"/>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74D1E81">
                          <w:pPr>
                            <w:pStyle w:val="16"/>
                          </w:pPr>
                          <w:r>
                            <w:fldChar w:fldCharType="begin"/>
                          </w:r>
                          <w:r>
                            <w:instrText xml:space="preserve"> PAGE  \* MERGEFORMAT </w:instrText>
                          </w:r>
                          <w:r>
                            <w:fldChar w:fldCharType="separate"/>
                          </w:r>
                          <w:r>
                            <w:t>2</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p w14:paraId="574D1E81">
                    <w:pPr>
                      <w:pStyle w:val="16"/>
                    </w:pPr>
                    <w:r>
                      <w:fldChar w:fldCharType="begin"/>
                    </w:r>
                    <w:r>
                      <w:instrText xml:space="preserve"> PAGE  \* MERGEFORMAT </w:instrText>
                    </w:r>
                    <w:r>
                      <w:fldChar w:fldCharType="separate"/>
                    </w:r>
                    <w:r>
                      <w:t>2</w:t>
                    </w:r>
                    <w: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7F18CD8">
    <w:pPr>
      <w:pStyle w:val="16"/>
    </w:pPr>
    <w:r>
      <w:rPr>
        <w:sz w:val="18"/>
      </w:rP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26CF4D3">
                          <w:pPr>
                            <w:pStyle w:val="16"/>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54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z+8ZE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s/vGRMQIAAGMEAAAOAAAAAAAAAAEAIAAAAB8BAABkcnMvZTJvRG9jLnhtbFBLBQYA&#10;AAAABgAGAFkBAADCBQAAAAA=&#10;">
              <v:fill on="f" focussize="0,0"/>
              <v:stroke on="f" weight="0.5pt"/>
              <v:imagedata o:title=""/>
              <o:lock v:ext="edit" aspectratio="f"/>
              <v:textbox inset="0mm,0mm,0mm,0mm" style="mso-fit-shape-to-text:t;">
                <w:txbxContent>
                  <w:p w14:paraId="326CF4D3">
                    <w:pPr>
                      <w:pStyle w:val="16"/>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E003659">
    <w:pPr>
      <w:pStyle w:val="16"/>
    </w:pPr>
    <w:r>
      <w:rPr>
        <w:sz w:val="18"/>
      </w:rP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15" name="文本框 1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C53A91C">
                          <w:pPr>
                            <w:pStyle w:val="16"/>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GthHIzAgAAYwQAAA4AAABkcnMvZTJvRG9jLnhtbK1UzY7TMBC+I/EO&#10;lu80bdGu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GGthHIzAgAAYwQAAA4AAAAAAAAAAQAgAAAAHwEAAGRycy9lMm9Eb2MueG1sUEsF&#10;BgAAAAAGAAYAWQEAAMQFAAAAAA==&#10;">
              <v:fill on="f" focussize="0,0"/>
              <v:stroke on="f" weight="0.5pt"/>
              <v:imagedata o:title=""/>
              <o:lock v:ext="edit" aspectratio="f"/>
              <v:textbox inset="0mm,0mm,0mm,0mm" style="mso-fit-shape-to-text:t;">
                <w:txbxContent>
                  <w:p w14:paraId="3C53A91C">
                    <w:pPr>
                      <w:pStyle w:val="16"/>
                    </w:pPr>
                    <w:r>
                      <w:fldChar w:fldCharType="begin"/>
                    </w:r>
                    <w:r>
                      <w:instrText xml:space="preserve"> PAGE  \* MERGEFORMAT </w:instrText>
                    </w:r>
                    <w:r>
                      <w:fldChar w:fldCharType="separate"/>
                    </w:r>
                    <w:r>
                      <w:t>1</w:t>
                    </w:r>
                    <w:r>
                      <w:fldChar w:fldCharType="end"/>
                    </w:r>
                  </w:p>
                </w:txbxContent>
              </v:textbox>
            </v:shape>
          </w:pict>
        </mc:Fallback>
      </mc:AlternateContent>
    </w:r>
    <w: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0</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A262FB5">
                          <w:pPr>
                            <w:pStyle w:val="16"/>
                            <w:spacing w:line="240" w:lineRule="auto"/>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643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ILIswsAgAAVwQAAA4AAABkcnMvZTJvRG9jLnhtbK1UzY7TMBC+I/EO&#10;lu80bVes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MgsizCwCAABXBAAADgAAAAAAAAABACAAAAAfAQAAZHJzL2Uyb0RvYy54bWxQSwUGAAAAAAYA&#10;BgBZAQAAvQUAAAAA&#10;">
              <v:fill on="f" focussize="0,0"/>
              <v:stroke on="f" weight="0.5pt"/>
              <v:imagedata o:title=""/>
              <o:lock v:ext="edit" aspectratio="f"/>
              <v:textbox inset="0mm,0mm,0mm,0mm" style="mso-fit-shape-to-text:t;">
                <w:txbxContent>
                  <w:p w14:paraId="0A262FB5">
                    <w:pPr>
                      <w:pStyle w:val="16"/>
                      <w:spacing w:line="240" w:lineRule="auto"/>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72FB24A">
    <w:pPr>
      <w:pStyle w:val="17"/>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4B55F8B">
    <w:pPr>
      <w:pStyle w:val="17"/>
      <w:pBdr>
        <w:top w:val="none" w:color="auto" w:sz="0" w:space="0"/>
        <w:left w:val="none" w:color="auto" w:sz="0" w:space="0"/>
        <w:bottom w:val="none" w:color="auto" w:sz="0" w:space="1"/>
        <w:right w:val="none" w:color="auto" w:sz="0" w:space="0"/>
        <w:between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F8DDDFB"/>
    <w:multiLevelType w:val="singleLevel"/>
    <w:tmpl w:val="AF8DDDFB"/>
    <w:lvl w:ilvl="0" w:tentative="0">
      <w:start w:val="1"/>
      <w:numFmt w:val="decimal"/>
      <w:suff w:val="nothing"/>
      <w:lvlText w:val="（%1）"/>
      <w:lvlJc w:val="left"/>
    </w:lvl>
  </w:abstractNum>
  <w:abstractNum w:abstractNumId="1">
    <w:nsid w:val="C9555E15"/>
    <w:multiLevelType w:val="singleLevel"/>
    <w:tmpl w:val="C9555E15"/>
    <w:lvl w:ilvl="0" w:tentative="0">
      <w:start w:val="1"/>
      <w:numFmt w:val="decimal"/>
      <w:lvlText w:val="(%1)"/>
      <w:lvlJc w:val="left"/>
      <w:pPr>
        <w:ind w:left="425" w:hanging="425"/>
      </w:pPr>
      <w:rPr>
        <w:rFonts w:hint="default"/>
      </w:rPr>
    </w:lvl>
  </w:abstractNum>
  <w:abstractNum w:abstractNumId="2">
    <w:nsid w:val="E5F531A8"/>
    <w:multiLevelType w:val="singleLevel"/>
    <w:tmpl w:val="E5F531A8"/>
    <w:lvl w:ilvl="0" w:tentative="0">
      <w:start w:val="1"/>
      <w:numFmt w:val="decimal"/>
      <w:suff w:val="nothing"/>
      <w:lvlText w:val="%1、"/>
      <w:lvlJc w:val="left"/>
    </w:lvl>
  </w:abstractNum>
  <w:abstractNum w:abstractNumId="3">
    <w:nsid w:val="00000005"/>
    <w:multiLevelType w:val="multilevel"/>
    <w:tmpl w:val="00000005"/>
    <w:lvl w:ilvl="0" w:tentative="0">
      <w:start w:val="1"/>
      <w:numFmt w:val="decimal"/>
      <w:lvlText w:val="%1."/>
      <w:lvlJc w:val="left"/>
      <w:pPr>
        <w:tabs>
          <w:tab w:val="left" w:pos="0"/>
        </w:tabs>
        <w:ind w:left="0" w:firstLine="420"/>
      </w:pPr>
      <w:rPr>
        <w:rFonts w:hint="default"/>
        <w:color w:val="auto"/>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4">
    <w:nsid w:val="13387DFE"/>
    <w:multiLevelType w:val="multilevel"/>
    <w:tmpl w:val="13387DFE"/>
    <w:lvl w:ilvl="0" w:tentative="0">
      <w:start w:val="1"/>
      <w:numFmt w:val="decimal"/>
      <w:lvlText w:val="%1."/>
      <w:lvlJc w:val="left"/>
      <w:pPr>
        <w:tabs>
          <w:tab w:val="left" w:pos="425"/>
        </w:tabs>
        <w:ind w:left="425" w:hanging="425"/>
      </w:pPr>
      <w:rPr>
        <w:rFonts w:hint="eastAsia" w:ascii="宋体" w:hAnsi="宋体" w:eastAsia="宋体"/>
      </w:rPr>
    </w:lvl>
    <w:lvl w:ilvl="1" w:tentative="0">
      <w:start w:val="1"/>
      <w:numFmt w:val="decimal"/>
      <w:lvlText w:val="%1.%2."/>
      <w:lvlJc w:val="left"/>
      <w:pPr>
        <w:tabs>
          <w:tab w:val="left" w:pos="567"/>
        </w:tabs>
        <w:ind w:left="567" w:hanging="567"/>
      </w:pPr>
      <w:rPr>
        <w:rFonts w:hint="eastAsia" w:ascii="宋体" w:hAnsi="宋体" w:eastAsia="宋体"/>
        <w:color w:val="auto"/>
      </w:rPr>
    </w:lvl>
    <w:lvl w:ilvl="2" w:tentative="0">
      <w:start w:val="1"/>
      <w:numFmt w:val="decimal"/>
      <w:lvlText w:val="%1.%2.%3."/>
      <w:lvlJc w:val="left"/>
      <w:pPr>
        <w:tabs>
          <w:tab w:val="left" w:pos="794"/>
        </w:tabs>
        <w:ind w:left="794" w:hanging="794"/>
      </w:pPr>
      <w:rPr>
        <w:rFonts w:hint="eastAsia" w:ascii="宋体" w:hAnsi="宋体" w:eastAsia="宋体"/>
      </w:rPr>
    </w:lvl>
    <w:lvl w:ilvl="3" w:tentative="0">
      <w:start w:val="1"/>
      <w:numFmt w:val="decimal"/>
      <w:lvlText w:val="%1.%2.%3.%4."/>
      <w:lvlJc w:val="left"/>
      <w:pPr>
        <w:tabs>
          <w:tab w:val="left" w:pos="454"/>
        </w:tabs>
        <w:ind w:left="1021" w:hanging="1021"/>
      </w:pPr>
      <w:rPr>
        <w:rFonts w:hint="eastAsia" w:ascii="宋体" w:hAnsi="宋体" w:eastAsia="宋体"/>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5">
    <w:nsid w:val="20D2348B"/>
    <w:multiLevelType w:val="singleLevel"/>
    <w:tmpl w:val="20D2348B"/>
    <w:lvl w:ilvl="0" w:tentative="0">
      <w:start w:val="1"/>
      <w:numFmt w:val="chineseCounting"/>
      <w:suff w:val="nothing"/>
      <w:lvlText w:val="（%1）"/>
      <w:lvlJc w:val="left"/>
      <w:rPr>
        <w:rFonts w:hint="eastAsia"/>
      </w:rPr>
    </w:lvl>
  </w:abstractNum>
  <w:abstractNum w:abstractNumId="6">
    <w:nsid w:val="27F49B4B"/>
    <w:multiLevelType w:val="multilevel"/>
    <w:tmpl w:val="27F49B4B"/>
    <w:lvl w:ilvl="0" w:tentative="0">
      <w:start w:val="1"/>
      <w:numFmt w:val="decimal"/>
      <w:lvlText w:val="%1."/>
      <w:lvlJc w:val="left"/>
      <w:pPr>
        <w:ind w:left="425" w:hanging="425"/>
      </w:pPr>
      <w:rPr>
        <w:rFonts w:hint="default"/>
      </w:rPr>
    </w:lvl>
    <w:lvl w:ilvl="1" w:tentative="0">
      <w:start w:val="1"/>
      <w:numFmt w:val="decimal"/>
      <w:lvlText w:val="%1.%2."/>
      <w:lvlJc w:val="left"/>
      <w:pPr>
        <w:ind w:left="567" w:hanging="567"/>
      </w:pPr>
      <w:rPr>
        <w:rFonts w:hint="default"/>
      </w:rPr>
    </w:lvl>
    <w:lvl w:ilvl="2" w:tentative="0">
      <w:start w:val="1"/>
      <w:numFmt w:val="decimal"/>
      <w:lvlText w:val="%1.%2.%3."/>
      <w:lvlJc w:val="left"/>
      <w:pPr>
        <w:ind w:left="566" w:hanging="566"/>
      </w:pPr>
      <w:rPr>
        <w:rFonts w:hint="default"/>
      </w:rPr>
    </w:lvl>
    <w:lvl w:ilvl="3" w:tentative="0">
      <w:start w:val="1"/>
      <w:numFmt w:val="decimal"/>
      <w:lvlText w:val="%1.%2.%3.%4."/>
      <w:lvlJc w:val="left"/>
      <w:pPr>
        <w:ind w:left="850" w:hanging="850"/>
      </w:pPr>
      <w:rPr>
        <w:rFonts w:hint="default"/>
      </w:rPr>
    </w:lvl>
    <w:lvl w:ilvl="4" w:tentative="0">
      <w:start w:val="1"/>
      <w:numFmt w:val="decimal"/>
      <w:lvlText w:val="%1.%2.%3.%4.%5."/>
      <w:lvlJc w:val="left"/>
      <w:pPr>
        <w:ind w:left="991" w:hanging="991"/>
      </w:pPr>
      <w:rPr>
        <w:rFonts w:hint="default"/>
      </w:rPr>
    </w:lvl>
    <w:lvl w:ilvl="5" w:tentative="0">
      <w:start w:val="1"/>
      <w:numFmt w:val="decimal"/>
      <w:lvlText w:val="%1.%2.%3.%4.%5.%6."/>
      <w:lvlJc w:val="left"/>
      <w:pPr>
        <w:ind w:left="1134" w:hanging="1134"/>
      </w:pPr>
      <w:rPr>
        <w:rFonts w:hint="default"/>
      </w:rPr>
    </w:lvl>
    <w:lvl w:ilvl="6" w:tentative="0">
      <w:start w:val="1"/>
      <w:numFmt w:val="decimal"/>
      <w:lvlText w:val="%1.%2.%3.%4.%5.%6.%7."/>
      <w:lvlJc w:val="left"/>
      <w:pPr>
        <w:ind w:left="1275" w:hanging="1275"/>
      </w:pPr>
      <w:rPr>
        <w:rFonts w:hint="default"/>
      </w:rPr>
    </w:lvl>
    <w:lvl w:ilvl="7" w:tentative="0">
      <w:start w:val="1"/>
      <w:numFmt w:val="decimal"/>
      <w:lvlText w:val="%1.%2.%3.%4.%5.%6.%7.%8."/>
      <w:lvlJc w:val="left"/>
      <w:pPr>
        <w:ind w:left="1418" w:hanging="1418"/>
      </w:pPr>
      <w:rPr>
        <w:rFonts w:hint="default"/>
      </w:rPr>
    </w:lvl>
    <w:lvl w:ilvl="8" w:tentative="0">
      <w:start w:val="1"/>
      <w:numFmt w:val="decimal"/>
      <w:lvlText w:val="%1.%2.%3.%4.%5.%6.%7.%8.%9."/>
      <w:lvlJc w:val="left"/>
      <w:pPr>
        <w:ind w:left="1558" w:hanging="1558"/>
      </w:pPr>
      <w:rPr>
        <w:rFonts w:hint="default"/>
      </w:rPr>
    </w:lvl>
  </w:abstractNum>
  <w:abstractNum w:abstractNumId="7">
    <w:nsid w:val="3F88662E"/>
    <w:multiLevelType w:val="singleLevel"/>
    <w:tmpl w:val="3F88662E"/>
    <w:lvl w:ilvl="0" w:tentative="0">
      <w:start w:val="1"/>
      <w:numFmt w:val="decimal"/>
      <w:suff w:val="space"/>
      <w:lvlText w:val="%1)"/>
      <w:lvlJc w:val="left"/>
    </w:lvl>
  </w:abstractNum>
  <w:abstractNum w:abstractNumId="8">
    <w:nsid w:val="43C09802"/>
    <w:multiLevelType w:val="singleLevel"/>
    <w:tmpl w:val="43C09802"/>
    <w:lvl w:ilvl="0" w:tentative="0">
      <w:start w:val="1"/>
      <w:numFmt w:val="decimal"/>
      <w:suff w:val="nothing"/>
      <w:lvlText w:val="%1、"/>
      <w:lvlJc w:val="left"/>
    </w:lvl>
  </w:abstractNum>
  <w:abstractNum w:abstractNumId="9">
    <w:nsid w:val="451C4D00"/>
    <w:multiLevelType w:val="singleLevel"/>
    <w:tmpl w:val="451C4D00"/>
    <w:lvl w:ilvl="0" w:tentative="0">
      <w:start w:val="1"/>
      <w:numFmt w:val="decimal"/>
      <w:suff w:val="nothing"/>
      <w:lvlText w:val="%1、"/>
      <w:lvlJc w:val="left"/>
    </w:lvl>
  </w:abstractNum>
  <w:abstractNum w:abstractNumId="10">
    <w:nsid w:val="45515F79"/>
    <w:multiLevelType w:val="singleLevel"/>
    <w:tmpl w:val="45515F79"/>
    <w:lvl w:ilvl="0" w:tentative="0">
      <w:start w:val="1"/>
      <w:numFmt w:val="decimal"/>
      <w:suff w:val="nothing"/>
      <w:lvlText w:val="%1、"/>
      <w:lvlJc w:val="left"/>
    </w:lvl>
  </w:abstractNum>
  <w:abstractNum w:abstractNumId="11">
    <w:nsid w:val="580745EB"/>
    <w:multiLevelType w:val="multilevel"/>
    <w:tmpl w:val="580745EB"/>
    <w:lvl w:ilvl="0" w:tentative="0">
      <w:start w:val="1"/>
      <w:numFmt w:val="japaneseCounting"/>
      <w:lvlText w:val="%1、"/>
      <w:lvlJc w:val="left"/>
      <w:pPr>
        <w:ind w:left="720" w:hanging="7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2">
    <w:nsid w:val="59C5D728"/>
    <w:multiLevelType w:val="singleLevel"/>
    <w:tmpl w:val="59C5D728"/>
    <w:lvl w:ilvl="0" w:tentative="0">
      <w:start w:val="1"/>
      <w:numFmt w:val="chineseCounting"/>
      <w:suff w:val="nothing"/>
      <w:lvlText w:val="%1、"/>
      <w:lvlJc w:val="left"/>
      <w:pPr>
        <w:ind w:left="0" w:firstLine="420"/>
      </w:pPr>
      <w:rPr>
        <w:rFonts w:hint="eastAsia"/>
      </w:rPr>
    </w:lvl>
  </w:abstractNum>
  <w:abstractNum w:abstractNumId="13">
    <w:nsid w:val="5D1539A1"/>
    <w:multiLevelType w:val="multilevel"/>
    <w:tmpl w:val="5D1539A1"/>
    <w:lvl w:ilvl="0" w:tentative="0">
      <w:start w:val="1"/>
      <w:numFmt w:val="decimal"/>
      <w:lvlText w:val="（%1）"/>
      <w:lvlJc w:val="left"/>
      <w:pPr>
        <w:ind w:left="1287" w:hanging="720"/>
      </w:pPr>
      <w:rPr>
        <w:rFonts w:hint="default"/>
      </w:rPr>
    </w:lvl>
    <w:lvl w:ilvl="1" w:tentative="0">
      <w:start w:val="1"/>
      <w:numFmt w:val="lowerLetter"/>
      <w:lvlText w:val="%2)"/>
      <w:lvlJc w:val="left"/>
      <w:pPr>
        <w:ind w:left="1407" w:hanging="420"/>
      </w:pPr>
    </w:lvl>
    <w:lvl w:ilvl="2" w:tentative="0">
      <w:start w:val="1"/>
      <w:numFmt w:val="lowerRoman"/>
      <w:lvlText w:val="%3."/>
      <w:lvlJc w:val="right"/>
      <w:pPr>
        <w:ind w:left="1827" w:hanging="420"/>
      </w:pPr>
    </w:lvl>
    <w:lvl w:ilvl="3" w:tentative="0">
      <w:start w:val="1"/>
      <w:numFmt w:val="decimal"/>
      <w:lvlText w:val="%4."/>
      <w:lvlJc w:val="left"/>
      <w:pPr>
        <w:ind w:left="2247" w:hanging="420"/>
      </w:pPr>
    </w:lvl>
    <w:lvl w:ilvl="4" w:tentative="0">
      <w:start w:val="1"/>
      <w:numFmt w:val="lowerLetter"/>
      <w:lvlText w:val="%5)"/>
      <w:lvlJc w:val="left"/>
      <w:pPr>
        <w:ind w:left="2667" w:hanging="420"/>
      </w:pPr>
    </w:lvl>
    <w:lvl w:ilvl="5" w:tentative="0">
      <w:start w:val="1"/>
      <w:numFmt w:val="lowerRoman"/>
      <w:lvlText w:val="%6."/>
      <w:lvlJc w:val="right"/>
      <w:pPr>
        <w:ind w:left="3087" w:hanging="420"/>
      </w:pPr>
    </w:lvl>
    <w:lvl w:ilvl="6" w:tentative="0">
      <w:start w:val="1"/>
      <w:numFmt w:val="decimal"/>
      <w:lvlText w:val="%7."/>
      <w:lvlJc w:val="left"/>
      <w:pPr>
        <w:ind w:left="3507" w:hanging="420"/>
      </w:pPr>
    </w:lvl>
    <w:lvl w:ilvl="7" w:tentative="0">
      <w:start w:val="1"/>
      <w:numFmt w:val="lowerLetter"/>
      <w:lvlText w:val="%8)"/>
      <w:lvlJc w:val="left"/>
      <w:pPr>
        <w:ind w:left="3927" w:hanging="420"/>
      </w:pPr>
    </w:lvl>
    <w:lvl w:ilvl="8" w:tentative="0">
      <w:start w:val="1"/>
      <w:numFmt w:val="lowerRoman"/>
      <w:lvlText w:val="%9."/>
      <w:lvlJc w:val="right"/>
      <w:pPr>
        <w:ind w:left="4347" w:hanging="420"/>
      </w:pPr>
    </w:lvl>
  </w:abstractNum>
  <w:abstractNum w:abstractNumId="14">
    <w:nsid w:val="5E7F80DC"/>
    <w:multiLevelType w:val="singleLevel"/>
    <w:tmpl w:val="5E7F80DC"/>
    <w:lvl w:ilvl="0" w:tentative="0">
      <w:start w:val="1"/>
      <w:numFmt w:val="decimal"/>
      <w:suff w:val="nothing"/>
      <w:lvlText w:val="%1、"/>
      <w:lvlJc w:val="left"/>
    </w:lvl>
  </w:abstractNum>
  <w:abstractNum w:abstractNumId="15">
    <w:nsid w:val="60BC88F9"/>
    <w:multiLevelType w:val="singleLevel"/>
    <w:tmpl w:val="60BC88F9"/>
    <w:lvl w:ilvl="0" w:tentative="0">
      <w:start w:val="1"/>
      <w:numFmt w:val="decimal"/>
      <w:suff w:val="nothing"/>
      <w:lvlText w:val="%1、"/>
      <w:lvlJc w:val="left"/>
    </w:lvl>
  </w:abstractNum>
  <w:num w:numId="1">
    <w:abstractNumId w:val="0"/>
  </w:num>
  <w:num w:numId="2">
    <w:abstractNumId w:val="8"/>
  </w:num>
  <w:num w:numId="3">
    <w:abstractNumId w:val="2"/>
  </w:num>
  <w:num w:numId="4">
    <w:abstractNumId w:val="10"/>
  </w:num>
  <w:num w:numId="5">
    <w:abstractNumId w:val="11"/>
  </w:num>
  <w:num w:numId="6">
    <w:abstractNumId w:val="6"/>
  </w:num>
  <w:num w:numId="7">
    <w:abstractNumId w:val="13"/>
  </w:num>
  <w:num w:numId="8">
    <w:abstractNumId w:val="7"/>
  </w:num>
  <w:num w:numId="9">
    <w:abstractNumId w:val="1"/>
  </w:num>
  <w:num w:numId="10">
    <w:abstractNumId w:val="4"/>
  </w:num>
  <w:num w:numId="11">
    <w:abstractNumId w:val="15"/>
  </w:num>
  <w:num w:numId="12">
    <w:abstractNumId w:val="14"/>
  </w:num>
  <w:num w:numId="13">
    <w:abstractNumId w:val="9"/>
  </w:num>
  <w:num w:numId="14">
    <w:abstractNumId w:val="3"/>
  </w:num>
  <w:num w:numId="15">
    <w:abstractNumId w:val="5"/>
  </w:num>
  <w:num w:numId="16">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0"/>
  <w:bordersDoNotSurroundHeader w:val="0"/>
  <w:bordersDoNotSurroundFooter w:val="0"/>
  <w:hideSpellingErrors/>
  <w:documentProtection w:enforcement="0"/>
  <w:defaultTabStop w:val="720"/>
  <w:drawingGridHorizontalSpacing w:val="110"/>
  <w:displayHorizontalDrawingGridEvery w:val="1"/>
  <w:displayVerticalDrawingGridEvery w:val="1"/>
  <w:noPunctuationKerning w:val="1"/>
  <w:characterSpacingControl w:val="doNotCompress"/>
  <w:hdrShapeDefaults>
    <o:shapelayout v:ext="edit">
      <o:idmap v:ext="edit" data="2"/>
    </o:shapelayout>
  </w:hdrShapeDefaults>
  <w:footnotePr>
    <w:footnote w:id="0"/>
    <w:footnote w:id="1"/>
  </w:footnotePr>
  <w:endnotePr>
    <w:endnote w:id="0"/>
    <w:endnote w:id="1"/>
  </w:endnotePr>
  <w:compat>
    <w:balanceSingleByteDoubleByteWidth/>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TRjYTZjMTIxMTYwYmRjNDZjNzQwNjkzYmJhZDY1MjUifQ=="/>
  </w:docVars>
  <w:rsids>
    <w:rsidRoot w:val="00172A27"/>
    <w:rsid w:val="00005A66"/>
    <w:rsid w:val="00006462"/>
    <w:rsid w:val="000300E4"/>
    <w:rsid w:val="0003307E"/>
    <w:rsid w:val="000336BA"/>
    <w:rsid w:val="000359A1"/>
    <w:rsid w:val="0005185D"/>
    <w:rsid w:val="0007500F"/>
    <w:rsid w:val="0008282E"/>
    <w:rsid w:val="00084F6D"/>
    <w:rsid w:val="00093A13"/>
    <w:rsid w:val="000A363F"/>
    <w:rsid w:val="000A42A8"/>
    <w:rsid w:val="000A5063"/>
    <w:rsid w:val="000A5DBD"/>
    <w:rsid w:val="000C4524"/>
    <w:rsid w:val="000D44A6"/>
    <w:rsid w:val="000E2CB7"/>
    <w:rsid w:val="000F0E98"/>
    <w:rsid w:val="000F1444"/>
    <w:rsid w:val="001049A5"/>
    <w:rsid w:val="001120E0"/>
    <w:rsid w:val="00121ADA"/>
    <w:rsid w:val="001242F3"/>
    <w:rsid w:val="001332BB"/>
    <w:rsid w:val="00134CAD"/>
    <w:rsid w:val="001368B7"/>
    <w:rsid w:val="0013730B"/>
    <w:rsid w:val="00137853"/>
    <w:rsid w:val="00137E1C"/>
    <w:rsid w:val="00147012"/>
    <w:rsid w:val="00172A27"/>
    <w:rsid w:val="00173126"/>
    <w:rsid w:val="00173905"/>
    <w:rsid w:val="00173E04"/>
    <w:rsid w:val="00175D29"/>
    <w:rsid w:val="001833A1"/>
    <w:rsid w:val="001844F4"/>
    <w:rsid w:val="00185039"/>
    <w:rsid w:val="001852D7"/>
    <w:rsid w:val="001A06D8"/>
    <w:rsid w:val="001A2D42"/>
    <w:rsid w:val="001A2EF7"/>
    <w:rsid w:val="001B1F14"/>
    <w:rsid w:val="001B41CF"/>
    <w:rsid w:val="001B5860"/>
    <w:rsid w:val="001C1135"/>
    <w:rsid w:val="001C15AE"/>
    <w:rsid w:val="001C4661"/>
    <w:rsid w:val="001C5689"/>
    <w:rsid w:val="001C6E4B"/>
    <w:rsid w:val="001F0070"/>
    <w:rsid w:val="001F4B02"/>
    <w:rsid w:val="001F6BC7"/>
    <w:rsid w:val="002065A7"/>
    <w:rsid w:val="0021149E"/>
    <w:rsid w:val="00213021"/>
    <w:rsid w:val="00216BE9"/>
    <w:rsid w:val="00221E7A"/>
    <w:rsid w:val="0022503E"/>
    <w:rsid w:val="00225BB4"/>
    <w:rsid w:val="00226313"/>
    <w:rsid w:val="002373BB"/>
    <w:rsid w:val="00240F5F"/>
    <w:rsid w:val="00247224"/>
    <w:rsid w:val="00247AE0"/>
    <w:rsid w:val="00260AC1"/>
    <w:rsid w:val="0026312D"/>
    <w:rsid w:val="0027078E"/>
    <w:rsid w:val="0028395F"/>
    <w:rsid w:val="00284156"/>
    <w:rsid w:val="00285643"/>
    <w:rsid w:val="002867A1"/>
    <w:rsid w:val="002901F8"/>
    <w:rsid w:val="002920A4"/>
    <w:rsid w:val="002B4087"/>
    <w:rsid w:val="002B5F6C"/>
    <w:rsid w:val="002C6C78"/>
    <w:rsid w:val="002D1594"/>
    <w:rsid w:val="002D3F9C"/>
    <w:rsid w:val="002D503C"/>
    <w:rsid w:val="002D7E27"/>
    <w:rsid w:val="002E17E5"/>
    <w:rsid w:val="002E6B7E"/>
    <w:rsid w:val="002F0FC9"/>
    <w:rsid w:val="0030669E"/>
    <w:rsid w:val="003101A3"/>
    <w:rsid w:val="00320CEA"/>
    <w:rsid w:val="00323B43"/>
    <w:rsid w:val="00326831"/>
    <w:rsid w:val="003274CE"/>
    <w:rsid w:val="003361E9"/>
    <w:rsid w:val="003430F6"/>
    <w:rsid w:val="00353842"/>
    <w:rsid w:val="0035595E"/>
    <w:rsid w:val="0038056C"/>
    <w:rsid w:val="00381C26"/>
    <w:rsid w:val="0038564C"/>
    <w:rsid w:val="00387CE4"/>
    <w:rsid w:val="00393B1D"/>
    <w:rsid w:val="003A1D97"/>
    <w:rsid w:val="003C18EB"/>
    <w:rsid w:val="003C1E4E"/>
    <w:rsid w:val="003C32D3"/>
    <w:rsid w:val="003C3B19"/>
    <w:rsid w:val="003C412B"/>
    <w:rsid w:val="003C415C"/>
    <w:rsid w:val="003D36FB"/>
    <w:rsid w:val="003D37D8"/>
    <w:rsid w:val="003E0802"/>
    <w:rsid w:val="003E18E7"/>
    <w:rsid w:val="003E2B8C"/>
    <w:rsid w:val="003F46B4"/>
    <w:rsid w:val="003F4822"/>
    <w:rsid w:val="00401C64"/>
    <w:rsid w:val="00401CC0"/>
    <w:rsid w:val="00410AB5"/>
    <w:rsid w:val="00410F11"/>
    <w:rsid w:val="00411067"/>
    <w:rsid w:val="004203B9"/>
    <w:rsid w:val="004322A2"/>
    <w:rsid w:val="004358AB"/>
    <w:rsid w:val="00451EB4"/>
    <w:rsid w:val="00460B31"/>
    <w:rsid w:val="00462105"/>
    <w:rsid w:val="00475A80"/>
    <w:rsid w:val="00475BB4"/>
    <w:rsid w:val="00490B9E"/>
    <w:rsid w:val="00497577"/>
    <w:rsid w:val="004A05D7"/>
    <w:rsid w:val="004A2B28"/>
    <w:rsid w:val="004A559C"/>
    <w:rsid w:val="004A69F1"/>
    <w:rsid w:val="004B3550"/>
    <w:rsid w:val="004B3F06"/>
    <w:rsid w:val="004C7FD6"/>
    <w:rsid w:val="004D08C0"/>
    <w:rsid w:val="004D1669"/>
    <w:rsid w:val="004D1736"/>
    <w:rsid w:val="004D51A2"/>
    <w:rsid w:val="004D5AFB"/>
    <w:rsid w:val="004E04FD"/>
    <w:rsid w:val="004F1BB7"/>
    <w:rsid w:val="0050759C"/>
    <w:rsid w:val="00510827"/>
    <w:rsid w:val="005267F1"/>
    <w:rsid w:val="005269A9"/>
    <w:rsid w:val="00532034"/>
    <w:rsid w:val="00545D9A"/>
    <w:rsid w:val="00546A42"/>
    <w:rsid w:val="0055408D"/>
    <w:rsid w:val="0057492D"/>
    <w:rsid w:val="0058523E"/>
    <w:rsid w:val="00590819"/>
    <w:rsid w:val="00593D68"/>
    <w:rsid w:val="005A208B"/>
    <w:rsid w:val="005A555E"/>
    <w:rsid w:val="005A7612"/>
    <w:rsid w:val="005B58A6"/>
    <w:rsid w:val="005C57E1"/>
    <w:rsid w:val="005C702E"/>
    <w:rsid w:val="005D01B8"/>
    <w:rsid w:val="005D066B"/>
    <w:rsid w:val="005D2D85"/>
    <w:rsid w:val="005D52E7"/>
    <w:rsid w:val="005F021D"/>
    <w:rsid w:val="005F20A4"/>
    <w:rsid w:val="005F4EAE"/>
    <w:rsid w:val="005F573A"/>
    <w:rsid w:val="005F660B"/>
    <w:rsid w:val="005F7EB1"/>
    <w:rsid w:val="00604B81"/>
    <w:rsid w:val="0061246F"/>
    <w:rsid w:val="00613417"/>
    <w:rsid w:val="00613B25"/>
    <w:rsid w:val="0061545F"/>
    <w:rsid w:val="006175DE"/>
    <w:rsid w:val="006215AC"/>
    <w:rsid w:val="00621821"/>
    <w:rsid w:val="00622362"/>
    <w:rsid w:val="00622497"/>
    <w:rsid w:val="006276AD"/>
    <w:rsid w:val="006347A6"/>
    <w:rsid w:val="006378D4"/>
    <w:rsid w:val="00641E8C"/>
    <w:rsid w:val="0064416A"/>
    <w:rsid w:val="006476E3"/>
    <w:rsid w:val="00650DDC"/>
    <w:rsid w:val="00652983"/>
    <w:rsid w:val="0065365D"/>
    <w:rsid w:val="006546D0"/>
    <w:rsid w:val="006576FD"/>
    <w:rsid w:val="00664F6B"/>
    <w:rsid w:val="006731D2"/>
    <w:rsid w:val="00680EB0"/>
    <w:rsid w:val="00682986"/>
    <w:rsid w:val="00691701"/>
    <w:rsid w:val="00691AE0"/>
    <w:rsid w:val="0069491E"/>
    <w:rsid w:val="006B004E"/>
    <w:rsid w:val="006B3E6C"/>
    <w:rsid w:val="006B4832"/>
    <w:rsid w:val="006B7878"/>
    <w:rsid w:val="006C14BD"/>
    <w:rsid w:val="006C28E5"/>
    <w:rsid w:val="006C67A9"/>
    <w:rsid w:val="006D393E"/>
    <w:rsid w:val="006D43C5"/>
    <w:rsid w:val="006D4AD8"/>
    <w:rsid w:val="006E0B58"/>
    <w:rsid w:val="006E0C4B"/>
    <w:rsid w:val="00704F7B"/>
    <w:rsid w:val="007110BA"/>
    <w:rsid w:val="00711465"/>
    <w:rsid w:val="00716E96"/>
    <w:rsid w:val="00723B11"/>
    <w:rsid w:val="007343A7"/>
    <w:rsid w:val="00734BB2"/>
    <w:rsid w:val="00737823"/>
    <w:rsid w:val="0075028E"/>
    <w:rsid w:val="007528A6"/>
    <w:rsid w:val="007608B9"/>
    <w:rsid w:val="007724B4"/>
    <w:rsid w:val="0077462B"/>
    <w:rsid w:val="007902ED"/>
    <w:rsid w:val="007916E7"/>
    <w:rsid w:val="00797C5D"/>
    <w:rsid w:val="00797D2F"/>
    <w:rsid w:val="007A34B9"/>
    <w:rsid w:val="007A3EF1"/>
    <w:rsid w:val="007A4DB3"/>
    <w:rsid w:val="007A6F47"/>
    <w:rsid w:val="007A7779"/>
    <w:rsid w:val="007C4F46"/>
    <w:rsid w:val="007C7297"/>
    <w:rsid w:val="007D1B4F"/>
    <w:rsid w:val="007D2F9E"/>
    <w:rsid w:val="007D3175"/>
    <w:rsid w:val="007D48BF"/>
    <w:rsid w:val="007D5C45"/>
    <w:rsid w:val="007E2543"/>
    <w:rsid w:val="007E4A26"/>
    <w:rsid w:val="007E7A17"/>
    <w:rsid w:val="007F01B0"/>
    <w:rsid w:val="007F259D"/>
    <w:rsid w:val="007F2CD8"/>
    <w:rsid w:val="007F4DC5"/>
    <w:rsid w:val="00806380"/>
    <w:rsid w:val="0081104F"/>
    <w:rsid w:val="0081319A"/>
    <w:rsid w:val="00822299"/>
    <w:rsid w:val="0083486A"/>
    <w:rsid w:val="00837E35"/>
    <w:rsid w:val="00841378"/>
    <w:rsid w:val="00842B87"/>
    <w:rsid w:val="00845BEB"/>
    <w:rsid w:val="008472E6"/>
    <w:rsid w:val="008518B4"/>
    <w:rsid w:val="00853463"/>
    <w:rsid w:val="008548BD"/>
    <w:rsid w:val="0086026F"/>
    <w:rsid w:val="008640F5"/>
    <w:rsid w:val="0087704E"/>
    <w:rsid w:val="008907DA"/>
    <w:rsid w:val="008A0587"/>
    <w:rsid w:val="008A7273"/>
    <w:rsid w:val="008B55B9"/>
    <w:rsid w:val="008B7726"/>
    <w:rsid w:val="008C05BA"/>
    <w:rsid w:val="008D429E"/>
    <w:rsid w:val="008D5A10"/>
    <w:rsid w:val="008E319F"/>
    <w:rsid w:val="008E619C"/>
    <w:rsid w:val="008F6E0E"/>
    <w:rsid w:val="00906F49"/>
    <w:rsid w:val="00907417"/>
    <w:rsid w:val="00914604"/>
    <w:rsid w:val="00916A34"/>
    <w:rsid w:val="0092092D"/>
    <w:rsid w:val="00923533"/>
    <w:rsid w:val="00930A38"/>
    <w:rsid w:val="00934170"/>
    <w:rsid w:val="00942948"/>
    <w:rsid w:val="009474B5"/>
    <w:rsid w:val="00953E98"/>
    <w:rsid w:val="00960F22"/>
    <w:rsid w:val="00972D86"/>
    <w:rsid w:val="009736BF"/>
    <w:rsid w:val="0097392B"/>
    <w:rsid w:val="00976066"/>
    <w:rsid w:val="00980A66"/>
    <w:rsid w:val="009904F7"/>
    <w:rsid w:val="009910F6"/>
    <w:rsid w:val="009A07B1"/>
    <w:rsid w:val="009A6B4A"/>
    <w:rsid w:val="009A7058"/>
    <w:rsid w:val="009C19DE"/>
    <w:rsid w:val="009C23A6"/>
    <w:rsid w:val="009C5206"/>
    <w:rsid w:val="009C6AD9"/>
    <w:rsid w:val="009E398C"/>
    <w:rsid w:val="009E6F05"/>
    <w:rsid w:val="009F644E"/>
    <w:rsid w:val="009F6A05"/>
    <w:rsid w:val="00A01BE2"/>
    <w:rsid w:val="00A10906"/>
    <w:rsid w:val="00A12E66"/>
    <w:rsid w:val="00A13E78"/>
    <w:rsid w:val="00A14EEF"/>
    <w:rsid w:val="00A23304"/>
    <w:rsid w:val="00A275C2"/>
    <w:rsid w:val="00A3295D"/>
    <w:rsid w:val="00A4012F"/>
    <w:rsid w:val="00A4190E"/>
    <w:rsid w:val="00A42E91"/>
    <w:rsid w:val="00A50383"/>
    <w:rsid w:val="00A61230"/>
    <w:rsid w:val="00A668C8"/>
    <w:rsid w:val="00A74ED3"/>
    <w:rsid w:val="00A813C5"/>
    <w:rsid w:val="00A824E6"/>
    <w:rsid w:val="00A832CD"/>
    <w:rsid w:val="00A858DC"/>
    <w:rsid w:val="00A94D14"/>
    <w:rsid w:val="00AA0EAD"/>
    <w:rsid w:val="00AB19CE"/>
    <w:rsid w:val="00AB2133"/>
    <w:rsid w:val="00AB3969"/>
    <w:rsid w:val="00AC0E7A"/>
    <w:rsid w:val="00AC187B"/>
    <w:rsid w:val="00AE310E"/>
    <w:rsid w:val="00AE4FC5"/>
    <w:rsid w:val="00AF1B1B"/>
    <w:rsid w:val="00AF5F1F"/>
    <w:rsid w:val="00B027A4"/>
    <w:rsid w:val="00B04202"/>
    <w:rsid w:val="00B236B3"/>
    <w:rsid w:val="00B26806"/>
    <w:rsid w:val="00B31B24"/>
    <w:rsid w:val="00B4287F"/>
    <w:rsid w:val="00B4315F"/>
    <w:rsid w:val="00B43306"/>
    <w:rsid w:val="00B60DAB"/>
    <w:rsid w:val="00B61CB1"/>
    <w:rsid w:val="00B63189"/>
    <w:rsid w:val="00B67B5C"/>
    <w:rsid w:val="00B7194E"/>
    <w:rsid w:val="00B73575"/>
    <w:rsid w:val="00B7380A"/>
    <w:rsid w:val="00B763B0"/>
    <w:rsid w:val="00B91005"/>
    <w:rsid w:val="00B92951"/>
    <w:rsid w:val="00B93045"/>
    <w:rsid w:val="00B93169"/>
    <w:rsid w:val="00B950B6"/>
    <w:rsid w:val="00BA4130"/>
    <w:rsid w:val="00BB2CAF"/>
    <w:rsid w:val="00BB79B5"/>
    <w:rsid w:val="00BC3E74"/>
    <w:rsid w:val="00BD630F"/>
    <w:rsid w:val="00BD7C1B"/>
    <w:rsid w:val="00BE0825"/>
    <w:rsid w:val="00BE2EE6"/>
    <w:rsid w:val="00BF17FD"/>
    <w:rsid w:val="00BF2820"/>
    <w:rsid w:val="00BF41D4"/>
    <w:rsid w:val="00BF5AFB"/>
    <w:rsid w:val="00C16734"/>
    <w:rsid w:val="00C17B47"/>
    <w:rsid w:val="00C25C77"/>
    <w:rsid w:val="00C303E7"/>
    <w:rsid w:val="00C319C2"/>
    <w:rsid w:val="00C53CE5"/>
    <w:rsid w:val="00C612F8"/>
    <w:rsid w:val="00C62E44"/>
    <w:rsid w:val="00C63BD8"/>
    <w:rsid w:val="00C65954"/>
    <w:rsid w:val="00C7126B"/>
    <w:rsid w:val="00C72C24"/>
    <w:rsid w:val="00C73468"/>
    <w:rsid w:val="00C74986"/>
    <w:rsid w:val="00C80EC4"/>
    <w:rsid w:val="00C8568E"/>
    <w:rsid w:val="00CA32B5"/>
    <w:rsid w:val="00CB57AD"/>
    <w:rsid w:val="00CC009D"/>
    <w:rsid w:val="00CC584A"/>
    <w:rsid w:val="00CC5E4E"/>
    <w:rsid w:val="00CD0EAB"/>
    <w:rsid w:val="00CE2AF3"/>
    <w:rsid w:val="00CE621D"/>
    <w:rsid w:val="00CE66E8"/>
    <w:rsid w:val="00D05388"/>
    <w:rsid w:val="00D114CD"/>
    <w:rsid w:val="00D14476"/>
    <w:rsid w:val="00D232FF"/>
    <w:rsid w:val="00D279AA"/>
    <w:rsid w:val="00D31215"/>
    <w:rsid w:val="00D34544"/>
    <w:rsid w:val="00D34841"/>
    <w:rsid w:val="00D4444E"/>
    <w:rsid w:val="00D44A97"/>
    <w:rsid w:val="00D45C0C"/>
    <w:rsid w:val="00D508A5"/>
    <w:rsid w:val="00D5104B"/>
    <w:rsid w:val="00D555D8"/>
    <w:rsid w:val="00D60778"/>
    <w:rsid w:val="00D63EB2"/>
    <w:rsid w:val="00D64D28"/>
    <w:rsid w:val="00D6604D"/>
    <w:rsid w:val="00D677F1"/>
    <w:rsid w:val="00D74601"/>
    <w:rsid w:val="00D83E46"/>
    <w:rsid w:val="00D847B6"/>
    <w:rsid w:val="00D93958"/>
    <w:rsid w:val="00D951D3"/>
    <w:rsid w:val="00DA1DB9"/>
    <w:rsid w:val="00DA6169"/>
    <w:rsid w:val="00DA7B28"/>
    <w:rsid w:val="00DB5480"/>
    <w:rsid w:val="00DB6317"/>
    <w:rsid w:val="00DC2FC5"/>
    <w:rsid w:val="00DC5AD9"/>
    <w:rsid w:val="00DC691F"/>
    <w:rsid w:val="00DD02DE"/>
    <w:rsid w:val="00DD07B7"/>
    <w:rsid w:val="00DD113C"/>
    <w:rsid w:val="00DD324C"/>
    <w:rsid w:val="00DE0BEB"/>
    <w:rsid w:val="00DE4856"/>
    <w:rsid w:val="00DF485B"/>
    <w:rsid w:val="00E0295D"/>
    <w:rsid w:val="00E042BC"/>
    <w:rsid w:val="00E132FE"/>
    <w:rsid w:val="00E21B77"/>
    <w:rsid w:val="00E23352"/>
    <w:rsid w:val="00E40CAD"/>
    <w:rsid w:val="00E40DC7"/>
    <w:rsid w:val="00E4215F"/>
    <w:rsid w:val="00E61D2E"/>
    <w:rsid w:val="00E62B7F"/>
    <w:rsid w:val="00E7066D"/>
    <w:rsid w:val="00E726BC"/>
    <w:rsid w:val="00E72821"/>
    <w:rsid w:val="00E75C82"/>
    <w:rsid w:val="00E81DDC"/>
    <w:rsid w:val="00E81F67"/>
    <w:rsid w:val="00E83650"/>
    <w:rsid w:val="00E83A31"/>
    <w:rsid w:val="00E93BF5"/>
    <w:rsid w:val="00E97CC0"/>
    <w:rsid w:val="00EA22B8"/>
    <w:rsid w:val="00EA2524"/>
    <w:rsid w:val="00EA33E7"/>
    <w:rsid w:val="00EC092D"/>
    <w:rsid w:val="00EC0DF8"/>
    <w:rsid w:val="00EC7F91"/>
    <w:rsid w:val="00ED378B"/>
    <w:rsid w:val="00EE08F9"/>
    <w:rsid w:val="00EE70B3"/>
    <w:rsid w:val="00EF24AA"/>
    <w:rsid w:val="00EF728A"/>
    <w:rsid w:val="00EF7D0D"/>
    <w:rsid w:val="00F00FF7"/>
    <w:rsid w:val="00F02093"/>
    <w:rsid w:val="00F068E3"/>
    <w:rsid w:val="00F10B5F"/>
    <w:rsid w:val="00F218C1"/>
    <w:rsid w:val="00F321EB"/>
    <w:rsid w:val="00F32B00"/>
    <w:rsid w:val="00F346CF"/>
    <w:rsid w:val="00F3610C"/>
    <w:rsid w:val="00F36839"/>
    <w:rsid w:val="00F52A5F"/>
    <w:rsid w:val="00F55954"/>
    <w:rsid w:val="00F57308"/>
    <w:rsid w:val="00F61962"/>
    <w:rsid w:val="00F62865"/>
    <w:rsid w:val="00F64022"/>
    <w:rsid w:val="00F64660"/>
    <w:rsid w:val="00F74FF3"/>
    <w:rsid w:val="00F97062"/>
    <w:rsid w:val="00F9745D"/>
    <w:rsid w:val="00FA07A9"/>
    <w:rsid w:val="00FA54B2"/>
    <w:rsid w:val="00FC0FCB"/>
    <w:rsid w:val="00FC529F"/>
    <w:rsid w:val="00FC66E1"/>
    <w:rsid w:val="00FC7B53"/>
    <w:rsid w:val="00FD48CC"/>
    <w:rsid w:val="00FE62D1"/>
    <w:rsid w:val="00FE7B94"/>
    <w:rsid w:val="00FF0736"/>
    <w:rsid w:val="00FF2515"/>
    <w:rsid w:val="00FF26BF"/>
    <w:rsid w:val="013C51B0"/>
    <w:rsid w:val="01651C23"/>
    <w:rsid w:val="018023CE"/>
    <w:rsid w:val="01881AD6"/>
    <w:rsid w:val="019127B6"/>
    <w:rsid w:val="01B71A01"/>
    <w:rsid w:val="01DC03CE"/>
    <w:rsid w:val="01E36F4E"/>
    <w:rsid w:val="0208150E"/>
    <w:rsid w:val="02287D63"/>
    <w:rsid w:val="024179E7"/>
    <w:rsid w:val="0246437B"/>
    <w:rsid w:val="02985CD5"/>
    <w:rsid w:val="02A741FD"/>
    <w:rsid w:val="02C16E5D"/>
    <w:rsid w:val="02D964CF"/>
    <w:rsid w:val="02DE5ECF"/>
    <w:rsid w:val="02F87BA9"/>
    <w:rsid w:val="031A7430"/>
    <w:rsid w:val="032E6AB8"/>
    <w:rsid w:val="03707410"/>
    <w:rsid w:val="039170C0"/>
    <w:rsid w:val="039240A3"/>
    <w:rsid w:val="039C3694"/>
    <w:rsid w:val="03A0770F"/>
    <w:rsid w:val="03A27726"/>
    <w:rsid w:val="03A448B8"/>
    <w:rsid w:val="03AD5615"/>
    <w:rsid w:val="03B34A78"/>
    <w:rsid w:val="03C01631"/>
    <w:rsid w:val="03C656A9"/>
    <w:rsid w:val="03F33148"/>
    <w:rsid w:val="042F3419"/>
    <w:rsid w:val="04491596"/>
    <w:rsid w:val="047B4012"/>
    <w:rsid w:val="04822497"/>
    <w:rsid w:val="04974587"/>
    <w:rsid w:val="049A0C65"/>
    <w:rsid w:val="04A07C4B"/>
    <w:rsid w:val="04CB06E0"/>
    <w:rsid w:val="04DF1036"/>
    <w:rsid w:val="04E24985"/>
    <w:rsid w:val="050C01DF"/>
    <w:rsid w:val="05316537"/>
    <w:rsid w:val="053A5A77"/>
    <w:rsid w:val="0599183C"/>
    <w:rsid w:val="05A97DEC"/>
    <w:rsid w:val="05B23978"/>
    <w:rsid w:val="05C81981"/>
    <w:rsid w:val="05DF5155"/>
    <w:rsid w:val="05FC20B9"/>
    <w:rsid w:val="060043AE"/>
    <w:rsid w:val="060C3203"/>
    <w:rsid w:val="06281344"/>
    <w:rsid w:val="062D4EC8"/>
    <w:rsid w:val="069B4E4A"/>
    <w:rsid w:val="06A26008"/>
    <w:rsid w:val="06BC41F2"/>
    <w:rsid w:val="06F415CC"/>
    <w:rsid w:val="070E26CD"/>
    <w:rsid w:val="07197D08"/>
    <w:rsid w:val="071E5C55"/>
    <w:rsid w:val="075C1FE5"/>
    <w:rsid w:val="077005AB"/>
    <w:rsid w:val="078F4581"/>
    <w:rsid w:val="07A715F3"/>
    <w:rsid w:val="07BF027F"/>
    <w:rsid w:val="07F06C60"/>
    <w:rsid w:val="08031A31"/>
    <w:rsid w:val="080E2872"/>
    <w:rsid w:val="08420CAE"/>
    <w:rsid w:val="089A5AE8"/>
    <w:rsid w:val="09061A75"/>
    <w:rsid w:val="09182241"/>
    <w:rsid w:val="09325D4D"/>
    <w:rsid w:val="095F1030"/>
    <w:rsid w:val="09855177"/>
    <w:rsid w:val="09A17D47"/>
    <w:rsid w:val="09EE5125"/>
    <w:rsid w:val="0A3D7585"/>
    <w:rsid w:val="0A462748"/>
    <w:rsid w:val="0A4D0C81"/>
    <w:rsid w:val="0A723E95"/>
    <w:rsid w:val="0A733243"/>
    <w:rsid w:val="0AA534D5"/>
    <w:rsid w:val="0AA650EB"/>
    <w:rsid w:val="0AA7129C"/>
    <w:rsid w:val="0AE139B1"/>
    <w:rsid w:val="0AF47339"/>
    <w:rsid w:val="0B121934"/>
    <w:rsid w:val="0B1F4D52"/>
    <w:rsid w:val="0B22594B"/>
    <w:rsid w:val="0B27506F"/>
    <w:rsid w:val="0B3061AD"/>
    <w:rsid w:val="0B9610F4"/>
    <w:rsid w:val="0BBF77A4"/>
    <w:rsid w:val="0BD16C8D"/>
    <w:rsid w:val="0BDF26F7"/>
    <w:rsid w:val="0C027DB2"/>
    <w:rsid w:val="0C2B4952"/>
    <w:rsid w:val="0C477CF9"/>
    <w:rsid w:val="0C516C55"/>
    <w:rsid w:val="0C5D161C"/>
    <w:rsid w:val="0C7B2220"/>
    <w:rsid w:val="0CB67D83"/>
    <w:rsid w:val="0CCF79BE"/>
    <w:rsid w:val="0CD20599"/>
    <w:rsid w:val="0CE53018"/>
    <w:rsid w:val="0D0B5B12"/>
    <w:rsid w:val="0D133046"/>
    <w:rsid w:val="0D153F28"/>
    <w:rsid w:val="0D305390"/>
    <w:rsid w:val="0D3A0F98"/>
    <w:rsid w:val="0D5C35A8"/>
    <w:rsid w:val="0D5D37FD"/>
    <w:rsid w:val="0D6A4502"/>
    <w:rsid w:val="0D7415CA"/>
    <w:rsid w:val="0D890E47"/>
    <w:rsid w:val="0DC64A00"/>
    <w:rsid w:val="0DCF786E"/>
    <w:rsid w:val="0DEB5FFA"/>
    <w:rsid w:val="0DF75C46"/>
    <w:rsid w:val="0DFC60BA"/>
    <w:rsid w:val="0E045D30"/>
    <w:rsid w:val="0E1C06B2"/>
    <w:rsid w:val="0E35000C"/>
    <w:rsid w:val="0E69691B"/>
    <w:rsid w:val="0E7900C2"/>
    <w:rsid w:val="0EBB5484"/>
    <w:rsid w:val="0EBD5AA3"/>
    <w:rsid w:val="0F085784"/>
    <w:rsid w:val="0F5723EF"/>
    <w:rsid w:val="0F7C5FF6"/>
    <w:rsid w:val="0FC63FBD"/>
    <w:rsid w:val="0FDD003F"/>
    <w:rsid w:val="0FF63282"/>
    <w:rsid w:val="0FF87EA4"/>
    <w:rsid w:val="0FFF7484"/>
    <w:rsid w:val="10007DD4"/>
    <w:rsid w:val="100B77ED"/>
    <w:rsid w:val="10305890"/>
    <w:rsid w:val="103D5A1A"/>
    <w:rsid w:val="106C564D"/>
    <w:rsid w:val="10767478"/>
    <w:rsid w:val="107B7B8F"/>
    <w:rsid w:val="107C67CE"/>
    <w:rsid w:val="10912D03"/>
    <w:rsid w:val="109D68CB"/>
    <w:rsid w:val="10A949B8"/>
    <w:rsid w:val="10CB4D26"/>
    <w:rsid w:val="10ED2AD2"/>
    <w:rsid w:val="11144AFE"/>
    <w:rsid w:val="11200D07"/>
    <w:rsid w:val="112278CE"/>
    <w:rsid w:val="116A3F32"/>
    <w:rsid w:val="11786AB5"/>
    <w:rsid w:val="118049D4"/>
    <w:rsid w:val="118561F8"/>
    <w:rsid w:val="11914FAF"/>
    <w:rsid w:val="11A8021A"/>
    <w:rsid w:val="11B21219"/>
    <w:rsid w:val="11B4024C"/>
    <w:rsid w:val="11DA73AF"/>
    <w:rsid w:val="11FC1ECD"/>
    <w:rsid w:val="12457C5E"/>
    <w:rsid w:val="124D097B"/>
    <w:rsid w:val="12511265"/>
    <w:rsid w:val="126561B4"/>
    <w:rsid w:val="127A3FFC"/>
    <w:rsid w:val="127D0E25"/>
    <w:rsid w:val="127E0B34"/>
    <w:rsid w:val="1283614B"/>
    <w:rsid w:val="12856FF3"/>
    <w:rsid w:val="129671FB"/>
    <w:rsid w:val="12A576FF"/>
    <w:rsid w:val="12C60D80"/>
    <w:rsid w:val="130523B3"/>
    <w:rsid w:val="13097496"/>
    <w:rsid w:val="13154AD2"/>
    <w:rsid w:val="131F7A3A"/>
    <w:rsid w:val="132645D0"/>
    <w:rsid w:val="134312FF"/>
    <w:rsid w:val="13455ABC"/>
    <w:rsid w:val="136E3184"/>
    <w:rsid w:val="1370322B"/>
    <w:rsid w:val="13BA0460"/>
    <w:rsid w:val="13BB41AE"/>
    <w:rsid w:val="13C24F9B"/>
    <w:rsid w:val="13C45A18"/>
    <w:rsid w:val="13C9247B"/>
    <w:rsid w:val="13C92A4D"/>
    <w:rsid w:val="13DE55D1"/>
    <w:rsid w:val="13E0285C"/>
    <w:rsid w:val="143B2E0B"/>
    <w:rsid w:val="147C1943"/>
    <w:rsid w:val="148054E9"/>
    <w:rsid w:val="14892735"/>
    <w:rsid w:val="14906D6C"/>
    <w:rsid w:val="14CC769D"/>
    <w:rsid w:val="14D764D5"/>
    <w:rsid w:val="14F43330"/>
    <w:rsid w:val="152509D7"/>
    <w:rsid w:val="15436F05"/>
    <w:rsid w:val="155541C5"/>
    <w:rsid w:val="15691FE3"/>
    <w:rsid w:val="158B5DDD"/>
    <w:rsid w:val="15A41986"/>
    <w:rsid w:val="15B11221"/>
    <w:rsid w:val="15C16EB3"/>
    <w:rsid w:val="15CB76C9"/>
    <w:rsid w:val="15D359D7"/>
    <w:rsid w:val="160E7A2C"/>
    <w:rsid w:val="16111028"/>
    <w:rsid w:val="161F7731"/>
    <w:rsid w:val="163C77BE"/>
    <w:rsid w:val="16573587"/>
    <w:rsid w:val="1679588C"/>
    <w:rsid w:val="168C2855"/>
    <w:rsid w:val="16903443"/>
    <w:rsid w:val="16994962"/>
    <w:rsid w:val="16A233CF"/>
    <w:rsid w:val="16A71041"/>
    <w:rsid w:val="16AA24BF"/>
    <w:rsid w:val="16FB1D00"/>
    <w:rsid w:val="171D3FE1"/>
    <w:rsid w:val="1742794A"/>
    <w:rsid w:val="17680CAB"/>
    <w:rsid w:val="176E4128"/>
    <w:rsid w:val="1783371F"/>
    <w:rsid w:val="178D7563"/>
    <w:rsid w:val="17B61794"/>
    <w:rsid w:val="17C52CBF"/>
    <w:rsid w:val="17C93012"/>
    <w:rsid w:val="17E51656"/>
    <w:rsid w:val="17E62B67"/>
    <w:rsid w:val="180F4499"/>
    <w:rsid w:val="182201B4"/>
    <w:rsid w:val="18221ECE"/>
    <w:rsid w:val="18303840"/>
    <w:rsid w:val="183C3D90"/>
    <w:rsid w:val="18504A07"/>
    <w:rsid w:val="1859036F"/>
    <w:rsid w:val="18681814"/>
    <w:rsid w:val="18B0649B"/>
    <w:rsid w:val="18C8297B"/>
    <w:rsid w:val="18D418FC"/>
    <w:rsid w:val="18FC7745"/>
    <w:rsid w:val="19027053"/>
    <w:rsid w:val="191677A6"/>
    <w:rsid w:val="19353F17"/>
    <w:rsid w:val="195A6B1D"/>
    <w:rsid w:val="1993384E"/>
    <w:rsid w:val="19AC7D2F"/>
    <w:rsid w:val="19DD405E"/>
    <w:rsid w:val="1A460CF5"/>
    <w:rsid w:val="1A7A6BB4"/>
    <w:rsid w:val="1A7F297D"/>
    <w:rsid w:val="1A9B268C"/>
    <w:rsid w:val="1A9D6244"/>
    <w:rsid w:val="1AAF6004"/>
    <w:rsid w:val="1AB16AC1"/>
    <w:rsid w:val="1AB207CD"/>
    <w:rsid w:val="1ABF1CEA"/>
    <w:rsid w:val="1B014DDE"/>
    <w:rsid w:val="1B0320FB"/>
    <w:rsid w:val="1B034A52"/>
    <w:rsid w:val="1B45344E"/>
    <w:rsid w:val="1B591D2B"/>
    <w:rsid w:val="1B5D76FB"/>
    <w:rsid w:val="1B6039BF"/>
    <w:rsid w:val="1B683578"/>
    <w:rsid w:val="1B8C0040"/>
    <w:rsid w:val="1BBA4E52"/>
    <w:rsid w:val="1BD9519A"/>
    <w:rsid w:val="1BDE2F66"/>
    <w:rsid w:val="1C2A22B3"/>
    <w:rsid w:val="1C750ECE"/>
    <w:rsid w:val="1CA56AF4"/>
    <w:rsid w:val="1CE1575A"/>
    <w:rsid w:val="1D165620"/>
    <w:rsid w:val="1D196139"/>
    <w:rsid w:val="1D2E2708"/>
    <w:rsid w:val="1D5E02D1"/>
    <w:rsid w:val="1D7B74A7"/>
    <w:rsid w:val="1D7F0ED0"/>
    <w:rsid w:val="1D946A0C"/>
    <w:rsid w:val="1DA31EB7"/>
    <w:rsid w:val="1DA55D97"/>
    <w:rsid w:val="1DBB6100"/>
    <w:rsid w:val="1DBE6816"/>
    <w:rsid w:val="1DC67725"/>
    <w:rsid w:val="1DCB4FF1"/>
    <w:rsid w:val="1DDC11E4"/>
    <w:rsid w:val="1DF5452A"/>
    <w:rsid w:val="1E010AF7"/>
    <w:rsid w:val="1E1C405A"/>
    <w:rsid w:val="1E2E29E0"/>
    <w:rsid w:val="1E301173"/>
    <w:rsid w:val="1E884D18"/>
    <w:rsid w:val="1ECA4EAA"/>
    <w:rsid w:val="1ED8781E"/>
    <w:rsid w:val="1EDD3235"/>
    <w:rsid w:val="1EE7283A"/>
    <w:rsid w:val="1F1102B0"/>
    <w:rsid w:val="1F2F1047"/>
    <w:rsid w:val="1F43381C"/>
    <w:rsid w:val="1F7A2683"/>
    <w:rsid w:val="1F7D6A3D"/>
    <w:rsid w:val="1FA4148D"/>
    <w:rsid w:val="1FC10FAB"/>
    <w:rsid w:val="1FC65577"/>
    <w:rsid w:val="1FD82385"/>
    <w:rsid w:val="20121621"/>
    <w:rsid w:val="201636E2"/>
    <w:rsid w:val="202E3F6D"/>
    <w:rsid w:val="2032134B"/>
    <w:rsid w:val="20325F7E"/>
    <w:rsid w:val="204778E7"/>
    <w:rsid w:val="204E554F"/>
    <w:rsid w:val="20546774"/>
    <w:rsid w:val="20590035"/>
    <w:rsid w:val="20851B47"/>
    <w:rsid w:val="209A2C3D"/>
    <w:rsid w:val="20BE44BA"/>
    <w:rsid w:val="20E5011E"/>
    <w:rsid w:val="20FC799E"/>
    <w:rsid w:val="21286DA7"/>
    <w:rsid w:val="2134683B"/>
    <w:rsid w:val="21711C44"/>
    <w:rsid w:val="21C82E72"/>
    <w:rsid w:val="21DE0801"/>
    <w:rsid w:val="21DE339D"/>
    <w:rsid w:val="22154DDD"/>
    <w:rsid w:val="221D09A5"/>
    <w:rsid w:val="221D4DB5"/>
    <w:rsid w:val="22330DC9"/>
    <w:rsid w:val="22336873"/>
    <w:rsid w:val="22396826"/>
    <w:rsid w:val="225471A3"/>
    <w:rsid w:val="225E34DC"/>
    <w:rsid w:val="227D1295"/>
    <w:rsid w:val="229B678A"/>
    <w:rsid w:val="22AB3B7D"/>
    <w:rsid w:val="22AF3A08"/>
    <w:rsid w:val="22CD0B48"/>
    <w:rsid w:val="22F92F75"/>
    <w:rsid w:val="239634D6"/>
    <w:rsid w:val="23BB4E7D"/>
    <w:rsid w:val="23C172D6"/>
    <w:rsid w:val="23CB1286"/>
    <w:rsid w:val="23D77537"/>
    <w:rsid w:val="23E6195D"/>
    <w:rsid w:val="23F04F64"/>
    <w:rsid w:val="242654AA"/>
    <w:rsid w:val="24814CBE"/>
    <w:rsid w:val="24AC168B"/>
    <w:rsid w:val="24BB6664"/>
    <w:rsid w:val="24EC64CB"/>
    <w:rsid w:val="250E1318"/>
    <w:rsid w:val="25103738"/>
    <w:rsid w:val="253F46D8"/>
    <w:rsid w:val="254D0389"/>
    <w:rsid w:val="25884C5D"/>
    <w:rsid w:val="258C3BEC"/>
    <w:rsid w:val="25A03144"/>
    <w:rsid w:val="25B2479F"/>
    <w:rsid w:val="25C15C5D"/>
    <w:rsid w:val="25D329B9"/>
    <w:rsid w:val="25E5427A"/>
    <w:rsid w:val="26276A31"/>
    <w:rsid w:val="26366F9D"/>
    <w:rsid w:val="263B1230"/>
    <w:rsid w:val="2642752B"/>
    <w:rsid w:val="26485508"/>
    <w:rsid w:val="26554808"/>
    <w:rsid w:val="265E685B"/>
    <w:rsid w:val="26607D95"/>
    <w:rsid w:val="26700955"/>
    <w:rsid w:val="26A16AE9"/>
    <w:rsid w:val="26A605D9"/>
    <w:rsid w:val="26AD0500"/>
    <w:rsid w:val="26B121A3"/>
    <w:rsid w:val="26C32C2B"/>
    <w:rsid w:val="26E464C3"/>
    <w:rsid w:val="27194A13"/>
    <w:rsid w:val="272E3097"/>
    <w:rsid w:val="272E6F74"/>
    <w:rsid w:val="273B7A3B"/>
    <w:rsid w:val="277E6655"/>
    <w:rsid w:val="2780046C"/>
    <w:rsid w:val="27933DEA"/>
    <w:rsid w:val="27B36A67"/>
    <w:rsid w:val="27D9633F"/>
    <w:rsid w:val="280B2E27"/>
    <w:rsid w:val="281E404F"/>
    <w:rsid w:val="28302479"/>
    <w:rsid w:val="2846581F"/>
    <w:rsid w:val="284A5CA4"/>
    <w:rsid w:val="286550ED"/>
    <w:rsid w:val="286602C8"/>
    <w:rsid w:val="28665C95"/>
    <w:rsid w:val="28736F5F"/>
    <w:rsid w:val="287C7A2A"/>
    <w:rsid w:val="28B01D1E"/>
    <w:rsid w:val="28C2628C"/>
    <w:rsid w:val="28C52BC1"/>
    <w:rsid w:val="28CC3373"/>
    <w:rsid w:val="28F47F99"/>
    <w:rsid w:val="28F579BA"/>
    <w:rsid w:val="290B3EB9"/>
    <w:rsid w:val="292728C1"/>
    <w:rsid w:val="294E392A"/>
    <w:rsid w:val="2950768C"/>
    <w:rsid w:val="297A5FC4"/>
    <w:rsid w:val="29B51252"/>
    <w:rsid w:val="29E14657"/>
    <w:rsid w:val="29E474B8"/>
    <w:rsid w:val="29ED574B"/>
    <w:rsid w:val="29FA2D3E"/>
    <w:rsid w:val="29FE5CE6"/>
    <w:rsid w:val="2A5545A9"/>
    <w:rsid w:val="2A743AE8"/>
    <w:rsid w:val="2A8D4F8F"/>
    <w:rsid w:val="2A917B34"/>
    <w:rsid w:val="2A9308A8"/>
    <w:rsid w:val="2A9F5AB8"/>
    <w:rsid w:val="2AB10C99"/>
    <w:rsid w:val="2AD74E8C"/>
    <w:rsid w:val="2AE3766F"/>
    <w:rsid w:val="2AEC612E"/>
    <w:rsid w:val="2B0268A7"/>
    <w:rsid w:val="2B060F9E"/>
    <w:rsid w:val="2B0E56AB"/>
    <w:rsid w:val="2B51141C"/>
    <w:rsid w:val="2B590601"/>
    <w:rsid w:val="2B710DB7"/>
    <w:rsid w:val="2B7408CF"/>
    <w:rsid w:val="2B7E4054"/>
    <w:rsid w:val="2BBA59CC"/>
    <w:rsid w:val="2BBA6A76"/>
    <w:rsid w:val="2BC24FD7"/>
    <w:rsid w:val="2BCC03D1"/>
    <w:rsid w:val="2BDF1FBA"/>
    <w:rsid w:val="2C0C6D59"/>
    <w:rsid w:val="2C1C7F81"/>
    <w:rsid w:val="2C5B0D4B"/>
    <w:rsid w:val="2C644E7A"/>
    <w:rsid w:val="2C8903AA"/>
    <w:rsid w:val="2C987C56"/>
    <w:rsid w:val="2CA156F3"/>
    <w:rsid w:val="2CC11460"/>
    <w:rsid w:val="2CC15BAA"/>
    <w:rsid w:val="2CC72A61"/>
    <w:rsid w:val="2CDC3153"/>
    <w:rsid w:val="2CDF621C"/>
    <w:rsid w:val="2CE136D7"/>
    <w:rsid w:val="2CFE7A11"/>
    <w:rsid w:val="2CFF149A"/>
    <w:rsid w:val="2D176325"/>
    <w:rsid w:val="2D201865"/>
    <w:rsid w:val="2D2B6EDE"/>
    <w:rsid w:val="2D4B5CEA"/>
    <w:rsid w:val="2D4C5B4C"/>
    <w:rsid w:val="2D542188"/>
    <w:rsid w:val="2D652658"/>
    <w:rsid w:val="2D964A56"/>
    <w:rsid w:val="2DC16E0A"/>
    <w:rsid w:val="2DC80C49"/>
    <w:rsid w:val="2DCA6355"/>
    <w:rsid w:val="2E030E17"/>
    <w:rsid w:val="2E166748"/>
    <w:rsid w:val="2E2054A0"/>
    <w:rsid w:val="2E482374"/>
    <w:rsid w:val="2E491580"/>
    <w:rsid w:val="2E556F01"/>
    <w:rsid w:val="2E8345A7"/>
    <w:rsid w:val="2E8E20B4"/>
    <w:rsid w:val="2EAA7BAE"/>
    <w:rsid w:val="2EC1207D"/>
    <w:rsid w:val="2ED06066"/>
    <w:rsid w:val="2ED1223D"/>
    <w:rsid w:val="2F000139"/>
    <w:rsid w:val="2F1B303D"/>
    <w:rsid w:val="2F3F11F4"/>
    <w:rsid w:val="2F5E0754"/>
    <w:rsid w:val="2F9F42DC"/>
    <w:rsid w:val="2FBB4121"/>
    <w:rsid w:val="2FBC2844"/>
    <w:rsid w:val="2FBE3786"/>
    <w:rsid w:val="2FC32F68"/>
    <w:rsid w:val="2FD6418B"/>
    <w:rsid w:val="2FF37AB3"/>
    <w:rsid w:val="30210B8A"/>
    <w:rsid w:val="30224DC7"/>
    <w:rsid w:val="303B4C3F"/>
    <w:rsid w:val="3073310C"/>
    <w:rsid w:val="309D6BE6"/>
    <w:rsid w:val="30AA1790"/>
    <w:rsid w:val="30EE385E"/>
    <w:rsid w:val="30F85AFE"/>
    <w:rsid w:val="31031402"/>
    <w:rsid w:val="31170995"/>
    <w:rsid w:val="31264A30"/>
    <w:rsid w:val="312651F8"/>
    <w:rsid w:val="31862EE3"/>
    <w:rsid w:val="31884E67"/>
    <w:rsid w:val="31A0275E"/>
    <w:rsid w:val="31A67308"/>
    <w:rsid w:val="31B91526"/>
    <w:rsid w:val="31BA7402"/>
    <w:rsid w:val="31EF0041"/>
    <w:rsid w:val="320107F5"/>
    <w:rsid w:val="324175CB"/>
    <w:rsid w:val="326A0524"/>
    <w:rsid w:val="327B7EDF"/>
    <w:rsid w:val="32AB70C5"/>
    <w:rsid w:val="32EF2122"/>
    <w:rsid w:val="32F17F41"/>
    <w:rsid w:val="332038B4"/>
    <w:rsid w:val="33247607"/>
    <w:rsid w:val="333014B0"/>
    <w:rsid w:val="335D0AF5"/>
    <w:rsid w:val="336917EF"/>
    <w:rsid w:val="336B2EA4"/>
    <w:rsid w:val="336B3E67"/>
    <w:rsid w:val="3370088C"/>
    <w:rsid w:val="33872039"/>
    <w:rsid w:val="339A687B"/>
    <w:rsid w:val="33C05EB3"/>
    <w:rsid w:val="33DC2F78"/>
    <w:rsid w:val="33DE2B39"/>
    <w:rsid w:val="3428227C"/>
    <w:rsid w:val="343230D5"/>
    <w:rsid w:val="3439428E"/>
    <w:rsid w:val="34571EF7"/>
    <w:rsid w:val="347918A5"/>
    <w:rsid w:val="34802E4C"/>
    <w:rsid w:val="349D37D5"/>
    <w:rsid w:val="34A61BDE"/>
    <w:rsid w:val="34B37A7B"/>
    <w:rsid w:val="34BB7B5F"/>
    <w:rsid w:val="3522586C"/>
    <w:rsid w:val="35572473"/>
    <w:rsid w:val="35602226"/>
    <w:rsid w:val="356B72E7"/>
    <w:rsid w:val="356D2AC8"/>
    <w:rsid w:val="3572424F"/>
    <w:rsid w:val="35734CF3"/>
    <w:rsid w:val="35866014"/>
    <w:rsid w:val="359E5CE0"/>
    <w:rsid w:val="35D275C3"/>
    <w:rsid w:val="35E50FBB"/>
    <w:rsid w:val="35FE5F48"/>
    <w:rsid w:val="362B215D"/>
    <w:rsid w:val="366666CA"/>
    <w:rsid w:val="367070F4"/>
    <w:rsid w:val="367801A9"/>
    <w:rsid w:val="36807FCC"/>
    <w:rsid w:val="36AD519D"/>
    <w:rsid w:val="36B57705"/>
    <w:rsid w:val="36B93E53"/>
    <w:rsid w:val="36DC1DD3"/>
    <w:rsid w:val="36F3711D"/>
    <w:rsid w:val="36FC25DD"/>
    <w:rsid w:val="37090CD6"/>
    <w:rsid w:val="37122320"/>
    <w:rsid w:val="3754697A"/>
    <w:rsid w:val="37636A21"/>
    <w:rsid w:val="377C03A4"/>
    <w:rsid w:val="37A103ED"/>
    <w:rsid w:val="37A367C3"/>
    <w:rsid w:val="37BD33EE"/>
    <w:rsid w:val="37E02954"/>
    <w:rsid w:val="37E02B23"/>
    <w:rsid w:val="37E345A6"/>
    <w:rsid w:val="37EA5E6E"/>
    <w:rsid w:val="37EC6A58"/>
    <w:rsid w:val="37FB2268"/>
    <w:rsid w:val="37FF016F"/>
    <w:rsid w:val="382A6E2D"/>
    <w:rsid w:val="382B0AD7"/>
    <w:rsid w:val="386E4145"/>
    <w:rsid w:val="387C5ABE"/>
    <w:rsid w:val="38B66D0C"/>
    <w:rsid w:val="38D41643"/>
    <w:rsid w:val="38DC04A8"/>
    <w:rsid w:val="38EB6119"/>
    <w:rsid w:val="39044996"/>
    <w:rsid w:val="392C6D9B"/>
    <w:rsid w:val="393B020C"/>
    <w:rsid w:val="39506E15"/>
    <w:rsid w:val="396678D9"/>
    <w:rsid w:val="39790BE6"/>
    <w:rsid w:val="397A0ADB"/>
    <w:rsid w:val="39844799"/>
    <w:rsid w:val="39954B2B"/>
    <w:rsid w:val="39DA2245"/>
    <w:rsid w:val="39E66E3B"/>
    <w:rsid w:val="39FD4CC2"/>
    <w:rsid w:val="3A51228C"/>
    <w:rsid w:val="3A545E48"/>
    <w:rsid w:val="3A552E60"/>
    <w:rsid w:val="3A5D642F"/>
    <w:rsid w:val="3A744447"/>
    <w:rsid w:val="3A78219D"/>
    <w:rsid w:val="3A995C5C"/>
    <w:rsid w:val="3AB210FC"/>
    <w:rsid w:val="3ADB7381"/>
    <w:rsid w:val="3AF04A37"/>
    <w:rsid w:val="3B043A1D"/>
    <w:rsid w:val="3B1E01C3"/>
    <w:rsid w:val="3B3E5B8A"/>
    <w:rsid w:val="3B602C1D"/>
    <w:rsid w:val="3B793A48"/>
    <w:rsid w:val="3B7E3699"/>
    <w:rsid w:val="3B85393E"/>
    <w:rsid w:val="3BCA4B8A"/>
    <w:rsid w:val="3BCD72F7"/>
    <w:rsid w:val="3BFC2F5F"/>
    <w:rsid w:val="3C37146A"/>
    <w:rsid w:val="3C3D3625"/>
    <w:rsid w:val="3C414142"/>
    <w:rsid w:val="3C5B725E"/>
    <w:rsid w:val="3C84047F"/>
    <w:rsid w:val="3C88055A"/>
    <w:rsid w:val="3C9562F0"/>
    <w:rsid w:val="3C9E57AB"/>
    <w:rsid w:val="3CAF79B9"/>
    <w:rsid w:val="3CB35097"/>
    <w:rsid w:val="3CCA242D"/>
    <w:rsid w:val="3CF737A2"/>
    <w:rsid w:val="3D10295A"/>
    <w:rsid w:val="3D184041"/>
    <w:rsid w:val="3D370C2A"/>
    <w:rsid w:val="3D414FC0"/>
    <w:rsid w:val="3D4F12A7"/>
    <w:rsid w:val="3D7B5F78"/>
    <w:rsid w:val="3D7D049C"/>
    <w:rsid w:val="3DCD2FF3"/>
    <w:rsid w:val="3DE20EAE"/>
    <w:rsid w:val="3DEF3701"/>
    <w:rsid w:val="3DFD0D30"/>
    <w:rsid w:val="3E0572FD"/>
    <w:rsid w:val="3E0720FE"/>
    <w:rsid w:val="3E2819F6"/>
    <w:rsid w:val="3E287A22"/>
    <w:rsid w:val="3E5A7FE7"/>
    <w:rsid w:val="3E7D40EF"/>
    <w:rsid w:val="3E955A6A"/>
    <w:rsid w:val="3E964D81"/>
    <w:rsid w:val="3EB04031"/>
    <w:rsid w:val="3EF66B2E"/>
    <w:rsid w:val="3F217914"/>
    <w:rsid w:val="3F95733A"/>
    <w:rsid w:val="3FD10810"/>
    <w:rsid w:val="3FD70BB0"/>
    <w:rsid w:val="3FFB55AC"/>
    <w:rsid w:val="40017152"/>
    <w:rsid w:val="40025241"/>
    <w:rsid w:val="401C5F9D"/>
    <w:rsid w:val="401C690C"/>
    <w:rsid w:val="401D7195"/>
    <w:rsid w:val="405C1C05"/>
    <w:rsid w:val="405C6DF9"/>
    <w:rsid w:val="407311A9"/>
    <w:rsid w:val="407A652F"/>
    <w:rsid w:val="40825D97"/>
    <w:rsid w:val="40836C36"/>
    <w:rsid w:val="40870EA3"/>
    <w:rsid w:val="409928E7"/>
    <w:rsid w:val="40997CFE"/>
    <w:rsid w:val="409E1E57"/>
    <w:rsid w:val="40C34607"/>
    <w:rsid w:val="40CE3DC0"/>
    <w:rsid w:val="40D7455A"/>
    <w:rsid w:val="40E743E5"/>
    <w:rsid w:val="40EB4012"/>
    <w:rsid w:val="41075C9E"/>
    <w:rsid w:val="410A1661"/>
    <w:rsid w:val="411A719C"/>
    <w:rsid w:val="412D5EA0"/>
    <w:rsid w:val="41381D9F"/>
    <w:rsid w:val="415A62F5"/>
    <w:rsid w:val="416D78C7"/>
    <w:rsid w:val="41734CBA"/>
    <w:rsid w:val="417F4E1A"/>
    <w:rsid w:val="418B0C8A"/>
    <w:rsid w:val="419A5477"/>
    <w:rsid w:val="41A82190"/>
    <w:rsid w:val="41DE5999"/>
    <w:rsid w:val="41E1181A"/>
    <w:rsid w:val="41E32A20"/>
    <w:rsid w:val="41FA3241"/>
    <w:rsid w:val="420F7A65"/>
    <w:rsid w:val="4216611A"/>
    <w:rsid w:val="42321B6A"/>
    <w:rsid w:val="423E300F"/>
    <w:rsid w:val="425656C8"/>
    <w:rsid w:val="4257273C"/>
    <w:rsid w:val="42687ACE"/>
    <w:rsid w:val="4270145E"/>
    <w:rsid w:val="429E6041"/>
    <w:rsid w:val="42BF4B02"/>
    <w:rsid w:val="42FD694D"/>
    <w:rsid w:val="43034DFA"/>
    <w:rsid w:val="431B146D"/>
    <w:rsid w:val="431C3C39"/>
    <w:rsid w:val="43343458"/>
    <w:rsid w:val="437D6687"/>
    <w:rsid w:val="438351F5"/>
    <w:rsid w:val="438B2499"/>
    <w:rsid w:val="438D35EA"/>
    <w:rsid w:val="43BC1E57"/>
    <w:rsid w:val="43D23F8D"/>
    <w:rsid w:val="43D43F1D"/>
    <w:rsid w:val="43FA5777"/>
    <w:rsid w:val="44023422"/>
    <w:rsid w:val="44184A2D"/>
    <w:rsid w:val="441C1611"/>
    <w:rsid w:val="443C440B"/>
    <w:rsid w:val="44514F52"/>
    <w:rsid w:val="44761C8F"/>
    <w:rsid w:val="449722E3"/>
    <w:rsid w:val="449D7B09"/>
    <w:rsid w:val="44AE3FD4"/>
    <w:rsid w:val="44BF76ED"/>
    <w:rsid w:val="44D0586F"/>
    <w:rsid w:val="44FA2D53"/>
    <w:rsid w:val="453C4912"/>
    <w:rsid w:val="45687813"/>
    <w:rsid w:val="4571374F"/>
    <w:rsid w:val="458B1BB0"/>
    <w:rsid w:val="45A41560"/>
    <w:rsid w:val="45AD31D6"/>
    <w:rsid w:val="45B93426"/>
    <w:rsid w:val="45CF1361"/>
    <w:rsid w:val="464C6420"/>
    <w:rsid w:val="46552F9B"/>
    <w:rsid w:val="467A0297"/>
    <w:rsid w:val="468B7125"/>
    <w:rsid w:val="46B506EF"/>
    <w:rsid w:val="46C4691F"/>
    <w:rsid w:val="46CB53EF"/>
    <w:rsid w:val="46EE513F"/>
    <w:rsid w:val="46F27D47"/>
    <w:rsid w:val="470F5A71"/>
    <w:rsid w:val="473154FF"/>
    <w:rsid w:val="47685427"/>
    <w:rsid w:val="476C4065"/>
    <w:rsid w:val="4779499C"/>
    <w:rsid w:val="477B6530"/>
    <w:rsid w:val="47801172"/>
    <w:rsid w:val="479D1D34"/>
    <w:rsid w:val="47B609C0"/>
    <w:rsid w:val="47EC3B04"/>
    <w:rsid w:val="47EC6277"/>
    <w:rsid w:val="48021483"/>
    <w:rsid w:val="481A219B"/>
    <w:rsid w:val="482D31EA"/>
    <w:rsid w:val="48447D02"/>
    <w:rsid w:val="485970A0"/>
    <w:rsid w:val="486A6E89"/>
    <w:rsid w:val="48823516"/>
    <w:rsid w:val="48877686"/>
    <w:rsid w:val="488B498B"/>
    <w:rsid w:val="48B176C2"/>
    <w:rsid w:val="48B65C71"/>
    <w:rsid w:val="48D550F0"/>
    <w:rsid w:val="48FB1909"/>
    <w:rsid w:val="490101E0"/>
    <w:rsid w:val="49111E19"/>
    <w:rsid w:val="491F266E"/>
    <w:rsid w:val="492E6A57"/>
    <w:rsid w:val="495839AA"/>
    <w:rsid w:val="49700A6F"/>
    <w:rsid w:val="49771AFE"/>
    <w:rsid w:val="49802948"/>
    <w:rsid w:val="4986089F"/>
    <w:rsid w:val="498B5309"/>
    <w:rsid w:val="499F0AAB"/>
    <w:rsid w:val="49C154CE"/>
    <w:rsid w:val="49C33FF5"/>
    <w:rsid w:val="49DB11EC"/>
    <w:rsid w:val="49E31DD1"/>
    <w:rsid w:val="4A0030EE"/>
    <w:rsid w:val="4A0568D6"/>
    <w:rsid w:val="4A0C4F3C"/>
    <w:rsid w:val="4A162478"/>
    <w:rsid w:val="4A171EC9"/>
    <w:rsid w:val="4A174F8D"/>
    <w:rsid w:val="4A1A1689"/>
    <w:rsid w:val="4A3A0289"/>
    <w:rsid w:val="4A484D41"/>
    <w:rsid w:val="4A6D15F8"/>
    <w:rsid w:val="4A7617B6"/>
    <w:rsid w:val="4A8C4FB8"/>
    <w:rsid w:val="4A9A25BD"/>
    <w:rsid w:val="4A9E0551"/>
    <w:rsid w:val="4AB542AE"/>
    <w:rsid w:val="4AF72FEA"/>
    <w:rsid w:val="4B1477B3"/>
    <w:rsid w:val="4B1F062C"/>
    <w:rsid w:val="4B243D9D"/>
    <w:rsid w:val="4B281425"/>
    <w:rsid w:val="4B6F66A1"/>
    <w:rsid w:val="4B85213F"/>
    <w:rsid w:val="4B8C2DEB"/>
    <w:rsid w:val="4BFA3C9F"/>
    <w:rsid w:val="4BFA7F6C"/>
    <w:rsid w:val="4C036742"/>
    <w:rsid w:val="4C107F48"/>
    <w:rsid w:val="4C3117D0"/>
    <w:rsid w:val="4C3277BC"/>
    <w:rsid w:val="4C516B31"/>
    <w:rsid w:val="4C5C442D"/>
    <w:rsid w:val="4C6D42A9"/>
    <w:rsid w:val="4C716A38"/>
    <w:rsid w:val="4CC0351C"/>
    <w:rsid w:val="4CC353EB"/>
    <w:rsid w:val="4CE64E14"/>
    <w:rsid w:val="4CE95EE5"/>
    <w:rsid w:val="4CF36F3C"/>
    <w:rsid w:val="4D007BC8"/>
    <w:rsid w:val="4D0602E5"/>
    <w:rsid w:val="4D1470BD"/>
    <w:rsid w:val="4D154882"/>
    <w:rsid w:val="4D1C3C50"/>
    <w:rsid w:val="4D603399"/>
    <w:rsid w:val="4D6A7284"/>
    <w:rsid w:val="4D6E30E1"/>
    <w:rsid w:val="4D867EE1"/>
    <w:rsid w:val="4DA53428"/>
    <w:rsid w:val="4DBC4C65"/>
    <w:rsid w:val="4DC9105D"/>
    <w:rsid w:val="4DD25239"/>
    <w:rsid w:val="4DE2009B"/>
    <w:rsid w:val="4DF86974"/>
    <w:rsid w:val="4E0F235E"/>
    <w:rsid w:val="4E157689"/>
    <w:rsid w:val="4E33122E"/>
    <w:rsid w:val="4E471216"/>
    <w:rsid w:val="4E533FA5"/>
    <w:rsid w:val="4E550010"/>
    <w:rsid w:val="4E5F14CB"/>
    <w:rsid w:val="4E6808B0"/>
    <w:rsid w:val="4E780BC4"/>
    <w:rsid w:val="4EBA42F2"/>
    <w:rsid w:val="4EBE0D2D"/>
    <w:rsid w:val="4EC00DDD"/>
    <w:rsid w:val="4ED908C5"/>
    <w:rsid w:val="4EF265BE"/>
    <w:rsid w:val="4EFB1C45"/>
    <w:rsid w:val="4F0C2A48"/>
    <w:rsid w:val="4F26273B"/>
    <w:rsid w:val="4F2D3A8A"/>
    <w:rsid w:val="4F32478A"/>
    <w:rsid w:val="4F3705F8"/>
    <w:rsid w:val="4F913A9A"/>
    <w:rsid w:val="4F9714A0"/>
    <w:rsid w:val="4FAA3F91"/>
    <w:rsid w:val="4FAC3540"/>
    <w:rsid w:val="4FCF1583"/>
    <w:rsid w:val="4FD23E66"/>
    <w:rsid w:val="4FD44D1B"/>
    <w:rsid w:val="4FDC066D"/>
    <w:rsid w:val="4FFA7625"/>
    <w:rsid w:val="50453E7E"/>
    <w:rsid w:val="50594CF7"/>
    <w:rsid w:val="507D2599"/>
    <w:rsid w:val="5096229D"/>
    <w:rsid w:val="509E157D"/>
    <w:rsid w:val="50A6165E"/>
    <w:rsid w:val="50C372CE"/>
    <w:rsid w:val="50D33E8A"/>
    <w:rsid w:val="50DC4184"/>
    <w:rsid w:val="50E7376D"/>
    <w:rsid w:val="50FB6146"/>
    <w:rsid w:val="512F4CA0"/>
    <w:rsid w:val="51361FFF"/>
    <w:rsid w:val="513D4C38"/>
    <w:rsid w:val="514C3EA7"/>
    <w:rsid w:val="51AC4D00"/>
    <w:rsid w:val="51DD489F"/>
    <w:rsid w:val="51FF3C99"/>
    <w:rsid w:val="522A20E4"/>
    <w:rsid w:val="52363D4D"/>
    <w:rsid w:val="524A2AC9"/>
    <w:rsid w:val="52521A20"/>
    <w:rsid w:val="528604EC"/>
    <w:rsid w:val="529E2C3A"/>
    <w:rsid w:val="52AC4ABC"/>
    <w:rsid w:val="52C201B9"/>
    <w:rsid w:val="52E57A12"/>
    <w:rsid w:val="52F20B62"/>
    <w:rsid w:val="531C4FCC"/>
    <w:rsid w:val="53827E49"/>
    <w:rsid w:val="538A6BB9"/>
    <w:rsid w:val="539964FD"/>
    <w:rsid w:val="539C1B81"/>
    <w:rsid w:val="539D7755"/>
    <w:rsid w:val="53A447B1"/>
    <w:rsid w:val="53AE750F"/>
    <w:rsid w:val="53D224B3"/>
    <w:rsid w:val="53F81D96"/>
    <w:rsid w:val="54181E8F"/>
    <w:rsid w:val="541D5DE8"/>
    <w:rsid w:val="541F57C4"/>
    <w:rsid w:val="544B5214"/>
    <w:rsid w:val="546F523C"/>
    <w:rsid w:val="54782FBD"/>
    <w:rsid w:val="5483138F"/>
    <w:rsid w:val="5488523A"/>
    <w:rsid w:val="549A6BFA"/>
    <w:rsid w:val="54C341E7"/>
    <w:rsid w:val="54D933CD"/>
    <w:rsid w:val="551751CF"/>
    <w:rsid w:val="5522558F"/>
    <w:rsid w:val="55244D7F"/>
    <w:rsid w:val="55305397"/>
    <w:rsid w:val="55362287"/>
    <w:rsid w:val="55432F3C"/>
    <w:rsid w:val="55A37FFD"/>
    <w:rsid w:val="55AE22F1"/>
    <w:rsid w:val="55C3227E"/>
    <w:rsid w:val="55CE1AA9"/>
    <w:rsid w:val="55F6381F"/>
    <w:rsid w:val="55FA2961"/>
    <w:rsid w:val="5602250F"/>
    <w:rsid w:val="564220BA"/>
    <w:rsid w:val="565E7F4F"/>
    <w:rsid w:val="565F3DA6"/>
    <w:rsid w:val="56914056"/>
    <w:rsid w:val="56B61E36"/>
    <w:rsid w:val="56C36589"/>
    <w:rsid w:val="570D55B0"/>
    <w:rsid w:val="57293C95"/>
    <w:rsid w:val="572A6381"/>
    <w:rsid w:val="572B41B4"/>
    <w:rsid w:val="57365868"/>
    <w:rsid w:val="573C1959"/>
    <w:rsid w:val="57554571"/>
    <w:rsid w:val="57CC6E1B"/>
    <w:rsid w:val="57F65317"/>
    <w:rsid w:val="57FC2169"/>
    <w:rsid w:val="58024015"/>
    <w:rsid w:val="58096275"/>
    <w:rsid w:val="5819544F"/>
    <w:rsid w:val="58293662"/>
    <w:rsid w:val="582D6D32"/>
    <w:rsid w:val="582E6EF7"/>
    <w:rsid w:val="584E30E6"/>
    <w:rsid w:val="58546EFD"/>
    <w:rsid w:val="586D783F"/>
    <w:rsid w:val="5881703E"/>
    <w:rsid w:val="58E26731"/>
    <w:rsid w:val="58EB1371"/>
    <w:rsid w:val="59091D98"/>
    <w:rsid w:val="590E4A97"/>
    <w:rsid w:val="591250FF"/>
    <w:rsid w:val="5920012C"/>
    <w:rsid w:val="593700E7"/>
    <w:rsid w:val="595578DE"/>
    <w:rsid w:val="597B384D"/>
    <w:rsid w:val="59996DA8"/>
    <w:rsid w:val="59C30F1B"/>
    <w:rsid w:val="59CE4759"/>
    <w:rsid w:val="59D90B78"/>
    <w:rsid w:val="5A150D5F"/>
    <w:rsid w:val="5A281C66"/>
    <w:rsid w:val="5A814766"/>
    <w:rsid w:val="5A8C20D0"/>
    <w:rsid w:val="5ABC29E4"/>
    <w:rsid w:val="5AC7121C"/>
    <w:rsid w:val="5ACA24F6"/>
    <w:rsid w:val="5AD90B8D"/>
    <w:rsid w:val="5AE12927"/>
    <w:rsid w:val="5AE35472"/>
    <w:rsid w:val="5AF41CF3"/>
    <w:rsid w:val="5AF87CC9"/>
    <w:rsid w:val="5B07329F"/>
    <w:rsid w:val="5B4E1A44"/>
    <w:rsid w:val="5B873201"/>
    <w:rsid w:val="5B967767"/>
    <w:rsid w:val="5B9D1624"/>
    <w:rsid w:val="5BBF73E2"/>
    <w:rsid w:val="5BEE5378"/>
    <w:rsid w:val="5C0C2FF6"/>
    <w:rsid w:val="5C1241CC"/>
    <w:rsid w:val="5C286807"/>
    <w:rsid w:val="5C34339E"/>
    <w:rsid w:val="5C355656"/>
    <w:rsid w:val="5C370E72"/>
    <w:rsid w:val="5C446BC8"/>
    <w:rsid w:val="5C4B1054"/>
    <w:rsid w:val="5C4B56E1"/>
    <w:rsid w:val="5C522A87"/>
    <w:rsid w:val="5C7146B1"/>
    <w:rsid w:val="5C7C2768"/>
    <w:rsid w:val="5CAD3BC1"/>
    <w:rsid w:val="5CAE62DC"/>
    <w:rsid w:val="5CB23AE6"/>
    <w:rsid w:val="5CED5863"/>
    <w:rsid w:val="5D0D6DF5"/>
    <w:rsid w:val="5D34340A"/>
    <w:rsid w:val="5D4A5E05"/>
    <w:rsid w:val="5D580A8A"/>
    <w:rsid w:val="5D723306"/>
    <w:rsid w:val="5D7E6D71"/>
    <w:rsid w:val="5D893B14"/>
    <w:rsid w:val="5DB42C29"/>
    <w:rsid w:val="5E1219F7"/>
    <w:rsid w:val="5E18541D"/>
    <w:rsid w:val="5E291636"/>
    <w:rsid w:val="5E48511F"/>
    <w:rsid w:val="5E655B72"/>
    <w:rsid w:val="5E83071A"/>
    <w:rsid w:val="5E8B0770"/>
    <w:rsid w:val="5EA06921"/>
    <w:rsid w:val="5EBA259F"/>
    <w:rsid w:val="5EE1082B"/>
    <w:rsid w:val="5EE97BB4"/>
    <w:rsid w:val="5EF04D0F"/>
    <w:rsid w:val="5EF55BC9"/>
    <w:rsid w:val="5F085DDA"/>
    <w:rsid w:val="5F211E8C"/>
    <w:rsid w:val="5F2E2D52"/>
    <w:rsid w:val="5F515DB2"/>
    <w:rsid w:val="5F54198B"/>
    <w:rsid w:val="5F6C74C2"/>
    <w:rsid w:val="5F9D1350"/>
    <w:rsid w:val="5FA44AD1"/>
    <w:rsid w:val="5FBE370A"/>
    <w:rsid w:val="5FC61F2E"/>
    <w:rsid w:val="5FC83407"/>
    <w:rsid w:val="5FD56E87"/>
    <w:rsid w:val="5FF0558C"/>
    <w:rsid w:val="60015A45"/>
    <w:rsid w:val="601A27F4"/>
    <w:rsid w:val="60292845"/>
    <w:rsid w:val="606F2632"/>
    <w:rsid w:val="6071543B"/>
    <w:rsid w:val="607921FE"/>
    <w:rsid w:val="607E12CC"/>
    <w:rsid w:val="608F62AE"/>
    <w:rsid w:val="60B9251B"/>
    <w:rsid w:val="60E236C1"/>
    <w:rsid w:val="60E37983"/>
    <w:rsid w:val="61260B6B"/>
    <w:rsid w:val="612B3ABB"/>
    <w:rsid w:val="612E1A5D"/>
    <w:rsid w:val="614E5D7E"/>
    <w:rsid w:val="615970DF"/>
    <w:rsid w:val="61816046"/>
    <w:rsid w:val="61964BD3"/>
    <w:rsid w:val="61BD04E4"/>
    <w:rsid w:val="61C81AB1"/>
    <w:rsid w:val="620B0059"/>
    <w:rsid w:val="62391564"/>
    <w:rsid w:val="624A22BE"/>
    <w:rsid w:val="6263230B"/>
    <w:rsid w:val="626E235A"/>
    <w:rsid w:val="626F60D5"/>
    <w:rsid w:val="62816669"/>
    <w:rsid w:val="6282086D"/>
    <w:rsid w:val="629007F7"/>
    <w:rsid w:val="62AB4D99"/>
    <w:rsid w:val="62B36CD7"/>
    <w:rsid w:val="62BA0953"/>
    <w:rsid w:val="62D03A7C"/>
    <w:rsid w:val="62F42FAE"/>
    <w:rsid w:val="62F648FE"/>
    <w:rsid w:val="63167A4F"/>
    <w:rsid w:val="631D2BD6"/>
    <w:rsid w:val="635356F3"/>
    <w:rsid w:val="637D5B70"/>
    <w:rsid w:val="63825E77"/>
    <w:rsid w:val="63960C38"/>
    <w:rsid w:val="63A10995"/>
    <w:rsid w:val="63C23EFA"/>
    <w:rsid w:val="63D24F83"/>
    <w:rsid w:val="63D255DA"/>
    <w:rsid w:val="63EB2168"/>
    <w:rsid w:val="63F854C1"/>
    <w:rsid w:val="63FB5857"/>
    <w:rsid w:val="64076B79"/>
    <w:rsid w:val="640B7654"/>
    <w:rsid w:val="64116D46"/>
    <w:rsid w:val="643A070A"/>
    <w:rsid w:val="64410A96"/>
    <w:rsid w:val="644C573D"/>
    <w:rsid w:val="64507EFB"/>
    <w:rsid w:val="65032F85"/>
    <w:rsid w:val="651304A7"/>
    <w:rsid w:val="65136B50"/>
    <w:rsid w:val="651C5D41"/>
    <w:rsid w:val="6531690D"/>
    <w:rsid w:val="65320485"/>
    <w:rsid w:val="655A12F3"/>
    <w:rsid w:val="657E2A35"/>
    <w:rsid w:val="65A94E9D"/>
    <w:rsid w:val="65B96B3F"/>
    <w:rsid w:val="65BE1071"/>
    <w:rsid w:val="65C60A92"/>
    <w:rsid w:val="65DB19DF"/>
    <w:rsid w:val="660451CE"/>
    <w:rsid w:val="660D2624"/>
    <w:rsid w:val="664B3BEB"/>
    <w:rsid w:val="665346B7"/>
    <w:rsid w:val="667C7CCE"/>
    <w:rsid w:val="66A12460"/>
    <w:rsid w:val="66BE2423"/>
    <w:rsid w:val="66DD6702"/>
    <w:rsid w:val="66E856F1"/>
    <w:rsid w:val="66FB0BAD"/>
    <w:rsid w:val="671B1623"/>
    <w:rsid w:val="671E6EBA"/>
    <w:rsid w:val="6731269C"/>
    <w:rsid w:val="675352AA"/>
    <w:rsid w:val="6759400B"/>
    <w:rsid w:val="675E528D"/>
    <w:rsid w:val="676C598C"/>
    <w:rsid w:val="67777086"/>
    <w:rsid w:val="67966EFB"/>
    <w:rsid w:val="679E7FA1"/>
    <w:rsid w:val="67A32389"/>
    <w:rsid w:val="67B768D0"/>
    <w:rsid w:val="67C779FD"/>
    <w:rsid w:val="67C85DAF"/>
    <w:rsid w:val="68281CFE"/>
    <w:rsid w:val="682A2352"/>
    <w:rsid w:val="682A2630"/>
    <w:rsid w:val="682E4A5B"/>
    <w:rsid w:val="682E7AFD"/>
    <w:rsid w:val="684C1B2A"/>
    <w:rsid w:val="68707071"/>
    <w:rsid w:val="687A4379"/>
    <w:rsid w:val="687B015C"/>
    <w:rsid w:val="687E3889"/>
    <w:rsid w:val="6884222C"/>
    <w:rsid w:val="68A957C8"/>
    <w:rsid w:val="68AD17BB"/>
    <w:rsid w:val="68D6620B"/>
    <w:rsid w:val="68D94D22"/>
    <w:rsid w:val="68F06F2B"/>
    <w:rsid w:val="69011241"/>
    <w:rsid w:val="692B2E4A"/>
    <w:rsid w:val="696A0B34"/>
    <w:rsid w:val="69821807"/>
    <w:rsid w:val="698D6A17"/>
    <w:rsid w:val="699026E3"/>
    <w:rsid w:val="699E0BED"/>
    <w:rsid w:val="699F0522"/>
    <w:rsid w:val="69D37590"/>
    <w:rsid w:val="69E639C2"/>
    <w:rsid w:val="69F954C1"/>
    <w:rsid w:val="6A1E1E73"/>
    <w:rsid w:val="6A2031B6"/>
    <w:rsid w:val="6A2F57D7"/>
    <w:rsid w:val="6A3924BB"/>
    <w:rsid w:val="6A3C1D40"/>
    <w:rsid w:val="6A6432E1"/>
    <w:rsid w:val="6AA23DFF"/>
    <w:rsid w:val="6AAA6F38"/>
    <w:rsid w:val="6AC61F6F"/>
    <w:rsid w:val="6AD34E53"/>
    <w:rsid w:val="6AD83EA1"/>
    <w:rsid w:val="6ADE74F0"/>
    <w:rsid w:val="6B1D62E8"/>
    <w:rsid w:val="6B723594"/>
    <w:rsid w:val="6B7D1A6E"/>
    <w:rsid w:val="6B805156"/>
    <w:rsid w:val="6B945E48"/>
    <w:rsid w:val="6B974A7B"/>
    <w:rsid w:val="6BD50977"/>
    <w:rsid w:val="6BE450D3"/>
    <w:rsid w:val="6BE60C84"/>
    <w:rsid w:val="6BF30708"/>
    <w:rsid w:val="6C4F0900"/>
    <w:rsid w:val="6C6C32E1"/>
    <w:rsid w:val="6C6E3E15"/>
    <w:rsid w:val="6C8B1F5D"/>
    <w:rsid w:val="6C8F6D59"/>
    <w:rsid w:val="6CA85D3A"/>
    <w:rsid w:val="6CAA3931"/>
    <w:rsid w:val="6CAD7EF8"/>
    <w:rsid w:val="6CE2512E"/>
    <w:rsid w:val="6CEA06D7"/>
    <w:rsid w:val="6CF70607"/>
    <w:rsid w:val="6D2F41D8"/>
    <w:rsid w:val="6D325918"/>
    <w:rsid w:val="6D3933CA"/>
    <w:rsid w:val="6D401810"/>
    <w:rsid w:val="6D6261FE"/>
    <w:rsid w:val="6D7B222A"/>
    <w:rsid w:val="6D7B61EC"/>
    <w:rsid w:val="6D8E03AA"/>
    <w:rsid w:val="6DBB089F"/>
    <w:rsid w:val="6DC63038"/>
    <w:rsid w:val="6DDC2FA7"/>
    <w:rsid w:val="6DDC5608"/>
    <w:rsid w:val="6DE30DE0"/>
    <w:rsid w:val="6DE6130A"/>
    <w:rsid w:val="6E09491E"/>
    <w:rsid w:val="6E0D3655"/>
    <w:rsid w:val="6E1A437E"/>
    <w:rsid w:val="6E3A144E"/>
    <w:rsid w:val="6E5606D3"/>
    <w:rsid w:val="6E5F4465"/>
    <w:rsid w:val="6E8B1663"/>
    <w:rsid w:val="6E8C54DA"/>
    <w:rsid w:val="6EB752BD"/>
    <w:rsid w:val="6EF11E03"/>
    <w:rsid w:val="6EF1241D"/>
    <w:rsid w:val="6EF82916"/>
    <w:rsid w:val="6F0B2DE7"/>
    <w:rsid w:val="6F111C62"/>
    <w:rsid w:val="6F2176E5"/>
    <w:rsid w:val="6F3A2A5F"/>
    <w:rsid w:val="6F4F7F03"/>
    <w:rsid w:val="6F5523A2"/>
    <w:rsid w:val="6F592303"/>
    <w:rsid w:val="6F5F5B74"/>
    <w:rsid w:val="6F682400"/>
    <w:rsid w:val="6F9600A4"/>
    <w:rsid w:val="6F98032D"/>
    <w:rsid w:val="6F9B1C65"/>
    <w:rsid w:val="6FA44937"/>
    <w:rsid w:val="6FAD3FB9"/>
    <w:rsid w:val="6FE82C9C"/>
    <w:rsid w:val="6FF5421A"/>
    <w:rsid w:val="6FFB146E"/>
    <w:rsid w:val="70160742"/>
    <w:rsid w:val="7030610F"/>
    <w:rsid w:val="70612DB4"/>
    <w:rsid w:val="706516C3"/>
    <w:rsid w:val="70660714"/>
    <w:rsid w:val="70896E68"/>
    <w:rsid w:val="708A4844"/>
    <w:rsid w:val="70C94DCA"/>
    <w:rsid w:val="70E05E9D"/>
    <w:rsid w:val="71073061"/>
    <w:rsid w:val="711A201F"/>
    <w:rsid w:val="71215AE9"/>
    <w:rsid w:val="712864E5"/>
    <w:rsid w:val="71396ACC"/>
    <w:rsid w:val="715B60E9"/>
    <w:rsid w:val="716F0EE9"/>
    <w:rsid w:val="7196674D"/>
    <w:rsid w:val="719E245E"/>
    <w:rsid w:val="71BA3FE5"/>
    <w:rsid w:val="71EA1FED"/>
    <w:rsid w:val="72165C6B"/>
    <w:rsid w:val="722021E3"/>
    <w:rsid w:val="72290340"/>
    <w:rsid w:val="722C6DDA"/>
    <w:rsid w:val="72515945"/>
    <w:rsid w:val="725B29F4"/>
    <w:rsid w:val="729243CB"/>
    <w:rsid w:val="72E661B1"/>
    <w:rsid w:val="730313F6"/>
    <w:rsid w:val="730E4732"/>
    <w:rsid w:val="73370D24"/>
    <w:rsid w:val="73397FB3"/>
    <w:rsid w:val="73472C84"/>
    <w:rsid w:val="7359268C"/>
    <w:rsid w:val="735F327A"/>
    <w:rsid w:val="7366631C"/>
    <w:rsid w:val="736C263C"/>
    <w:rsid w:val="73723640"/>
    <w:rsid w:val="737311F5"/>
    <w:rsid w:val="739503EB"/>
    <w:rsid w:val="73A05B28"/>
    <w:rsid w:val="73C07D69"/>
    <w:rsid w:val="73C979D4"/>
    <w:rsid w:val="73CD7E9D"/>
    <w:rsid w:val="73DC335B"/>
    <w:rsid w:val="740B60EC"/>
    <w:rsid w:val="744978FD"/>
    <w:rsid w:val="745E7D35"/>
    <w:rsid w:val="7465362D"/>
    <w:rsid w:val="7475188D"/>
    <w:rsid w:val="749E16A8"/>
    <w:rsid w:val="74B42AE4"/>
    <w:rsid w:val="74C54993"/>
    <w:rsid w:val="74EB68F6"/>
    <w:rsid w:val="750A429D"/>
    <w:rsid w:val="752739E7"/>
    <w:rsid w:val="75474B47"/>
    <w:rsid w:val="75533AB0"/>
    <w:rsid w:val="75614792"/>
    <w:rsid w:val="75761866"/>
    <w:rsid w:val="75784473"/>
    <w:rsid w:val="75B10995"/>
    <w:rsid w:val="75B161B3"/>
    <w:rsid w:val="75CC3053"/>
    <w:rsid w:val="75DC6C44"/>
    <w:rsid w:val="75F05CC0"/>
    <w:rsid w:val="762F6A19"/>
    <w:rsid w:val="76341B33"/>
    <w:rsid w:val="76736B32"/>
    <w:rsid w:val="76807C04"/>
    <w:rsid w:val="76914454"/>
    <w:rsid w:val="76AF35EE"/>
    <w:rsid w:val="76C27A74"/>
    <w:rsid w:val="76C726A5"/>
    <w:rsid w:val="76E3765E"/>
    <w:rsid w:val="76FC2AFA"/>
    <w:rsid w:val="77527424"/>
    <w:rsid w:val="77653671"/>
    <w:rsid w:val="77707007"/>
    <w:rsid w:val="778546CC"/>
    <w:rsid w:val="778B6B46"/>
    <w:rsid w:val="77A337B9"/>
    <w:rsid w:val="77B551B3"/>
    <w:rsid w:val="77B56730"/>
    <w:rsid w:val="77B92EBE"/>
    <w:rsid w:val="77C04A8B"/>
    <w:rsid w:val="77D85DB3"/>
    <w:rsid w:val="77EB1B74"/>
    <w:rsid w:val="782A3EA3"/>
    <w:rsid w:val="784309DA"/>
    <w:rsid w:val="78490703"/>
    <w:rsid w:val="788E33A7"/>
    <w:rsid w:val="78A50513"/>
    <w:rsid w:val="78C43087"/>
    <w:rsid w:val="78D37FAF"/>
    <w:rsid w:val="78EF7AB5"/>
    <w:rsid w:val="790D6849"/>
    <w:rsid w:val="795767E3"/>
    <w:rsid w:val="79586707"/>
    <w:rsid w:val="796518DD"/>
    <w:rsid w:val="79724BEF"/>
    <w:rsid w:val="797264AC"/>
    <w:rsid w:val="79AA0532"/>
    <w:rsid w:val="79FA22BC"/>
    <w:rsid w:val="79FE1DDD"/>
    <w:rsid w:val="7A075767"/>
    <w:rsid w:val="7A0C15B3"/>
    <w:rsid w:val="7A212062"/>
    <w:rsid w:val="7A2522C9"/>
    <w:rsid w:val="7A282A11"/>
    <w:rsid w:val="7A3A59B8"/>
    <w:rsid w:val="7A5D0F75"/>
    <w:rsid w:val="7A715CD2"/>
    <w:rsid w:val="7A921E9A"/>
    <w:rsid w:val="7A9E53BF"/>
    <w:rsid w:val="7AA914B9"/>
    <w:rsid w:val="7ABF2475"/>
    <w:rsid w:val="7AC21562"/>
    <w:rsid w:val="7AD474A4"/>
    <w:rsid w:val="7AFC38DE"/>
    <w:rsid w:val="7B303E8C"/>
    <w:rsid w:val="7B7D6B6D"/>
    <w:rsid w:val="7B865D50"/>
    <w:rsid w:val="7B8D34C3"/>
    <w:rsid w:val="7B971D84"/>
    <w:rsid w:val="7BAB0CB7"/>
    <w:rsid w:val="7BB4028F"/>
    <w:rsid w:val="7BC1107E"/>
    <w:rsid w:val="7BF32F03"/>
    <w:rsid w:val="7BF50D2C"/>
    <w:rsid w:val="7C066F4E"/>
    <w:rsid w:val="7C0D37D8"/>
    <w:rsid w:val="7C1724A5"/>
    <w:rsid w:val="7C1E71A8"/>
    <w:rsid w:val="7C8561DF"/>
    <w:rsid w:val="7CA54112"/>
    <w:rsid w:val="7CA553D9"/>
    <w:rsid w:val="7CAB27F5"/>
    <w:rsid w:val="7CAF438A"/>
    <w:rsid w:val="7CCE726D"/>
    <w:rsid w:val="7CD71EA3"/>
    <w:rsid w:val="7CE50CE4"/>
    <w:rsid w:val="7CE94EE1"/>
    <w:rsid w:val="7CF877E9"/>
    <w:rsid w:val="7D134762"/>
    <w:rsid w:val="7D244CB3"/>
    <w:rsid w:val="7D2E5ABF"/>
    <w:rsid w:val="7D4A45B8"/>
    <w:rsid w:val="7D535AC7"/>
    <w:rsid w:val="7D964A74"/>
    <w:rsid w:val="7DFB43EA"/>
    <w:rsid w:val="7E007625"/>
    <w:rsid w:val="7E0737C8"/>
    <w:rsid w:val="7E131C51"/>
    <w:rsid w:val="7E15684A"/>
    <w:rsid w:val="7E176B90"/>
    <w:rsid w:val="7E2142A2"/>
    <w:rsid w:val="7E240411"/>
    <w:rsid w:val="7E48335A"/>
    <w:rsid w:val="7E797DE5"/>
    <w:rsid w:val="7E7B0BF2"/>
    <w:rsid w:val="7E8D75B6"/>
    <w:rsid w:val="7E8E672B"/>
    <w:rsid w:val="7EA27DDF"/>
    <w:rsid w:val="7EC67BB0"/>
    <w:rsid w:val="7ED809AD"/>
    <w:rsid w:val="7EF760EE"/>
    <w:rsid w:val="7F2536B5"/>
    <w:rsid w:val="7F2C3CE7"/>
    <w:rsid w:val="7F5A01CA"/>
    <w:rsid w:val="7F75661B"/>
    <w:rsid w:val="7FB17429"/>
    <w:rsid w:val="7FC237CA"/>
    <w:rsid w:val="7FD64829"/>
    <w:rsid w:val="7FF1276A"/>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qFormat="1" w:uiPriority="39" w:semiHidden="0" w:name="toc 4"/>
    <w:lsdException w:qFormat="1" w:uiPriority="39" w:semiHidden="0" w:name="toc 5"/>
    <w:lsdException w:qFormat="1" w:unhideWhenUsed="0" w:uiPriority="39" w:semiHidden="0" w:name="toc 6"/>
    <w:lsdException w:qFormat="1" w:uiPriority="39" w:semiHidden="0" w:name="toc 7"/>
    <w:lsdException w:qFormat="1" w:uiPriority="39" w:semiHidden="0" w:name="toc 8"/>
    <w:lsdException w:qFormat="1" w:uiPriority="39" w:semiHidden="0" w:name="toc 9"/>
    <w:lsdException w:qFormat="1" w:unhideWhenUsed="0" w:uiPriority="0" w:semiHidden="0" w:name="Normal Indent"/>
    <w:lsdException w:qFormat="1" w:uiPriority="99" w:name="footnote text"/>
    <w:lsdException w:qFormat="1" w:uiPriority="99"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qFormat="1" w:uiPriority="99" w:name="footnote reference"/>
    <w:lsdException w:qFormat="1"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1"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qFormat="1" w:unhideWhenUsed="0" w:uiPriority="0" w:semiHidden="0"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nhideWhenUsed="0" w:uiPriority="0" w:semiHidden="0"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adjustRightInd w:val="0"/>
      <w:snapToGrid w:val="0"/>
      <w:spacing w:line="360" w:lineRule="auto"/>
    </w:pPr>
    <w:rPr>
      <w:rFonts w:ascii="Tahoma" w:hAnsi="Tahoma" w:eastAsia="宋体" w:cstheme="minorBidi"/>
      <w:sz w:val="21"/>
      <w:szCs w:val="22"/>
      <w:lang w:val="en-US" w:eastAsia="zh-CN" w:bidi="ar-SA"/>
    </w:rPr>
  </w:style>
  <w:style w:type="paragraph" w:styleId="2">
    <w:name w:val="heading 1"/>
    <w:basedOn w:val="1"/>
    <w:next w:val="1"/>
    <w:link w:val="71"/>
    <w:autoRedefine/>
    <w:qFormat/>
    <w:uiPriority w:val="9"/>
    <w:pPr>
      <w:keepNext/>
      <w:keepLines/>
      <w:spacing w:before="340" w:after="330" w:line="576" w:lineRule="auto"/>
      <w:outlineLvl w:val="0"/>
    </w:pPr>
    <w:rPr>
      <w:b/>
      <w:kern w:val="44"/>
      <w:sz w:val="44"/>
    </w:rPr>
  </w:style>
  <w:style w:type="paragraph" w:styleId="3">
    <w:name w:val="heading 2"/>
    <w:basedOn w:val="1"/>
    <w:next w:val="1"/>
    <w:link w:val="37"/>
    <w:autoRedefine/>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38"/>
    <w:autoRedefine/>
    <w:unhideWhenUsed/>
    <w:qFormat/>
    <w:uiPriority w:val="9"/>
    <w:pPr>
      <w:keepNext/>
      <w:keepLines/>
      <w:spacing w:before="260" w:after="260" w:line="416" w:lineRule="auto"/>
      <w:outlineLvl w:val="2"/>
    </w:pPr>
    <w:rPr>
      <w:b/>
      <w:bCs/>
      <w:sz w:val="32"/>
      <w:szCs w:val="32"/>
    </w:rPr>
  </w:style>
  <w:style w:type="paragraph" w:styleId="5">
    <w:name w:val="heading 4"/>
    <w:basedOn w:val="1"/>
    <w:next w:val="1"/>
    <w:link w:val="40"/>
    <w:autoRedefine/>
    <w:unhideWhenUsed/>
    <w:qFormat/>
    <w:uiPriority w:val="9"/>
    <w:pPr>
      <w:keepNext/>
      <w:keepLines/>
      <w:outlineLvl w:val="3"/>
    </w:pPr>
    <w:rPr>
      <w:rFonts w:asciiTheme="majorHAnsi" w:hAnsiTheme="majorHAnsi" w:cstheme="majorBidi"/>
      <w:b/>
      <w:bCs/>
      <w:sz w:val="24"/>
      <w:szCs w:val="28"/>
    </w:rPr>
  </w:style>
  <w:style w:type="paragraph" w:styleId="6">
    <w:name w:val="heading 5"/>
    <w:basedOn w:val="1"/>
    <w:next w:val="1"/>
    <w:link w:val="70"/>
    <w:autoRedefine/>
    <w:semiHidden/>
    <w:unhideWhenUsed/>
    <w:qFormat/>
    <w:uiPriority w:val="9"/>
    <w:pPr>
      <w:keepNext/>
      <w:keepLines/>
      <w:spacing w:before="280" w:after="290" w:line="372" w:lineRule="auto"/>
      <w:outlineLvl w:val="4"/>
    </w:pPr>
    <w:rPr>
      <w:b/>
      <w:sz w:val="28"/>
    </w:rPr>
  </w:style>
  <w:style w:type="character" w:default="1" w:styleId="30">
    <w:name w:val="Default Paragraph Font"/>
    <w:autoRedefine/>
    <w:semiHidden/>
    <w:unhideWhenUsed/>
    <w:qFormat/>
    <w:uiPriority w:val="1"/>
  </w:style>
  <w:style w:type="table" w:default="1" w:styleId="28">
    <w:name w:val="Normal Table"/>
    <w:autoRedefine/>
    <w:semiHidden/>
    <w:unhideWhenUsed/>
    <w:qFormat/>
    <w:uiPriority w:val="99"/>
    <w:tblPr>
      <w:tblCellMar>
        <w:top w:w="0" w:type="dxa"/>
        <w:left w:w="108" w:type="dxa"/>
        <w:bottom w:w="0" w:type="dxa"/>
        <w:right w:w="108" w:type="dxa"/>
      </w:tblCellMar>
    </w:tblPr>
  </w:style>
  <w:style w:type="paragraph" w:styleId="7">
    <w:name w:val="toc 7"/>
    <w:basedOn w:val="1"/>
    <w:next w:val="1"/>
    <w:autoRedefine/>
    <w:unhideWhenUsed/>
    <w:qFormat/>
    <w:uiPriority w:val="39"/>
    <w:pPr>
      <w:widowControl w:val="0"/>
      <w:adjustRightInd/>
      <w:snapToGrid/>
      <w:spacing w:line="240" w:lineRule="auto"/>
      <w:ind w:left="2520" w:leftChars="1200"/>
      <w:jc w:val="both"/>
    </w:pPr>
    <w:rPr>
      <w:rFonts w:asciiTheme="minorHAnsi" w:hAnsiTheme="minorHAnsi" w:eastAsiaTheme="minorEastAsia"/>
      <w:kern w:val="2"/>
    </w:rPr>
  </w:style>
  <w:style w:type="paragraph" w:styleId="8">
    <w:name w:val="annotation text"/>
    <w:basedOn w:val="1"/>
    <w:link w:val="59"/>
    <w:autoRedefine/>
    <w:unhideWhenUsed/>
    <w:qFormat/>
    <w:uiPriority w:val="99"/>
  </w:style>
  <w:style w:type="paragraph" w:styleId="9">
    <w:name w:val="Body Text"/>
    <w:basedOn w:val="1"/>
    <w:link w:val="62"/>
    <w:autoRedefine/>
    <w:qFormat/>
    <w:uiPriority w:val="1"/>
    <w:pPr>
      <w:spacing w:before="161"/>
      <w:ind w:left="120"/>
    </w:pPr>
    <w:rPr>
      <w:rFonts w:ascii="宋体" w:hAnsi="宋体" w:cs="宋体"/>
      <w:sz w:val="24"/>
      <w:lang w:val="zh-CN" w:bidi="zh-CN"/>
    </w:rPr>
  </w:style>
  <w:style w:type="paragraph" w:styleId="10">
    <w:name w:val="Body Text Indent"/>
    <w:basedOn w:val="1"/>
    <w:autoRedefine/>
    <w:qFormat/>
    <w:uiPriority w:val="0"/>
    <w:pPr>
      <w:ind w:left="359" w:leftChars="171" w:firstLine="179" w:firstLineChars="85"/>
    </w:pPr>
    <w:rPr>
      <w:rFonts w:ascii="宋体" w:hAnsi="宋体"/>
      <w:b/>
      <w:bCs/>
      <w:szCs w:val="26"/>
    </w:rPr>
  </w:style>
  <w:style w:type="paragraph" w:styleId="11">
    <w:name w:val="toc 5"/>
    <w:basedOn w:val="1"/>
    <w:next w:val="1"/>
    <w:autoRedefine/>
    <w:unhideWhenUsed/>
    <w:qFormat/>
    <w:uiPriority w:val="39"/>
    <w:pPr>
      <w:widowControl w:val="0"/>
      <w:adjustRightInd/>
      <w:snapToGrid/>
      <w:spacing w:line="240" w:lineRule="auto"/>
      <w:ind w:left="1680" w:leftChars="800"/>
      <w:jc w:val="both"/>
    </w:pPr>
    <w:rPr>
      <w:rFonts w:asciiTheme="minorHAnsi" w:hAnsiTheme="minorHAnsi" w:eastAsiaTheme="minorEastAsia"/>
      <w:kern w:val="2"/>
    </w:rPr>
  </w:style>
  <w:style w:type="paragraph" w:styleId="12">
    <w:name w:val="toc 3"/>
    <w:basedOn w:val="1"/>
    <w:next w:val="1"/>
    <w:autoRedefine/>
    <w:unhideWhenUsed/>
    <w:qFormat/>
    <w:uiPriority w:val="39"/>
    <w:pPr>
      <w:tabs>
        <w:tab w:val="right" w:leader="dot" w:pos="8296"/>
      </w:tabs>
      <w:ind w:left="838" w:leftChars="381"/>
    </w:pPr>
    <w:rPr>
      <w:szCs w:val="21"/>
    </w:rPr>
  </w:style>
  <w:style w:type="paragraph" w:styleId="13">
    <w:name w:val="Plain Text"/>
    <w:basedOn w:val="1"/>
    <w:link w:val="51"/>
    <w:autoRedefine/>
    <w:qFormat/>
    <w:uiPriority w:val="0"/>
    <w:pPr>
      <w:widowControl w:val="0"/>
      <w:adjustRightInd/>
      <w:snapToGrid/>
      <w:jc w:val="both"/>
    </w:pPr>
    <w:rPr>
      <w:rFonts w:ascii="宋体" w:hAnsi="Courier New" w:cs="Times New Roman"/>
      <w:b/>
      <w:kern w:val="2"/>
      <w:szCs w:val="20"/>
    </w:rPr>
  </w:style>
  <w:style w:type="paragraph" w:styleId="14">
    <w:name w:val="toc 8"/>
    <w:basedOn w:val="1"/>
    <w:next w:val="1"/>
    <w:autoRedefine/>
    <w:unhideWhenUsed/>
    <w:qFormat/>
    <w:uiPriority w:val="39"/>
    <w:pPr>
      <w:widowControl w:val="0"/>
      <w:adjustRightInd/>
      <w:snapToGrid/>
      <w:spacing w:line="240" w:lineRule="auto"/>
      <w:ind w:left="2940" w:leftChars="1400"/>
      <w:jc w:val="both"/>
    </w:pPr>
    <w:rPr>
      <w:rFonts w:asciiTheme="minorHAnsi" w:hAnsiTheme="minorHAnsi" w:eastAsiaTheme="minorEastAsia"/>
      <w:kern w:val="2"/>
    </w:rPr>
  </w:style>
  <w:style w:type="paragraph" w:styleId="15">
    <w:name w:val="Balloon Text"/>
    <w:basedOn w:val="1"/>
    <w:link w:val="54"/>
    <w:autoRedefine/>
    <w:semiHidden/>
    <w:unhideWhenUsed/>
    <w:qFormat/>
    <w:uiPriority w:val="99"/>
    <w:rPr>
      <w:sz w:val="18"/>
      <w:szCs w:val="18"/>
    </w:rPr>
  </w:style>
  <w:style w:type="paragraph" w:styleId="16">
    <w:name w:val="footer"/>
    <w:basedOn w:val="1"/>
    <w:link w:val="53"/>
    <w:autoRedefine/>
    <w:unhideWhenUsed/>
    <w:qFormat/>
    <w:uiPriority w:val="99"/>
    <w:pPr>
      <w:tabs>
        <w:tab w:val="center" w:pos="4153"/>
        <w:tab w:val="right" w:pos="8306"/>
      </w:tabs>
    </w:pPr>
    <w:rPr>
      <w:sz w:val="18"/>
      <w:szCs w:val="18"/>
    </w:rPr>
  </w:style>
  <w:style w:type="paragraph" w:styleId="17">
    <w:name w:val="header"/>
    <w:basedOn w:val="1"/>
    <w:link w:val="52"/>
    <w:autoRedefine/>
    <w:unhideWhenUsed/>
    <w:qFormat/>
    <w:uiPriority w:val="99"/>
    <w:pPr>
      <w:pBdr>
        <w:bottom w:val="single" w:color="auto" w:sz="6" w:space="1"/>
      </w:pBdr>
      <w:tabs>
        <w:tab w:val="center" w:pos="4153"/>
        <w:tab w:val="right" w:pos="8306"/>
      </w:tabs>
      <w:jc w:val="center"/>
    </w:pPr>
    <w:rPr>
      <w:sz w:val="18"/>
      <w:szCs w:val="18"/>
    </w:rPr>
  </w:style>
  <w:style w:type="paragraph" w:styleId="18">
    <w:name w:val="toc 1"/>
    <w:basedOn w:val="1"/>
    <w:next w:val="1"/>
    <w:autoRedefine/>
    <w:unhideWhenUsed/>
    <w:qFormat/>
    <w:uiPriority w:val="39"/>
  </w:style>
  <w:style w:type="paragraph" w:styleId="19">
    <w:name w:val="toc 4"/>
    <w:basedOn w:val="1"/>
    <w:next w:val="1"/>
    <w:autoRedefine/>
    <w:unhideWhenUsed/>
    <w:qFormat/>
    <w:uiPriority w:val="39"/>
    <w:pPr>
      <w:tabs>
        <w:tab w:val="right" w:leader="dot" w:pos="8296"/>
      </w:tabs>
      <w:spacing w:after="120"/>
      <w:ind w:left="1320" w:leftChars="600"/>
    </w:pPr>
  </w:style>
  <w:style w:type="paragraph" w:styleId="20">
    <w:name w:val="footnote text"/>
    <w:basedOn w:val="1"/>
    <w:autoRedefine/>
    <w:semiHidden/>
    <w:unhideWhenUsed/>
    <w:qFormat/>
    <w:uiPriority w:val="99"/>
    <w:rPr>
      <w:sz w:val="18"/>
    </w:rPr>
  </w:style>
  <w:style w:type="paragraph" w:styleId="21">
    <w:name w:val="toc 6"/>
    <w:basedOn w:val="1"/>
    <w:next w:val="1"/>
    <w:autoRedefine/>
    <w:qFormat/>
    <w:uiPriority w:val="39"/>
    <w:pPr>
      <w:ind w:left="1200"/>
    </w:pPr>
    <w:rPr>
      <w:rFonts w:ascii="Calibri" w:cs="Calibri"/>
      <w:sz w:val="18"/>
      <w:szCs w:val="18"/>
    </w:rPr>
  </w:style>
  <w:style w:type="paragraph" w:styleId="22">
    <w:name w:val="toc 2"/>
    <w:basedOn w:val="1"/>
    <w:next w:val="1"/>
    <w:autoRedefine/>
    <w:unhideWhenUsed/>
    <w:qFormat/>
    <w:uiPriority w:val="39"/>
    <w:pPr>
      <w:tabs>
        <w:tab w:val="right" w:leader="dot" w:pos="8296"/>
      </w:tabs>
      <w:ind w:left="440" w:leftChars="200"/>
      <w:jc w:val="center"/>
    </w:pPr>
    <w:rPr>
      <w:rFonts w:ascii="宋体" w:hAnsi="宋体"/>
      <w:sz w:val="30"/>
      <w:szCs w:val="30"/>
    </w:rPr>
  </w:style>
  <w:style w:type="paragraph" w:styleId="23">
    <w:name w:val="toc 9"/>
    <w:basedOn w:val="1"/>
    <w:next w:val="1"/>
    <w:autoRedefine/>
    <w:unhideWhenUsed/>
    <w:qFormat/>
    <w:uiPriority w:val="39"/>
    <w:pPr>
      <w:widowControl w:val="0"/>
      <w:adjustRightInd/>
      <w:snapToGrid/>
      <w:spacing w:line="240" w:lineRule="auto"/>
      <w:ind w:left="3360" w:leftChars="1600"/>
      <w:jc w:val="both"/>
    </w:pPr>
    <w:rPr>
      <w:rFonts w:asciiTheme="minorHAnsi" w:hAnsiTheme="minorHAnsi" w:eastAsiaTheme="minorEastAsia"/>
      <w:kern w:val="2"/>
    </w:rPr>
  </w:style>
  <w:style w:type="paragraph" w:styleId="24">
    <w:name w:val="Normal (Web)"/>
    <w:basedOn w:val="1"/>
    <w:link w:val="56"/>
    <w:autoRedefine/>
    <w:qFormat/>
    <w:uiPriority w:val="0"/>
    <w:pPr>
      <w:widowControl w:val="0"/>
      <w:adjustRightInd/>
      <w:snapToGrid/>
      <w:jc w:val="both"/>
    </w:pPr>
    <w:rPr>
      <w:rFonts w:asciiTheme="minorHAnsi" w:hAnsiTheme="minorHAnsi"/>
      <w:kern w:val="2"/>
      <w:sz w:val="24"/>
      <w:szCs w:val="24"/>
    </w:rPr>
  </w:style>
  <w:style w:type="paragraph" w:styleId="25">
    <w:name w:val="annotation subject"/>
    <w:basedOn w:val="8"/>
    <w:next w:val="8"/>
    <w:link w:val="60"/>
    <w:autoRedefine/>
    <w:semiHidden/>
    <w:unhideWhenUsed/>
    <w:qFormat/>
    <w:uiPriority w:val="99"/>
    <w:rPr>
      <w:b/>
      <w:bCs/>
    </w:rPr>
  </w:style>
  <w:style w:type="paragraph" w:styleId="26">
    <w:name w:val="Body Text First Indent"/>
    <w:basedOn w:val="9"/>
    <w:next w:val="27"/>
    <w:autoRedefine/>
    <w:qFormat/>
    <w:uiPriority w:val="0"/>
    <w:pPr>
      <w:spacing w:after="120"/>
      <w:ind w:firstLine="420" w:firstLineChars="100"/>
    </w:pPr>
    <w:rPr>
      <w:bCs/>
      <w:szCs w:val="21"/>
    </w:rPr>
  </w:style>
  <w:style w:type="paragraph" w:customStyle="1" w:styleId="27">
    <w:name w:val="样式 正文首行缩进 + 首行缩进:  1 字符"/>
    <w:basedOn w:val="1"/>
    <w:next w:val="1"/>
    <w:autoRedefine/>
    <w:qFormat/>
    <w:uiPriority w:val="0"/>
    <w:pPr>
      <w:ind w:firstLine="200" w:firstLineChars="200"/>
    </w:pPr>
    <w:rPr>
      <w:rFonts w:cs="宋体"/>
      <w:szCs w:val="20"/>
    </w:rPr>
  </w:style>
  <w:style w:type="table" w:styleId="29">
    <w:name w:val="Table Grid"/>
    <w:basedOn w:val="28"/>
    <w:autoRedefine/>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1">
    <w:name w:val="page number"/>
    <w:basedOn w:val="30"/>
    <w:autoRedefine/>
    <w:qFormat/>
    <w:uiPriority w:val="0"/>
  </w:style>
  <w:style w:type="character" w:styleId="32">
    <w:name w:val="Emphasis"/>
    <w:basedOn w:val="30"/>
    <w:autoRedefine/>
    <w:qFormat/>
    <w:uiPriority w:val="20"/>
    <w:rPr>
      <w:i/>
      <w:iCs/>
    </w:rPr>
  </w:style>
  <w:style w:type="character" w:styleId="33">
    <w:name w:val="Hyperlink"/>
    <w:autoRedefine/>
    <w:qFormat/>
    <w:uiPriority w:val="99"/>
    <w:rPr>
      <w:rFonts w:hint="eastAsia" w:ascii="宋体" w:hAnsi="宋体" w:eastAsia="宋体" w:cs="宋体"/>
      <w:b/>
      <w:color w:val="0031C1"/>
      <w:kern w:val="0"/>
      <w:sz w:val="18"/>
      <w:szCs w:val="18"/>
      <w:u w:val="none"/>
      <w:lang w:eastAsia="en-US"/>
    </w:rPr>
  </w:style>
  <w:style w:type="character" w:styleId="34">
    <w:name w:val="annotation reference"/>
    <w:basedOn w:val="30"/>
    <w:autoRedefine/>
    <w:semiHidden/>
    <w:unhideWhenUsed/>
    <w:qFormat/>
    <w:uiPriority w:val="99"/>
    <w:rPr>
      <w:sz w:val="21"/>
      <w:szCs w:val="21"/>
    </w:rPr>
  </w:style>
  <w:style w:type="character" w:styleId="35">
    <w:name w:val="footnote reference"/>
    <w:basedOn w:val="30"/>
    <w:autoRedefine/>
    <w:semiHidden/>
    <w:unhideWhenUsed/>
    <w:qFormat/>
    <w:uiPriority w:val="99"/>
    <w:rPr>
      <w:vertAlign w:val="superscript"/>
    </w:rPr>
  </w:style>
  <w:style w:type="paragraph" w:customStyle="1" w:styleId="36">
    <w:name w:val="首行缩进"/>
    <w:basedOn w:val="1"/>
    <w:autoRedefine/>
    <w:qFormat/>
    <w:uiPriority w:val="0"/>
    <w:pPr>
      <w:adjustRightInd/>
      <w:spacing w:line="300" w:lineRule="auto"/>
      <w:ind w:firstLine="420" w:firstLineChars="200"/>
      <w:jc w:val="both"/>
    </w:pPr>
    <w:rPr>
      <w:rFonts w:ascii="Calibri" w:hAnsi="Calibri" w:eastAsia="方正书宋简体" w:cs="Times New Roman"/>
      <w:sz w:val="20"/>
    </w:rPr>
  </w:style>
  <w:style w:type="character" w:customStyle="1" w:styleId="37">
    <w:name w:val="标题 2 字符"/>
    <w:basedOn w:val="30"/>
    <w:link w:val="3"/>
    <w:autoRedefine/>
    <w:qFormat/>
    <w:uiPriority w:val="9"/>
    <w:rPr>
      <w:rFonts w:asciiTheme="majorHAnsi" w:hAnsiTheme="majorHAnsi" w:eastAsiaTheme="majorEastAsia" w:cstheme="majorBidi"/>
      <w:b/>
      <w:bCs/>
      <w:sz w:val="32"/>
      <w:szCs w:val="32"/>
    </w:rPr>
  </w:style>
  <w:style w:type="character" w:customStyle="1" w:styleId="38">
    <w:name w:val="标题 3 字符"/>
    <w:basedOn w:val="30"/>
    <w:link w:val="4"/>
    <w:autoRedefine/>
    <w:qFormat/>
    <w:uiPriority w:val="9"/>
    <w:rPr>
      <w:rFonts w:ascii="Tahoma" w:hAnsi="Tahoma"/>
      <w:b/>
      <w:bCs/>
      <w:sz w:val="32"/>
      <w:szCs w:val="32"/>
    </w:rPr>
  </w:style>
  <w:style w:type="paragraph" w:styleId="39">
    <w:name w:val="List Paragraph"/>
    <w:basedOn w:val="1"/>
    <w:link w:val="61"/>
    <w:autoRedefine/>
    <w:qFormat/>
    <w:uiPriority w:val="0"/>
    <w:pPr>
      <w:ind w:firstLine="420" w:firstLineChars="200"/>
    </w:pPr>
  </w:style>
  <w:style w:type="character" w:customStyle="1" w:styleId="40">
    <w:name w:val="标题 4 字符"/>
    <w:basedOn w:val="30"/>
    <w:link w:val="5"/>
    <w:autoRedefine/>
    <w:qFormat/>
    <w:uiPriority w:val="9"/>
    <w:rPr>
      <w:rFonts w:eastAsia="宋体" w:asciiTheme="majorHAnsi" w:hAnsiTheme="majorHAnsi" w:cstheme="majorBidi"/>
      <w:b/>
      <w:bCs/>
      <w:sz w:val="24"/>
      <w:szCs w:val="28"/>
    </w:rPr>
  </w:style>
  <w:style w:type="character" w:customStyle="1" w:styleId="41">
    <w:name w:val="正文缩进2格 Char"/>
    <w:link w:val="42"/>
    <w:autoRedefine/>
    <w:qFormat/>
    <w:uiPriority w:val="0"/>
    <w:rPr>
      <w:rFonts w:ascii="仿宋_GB2312" w:hAnsi="宋体" w:eastAsia="仿宋_GB2312"/>
      <w:kern w:val="2"/>
      <w:sz w:val="31"/>
    </w:rPr>
  </w:style>
  <w:style w:type="paragraph" w:customStyle="1" w:styleId="42">
    <w:name w:val="正文缩进2格"/>
    <w:basedOn w:val="1"/>
    <w:next w:val="1"/>
    <w:link w:val="41"/>
    <w:autoRedefine/>
    <w:qFormat/>
    <w:uiPriority w:val="0"/>
    <w:pPr>
      <w:widowControl w:val="0"/>
      <w:adjustRightInd/>
      <w:snapToGrid/>
      <w:spacing w:line="600" w:lineRule="exact"/>
      <w:ind w:firstLine="639" w:firstLineChars="206"/>
      <w:jc w:val="both"/>
    </w:pPr>
    <w:rPr>
      <w:rFonts w:ascii="仿宋_GB2312" w:hAnsi="宋体" w:eastAsia="仿宋_GB2312"/>
      <w:kern w:val="2"/>
      <w:sz w:val="31"/>
    </w:rPr>
  </w:style>
  <w:style w:type="paragraph" w:customStyle="1" w:styleId="43">
    <w:name w:val="正文缩进4格"/>
    <w:basedOn w:val="42"/>
    <w:autoRedefine/>
    <w:qFormat/>
    <w:uiPriority w:val="0"/>
    <w:pPr>
      <w:ind w:left="2" w:firstLine="538" w:firstLineChars="192"/>
    </w:pPr>
    <w:rPr>
      <w:color w:val="0000FF"/>
      <w:sz w:val="28"/>
    </w:rPr>
  </w:style>
  <w:style w:type="character" w:customStyle="1" w:styleId="44">
    <w:name w:val="正文缩进2格 Char Char"/>
    <w:autoRedefine/>
    <w:qFormat/>
    <w:uiPriority w:val="0"/>
    <w:rPr>
      <w:rFonts w:ascii="仿宋_GB2312" w:hAnsi="宋体" w:eastAsia="仿宋_GB2312" w:cs="Times New Roman"/>
      <w:b/>
      <w:kern w:val="2"/>
      <w:sz w:val="31"/>
      <w:szCs w:val="28"/>
      <w:lang w:val="en-US" w:eastAsia="zh-CN" w:bidi="ar-SA"/>
    </w:rPr>
  </w:style>
  <w:style w:type="paragraph" w:customStyle="1" w:styleId="45">
    <w:name w:val="_Style 3"/>
    <w:basedOn w:val="1"/>
    <w:autoRedefine/>
    <w:qFormat/>
    <w:uiPriority w:val="0"/>
    <w:pPr>
      <w:widowControl w:val="0"/>
      <w:adjustRightInd/>
      <w:snapToGrid/>
      <w:ind w:firstLine="420" w:firstLineChars="200"/>
      <w:jc w:val="both"/>
    </w:pPr>
    <w:rPr>
      <w:rFonts w:ascii="Times New Roman" w:hAnsi="Times New Roman" w:cs="Times New Roman"/>
      <w:kern w:val="2"/>
      <w:szCs w:val="24"/>
    </w:rPr>
  </w:style>
  <w:style w:type="character" w:customStyle="1" w:styleId="46">
    <w:name w:val="标题1"/>
    <w:autoRedefine/>
    <w:qFormat/>
    <w:uiPriority w:val="0"/>
    <w:rPr>
      <w:rFonts w:ascii="Times New Roman" w:hAnsi="Times New Roman" w:eastAsia="宋体" w:cs="Times New Roman"/>
      <w:b/>
      <w:kern w:val="0"/>
      <w:sz w:val="24"/>
      <w:szCs w:val="20"/>
      <w:lang w:eastAsia="en-US"/>
    </w:rPr>
  </w:style>
  <w:style w:type="character" w:customStyle="1" w:styleId="47">
    <w:name w:val="标题 3.1 Char"/>
    <w:link w:val="48"/>
    <w:autoRedefine/>
    <w:qFormat/>
    <w:uiPriority w:val="0"/>
    <w:rPr>
      <w:rFonts w:ascii="宋体" w:hAnsi="宋体" w:eastAsia="宋体"/>
      <w:b/>
      <w:color w:val="FF0000"/>
      <w:kern w:val="2"/>
      <w:sz w:val="32"/>
    </w:rPr>
  </w:style>
  <w:style w:type="paragraph" w:customStyle="1" w:styleId="48">
    <w:name w:val="标题 3.1"/>
    <w:basedOn w:val="4"/>
    <w:link w:val="47"/>
    <w:autoRedefine/>
    <w:qFormat/>
    <w:uiPriority w:val="0"/>
    <w:pPr>
      <w:widowControl w:val="0"/>
      <w:tabs>
        <w:tab w:val="left" w:pos="1440"/>
        <w:tab w:val="left" w:pos="1620"/>
      </w:tabs>
      <w:adjustRightInd/>
      <w:snapToGrid/>
      <w:spacing w:line="600" w:lineRule="exact"/>
      <w:jc w:val="both"/>
    </w:pPr>
    <w:rPr>
      <w:rFonts w:ascii="宋体" w:hAnsi="宋体"/>
      <w:bCs w:val="0"/>
      <w:color w:val="FF0000"/>
      <w:kern w:val="2"/>
      <w:szCs w:val="22"/>
    </w:rPr>
  </w:style>
  <w:style w:type="character" w:customStyle="1" w:styleId="49">
    <w:name w:val="样式 楷体_GB2312 小四"/>
    <w:autoRedefine/>
    <w:qFormat/>
    <w:uiPriority w:val="0"/>
    <w:rPr>
      <w:rFonts w:ascii="楷体_GB2312" w:hAnsi="楷体_GB2312" w:eastAsia="仿宋_GB2312"/>
      <w:sz w:val="24"/>
    </w:rPr>
  </w:style>
  <w:style w:type="character" w:customStyle="1" w:styleId="50">
    <w:name w:val="纯文本 Char"/>
    <w:autoRedefine/>
    <w:qFormat/>
    <w:uiPriority w:val="0"/>
    <w:rPr>
      <w:rFonts w:ascii="宋体" w:hAnsi="Courier New" w:eastAsia="宋体" w:cs="Times New Roman"/>
      <w:b/>
      <w:kern w:val="2"/>
      <w:sz w:val="21"/>
      <w:szCs w:val="20"/>
    </w:rPr>
  </w:style>
  <w:style w:type="character" w:customStyle="1" w:styleId="51">
    <w:name w:val="纯文本 字符"/>
    <w:basedOn w:val="30"/>
    <w:link w:val="13"/>
    <w:autoRedefine/>
    <w:semiHidden/>
    <w:qFormat/>
    <w:uiPriority w:val="99"/>
    <w:rPr>
      <w:rFonts w:ascii="宋体" w:hAnsi="Courier New" w:eastAsia="宋体" w:cs="Courier New"/>
      <w:sz w:val="21"/>
      <w:szCs w:val="21"/>
    </w:rPr>
  </w:style>
  <w:style w:type="character" w:customStyle="1" w:styleId="52">
    <w:name w:val="页眉 字符"/>
    <w:basedOn w:val="30"/>
    <w:link w:val="17"/>
    <w:autoRedefine/>
    <w:qFormat/>
    <w:uiPriority w:val="99"/>
    <w:rPr>
      <w:rFonts w:ascii="Tahoma" w:hAnsi="Tahoma"/>
      <w:sz w:val="18"/>
      <w:szCs w:val="18"/>
    </w:rPr>
  </w:style>
  <w:style w:type="character" w:customStyle="1" w:styleId="53">
    <w:name w:val="页脚 字符"/>
    <w:basedOn w:val="30"/>
    <w:link w:val="16"/>
    <w:autoRedefine/>
    <w:qFormat/>
    <w:uiPriority w:val="99"/>
    <w:rPr>
      <w:rFonts w:ascii="Tahoma" w:hAnsi="Tahoma"/>
      <w:sz w:val="18"/>
      <w:szCs w:val="18"/>
    </w:rPr>
  </w:style>
  <w:style w:type="character" w:customStyle="1" w:styleId="54">
    <w:name w:val="批注框文本 字符"/>
    <w:basedOn w:val="30"/>
    <w:link w:val="15"/>
    <w:autoRedefine/>
    <w:semiHidden/>
    <w:qFormat/>
    <w:uiPriority w:val="99"/>
    <w:rPr>
      <w:rFonts w:ascii="Tahoma" w:hAnsi="Tahoma"/>
      <w:sz w:val="18"/>
      <w:szCs w:val="18"/>
    </w:rPr>
  </w:style>
  <w:style w:type="paragraph" w:customStyle="1" w:styleId="55">
    <w:name w:val="Char Char2 Char"/>
    <w:basedOn w:val="1"/>
    <w:autoRedefine/>
    <w:qFormat/>
    <w:uiPriority w:val="0"/>
    <w:pPr>
      <w:widowControl w:val="0"/>
      <w:adjustRightInd/>
      <w:snapToGrid/>
      <w:jc w:val="both"/>
    </w:pPr>
    <w:rPr>
      <w:rFonts w:ascii="宋体" w:hAnsi="宋体" w:cs="Times New Roman"/>
      <w:b/>
      <w:kern w:val="2"/>
      <w:sz w:val="28"/>
      <w:szCs w:val="28"/>
    </w:rPr>
  </w:style>
  <w:style w:type="character" w:customStyle="1" w:styleId="56">
    <w:name w:val="普通(网站) 字符"/>
    <w:link w:val="24"/>
    <w:autoRedefine/>
    <w:qFormat/>
    <w:uiPriority w:val="0"/>
    <w:rPr>
      <w:rFonts w:eastAsia="宋体"/>
      <w:kern w:val="2"/>
      <w:sz w:val="24"/>
      <w:szCs w:val="24"/>
    </w:rPr>
  </w:style>
  <w:style w:type="paragraph" w:customStyle="1" w:styleId="57">
    <w:name w:val="列出段落1"/>
    <w:basedOn w:val="1"/>
    <w:autoRedefine/>
    <w:qFormat/>
    <w:uiPriority w:val="99"/>
    <w:pPr>
      <w:widowControl w:val="0"/>
      <w:adjustRightInd/>
      <w:snapToGrid/>
      <w:ind w:firstLine="420" w:firstLineChars="200"/>
      <w:jc w:val="both"/>
    </w:pPr>
    <w:rPr>
      <w:rFonts w:ascii="Times New Roman" w:hAnsi="Times New Roman" w:cs="Times New Roman"/>
      <w:kern w:val="2"/>
      <w:sz w:val="24"/>
      <w:szCs w:val="24"/>
    </w:rPr>
  </w:style>
  <w:style w:type="character" w:customStyle="1" w:styleId="58">
    <w:name w:val="p141"/>
    <w:autoRedefine/>
    <w:qFormat/>
    <w:uiPriority w:val="0"/>
    <w:rPr>
      <w:sz w:val="21"/>
      <w:szCs w:val="21"/>
    </w:rPr>
  </w:style>
  <w:style w:type="character" w:customStyle="1" w:styleId="59">
    <w:name w:val="批注文字 字符"/>
    <w:basedOn w:val="30"/>
    <w:link w:val="8"/>
    <w:autoRedefine/>
    <w:qFormat/>
    <w:uiPriority w:val="99"/>
    <w:rPr>
      <w:rFonts w:ascii="Tahoma" w:hAnsi="Tahoma" w:eastAsia="微软雅黑" w:cstheme="minorBidi"/>
      <w:sz w:val="22"/>
      <w:szCs w:val="22"/>
    </w:rPr>
  </w:style>
  <w:style w:type="character" w:customStyle="1" w:styleId="60">
    <w:name w:val="批注主题 字符"/>
    <w:basedOn w:val="59"/>
    <w:link w:val="25"/>
    <w:autoRedefine/>
    <w:semiHidden/>
    <w:qFormat/>
    <w:uiPriority w:val="99"/>
    <w:rPr>
      <w:rFonts w:ascii="Tahoma" w:hAnsi="Tahoma" w:eastAsia="微软雅黑" w:cstheme="minorBidi"/>
      <w:b/>
      <w:bCs/>
      <w:sz w:val="22"/>
      <w:szCs w:val="22"/>
    </w:rPr>
  </w:style>
  <w:style w:type="character" w:customStyle="1" w:styleId="61">
    <w:name w:val="列表段落 字符"/>
    <w:link w:val="39"/>
    <w:autoRedefine/>
    <w:qFormat/>
    <w:uiPriority w:val="0"/>
    <w:rPr>
      <w:rFonts w:ascii="Tahoma" w:hAnsi="Tahoma" w:eastAsia="微软雅黑" w:cstheme="minorBidi"/>
      <w:sz w:val="22"/>
      <w:szCs w:val="22"/>
    </w:rPr>
  </w:style>
  <w:style w:type="character" w:customStyle="1" w:styleId="62">
    <w:name w:val="正文文本 字符"/>
    <w:basedOn w:val="30"/>
    <w:link w:val="9"/>
    <w:autoRedefine/>
    <w:qFormat/>
    <w:uiPriority w:val="1"/>
    <w:rPr>
      <w:rFonts w:ascii="宋体" w:hAnsi="宋体" w:cs="宋体"/>
      <w:sz w:val="24"/>
      <w:szCs w:val="22"/>
      <w:lang w:val="zh-CN" w:bidi="zh-CN"/>
    </w:rPr>
  </w:style>
  <w:style w:type="paragraph" w:customStyle="1" w:styleId="63">
    <w:name w:val="Default"/>
    <w:autoRedefine/>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64">
    <w:name w:val="_Style 1"/>
    <w:basedOn w:val="1"/>
    <w:autoRedefine/>
    <w:qFormat/>
    <w:uiPriority w:val="0"/>
    <w:pPr>
      <w:ind w:firstLine="420" w:firstLineChars="200"/>
    </w:pPr>
  </w:style>
  <w:style w:type="paragraph" w:customStyle="1" w:styleId="65">
    <w:name w:val="列出段落2"/>
    <w:basedOn w:val="1"/>
    <w:autoRedefine/>
    <w:qFormat/>
    <w:uiPriority w:val="0"/>
    <w:pPr>
      <w:ind w:firstLine="420" w:firstLineChars="200"/>
    </w:pPr>
  </w:style>
  <w:style w:type="paragraph" w:customStyle="1" w:styleId="66">
    <w:name w:val="p0"/>
    <w:basedOn w:val="1"/>
    <w:autoRedefine/>
    <w:qFormat/>
    <w:uiPriority w:val="0"/>
    <w:rPr>
      <w:szCs w:val="21"/>
    </w:rPr>
  </w:style>
  <w:style w:type="paragraph" w:customStyle="1" w:styleId="67">
    <w:name w:val="正文文本缩进 21"/>
    <w:basedOn w:val="1"/>
    <w:autoRedefine/>
    <w:qFormat/>
    <w:uiPriority w:val="0"/>
    <w:pPr>
      <w:spacing w:line="480" w:lineRule="auto"/>
      <w:ind w:firstLine="540"/>
    </w:pPr>
    <w:rPr>
      <w:rFonts w:ascii="Calibri" w:hAnsi="Calibri"/>
      <w:sz w:val="20"/>
      <w:szCs w:val="20"/>
    </w:rPr>
  </w:style>
  <w:style w:type="paragraph" w:customStyle="1" w:styleId="68">
    <w:name w:val="_Style 2"/>
    <w:basedOn w:val="1"/>
    <w:autoRedefine/>
    <w:qFormat/>
    <w:uiPriority w:val="0"/>
    <w:pPr>
      <w:ind w:firstLine="420" w:firstLineChars="200"/>
    </w:pPr>
  </w:style>
  <w:style w:type="paragraph" w:customStyle="1" w:styleId="69">
    <w:name w:val="msolistparagraph"/>
    <w:basedOn w:val="1"/>
    <w:autoRedefine/>
    <w:qFormat/>
    <w:uiPriority w:val="0"/>
    <w:pPr>
      <w:ind w:firstLine="420" w:firstLineChars="200"/>
    </w:pPr>
    <w:rPr>
      <w:rFonts w:hint="eastAsia" w:hAnsi="宋体"/>
    </w:rPr>
  </w:style>
  <w:style w:type="character" w:customStyle="1" w:styleId="70">
    <w:name w:val="标题 5 字符"/>
    <w:link w:val="6"/>
    <w:autoRedefine/>
    <w:qFormat/>
    <w:uiPriority w:val="0"/>
    <w:rPr>
      <w:b/>
      <w:sz w:val="28"/>
    </w:rPr>
  </w:style>
  <w:style w:type="character" w:customStyle="1" w:styleId="71">
    <w:name w:val="标题 1 字符"/>
    <w:link w:val="2"/>
    <w:autoRedefine/>
    <w:qFormat/>
    <w:uiPriority w:val="9"/>
    <w:rPr>
      <w:b/>
      <w:kern w:val="44"/>
      <w:sz w:val="44"/>
    </w:rPr>
  </w:style>
  <w:style w:type="paragraph" w:customStyle="1" w:styleId="72">
    <w:name w:val="修订1"/>
    <w:autoRedefine/>
    <w:hidden/>
    <w:semiHidden/>
    <w:qFormat/>
    <w:uiPriority w:val="99"/>
    <w:rPr>
      <w:rFonts w:ascii="Tahoma" w:hAnsi="Tahoma" w:eastAsia="宋体" w:cstheme="minorBidi"/>
      <w:sz w:val="21"/>
      <w:szCs w:val="22"/>
      <w:lang w:val="en-US" w:eastAsia="zh-CN" w:bidi="ar-SA"/>
    </w:rPr>
  </w:style>
  <w:style w:type="paragraph" w:customStyle="1" w:styleId="73">
    <w:name w:val="表格文字"/>
    <w:basedOn w:val="1"/>
    <w:autoRedefine/>
    <w:qFormat/>
    <w:uiPriority w:val="0"/>
    <w:pPr>
      <w:adjustRightInd/>
      <w:spacing w:before="25" w:after="25"/>
    </w:pPr>
    <w:rPr>
      <w:rFonts w:ascii="Times New Roman"/>
      <w:bCs/>
      <w:spacing w:val="10"/>
      <w:szCs w:val="20"/>
    </w:rPr>
  </w:style>
  <w:style w:type="paragraph" w:customStyle="1" w:styleId="74">
    <w:name w:val="纯文本1"/>
    <w:basedOn w:val="75"/>
    <w:autoRedefine/>
    <w:qFormat/>
    <w:uiPriority w:val="0"/>
    <w:rPr>
      <w:rFonts w:ascii="宋体" w:hAnsi="Courier New"/>
      <w:szCs w:val="20"/>
    </w:rPr>
  </w:style>
  <w:style w:type="paragraph" w:customStyle="1" w:styleId="75">
    <w:name w:val="正文 New"/>
    <w:autoRedefine/>
    <w:qFormat/>
    <w:uiPriority w:val="99"/>
    <w:pPr>
      <w:widowControl w:val="0"/>
      <w:spacing w:line="360" w:lineRule="auto"/>
      <w:jc w:val="both"/>
    </w:pPr>
    <w:rPr>
      <w:rFonts w:ascii="Times New Roman" w:hAnsi="Times New Roman" w:eastAsia="宋体" w:cs="黑体"/>
      <w:kern w:val="2"/>
      <w:sz w:val="21"/>
      <w:szCs w:val="22"/>
      <w:lang w:val="en-US" w:eastAsia="zh-CN" w:bidi="ar-SA"/>
    </w:rPr>
  </w:style>
  <w:style w:type="paragraph" w:customStyle="1" w:styleId="76">
    <w:name w:val="正文2"/>
    <w:autoRedefine/>
    <w:qFormat/>
    <w:uiPriority w:val="0"/>
    <w:pPr>
      <w:jc w:val="both"/>
    </w:pPr>
    <w:rPr>
      <w:rFonts w:ascii="Times New Roman" w:hAnsi="Times New Roman" w:eastAsia="宋体" w:cs="Times New Roman"/>
      <w:kern w:val="2"/>
      <w:sz w:val="21"/>
      <w:szCs w:val="21"/>
      <w:lang w:val="en-US" w:eastAsia="zh-CN" w:bidi="ar-SA"/>
    </w:rPr>
  </w:style>
  <w:style w:type="table" w:customStyle="1" w:styleId="77">
    <w:name w:val="Table Normal"/>
    <w:autoRedefine/>
    <w:semiHidden/>
    <w:unhideWhenUsed/>
    <w:qFormat/>
    <w:uiPriority w:val="2"/>
    <w:tblPr>
      <w:tblCellMar>
        <w:top w:w="0" w:type="dxa"/>
        <w:left w:w="0" w:type="dxa"/>
        <w:bottom w:w="0" w:type="dxa"/>
        <w:right w:w="0" w:type="dxa"/>
      </w:tblCellMar>
    </w:tblPr>
  </w:style>
  <w:style w:type="paragraph" w:customStyle="1" w:styleId="78">
    <w:name w:val="Table Paragraph"/>
    <w:basedOn w:val="1"/>
    <w:autoRedefine/>
    <w:qFormat/>
    <w:uiPriority w:val="1"/>
  </w:style>
  <w:style w:type="paragraph" w:customStyle="1" w:styleId="79">
    <w:name w:val="正文文本缩进1"/>
    <w:basedOn w:val="75"/>
    <w:autoRedefine/>
    <w:qFormat/>
    <w:uiPriority w:val="0"/>
    <w:pPr>
      <w:spacing w:after="120"/>
      <w:ind w:left="420" w:leftChars="200"/>
    </w:pPr>
  </w:style>
  <w:style w:type="paragraph" w:customStyle="1" w:styleId="80">
    <w:name w:val="正文 New New"/>
    <w:autoRedefine/>
    <w:qFormat/>
    <w:uiPriority w:val="0"/>
    <w:pPr>
      <w:widowControl w:val="0"/>
      <w:jc w:val="both"/>
    </w:pPr>
    <w:rPr>
      <w:rFonts w:ascii="Times New Roman" w:hAnsi="Times New Roman" w:eastAsia="宋体" w:cs="Times New Roman"/>
      <w:szCs w:val="24"/>
      <w:lang w:val="en-US" w:eastAsia="zh-CN" w:bidi="ar-SA"/>
    </w:rPr>
  </w:style>
  <w:style w:type="paragraph" w:customStyle="1" w:styleId="81">
    <w:name w:val="纯文本2"/>
    <w:basedOn w:val="75"/>
    <w:autoRedefine/>
    <w:qFormat/>
    <w:uiPriority w:val="0"/>
    <w:rPr>
      <w:rFonts w:ascii="宋体" w:hAnsi="Courier New"/>
      <w:szCs w:val="20"/>
    </w:rPr>
  </w:style>
  <w:style w:type="character" w:customStyle="1" w:styleId="82">
    <w:name w:val="font141"/>
    <w:autoRedefine/>
    <w:qFormat/>
    <w:uiPriority w:val="0"/>
    <w:rPr>
      <w:rFonts w:hint="default" w:ascii="Times New Roman" w:hAnsi="Times New Roman" w:cs="Times New Roman"/>
      <w:color w:val="000000"/>
      <w:sz w:val="18"/>
      <w:szCs w:val="18"/>
      <w:u w:val="none"/>
    </w:rPr>
  </w:style>
  <w:style w:type="character" w:customStyle="1" w:styleId="83">
    <w:name w:val="font71"/>
    <w:autoRedefine/>
    <w:qFormat/>
    <w:uiPriority w:val="0"/>
    <w:rPr>
      <w:rFonts w:hint="eastAsia" w:ascii="宋体" w:hAnsi="宋体" w:eastAsia="宋体" w:cs="宋体"/>
      <w:color w:val="000000"/>
      <w:sz w:val="18"/>
      <w:szCs w:val="18"/>
      <w:u w:val="none"/>
    </w:rPr>
  </w:style>
  <w:style w:type="character" w:customStyle="1" w:styleId="84">
    <w:name w:val="font31"/>
    <w:basedOn w:val="30"/>
    <w:autoRedefine/>
    <w:qFormat/>
    <w:uiPriority w:val="0"/>
    <w:rPr>
      <w:rFonts w:hint="eastAsia" w:ascii="宋体" w:hAnsi="宋体" w:eastAsia="宋体" w:cs="宋体"/>
      <w:color w:val="FF0000"/>
      <w:sz w:val="22"/>
      <w:szCs w:val="22"/>
      <w:u w:val="none"/>
    </w:rPr>
  </w:style>
  <w:style w:type="character" w:customStyle="1" w:styleId="85">
    <w:name w:val="font21"/>
    <w:basedOn w:val="30"/>
    <w:autoRedefine/>
    <w:qFormat/>
    <w:uiPriority w:val="0"/>
    <w:rPr>
      <w:rFonts w:hint="eastAsia" w:ascii="宋体" w:hAnsi="宋体" w:eastAsia="宋体" w:cs="宋体"/>
      <w:color w:val="000000"/>
      <w:sz w:val="22"/>
      <w:szCs w:val="22"/>
      <w:u w:val="none"/>
    </w:rPr>
  </w:style>
  <w:style w:type="character" w:customStyle="1" w:styleId="86">
    <w:name w:val="font61"/>
    <w:autoRedefine/>
    <w:qFormat/>
    <w:uiPriority w:val="0"/>
    <w:rPr>
      <w:rFonts w:hint="default" w:ascii="等线" w:hAnsi="等线" w:eastAsia="等线" w:cs="等线"/>
      <w:b/>
      <w:bCs/>
      <w:color w:val="FF0000"/>
      <w:sz w:val="22"/>
      <w:szCs w:val="22"/>
      <w:u w:val="none"/>
    </w:rPr>
  </w:style>
  <w:style w:type="character" w:customStyle="1" w:styleId="87">
    <w:name w:val="font41"/>
    <w:basedOn w:val="30"/>
    <w:autoRedefine/>
    <w:qFormat/>
    <w:uiPriority w:val="0"/>
    <w:rPr>
      <w:rFonts w:hint="eastAsia" w:ascii="宋体" w:hAnsi="宋体" w:eastAsia="宋体" w:cs="宋体"/>
      <w:color w:val="FF0000"/>
      <w:sz w:val="22"/>
      <w:szCs w:val="22"/>
      <w:u w:val="none"/>
    </w:rPr>
  </w:style>
  <w:style w:type="character" w:customStyle="1" w:styleId="88">
    <w:name w:val="font51"/>
    <w:basedOn w:val="30"/>
    <w:autoRedefine/>
    <w:qFormat/>
    <w:uiPriority w:val="0"/>
    <w:rPr>
      <w:rFonts w:hint="eastAsia" w:ascii="宋体" w:hAnsi="宋体" w:eastAsia="宋体" w:cs="宋体"/>
      <w:color w:val="000000"/>
      <w:sz w:val="22"/>
      <w:szCs w:val="22"/>
      <w:u w:val="none"/>
    </w:rPr>
  </w:style>
  <w:style w:type="character" w:customStyle="1" w:styleId="89">
    <w:name w:val="font11"/>
    <w:basedOn w:val="30"/>
    <w:autoRedefine/>
    <w:qFormat/>
    <w:uiPriority w:val="0"/>
    <w:rPr>
      <w:rFonts w:hint="eastAsia" w:ascii="宋体" w:hAnsi="宋体" w:eastAsia="宋体" w:cs="宋体"/>
      <w:color w:val="000000"/>
      <w:sz w:val="20"/>
      <w:szCs w:val="20"/>
      <w:u w:val="none"/>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footer" Target="footer2.xml"/><Relationship Id="rId7" Type="http://schemas.openxmlformats.org/officeDocument/2006/relationships/footer" Target="footer1.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2" Type="http://schemas.openxmlformats.org/officeDocument/2006/relationships/fontTable" Target="fontTable.xml"/><Relationship Id="rId21" Type="http://schemas.openxmlformats.org/officeDocument/2006/relationships/numbering" Target="numbering.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7.png"/><Relationship Id="rId18" Type="http://schemas.openxmlformats.org/officeDocument/2006/relationships/image" Target="media/image6.png"/><Relationship Id="rId17" Type="http://schemas.openxmlformats.org/officeDocument/2006/relationships/image" Target="media/image5.png"/><Relationship Id="rId16" Type="http://schemas.openxmlformats.org/officeDocument/2006/relationships/image" Target="media/image4.png"/><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image" Target="media/image1.png"/><Relationship Id="rId12" Type="http://schemas.openxmlformats.org/officeDocument/2006/relationships/theme" Target="theme/theme1.xml"/><Relationship Id="rId11" Type="http://schemas.openxmlformats.org/officeDocument/2006/relationships/footer" Target="footer5.xml"/><Relationship Id="rId10" Type="http://schemas.openxmlformats.org/officeDocument/2006/relationships/footer" Target="footer4.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112</Pages>
  <Words>52450</Words>
  <Characters>54957</Characters>
  <Lines>66</Lines>
  <Paragraphs>65</Paragraphs>
  <TotalTime>136</TotalTime>
  <ScaleCrop>false</ScaleCrop>
  <LinksUpToDate>false</LinksUpToDate>
  <CharactersWithSpaces>57326</CharactersWithSpaces>
  <Application>WPS Office_12.1.0.19770_F1E327BC-269C-435d-A152-05C5408002CA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2022-10-28T09:19:00Z</dcterms:created>
  <dc:creator>MyPC</dc:creator>
  <cp:lastModifiedBy>0522</cp:lastModifiedBy>
  <cp:lastPrinted>2024-08-17T04:13:00Z</cp:lastPrinted>
  <dcterms:modified xsi:type="dcterms:W3CDTF">2025-01-24T09:09:44Z</dcterms:modified>
  <cp:revision>11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2052-12.1.0.19770</vt:lpwstr>
  </property>
  <property fmtid="{D5CDD505-2E9C-101B-9397-08002B2CF9AE}" pid="3" name="ICV">
    <vt:lpwstr>CE91815149AD488695C539569DFB7D3A_13</vt:lpwstr>
  </property>
  <property fmtid="{D5CDD505-2E9C-101B-9397-08002B2CF9AE}" pid="4" name="KSOTemplateDocerSaveRecord">
    <vt:lpwstr>eyJoZGlkIjoiMmFiMDU3Y2U1Zjg3MjM0NTQwZTA0MDhjZjU3NDlkYWIiLCJ1c2VySWQiOiI0ODUzMzQxMzcifQ==</vt:lpwstr>
  </property>
</Properties>
</file>