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14202">
      <w:pPr>
        <w:jc w:val="center"/>
        <w:rPr>
          <w:b/>
          <w:bCs/>
          <w:color w:val="auto"/>
          <w:sz w:val="32"/>
          <w:szCs w:val="32"/>
          <w:highlight w:val="none"/>
        </w:rPr>
      </w:pPr>
      <w:r>
        <w:rPr>
          <w:rFonts w:hint="eastAsia"/>
          <w:b/>
          <w:color w:val="auto"/>
          <w:sz w:val="32"/>
          <w:szCs w:val="32"/>
          <w:highlight w:val="none"/>
        </w:rPr>
        <w:t>磋商邀请函</w:t>
      </w:r>
    </w:p>
    <w:p w14:paraId="4253157A">
      <w:pPr>
        <w:keepNext w:val="0"/>
        <w:keepLines w:val="0"/>
        <w:pageBreakBefore w:val="0"/>
        <w:kinsoku/>
        <w:wordWrap/>
        <w:overflowPunct/>
        <w:topLinePunct w:val="0"/>
        <w:bidi w:val="0"/>
        <w:adjustRightInd/>
        <w:snapToGrid w:val="0"/>
        <w:spacing w:line="460" w:lineRule="exact"/>
        <w:ind w:firstLine="400" w:firstLineChars="200"/>
        <w:rPr>
          <w:rFonts w:hint="eastAsia" w:ascii="宋体" w:hAnsi="宋体" w:eastAsia="宋体" w:cs="宋体"/>
          <w:color w:val="auto"/>
          <w:szCs w:val="21"/>
          <w:highlight w:val="none"/>
          <w:u w:val="none"/>
          <w:lang w:eastAsia="zh-CN"/>
        </w:rPr>
      </w:pPr>
      <w:r>
        <w:rPr>
          <w:rFonts w:hint="eastAsia" w:ascii="宋体" w:hAnsi="宋体" w:cs="宋体"/>
          <w:color w:val="auto"/>
          <w:szCs w:val="21"/>
          <w:highlight w:val="none"/>
          <w:u w:val="single"/>
        </w:rPr>
        <w:t>广东人信工程咨询有限公司</w:t>
      </w:r>
      <w:r>
        <w:rPr>
          <w:rFonts w:hint="eastAsia" w:ascii="宋体" w:hAnsi="宋体" w:cs="宋体"/>
          <w:color w:val="auto"/>
          <w:szCs w:val="21"/>
          <w:highlight w:val="none"/>
        </w:rPr>
        <w:t>（以下简称“采购代理机构”）受</w:t>
      </w:r>
      <w:r>
        <w:rPr>
          <w:rFonts w:hint="eastAsia" w:ascii="宋体" w:hAnsi="宋体" w:cs="宋体"/>
          <w:color w:val="auto"/>
          <w:szCs w:val="21"/>
          <w:highlight w:val="none"/>
          <w:u w:val="single"/>
        </w:rPr>
        <w:t>东莞市新东欣环保投资有限公司</w:t>
      </w:r>
      <w:r>
        <w:rPr>
          <w:rFonts w:hint="eastAsia" w:ascii="宋体" w:hAnsi="宋体" w:cs="宋体"/>
          <w:color w:val="auto"/>
          <w:szCs w:val="21"/>
          <w:highlight w:val="none"/>
        </w:rPr>
        <w:t>（以下简称“采购人”）的委托，就</w:t>
      </w:r>
      <w:r>
        <w:rPr>
          <w:rFonts w:hint="eastAsia" w:ascii="宋体" w:hAnsi="宋体" w:cs="宋体"/>
          <w:color w:val="auto"/>
          <w:szCs w:val="21"/>
          <w:highlight w:val="none"/>
          <w:u w:val="single"/>
          <w:lang w:eastAsia="zh-CN"/>
        </w:rPr>
        <w:t>东莞市新东欣环保投资有限公司港澳码头周边地块综合整理项目渗滤液运输服务项目</w:t>
      </w:r>
      <w:r>
        <w:rPr>
          <w:rFonts w:hint="eastAsia" w:ascii="宋体" w:hAnsi="宋体" w:cs="宋体"/>
          <w:color w:val="auto"/>
          <w:szCs w:val="21"/>
          <w:highlight w:val="none"/>
        </w:rPr>
        <w:t>进行国内竞争性磋商采购，欢迎符合资格条件的供应商参加响应</w:t>
      </w:r>
      <w:r>
        <w:rPr>
          <w:rFonts w:hint="eastAsia" w:ascii="宋体" w:hAnsi="宋体" w:cs="宋体"/>
          <w:b w:val="0"/>
          <w:bCs w:val="0"/>
          <w:color w:val="auto"/>
          <w:szCs w:val="21"/>
          <w:highlight w:val="none"/>
          <w:u w:val="none"/>
        </w:rPr>
        <w:t>。</w:t>
      </w:r>
    </w:p>
    <w:p w14:paraId="56D176AF">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color w:val="auto"/>
          <w:szCs w:val="21"/>
          <w:highlight w:val="none"/>
        </w:rPr>
      </w:pPr>
      <w:r>
        <w:rPr>
          <w:rFonts w:hint="eastAsia" w:ascii="宋体" w:hAnsi="宋体" w:cs="宋体"/>
          <w:b/>
          <w:bCs/>
          <w:color w:val="auto"/>
          <w:szCs w:val="21"/>
          <w:highlight w:val="none"/>
        </w:rPr>
        <w:t>、项目名称：</w:t>
      </w:r>
      <w:r>
        <w:rPr>
          <w:rFonts w:hint="eastAsia" w:ascii="宋体" w:hAnsi="宋体" w:cs="宋体"/>
          <w:color w:val="auto"/>
          <w:szCs w:val="21"/>
          <w:highlight w:val="none"/>
          <w:u w:val="single"/>
          <w:lang w:eastAsia="zh-CN"/>
        </w:rPr>
        <w:t>东莞市新东欣环保投资有限公司港澳码头周边地块综合整理项目渗滤液运输服务项目</w:t>
      </w:r>
    </w:p>
    <w:p w14:paraId="5D4D2F77">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color w:val="auto"/>
          <w:szCs w:val="21"/>
          <w:highlight w:val="none"/>
        </w:rPr>
      </w:pPr>
      <w:r>
        <w:rPr>
          <w:rFonts w:hint="eastAsia" w:ascii="宋体" w:hAnsi="宋体" w:cs="宋体"/>
          <w:b/>
          <w:bCs/>
          <w:color w:val="auto"/>
          <w:szCs w:val="21"/>
          <w:highlight w:val="none"/>
        </w:rPr>
        <w:t>、采购编号：</w:t>
      </w:r>
      <w:r>
        <w:rPr>
          <w:rFonts w:hint="eastAsia" w:ascii="宋体" w:hAnsi="宋体" w:cs="宋体"/>
          <w:color w:val="auto"/>
          <w:szCs w:val="21"/>
          <w:highlight w:val="none"/>
          <w:u w:val="single"/>
          <w:lang w:eastAsia="zh-CN"/>
        </w:rPr>
        <w:t>XDX-GK-2024-004</w:t>
      </w:r>
    </w:p>
    <w:p w14:paraId="1E8ECEC5">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b/>
          <w:bCs/>
          <w:color w:val="auto"/>
          <w:szCs w:val="21"/>
          <w:highlight w:val="none"/>
        </w:rPr>
      </w:pPr>
      <w:r>
        <w:rPr>
          <w:rFonts w:hint="eastAsia" w:ascii="宋体" w:hAnsi="宋体" w:cs="宋体"/>
          <w:b/>
          <w:bCs/>
          <w:color w:val="auto"/>
          <w:szCs w:val="21"/>
          <w:highlight w:val="none"/>
        </w:rPr>
        <w:t>、采购内容：</w:t>
      </w:r>
    </w:p>
    <w:tbl>
      <w:tblPr>
        <w:tblStyle w:val="2"/>
        <w:tblW w:w="8063" w:type="dxa"/>
        <w:tblInd w:w="1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71"/>
        <w:gridCol w:w="690"/>
        <w:gridCol w:w="1065"/>
        <w:gridCol w:w="797"/>
        <w:gridCol w:w="929"/>
        <w:gridCol w:w="753"/>
        <w:gridCol w:w="1029"/>
        <w:gridCol w:w="1029"/>
      </w:tblGrid>
      <w:tr w14:paraId="00665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3" w:hRule="atLeast"/>
        </w:trPr>
        <w:tc>
          <w:tcPr>
            <w:tcW w:w="1771" w:type="dxa"/>
            <w:vAlign w:val="center"/>
          </w:tcPr>
          <w:p w14:paraId="72F0B224">
            <w:pPr>
              <w:pStyle w:val="4"/>
              <w:keepNext w:val="0"/>
              <w:keepLines w:val="0"/>
              <w:pageBreakBefore w:val="0"/>
              <w:kinsoku/>
              <w:wordWrap/>
              <w:overflowPunct/>
              <w:topLinePunct w:val="0"/>
              <w:autoSpaceDE w:val="0"/>
              <w:autoSpaceDN w:val="0"/>
              <w:bidi w:val="0"/>
              <w:adjustRightInd/>
              <w:spacing w:line="460" w:lineRule="exact"/>
              <w:jc w:val="center"/>
              <w:rPr>
                <w:color w:val="auto"/>
                <w:sz w:val="20"/>
                <w:szCs w:val="20"/>
                <w:highlight w:val="none"/>
              </w:rPr>
            </w:pPr>
            <w:r>
              <w:rPr>
                <w:b/>
                <w:color w:val="auto"/>
                <w:sz w:val="20"/>
                <w:szCs w:val="20"/>
                <w:highlight w:val="none"/>
                <w:lang w:eastAsia="en-US"/>
              </w:rPr>
              <w:t>采购内容</w:t>
            </w:r>
          </w:p>
        </w:tc>
        <w:tc>
          <w:tcPr>
            <w:tcW w:w="690" w:type="dxa"/>
            <w:vAlign w:val="center"/>
          </w:tcPr>
          <w:p w14:paraId="01DDE360">
            <w:pPr>
              <w:pStyle w:val="4"/>
              <w:keepNext w:val="0"/>
              <w:keepLines w:val="0"/>
              <w:pageBreakBefore w:val="0"/>
              <w:kinsoku/>
              <w:wordWrap/>
              <w:overflowPunct/>
              <w:topLinePunct w:val="0"/>
              <w:autoSpaceDE w:val="0"/>
              <w:autoSpaceDN w:val="0"/>
              <w:bidi w:val="0"/>
              <w:adjustRightInd/>
              <w:spacing w:line="460" w:lineRule="exact"/>
              <w:jc w:val="center"/>
              <w:rPr>
                <w:color w:val="auto"/>
                <w:sz w:val="20"/>
                <w:szCs w:val="20"/>
                <w:highlight w:val="none"/>
              </w:rPr>
            </w:pPr>
            <w:r>
              <w:rPr>
                <w:rFonts w:hint="eastAsia"/>
                <w:b/>
                <w:color w:val="auto"/>
                <w:sz w:val="20"/>
                <w:szCs w:val="20"/>
                <w:highlight w:val="none"/>
              </w:rPr>
              <w:t>项目总预算</w:t>
            </w:r>
          </w:p>
        </w:tc>
        <w:tc>
          <w:tcPr>
            <w:tcW w:w="1065" w:type="dxa"/>
            <w:vAlign w:val="center"/>
          </w:tcPr>
          <w:p w14:paraId="2DC9A8F2">
            <w:pPr>
              <w:pStyle w:val="4"/>
              <w:keepNext w:val="0"/>
              <w:keepLines w:val="0"/>
              <w:pageBreakBefore w:val="0"/>
              <w:kinsoku/>
              <w:wordWrap/>
              <w:overflowPunct/>
              <w:topLinePunct w:val="0"/>
              <w:autoSpaceDE w:val="0"/>
              <w:autoSpaceDN w:val="0"/>
              <w:bidi w:val="0"/>
              <w:adjustRightInd/>
              <w:spacing w:line="460" w:lineRule="exact"/>
              <w:jc w:val="center"/>
              <w:rPr>
                <w:color w:val="auto"/>
                <w:sz w:val="20"/>
                <w:szCs w:val="20"/>
                <w:highlight w:val="none"/>
                <w:lang w:bidi="ar"/>
              </w:rPr>
            </w:pPr>
            <w:r>
              <w:rPr>
                <w:rFonts w:hint="eastAsia"/>
                <w:b/>
                <w:color w:val="auto"/>
                <w:sz w:val="20"/>
                <w:szCs w:val="20"/>
                <w:highlight w:val="none"/>
              </w:rPr>
              <w:t>运输单价最高限价（元/吨）</w:t>
            </w:r>
          </w:p>
        </w:tc>
        <w:tc>
          <w:tcPr>
            <w:tcW w:w="797" w:type="dxa"/>
            <w:vAlign w:val="center"/>
          </w:tcPr>
          <w:p w14:paraId="766BED5A">
            <w:pPr>
              <w:pStyle w:val="4"/>
              <w:keepNext w:val="0"/>
              <w:keepLines w:val="0"/>
              <w:pageBreakBefore w:val="0"/>
              <w:kinsoku/>
              <w:wordWrap/>
              <w:overflowPunct/>
              <w:topLinePunct w:val="0"/>
              <w:autoSpaceDE w:val="0"/>
              <w:autoSpaceDN w:val="0"/>
              <w:bidi w:val="0"/>
              <w:adjustRightInd/>
              <w:spacing w:line="460" w:lineRule="exact"/>
              <w:jc w:val="center"/>
              <w:rPr>
                <w:color w:val="auto"/>
                <w:sz w:val="20"/>
                <w:szCs w:val="20"/>
                <w:highlight w:val="none"/>
                <w:lang w:eastAsia="en-US"/>
              </w:rPr>
            </w:pPr>
            <w:r>
              <w:rPr>
                <w:rFonts w:hint="eastAsia"/>
                <w:b/>
                <w:color w:val="auto"/>
                <w:sz w:val="20"/>
                <w:szCs w:val="20"/>
                <w:highlight w:val="none"/>
              </w:rPr>
              <w:t>预计运输总量（吨）</w:t>
            </w:r>
          </w:p>
        </w:tc>
        <w:tc>
          <w:tcPr>
            <w:tcW w:w="929" w:type="dxa"/>
            <w:vAlign w:val="center"/>
          </w:tcPr>
          <w:p w14:paraId="0DB91EBE">
            <w:pPr>
              <w:pStyle w:val="4"/>
              <w:keepNext w:val="0"/>
              <w:keepLines w:val="0"/>
              <w:pageBreakBefore w:val="0"/>
              <w:kinsoku/>
              <w:wordWrap/>
              <w:overflowPunct/>
              <w:topLinePunct w:val="0"/>
              <w:autoSpaceDE w:val="0"/>
              <w:autoSpaceDN w:val="0"/>
              <w:bidi w:val="0"/>
              <w:adjustRightInd/>
              <w:spacing w:line="460" w:lineRule="exact"/>
              <w:jc w:val="center"/>
              <w:rPr>
                <w:color w:val="auto"/>
                <w:sz w:val="20"/>
                <w:szCs w:val="20"/>
                <w:highlight w:val="none"/>
                <w:lang w:eastAsia="en-US"/>
              </w:rPr>
            </w:pPr>
            <w:r>
              <w:rPr>
                <w:rFonts w:hint="eastAsia"/>
                <w:b/>
                <w:color w:val="auto"/>
                <w:sz w:val="20"/>
                <w:szCs w:val="20"/>
                <w:highlight w:val="none"/>
              </w:rPr>
              <w:t>预计日运输量（吨）</w:t>
            </w:r>
          </w:p>
        </w:tc>
        <w:tc>
          <w:tcPr>
            <w:tcW w:w="753" w:type="dxa"/>
            <w:vAlign w:val="center"/>
          </w:tcPr>
          <w:p w14:paraId="5C669358">
            <w:pPr>
              <w:pStyle w:val="4"/>
              <w:keepNext w:val="0"/>
              <w:keepLines w:val="0"/>
              <w:pageBreakBefore w:val="0"/>
              <w:kinsoku/>
              <w:wordWrap/>
              <w:overflowPunct/>
              <w:topLinePunct w:val="0"/>
              <w:autoSpaceDE w:val="0"/>
              <w:autoSpaceDN w:val="0"/>
              <w:bidi w:val="0"/>
              <w:adjustRightInd/>
              <w:spacing w:line="460" w:lineRule="exact"/>
              <w:jc w:val="center"/>
              <w:rPr>
                <w:b/>
                <w:color w:val="auto"/>
                <w:sz w:val="20"/>
                <w:szCs w:val="20"/>
                <w:highlight w:val="none"/>
                <w:lang w:eastAsia="en-US"/>
              </w:rPr>
            </w:pPr>
            <w:r>
              <w:rPr>
                <w:b/>
                <w:color w:val="auto"/>
                <w:sz w:val="20"/>
                <w:szCs w:val="20"/>
                <w:highlight w:val="none"/>
                <w:lang w:eastAsia="en-US"/>
              </w:rPr>
              <w:t>服务单</w:t>
            </w:r>
          </w:p>
          <w:p w14:paraId="5892BA88">
            <w:pPr>
              <w:pStyle w:val="4"/>
              <w:keepNext w:val="0"/>
              <w:keepLines w:val="0"/>
              <w:pageBreakBefore w:val="0"/>
              <w:kinsoku/>
              <w:wordWrap/>
              <w:overflowPunct/>
              <w:topLinePunct w:val="0"/>
              <w:autoSpaceDE w:val="0"/>
              <w:autoSpaceDN w:val="0"/>
              <w:bidi w:val="0"/>
              <w:adjustRightInd/>
              <w:spacing w:line="460" w:lineRule="exact"/>
              <w:jc w:val="center"/>
              <w:rPr>
                <w:color w:val="auto"/>
                <w:sz w:val="20"/>
                <w:szCs w:val="20"/>
                <w:highlight w:val="none"/>
                <w:lang w:eastAsia="en-US"/>
              </w:rPr>
            </w:pPr>
            <w:r>
              <w:rPr>
                <w:b/>
                <w:color w:val="auto"/>
                <w:sz w:val="20"/>
                <w:szCs w:val="20"/>
                <w:highlight w:val="none"/>
                <w:lang w:eastAsia="en-US"/>
              </w:rPr>
              <w:t>位数量</w:t>
            </w:r>
          </w:p>
        </w:tc>
        <w:tc>
          <w:tcPr>
            <w:tcW w:w="1029" w:type="dxa"/>
            <w:vAlign w:val="center"/>
          </w:tcPr>
          <w:p w14:paraId="3500AD71">
            <w:pPr>
              <w:pStyle w:val="4"/>
              <w:keepNext w:val="0"/>
              <w:keepLines w:val="0"/>
              <w:pageBreakBefore w:val="0"/>
              <w:kinsoku/>
              <w:wordWrap/>
              <w:overflowPunct/>
              <w:topLinePunct w:val="0"/>
              <w:autoSpaceDE w:val="0"/>
              <w:autoSpaceDN w:val="0"/>
              <w:bidi w:val="0"/>
              <w:adjustRightInd/>
              <w:spacing w:line="460" w:lineRule="exact"/>
              <w:jc w:val="center"/>
              <w:rPr>
                <w:color w:val="auto"/>
                <w:sz w:val="20"/>
                <w:szCs w:val="20"/>
                <w:highlight w:val="none"/>
                <w:lang w:eastAsia="en-US"/>
              </w:rPr>
            </w:pPr>
            <w:r>
              <w:rPr>
                <w:b/>
                <w:color w:val="auto"/>
                <w:sz w:val="20"/>
                <w:szCs w:val="20"/>
                <w:highlight w:val="none"/>
                <w:lang w:eastAsia="en-US"/>
              </w:rPr>
              <w:t>服务期限</w:t>
            </w:r>
          </w:p>
        </w:tc>
        <w:tc>
          <w:tcPr>
            <w:tcW w:w="1029" w:type="dxa"/>
            <w:vAlign w:val="center"/>
          </w:tcPr>
          <w:p w14:paraId="18D08539">
            <w:pPr>
              <w:pStyle w:val="4"/>
              <w:keepNext w:val="0"/>
              <w:keepLines w:val="0"/>
              <w:pageBreakBefore w:val="0"/>
              <w:kinsoku/>
              <w:wordWrap/>
              <w:overflowPunct/>
              <w:topLinePunct w:val="0"/>
              <w:autoSpaceDE w:val="0"/>
              <w:autoSpaceDN w:val="0"/>
              <w:bidi w:val="0"/>
              <w:adjustRightInd/>
              <w:spacing w:line="460" w:lineRule="exact"/>
              <w:jc w:val="center"/>
              <w:rPr>
                <w:b/>
                <w:color w:val="auto"/>
                <w:sz w:val="20"/>
                <w:szCs w:val="20"/>
                <w:highlight w:val="none"/>
              </w:rPr>
            </w:pPr>
            <w:r>
              <w:rPr>
                <w:rFonts w:hint="eastAsia"/>
                <w:b/>
                <w:color w:val="auto"/>
                <w:sz w:val="20"/>
                <w:szCs w:val="20"/>
                <w:highlight w:val="none"/>
              </w:rPr>
              <w:t>备注</w:t>
            </w:r>
          </w:p>
        </w:tc>
      </w:tr>
      <w:tr w14:paraId="7929E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9" w:hRule="atLeast"/>
        </w:trPr>
        <w:tc>
          <w:tcPr>
            <w:tcW w:w="1771" w:type="dxa"/>
            <w:vAlign w:val="center"/>
          </w:tcPr>
          <w:p w14:paraId="4B8E5BAA">
            <w:pPr>
              <w:pStyle w:val="4"/>
              <w:keepNext w:val="0"/>
              <w:keepLines w:val="0"/>
              <w:pageBreakBefore w:val="0"/>
              <w:kinsoku/>
              <w:wordWrap/>
              <w:overflowPunct/>
              <w:topLinePunct w:val="0"/>
              <w:autoSpaceDE w:val="0"/>
              <w:autoSpaceDN w:val="0"/>
              <w:bidi w:val="0"/>
              <w:adjustRightInd/>
              <w:spacing w:before="89" w:line="460" w:lineRule="exact"/>
              <w:jc w:val="center"/>
              <w:rPr>
                <w:rFonts w:hint="eastAsia" w:eastAsia="宋体"/>
                <w:color w:val="auto"/>
                <w:sz w:val="20"/>
                <w:szCs w:val="20"/>
                <w:highlight w:val="none"/>
                <w:lang w:eastAsia="zh-CN"/>
              </w:rPr>
            </w:pPr>
            <w:r>
              <w:rPr>
                <w:rFonts w:hint="eastAsia"/>
                <w:color w:val="auto"/>
                <w:sz w:val="20"/>
                <w:szCs w:val="20"/>
                <w:highlight w:val="none"/>
                <w:lang w:eastAsia="zh-CN"/>
              </w:rPr>
              <w:t>东莞市新东欣环保投资有限公司港澳码头周边地块综合整理项目渗滤液运输服务项目</w:t>
            </w:r>
          </w:p>
        </w:tc>
        <w:tc>
          <w:tcPr>
            <w:tcW w:w="690" w:type="dxa"/>
            <w:vAlign w:val="center"/>
          </w:tcPr>
          <w:p w14:paraId="0C20BEFF">
            <w:pPr>
              <w:pStyle w:val="4"/>
              <w:keepNext w:val="0"/>
              <w:keepLines w:val="0"/>
              <w:pageBreakBefore w:val="0"/>
              <w:kinsoku/>
              <w:wordWrap/>
              <w:overflowPunct/>
              <w:topLinePunct w:val="0"/>
              <w:autoSpaceDE w:val="0"/>
              <w:autoSpaceDN w:val="0"/>
              <w:bidi w:val="0"/>
              <w:adjustRightInd/>
              <w:spacing w:before="205" w:line="460" w:lineRule="exact"/>
              <w:jc w:val="center"/>
              <w:rPr>
                <w:color w:val="auto"/>
                <w:sz w:val="20"/>
                <w:szCs w:val="20"/>
                <w:highlight w:val="none"/>
                <w:lang w:bidi="ar"/>
              </w:rPr>
            </w:pPr>
            <w:r>
              <w:rPr>
                <w:rFonts w:hint="eastAsia"/>
                <w:color w:val="auto"/>
                <w:sz w:val="20"/>
                <w:szCs w:val="20"/>
                <w:highlight w:val="none"/>
                <w:lang w:bidi="ar"/>
              </w:rPr>
              <w:t>135.00万元</w:t>
            </w:r>
          </w:p>
        </w:tc>
        <w:tc>
          <w:tcPr>
            <w:tcW w:w="1065" w:type="dxa"/>
            <w:vAlign w:val="center"/>
          </w:tcPr>
          <w:p w14:paraId="6592D601">
            <w:pPr>
              <w:pStyle w:val="4"/>
              <w:keepNext w:val="0"/>
              <w:keepLines w:val="0"/>
              <w:pageBreakBefore w:val="0"/>
              <w:kinsoku/>
              <w:wordWrap/>
              <w:overflowPunct/>
              <w:topLinePunct w:val="0"/>
              <w:autoSpaceDE w:val="0"/>
              <w:autoSpaceDN w:val="0"/>
              <w:bidi w:val="0"/>
              <w:adjustRightInd/>
              <w:spacing w:before="1" w:line="460" w:lineRule="exact"/>
              <w:jc w:val="center"/>
              <w:rPr>
                <w:color w:val="auto"/>
                <w:sz w:val="20"/>
                <w:szCs w:val="20"/>
                <w:highlight w:val="none"/>
                <w:lang w:bidi="ar"/>
              </w:rPr>
            </w:pPr>
            <w:r>
              <w:rPr>
                <w:rFonts w:hint="eastAsia"/>
                <w:color w:val="auto"/>
                <w:sz w:val="20"/>
                <w:szCs w:val="20"/>
                <w:highlight w:val="none"/>
                <w:lang w:bidi="ar"/>
              </w:rPr>
              <w:t>39.8</w:t>
            </w:r>
          </w:p>
        </w:tc>
        <w:tc>
          <w:tcPr>
            <w:tcW w:w="797" w:type="dxa"/>
            <w:vAlign w:val="center"/>
          </w:tcPr>
          <w:p w14:paraId="7789DA44">
            <w:pPr>
              <w:keepNext w:val="0"/>
              <w:keepLines w:val="0"/>
              <w:pageBreakBefore w:val="0"/>
              <w:widowControl/>
              <w:kinsoku/>
              <w:wordWrap/>
              <w:overflowPunct/>
              <w:topLinePunct w:val="0"/>
              <w:bidi w:val="0"/>
              <w:adjustRightInd/>
              <w:spacing w:line="460" w:lineRule="exact"/>
              <w:jc w:val="center"/>
              <w:textAlignment w:val="center"/>
              <w:rPr>
                <w:rFonts w:ascii="宋体" w:hAnsi="宋体" w:cs="宋体"/>
                <w:color w:val="auto"/>
                <w:sz w:val="20"/>
                <w:szCs w:val="20"/>
                <w:highlight w:val="none"/>
                <w:lang w:bidi="ar"/>
              </w:rPr>
            </w:pPr>
            <w:r>
              <w:rPr>
                <w:rFonts w:hint="eastAsia" w:ascii="宋体" w:hAnsi="宋体" w:cs="宋体"/>
                <w:color w:val="auto"/>
                <w:sz w:val="20"/>
                <w:szCs w:val="20"/>
                <w:highlight w:val="none"/>
                <w:lang w:bidi="ar"/>
              </w:rPr>
              <w:t>15436</w:t>
            </w:r>
          </w:p>
        </w:tc>
        <w:tc>
          <w:tcPr>
            <w:tcW w:w="929" w:type="dxa"/>
            <w:vAlign w:val="center"/>
          </w:tcPr>
          <w:p w14:paraId="307A9640">
            <w:pPr>
              <w:keepNext w:val="0"/>
              <w:keepLines w:val="0"/>
              <w:pageBreakBefore w:val="0"/>
              <w:widowControl/>
              <w:kinsoku/>
              <w:wordWrap/>
              <w:overflowPunct/>
              <w:topLinePunct w:val="0"/>
              <w:bidi w:val="0"/>
              <w:adjustRightInd/>
              <w:spacing w:line="460" w:lineRule="exact"/>
              <w:jc w:val="center"/>
              <w:textAlignment w:val="center"/>
              <w:rPr>
                <w:rFonts w:ascii="宋体" w:hAnsi="宋体" w:cs="宋体"/>
                <w:color w:val="auto"/>
                <w:sz w:val="20"/>
                <w:szCs w:val="20"/>
                <w:highlight w:val="none"/>
                <w:lang w:bidi="ar"/>
              </w:rPr>
            </w:pPr>
            <w:r>
              <w:rPr>
                <w:rFonts w:hint="eastAsia" w:ascii="宋体" w:hAnsi="宋体" w:cs="宋体"/>
                <w:color w:val="auto"/>
                <w:sz w:val="20"/>
                <w:szCs w:val="20"/>
                <w:highlight w:val="none"/>
                <w:lang w:bidi="ar"/>
              </w:rPr>
              <w:t>150</w:t>
            </w:r>
          </w:p>
        </w:tc>
        <w:tc>
          <w:tcPr>
            <w:tcW w:w="753" w:type="dxa"/>
            <w:vAlign w:val="center"/>
          </w:tcPr>
          <w:p w14:paraId="7F3C5F4A">
            <w:pPr>
              <w:pStyle w:val="4"/>
              <w:keepNext w:val="0"/>
              <w:keepLines w:val="0"/>
              <w:pageBreakBefore w:val="0"/>
              <w:kinsoku/>
              <w:wordWrap/>
              <w:overflowPunct/>
              <w:topLinePunct w:val="0"/>
              <w:autoSpaceDE w:val="0"/>
              <w:autoSpaceDN w:val="0"/>
              <w:bidi w:val="0"/>
              <w:adjustRightInd/>
              <w:spacing w:before="1" w:line="460" w:lineRule="exact"/>
              <w:jc w:val="center"/>
              <w:rPr>
                <w:color w:val="auto"/>
                <w:sz w:val="20"/>
                <w:szCs w:val="20"/>
                <w:highlight w:val="none"/>
                <w:lang w:eastAsia="en-US"/>
              </w:rPr>
            </w:pPr>
            <w:r>
              <w:rPr>
                <w:color w:val="auto"/>
                <w:sz w:val="20"/>
                <w:szCs w:val="20"/>
                <w:highlight w:val="none"/>
                <w:lang w:eastAsia="en-US"/>
              </w:rPr>
              <w:t>1 家</w:t>
            </w:r>
          </w:p>
        </w:tc>
        <w:tc>
          <w:tcPr>
            <w:tcW w:w="1029" w:type="dxa"/>
            <w:vAlign w:val="center"/>
          </w:tcPr>
          <w:p w14:paraId="50A70C49">
            <w:pPr>
              <w:pStyle w:val="4"/>
              <w:keepNext w:val="0"/>
              <w:keepLines w:val="0"/>
              <w:pageBreakBefore w:val="0"/>
              <w:kinsoku/>
              <w:wordWrap/>
              <w:overflowPunct/>
              <w:topLinePunct w:val="0"/>
              <w:autoSpaceDE w:val="0"/>
              <w:autoSpaceDN w:val="0"/>
              <w:bidi w:val="0"/>
              <w:adjustRightInd/>
              <w:spacing w:before="1" w:line="460" w:lineRule="exact"/>
              <w:jc w:val="center"/>
              <w:rPr>
                <w:color w:val="auto"/>
                <w:sz w:val="20"/>
                <w:szCs w:val="20"/>
                <w:highlight w:val="none"/>
                <w:lang w:bidi="ar"/>
              </w:rPr>
            </w:pPr>
            <w:r>
              <w:rPr>
                <w:rFonts w:hint="eastAsia"/>
                <w:color w:val="auto"/>
                <w:sz w:val="20"/>
                <w:szCs w:val="20"/>
                <w:highlight w:val="none"/>
              </w:rPr>
              <w:t>自合同签订之日起至 2025年12月 31日止</w:t>
            </w:r>
          </w:p>
        </w:tc>
        <w:tc>
          <w:tcPr>
            <w:tcW w:w="1029" w:type="dxa"/>
            <w:vAlign w:val="center"/>
          </w:tcPr>
          <w:p w14:paraId="25AEC0D4">
            <w:pPr>
              <w:keepNext w:val="0"/>
              <w:keepLines w:val="0"/>
              <w:pageBreakBefore w:val="0"/>
              <w:widowControl/>
              <w:kinsoku/>
              <w:wordWrap/>
              <w:overflowPunct/>
              <w:topLinePunct w:val="0"/>
              <w:bidi w:val="0"/>
              <w:adjustRightInd/>
              <w:spacing w:line="460" w:lineRule="exact"/>
              <w:jc w:val="center"/>
              <w:textAlignment w:val="center"/>
              <w:rPr>
                <w:rFonts w:ascii="宋体" w:hAnsi="宋体" w:cs="宋体"/>
                <w:color w:val="auto"/>
                <w:sz w:val="20"/>
                <w:szCs w:val="20"/>
                <w:highlight w:val="none"/>
                <w:lang w:bidi="ar"/>
              </w:rPr>
            </w:pPr>
            <w:r>
              <w:rPr>
                <w:rFonts w:hint="eastAsia" w:ascii="宋体" w:hAnsi="宋体" w:cs="宋体"/>
                <w:color w:val="auto"/>
                <w:sz w:val="20"/>
                <w:szCs w:val="20"/>
                <w:highlight w:val="none"/>
                <w:lang w:bidi="ar"/>
              </w:rPr>
              <w:t>实际运输总量及日运输量不设上限或下限，以实际运输为准</w:t>
            </w:r>
          </w:p>
        </w:tc>
      </w:tr>
    </w:tbl>
    <w:p w14:paraId="71362048">
      <w:pPr>
        <w:keepNext w:val="0"/>
        <w:keepLines w:val="0"/>
        <w:pageBreakBefore w:val="0"/>
        <w:widowControl w:val="0"/>
        <w:kinsoku/>
        <w:wordWrap/>
        <w:overflowPunct/>
        <w:topLinePunct w:val="0"/>
        <w:autoSpaceDE/>
        <w:autoSpaceDN/>
        <w:bidi w:val="0"/>
        <w:adjustRightInd/>
        <w:snapToGrid w:val="0"/>
        <w:spacing w:line="460" w:lineRule="exact"/>
        <w:ind w:firstLine="400" w:firstLineChars="200"/>
        <w:textAlignment w:val="auto"/>
        <w:rPr>
          <w:rFonts w:ascii="宋体" w:hAnsi="宋体" w:cs="宋体"/>
          <w:b w:val="0"/>
          <w:bCs w:val="0"/>
          <w:color w:val="auto"/>
          <w:highlight w:val="none"/>
        </w:rPr>
      </w:pPr>
      <w:r>
        <w:rPr>
          <w:rFonts w:hint="eastAsia" w:ascii="宋体" w:hAnsi="宋体" w:cs="宋体"/>
          <w:b w:val="0"/>
          <w:bCs w:val="0"/>
          <w:color w:val="auto"/>
          <w:szCs w:val="21"/>
          <w:highlight w:val="none"/>
          <w:u w:val="single"/>
        </w:rPr>
        <w:t>注：项目内容及需求详见磋商文件《用户需求书》。</w:t>
      </w:r>
    </w:p>
    <w:p w14:paraId="6BF97424">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b/>
          <w:bCs/>
          <w:color w:val="auto"/>
          <w:szCs w:val="21"/>
          <w:highlight w:val="none"/>
        </w:rPr>
      </w:pPr>
      <w:r>
        <w:rPr>
          <w:rFonts w:hint="eastAsia" w:ascii="宋体" w:hAnsi="宋体" w:cs="宋体"/>
          <w:b/>
          <w:bCs/>
          <w:color w:val="auto"/>
          <w:szCs w:val="21"/>
          <w:highlight w:val="none"/>
        </w:rPr>
        <w:t>、供应商资格要求：</w:t>
      </w:r>
    </w:p>
    <w:p w14:paraId="0BDD386A">
      <w:pPr>
        <w:keepNext w:val="0"/>
        <w:keepLines w:val="0"/>
        <w:pageBreakBefore w:val="0"/>
        <w:widowControl w:val="0"/>
        <w:tabs>
          <w:tab w:val="left" w:pos="480"/>
        </w:tabs>
        <w:kinsoku/>
        <w:wordWrap/>
        <w:overflowPunct/>
        <w:topLinePunct w:val="0"/>
        <w:autoSpaceDE/>
        <w:autoSpaceDN/>
        <w:bidi w:val="0"/>
        <w:adjustRightInd/>
        <w:snapToGrid w:val="0"/>
        <w:spacing w:line="460" w:lineRule="exact"/>
        <w:ind w:left="0" w:firstLine="400" w:firstLineChars="200"/>
        <w:textAlignment w:val="auto"/>
        <w:rPr>
          <w:rFonts w:ascii="宋体" w:hAnsi="宋体" w:cs="宋体"/>
          <w:color w:val="auto"/>
          <w:szCs w:val="21"/>
          <w:highlight w:val="none"/>
        </w:rPr>
      </w:pPr>
      <w:r>
        <w:rPr>
          <w:rFonts w:hint="eastAsia" w:ascii="宋体" w:hAnsi="宋体" w:cs="宋体"/>
          <w:color w:val="auto"/>
          <w:szCs w:val="21"/>
          <w:highlight w:val="none"/>
        </w:rPr>
        <w:t>4.1响应供应商须为在中华人民共和国境内登记注册的具有独立承担民事责任能力的法人或其他组织。【提供《营业执照》复印件（加盖公章）或《事业单位法人证书》复印件（加盖公章）或其他主体证书复印件（加盖公章）】</w:t>
      </w:r>
    </w:p>
    <w:p w14:paraId="6391C95E">
      <w:pPr>
        <w:keepNext w:val="0"/>
        <w:keepLines w:val="0"/>
        <w:pageBreakBefore w:val="0"/>
        <w:widowControl w:val="0"/>
        <w:tabs>
          <w:tab w:val="left" w:pos="480"/>
        </w:tabs>
        <w:kinsoku/>
        <w:wordWrap/>
        <w:overflowPunct/>
        <w:topLinePunct w:val="0"/>
        <w:autoSpaceDE/>
        <w:autoSpaceDN/>
        <w:bidi w:val="0"/>
        <w:adjustRightInd/>
        <w:snapToGrid w:val="0"/>
        <w:spacing w:line="460" w:lineRule="exact"/>
        <w:ind w:left="0" w:firstLine="40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4.2响应供应商的单位负责人为同一人或者存在直接控股、管理关系的不同响应供应商，不得参加同一合同项下的采购活动；除单一来源采购项目外，为采购项目提供整体设计、规范编制或者项目管理、监理、检测等服务的供应商，不得再参加该采购项目的其他采购活动</w:t>
      </w:r>
      <w:r>
        <w:rPr>
          <w:rFonts w:hint="eastAsia" w:ascii="宋体" w:hAnsi="宋体" w:cs="宋体"/>
          <w:color w:val="auto"/>
          <w:szCs w:val="21"/>
          <w:highlight w:val="none"/>
          <w:lang w:eastAsia="zh-CN"/>
        </w:rPr>
        <w:t>。</w:t>
      </w:r>
    </w:p>
    <w:p w14:paraId="6DAC454A">
      <w:pPr>
        <w:keepNext w:val="0"/>
        <w:keepLines w:val="0"/>
        <w:pageBreakBefore w:val="0"/>
        <w:widowControl w:val="0"/>
        <w:tabs>
          <w:tab w:val="left" w:pos="480"/>
        </w:tabs>
        <w:kinsoku/>
        <w:wordWrap/>
        <w:overflowPunct/>
        <w:topLinePunct w:val="0"/>
        <w:autoSpaceDE/>
        <w:autoSpaceDN/>
        <w:bidi w:val="0"/>
        <w:adjustRightInd/>
        <w:snapToGrid w:val="0"/>
        <w:spacing w:line="460" w:lineRule="exact"/>
        <w:ind w:left="0" w:firstLine="400" w:firstLineChars="200"/>
        <w:textAlignment w:val="auto"/>
        <w:rPr>
          <w:rFonts w:ascii="宋体" w:hAnsi="宋体" w:cs="宋体"/>
          <w:color w:val="auto"/>
          <w:szCs w:val="21"/>
          <w:highlight w:val="none"/>
        </w:rPr>
      </w:pPr>
      <w:r>
        <w:rPr>
          <w:rFonts w:hint="eastAsia" w:ascii="宋体" w:hAnsi="宋体" w:cs="宋体"/>
          <w:color w:val="auto"/>
          <w:szCs w:val="21"/>
          <w:highlight w:val="none"/>
        </w:rPr>
        <w:t>4.3响应人参加采购活动前三年内，在经营活动中没有重大违法记录。【提供书面声明（加盖公章）】</w:t>
      </w:r>
    </w:p>
    <w:p w14:paraId="22B115E9">
      <w:pPr>
        <w:keepNext w:val="0"/>
        <w:keepLines w:val="0"/>
        <w:pageBreakBefore w:val="0"/>
        <w:widowControl w:val="0"/>
        <w:tabs>
          <w:tab w:val="left" w:pos="480"/>
        </w:tabs>
        <w:kinsoku/>
        <w:wordWrap/>
        <w:overflowPunct/>
        <w:topLinePunct w:val="0"/>
        <w:autoSpaceDE/>
        <w:autoSpaceDN/>
        <w:bidi w:val="0"/>
        <w:adjustRightInd/>
        <w:snapToGrid w:val="0"/>
        <w:spacing w:line="460" w:lineRule="exact"/>
        <w:ind w:left="0" w:firstLine="400" w:firstLineChars="200"/>
        <w:textAlignment w:val="auto"/>
        <w:rPr>
          <w:rFonts w:ascii="宋体" w:hAnsi="宋体" w:cs="宋体"/>
          <w:color w:val="auto"/>
          <w:szCs w:val="21"/>
          <w:highlight w:val="none"/>
        </w:rPr>
      </w:pPr>
      <w:r>
        <w:rPr>
          <w:rFonts w:hint="eastAsia" w:ascii="宋体" w:hAnsi="宋体" w:cs="宋体"/>
          <w:color w:val="auto"/>
          <w:szCs w:val="21"/>
          <w:highlight w:val="none"/>
        </w:rPr>
        <w:t>4.4 响应供应商未被列入“信用中国”网站（www.creditchina.gov.cn）“失信被执行人或重大税收违法失信主体或严重违法失信行为记录名单”记录名单。【以响应截止日当天在“信用中国”网站（www.creditchina.gov.cn）查询结果为准，如相关失信记录已失效，响应供应商需提供相关证明资料】</w:t>
      </w:r>
    </w:p>
    <w:p w14:paraId="59A68D66">
      <w:pPr>
        <w:keepNext w:val="0"/>
        <w:keepLines w:val="0"/>
        <w:pageBreakBefore w:val="0"/>
        <w:widowControl w:val="0"/>
        <w:tabs>
          <w:tab w:val="left" w:pos="480"/>
        </w:tabs>
        <w:kinsoku/>
        <w:wordWrap/>
        <w:overflowPunct/>
        <w:topLinePunct w:val="0"/>
        <w:autoSpaceDE/>
        <w:autoSpaceDN/>
        <w:bidi w:val="0"/>
        <w:adjustRightInd/>
        <w:snapToGrid w:val="0"/>
        <w:spacing w:line="460" w:lineRule="exact"/>
        <w:ind w:left="0" w:firstLine="400" w:firstLineChars="200"/>
        <w:textAlignment w:val="auto"/>
        <w:rPr>
          <w:rFonts w:ascii="宋体" w:hAnsi="宋体" w:cs="宋体"/>
          <w:color w:val="auto"/>
          <w:szCs w:val="21"/>
          <w:highlight w:val="none"/>
        </w:rPr>
      </w:pPr>
      <w:r>
        <w:rPr>
          <w:rFonts w:hint="eastAsia" w:ascii="宋体" w:hAnsi="宋体" w:cs="宋体"/>
          <w:color w:val="auto"/>
          <w:szCs w:val="21"/>
          <w:highlight w:val="none"/>
        </w:rPr>
        <w:t>4.5 未被列入东实环境及下属企业相关领域黑名单。</w:t>
      </w:r>
    </w:p>
    <w:p w14:paraId="55D80EC3">
      <w:pPr>
        <w:keepNext w:val="0"/>
        <w:keepLines w:val="0"/>
        <w:pageBreakBefore w:val="0"/>
        <w:widowControl w:val="0"/>
        <w:tabs>
          <w:tab w:val="left" w:pos="480"/>
        </w:tabs>
        <w:kinsoku/>
        <w:wordWrap/>
        <w:overflowPunct/>
        <w:topLinePunct w:val="0"/>
        <w:autoSpaceDE/>
        <w:autoSpaceDN/>
        <w:bidi w:val="0"/>
        <w:adjustRightInd/>
        <w:snapToGrid w:val="0"/>
        <w:spacing w:line="460" w:lineRule="exact"/>
        <w:ind w:left="0" w:firstLine="400" w:firstLineChars="200"/>
        <w:textAlignment w:val="auto"/>
        <w:rPr>
          <w:rFonts w:ascii="宋体" w:hAnsi="宋体" w:cs="宋体"/>
          <w:color w:val="auto"/>
          <w:szCs w:val="21"/>
          <w:highlight w:val="none"/>
        </w:rPr>
      </w:pPr>
      <w:r>
        <w:rPr>
          <w:rFonts w:hint="eastAsia" w:ascii="宋体" w:hAnsi="宋体" w:cs="宋体"/>
          <w:color w:val="auto"/>
          <w:szCs w:val="21"/>
          <w:highlight w:val="none"/>
        </w:rPr>
        <w:t>4.6 本项目不接受联合体响应。</w:t>
      </w:r>
    </w:p>
    <w:p w14:paraId="0A7D3D81">
      <w:pPr>
        <w:keepNext w:val="0"/>
        <w:keepLines w:val="0"/>
        <w:pageBreakBefore w:val="0"/>
        <w:widowControl w:val="0"/>
        <w:kinsoku/>
        <w:wordWrap/>
        <w:overflowPunct/>
        <w:topLinePunct w:val="0"/>
        <w:autoSpaceDE/>
        <w:autoSpaceDN/>
        <w:bidi w:val="0"/>
        <w:adjustRightInd/>
        <w:spacing w:line="460" w:lineRule="exact"/>
        <w:ind w:left="0" w:firstLine="400" w:firstLineChars="200"/>
        <w:textAlignment w:val="auto"/>
        <w:rPr>
          <w:rFonts w:ascii="宋体" w:hAnsi="宋体" w:cs="宋体"/>
          <w:color w:val="auto"/>
          <w:szCs w:val="21"/>
          <w:highlight w:val="none"/>
        </w:rPr>
      </w:pPr>
      <w:r>
        <w:rPr>
          <w:rFonts w:hint="eastAsia" w:ascii="宋体" w:hAnsi="宋体" w:cs="宋体"/>
          <w:color w:val="auto"/>
          <w:szCs w:val="21"/>
          <w:highlight w:val="none"/>
        </w:rPr>
        <w:t>4.7</w:t>
      </w:r>
      <w:r>
        <w:rPr>
          <w:rFonts w:hint="eastAsia" w:ascii="宋体" w:hAnsi="宋体"/>
          <w:color w:val="auto"/>
          <w:szCs w:val="21"/>
          <w:highlight w:val="none"/>
        </w:rPr>
        <w:t>响应人须具备有效期内的《道路运输经营许可证》。【提供《道路运输经营许可证》复印件（加盖公章）】</w:t>
      </w:r>
    </w:p>
    <w:p w14:paraId="1B130D84">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bCs/>
          <w:color w:val="auto"/>
          <w:szCs w:val="21"/>
          <w:highlight w:val="none"/>
        </w:rPr>
      </w:pPr>
      <w:r>
        <w:rPr>
          <w:rFonts w:hint="eastAsia" w:ascii="宋体" w:hAnsi="宋体" w:cs="宋体"/>
          <w:b/>
          <w:color w:val="auto"/>
          <w:szCs w:val="21"/>
          <w:highlight w:val="none"/>
        </w:rPr>
        <w:t>、磋商文件获取时间：</w:t>
      </w:r>
      <w:r>
        <w:rPr>
          <w:rFonts w:hint="eastAsia" w:ascii="宋体" w:hAnsi="宋体" w:cs="宋体"/>
          <w:bCs/>
          <w:color w:val="auto"/>
          <w:szCs w:val="21"/>
          <w:highlight w:val="none"/>
        </w:rPr>
        <w:t>2024年</w:t>
      </w:r>
      <w:r>
        <w:rPr>
          <w:rFonts w:hint="eastAsia" w:ascii="宋体" w:hAnsi="宋体" w:cs="宋体"/>
          <w:bCs/>
          <w:color w:val="auto"/>
          <w:szCs w:val="21"/>
          <w:highlight w:val="none"/>
          <w:lang w:val="en-US" w:eastAsia="zh-CN"/>
        </w:rPr>
        <w:t>11</w:t>
      </w:r>
      <w:r>
        <w:rPr>
          <w:rFonts w:hint="eastAsia" w:ascii="宋体" w:hAnsi="宋体" w:cs="宋体"/>
          <w:bCs/>
          <w:color w:val="auto"/>
          <w:szCs w:val="21"/>
          <w:highlight w:val="none"/>
        </w:rPr>
        <w:t>月</w:t>
      </w:r>
      <w:r>
        <w:rPr>
          <w:rFonts w:hint="eastAsia" w:ascii="宋体" w:hAnsi="宋体" w:cs="宋体"/>
          <w:bCs/>
          <w:color w:val="auto"/>
          <w:szCs w:val="21"/>
          <w:highlight w:val="none"/>
          <w:lang w:val="en-US" w:eastAsia="zh-CN"/>
        </w:rPr>
        <w:t>04</w:t>
      </w:r>
      <w:r>
        <w:rPr>
          <w:rFonts w:hint="eastAsia" w:ascii="宋体" w:hAnsi="宋体" w:cs="宋体"/>
          <w:bCs/>
          <w:color w:val="auto"/>
          <w:szCs w:val="21"/>
          <w:highlight w:val="none"/>
        </w:rPr>
        <w:t>日至2024年</w:t>
      </w:r>
      <w:r>
        <w:rPr>
          <w:rFonts w:hint="eastAsia" w:ascii="宋体" w:hAnsi="宋体" w:cs="宋体"/>
          <w:bCs/>
          <w:color w:val="auto"/>
          <w:szCs w:val="21"/>
          <w:highlight w:val="none"/>
          <w:lang w:val="en-US" w:eastAsia="zh-CN"/>
        </w:rPr>
        <w:t>11</w:t>
      </w:r>
      <w:r>
        <w:rPr>
          <w:rFonts w:hint="eastAsia" w:ascii="宋体" w:hAnsi="宋体" w:cs="宋体"/>
          <w:bCs/>
          <w:color w:val="auto"/>
          <w:szCs w:val="21"/>
          <w:highlight w:val="none"/>
        </w:rPr>
        <w:t>月</w:t>
      </w:r>
      <w:r>
        <w:rPr>
          <w:rFonts w:hint="eastAsia" w:ascii="宋体" w:hAnsi="宋体" w:cs="宋体"/>
          <w:bCs/>
          <w:color w:val="auto"/>
          <w:szCs w:val="21"/>
          <w:highlight w:val="none"/>
          <w:lang w:val="en-US" w:eastAsia="zh-CN"/>
        </w:rPr>
        <w:t>14</w:t>
      </w:r>
      <w:r>
        <w:rPr>
          <w:rFonts w:hint="eastAsia" w:ascii="宋体" w:hAnsi="宋体" w:cs="宋体"/>
          <w:bCs/>
          <w:color w:val="auto"/>
          <w:szCs w:val="21"/>
          <w:highlight w:val="none"/>
        </w:rPr>
        <w:t>日。</w:t>
      </w:r>
    </w:p>
    <w:p w14:paraId="1387C78D">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color w:val="auto"/>
          <w:szCs w:val="21"/>
          <w:highlight w:val="none"/>
        </w:rPr>
      </w:pPr>
      <w:r>
        <w:rPr>
          <w:rFonts w:hint="eastAsia" w:ascii="宋体" w:hAnsi="宋体" w:cs="宋体"/>
          <w:b/>
          <w:bCs/>
          <w:color w:val="auto"/>
          <w:szCs w:val="21"/>
          <w:highlight w:val="none"/>
        </w:rPr>
        <w:t>、获取磋商文件方式：</w:t>
      </w:r>
      <w:r>
        <w:rPr>
          <w:rFonts w:hint="eastAsia" w:ascii="宋体" w:hAnsi="宋体" w:cs="宋体"/>
          <w:b w:val="0"/>
          <w:bCs w:val="0"/>
          <w:color w:val="auto"/>
          <w:szCs w:val="21"/>
          <w:highlight w:val="none"/>
        </w:rPr>
        <w:t>不进行实名登记报名。拟参加投标的供应商可自行于：中国招标投标公共服务平台（http://www.cebpubservice.com/）、东莞实业投资控股集团有限公司-招标采购栏目（http://www.dgsy.com.cn/）、广东东实环境股份有限公司招采平台(https://pur.yonyou.com/DGDSXNY)和广东人信工程咨询有限公司（http://www.gdrxzx.com）不记名免费下载采购文件。</w:t>
      </w:r>
    </w:p>
    <w:p w14:paraId="1CD0FD7A">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bCs/>
          <w:color w:val="auto"/>
          <w:szCs w:val="21"/>
          <w:highlight w:val="none"/>
        </w:rPr>
      </w:pPr>
      <w:r>
        <w:rPr>
          <w:rFonts w:hint="eastAsia" w:ascii="宋体" w:hAnsi="宋体" w:cs="宋体"/>
          <w:b/>
          <w:color w:val="auto"/>
          <w:szCs w:val="21"/>
          <w:highlight w:val="none"/>
        </w:rPr>
        <w:t>、递交响应文件截止时间：</w:t>
      </w:r>
      <w:r>
        <w:rPr>
          <w:rFonts w:hint="eastAsia" w:ascii="宋体" w:hAnsi="宋体" w:cs="宋体"/>
          <w:bCs/>
          <w:color w:val="auto"/>
          <w:szCs w:val="21"/>
          <w:highlight w:val="none"/>
        </w:rPr>
        <w:t>2024年</w:t>
      </w:r>
      <w:r>
        <w:rPr>
          <w:rFonts w:hint="eastAsia" w:ascii="宋体" w:hAnsi="宋体" w:cs="宋体"/>
          <w:bCs/>
          <w:color w:val="auto"/>
          <w:szCs w:val="21"/>
          <w:highlight w:val="none"/>
          <w:lang w:val="en-US" w:eastAsia="zh-CN"/>
        </w:rPr>
        <w:t>11</w:t>
      </w:r>
      <w:r>
        <w:rPr>
          <w:rFonts w:hint="eastAsia" w:ascii="宋体" w:hAnsi="宋体" w:cs="宋体"/>
          <w:bCs/>
          <w:color w:val="auto"/>
          <w:szCs w:val="21"/>
          <w:highlight w:val="none"/>
        </w:rPr>
        <w:t>月</w:t>
      </w:r>
      <w:r>
        <w:rPr>
          <w:rFonts w:hint="eastAsia" w:ascii="宋体" w:hAnsi="宋体" w:cs="宋体"/>
          <w:bCs/>
          <w:color w:val="auto"/>
          <w:szCs w:val="21"/>
          <w:highlight w:val="none"/>
          <w:lang w:val="en-US" w:eastAsia="zh-CN"/>
        </w:rPr>
        <w:t>15</w:t>
      </w:r>
      <w:r>
        <w:rPr>
          <w:rFonts w:hint="eastAsia" w:ascii="宋体" w:hAnsi="宋体" w:cs="宋体"/>
          <w:bCs/>
          <w:color w:val="auto"/>
          <w:szCs w:val="21"/>
          <w:highlight w:val="none"/>
        </w:rPr>
        <w:t>日14时30分</w:t>
      </w:r>
    </w:p>
    <w:p w14:paraId="4E53695F">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bCs/>
          <w:color w:val="auto"/>
          <w:szCs w:val="21"/>
          <w:highlight w:val="none"/>
        </w:rPr>
      </w:pPr>
      <w:r>
        <w:rPr>
          <w:rFonts w:hint="eastAsia" w:ascii="宋体" w:hAnsi="宋体" w:cs="宋体"/>
          <w:b/>
          <w:color w:val="auto"/>
          <w:szCs w:val="21"/>
          <w:highlight w:val="none"/>
        </w:rPr>
        <w:t>、响应截止及开标时间：</w:t>
      </w:r>
      <w:r>
        <w:rPr>
          <w:rFonts w:hint="eastAsia" w:ascii="宋体" w:hAnsi="宋体" w:cs="宋体"/>
          <w:bCs/>
          <w:color w:val="auto"/>
          <w:szCs w:val="21"/>
          <w:highlight w:val="none"/>
        </w:rPr>
        <w:t>2024年</w:t>
      </w:r>
      <w:r>
        <w:rPr>
          <w:rFonts w:hint="eastAsia" w:ascii="宋体" w:hAnsi="宋体" w:cs="宋体"/>
          <w:bCs/>
          <w:color w:val="auto"/>
          <w:szCs w:val="21"/>
          <w:highlight w:val="none"/>
          <w:lang w:val="en-US" w:eastAsia="zh-CN"/>
        </w:rPr>
        <w:t>11</w:t>
      </w:r>
      <w:r>
        <w:rPr>
          <w:rFonts w:hint="eastAsia" w:ascii="宋体" w:hAnsi="宋体" w:cs="宋体"/>
          <w:bCs/>
          <w:color w:val="auto"/>
          <w:szCs w:val="21"/>
          <w:highlight w:val="none"/>
        </w:rPr>
        <w:t>月</w:t>
      </w:r>
      <w:r>
        <w:rPr>
          <w:rFonts w:hint="eastAsia" w:ascii="宋体" w:hAnsi="宋体" w:cs="宋体"/>
          <w:bCs/>
          <w:color w:val="auto"/>
          <w:szCs w:val="21"/>
          <w:highlight w:val="none"/>
          <w:lang w:val="en-US" w:eastAsia="zh-CN"/>
        </w:rPr>
        <w:t>15</w:t>
      </w:r>
      <w:r>
        <w:rPr>
          <w:rFonts w:hint="eastAsia" w:ascii="宋体" w:hAnsi="宋体" w:cs="宋体"/>
          <w:bCs/>
          <w:color w:val="auto"/>
          <w:szCs w:val="21"/>
          <w:highlight w:val="none"/>
        </w:rPr>
        <w:t>日</w:t>
      </w:r>
      <w:r>
        <w:rPr>
          <w:rFonts w:hint="eastAsia" w:ascii="宋体" w:hAnsi="宋体" w:cs="宋体"/>
          <w:bCs/>
          <w:color w:val="auto"/>
          <w:szCs w:val="21"/>
          <w:highlight w:val="none"/>
          <w:lang w:val="en-US" w:eastAsia="zh-CN"/>
        </w:rPr>
        <w:t>14</w:t>
      </w:r>
      <w:r>
        <w:rPr>
          <w:rFonts w:hint="eastAsia" w:ascii="宋体" w:hAnsi="宋体" w:cs="宋体"/>
          <w:bCs/>
          <w:color w:val="auto"/>
          <w:szCs w:val="21"/>
          <w:highlight w:val="none"/>
        </w:rPr>
        <w:t>时30分</w:t>
      </w:r>
    </w:p>
    <w:p w14:paraId="61F1A86E">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b/>
          <w:color w:val="auto"/>
          <w:szCs w:val="21"/>
          <w:highlight w:val="none"/>
        </w:rPr>
      </w:pPr>
      <w:r>
        <w:rPr>
          <w:rFonts w:hint="eastAsia" w:ascii="宋体" w:hAnsi="宋体" w:cs="宋体"/>
          <w:b/>
          <w:color w:val="auto"/>
          <w:szCs w:val="21"/>
          <w:highlight w:val="none"/>
        </w:rPr>
        <w:t>、递交响应文件及开标地点：</w:t>
      </w:r>
      <w:r>
        <w:rPr>
          <w:rFonts w:hint="eastAsia" w:ascii="宋体" w:hAnsi="宋体" w:cs="宋体"/>
          <w:color w:val="auto"/>
          <w:szCs w:val="21"/>
          <w:highlight w:val="none"/>
          <w:u w:val="single"/>
        </w:rPr>
        <w:t>东莞市东城街道洋杞坑东路18号302室（东莞市东城街道立新洋杞坑经济合作社办公大楼三楼）</w:t>
      </w:r>
    </w:p>
    <w:p w14:paraId="03F27335">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b/>
          <w:color w:val="auto"/>
          <w:szCs w:val="21"/>
          <w:highlight w:val="none"/>
        </w:rPr>
      </w:pPr>
      <w:r>
        <w:rPr>
          <w:rFonts w:hint="eastAsia" w:ascii="宋体" w:hAnsi="宋体" w:cs="宋体"/>
          <w:b/>
          <w:color w:val="auto"/>
          <w:szCs w:val="21"/>
          <w:highlight w:val="none"/>
        </w:rPr>
        <w:t>、开标事宜：</w:t>
      </w:r>
      <w:r>
        <w:rPr>
          <w:rFonts w:hint="eastAsia" w:ascii="宋体" w:hAnsi="宋体" w:cs="宋体"/>
          <w:bCs/>
          <w:color w:val="auto"/>
          <w:szCs w:val="21"/>
          <w:highlight w:val="none"/>
        </w:rPr>
        <w:t>届时请各供应商的法定代表人或其正式授权代表务必携带有效身份证明签名报到，以证明其出席。</w:t>
      </w:r>
    </w:p>
    <w:p w14:paraId="6014DF0A">
      <w:pPr>
        <w:keepNext w:val="0"/>
        <w:keepLines w:val="0"/>
        <w:pageBreakBefore w:val="0"/>
        <w:widowControl w:val="0"/>
        <w:numPr>
          <w:ilvl w:val="0"/>
          <w:numId w:val="1"/>
        </w:numPr>
        <w:kinsoku/>
        <w:wordWrap/>
        <w:overflowPunct/>
        <w:topLinePunct w:val="0"/>
        <w:autoSpaceDE/>
        <w:autoSpaceDN/>
        <w:bidi w:val="0"/>
        <w:adjustRightInd/>
        <w:spacing w:line="460" w:lineRule="exact"/>
        <w:ind w:left="0" w:firstLine="0" w:firstLineChars="0"/>
        <w:jc w:val="left"/>
        <w:textAlignment w:val="auto"/>
        <w:rPr>
          <w:rFonts w:ascii="宋体" w:hAnsi="宋体" w:cs="宋体"/>
          <w:color w:val="auto"/>
          <w:highlight w:val="none"/>
        </w:rPr>
      </w:pPr>
      <w:r>
        <w:rPr>
          <w:rFonts w:hint="eastAsia" w:ascii="宋体" w:hAnsi="宋体" w:cs="宋体"/>
          <w:b/>
          <w:color w:val="auto"/>
          <w:szCs w:val="21"/>
          <w:highlight w:val="none"/>
        </w:rPr>
        <w:t>、供应商在响应文件中必须提交承诺书：</w:t>
      </w:r>
      <w:bookmarkStart w:id="0" w:name="_Hlk98940111"/>
      <w:r>
        <w:rPr>
          <w:rFonts w:hint="eastAsia" w:ascii="宋体" w:hAnsi="宋体" w:cs="宋体"/>
          <w:color w:val="auto"/>
          <w:szCs w:val="21"/>
          <w:highlight w:val="none"/>
        </w:rPr>
        <w:t>我方已完整阅读了</w:t>
      </w:r>
      <w:r>
        <w:rPr>
          <w:rFonts w:hint="eastAsia" w:ascii="宋体" w:hAnsi="宋体" w:cs="宋体"/>
          <w:color w:val="auto"/>
          <w:szCs w:val="21"/>
          <w:highlight w:val="none"/>
          <w:u w:val="single"/>
          <w:lang w:eastAsia="zh-CN"/>
        </w:rPr>
        <w:t>东莞市新东欣环保投资有限公司港澳码头周边地块综合整理项目渗滤液运输服务项目</w:t>
      </w:r>
      <w:r>
        <w:rPr>
          <w:rFonts w:hint="eastAsia" w:ascii="宋体" w:hAnsi="宋体" w:cs="宋体"/>
          <w:color w:val="auto"/>
          <w:szCs w:val="21"/>
          <w:highlight w:val="none"/>
        </w:rPr>
        <w:t>磋商文件的所有内容（包括澄清，以及所有已提供的参考资料和有关附件），并完全理解上述文件所表达的意思，该项目递交响应文件时间截止后，我方承诺不再对上述文件内容进行询问或质疑</w:t>
      </w:r>
      <w:bookmarkEnd w:id="0"/>
      <w:r>
        <w:rPr>
          <w:rFonts w:hint="eastAsia" w:ascii="宋体" w:hAnsi="宋体" w:cs="宋体"/>
          <w:color w:val="auto"/>
          <w:szCs w:val="21"/>
          <w:highlight w:val="none"/>
        </w:rPr>
        <w:t>。</w:t>
      </w:r>
    </w:p>
    <w:p w14:paraId="6B4B42C3">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460" w:lineRule="exact"/>
        <w:ind w:left="0" w:firstLine="0" w:firstLineChars="0"/>
        <w:jc w:val="left"/>
        <w:textAlignment w:val="auto"/>
        <w:rPr>
          <w:rFonts w:ascii="宋体" w:hAnsi="宋体" w:cs="宋体"/>
          <w:color w:val="auto"/>
          <w:highlight w:val="none"/>
        </w:rPr>
      </w:pPr>
      <w:r>
        <w:rPr>
          <w:rFonts w:hint="eastAsia" w:ascii="宋体" w:hAnsi="宋体" w:cs="宋体"/>
          <w:b/>
          <w:bCs/>
          <w:color w:val="auto"/>
          <w:szCs w:val="21"/>
          <w:highlight w:val="none"/>
        </w:rPr>
        <w:t>、采购信息公告媒体</w:t>
      </w:r>
      <w:r>
        <w:rPr>
          <w:rFonts w:hint="eastAsia" w:ascii="宋体" w:hAnsi="宋体" w:cs="宋体"/>
          <w:color w:val="auto"/>
          <w:szCs w:val="21"/>
          <w:highlight w:val="none"/>
        </w:rPr>
        <w:t>：</w:t>
      </w:r>
    </w:p>
    <w:p w14:paraId="67A86E14">
      <w:pPr>
        <w:keepNext w:val="0"/>
        <w:keepLines w:val="0"/>
        <w:pageBreakBefore w:val="0"/>
        <w:widowControl/>
        <w:shd w:val="clear"/>
        <w:kinsoku/>
        <w:wordWrap/>
        <w:overflowPunct/>
        <w:topLinePunct w:val="0"/>
        <w:autoSpaceDE w:val="0"/>
        <w:autoSpaceDN w:val="0"/>
        <w:bidi w:val="0"/>
        <w:adjustRightInd/>
        <w:snapToGrid/>
        <w:spacing w:line="460" w:lineRule="exact"/>
        <w:ind w:left="0" w:right="0" w:firstLine="400" w:firstLineChars="200"/>
        <w:jc w:val="left"/>
        <w:textAlignment w:val="bottom"/>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lang w:val="en-US" w:eastAsia="zh-CN"/>
        </w:rPr>
        <w:t>1、</w:t>
      </w:r>
      <w:r>
        <w:rPr>
          <w:rFonts w:hint="eastAsia" w:ascii="宋体" w:hAnsi="宋体" w:eastAsia="宋体" w:cs="宋体"/>
          <w:color w:val="auto"/>
          <w:kern w:val="2"/>
          <w:sz w:val="20"/>
          <w:szCs w:val="20"/>
          <w:highlight w:val="none"/>
        </w:rPr>
        <w:t>本次采购公告在中国招标投标公共服务平台(http://www.cebpubservice.com)、东莞实业投资控股集团网站（http://dgsy.com.cn/www/index.jsp）、广东东实环境股份有限公司招采平台(https://pur.yonyou.com/DGDSXNY)及广东人信工程咨询有限公司（http://www.gdrxzx.com）发布。</w:t>
      </w:r>
    </w:p>
    <w:p w14:paraId="31E8315D">
      <w:pPr>
        <w:keepNext w:val="0"/>
        <w:keepLines w:val="0"/>
        <w:pageBreakBefore w:val="0"/>
        <w:widowControl/>
        <w:shd w:val="clear"/>
        <w:kinsoku/>
        <w:wordWrap/>
        <w:overflowPunct/>
        <w:topLinePunct w:val="0"/>
        <w:autoSpaceDE w:val="0"/>
        <w:autoSpaceDN w:val="0"/>
        <w:bidi w:val="0"/>
        <w:adjustRightInd/>
        <w:snapToGrid/>
        <w:spacing w:line="460" w:lineRule="exact"/>
        <w:ind w:left="0" w:right="0" w:firstLine="400" w:firstLineChars="200"/>
        <w:jc w:val="left"/>
        <w:textAlignment w:val="bottom"/>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0"/>
          <w:szCs w:val="20"/>
          <w:highlight w:val="none"/>
          <w:lang w:val="en-US" w:eastAsia="zh-CN"/>
        </w:rPr>
        <w:t>2、</w:t>
      </w:r>
      <w:r>
        <w:rPr>
          <w:rFonts w:hint="eastAsia" w:ascii="宋体" w:hAnsi="宋体" w:eastAsia="宋体" w:cs="宋体"/>
          <w:color w:val="auto"/>
          <w:kern w:val="2"/>
          <w:sz w:val="20"/>
          <w:szCs w:val="20"/>
          <w:highlight w:val="none"/>
        </w:rPr>
        <w:t>成交候选人公示发布媒介：东莞实业投资控股集团有限公司-招标采购栏目（http://www.dgsy.com.cn/）和广东东实环境股份有限公司招采平台(https://pur.yonyou.com/DGDSXNY)。</w:t>
      </w:r>
    </w:p>
    <w:p w14:paraId="7E6A6180">
      <w:pPr>
        <w:keepNext w:val="0"/>
        <w:keepLines w:val="0"/>
        <w:pageBreakBefore w:val="0"/>
        <w:widowControl w:val="0"/>
        <w:numPr>
          <w:ilvl w:val="0"/>
          <w:numId w:val="1"/>
        </w:numPr>
        <w:tabs>
          <w:tab w:val="left" w:pos="480"/>
        </w:tabs>
        <w:kinsoku/>
        <w:wordWrap/>
        <w:overflowPunct/>
        <w:topLinePunct w:val="0"/>
        <w:autoSpaceDE/>
        <w:autoSpaceDN/>
        <w:bidi w:val="0"/>
        <w:adjustRightInd/>
        <w:snapToGrid w:val="0"/>
        <w:spacing w:line="360" w:lineRule="auto"/>
        <w:ind w:left="0" w:firstLine="0" w:firstLineChars="0"/>
        <w:jc w:val="left"/>
        <w:textAlignment w:val="auto"/>
        <w:rPr>
          <w:rFonts w:hint="eastAsia" w:ascii="宋体" w:hAnsi="宋体" w:cs="宋体"/>
          <w:b/>
          <w:bCs/>
          <w:color w:val="auto"/>
          <w:szCs w:val="21"/>
          <w:highlight w:val="none"/>
        </w:rPr>
      </w:pPr>
      <w:r>
        <w:rPr>
          <w:rFonts w:hint="eastAsia" w:ascii="宋体" w:hAnsi="宋体" w:cs="宋体"/>
          <w:b/>
          <w:bCs/>
          <w:color w:val="auto"/>
          <w:szCs w:val="21"/>
          <w:highlight w:val="none"/>
        </w:rPr>
        <w:t xml:space="preserve">、有关本次采购事宜，也可按下列联系方式向采购代理机构查询： </w:t>
      </w:r>
    </w:p>
    <w:p w14:paraId="4B82E62C">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ascii="宋体" w:hAnsi="宋体"/>
          <w:color w:val="auto"/>
          <w:szCs w:val="21"/>
          <w:highlight w:val="none"/>
        </w:rPr>
      </w:pPr>
      <w:r>
        <w:rPr>
          <w:rFonts w:hint="eastAsia" w:ascii="宋体" w:hAnsi="宋体"/>
          <w:color w:val="auto"/>
          <w:szCs w:val="21"/>
          <w:highlight w:val="none"/>
        </w:rPr>
        <w:t>采购人</w:t>
      </w:r>
      <w:r>
        <w:rPr>
          <w:rFonts w:ascii="宋体" w:hAnsi="宋体"/>
          <w:color w:val="auto"/>
          <w:szCs w:val="21"/>
          <w:highlight w:val="none"/>
        </w:rPr>
        <w:t>名称</w:t>
      </w:r>
      <w:r>
        <w:rPr>
          <w:rFonts w:hint="eastAsia" w:ascii="宋体" w:hAnsi="宋体"/>
          <w:color w:val="auto"/>
          <w:szCs w:val="21"/>
          <w:highlight w:val="none"/>
        </w:rPr>
        <w:t>：东莞市新东欣环保投资有限公司</w:t>
      </w:r>
    </w:p>
    <w:p w14:paraId="3DCFCE3C">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ascii="宋体" w:hAnsi="宋体"/>
          <w:color w:val="auto"/>
          <w:szCs w:val="21"/>
          <w:highlight w:val="none"/>
        </w:rPr>
      </w:pPr>
      <w:r>
        <w:rPr>
          <w:rFonts w:hint="eastAsia" w:ascii="宋体" w:hAnsi="宋体"/>
          <w:color w:val="auto"/>
          <w:szCs w:val="21"/>
          <w:highlight w:val="none"/>
        </w:rPr>
        <w:t>采购人联系人：杜先生</w:t>
      </w:r>
    </w:p>
    <w:p w14:paraId="10060BB6">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ascii="宋体" w:hAnsi="宋体"/>
          <w:color w:val="auto"/>
          <w:szCs w:val="21"/>
          <w:highlight w:val="none"/>
        </w:rPr>
      </w:pPr>
      <w:r>
        <w:rPr>
          <w:rFonts w:hint="eastAsia" w:ascii="宋体" w:hAnsi="宋体"/>
          <w:color w:val="auto"/>
          <w:szCs w:val="21"/>
          <w:highlight w:val="none"/>
        </w:rPr>
        <w:t>采购人地址：广东省东莞市麻涌镇海心沙路1号</w:t>
      </w:r>
    </w:p>
    <w:p w14:paraId="41551759">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ascii="宋体" w:hAnsi="宋体" w:cs="宋体"/>
          <w:bCs/>
          <w:color w:val="auto"/>
          <w:szCs w:val="21"/>
          <w:highlight w:val="none"/>
        </w:rPr>
      </w:pPr>
      <w:r>
        <w:rPr>
          <w:rFonts w:hint="eastAsia" w:ascii="宋体" w:hAnsi="宋体"/>
          <w:color w:val="auto"/>
          <w:szCs w:val="21"/>
          <w:highlight w:val="none"/>
        </w:rPr>
        <w:t>采购人联系电话：0769-39028733</w:t>
      </w:r>
      <w:r>
        <w:rPr>
          <w:rFonts w:hint="eastAsia" w:ascii="宋体" w:hAnsi="宋体" w:cs="宋体"/>
          <w:bCs/>
          <w:color w:val="auto"/>
          <w:szCs w:val="21"/>
          <w:highlight w:val="none"/>
        </w:rPr>
        <w:t xml:space="preserve">     </w:t>
      </w:r>
    </w:p>
    <w:p w14:paraId="2F1F5CE2">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ascii="宋体" w:hAnsi="宋体"/>
          <w:color w:val="auto"/>
          <w:szCs w:val="21"/>
          <w:highlight w:val="none"/>
        </w:rPr>
      </w:pPr>
      <w:r>
        <w:rPr>
          <w:rFonts w:hint="eastAsia" w:ascii="宋体" w:hAnsi="宋体"/>
          <w:color w:val="auto"/>
          <w:szCs w:val="21"/>
          <w:highlight w:val="none"/>
        </w:rPr>
        <w:t>采购代理机构名称：广东人信工程咨询有限公司</w:t>
      </w:r>
    </w:p>
    <w:p w14:paraId="18592FB2">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ascii="宋体" w:hAnsi="宋体"/>
          <w:color w:val="auto"/>
          <w:szCs w:val="21"/>
          <w:highlight w:val="none"/>
        </w:rPr>
      </w:pPr>
      <w:r>
        <w:rPr>
          <w:rFonts w:hint="eastAsia" w:ascii="宋体" w:hAnsi="宋体"/>
          <w:color w:val="auto"/>
          <w:szCs w:val="21"/>
          <w:highlight w:val="none"/>
        </w:rPr>
        <w:t>详细地址：东莞市东城街道洋杞坑东路18号302室</w:t>
      </w:r>
    </w:p>
    <w:p w14:paraId="0023167D">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ascii="宋体" w:hAnsi="宋体"/>
          <w:color w:val="auto"/>
          <w:szCs w:val="21"/>
          <w:highlight w:val="none"/>
        </w:rPr>
      </w:pPr>
      <w:r>
        <w:rPr>
          <w:rFonts w:hint="eastAsia" w:ascii="宋体" w:hAnsi="宋体"/>
          <w:color w:val="auto"/>
          <w:szCs w:val="21"/>
          <w:highlight w:val="none"/>
        </w:rPr>
        <w:t>采购代理机构联系人：陈靓</w:t>
      </w:r>
    </w:p>
    <w:p w14:paraId="555958E6">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ascii="宋体" w:hAnsi="宋体"/>
          <w:color w:val="auto"/>
          <w:szCs w:val="21"/>
          <w:highlight w:val="none"/>
        </w:rPr>
      </w:pPr>
      <w:r>
        <w:rPr>
          <w:rFonts w:hint="eastAsia" w:ascii="宋体" w:hAnsi="宋体"/>
          <w:color w:val="auto"/>
          <w:szCs w:val="21"/>
          <w:highlight w:val="none"/>
        </w:rPr>
        <w:t>采购代理机构联系电话：0769-28680091</w:t>
      </w:r>
    </w:p>
    <w:p w14:paraId="5D2C0804">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ascii="宋体" w:hAnsi="宋体" w:cs="宋体"/>
          <w:bCs/>
          <w:color w:val="auto"/>
          <w:szCs w:val="21"/>
          <w:highlight w:val="none"/>
        </w:rPr>
      </w:pPr>
      <w:r>
        <w:rPr>
          <w:rFonts w:hint="eastAsia" w:ascii="宋体" w:hAnsi="宋体"/>
          <w:color w:val="auto"/>
          <w:szCs w:val="21"/>
          <w:highlight w:val="none"/>
        </w:rPr>
        <w:t>采购代理机构邮箱：gdrxdg@163.com</w:t>
      </w:r>
    </w:p>
    <w:p w14:paraId="106CBE46">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left="458" w:leftChars="229" w:right="56"/>
        <w:jc w:val="right"/>
        <w:textAlignment w:val="auto"/>
        <w:rPr>
          <w:rFonts w:hint="eastAsia" w:ascii="宋体" w:hAnsi="宋体" w:cs="宋体"/>
          <w:bCs/>
          <w:color w:val="auto"/>
          <w:szCs w:val="21"/>
          <w:highlight w:val="none"/>
        </w:rPr>
      </w:pPr>
    </w:p>
    <w:p w14:paraId="7C6A3680">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left="458" w:leftChars="229" w:right="56"/>
        <w:jc w:val="both"/>
        <w:textAlignment w:val="auto"/>
        <w:rPr>
          <w:rFonts w:ascii="宋体" w:hAnsi="宋体" w:cs="宋体"/>
          <w:bCs/>
          <w:color w:val="auto"/>
          <w:szCs w:val="21"/>
          <w:highlight w:val="none"/>
        </w:rPr>
      </w:pPr>
      <w:r>
        <w:rPr>
          <w:rFonts w:hint="eastAsia" w:ascii="宋体" w:hAnsi="宋体" w:cs="宋体"/>
          <w:bCs/>
          <w:color w:val="auto"/>
          <w:szCs w:val="21"/>
          <w:highlight w:val="none"/>
        </w:rPr>
        <w:t>东莞市新东欣环保投资有限公司</w:t>
      </w:r>
      <w:r>
        <w:rPr>
          <w:rFonts w:hint="eastAsia" w:ascii="宋体" w:hAnsi="宋体" w:cs="宋体"/>
          <w:bCs/>
          <w:color w:val="auto"/>
          <w:szCs w:val="21"/>
          <w:highlight w:val="none"/>
          <w:lang w:val="en-US" w:eastAsia="zh-CN"/>
        </w:rPr>
        <w:t xml:space="preserve">                         </w:t>
      </w:r>
      <w:r>
        <w:rPr>
          <w:rFonts w:hint="eastAsia" w:ascii="宋体" w:hAnsi="宋体" w:cs="宋体"/>
          <w:bCs/>
          <w:color w:val="auto"/>
          <w:szCs w:val="21"/>
          <w:highlight w:val="none"/>
        </w:rPr>
        <w:t>广东人信工程咨询有限公司</w:t>
      </w:r>
    </w:p>
    <w:p w14:paraId="756CF75A">
      <w:pPr>
        <w:jc w:val="center"/>
        <w:rPr>
          <w:color w:val="auto"/>
        </w:rPr>
      </w:pPr>
      <w:r>
        <w:rPr>
          <w:rFonts w:hint="eastAsia" w:ascii="宋体" w:hAnsi="宋体" w:cs="宋体"/>
          <w:bCs/>
          <w:color w:val="auto"/>
          <w:szCs w:val="21"/>
          <w:highlight w:val="none"/>
          <w:lang w:val="en-US" w:eastAsia="zh-CN"/>
        </w:rPr>
        <w:t xml:space="preserve">                                                                </w:t>
      </w:r>
      <w:bookmarkStart w:id="1" w:name="_GoBack"/>
      <w:bookmarkEnd w:id="1"/>
      <w:r>
        <w:rPr>
          <w:rFonts w:hint="eastAsia" w:ascii="宋体" w:hAnsi="宋体" w:cs="宋体"/>
          <w:bCs/>
          <w:color w:val="auto"/>
          <w:szCs w:val="21"/>
          <w:highlight w:val="none"/>
        </w:rPr>
        <w:t>2024年1</w:t>
      </w:r>
      <w:r>
        <w:rPr>
          <w:rFonts w:hint="eastAsia" w:ascii="宋体" w:hAnsi="宋体" w:cs="宋体"/>
          <w:bCs/>
          <w:color w:val="auto"/>
          <w:szCs w:val="21"/>
          <w:highlight w:val="none"/>
          <w:lang w:val="en-US" w:eastAsia="zh-CN"/>
        </w:rPr>
        <w:t>1</w:t>
      </w:r>
      <w:r>
        <w:rPr>
          <w:rFonts w:hint="eastAsia" w:ascii="宋体" w:hAnsi="宋体" w:cs="宋体"/>
          <w:bCs/>
          <w:color w:val="auto"/>
          <w:szCs w:val="21"/>
          <w:highlight w:val="none"/>
        </w:rPr>
        <w:t>月</w:t>
      </w:r>
      <w:r>
        <w:rPr>
          <w:rFonts w:hint="eastAsia" w:ascii="宋体" w:hAnsi="宋体" w:cs="宋体"/>
          <w:bCs/>
          <w:color w:val="auto"/>
          <w:szCs w:val="21"/>
          <w:highlight w:val="none"/>
          <w:lang w:val="en-US" w:eastAsia="zh-CN"/>
        </w:rPr>
        <w:t>04</w:t>
      </w:r>
      <w:r>
        <w:rPr>
          <w:rFonts w:hint="eastAsia" w:ascii="宋体" w:hAnsi="宋体" w:cs="宋体"/>
          <w:bCs/>
          <w:color w:val="auto"/>
          <w:szCs w:val="21"/>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9941D4"/>
    <w:multiLevelType w:val="multilevel"/>
    <w:tmpl w:val="799941D4"/>
    <w:lvl w:ilvl="0" w:tentative="0">
      <w:start w:val="1"/>
      <w:numFmt w:val="decimal"/>
      <w:suff w:val="nothing"/>
      <w:lvlText w:val="%1"/>
      <w:lvlJc w:val="left"/>
      <w:pPr>
        <w:ind w:left="425" w:hanging="425"/>
      </w:pPr>
      <w:rPr>
        <w:b/>
      </w:rPr>
    </w:lvl>
    <w:lvl w:ilvl="1" w:tentative="0">
      <w:start w:val="1"/>
      <w:numFmt w:val="decimal"/>
      <w:lvlText w:val="%1.%2"/>
      <w:lvlJc w:val="left"/>
      <w:pPr>
        <w:tabs>
          <w:tab w:val="left" w:pos="992"/>
        </w:tabs>
        <w:ind w:left="992" w:hanging="567"/>
      </w:pPr>
      <w:rPr>
        <w:rFonts w:ascii="宋体" w:hAnsi="宋体" w:eastAsia="宋体"/>
        <w:b w:val="0"/>
      </w:r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2356"/>
        </w:tabs>
        <w:ind w:left="1984" w:hanging="708"/>
      </w:pPr>
    </w:lvl>
    <w:lvl w:ilvl="4" w:tentative="0">
      <w:start w:val="1"/>
      <w:numFmt w:val="decimal"/>
      <w:lvlText w:val="%1.%2.%3.%4.%5"/>
      <w:lvlJc w:val="left"/>
      <w:pPr>
        <w:tabs>
          <w:tab w:val="left" w:pos="2781"/>
        </w:tabs>
        <w:ind w:left="2551" w:hanging="850"/>
      </w:pPr>
    </w:lvl>
    <w:lvl w:ilvl="5" w:tentative="0">
      <w:start w:val="1"/>
      <w:numFmt w:val="decimal"/>
      <w:lvlText w:val="%1.%2.%3.%4.%5.%6"/>
      <w:lvlJc w:val="left"/>
      <w:pPr>
        <w:tabs>
          <w:tab w:val="left" w:pos="3566"/>
        </w:tabs>
        <w:ind w:left="3260" w:hanging="1134"/>
      </w:pPr>
    </w:lvl>
    <w:lvl w:ilvl="6" w:tentative="0">
      <w:start w:val="1"/>
      <w:numFmt w:val="decimal"/>
      <w:lvlText w:val="%1.%2.%3.%4.%5.%6.%7"/>
      <w:lvlJc w:val="left"/>
      <w:pPr>
        <w:tabs>
          <w:tab w:val="left" w:pos="3991"/>
        </w:tabs>
        <w:ind w:left="3827" w:hanging="1276"/>
      </w:pPr>
    </w:lvl>
    <w:lvl w:ilvl="7" w:tentative="0">
      <w:start w:val="1"/>
      <w:numFmt w:val="decimal"/>
      <w:lvlText w:val="%1.%2.%3.%4.%5.%6.%7.%8"/>
      <w:lvlJc w:val="left"/>
      <w:pPr>
        <w:tabs>
          <w:tab w:val="left" w:pos="4776"/>
        </w:tabs>
        <w:ind w:left="4394" w:hanging="1418"/>
      </w:pPr>
    </w:lvl>
    <w:lvl w:ilvl="8" w:tentative="0">
      <w:start w:val="1"/>
      <w:numFmt w:val="decimal"/>
      <w:lvlText w:val="%1.%2.%3.%4.%5.%6.%7.%8.%9"/>
      <w:lvlJc w:val="left"/>
      <w:pPr>
        <w:tabs>
          <w:tab w:val="left" w:pos="5202"/>
        </w:tabs>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4NWFhMGMzNzUyMDc0OTg0MWY2YzhkNTYxN2ZhZGIifQ=="/>
  </w:docVars>
  <w:rsids>
    <w:rsidRoot w:val="00000000"/>
    <w:rsid w:val="26335E7C"/>
    <w:rsid w:val="4D073DCA"/>
    <w:rsid w:val="60243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able Paragraph"/>
    <w:basedOn w:val="1"/>
    <w:qFormat/>
    <w:uiPriority w:val="0"/>
    <w:rPr>
      <w:rFonts w:ascii="宋体" w:hAnsi="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1590</Words>
  <Characters>2012</Characters>
  <Lines>0</Lines>
  <Paragraphs>0</Paragraphs>
  <TotalTime>8</TotalTime>
  <ScaleCrop>false</ScaleCrop>
  <LinksUpToDate>false</LinksUpToDate>
  <CharactersWithSpaces>2118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2024-11-04T00:33:00Z</dcterms:created>
  <dc:creator>Administrator</dc:creator>
  <cp:lastModifiedBy>起点</cp:lastModifiedBy>
  <cp:lastPrinted>2024-11-04T01:05:00Z</cp:lastPrinted>
  <dcterms:modified xsi:type="dcterms:W3CDTF">2024-11-04T02:50:03Z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704F559D06114767AE09B2AD7BA1C688_12</vt:lpwstr>
  </property>
</Properties>
</file>